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spacing w:before="156" w:after="156" w:line="360" w:lineRule="auto"/>
        <w:jc w:val="center"/>
        <w:rPr>
          <w:rFonts w:hAnsi="宋体"/>
          <w:color w:val="auto"/>
          <w:sz w:val="44"/>
          <w:szCs w:val="44"/>
          <w:highlight w:val="none"/>
        </w:rPr>
      </w:pPr>
    </w:p>
    <w:p>
      <w:pPr>
        <w:spacing w:line="360" w:lineRule="auto"/>
        <w:jc w:val="center"/>
        <w:rPr>
          <w:rFonts w:ascii="宋体" w:hAnsi="宋体" w:cs="宋体"/>
          <w:b/>
          <w:color w:val="auto"/>
          <w:sz w:val="52"/>
          <w:szCs w:val="52"/>
          <w:highlight w:val="none"/>
        </w:rPr>
      </w:pPr>
      <w:r>
        <w:rPr>
          <w:rFonts w:hint="eastAsia" w:ascii="宋体" w:hAnsi="宋体" w:cs="宋体"/>
          <w:b/>
          <w:color w:val="auto"/>
          <w:sz w:val="52"/>
          <w:szCs w:val="52"/>
          <w:highlight w:val="none"/>
        </w:rPr>
        <w:t>台州市政府采购</w:t>
      </w:r>
    </w:p>
    <w:p>
      <w:pPr>
        <w:spacing w:line="360" w:lineRule="auto"/>
        <w:jc w:val="center"/>
        <w:rPr>
          <w:rFonts w:ascii="宋体" w:hAnsi="宋体" w:cs="宋体"/>
          <w:b/>
          <w:color w:val="auto"/>
          <w:sz w:val="52"/>
          <w:szCs w:val="52"/>
          <w:highlight w:val="none"/>
        </w:rPr>
      </w:pPr>
      <w:r>
        <w:rPr>
          <w:rFonts w:hint="eastAsia" w:ascii="宋体" w:hAnsi="宋体" w:cs="宋体"/>
          <w:b/>
          <w:color w:val="auto"/>
          <w:sz w:val="52"/>
          <w:szCs w:val="52"/>
          <w:highlight w:val="none"/>
        </w:rPr>
        <w:t>公开招标采购文件</w:t>
      </w:r>
    </w:p>
    <w:p>
      <w:pPr>
        <w:spacing w:line="360" w:lineRule="auto"/>
        <w:jc w:val="center"/>
        <w:rPr>
          <w:rFonts w:ascii="宋体" w:hAnsi="宋体" w:cs="宋体"/>
          <w:color w:val="auto"/>
          <w:sz w:val="44"/>
          <w:szCs w:val="20"/>
          <w:highlight w:val="none"/>
        </w:rPr>
      </w:pPr>
    </w:p>
    <w:p>
      <w:pPr>
        <w:spacing w:before="156" w:beforeLines="50" w:line="360" w:lineRule="auto"/>
        <w:jc w:val="center"/>
        <w:rPr>
          <w:rFonts w:ascii="宋体" w:hAnsi="宋体" w:cs="宋体"/>
          <w:b/>
          <w:color w:val="auto"/>
          <w:sz w:val="48"/>
          <w:szCs w:val="48"/>
          <w:highlight w:val="none"/>
        </w:rPr>
      </w:pPr>
    </w:p>
    <w:p>
      <w:pPr>
        <w:pStyle w:val="47"/>
        <w:spacing w:line="360" w:lineRule="auto"/>
        <w:rPr>
          <w:color w:val="auto"/>
          <w:highlight w:val="none"/>
        </w:rPr>
      </w:pPr>
    </w:p>
    <w:p>
      <w:pPr>
        <w:pStyle w:val="21"/>
        <w:tabs>
          <w:tab w:val="left" w:pos="1620"/>
        </w:tabs>
        <w:snapToGrid w:val="0"/>
        <w:spacing w:before="156" w:after="156" w:line="360" w:lineRule="auto"/>
        <w:ind w:left="560" w:leftChars="200"/>
        <w:rPr>
          <w:rFonts w:hAnsi="宋体" w:cs="宋体"/>
          <w:b/>
          <w:bCs/>
          <w:color w:val="auto"/>
          <w:sz w:val="28"/>
          <w:highlight w:val="none"/>
        </w:rPr>
      </w:pPr>
      <w:r>
        <w:rPr>
          <w:rFonts w:hint="eastAsia" w:hAnsi="宋体" w:cs="宋体"/>
          <w:b/>
          <w:bCs/>
          <w:color w:val="auto"/>
          <w:sz w:val="28"/>
          <w:highlight w:val="none"/>
        </w:rPr>
        <w:t xml:space="preserve">项目编号：台财采确临【2022】683号 </w:t>
      </w:r>
    </w:p>
    <w:p>
      <w:pPr>
        <w:pStyle w:val="21"/>
        <w:tabs>
          <w:tab w:val="left" w:pos="1620"/>
        </w:tabs>
        <w:snapToGrid w:val="0"/>
        <w:spacing w:before="156" w:after="156" w:line="360" w:lineRule="auto"/>
        <w:ind w:left="560" w:leftChars="200"/>
        <w:rPr>
          <w:rFonts w:hAnsi="宋体" w:cs="宋体"/>
          <w:b/>
          <w:bCs/>
          <w:color w:val="auto"/>
          <w:sz w:val="28"/>
          <w:highlight w:val="none"/>
        </w:rPr>
      </w:pPr>
      <w:r>
        <w:rPr>
          <w:rFonts w:hint="eastAsia" w:hAnsi="宋体" w:cs="宋体"/>
          <w:b/>
          <w:bCs/>
          <w:color w:val="auto"/>
          <w:sz w:val="28"/>
          <w:highlight w:val="none"/>
        </w:rPr>
        <w:t>项目名称：城市地下市政基础设施普查</w:t>
      </w:r>
    </w:p>
    <w:p>
      <w:pPr>
        <w:pStyle w:val="21"/>
        <w:tabs>
          <w:tab w:val="left" w:pos="1620"/>
        </w:tabs>
        <w:snapToGrid w:val="0"/>
        <w:spacing w:before="156" w:after="156" w:line="360" w:lineRule="auto"/>
        <w:ind w:left="560" w:leftChars="200"/>
        <w:rPr>
          <w:rFonts w:hAnsi="宋体" w:cs="宋体"/>
          <w:b/>
          <w:bCs/>
          <w:color w:val="auto"/>
          <w:sz w:val="28"/>
          <w:highlight w:val="none"/>
        </w:rPr>
      </w:pPr>
      <w:r>
        <w:rPr>
          <w:rFonts w:hint="eastAsia" w:hAnsi="宋体" w:cs="宋体"/>
          <w:b/>
          <w:bCs/>
          <w:color w:val="auto"/>
          <w:sz w:val="28"/>
          <w:highlight w:val="none"/>
        </w:rPr>
        <w:t>采购单位：台州湾新区管理委员会（盖章）</w:t>
      </w:r>
    </w:p>
    <w:p>
      <w:pPr>
        <w:pStyle w:val="21"/>
        <w:tabs>
          <w:tab w:val="left" w:pos="1620"/>
        </w:tabs>
        <w:snapToGrid w:val="0"/>
        <w:spacing w:before="156" w:after="156" w:line="360" w:lineRule="auto"/>
        <w:ind w:left="560" w:leftChars="200"/>
        <w:rPr>
          <w:rFonts w:hAnsi="宋体" w:cs="宋体"/>
          <w:b/>
          <w:bCs/>
          <w:color w:val="auto"/>
          <w:sz w:val="28"/>
          <w:highlight w:val="none"/>
        </w:rPr>
      </w:pPr>
      <w:r>
        <w:rPr>
          <w:rFonts w:hint="eastAsia" w:hAnsi="宋体" w:cs="宋体"/>
          <w:b/>
          <w:bCs/>
          <w:color w:val="auto"/>
          <w:sz w:val="28"/>
          <w:highlight w:val="none"/>
        </w:rPr>
        <w:t>联系人：林先生               联系电话：0576-88517872</w:t>
      </w:r>
    </w:p>
    <w:p>
      <w:pPr>
        <w:pStyle w:val="21"/>
        <w:tabs>
          <w:tab w:val="left" w:pos="1620"/>
        </w:tabs>
        <w:snapToGrid w:val="0"/>
        <w:spacing w:before="156" w:after="156" w:line="360" w:lineRule="auto"/>
        <w:ind w:left="560" w:leftChars="200"/>
        <w:rPr>
          <w:rFonts w:hAnsi="宋体" w:cs="宋体"/>
          <w:b/>
          <w:bCs/>
          <w:color w:val="auto"/>
          <w:sz w:val="28"/>
          <w:highlight w:val="none"/>
        </w:rPr>
      </w:pPr>
      <w:r>
        <w:rPr>
          <w:rFonts w:hint="eastAsia" w:hAnsi="宋体" w:cs="宋体"/>
          <w:b/>
          <w:bCs/>
          <w:color w:val="auto"/>
          <w:sz w:val="28"/>
          <w:highlight w:val="none"/>
        </w:rPr>
        <w:t>代理机构：台州市建设咨询有限公司（盖章）</w:t>
      </w:r>
    </w:p>
    <w:p>
      <w:pPr>
        <w:pStyle w:val="21"/>
        <w:tabs>
          <w:tab w:val="right" w:pos="9184"/>
        </w:tabs>
        <w:snapToGrid w:val="0"/>
        <w:spacing w:before="156" w:after="156" w:line="360" w:lineRule="auto"/>
        <w:ind w:left="560" w:leftChars="200"/>
        <w:rPr>
          <w:rFonts w:hAnsi="宋体" w:cs="宋体"/>
          <w:b/>
          <w:bCs/>
          <w:color w:val="auto"/>
          <w:sz w:val="30"/>
          <w:szCs w:val="30"/>
          <w:highlight w:val="none"/>
        </w:rPr>
      </w:pPr>
      <w:r>
        <w:rPr>
          <w:rFonts w:hint="eastAsia" w:hAnsi="宋体" w:cs="宋体"/>
          <w:b/>
          <w:bCs/>
          <w:color w:val="auto"/>
          <w:sz w:val="28"/>
          <w:highlight w:val="none"/>
        </w:rPr>
        <w:t>代理项目负责人：张晓         联系电话：0576-88517791</w:t>
      </w:r>
    </w:p>
    <w:p>
      <w:pPr>
        <w:pStyle w:val="21"/>
        <w:snapToGrid w:val="0"/>
        <w:spacing w:before="156" w:after="156" w:line="360" w:lineRule="auto"/>
        <w:rPr>
          <w:rFonts w:hAnsi="宋体" w:cs="宋体"/>
          <w:b/>
          <w:bCs/>
          <w:color w:val="auto"/>
          <w:sz w:val="30"/>
          <w:szCs w:val="30"/>
          <w:highlight w:val="none"/>
        </w:rPr>
      </w:pPr>
    </w:p>
    <w:p>
      <w:pPr>
        <w:pStyle w:val="21"/>
        <w:snapToGrid w:val="0"/>
        <w:spacing w:before="156" w:after="156" w:line="360" w:lineRule="auto"/>
        <w:rPr>
          <w:rFonts w:hAnsi="宋体" w:cs="宋体"/>
          <w:b/>
          <w:bCs/>
          <w:color w:val="auto"/>
          <w:sz w:val="30"/>
          <w:szCs w:val="30"/>
          <w:highlight w:val="none"/>
        </w:rPr>
      </w:pPr>
    </w:p>
    <w:p>
      <w:pPr>
        <w:pStyle w:val="21"/>
        <w:snapToGrid w:val="0"/>
        <w:spacing w:before="156" w:after="156" w:line="360" w:lineRule="auto"/>
        <w:rPr>
          <w:rFonts w:hAnsi="宋体" w:cs="宋体"/>
          <w:b/>
          <w:bCs/>
          <w:color w:val="auto"/>
          <w:sz w:val="30"/>
          <w:szCs w:val="30"/>
          <w:highlight w:val="none"/>
        </w:rPr>
      </w:pPr>
    </w:p>
    <w:p>
      <w:pPr>
        <w:pStyle w:val="21"/>
        <w:snapToGrid w:val="0"/>
        <w:spacing w:before="156" w:after="156" w:line="360" w:lineRule="auto"/>
        <w:rPr>
          <w:rFonts w:hAnsi="宋体" w:cs="宋体"/>
          <w:b/>
          <w:bCs/>
          <w:color w:val="auto"/>
          <w:sz w:val="30"/>
          <w:szCs w:val="30"/>
          <w:highlight w:val="none"/>
        </w:rPr>
      </w:pPr>
    </w:p>
    <w:p>
      <w:pPr>
        <w:pStyle w:val="21"/>
        <w:spacing w:before="156" w:after="156" w:line="360" w:lineRule="auto"/>
        <w:jc w:val="center"/>
        <w:rPr>
          <w:rFonts w:hAnsi="宋体" w:cs="宋体"/>
          <w:color w:val="auto"/>
          <w:sz w:val="44"/>
          <w:szCs w:val="44"/>
          <w:highlight w:val="none"/>
        </w:rPr>
      </w:pPr>
      <w:r>
        <w:rPr>
          <w:rFonts w:hint="eastAsia" w:hAnsi="宋体" w:cs="宋体"/>
          <w:b/>
          <w:bCs/>
          <w:color w:val="auto"/>
          <w:w w:val="95"/>
          <w:sz w:val="30"/>
          <w:szCs w:val="30"/>
          <w:highlight w:val="none"/>
        </w:rPr>
        <w:t>二〇二二年四月</w:t>
      </w:r>
    </w:p>
    <w:p>
      <w:pPr>
        <w:pStyle w:val="21"/>
        <w:spacing w:before="156" w:after="156" w:line="360" w:lineRule="auto"/>
        <w:jc w:val="center"/>
        <w:rPr>
          <w:rFonts w:hAnsi="宋体" w:cs="宋体"/>
          <w:color w:val="auto"/>
          <w:sz w:val="44"/>
          <w:szCs w:val="44"/>
          <w:highlight w:val="none"/>
        </w:rPr>
      </w:pPr>
    </w:p>
    <w:p>
      <w:pPr>
        <w:pStyle w:val="21"/>
        <w:spacing w:before="156" w:after="156" w:line="360" w:lineRule="auto"/>
        <w:jc w:val="center"/>
        <w:rPr>
          <w:rFonts w:hAnsi="宋体" w:cs="宋体"/>
          <w:color w:val="auto"/>
          <w:sz w:val="44"/>
          <w:szCs w:val="44"/>
          <w:highlight w:val="none"/>
        </w:rPr>
      </w:pPr>
    </w:p>
    <w:p>
      <w:pPr>
        <w:spacing w:line="360" w:lineRule="auto"/>
        <w:jc w:val="center"/>
        <w:rPr>
          <w:rFonts w:ascii="宋体" w:hAnsi="宋体" w:cs="宋体"/>
          <w:color w:val="auto"/>
          <w:sz w:val="44"/>
          <w:szCs w:val="44"/>
          <w:highlight w:val="none"/>
        </w:rPr>
        <w:sectPr>
          <w:headerReference r:id="rId3" w:type="default"/>
          <w:footerReference r:id="rId4" w:type="default"/>
          <w:pgSz w:w="11906" w:h="16838"/>
          <w:pgMar w:top="1247" w:right="1361" w:bottom="1247" w:left="1361" w:header="851" w:footer="851" w:gutter="0"/>
          <w:cols w:space="720" w:num="1"/>
          <w:docGrid w:type="lines" w:linePitch="312" w:charSpace="0"/>
        </w:sectPr>
      </w:pPr>
    </w:p>
    <w:p>
      <w:pPr>
        <w:pStyle w:val="102"/>
        <w:spacing w:line="360" w:lineRule="auto"/>
        <w:rPr>
          <w:color w:val="auto"/>
          <w:highlight w:val="none"/>
        </w:rPr>
      </w:pPr>
    </w:p>
    <w:p>
      <w:pPr>
        <w:pStyle w:val="21"/>
        <w:spacing w:before="156" w:after="156" w:line="360" w:lineRule="auto"/>
        <w:jc w:val="center"/>
        <w:rPr>
          <w:rFonts w:hAnsi="宋体" w:cs="宋体"/>
          <w:color w:val="auto"/>
          <w:sz w:val="44"/>
          <w:szCs w:val="44"/>
          <w:highlight w:val="none"/>
        </w:rPr>
      </w:pPr>
    </w:p>
    <w:p>
      <w:pPr>
        <w:pStyle w:val="21"/>
        <w:spacing w:before="156" w:after="156" w:line="360" w:lineRule="auto"/>
        <w:jc w:val="center"/>
        <w:rPr>
          <w:rFonts w:hAnsi="宋体" w:cs="宋体"/>
          <w:color w:val="auto"/>
          <w:sz w:val="44"/>
          <w:szCs w:val="44"/>
          <w:highlight w:val="none"/>
        </w:rPr>
      </w:pPr>
      <w:r>
        <w:rPr>
          <w:rFonts w:hint="eastAsia" w:hAnsi="宋体" w:cs="宋体"/>
          <w:color w:val="auto"/>
          <w:sz w:val="44"/>
          <w:szCs w:val="44"/>
          <w:highlight w:val="none"/>
        </w:rPr>
        <w:t>目    录</w:t>
      </w:r>
    </w:p>
    <w:p>
      <w:pPr>
        <w:spacing w:before="156" w:beforeLines="50" w:line="360" w:lineRule="auto"/>
        <w:rPr>
          <w:rFonts w:ascii="宋体" w:hAnsi="宋体" w:cs="宋体"/>
          <w:color w:val="auto"/>
          <w:szCs w:val="18"/>
          <w:highlight w:val="none"/>
        </w:rPr>
      </w:pPr>
      <w:r>
        <w:rPr>
          <w:rFonts w:hint="eastAsia" w:ascii="宋体" w:hAnsi="宋体" w:cs="宋体"/>
          <w:color w:val="auto"/>
          <w:szCs w:val="22"/>
          <w:highlight w:val="none"/>
        </w:rPr>
        <w:t>第一章  公开招标采购公告…………………………………………3</w:t>
      </w:r>
    </w:p>
    <w:p>
      <w:pPr>
        <w:spacing w:before="156" w:beforeLines="50" w:line="360" w:lineRule="auto"/>
        <w:rPr>
          <w:rFonts w:ascii="宋体" w:hAnsi="宋体" w:cs="宋体"/>
          <w:color w:val="auto"/>
          <w:szCs w:val="18"/>
          <w:highlight w:val="none"/>
        </w:rPr>
      </w:pPr>
      <w:r>
        <w:rPr>
          <w:rFonts w:hint="eastAsia" w:ascii="宋体" w:hAnsi="宋体" w:cs="宋体"/>
          <w:color w:val="auto"/>
          <w:szCs w:val="22"/>
          <w:highlight w:val="none"/>
        </w:rPr>
        <w:t>第二章  招标需求……………………………………………………8</w:t>
      </w:r>
    </w:p>
    <w:p>
      <w:pPr>
        <w:spacing w:before="156" w:beforeLines="50" w:line="360" w:lineRule="auto"/>
        <w:rPr>
          <w:rFonts w:ascii="宋体" w:hAnsi="宋体" w:cs="宋体"/>
          <w:color w:val="auto"/>
          <w:szCs w:val="18"/>
          <w:highlight w:val="none"/>
        </w:rPr>
      </w:pPr>
      <w:r>
        <w:rPr>
          <w:rFonts w:hint="eastAsia" w:ascii="宋体" w:hAnsi="宋体" w:cs="宋体"/>
          <w:color w:val="auto"/>
          <w:szCs w:val="22"/>
          <w:highlight w:val="none"/>
        </w:rPr>
        <w:t>第三章  投标人须知…………………………………………………13</w:t>
      </w:r>
    </w:p>
    <w:p>
      <w:pPr>
        <w:spacing w:before="156" w:beforeLines="50" w:line="360" w:lineRule="auto"/>
        <w:rPr>
          <w:rFonts w:ascii="宋体" w:hAnsi="宋体" w:cs="宋体"/>
          <w:color w:val="auto"/>
          <w:szCs w:val="18"/>
          <w:highlight w:val="none"/>
        </w:rPr>
      </w:pPr>
      <w:r>
        <w:rPr>
          <w:rFonts w:hint="eastAsia" w:ascii="宋体" w:hAnsi="宋体" w:cs="宋体"/>
          <w:color w:val="auto"/>
          <w:szCs w:val="22"/>
          <w:highlight w:val="none"/>
        </w:rPr>
        <w:t>第四章  评标办法及评分标准………………………………………28</w:t>
      </w:r>
    </w:p>
    <w:p>
      <w:pPr>
        <w:spacing w:before="156" w:beforeLines="50" w:line="360" w:lineRule="auto"/>
        <w:rPr>
          <w:rFonts w:ascii="宋体" w:hAnsi="宋体" w:cs="宋体"/>
          <w:color w:val="auto"/>
          <w:szCs w:val="18"/>
          <w:highlight w:val="none"/>
        </w:rPr>
      </w:pPr>
      <w:r>
        <w:rPr>
          <w:rFonts w:hint="eastAsia" w:ascii="宋体" w:hAnsi="宋体" w:cs="宋体"/>
          <w:color w:val="auto"/>
          <w:szCs w:val="22"/>
          <w:highlight w:val="none"/>
        </w:rPr>
        <w:t>第五章  合同主要条款………………………………………………32</w:t>
      </w:r>
    </w:p>
    <w:p>
      <w:pPr>
        <w:spacing w:before="156" w:beforeLines="50" w:line="360" w:lineRule="auto"/>
        <w:rPr>
          <w:rFonts w:ascii="宋体" w:hAnsi="宋体" w:cs="宋体"/>
          <w:color w:val="auto"/>
          <w:szCs w:val="18"/>
          <w:highlight w:val="none"/>
        </w:rPr>
      </w:pPr>
      <w:r>
        <w:rPr>
          <w:rFonts w:hint="eastAsia" w:ascii="宋体" w:hAnsi="宋体" w:cs="宋体"/>
          <w:color w:val="auto"/>
          <w:szCs w:val="22"/>
          <w:highlight w:val="none"/>
        </w:rPr>
        <w:t>第六章  投标文件格式………………………………………………37</w:t>
      </w:r>
    </w:p>
    <w:p>
      <w:pPr>
        <w:pStyle w:val="21"/>
        <w:snapToGrid w:val="0"/>
        <w:spacing w:before="156" w:after="156" w:line="360" w:lineRule="auto"/>
        <w:jc w:val="center"/>
        <w:outlineLvl w:val="0"/>
        <w:rPr>
          <w:rFonts w:hAnsi="宋体" w:cs="宋体"/>
          <w:color w:val="auto"/>
          <w:sz w:val="28"/>
          <w:szCs w:val="28"/>
          <w:highlight w:val="none"/>
        </w:rPr>
        <w:sectPr>
          <w:pgSz w:w="11906" w:h="16838"/>
          <w:pgMar w:top="1440" w:right="1800" w:bottom="1440" w:left="1800" w:header="851" w:footer="992" w:gutter="0"/>
          <w:cols w:space="720" w:num="1"/>
          <w:docGrid w:type="lines" w:linePitch="312" w:charSpace="0"/>
        </w:sectPr>
      </w:pPr>
    </w:p>
    <w:p>
      <w:pPr>
        <w:pStyle w:val="21"/>
        <w:snapToGrid w:val="0"/>
        <w:spacing w:before="156" w:after="156" w:line="360" w:lineRule="auto"/>
        <w:jc w:val="center"/>
        <w:outlineLvl w:val="0"/>
        <w:rPr>
          <w:rFonts w:hAnsi="宋体" w:cs="宋体"/>
          <w:color w:val="auto"/>
          <w:highlight w:val="none"/>
        </w:rPr>
      </w:pPr>
      <w:r>
        <w:rPr>
          <w:rFonts w:hint="eastAsia" w:hAnsi="宋体" w:cs="宋体"/>
          <w:color w:val="auto"/>
          <w:sz w:val="28"/>
          <w:szCs w:val="28"/>
          <w:highlight w:val="none"/>
        </w:rPr>
        <w:t>第一章  公开招标采购公告</w:t>
      </w:r>
    </w:p>
    <w:p>
      <w:pPr>
        <w:pStyle w:val="80"/>
        <w:widowControl w:val="0"/>
        <w:spacing w:afterLines="0" w:line="360" w:lineRule="auto"/>
        <w:ind w:firstLine="480"/>
        <w:rPr>
          <w:rFonts w:ascii="宋体" w:hAnsi="宋体" w:cs="宋体"/>
          <w:color w:val="auto"/>
          <w:szCs w:val="24"/>
          <w:highlight w:val="none"/>
        </w:rPr>
      </w:pPr>
      <w:r>
        <w:rPr>
          <w:rFonts w:hint="eastAsia" w:ascii="宋体" w:hAnsi="宋体" w:cs="宋体"/>
          <w:color w:val="auto"/>
          <w:szCs w:val="24"/>
          <w:highlight w:val="none"/>
        </w:rPr>
        <w:t>根据《中华人民共和国政府采购法》、《政府采购货物和服务招标投标管理办法》等规定，现就</w:t>
      </w:r>
      <w:r>
        <w:rPr>
          <w:rFonts w:hint="eastAsia" w:ascii="宋体" w:hAnsi="宋体" w:cs="宋体"/>
          <w:b/>
          <w:bCs/>
          <w:color w:val="auto"/>
          <w:szCs w:val="24"/>
          <w:highlight w:val="none"/>
          <w:u w:val="single"/>
        </w:rPr>
        <w:t>城市地下市政基础设施普查</w:t>
      </w:r>
      <w:r>
        <w:rPr>
          <w:rFonts w:hint="eastAsia" w:ascii="宋体" w:hAnsi="宋体" w:cs="宋体"/>
          <w:color w:val="auto"/>
          <w:szCs w:val="24"/>
          <w:highlight w:val="none"/>
        </w:rPr>
        <w:t>进行公开招标采购，欢迎能提供本国服务的投标人前来投标：</w:t>
      </w:r>
    </w:p>
    <w:p>
      <w:pPr>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 xml:space="preserve">一、项目编号：台财采确临【2022】683号 </w:t>
      </w:r>
    </w:p>
    <w:p>
      <w:pPr>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二、采购方式：</w:t>
      </w:r>
      <w:r>
        <w:rPr>
          <w:rFonts w:hint="eastAsia" w:ascii="宋体" w:hAnsi="宋体" w:cs="宋体"/>
          <w:color w:val="auto"/>
          <w:sz w:val="24"/>
          <w:highlight w:val="none"/>
        </w:rPr>
        <w:t>公开招标</w:t>
      </w:r>
    </w:p>
    <w:p>
      <w:pPr>
        <w:snapToGrid w:val="0"/>
        <w:spacing w:line="360" w:lineRule="auto"/>
        <w:ind w:firstLine="482" w:firstLineChars="200"/>
        <w:rPr>
          <w:rFonts w:ascii="宋体" w:hAnsi="宋体" w:cs="宋体"/>
          <w:b/>
          <w:bCs/>
          <w:color w:val="auto"/>
          <w:sz w:val="24"/>
          <w:highlight w:val="none"/>
        </w:rPr>
      </w:pPr>
      <w:r>
        <w:rPr>
          <w:rFonts w:hint="eastAsia" w:ascii="宋体" w:hAnsi="宋体" w:cs="宋体"/>
          <w:b/>
          <w:color w:val="auto"/>
          <w:sz w:val="24"/>
          <w:highlight w:val="none"/>
        </w:rPr>
        <w:t>三、</w:t>
      </w:r>
      <w:r>
        <w:rPr>
          <w:rFonts w:hint="eastAsia" w:ascii="宋体" w:hAnsi="宋体" w:cs="宋体"/>
          <w:b/>
          <w:bCs/>
          <w:color w:val="auto"/>
          <w:sz w:val="24"/>
          <w:highlight w:val="none"/>
        </w:rPr>
        <w:t>采购内容及数量</w:t>
      </w:r>
    </w:p>
    <w:p>
      <w:pPr>
        <w:pStyle w:val="35"/>
        <w:spacing w:before="0" w:after="0" w:line="360" w:lineRule="auto"/>
        <w:jc w:val="both"/>
        <w:rPr>
          <w:color w:val="auto"/>
          <w:highlight w:val="none"/>
        </w:rPr>
      </w:pPr>
      <w:r>
        <w:rPr>
          <w:rFonts w:hint="eastAsia"/>
          <w:color w:val="auto"/>
          <w:sz w:val="24"/>
          <w:szCs w:val="24"/>
          <w:highlight w:val="none"/>
        </w:rPr>
        <w:t>本次招标采购共一个标段，具体如下：</w:t>
      </w:r>
    </w:p>
    <w:tbl>
      <w:tblPr>
        <w:tblStyle w:val="38"/>
        <w:tblW w:w="10415" w:type="dxa"/>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358"/>
        <w:gridCol w:w="1662"/>
        <w:gridCol w:w="888"/>
        <w:gridCol w:w="774"/>
        <w:gridCol w:w="149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3" w:type="dxa"/>
            <w:vAlign w:val="center"/>
          </w:tcPr>
          <w:p>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标段</w:t>
            </w:r>
          </w:p>
        </w:tc>
        <w:tc>
          <w:tcPr>
            <w:tcW w:w="3358" w:type="dxa"/>
            <w:vAlign w:val="center"/>
          </w:tcPr>
          <w:p>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顶目名称</w:t>
            </w:r>
          </w:p>
        </w:tc>
        <w:tc>
          <w:tcPr>
            <w:tcW w:w="1662" w:type="dxa"/>
            <w:vAlign w:val="center"/>
          </w:tcPr>
          <w:p>
            <w:pPr>
              <w:tabs>
                <w:tab w:val="left" w:pos="8280"/>
              </w:tabs>
              <w:autoSpaceDE w:val="0"/>
              <w:autoSpaceDN w:val="0"/>
              <w:adjustRightInd w:val="0"/>
              <w:spacing w:line="360" w:lineRule="auto"/>
              <w:ind w:right="25" w:firstLine="120" w:firstLineChars="50"/>
              <w:jc w:val="center"/>
              <w:rPr>
                <w:rFonts w:ascii="宋体" w:hAnsi="宋体" w:cs="宋体"/>
                <w:b/>
                <w:color w:val="auto"/>
                <w:sz w:val="24"/>
                <w:highlight w:val="none"/>
              </w:rPr>
            </w:pPr>
            <w:r>
              <w:rPr>
                <w:rFonts w:hint="eastAsia" w:ascii="宋体" w:hAnsi="宋体" w:cs="宋体"/>
                <w:b/>
                <w:color w:val="auto"/>
                <w:sz w:val="24"/>
                <w:highlight w:val="none"/>
              </w:rPr>
              <w:t>服务内容</w:t>
            </w:r>
          </w:p>
        </w:tc>
        <w:tc>
          <w:tcPr>
            <w:tcW w:w="888" w:type="dxa"/>
            <w:vAlign w:val="center"/>
          </w:tcPr>
          <w:p>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774" w:type="dxa"/>
            <w:vAlign w:val="center"/>
          </w:tcPr>
          <w:p>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单位</w:t>
            </w:r>
          </w:p>
        </w:tc>
        <w:tc>
          <w:tcPr>
            <w:tcW w:w="1490" w:type="dxa"/>
            <w:vAlign w:val="center"/>
          </w:tcPr>
          <w:p>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预算（万元）</w:t>
            </w:r>
          </w:p>
        </w:tc>
        <w:tc>
          <w:tcPr>
            <w:tcW w:w="1490" w:type="dxa"/>
            <w:vAlign w:val="center"/>
          </w:tcPr>
          <w:p>
            <w:pPr>
              <w:tabs>
                <w:tab w:val="left" w:pos="8280"/>
              </w:tabs>
              <w:autoSpaceDE w:val="0"/>
              <w:autoSpaceDN w:val="0"/>
              <w:adjustRightInd w:val="0"/>
              <w:spacing w:line="360" w:lineRule="auto"/>
              <w:ind w:right="25"/>
              <w:jc w:val="center"/>
              <w:rPr>
                <w:rFonts w:ascii="宋体" w:hAnsi="宋体" w:cs="宋体"/>
                <w:b/>
                <w:color w:val="auto"/>
                <w:sz w:val="24"/>
                <w:highlight w:val="none"/>
              </w:rPr>
            </w:pPr>
            <w:r>
              <w:rPr>
                <w:rFonts w:hint="eastAsia" w:ascii="宋体" w:hAnsi="宋体" w:cs="宋体"/>
                <w:b/>
                <w:color w:val="auto"/>
                <w:sz w:val="24"/>
                <w:highlight w:val="none"/>
              </w:rPr>
              <w:t>最高投标限价（万元）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753" w:type="dxa"/>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1</w:t>
            </w:r>
          </w:p>
        </w:tc>
        <w:tc>
          <w:tcPr>
            <w:tcW w:w="3358" w:type="dxa"/>
            <w:vAlign w:val="center"/>
          </w:tcPr>
          <w:p>
            <w:pPr>
              <w:spacing w:line="360" w:lineRule="auto"/>
              <w:jc w:val="center"/>
              <w:rPr>
                <w:rFonts w:ascii="宋体" w:hAnsi="宋体" w:cs="宋体"/>
                <w:color w:val="auto"/>
                <w:kern w:val="0"/>
                <w:sz w:val="24"/>
                <w:highlight w:val="none"/>
              </w:rPr>
            </w:pPr>
            <w:r>
              <w:rPr>
                <w:rFonts w:hint="eastAsia" w:ascii="宋体" w:hAnsi="宋体"/>
                <w:color w:val="auto"/>
                <w:sz w:val="24"/>
                <w:highlight w:val="none"/>
              </w:rPr>
              <w:t>城市地下市政基础设施普查</w:t>
            </w:r>
          </w:p>
        </w:tc>
        <w:tc>
          <w:tcPr>
            <w:tcW w:w="1662" w:type="dxa"/>
            <w:vAlign w:val="center"/>
          </w:tcPr>
          <w:p>
            <w:pPr>
              <w:spacing w:line="360" w:lineRule="auto"/>
              <w:jc w:val="center"/>
              <w:rPr>
                <w:rFonts w:ascii="宋体" w:hAnsi="宋体" w:cs="宋体"/>
                <w:color w:val="auto"/>
                <w:kern w:val="0"/>
                <w:sz w:val="24"/>
                <w:highlight w:val="none"/>
              </w:rPr>
            </w:pPr>
            <w:r>
              <w:rPr>
                <w:rFonts w:hint="eastAsia" w:ascii="宋体" w:hAnsi="宋体" w:cs="宋体"/>
                <w:color w:val="auto"/>
                <w:sz w:val="24"/>
                <w:highlight w:val="none"/>
              </w:rPr>
              <w:t>详见采购文件第二章</w:t>
            </w:r>
          </w:p>
        </w:tc>
        <w:tc>
          <w:tcPr>
            <w:tcW w:w="888" w:type="dxa"/>
            <w:vAlign w:val="center"/>
          </w:tcPr>
          <w:p>
            <w:pPr>
              <w:spacing w:line="360" w:lineRule="auto"/>
              <w:jc w:val="center"/>
              <w:rPr>
                <w:rFonts w:ascii="宋体" w:hAnsi="宋体" w:cs="宋体"/>
                <w:color w:val="auto"/>
                <w:sz w:val="24"/>
                <w:highlight w:val="none"/>
              </w:rPr>
            </w:pPr>
            <w:r>
              <w:rPr>
                <w:rFonts w:hint="eastAsia" w:ascii="宋体" w:hAnsi="宋体"/>
                <w:color w:val="auto"/>
                <w:sz w:val="24"/>
                <w:highlight w:val="none"/>
              </w:rPr>
              <w:t>1</w:t>
            </w:r>
          </w:p>
        </w:tc>
        <w:tc>
          <w:tcPr>
            <w:tcW w:w="774" w:type="dxa"/>
            <w:vAlign w:val="center"/>
          </w:tcPr>
          <w:p>
            <w:pPr>
              <w:spacing w:line="360" w:lineRule="auto"/>
              <w:jc w:val="center"/>
              <w:rPr>
                <w:rFonts w:ascii="宋体" w:hAnsi="宋体" w:cs="宋体"/>
                <w:color w:val="auto"/>
                <w:sz w:val="24"/>
                <w:highlight w:val="none"/>
              </w:rPr>
            </w:pPr>
            <w:r>
              <w:rPr>
                <w:rFonts w:hint="eastAsia" w:ascii="宋体" w:hAnsi="宋体"/>
                <w:color w:val="auto"/>
                <w:sz w:val="24"/>
                <w:highlight w:val="none"/>
              </w:rPr>
              <w:t>项</w:t>
            </w:r>
          </w:p>
        </w:tc>
        <w:tc>
          <w:tcPr>
            <w:tcW w:w="1490"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524.58</w:t>
            </w:r>
          </w:p>
        </w:tc>
        <w:tc>
          <w:tcPr>
            <w:tcW w:w="1490"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524.58</w:t>
            </w:r>
          </w:p>
        </w:tc>
      </w:tr>
    </w:tbl>
    <w:p>
      <w:pPr>
        <w:snapToGrid w:val="0"/>
        <w:spacing w:line="360" w:lineRule="auto"/>
        <w:ind w:firstLine="482" w:firstLineChars="200"/>
        <w:rPr>
          <w:rFonts w:ascii="宋体" w:hAnsi="宋体" w:cs="宋体"/>
          <w:b/>
          <w:bCs/>
          <w:color w:val="auto"/>
          <w:sz w:val="24"/>
          <w:highlight w:val="none"/>
        </w:rPr>
      </w:pPr>
      <w:r>
        <w:rPr>
          <w:rFonts w:hint="eastAsia" w:ascii="宋体" w:hAnsi="宋体" w:cs="宋体"/>
          <w:b/>
          <w:color w:val="auto"/>
          <w:sz w:val="24"/>
          <w:highlight w:val="none"/>
        </w:rPr>
        <w:t>四</w:t>
      </w:r>
      <w:r>
        <w:rPr>
          <w:rFonts w:hint="eastAsia" w:ascii="宋体" w:hAnsi="宋体" w:cs="宋体"/>
          <w:color w:val="auto"/>
          <w:sz w:val="24"/>
          <w:highlight w:val="none"/>
        </w:rPr>
        <w:t>、</w:t>
      </w:r>
      <w:r>
        <w:rPr>
          <w:rFonts w:hint="eastAsia" w:ascii="宋体" w:hAnsi="宋体" w:cs="宋体"/>
          <w:b/>
          <w:bCs/>
          <w:color w:val="auto"/>
          <w:sz w:val="24"/>
          <w:highlight w:val="none"/>
        </w:rPr>
        <w:t>合格投标人的资格要求</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（1）符合《中华人民共和国政府采购法》第二十二条的规定。</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hint="eastAsia" w:ascii="宋体" w:hAnsi="宋体" w:cs="宋体"/>
          <w:color w:val="auto"/>
          <w:sz w:val="24"/>
          <w:highlight w:val="none"/>
        </w:rPr>
        <w:t>本项目的特定资格要求：同时具有测绘地理信息行政主管部门颁发的工程测量专业乙级及以上资质</w:t>
      </w:r>
      <w:r>
        <w:rPr>
          <w:rFonts w:ascii="宋体" w:hAnsi="宋体" w:cs="宋体"/>
          <w:color w:val="auto"/>
          <w:sz w:val="24"/>
          <w:highlight w:val="none"/>
        </w:rPr>
        <w:t>和</w:t>
      </w:r>
      <w:r>
        <w:rPr>
          <w:rFonts w:hint="eastAsia" w:ascii="宋体" w:hAnsi="宋体" w:cs="宋体"/>
          <w:color w:val="auto"/>
          <w:sz w:val="24"/>
          <w:highlight w:val="none"/>
        </w:rPr>
        <w:t>地理信息系统工程专业乙级及以上资质。</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default" w:ascii="宋体" w:hAnsi="宋体" w:eastAsia="宋体"/>
          <w:color w:val="auto"/>
          <w:sz w:val="24"/>
          <w:highlight w:val="none"/>
          <w:lang w:val="en-US" w:eastAsia="zh-CN"/>
        </w:rPr>
      </w:pPr>
      <w:r>
        <w:rPr>
          <w:rFonts w:hint="eastAsia" w:ascii="宋体" w:hAnsi="宋体"/>
          <w:color w:val="auto"/>
          <w:sz w:val="24"/>
          <w:highlight w:val="none"/>
        </w:rPr>
        <w:t>（4）</w:t>
      </w:r>
      <w:r>
        <w:rPr>
          <w:rFonts w:hint="eastAsia" w:ascii="宋体" w:hAnsi="宋体"/>
          <w:color w:val="auto"/>
          <w:sz w:val="24"/>
          <w:highlight w:val="none"/>
          <w:lang w:val="en-US" w:eastAsia="zh-CN"/>
        </w:rPr>
        <w:t>公益一类事业单位，既不属于政府购买服务的购买主体，也不属于承接主体，不得参与承接政府购买服务。</w:t>
      </w:r>
    </w:p>
    <w:p>
      <w:pPr>
        <w:snapToGrid w:val="0"/>
        <w:spacing w:line="360" w:lineRule="auto"/>
        <w:ind w:firstLine="480" w:firstLineChars="200"/>
        <w:rPr>
          <w:rFonts w:ascii="宋体" w:hAnsi="宋体"/>
          <w:b/>
          <w:bCs/>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5</w:t>
      </w:r>
      <w:r>
        <w:rPr>
          <w:rFonts w:hint="eastAsia" w:ascii="宋体" w:hAnsi="宋体"/>
          <w:color w:val="auto"/>
          <w:sz w:val="24"/>
          <w:highlight w:val="none"/>
          <w:lang w:eastAsia="zh-CN"/>
        </w:rPr>
        <w:t>）</w:t>
      </w:r>
      <w:r>
        <w:rPr>
          <w:rFonts w:hint="eastAsia" w:ascii="宋体" w:hAnsi="宋体"/>
          <w:color w:val="auto"/>
          <w:sz w:val="24"/>
          <w:highlight w:val="none"/>
        </w:rPr>
        <w:t>落实政府采购政策需满足的资格要求：不专门面向中小企业采购</w:t>
      </w:r>
      <w:r>
        <w:rPr>
          <w:rFonts w:hint="eastAsia" w:ascii="宋体" w:hAnsi="宋体"/>
          <w:b/>
          <w:bCs/>
          <w:color w:val="auto"/>
          <w:sz w:val="24"/>
          <w:highlight w:val="none"/>
        </w:rPr>
        <w:t>。</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）本项目不接受联合体投标。</w:t>
      </w:r>
    </w:p>
    <w:p>
      <w:pPr>
        <w:snapToGrid w:val="0"/>
        <w:spacing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rPr>
        <w:t>五、采购文件的获取</w:t>
      </w:r>
      <w:r>
        <w:rPr>
          <w:rFonts w:hint="eastAsia" w:ascii="宋体" w:hAnsi="宋体" w:cs="宋体"/>
          <w:color w:val="auto"/>
          <w:sz w:val="24"/>
          <w:highlight w:val="none"/>
        </w:rPr>
        <w:t>：</w:t>
      </w:r>
    </w:p>
    <w:p>
      <w:pPr>
        <w:pStyle w:val="34"/>
        <w:spacing w:line="360" w:lineRule="auto"/>
        <w:ind w:right="30" w:firstLine="540"/>
        <w:rPr>
          <w:rFonts w:cs="宋体"/>
          <w:color w:val="auto"/>
          <w:highlight w:val="none"/>
        </w:rPr>
      </w:pPr>
      <w:r>
        <w:rPr>
          <w:rFonts w:hint="eastAsia" w:cs="宋体"/>
          <w:color w:val="auto"/>
          <w:highlight w:val="none"/>
        </w:rPr>
        <w:t>1、本项目采购文件实行“政府采购云平台”在线获取，不提供采购文件纸质版。供应商获取采购文件前应先完成“政府采购云平台”的账号注册。</w:t>
      </w:r>
    </w:p>
    <w:p>
      <w:pPr>
        <w:pStyle w:val="34"/>
        <w:spacing w:line="360" w:lineRule="auto"/>
        <w:ind w:right="30" w:firstLine="540"/>
        <w:rPr>
          <w:rFonts w:cs="宋体"/>
          <w:color w:val="auto"/>
          <w:highlight w:val="none"/>
        </w:rPr>
      </w:pPr>
      <w:r>
        <w:rPr>
          <w:rFonts w:hint="eastAsia" w:cs="宋体"/>
          <w:color w:val="auto"/>
          <w:highlight w:val="none"/>
        </w:rPr>
        <w:t>2、获取时间：公告发布时间至投标截止时间。</w:t>
      </w:r>
    </w:p>
    <w:p>
      <w:pPr>
        <w:pStyle w:val="34"/>
        <w:spacing w:line="360" w:lineRule="auto"/>
        <w:ind w:right="30" w:firstLine="540"/>
        <w:rPr>
          <w:rFonts w:cs="宋体"/>
          <w:color w:val="auto"/>
          <w:highlight w:val="none"/>
        </w:rPr>
      </w:pPr>
      <w:r>
        <w:rPr>
          <w:rFonts w:hint="eastAsia" w:cs="宋体"/>
          <w:color w:val="auto"/>
          <w:highlight w:val="none"/>
        </w:rPr>
        <w:t>3、地点：政府采购云平台（http://www.zcygov.cn）。</w:t>
      </w:r>
    </w:p>
    <w:p>
      <w:pPr>
        <w:pStyle w:val="34"/>
        <w:spacing w:line="360" w:lineRule="auto"/>
        <w:ind w:right="30" w:firstLine="540"/>
        <w:rPr>
          <w:rFonts w:cs="宋体"/>
          <w:color w:val="auto"/>
          <w:highlight w:val="none"/>
        </w:rPr>
      </w:pPr>
      <w:r>
        <w:rPr>
          <w:rFonts w:hint="eastAsia" w:cs="宋体"/>
          <w:color w:val="auto"/>
          <w:highlight w:val="none"/>
        </w:rPr>
        <w:t>4、方式：潜在供应商登陆政府采购云平台 ，在线申请获取采购文件（进入“项目采购”应用，在获取采购文件菜单中选择项目，申请获取采购文件，本项目采购文件不收取费用）。</w:t>
      </w:r>
    </w:p>
    <w:p>
      <w:pPr>
        <w:pStyle w:val="34"/>
        <w:spacing w:line="360" w:lineRule="auto"/>
        <w:ind w:right="30" w:firstLine="540"/>
        <w:rPr>
          <w:rFonts w:cs="宋体"/>
          <w:color w:val="auto"/>
          <w:highlight w:val="none"/>
        </w:rPr>
      </w:pPr>
      <w:r>
        <w:rPr>
          <w:rFonts w:hint="eastAsia" w:cs="宋体"/>
          <w:color w:val="auto"/>
          <w:highlight w:val="none"/>
        </w:rPr>
        <w:t>5、供应商获取采购文件时须提交的文件资料：无。</w:t>
      </w:r>
    </w:p>
    <w:p>
      <w:pPr>
        <w:pStyle w:val="34"/>
        <w:spacing w:line="360" w:lineRule="auto"/>
        <w:ind w:right="30" w:firstLine="540"/>
        <w:rPr>
          <w:rFonts w:cs="宋体"/>
          <w:color w:val="auto"/>
          <w:highlight w:val="none"/>
        </w:rPr>
      </w:pPr>
      <w:r>
        <w:rPr>
          <w:rFonts w:hint="eastAsia" w:cs="宋体"/>
          <w:color w:val="auto"/>
          <w:highlight w:val="none"/>
        </w:rPr>
        <w:t>6、提示：招标公告附件内的采购文件（或采购需求）仅供阅览使用，供应商只有在“政府采购云平台”完成获取采购文件申请并下载了采购文件后才视作依法获取采购文件（法律法规所指的供应商获取采购文件时间以供应商完成获取采购文件申请后下载采购文件的时间为准）。</w:t>
      </w:r>
    </w:p>
    <w:p>
      <w:pPr>
        <w:pStyle w:val="34"/>
        <w:spacing w:line="360" w:lineRule="auto"/>
        <w:ind w:right="30" w:firstLine="540"/>
        <w:rPr>
          <w:rFonts w:cs="宋体"/>
          <w:color w:val="auto"/>
          <w:highlight w:val="none"/>
        </w:rPr>
      </w:pPr>
      <w:r>
        <w:rPr>
          <w:rFonts w:hint="eastAsia" w:cs="宋体"/>
          <w:color w:val="auto"/>
          <w:highlight w:val="none"/>
        </w:rPr>
        <w:t>注：请供应商按上述要求获取采购文件，如未在“政采云”系统内完成相关流程，引起的投标无效责任自负。</w:t>
      </w:r>
    </w:p>
    <w:p>
      <w:pPr>
        <w:pStyle w:val="34"/>
        <w:spacing w:line="360" w:lineRule="auto"/>
        <w:ind w:right="30" w:firstLine="540"/>
        <w:rPr>
          <w:rStyle w:val="41"/>
          <w:rFonts w:cs="宋体"/>
          <w:color w:val="auto"/>
          <w:highlight w:val="none"/>
        </w:rPr>
      </w:pPr>
      <w:r>
        <w:rPr>
          <w:rStyle w:val="41"/>
          <w:rFonts w:hint="eastAsia" w:cs="宋体"/>
          <w:color w:val="auto"/>
          <w:highlight w:val="none"/>
        </w:rPr>
        <w:t>六、</w:t>
      </w:r>
      <w:r>
        <w:rPr>
          <w:rFonts w:hint="eastAsia" w:cs="宋体"/>
          <w:b/>
          <w:bCs/>
          <w:color w:val="auto"/>
          <w:highlight w:val="none"/>
        </w:rPr>
        <w:t>投标截止时间</w:t>
      </w:r>
      <w:r>
        <w:rPr>
          <w:rStyle w:val="41"/>
          <w:rFonts w:hint="eastAsia" w:cs="宋体"/>
          <w:color w:val="auto"/>
          <w:highlight w:val="none"/>
        </w:rPr>
        <w:t>、响应文件递交截止时间及投标开始时间、地点：</w:t>
      </w:r>
    </w:p>
    <w:p>
      <w:pPr>
        <w:pStyle w:val="34"/>
        <w:spacing w:line="360" w:lineRule="auto"/>
        <w:ind w:firstLine="480" w:firstLineChars="200"/>
        <w:rPr>
          <w:rFonts w:cs="宋体"/>
          <w:color w:val="auto"/>
          <w:highlight w:val="none"/>
        </w:rPr>
      </w:pPr>
      <w:r>
        <w:rPr>
          <w:rFonts w:hint="eastAsia" w:cs="宋体"/>
          <w:bCs/>
          <w:color w:val="auto"/>
          <w:highlight w:val="none"/>
        </w:rPr>
        <w:t>投标截止时间：</w:t>
      </w:r>
      <w:r>
        <w:rPr>
          <w:rFonts w:hint="eastAsia" w:cs="宋体"/>
          <w:color w:val="auto"/>
          <w:highlight w:val="none"/>
        </w:rPr>
        <w:t>2022年</w:t>
      </w:r>
      <w:r>
        <w:rPr>
          <w:rFonts w:hint="eastAsia" w:cs="宋体"/>
          <w:color w:val="auto"/>
          <w:highlight w:val="none"/>
          <w:lang w:val="en-US" w:eastAsia="zh-CN"/>
        </w:rPr>
        <w:t>05</w:t>
      </w:r>
      <w:r>
        <w:rPr>
          <w:rFonts w:hint="eastAsia" w:cs="宋体"/>
          <w:color w:val="auto"/>
          <w:highlight w:val="none"/>
        </w:rPr>
        <w:t>月</w:t>
      </w:r>
      <w:r>
        <w:rPr>
          <w:rFonts w:hint="eastAsia" w:cs="宋体"/>
          <w:color w:val="auto"/>
          <w:highlight w:val="none"/>
          <w:lang w:val="en-US" w:eastAsia="zh-CN"/>
        </w:rPr>
        <w:t>05</w:t>
      </w:r>
      <w:r>
        <w:rPr>
          <w:rFonts w:hint="eastAsia" w:cs="宋体"/>
          <w:color w:val="auto"/>
          <w:highlight w:val="none"/>
        </w:rPr>
        <w:t>日09时30分。投标文件未按时解密，视为放弃投标。</w:t>
      </w:r>
    </w:p>
    <w:p>
      <w:pPr>
        <w:pStyle w:val="34"/>
        <w:spacing w:line="360" w:lineRule="auto"/>
        <w:ind w:firstLine="480" w:firstLineChars="200"/>
        <w:rPr>
          <w:rFonts w:cs="宋体"/>
          <w:color w:val="auto"/>
          <w:highlight w:val="none"/>
        </w:rPr>
      </w:pPr>
      <w:r>
        <w:rPr>
          <w:rFonts w:hint="eastAsia" w:cs="宋体"/>
          <w:bCs/>
          <w:color w:val="auto"/>
          <w:highlight w:val="none"/>
        </w:rPr>
        <w:t>投标地点：</w:t>
      </w:r>
      <w:r>
        <w:rPr>
          <w:rFonts w:hint="eastAsia" w:cs="宋体"/>
          <w:color w:val="auto"/>
          <w:highlight w:val="none"/>
        </w:rPr>
        <w:t>投标截止时间前将“电子加密投标文件”上传递交至“政府采购云平台”。</w:t>
      </w:r>
    </w:p>
    <w:p>
      <w:pPr>
        <w:pStyle w:val="34"/>
        <w:spacing w:line="360" w:lineRule="auto"/>
        <w:ind w:firstLine="480" w:firstLineChars="200"/>
        <w:rPr>
          <w:rFonts w:cs="宋体"/>
          <w:color w:val="auto"/>
          <w:highlight w:val="none"/>
        </w:rPr>
      </w:pPr>
      <w:r>
        <w:rPr>
          <w:rFonts w:hint="eastAsia" w:cs="宋体"/>
          <w:bCs/>
          <w:color w:val="auto"/>
          <w:highlight w:val="none"/>
        </w:rPr>
        <w:t>开标时间：</w:t>
      </w:r>
      <w:r>
        <w:rPr>
          <w:rFonts w:hint="eastAsia" w:cs="宋体"/>
          <w:color w:val="auto"/>
          <w:highlight w:val="none"/>
        </w:rPr>
        <w:t>2022年</w:t>
      </w:r>
      <w:r>
        <w:rPr>
          <w:rFonts w:hint="eastAsia" w:cs="宋体"/>
          <w:color w:val="auto"/>
          <w:highlight w:val="none"/>
          <w:lang w:val="en-US" w:eastAsia="zh-CN"/>
        </w:rPr>
        <w:t>05</w:t>
      </w:r>
      <w:r>
        <w:rPr>
          <w:rFonts w:hint="eastAsia" w:cs="宋体"/>
          <w:color w:val="auto"/>
          <w:highlight w:val="none"/>
        </w:rPr>
        <w:t>月</w:t>
      </w:r>
      <w:r>
        <w:rPr>
          <w:rFonts w:hint="eastAsia" w:cs="宋体"/>
          <w:color w:val="auto"/>
          <w:highlight w:val="none"/>
          <w:lang w:val="en-US" w:eastAsia="zh-CN"/>
        </w:rPr>
        <w:t>05</w:t>
      </w:r>
      <w:r>
        <w:rPr>
          <w:rFonts w:hint="eastAsia" w:cs="宋体"/>
          <w:color w:val="auto"/>
          <w:highlight w:val="none"/>
        </w:rPr>
        <w:t>日09时30分。</w:t>
      </w:r>
    </w:p>
    <w:p>
      <w:pPr>
        <w:pStyle w:val="34"/>
        <w:spacing w:line="360" w:lineRule="auto"/>
        <w:ind w:firstLine="480" w:firstLineChars="200"/>
        <w:rPr>
          <w:rFonts w:cs="宋体"/>
          <w:color w:val="auto"/>
          <w:highlight w:val="none"/>
        </w:rPr>
      </w:pPr>
      <w:r>
        <w:rPr>
          <w:rFonts w:hint="eastAsia" w:cs="宋体"/>
          <w:bCs/>
          <w:color w:val="auto"/>
          <w:highlight w:val="none"/>
        </w:rPr>
        <w:t>开标地点</w:t>
      </w:r>
      <w:r>
        <w:rPr>
          <w:rFonts w:hint="eastAsia" w:cs="宋体"/>
          <w:b/>
          <w:bCs/>
          <w:color w:val="auto"/>
          <w:highlight w:val="none"/>
        </w:rPr>
        <w:t>：</w:t>
      </w:r>
      <w:r>
        <w:rPr>
          <w:rFonts w:hint="eastAsia" w:cs="宋体"/>
          <w:color w:val="auto"/>
          <w:highlight w:val="none"/>
          <w:u w:val="single"/>
        </w:rPr>
        <w:t>浙江省台州市市府大道507号台州国际商务广场</w:t>
      </w:r>
      <w:r>
        <w:rPr>
          <w:rFonts w:hint="eastAsia" w:cs="宋体"/>
          <w:color w:val="auto"/>
          <w:highlight w:val="none"/>
          <w:u w:val="single"/>
          <w:lang w:val="en-US" w:eastAsia="zh-CN"/>
        </w:rPr>
        <w:t>1</w:t>
      </w:r>
      <w:r>
        <w:rPr>
          <w:rFonts w:hint="eastAsia" w:cs="宋体"/>
          <w:color w:val="auto"/>
          <w:highlight w:val="none"/>
          <w:u w:val="single"/>
        </w:rPr>
        <w:t>幢（</w:t>
      </w:r>
      <w:r>
        <w:rPr>
          <w:rFonts w:hint="eastAsia" w:cs="宋体"/>
          <w:color w:val="auto"/>
          <w:highlight w:val="none"/>
          <w:u w:val="single"/>
          <w:lang w:val="en-US" w:eastAsia="zh-CN"/>
        </w:rPr>
        <w:t>北</w:t>
      </w:r>
      <w:r>
        <w:rPr>
          <w:rFonts w:hint="eastAsia" w:cs="宋体"/>
          <w:color w:val="auto"/>
          <w:highlight w:val="none"/>
          <w:u w:val="single"/>
        </w:rPr>
        <w:t>门）</w:t>
      </w:r>
      <w:r>
        <w:rPr>
          <w:rFonts w:hint="eastAsia" w:cs="宋体"/>
          <w:color w:val="auto"/>
          <w:highlight w:val="none"/>
          <w:u w:val="single"/>
          <w:lang w:val="en-US" w:eastAsia="zh-CN"/>
        </w:rPr>
        <w:t>十一</w:t>
      </w:r>
      <w:r>
        <w:rPr>
          <w:rFonts w:hint="eastAsia" w:cs="宋体"/>
          <w:color w:val="auto"/>
          <w:highlight w:val="none"/>
          <w:u w:val="single"/>
        </w:rPr>
        <w:t>楼开标室</w:t>
      </w:r>
      <w:r>
        <w:rPr>
          <w:rFonts w:hint="eastAsia" w:cs="宋体"/>
          <w:color w:val="auto"/>
          <w:highlight w:val="none"/>
        </w:rPr>
        <w:t>（线上开标）。</w:t>
      </w:r>
    </w:p>
    <w:p>
      <w:pPr>
        <w:pStyle w:val="34"/>
        <w:spacing w:before="105" w:beforeAutospacing="0" w:after="0" w:afterAutospacing="0" w:line="360" w:lineRule="auto"/>
        <w:ind w:right="30" w:firstLine="480"/>
        <w:rPr>
          <w:rFonts w:cs="宋体"/>
          <w:color w:val="auto"/>
          <w:sz w:val="27"/>
          <w:szCs w:val="27"/>
          <w:highlight w:val="none"/>
        </w:rPr>
      </w:pPr>
      <w:r>
        <w:rPr>
          <w:rStyle w:val="41"/>
          <w:rFonts w:hint="eastAsia" w:cs="宋体"/>
          <w:color w:val="auto"/>
          <w:highlight w:val="none"/>
        </w:rPr>
        <w:t>七、投标保证金：</w:t>
      </w:r>
    </w:p>
    <w:p>
      <w:pPr>
        <w:pStyle w:val="34"/>
        <w:spacing w:line="360" w:lineRule="auto"/>
        <w:ind w:firstLine="480"/>
        <w:rPr>
          <w:rFonts w:cs="宋体"/>
          <w:color w:val="auto"/>
          <w:sz w:val="27"/>
          <w:szCs w:val="27"/>
          <w:highlight w:val="none"/>
        </w:rPr>
      </w:pPr>
      <w:r>
        <w:rPr>
          <w:rFonts w:hint="eastAsia" w:cs="宋体"/>
          <w:color w:val="auto"/>
          <w:highlight w:val="none"/>
        </w:rPr>
        <w:t>根据《浙江省财政厅关于明确政府采购保证金管理工作的通知》（浙财采监〔2019〕5号）相关规定，本项目不设置投标保证金。</w:t>
      </w:r>
    </w:p>
    <w:p>
      <w:pPr>
        <w:pStyle w:val="34"/>
        <w:spacing w:line="360" w:lineRule="auto"/>
        <w:ind w:firstLine="480"/>
        <w:rPr>
          <w:rFonts w:cs="宋体"/>
          <w:color w:val="auto"/>
          <w:sz w:val="27"/>
          <w:szCs w:val="27"/>
          <w:highlight w:val="none"/>
        </w:rPr>
      </w:pPr>
      <w:r>
        <w:rPr>
          <w:rStyle w:val="41"/>
          <w:rFonts w:hint="eastAsia" w:cs="宋体"/>
          <w:color w:val="auto"/>
          <w:highlight w:val="none"/>
        </w:rPr>
        <w:t>八、相关注意事项</w:t>
      </w:r>
      <w:r>
        <w:rPr>
          <w:rFonts w:hint="eastAsia" w:cs="宋体"/>
          <w:color w:val="auto"/>
          <w:highlight w:val="none"/>
        </w:rPr>
        <w:t>：</w:t>
      </w:r>
    </w:p>
    <w:p>
      <w:pPr>
        <w:pStyle w:val="34"/>
        <w:spacing w:line="360" w:lineRule="auto"/>
        <w:ind w:firstLine="480"/>
        <w:rPr>
          <w:rFonts w:cs="宋体"/>
          <w:color w:val="auto"/>
          <w:highlight w:val="none"/>
        </w:rPr>
      </w:pPr>
      <w:r>
        <w:rPr>
          <w:rFonts w:hint="eastAsia" w:cs="宋体"/>
          <w:color w:val="auto"/>
          <w:highlight w:val="none"/>
        </w:rPr>
        <w:t>1、供应商认为采购文件使自己的权益受到损害的，可以自收到采购文件之日或者采购文件公告期限届满之日起7个工作日内，以书面形式一次性向采购人和采购代理机构提出同一环节（包括采购过程、采购结果）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34"/>
        <w:spacing w:line="360" w:lineRule="auto"/>
        <w:ind w:firstLine="480"/>
        <w:rPr>
          <w:rFonts w:cs="宋体"/>
          <w:color w:val="auto"/>
          <w:sz w:val="27"/>
          <w:szCs w:val="27"/>
          <w:highlight w:val="none"/>
        </w:rPr>
      </w:pPr>
      <w:r>
        <w:rPr>
          <w:rFonts w:hint="eastAsia" w:cs="宋体"/>
          <w:color w:val="auto"/>
          <w:highlight w:val="none"/>
        </w:rPr>
        <w:t>2、根据《浙江省政府采购供应商注册及诚信管理暂行办法》浙财采监【2009】28号文件，请各响应供应商及时办理浙江政府采购网“政府采购供应商注册”手续。</w:t>
      </w:r>
    </w:p>
    <w:p>
      <w:pPr>
        <w:pStyle w:val="34"/>
        <w:spacing w:line="360" w:lineRule="auto"/>
        <w:ind w:firstLine="480"/>
        <w:rPr>
          <w:rFonts w:cs="宋体"/>
          <w:color w:val="auto"/>
          <w:sz w:val="27"/>
          <w:szCs w:val="27"/>
          <w:highlight w:val="none"/>
        </w:rPr>
      </w:pPr>
      <w:r>
        <w:rPr>
          <w:rFonts w:hint="eastAsia" w:cs="宋体"/>
          <w:color w:val="auto"/>
          <w:highlight w:val="none"/>
        </w:rPr>
        <w:t>3、参与政府采购活动尚未注册的供应商应当先在浙江政府采购网上申请注册，注册终审通过后再进行报名。</w:t>
      </w:r>
    </w:p>
    <w:p>
      <w:pPr>
        <w:pStyle w:val="34"/>
        <w:spacing w:line="360" w:lineRule="auto"/>
        <w:ind w:firstLine="480"/>
        <w:rPr>
          <w:rFonts w:cs="宋体"/>
          <w:color w:val="auto"/>
          <w:highlight w:val="none"/>
        </w:rPr>
      </w:pPr>
      <w:r>
        <w:rPr>
          <w:rFonts w:hint="eastAsia" w:cs="宋体"/>
          <w:color w:val="auto"/>
          <w:highlight w:val="none"/>
        </w:rPr>
        <w:t>4、本项目所有公告发布网站：“浙江政府采购网”（</w:t>
      </w:r>
      <w:r>
        <w:rPr>
          <w:rFonts w:hint="eastAsia"/>
          <w:color w:val="auto"/>
          <w:highlight w:val="none"/>
        </w:rPr>
        <w:fldChar w:fldCharType="begin"/>
      </w:r>
      <w:r>
        <w:rPr>
          <w:color w:val="auto"/>
          <w:highlight w:val="none"/>
        </w:rPr>
        <w:instrText xml:space="preserve"> HYPERLINK "http://zfcg.czt.zj.gov.cn/" </w:instrText>
      </w:r>
      <w:r>
        <w:rPr>
          <w:rFonts w:hint="eastAsia"/>
          <w:color w:val="auto"/>
          <w:highlight w:val="none"/>
        </w:rPr>
        <w:fldChar w:fldCharType="separate"/>
      </w:r>
      <w:r>
        <w:rPr>
          <w:rStyle w:val="44"/>
          <w:rFonts w:hint="eastAsia" w:cs="宋体"/>
          <w:color w:val="auto"/>
          <w:highlight w:val="none"/>
        </w:rPr>
        <w:t>http://zfcg.czt.zj.gov.cn</w:t>
      </w:r>
      <w:r>
        <w:rPr>
          <w:rStyle w:val="44"/>
          <w:rFonts w:hint="eastAsia" w:cs="宋体"/>
          <w:color w:val="auto"/>
          <w:highlight w:val="none"/>
        </w:rPr>
        <w:fldChar w:fldCharType="end"/>
      </w:r>
      <w:r>
        <w:rPr>
          <w:rFonts w:hint="eastAsia" w:cs="宋体"/>
          <w:color w:val="auto"/>
          <w:highlight w:val="none"/>
        </w:rPr>
        <w:t>）。</w:t>
      </w:r>
    </w:p>
    <w:p>
      <w:pPr>
        <w:pStyle w:val="34"/>
        <w:spacing w:line="360" w:lineRule="auto"/>
        <w:ind w:firstLine="480"/>
        <w:rPr>
          <w:rFonts w:cs="宋体"/>
          <w:color w:val="auto"/>
          <w:highlight w:val="none"/>
        </w:rPr>
      </w:pPr>
      <w:r>
        <w:rPr>
          <w:rFonts w:hint="eastAsia" w:cs="宋体"/>
          <w:color w:val="auto"/>
          <w:highlight w:val="none"/>
        </w:rPr>
        <w:t>5、非浙江省政府采购网注册的供应商或发生变更且未及时更新的供应商，应当按照《浙江省政府采购供应商注册及诚信管理暂行办法的通知》（浙财采监字[2009]28号）的相关规定，及时办理供应商注册或更新事项。</w:t>
      </w:r>
    </w:p>
    <w:p>
      <w:pPr>
        <w:pStyle w:val="34"/>
        <w:spacing w:line="360" w:lineRule="auto"/>
        <w:ind w:firstLine="420"/>
        <w:rPr>
          <w:rFonts w:cs="宋体"/>
          <w:color w:val="auto"/>
          <w:sz w:val="27"/>
          <w:szCs w:val="27"/>
          <w:highlight w:val="none"/>
        </w:rPr>
      </w:pPr>
      <w:r>
        <w:rPr>
          <w:rStyle w:val="41"/>
          <w:rFonts w:hint="eastAsia" w:cs="宋体"/>
          <w:color w:val="auto"/>
          <w:highlight w:val="none"/>
        </w:rPr>
        <w:t>九、在线投标响应（电子投标）说明</w:t>
      </w:r>
    </w:p>
    <w:p>
      <w:pPr>
        <w:pStyle w:val="34"/>
        <w:spacing w:line="360" w:lineRule="auto"/>
        <w:ind w:firstLine="420"/>
        <w:rPr>
          <w:rFonts w:cs="宋体"/>
          <w:color w:val="auto"/>
          <w:sz w:val="27"/>
          <w:szCs w:val="27"/>
          <w:highlight w:val="none"/>
        </w:rPr>
      </w:pPr>
      <w:r>
        <w:rPr>
          <w:rStyle w:val="41"/>
          <w:rFonts w:hint="eastAsia" w:cs="宋体"/>
          <w:color w:val="auto"/>
          <w:highlight w:val="none"/>
        </w:rPr>
        <w:t>1、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w:t>
      </w:r>
    </w:p>
    <w:p>
      <w:pPr>
        <w:pStyle w:val="34"/>
        <w:spacing w:line="360" w:lineRule="auto"/>
        <w:ind w:firstLine="420"/>
        <w:rPr>
          <w:rFonts w:cs="宋体"/>
          <w:color w:val="auto"/>
          <w:sz w:val="27"/>
          <w:szCs w:val="27"/>
          <w:highlight w:val="none"/>
        </w:rPr>
      </w:pPr>
      <w:r>
        <w:rPr>
          <w:rStyle w:val="41"/>
          <w:rFonts w:hint="eastAsia" w:cs="宋体"/>
          <w:color w:val="auto"/>
          <w:highlight w:val="none"/>
        </w:rPr>
        <w:t>“政采云电子交易客户端”请自行前往“浙江政府采购网-下载专区-电子交易客户端”进行下载；电子投标具体操作流程详见《供应商项目采购-电子招投标操作指南》；通过“政府采购云平台”参与在线投标时如遇平台技术问题详询400-881-7190。</w:t>
      </w:r>
    </w:p>
    <w:p>
      <w:pPr>
        <w:pStyle w:val="34"/>
        <w:spacing w:line="360" w:lineRule="auto"/>
        <w:ind w:firstLine="420"/>
        <w:rPr>
          <w:rFonts w:cs="宋体"/>
          <w:color w:val="auto"/>
          <w:sz w:val="27"/>
          <w:szCs w:val="27"/>
          <w:highlight w:val="none"/>
        </w:rPr>
      </w:pPr>
      <w:r>
        <w:rPr>
          <w:rStyle w:val="41"/>
          <w:rFonts w:hint="eastAsia" w:cs="宋体"/>
          <w:color w:val="auto"/>
          <w:highlight w:val="none"/>
        </w:rPr>
        <w:t>2、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w:t>
      </w:r>
      <w:r>
        <w:rPr>
          <w:color w:val="auto"/>
          <w:highlight w:val="none"/>
        </w:rPr>
        <w:fldChar w:fldCharType="begin"/>
      </w:r>
      <w:r>
        <w:rPr>
          <w:color w:val="auto"/>
          <w:highlight w:val="none"/>
        </w:rPr>
        <w:instrText xml:space="preserve"> HYPERLINK "http://zfcg.czt.zj.gov.cn/bidClientTemplate/2019-05-27/12945.html" \t "_blank" \o "CA驱动和申领流程" </w:instrText>
      </w:r>
      <w:r>
        <w:rPr>
          <w:color w:val="auto"/>
          <w:highlight w:val="none"/>
        </w:rPr>
        <w:fldChar w:fldCharType="separate"/>
      </w:r>
      <w:r>
        <w:rPr>
          <w:rStyle w:val="43"/>
          <w:rFonts w:hint="eastAsia" w:cs="宋体"/>
          <w:b/>
          <w:bCs/>
          <w:color w:val="auto"/>
          <w:highlight w:val="none"/>
        </w:rPr>
        <w:t>CA驱动和</w:t>
      </w:r>
      <w:bookmarkStart w:id="0" w:name="_Hlt35328141"/>
      <w:bookmarkStart w:id="1" w:name="_Hlt35328140"/>
      <w:r>
        <w:rPr>
          <w:rStyle w:val="43"/>
          <w:rFonts w:hint="eastAsia" w:cs="宋体"/>
          <w:b/>
          <w:bCs/>
          <w:color w:val="auto"/>
          <w:highlight w:val="none"/>
        </w:rPr>
        <w:t>申</w:t>
      </w:r>
      <w:bookmarkEnd w:id="0"/>
      <w:bookmarkEnd w:id="1"/>
      <w:r>
        <w:rPr>
          <w:rStyle w:val="43"/>
          <w:rFonts w:hint="eastAsia" w:cs="宋体"/>
          <w:b/>
          <w:bCs/>
          <w:color w:val="auto"/>
          <w:highlight w:val="none"/>
        </w:rPr>
        <w:t>领流程</w:t>
      </w:r>
      <w:r>
        <w:rPr>
          <w:rStyle w:val="43"/>
          <w:rFonts w:hint="eastAsia" w:cs="宋体"/>
          <w:b/>
          <w:bCs/>
          <w:color w:val="auto"/>
          <w:highlight w:val="none"/>
        </w:rPr>
        <w:fldChar w:fldCharType="end"/>
      </w:r>
      <w:r>
        <w:rPr>
          <w:rStyle w:val="41"/>
          <w:rFonts w:hint="eastAsia" w:cs="宋体"/>
          <w:color w:val="auto"/>
          <w:highlight w:val="none"/>
        </w:rPr>
        <w:t>”进行查阅；</w:t>
      </w:r>
    </w:p>
    <w:p>
      <w:pPr>
        <w:pStyle w:val="34"/>
        <w:spacing w:line="360" w:lineRule="auto"/>
        <w:ind w:firstLine="420"/>
        <w:rPr>
          <w:rFonts w:cs="宋体"/>
          <w:color w:val="auto"/>
          <w:sz w:val="27"/>
          <w:szCs w:val="27"/>
          <w:highlight w:val="none"/>
        </w:rPr>
      </w:pPr>
      <w:r>
        <w:rPr>
          <w:rStyle w:val="41"/>
          <w:rFonts w:hint="eastAsia" w:cs="宋体"/>
          <w:color w:val="auto"/>
          <w:highlight w:val="none"/>
        </w:rPr>
        <w:t>3、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传输、递交的投标文件，将被拒收。在开标后规定的投标有效期内，投标人不能撤销投标文件。</w:t>
      </w:r>
    </w:p>
    <w:p>
      <w:pPr>
        <w:pStyle w:val="34"/>
        <w:spacing w:line="360" w:lineRule="auto"/>
        <w:ind w:firstLine="420"/>
        <w:rPr>
          <w:rFonts w:cs="宋体"/>
          <w:color w:val="auto"/>
          <w:sz w:val="27"/>
          <w:szCs w:val="27"/>
          <w:highlight w:val="none"/>
        </w:rPr>
      </w:pPr>
      <w:r>
        <w:rPr>
          <w:rStyle w:val="41"/>
          <w:rFonts w:hint="eastAsia" w:cs="宋体"/>
          <w:color w:val="auto"/>
          <w:highlight w:val="none"/>
        </w:rPr>
        <w:t>4、投标供应商在“政府采购云平台”完成“电子加密投标文件”的上传递交后，还可以在投标截止时间前将【介质（U盘）存储的数据电文形式的“备份投标文件”】送交到开标地点（也可通过EMS邮寄或顺丰邮寄形式）。“备份投标文件”应当密封包装并在包装上标注投标项目名称、投标单位名称并加盖公章。包裹外包装上请注明单位、项目名称、联系电话等信息，以便代理机构作接收登记工作），邮寄接收截止时间为同投标截止时间（邮寄地址：台州市建设咨询有限公司（台州市市府大道465号市建设规划大楼二楼213室，联系人：张晓，电话：0576-88517791))。</w:t>
      </w:r>
    </w:p>
    <w:p>
      <w:pPr>
        <w:pStyle w:val="34"/>
        <w:spacing w:line="360" w:lineRule="auto"/>
        <w:ind w:firstLine="420"/>
        <w:rPr>
          <w:rStyle w:val="41"/>
          <w:rFonts w:cs="宋体"/>
          <w:color w:val="auto"/>
          <w:highlight w:val="none"/>
        </w:rPr>
      </w:pPr>
      <w:r>
        <w:rPr>
          <w:rStyle w:val="41"/>
          <w:rFonts w:hint="eastAsia" w:cs="宋体"/>
          <w:color w:val="auto"/>
          <w:highlight w:val="none"/>
        </w:rPr>
        <w:t>5、通过“政府采购云平台”上传递交的“电子加密投标文件”无法按时解密（解密过程中解密失败），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r>
        <w:rPr>
          <w:rFonts w:hint="eastAsia" w:cs="宋体"/>
          <w:b/>
          <w:bCs/>
          <w:color w:val="auto"/>
          <w:szCs w:val="32"/>
          <w:highlight w:val="none"/>
        </w:rPr>
        <w:t>开标时间后30分钟内，</w:t>
      </w:r>
      <w:r>
        <w:rPr>
          <w:rStyle w:val="41"/>
          <w:rFonts w:hint="eastAsia" w:cs="宋体"/>
          <w:color w:val="auto"/>
          <w:highlight w:val="none"/>
        </w:rPr>
        <w:t>用</w:t>
      </w:r>
      <w:r>
        <w:rPr>
          <w:rFonts w:hint="eastAsia" w:cs="宋体"/>
          <w:b/>
          <w:bCs/>
          <w:color w:val="auto"/>
          <w:highlight w:val="none"/>
        </w:rPr>
        <w:t>CA驱动锁插入电脑及</w:t>
      </w:r>
      <w:r>
        <w:rPr>
          <w:rStyle w:val="41"/>
          <w:rFonts w:hint="eastAsia" w:cs="宋体"/>
          <w:color w:val="auto"/>
          <w:highlight w:val="none"/>
        </w:rPr>
        <w:t>账号登入“政府采购云平台”</w:t>
      </w:r>
      <w:r>
        <w:rPr>
          <w:rFonts w:hint="eastAsia" w:cs="宋体"/>
          <w:b/>
          <w:bCs/>
          <w:color w:val="auto"/>
          <w:highlight w:val="none"/>
        </w:rPr>
        <w:t>按时解密，否则视为放弃投标。</w:t>
      </w:r>
      <w:r>
        <w:rPr>
          <w:rFonts w:hint="eastAsia" w:cs="宋体"/>
          <w:b/>
          <w:bCs/>
          <w:color w:val="auto"/>
          <w:szCs w:val="32"/>
          <w:highlight w:val="none"/>
        </w:rPr>
        <w:t>电脑及CA解密设备自备。</w:t>
      </w:r>
      <w:r>
        <w:rPr>
          <w:rStyle w:val="41"/>
          <w:rFonts w:hint="eastAsia" w:cs="宋体"/>
          <w:color w:val="auto"/>
          <w:highlight w:val="none"/>
        </w:rPr>
        <w:t>）</w:t>
      </w:r>
    </w:p>
    <w:p>
      <w:pPr>
        <w:pStyle w:val="34"/>
        <w:spacing w:line="360" w:lineRule="auto"/>
        <w:ind w:firstLine="420"/>
        <w:rPr>
          <w:rStyle w:val="41"/>
          <w:rFonts w:cs="宋体"/>
          <w:color w:val="auto"/>
          <w:highlight w:val="none"/>
        </w:rPr>
      </w:pPr>
      <w:r>
        <w:rPr>
          <w:rStyle w:val="41"/>
          <w:rFonts w:hint="eastAsia" w:cs="宋体"/>
          <w:color w:val="auto"/>
          <w:highlight w:val="none"/>
        </w:rPr>
        <w:t>6、投标文件启用顺序和效力：投标文件的启用，按先后顺位分别为电子投标文件、以介质（U盘）存储的数据电文形式的备份投标文件。投标人的电子投标文件已按时解密的，备份投标文件自动失效。某位投标人的电子投标文件无法按时解密的，启用以介质（U盘）存储的数据电文形式的“备份投标文件”进行开评标。</w:t>
      </w:r>
    </w:p>
    <w:p>
      <w:pPr>
        <w:pStyle w:val="34"/>
        <w:spacing w:line="360" w:lineRule="auto"/>
        <w:ind w:firstLine="420"/>
        <w:rPr>
          <w:rStyle w:val="41"/>
          <w:rFonts w:cs="宋体"/>
          <w:color w:val="auto"/>
          <w:highlight w:val="none"/>
        </w:rPr>
      </w:pPr>
      <w:r>
        <w:rPr>
          <w:rStyle w:val="41"/>
          <w:rFonts w:hint="eastAsia" w:cs="宋体"/>
          <w:color w:val="auto"/>
          <w:highlight w:val="none"/>
        </w:rPr>
        <w:t>7、▲未传输递交电子投标文件的，投标无效。▲未按规定提供相应的备份投标文件，造成项目开评标活动无法进行下去的，投标无效。▲仅提供备份文件的，投标无效。</w:t>
      </w:r>
    </w:p>
    <w:p>
      <w:pPr>
        <w:pStyle w:val="34"/>
        <w:spacing w:line="360" w:lineRule="auto"/>
        <w:rPr>
          <w:rStyle w:val="41"/>
          <w:rFonts w:cs="宋体"/>
          <w:color w:val="auto"/>
          <w:sz w:val="21"/>
          <w:szCs w:val="22"/>
          <w:highlight w:val="none"/>
        </w:rPr>
      </w:pPr>
      <w:r>
        <w:rPr>
          <w:rStyle w:val="41"/>
          <w:rFonts w:hint="eastAsia" w:cs="宋体"/>
          <w:bCs w:val="0"/>
          <w:color w:val="auto"/>
          <w:kern w:val="2"/>
          <w:highlight w:val="none"/>
        </w:rPr>
        <w:t>十、其余事项：</w:t>
      </w:r>
      <w:r>
        <w:rPr>
          <w:rStyle w:val="41"/>
          <w:rFonts w:hint="eastAsia" w:cs="宋体"/>
          <w:b w:val="0"/>
          <w:bCs w:val="0"/>
          <w:color w:val="auto"/>
          <w:sz w:val="21"/>
          <w:szCs w:val="22"/>
          <w:highlight w:val="none"/>
        </w:rPr>
        <w:t>中标供应商如有融资需求，可使用以下银行的政采贷服务。</w:t>
      </w:r>
    </w:p>
    <w:tbl>
      <w:tblPr>
        <w:tblStyle w:val="38"/>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1"/>
        <w:gridCol w:w="1631"/>
        <w:gridCol w:w="1201"/>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pStyle w:val="34"/>
              <w:spacing w:line="360" w:lineRule="auto"/>
              <w:jc w:val="center"/>
              <w:rPr>
                <w:rStyle w:val="41"/>
                <w:rFonts w:cs="宋体"/>
                <w:color w:val="auto"/>
                <w:sz w:val="21"/>
                <w:szCs w:val="22"/>
                <w:highlight w:val="none"/>
              </w:rPr>
            </w:pPr>
            <w:r>
              <w:rPr>
                <w:rStyle w:val="41"/>
                <w:rFonts w:hint="eastAsia" w:cs="宋体"/>
                <w:color w:val="auto"/>
                <w:sz w:val="21"/>
                <w:szCs w:val="22"/>
                <w:highlight w:val="none"/>
              </w:rPr>
              <w:t>银行</w:t>
            </w:r>
          </w:p>
        </w:tc>
        <w:tc>
          <w:tcPr>
            <w:tcW w:w="1631" w:type="dxa"/>
            <w:vAlign w:val="center"/>
          </w:tcPr>
          <w:p>
            <w:pPr>
              <w:pStyle w:val="34"/>
              <w:spacing w:line="360" w:lineRule="auto"/>
              <w:jc w:val="center"/>
              <w:rPr>
                <w:rStyle w:val="41"/>
                <w:rFonts w:cs="宋体"/>
                <w:color w:val="auto"/>
                <w:sz w:val="21"/>
                <w:szCs w:val="22"/>
                <w:highlight w:val="none"/>
              </w:rPr>
            </w:pPr>
            <w:r>
              <w:rPr>
                <w:rStyle w:val="41"/>
                <w:rFonts w:hint="eastAsia" w:cs="宋体"/>
                <w:color w:val="auto"/>
                <w:sz w:val="21"/>
                <w:szCs w:val="22"/>
                <w:highlight w:val="none"/>
              </w:rPr>
              <w:t>贷款年利率</w:t>
            </w:r>
          </w:p>
        </w:tc>
        <w:tc>
          <w:tcPr>
            <w:tcW w:w="1201" w:type="dxa"/>
            <w:vAlign w:val="center"/>
          </w:tcPr>
          <w:p>
            <w:pPr>
              <w:pStyle w:val="34"/>
              <w:spacing w:line="360" w:lineRule="auto"/>
              <w:jc w:val="center"/>
              <w:rPr>
                <w:rStyle w:val="41"/>
                <w:rFonts w:cs="宋体"/>
                <w:color w:val="auto"/>
                <w:sz w:val="21"/>
                <w:szCs w:val="22"/>
                <w:highlight w:val="none"/>
              </w:rPr>
            </w:pPr>
            <w:r>
              <w:rPr>
                <w:rStyle w:val="41"/>
                <w:rFonts w:hint="eastAsia" w:cs="宋体"/>
                <w:color w:val="auto"/>
                <w:sz w:val="21"/>
                <w:szCs w:val="22"/>
                <w:highlight w:val="none"/>
              </w:rPr>
              <w:t>联系人</w:t>
            </w:r>
          </w:p>
        </w:tc>
        <w:tc>
          <w:tcPr>
            <w:tcW w:w="3513" w:type="dxa"/>
            <w:vAlign w:val="center"/>
          </w:tcPr>
          <w:p>
            <w:pPr>
              <w:pStyle w:val="34"/>
              <w:spacing w:line="360" w:lineRule="auto"/>
              <w:jc w:val="center"/>
              <w:rPr>
                <w:rStyle w:val="41"/>
                <w:rFonts w:cs="宋体"/>
                <w:color w:val="auto"/>
                <w:sz w:val="21"/>
                <w:szCs w:val="22"/>
                <w:highlight w:val="none"/>
              </w:rPr>
            </w:pPr>
            <w:r>
              <w:rPr>
                <w:rStyle w:val="41"/>
                <w:rFonts w:hint="eastAsia" w:cs="宋体"/>
                <w:color w:val="auto"/>
                <w:sz w:val="21"/>
                <w:szCs w:val="22"/>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中国工商银行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3.8%起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王霖</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88588246  13857654562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中国农业银行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3.8%起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龚盛</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15858682216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中国建设银行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3.8%起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梅晶晶</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88525339  13736585303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中国银行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3.75%起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任茜</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13857695378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浦发银行台州分行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4.05%起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王渊</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13616676319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浦发银行椒江分行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4.05%起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孙瑞华</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13857688081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交通银行台州分行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3.75%起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周翔宇</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13867697018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招商银行台州分行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4.32%起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王海玲</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13566413827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浙商银行台州分行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5.01%起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章涉漪</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81880185  13606681262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中信银行台州分行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4.15%起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陈金园</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13586052161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华夏银行台州分行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4.5%起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邱明达</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81871518  13736252233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泰隆银行开发区支行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5.6%起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梁宛莉</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13306869100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民泰银行椒江支行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5.8%起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陈慧珠</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13857699669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绍兴银行台州分行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5.1%起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郭庭斌</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15958633119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温州银行台州分行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4.55%起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王晓波</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15824005475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平安银行台州分行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6.53%起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李俊丽</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15906861025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宁波银行台州分行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4.35%起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戴莉丽</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13566627207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金华银行台州分行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4.05%起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金雪婷</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81886670  15968661569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台州银行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5.6%起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洪婷</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15858624999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5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邮储银行台州分行</w:t>
            </w:r>
          </w:p>
        </w:tc>
        <w:tc>
          <w:tcPr>
            <w:tcW w:w="163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3.85%起</w:t>
            </w:r>
          </w:p>
        </w:tc>
        <w:tc>
          <w:tcPr>
            <w:tcW w:w="1201"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董庆</w:t>
            </w:r>
          </w:p>
        </w:tc>
        <w:tc>
          <w:tcPr>
            <w:tcW w:w="3513"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81888982  18957683735</w:t>
            </w:r>
          </w:p>
        </w:tc>
      </w:tr>
    </w:tbl>
    <w:p>
      <w:pPr>
        <w:snapToGrid w:val="0"/>
        <w:spacing w:line="360" w:lineRule="auto"/>
        <w:ind w:firstLine="482" w:firstLineChars="200"/>
        <w:rPr>
          <w:rFonts w:ascii="宋体" w:hAnsi="宋体" w:cs="宋体"/>
          <w:b/>
          <w:color w:val="auto"/>
          <w:sz w:val="24"/>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合同履约保函联系方式</w:t>
      </w:r>
    </w:p>
    <w:tbl>
      <w:tblPr>
        <w:tblStyle w:val="38"/>
        <w:tblpPr w:leftFromText="180" w:rightFromText="180" w:vertAnchor="text" w:horzAnchor="page" w:tblpX="1410" w:tblpY="8"/>
        <w:tblOverlap w:val="never"/>
        <w:tblW w:w="94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50"/>
        <w:gridCol w:w="3380"/>
        <w:gridCol w:w="914"/>
        <w:gridCol w:w="1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350" w:type="dxa"/>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保险公司名称</w:t>
            </w:r>
          </w:p>
        </w:tc>
        <w:tc>
          <w:tcPr>
            <w:tcW w:w="3380" w:type="dxa"/>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保费率</w:t>
            </w:r>
          </w:p>
        </w:tc>
        <w:tc>
          <w:tcPr>
            <w:tcW w:w="914" w:type="dxa"/>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p>
        </w:tc>
        <w:tc>
          <w:tcPr>
            <w:tcW w:w="1756" w:type="dxa"/>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中国人寿财产保险股份有限公司台州中心支公司</w:t>
            </w:r>
          </w:p>
        </w:tc>
        <w:tc>
          <w:tcPr>
            <w:tcW w:w="338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年费率1%，最低保费500元</w:t>
            </w:r>
          </w:p>
        </w:tc>
        <w:tc>
          <w:tcPr>
            <w:tcW w:w="914"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徐凌</w:t>
            </w:r>
          </w:p>
        </w:tc>
        <w:tc>
          <w:tcPr>
            <w:tcW w:w="1756"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13905168070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永诚财产保险股份有限公司台州分公司</w:t>
            </w:r>
          </w:p>
        </w:tc>
        <w:tc>
          <w:tcPr>
            <w:tcW w:w="338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年费率1%，最低保费1000元</w:t>
            </w:r>
          </w:p>
        </w:tc>
        <w:tc>
          <w:tcPr>
            <w:tcW w:w="914"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尹刚强</w:t>
            </w:r>
          </w:p>
        </w:tc>
        <w:tc>
          <w:tcPr>
            <w:tcW w:w="1756"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13750668184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华泰财产保险有限公司台州中心支公司</w:t>
            </w:r>
          </w:p>
        </w:tc>
        <w:tc>
          <w:tcPr>
            <w:tcW w:w="338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年费率0.5%，最低保费1000元</w:t>
            </w:r>
          </w:p>
        </w:tc>
        <w:tc>
          <w:tcPr>
            <w:tcW w:w="914"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王灵芳</w:t>
            </w:r>
          </w:p>
        </w:tc>
        <w:tc>
          <w:tcPr>
            <w:tcW w:w="1756"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88869818  13586123199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中国大地财产保险股份有限公司台州中心支公司</w:t>
            </w:r>
          </w:p>
        </w:tc>
        <w:tc>
          <w:tcPr>
            <w:tcW w:w="338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年费率1.5%，最低保费1000元</w:t>
            </w:r>
          </w:p>
        </w:tc>
        <w:tc>
          <w:tcPr>
            <w:tcW w:w="914"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徐小明</w:t>
            </w:r>
          </w:p>
        </w:tc>
        <w:tc>
          <w:tcPr>
            <w:tcW w:w="1756"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88552788  13968603112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阳光保险台州中心支公司</w:t>
            </w:r>
          </w:p>
        </w:tc>
        <w:tc>
          <w:tcPr>
            <w:tcW w:w="338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年费率1%，最低保费500元</w:t>
            </w:r>
          </w:p>
        </w:tc>
        <w:tc>
          <w:tcPr>
            <w:tcW w:w="914"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林高明</w:t>
            </w:r>
          </w:p>
        </w:tc>
        <w:tc>
          <w:tcPr>
            <w:tcW w:w="1756"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15888682693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中华联合财产保险股份有限公司台州中心支公司</w:t>
            </w:r>
          </w:p>
        </w:tc>
        <w:tc>
          <w:tcPr>
            <w:tcW w:w="338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年费率2%，最低保费500元</w:t>
            </w:r>
          </w:p>
        </w:tc>
        <w:tc>
          <w:tcPr>
            <w:tcW w:w="914"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王仙高</w:t>
            </w:r>
          </w:p>
        </w:tc>
        <w:tc>
          <w:tcPr>
            <w:tcW w:w="1756"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13858600221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中国人民财产保险股份有限公司台州中心支公司</w:t>
            </w:r>
          </w:p>
        </w:tc>
        <w:tc>
          <w:tcPr>
            <w:tcW w:w="338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年费率0.3%，最低保费1000元</w:t>
            </w:r>
          </w:p>
        </w:tc>
        <w:tc>
          <w:tcPr>
            <w:tcW w:w="914"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王仙春</w:t>
            </w:r>
          </w:p>
        </w:tc>
        <w:tc>
          <w:tcPr>
            <w:tcW w:w="1756"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13515769179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5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永安财产保险股份有限公司台州中心支公司</w:t>
            </w:r>
          </w:p>
        </w:tc>
        <w:tc>
          <w:tcPr>
            <w:tcW w:w="3380"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年费率0.3%，最低保费1000</w:t>
            </w:r>
          </w:p>
        </w:tc>
        <w:tc>
          <w:tcPr>
            <w:tcW w:w="914"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王春宇</w:t>
            </w:r>
          </w:p>
        </w:tc>
        <w:tc>
          <w:tcPr>
            <w:tcW w:w="1756"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13676675331</w:t>
            </w:r>
          </w:p>
        </w:tc>
      </w:tr>
    </w:tbl>
    <w:p>
      <w:pPr>
        <w:snapToGrid w:val="0"/>
        <w:spacing w:line="360" w:lineRule="auto"/>
        <w:rPr>
          <w:rFonts w:ascii="宋体" w:hAnsi="宋体" w:cs="宋体"/>
          <w:color w:val="auto"/>
          <w:sz w:val="24"/>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预付款保函联系方式</w:t>
      </w:r>
    </w:p>
    <w:tbl>
      <w:tblPr>
        <w:tblStyle w:val="38"/>
        <w:tblW w:w="93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249"/>
        <w:gridCol w:w="1092"/>
        <w:gridCol w:w="1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3202" w:type="dxa"/>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保险公司名称</w:t>
            </w:r>
          </w:p>
        </w:tc>
        <w:tc>
          <w:tcPr>
            <w:tcW w:w="3249" w:type="dxa"/>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保费率</w:t>
            </w:r>
          </w:p>
        </w:tc>
        <w:tc>
          <w:tcPr>
            <w:tcW w:w="1092" w:type="dxa"/>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p>
        </w:tc>
        <w:tc>
          <w:tcPr>
            <w:tcW w:w="1853" w:type="dxa"/>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02"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中国人寿财产保险股份有限公司台州中心支公司</w:t>
            </w:r>
          </w:p>
        </w:tc>
        <w:tc>
          <w:tcPr>
            <w:tcW w:w="3249"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年费率3%，最低保费500元</w:t>
            </w:r>
          </w:p>
        </w:tc>
        <w:tc>
          <w:tcPr>
            <w:tcW w:w="1092"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徐凌</w:t>
            </w:r>
          </w:p>
        </w:tc>
        <w:tc>
          <w:tcPr>
            <w:tcW w:w="1853"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13905168070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02"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阳光保险台州中心支公司</w:t>
            </w:r>
          </w:p>
        </w:tc>
        <w:tc>
          <w:tcPr>
            <w:tcW w:w="3249"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年费率1%，最低保费500元</w:t>
            </w:r>
          </w:p>
        </w:tc>
        <w:tc>
          <w:tcPr>
            <w:tcW w:w="1092"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林高明</w:t>
            </w:r>
          </w:p>
        </w:tc>
        <w:tc>
          <w:tcPr>
            <w:tcW w:w="1853"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15888682693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02"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天安财产保险股份有限公司台州中心支公司</w:t>
            </w:r>
          </w:p>
        </w:tc>
        <w:tc>
          <w:tcPr>
            <w:tcW w:w="3249"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年费率1%-2%，最低保费500元</w:t>
            </w:r>
          </w:p>
        </w:tc>
        <w:tc>
          <w:tcPr>
            <w:tcW w:w="1092"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罗赛</w:t>
            </w:r>
          </w:p>
        </w:tc>
        <w:tc>
          <w:tcPr>
            <w:tcW w:w="1853" w:type="dxa"/>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13736605643</w:t>
            </w:r>
          </w:p>
        </w:tc>
      </w:tr>
    </w:tbl>
    <w:p>
      <w:pPr>
        <w:snapToGrid w:val="0"/>
        <w:spacing w:line="360" w:lineRule="auto"/>
        <w:ind w:firstLine="482" w:firstLineChars="200"/>
        <w:rPr>
          <w:rFonts w:ascii="宋体" w:hAnsi="宋体" w:cs="宋体"/>
          <w:b/>
          <w:color w:val="auto"/>
          <w:sz w:val="24"/>
          <w:highlight w:val="none"/>
        </w:rPr>
      </w:pPr>
    </w:p>
    <w:p>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十一、其他：</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1、采购代理机构名称：台州市建设咨询有限公司</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联系人：张晓</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 xml:space="preserve">联系电话：0576-88517791 </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传真：0576-88517785</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地址：浙江省台州市市府大道465号市建设规划大楼二楼213室</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2、采购人名称：台州湾新区管理委员会</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采购单位联系人：林先生</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联系电话：0576-88517872</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地址：浙江省台州市市府大道465号</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3、同级政府采购监督管理部门名称：台州市财政局</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联系人：陈女士       </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监督投诉电话：0576-88206705、0576-88206731</w:t>
      </w:r>
    </w:p>
    <w:p>
      <w:pPr>
        <w:snapToGrid w:val="0"/>
        <w:spacing w:line="360" w:lineRule="auto"/>
        <w:ind w:firstLine="420"/>
        <w:rPr>
          <w:rFonts w:ascii="宋体" w:hAnsi="宋体" w:cs="宋体"/>
          <w:color w:val="auto"/>
          <w:sz w:val="24"/>
          <w:highlight w:val="none"/>
        </w:rPr>
      </w:pPr>
      <w:r>
        <w:rPr>
          <w:rFonts w:hint="eastAsia" w:ascii="宋体" w:hAnsi="宋体" w:cs="宋体"/>
          <w:color w:val="auto"/>
          <w:sz w:val="24"/>
          <w:highlight w:val="none"/>
        </w:rPr>
        <w:t>地址：台州经济开发区纬一路天元大厦</w:t>
      </w:r>
    </w:p>
    <w:p>
      <w:pPr>
        <w:snapToGrid w:val="0"/>
        <w:spacing w:line="360" w:lineRule="auto"/>
        <w:ind w:left="238"/>
        <w:jc w:val="center"/>
        <w:rPr>
          <w:rFonts w:ascii="宋体" w:hAnsi="宋体" w:cs="宋体"/>
          <w:color w:val="auto"/>
          <w:sz w:val="24"/>
          <w:highlight w:val="none"/>
        </w:rPr>
      </w:pPr>
    </w:p>
    <w:p>
      <w:pPr>
        <w:snapToGrid w:val="0"/>
        <w:spacing w:line="360" w:lineRule="auto"/>
        <w:ind w:left="238"/>
        <w:jc w:val="center"/>
        <w:rPr>
          <w:rFonts w:ascii="宋体" w:hAnsi="宋体" w:cs="宋体"/>
          <w:color w:val="auto"/>
          <w:sz w:val="24"/>
          <w:highlight w:val="none"/>
        </w:rPr>
      </w:pPr>
      <w:r>
        <w:rPr>
          <w:rFonts w:hint="eastAsia" w:ascii="宋体" w:hAnsi="宋体" w:cs="宋体"/>
          <w:color w:val="auto"/>
          <w:sz w:val="24"/>
          <w:highlight w:val="none"/>
        </w:rPr>
        <w:t xml:space="preserve">                                         台州市建设咨询有限公司</w:t>
      </w:r>
    </w:p>
    <w:p>
      <w:pPr>
        <w:snapToGrid w:val="0"/>
        <w:spacing w:line="360" w:lineRule="auto"/>
        <w:ind w:left="238" w:firstLine="4980" w:firstLineChars="2075"/>
        <w:jc w:val="center"/>
        <w:rPr>
          <w:rFonts w:ascii="宋体" w:hAnsi="宋体" w:cs="宋体"/>
          <w:color w:val="auto"/>
          <w:sz w:val="24"/>
          <w:highlight w:val="none"/>
        </w:rPr>
      </w:pPr>
      <w:r>
        <w:rPr>
          <w:rFonts w:hint="eastAsia" w:ascii="宋体" w:hAnsi="宋体" w:cs="宋体"/>
          <w:color w:val="auto"/>
          <w:sz w:val="24"/>
          <w:highlight w:val="none"/>
        </w:rPr>
        <w:t>2022年04月</w:t>
      </w:r>
    </w:p>
    <w:p>
      <w:pPr>
        <w:pStyle w:val="21"/>
        <w:tabs>
          <w:tab w:val="left" w:pos="1620"/>
        </w:tabs>
        <w:snapToGrid w:val="0"/>
        <w:spacing w:before="156" w:after="156" w:line="360" w:lineRule="auto"/>
        <w:jc w:val="center"/>
        <w:rPr>
          <w:rFonts w:hAnsi="宋体" w:cs="宋体"/>
          <w:color w:val="auto"/>
          <w:sz w:val="30"/>
          <w:szCs w:val="30"/>
          <w:highlight w:val="none"/>
        </w:rPr>
      </w:pPr>
      <w:r>
        <w:rPr>
          <w:rFonts w:hint="eastAsia" w:hAnsi="宋体" w:cs="宋体"/>
          <w:color w:val="auto"/>
          <w:sz w:val="30"/>
          <w:szCs w:val="30"/>
          <w:highlight w:val="none"/>
        </w:rPr>
        <w:br w:type="page"/>
      </w:r>
      <w:r>
        <w:rPr>
          <w:rFonts w:hint="eastAsia" w:hAnsi="宋体" w:cs="宋体"/>
          <w:color w:val="auto"/>
          <w:sz w:val="30"/>
          <w:szCs w:val="30"/>
          <w:highlight w:val="none"/>
        </w:rPr>
        <w:t xml:space="preserve">第二章  </w:t>
      </w:r>
      <w:r>
        <w:rPr>
          <w:rFonts w:hint="eastAsia" w:hAnsi="宋体" w:cs="宋体"/>
          <w:bCs/>
          <w:color w:val="auto"/>
          <w:sz w:val="30"/>
          <w:szCs w:val="30"/>
          <w:highlight w:val="none"/>
        </w:rPr>
        <w:t>招</w:t>
      </w:r>
      <w:r>
        <w:rPr>
          <w:rFonts w:hint="eastAsia" w:hAnsi="宋体" w:cs="宋体"/>
          <w:color w:val="auto"/>
          <w:sz w:val="30"/>
          <w:szCs w:val="30"/>
          <w:highlight w:val="none"/>
        </w:rPr>
        <w:t>标需求</w:t>
      </w:r>
    </w:p>
    <w:p>
      <w:pPr>
        <w:pStyle w:val="21"/>
        <w:snapToGrid w:val="0"/>
        <w:spacing w:beforeLines="0" w:afterLines="0" w:line="360" w:lineRule="auto"/>
        <w:ind w:firstLine="117" w:firstLineChars="49"/>
        <w:outlineLvl w:val="0"/>
        <w:rPr>
          <w:rFonts w:hAnsi="宋体" w:cs="宋体"/>
          <w:color w:val="auto"/>
          <w:highlight w:val="none"/>
        </w:rPr>
      </w:pPr>
      <w:r>
        <w:rPr>
          <w:rFonts w:hint="eastAsia" w:hAnsi="宋体" w:cs="宋体"/>
          <w:color w:val="auto"/>
          <w:highlight w:val="none"/>
        </w:rPr>
        <w:t>编号：台财采确临【2022】683号</w:t>
      </w:r>
    </w:p>
    <w:p>
      <w:pPr>
        <w:pStyle w:val="21"/>
        <w:snapToGrid w:val="0"/>
        <w:spacing w:beforeLines="0" w:afterLines="0" w:line="360" w:lineRule="auto"/>
        <w:ind w:firstLine="117" w:firstLineChars="49"/>
        <w:outlineLvl w:val="0"/>
        <w:rPr>
          <w:rFonts w:hAnsi="宋体" w:cs="宋体"/>
          <w:b/>
          <w:bCs/>
          <w:color w:val="auto"/>
          <w:highlight w:val="none"/>
        </w:rPr>
      </w:pPr>
      <w:r>
        <w:rPr>
          <w:rFonts w:hint="eastAsia" w:hAnsi="宋体" w:cs="宋体"/>
          <w:color w:val="auto"/>
          <w:highlight w:val="none"/>
        </w:rPr>
        <w:t>采购项目名称：</w:t>
      </w:r>
      <w:r>
        <w:rPr>
          <w:rFonts w:hint="eastAsia" w:hAnsi="宋体" w:cs="宋体"/>
          <w:b/>
          <w:bCs/>
          <w:color w:val="auto"/>
          <w:highlight w:val="none"/>
        </w:rPr>
        <w:t>城市地下市政基础设施普查</w:t>
      </w:r>
    </w:p>
    <w:p>
      <w:pPr>
        <w:keepNext/>
        <w:keepLines/>
        <w:spacing w:line="360" w:lineRule="auto"/>
        <w:outlineLvl w:val="1"/>
        <w:rPr>
          <w:rFonts w:ascii="宋体" w:hAnsi="宋体" w:cs="宋体"/>
          <w:color w:val="auto"/>
          <w:sz w:val="24"/>
          <w:highlight w:val="none"/>
        </w:rPr>
      </w:pPr>
      <w:r>
        <w:rPr>
          <w:rStyle w:val="115"/>
          <w:rFonts w:hint="eastAsia"/>
          <w:color w:val="auto"/>
          <w:sz w:val="24"/>
          <w:szCs w:val="24"/>
          <w:highlight w:val="none"/>
        </w:rPr>
        <w:t>一、项目概况</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为全面落实《浙江省加强城市地下市政基础设施建设实施方案的通知》（浙建城〔2021〕21 号）、《关于公布浙江省城市地下市政基础设施建设试点城市名单的通知》（浙建函〔2021〕19 号）和《浙江省城市地下市政基础设施普查实施方案》（浙自然资厅函〔2021〕431 ）文件要求，高标准、高质量、高效率完成我区地下市政基础设施普查任务。根据《台州湾新区（高新区）城市地下市政基础设施普查项目实施方案》开展普查工作。</w:t>
      </w:r>
    </w:p>
    <w:p>
      <w:pPr>
        <w:spacing w:line="360" w:lineRule="auto"/>
        <w:ind w:left="620" w:hanging="420"/>
        <w:outlineLvl w:val="1"/>
        <w:rPr>
          <w:rStyle w:val="115"/>
          <w:color w:val="auto"/>
          <w:sz w:val="24"/>
          <w:szCs w:val="24"/>
          <w:highlight w:val="none"/>
        </w:rPr>
      </w:pPr>
      <w:r>
        <w:rPr>
          <w:rStyle w:val="115"/>
          <w:rFonts w:hint="eastAsia"/>
          <w:color w:val="auto"/>
          <w:sz w:val="24"/>
          <w:szCs w:val="24"/>
          <w:highlight w:val="none"/>
        </w:rPr>
        <w:t>二、普查目标</w:t>
      </w:r>
    </w:p>
    <w:p>
      <w:pPr>
        <w:spacing w:line="360" w:lineRule="auto"/>
        <w:ind w:firstLine="561"/>
        <w:rPr>
          <w:rFonts w:ascii="宋体" w:hAnsi="宋体" w:cs="宋体"/>
          <w:color w:val="auto"/>
          <w:kern w:val="0"/>
          <w:sz w:val="24"/>
          <w:highlight w:val="none"/>
        </w:rPr>
      </w:pPr>
      <w:r>
        <w:rPr>
          <w:rFonts w:hint="eastAsia" w:ascii="宋体" w:hAnsi="宋体" w:cs="宋体"/>
          <w:color w:val="auto"/>
          <w:kern w:val="0"/>
          <w:sz w:val="24"/>
          <w:highlight w:val="none"/>
        </w:rPr>
        <w:t>查清</w:t>
      </w:r>
      <w:r>
        <w:rPr>
          <w:rFonts w:hint="eastAsia" w:ascii="宋体" w:hAnsi="宋体" w:cs="宋体"/>
          <w:color w:val="auto"/>
          <w:sz w:val="24"/>
          <w:highlight w:val="none"/>
        </w:rPr>
        <w:t>台州湾新区（高新区）</w:t>
      </w:r>
      <w:r>
        <w:rPr>
          <w:rFonts w:hint="eastAsia" w:ascii="宋体" w:hAnsi="宋体" w:cs="宋体"/>
          <w:color w:val="auto"/>
          <w:kern w:val="0"/>
          <w:sz w:val="24"/>
          <w:highlight w:val="none"/>
        </w:rPr>
        <w:t>地下管线及附属设施、地下公共停车场、人防工程、废弃工程等城市地下市政基础设施的种类、数量、位置、属性及分布情况，建成新区地下市政基础设施普查数据库；绘制城市地下市政基础设施“一张图”；建立城市地下市政基础设施数据的动态更新与监测机制，及时、准确地掌握城市地下市政基础设施现状及变化情况，为</w:t>
      </w:r>
      <w:r>
        <w:rPr>
          <w:rFonts w:hint="eastAsia" w:ascii="宋体" w:hAnsi="宋体" w:cs="宋体"/>
          <w:color w:val="auto"/>
          <w:sz w:val="24"/>
          <w:highlight w:val="none"/>
        </w:rPr>
        <w:t>新区</w:t>
      </w:r>
      <w:r>
        <w:rPr>
          <w:rFonts w:hint="eastAsia" w:ascii="宋体" w:hAnsi="宋体" w:cs="宋体"/>
          <w:color w:val="auto"/>
          <w:kern w:val="0"/>
          <w:sz w:val="24"/>
          <w:highlight w:val="none"/>
        </w:rPr>
        <w:t>空间规划、建设、管理、更新等提供智能化信息服务。</w:t>
      </w:r>
    </w:p>
    <w:p>
      <w:pPr>
        <w:spacing w:line="360" w:lineRule="auto"/>
        <w:ind w:left="620" w:hanging="420"/>
        <w:outlineLvl w:val="1"/>
        <w:rPr>
          <w:rFonts w:ascii="宋体" w:hAnsi="宋体" w:cs="宋体"/>
          <w:b/>
          <w:color w:val="auto"/>
          <w:w w:val="95"/>
          <w:kern w:val="0"/>
          <w:sz w:val="24"/>
          <w:highlight w:val="none"/>
        </w:rPr>
      </w:pPr>
      <w:bookmarkStart w:id="2" w:name="_Toc80198890"/>
      <w:bookmarkStart w:id="3" w:name="_Toc80715098"/>
      <w:bookmarkStart w:id="4" w:name="_Toc11055"/>
      <w:r>
        <w:rPr>
          <w:rFonts w:hint="eastAsia" w:ascii="宋体" w:hAnsi="宋体" w:cs="宋体"/>
          <w:b/>
          <w:color w:val="auto"/>
          <w:w w:val="95"/>
          <w:kern w:val="0"/>
          <w:sz w:val="24"/>
          <w:highlight w:val="none"/>
        </w:rPr>
        <w:t>三、普查依据</w:t>
      </w:r>
      <w:bookmarkEnd w:id="2"/>
      <w:bookmarkEnd w:id="3"/>
      <w:bookmarkEnd w:id="4"/>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《浙江省测绘地理信息条例》（浙江省第十三届人民代表大会常务委员会公告第 10 号）；</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《住房和城乡建设部关于加强城市地下市政基础设施建设的指导意见》（建城〔2020〕111 号）；</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《城市市政基础设施普查和综合管理信息平台建设工作指导手册》（建办城函〔2021〕208 号）；</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《关于印发浙江省加强城市地下市政基础设施建设实施方案的通知》（浙建城〔2021〕21 号)；</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《浙江省城市地下市政基础设施普查实施方案》（浙自然资厅函〔2021〕431 ）；</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《城市地下空间测绘规范》GB/T 35636-2017；</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《卫星导航定位基准站网络实时动态测量（RTK）规范》GB/T 39616-2020；</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《国家基本比例尺地图图式 第 1 部分：1∶500 1∶1 000 1∶2 000 地形图图式》 GB/T 20257.1-2017；</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《工程测量标准》GB 50026-2020；</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《数字测绘成果质量检查与验收》 GB/T 18316-2008；</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《测绘成果质量检查与验收》GB/T 24356-2009；</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《人民防空地下室设计规范》GB 50038-2005；</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《人民防空工程设计规范》GB 50225-2005；</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《城市综合管廊工程技术规范》GB 50838-2015；</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《城市停车规划规范》GB/T 51149-2016；</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《城市测量规范》CJJ/T 8-2011；</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《城市地下管线探测技术规程》CJJ 61-2017；</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《卫星定位城市测量技术标准》CJJ/T 73-2019；</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《城市地下道路工程设计规范》CJJ/T 221-2015；</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《管线要素分类代码与符号表达》CH/T 1036-2015；</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《管线测绘技术规程》CH/T 6002-2015；</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《管线测绘工程监理规程》CH/T 6009-2019；</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《基础地理信息要素分类与图形表达代码》DB33/T 817-2010；</w:t>
      </w:r>
    </w:p>
    <w:p>
      <w:pPr>
        <w:numPr>
          <w:ilvl w:val="0"/>
          <w:numId w:val="2"/>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《建筑工程建筑面积计算和竣工综合测量技术规程》DB33/T 1152-2018。</w:t>
      </w:r>
    </w:p>
    <w:p>
      <w:pPr>
        <w:spacing w:line="360" w:lineRule="auto"/>
        <w:outlineLvl w:val="1"/>
        <w:rPr>
          <w:rFonts w:ascii="宋体" w:hAnsi="宋体" w:cs="宋体"/>
          <w:b/>
          <w:color w:val="auto"/>
          <w:w w:val="95"/>
          <w:kern w:val="0"/>
          <w:sz w:val="24"/>
          <w:highlight w:val="none"/>
        </w:rPr>
      </w:pPr>
      <w:bookmarkStart w:id="5" w:name="_Toc3956"/>
      <w:bookmarkStart w:id="6" w:name="_Toc80715099"/>
      <w:bookmarkStart w:id="7" w:name="_Toc80198891"/>
      <w:r>
        <w:rPr>
          <w:rFonts w:hint="eastAsia" w:ascii="宋体" w:hAnsi="宋体" w:cs="宋体"/>
          <w:b/>
          <w:color w:val="auto"/>
          <w:w w:val="95"/>
          <w:kern w:val="0"/>
          <w:sz w:val="24"/>
          <w:highlight w:val="none"/>
        </w:rPr>
        <w:t>四、普查范围、对象和内容</w:t>
      </w:r>
      <w:bookmarkEnd w:id="5"/>
      <w:bookmarkEnd w:id="6"/>
      <w:bookmarkEnd w:id="7"/>
    </w:p>
    <w:p>
      <w:pPr>
        <w:spacing w:line="360" w:lineRule="auto"/>
        <w:ind w:firstLine="482" w:firstLineChars="200"/>
        <w:jc w:val="left"/>
        <w:outlineLvl w:val="2"/>
        <w:rPr>
          <w:rFonts w:ascii="宋体" w:hAnsi="宋体" w:cs="宋体"/>
          <w:b/>
          <w:color w:val="auto"/>
          <w:sz w:val="24"/>
          <w:highlight w:val="none"/>
        </w:rPr>
      </w:pPr>
      <w:bookmarkStart w:id="8" w:name="_Toc80715100"/>
      <w:bookmarkStart w:id="9" w:name="_Toc328"/>
      <w:bookmarkStart w:id="10" w:name="_Toc80198892"/>
      <w:r>
        <w:rPr>
          <w:rFonts w:hint="eastAsia" w:ascii="宋体" w:hAnsi="宋体" w:cs="宋体"/>
          <w:b/>
          <w:color w:val="auto"/>
          <w:sz w:val="24"/>
          <w:highlight w:val="none"/>
        </w:rPr>
        <w:t>（一）普查范围</w:t>
      </w:r>
      <w:bookmarkEnd w:id="8"/>
      <w:bookmarkEnd w:id="9"/>
      <w:bookmarkEnd w:id="10"/>
    </w:p>
    <w:p>
      <w:pPr>
        <w:spacing w:line="360" w:lineRule="auto"/>
        <w:ind w:firstLine="561"/>
        <w:rPr>
          <w:rFonts w:ascii="宋体" w:hAnsi="宋体" w:cs="宋体"/>
          <w:color w:val="auto"/>
          <w:kern w:val="0"/>
          <w:sz w:val="24"/>
          <w:highlight w:val="none"/>
        </w:rPr>
      </w:pPr>
      <w:r>
        <w:rPr>
          <w:rFonts w:hint="eastAsia" w:ascii="宋体" w:hAnsi="宋体" w:cs="宋体"/>
          <w:color w:val="auto"/>
          <w:kern w:val="0"/>
          <w:sz w:val="24"/>
          <w:highlight w:val="none"/>
        </w:rPr>
        <w:t>如下图所示：本次普查范围区块1面积约6.5平方千米，区块2面积约21平方千米。区块内的快速路、主干路、次干路、支路、通道等市政道路及街巷和公园、广场等其他公共区域、以及跨县级以上行政区域铺设的主干管线。</w:t>
      </w:r>
    </w:p>
    <w:p>
      <w:pPr>
        <w:spacing w:after="120" w:line="360" w:lineRule="auto"/>
        <w:ind w:right="406" w:rightChars="145" w:firstLine="280" w:firstLineChars="100"/>
        <w:jc w:val="center"/>
        <w:rPr>
          <w:rFonts w:ascii="宋体" w:hAnsi="宋体" w:cs="宋体"/>
          <w:color w:val="auto"/>
          <w:sz w:val="24"/>
          <w:highlight w:val="none"/>
        </w:rPr>
      </w:pPr>
      <w:r>
        <w:rPr>
          <w:color w:val="auto"/>
          <w:highlight w:val="none"/>
        </w:rPr>
        <w:drawing>
          <wp:inline distT="0" distB="0" distL="114300" distR="114300">
            <wp:extent cx="5253355" cy="3717925"/>
            <wp:effectExtent l="0" t="0" r="444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53355" cy="3717925"/>
                    </a:xfrm>
                    <a:prstGeom prst="rect">
                      <a:avLst/>
                    </a:prstGeom>
                    <a:noFill/>
                    <a:ln>
                      <a:noFill/>
                    </a:ln>
                  </pic:spPr>
                </pic:pic>
              </a:graphicData>
            </a:graphic>
          </wp:inline>
        </w:drawing>
      </w:r>
    </w:p>
    <w:p>
      <w:pPr>
        <w:jc w:val="center"/>
        <w:rPr>
          <w:rFonts w:ascii="宋体" w:hAnsi="宋体" w:cs="宋体"/>
          <w:color w:val="auto"/>
          <w:sz w:val="36"/>
          <w:szCs w:val="36"/>
          <w:highlight w:val="none"/>
        </w:rPr>
      </w:pPr>
      <w:r>
        <w:rPr>
          <w:rFonts w:hint="eastAsia" w:ascii="宋体" w:hAnsi="宋体" w:cs="宋体"/>
          <w:color w:val="auto"/>
          <w:sz w:val="36"/>
          <w:szCs w:val="36"/>
          <w:highlight w:val="none"/>
        </w:rPr>
        <w:t>普查边界主要拐点坐标表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828"/>
        <w:gridCol w:w="1580"/>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704"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数据说明</w:t>
            </w:r>
          </w:p>
        </w:tc>
        <w:tc>
          <w:tcPr>
            <w:tcW w:w="6818" w:type="dxa"/>
            <w:gridSpan w:val="4"/>
            <w:vAlign w:val="center"/>
          </w:tcPr>
          <w:p>
            <w:pPr>
              <w:jc w:val="center"/>
              <w:rPr>
                <w:rFonts w:ascii="宋体" w:hAnsi="宋体" w:cs="宋体"/>
                <w:color w:val="auto"/>
                <w:sz w:val="24"/>
                <w:highlight w:val="none"/>
              </w:rPr>
            </w:pPr>
            <w:r>
              <w:rPr>
                <w:rFonts w:hint="eastAsia" w:ascii="宋体" w:hAnsi="宋体" w:cs="宋体"/>
                <w:color w:val="auto"/>
                <w:sz w:val="24"/>
                <w:highlight w:val="none"/>
              </w:rPr>
              <w:t>台州2</w:t>
            </w:r>
            <w:r>
              <w:rPr>
                <w:rFonts w:ascii="宋体" w:hAnsi="宋体" w:cs="宋体"/>
                <w:color w:val="auto"/>
                <w:sz w:val="24"/>
                <w:highlight w:val="none"/>
              </w:rPr>
              <w:t>000</w:t>
            </w:r>
            <w:r>
              <w:rPr>
                <w:rFonts w:hint="eastAsia" w:ascii="宋体" w:hAnsi="宋体" w:cs="宋体"/>
                <w:color w:val="auto"/>
                <w:sz w:val="24"/>
                <w:highlight w:val="none"/>
              </w:rPr>
              <w:t>坐标系，中央子午线121°21′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704"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区块名称</w:t>
            </w:r>
          </w:p>
        </w:tc>
        <w:tc>
          <w:tcPr>
            <w:tcW w:w="1828" w:type="dxa"/>
            <w:vAlign w:val="center"/>
          </w:tcPr>
          <w:p>
            <w:pPr>
              <w:spacing w:line="300" w:lineRule="exact"/>
              <w:jc w:val="center"/>
              <w:rPr>
                <w:rFonts w:ascii="宋体" w:hAnsi="宋体" w:cs="宋体"/>
                <w:color w:val="auto"/>
                <w:sz w:val="24"/>
                <w:highlight w:val="none"/>
              </w:rPr>
            </w:pPr>
            <w:r>
              <w:rPr>
                <w:rFonts w:hint="eastAsia" w:ascii="宋体" w:hAnsi="宋体" w:cs="宋体"/>
                <w:color w:val="auto"/>
                <w:sz w:val="24"/>
                <w:highlight w:val="none"/>
              </w:rPr>
              <w:t>区块面积</w:t>
            </w:r>
          </w:p>
          <w:p>
            <w:pPr>
              <w:spacing w:line="300" w:lineRule="exact"/>
              <w:jc w:val="center"/>
              <w:rPr>
                <w:rFonts w:ascii="宋体" w:hAnsi="宋体" w:cs="宋体"/>
                <w:color w:val="auto"/>
                <w:sz w:val="24"/>
                <w:highlight w:val="none"/>
              </w:rPr>
            </w:pPr>
            <w:r>
              <w:rPr>
                <w:rFonts w:hint="eastAsia" w:ascii="宋体" w:hAnsi="宋体" w:cs="宋体"/>
                <w:color w:val="auto"/>
                <w:sz w:val="24"/>
                <w:highlight w:val="none"/>
              </w:rPr>
              <w:t>（单位：K㎡）</w:t>
            </w: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拐点编号</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纵坐标（X）</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横坐标（Y）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pPr>
              <w:jc w:val="center"/>
              <w:rPr>
                <w:rFonts w:ascii="宋体" w:hAnsi="宋体" w:cs="宋体"/>
                <w:color w:val="auto"/>
                <w:sz w:val="24"/>
                <w:highlight w:val="none"/>
              </w:rPr>
            </w:pPr>
            <w:r>
              <w:rPr>
                <w:rFonts w:hint="eastAsia" w:ascii="宋体" w:hAnsi="宋体" w:cs="宋体"/>
                <w:color w:val="auto"/>
                <w:sz w:val="24"/>
                <w:highlight w:val="none"/>
              </w:rPr>
              <w:t>范围区块1</w:t>
            </w:r>
          </w:p>
        </w:tc>
        <w:tc>
          <w:tcPr>
            <w:tcW w:w="1828" w:type="dxa"/>
            <w:vMerge w:val="restart"/>
            <w:vAlign w:val="center"/>
          </w:tcPr>
          <w:p>
            <w:pPr>
              <w:jc w:val="center"/>
              <w:rPr>
                <w:rFonts w:ascii="宋体" w:hAnsi="宋体" w:cs="宋体"/>
                <w:color w:val="auto"/>
                <w:sz w:val="24"/>
                <w:highlight w:val="none"/>
              </w:rPr>
            </w:pPr>
            <w:r>
              <w:rPr>
                <w:rFonts w:hint="eastAsia" w:ascii="宋体" w:hAnsi="宋体" w:cs="宋体"/>
                <w:color w:val="auto"/>
                <w:sz w:val="24"/>
                <w:highlight w:val="none"/>
              </w:rPr>
              <w:t>6.5</w:t>
            </w: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3171000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507600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jc w:val="center"/>
              <w:rPr>
                <w:rFonts w:ascii="宋体" w:hAnsi="宋体" w:cs="宋体"/>
                <w:color w:val="auto"/>
                <w:sz w:val="24"/>
                <w:highlight w:val="none"/>
              </w:rPr>
            </w:pPr>
          </w:p>
        </w:tc>
        <w:tc>
          <w:tcPr>
            <w:tcW w:w="1828" w:type="dxa"/>
            <w:vMerge w:val="continue"/>
            <w:vAlign w:val="center"/>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J2</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3170620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510150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jc w:val="center"/>
              <w:rPr>
                <w:rFonts w:ascii="宋体" w:hAnsi="宋体" w:cs="宋体"/>
                <w:color w:val="auto"/>
                <w:sz w:val="24"/>
                <w:highlight w:val="none"/>
              </w:rPr>
            </w:pPr>
          </w:p>
        </w:tc>
        <w:tc>
          <w:tcPr>
            <w:tcW w:w="1828" w:type="dxa"/>
            <w:vMerge w:val="continue"/>
            <w:vAlign w:val="center"/>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J3</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3169920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510030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jc w:val="center"/>
              <w:rPr>
                <w:rFonts w:ascii="宋体" w:hAnsi="宋体" w:cs="宋体"/>
                <w:color w:val="auto"/>
                <w:sz w:val="24"/>
                <w:highlight w:val="none"/>
              </w:rPr>
            </w:pPr>
          </w:p>
        </w:tc>
        <w:tc>
          <w:tcPr>
            <w:tcW w:w="1828" w:type="dxa"/>
            <w:vMerge w:val="continue"/>
            <w:vAlign w:val="center"/>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J4</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3168770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510100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jc w:val="center"/>
              <w:rPr>
                <w:rFonts w:ascii="宋体" w:hAnsi="宋体" w:cs="宋体"/>
                <w:color w:val="auto"/>
                <w:sz w:val="24"/>
                <w:highlight w:val="none"/>
              </w:rPr>
            </w:pPr>
          </w:p>
        </w:tc>
        <w:tc>
          <w:tcPr>
            <w:tcW w:w="1828" w:type="dxa"/>
            <w:vMerge w:val="continue"/>
            <w:vAlign w:val="center"/>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J5</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3169120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508020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jc w:val="center"/>
              <w:rPr>
                <w:rFonts w:ascii="宋体" w:hAnsi="宋体" w:cs="宋体"/>
                <w:color w:val="auto"/>
                <w:sz w:val="24"/>
                <w:highlight w:val="none"/>
              </w:rPr>
            </w:pPr>
          </w:p>
        </w:tc>
        <w:tc>
          <w:tcPr>
            <w:tcW w:w="1828" w:type="dxa"/>
            <w:vMerge w:val="continue"/>
            <w:vAlign w:val="center"/>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J6</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3168280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507890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jc w:val="center"/>
              <w:rPr>
                <w:rFonts w:ascii="宋体" w:hAnsi="宋体" w:cs="宋体"/>
                <w:color w:val="auto"/>
                <w:sz w:val="24"/>
                <w:highlight w:val="none"/>
              </w:rPr>
            </w:pPr>
          </w:p>
        </w:tc>
        <w:tc>
          <w:tcPr>
            <w:tcW w:w="1828" w:type="dxa"/>
            <w:vMerge w:val="continue"/>
            <w:vAlign w:val="center"/>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J7</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3168530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506640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pPr>
              <w:jc w:val="center"/>
              <w:rPr>
                <w:rFonts w:ascii="宋体" w:hAnsi="宋体" w:cs="宋体"/>
                <w:color w:val="auto"/>
                <w:sz w:val="24"/>
                <w:highlight w:val="none"/>
              </w:rPr>
            </w:pPr>
            <w:r>
              <w:rPr>
                <w:rFonts w:hint="eastAsia" w:ascii="宋体" w:hAnsi="宋体" w:cs="宋体"/>
                <w:color w:val="auto"/>
                <w:sz w:val="24"/>
                <w:highlight w:val="none"/>
              </w:rPr>
              <w:t>范围区块2</w:t>
            </w:r>
          </w:p>
        </w:tc>
        <w:tc>
          <w:tcPr>
            <w:tcW w:w="1828" w:type="dxa"/>
            <w:vMerge w:val="restart"/>
            <w:vAlign w:val="center"/>
          </w:tcPr>
          <w:p>
            <w:pPr>
              <w:jc w:val="center"/>
              <w:rPr>
                <w:rFonts w:ascii="宋体" w:hAnsi="宋体" w:cs="宋体"/>
                <w:color w:val="auto"/>
                <w:sz w:val="24"/>
                <w:highlight w:val="none"/>
              </w:rPr>
            </w:pPr>
            <w:r>
              <w:rPr>
                <w:rFonts w:hint="eastAsia" w:ascii="宋体" w:hAnsi="宋体" w:cs="宋体"/>
                <w:color w:val="auto"/>
                <w:sz w:val="24"/>
                <w:highlight w:val="none"/>
              </w:rPr>
              <w:t>21</w:t>
            </w: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3166680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515160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J2</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3166990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517860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J3</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3164010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518500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J4</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3164150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519580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J5</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3162000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520280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J6</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3161660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519280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J7</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3161200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519450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J8</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3161200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520330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J9</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3159760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521120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3159140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521770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J11</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3157900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520220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J12</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3158140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520030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J13</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3160360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519300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J14</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3162270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518230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J15</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3162000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517680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J16</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3162320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517520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J17</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3161970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516340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J18</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3163510</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515820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tcPr>
          <w:p>
            <w:pPr>
              <w:jc w:val="center"/>
              <w:rPr>
                <w:rFonts w:ascii="宋体" w:hAnsi="宋体" w:cs="宋体"/>
                <w:color w:val="auto"/>
                <w:sz w:val="24"/>
                <w:highlight w:val="none"/>
              </w:rPr>
            </w:pPr>
          </w:p>
        </w:tc>
        <w:tc>
          <w:tcPr>
            <w:tcW w:w="1828" w:type="dxa"/>
            <w:vMerge w:val="continue"/>
          </w:tcPr>
          <w:p>
            <w:pPr>
              <w:jc w:val="center"/>
              <w:rPr>
                <w:rFonts w:ascii="宋体" w:hAnsi="宋体" w:cs="宋体"/>
                <w:color w:val="auto"/>
                <w:sz w:val="24"/>
                <w:highlight w:val="none"/>
              </w:rPr>
            </w:pPr>
          </w:p>
        </w:tc>
        <w:tc>
          <w:tcPr>
            <w:tcW w:w="158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J19</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 xml:space="preserve">3163470 </w:t>
            </w:r>
          </w:p>
        </w:tc>
        <w:tc>
          <w:tcPr>
            <w:tcW w:w="170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515680</w:t>
            </w:r>
          </w:p>
        </w:tc>
      </w:tr>
    </w:tbl>
    <w:p>
      <w:pPr>
        <w:jc w:val="center"/>
        <w:rPr>
          <w:rFonts w:ascii="宋体" w:hAnsi="宋体" w:cs="宋体"/>
          <w:color w:val="auto"/>
          <w:sz w:val="36"/>
          <w:szCs w:val="36"/>
          <w:highlight w:val="none"/>
        </w:rPr>
      </w:pPr>
    </w:p>
    <w:p>
      <w:pPr>
        <w:pStyle w:val="10"/>
        <w:rPr>
          <w:color w:val="auto"/>
          <w:highlight w:val="none"/>
        </w:rPr>
      </w:pPr>
    </w:p>
    <w:p>
      <w:pPr>
        <w:spacing w:line="360" w:lineRule="auto"/>
        <w:ind w:firstLine="482" w:firstLineChars="200"/>
        <w:jc w:val="left"/>
        <w:outlineLvl w:val="2"/>
        <w:rPr>
          <w:rFonts w:ascii="宋体" w:hAnsi="宋体" w:cs="宋体"/>
          <w:b/>
          <w:color w:val="auto"/>
          <w:sz w:val="24"/>
          <w:highlight w:val="none"/>
        </w:rPr>
      </w:pPr>
      <w:bookmarkStart w:id="11" w:name="_Toc11155"/>
      <w:bookmarkStart w:id="12" w:name="_Toc80715101"/>
      <w:bookmarkStart w:id="13" w:name="_Toc80198893"/>
      <w:r>
        <w:rPr>
          <w:rFonts w:hint="eastAsia" w:ascii="宋体" w:hAnsi="宋体" w:cs="宋体"/>
          <w:b/>
          <w:color w:val="auto"/>
          <w:sz w:val="24"/>
          <w:highlight w:val="none"/>
        </w:rPr>
        <w:t>（二）普查对象</w:t>
      </w:r>
      <w:bookmarkEnd w:id="11"/>
      <w:bookmarkEnd w:id="12"/>
      <w:bookmarkEnd w:id="13"/>
    </w:p>
    <w:p>
      <w:pPr>
        <w:spacing w:line="360" w:lineRule="auto"/>
        <w:ind w:firstLine="561"/>
        <w:rPr>
          <w:rFonts w:ascii="宋体" w:hAnsi="宋体" w:cs="宋体"/>
          <w:color w:val="auto"/>
          <w:kern w:val="0"/>
          <w:sz w:val="24"/>
          <w:highlight w:val="none"/>
        </w:rPr>
      </w:pPr>
      <w:r>
        <w:rPr>
          <w:rFonts w:hint="eastAsia" w:ascii="宋体" w:hAnsi="宋体" w:cs="宋体"/>
          <w:color w:val="auto"/>
          <w:kern w:val="0"/>
          <w:sz w:val="24"/>
          <w:highlight w:val="none"/>
        </w:rPr>
        <w:t>本次普查对象主要包括普查区内地下管线及附属设施（窨井盖等）、地下通道、地下公共停车场、人防工程、废弃工程及城镇污水与生活垃圾处理设施等；以及穿越普查区或在普查区外的地下主干管线（输电、通信、输油、输气、供水），地上地下一体化普查，以保持其联通性和连续性。</w:t>
      </w:r>
    </w:p>
    <w:p>
      <w:pPr>
        <w:spacing w:line="360" w:lineRule="auto"/>
        <w:ind w:firstLine="480" w:firstLineChars="200"/>
        <w:rPr>
          <w:rFonts w:ascii="宋体" w:hAnsi="宋体" w:cs="宋体"/>
          <w:color w:val="auto"/>
          <w:kern w:val="0"/>
          <w:sz w:val="24"/>
          <w:highlight w:val="none"/>
        </w:rPr>
      </w:pPr>
      <w:bookmarkStart w:id="14" w:name="_Toc80715102"/>
      <w:r>
        <w:rPr>
          <w:rFonts w:hint="eastAsia" w:ascii="宋体" w:hAnsi="宋体" w:cs="宋体"/>
          <w:color w:val="auto"/>
          <w:kern w:val="0"/>
          <w:sz w:val="24"/>
          <w:highlight w:val="none"/>
        </w:rPr>
        <w:t>1、地下管线及附属设施</w:t>
      </w:r>
      <w:bookmarkEnd w:id="14"/>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地下管线种类主要包括给水、排水、燃气、热力、电力、通信、工业等，以及铁路等系统的专用管线及其附属设施。</w:t>
      </w:r>
    </w:p>
    <w:p>
      <w:pPr>
        <w:spacing w:line="360" w:lineRule="auto"/>
        <w:ind w:firstLine="480" w:firstLineChars="200"/>
        <w:rPr>
          <w:rFonts w:ascii="宋体" w:hAnsi="宋体" w:cs="宋体"/>
          <w:color w:val="auto"/>
          <w:kern w:val="0"/>
          <w:sz w:val="24"/>
          <w:highlight w:val="none"/>
        </w:rPr>
      </w:pPr>
      <w:bookmarkStart w:id="15" w:name="_Toc80715103"/>
      <w:r>
        <w:rPr>
          <w:rFonts w:hint="eastAsia" w:ascii="宋体" w:hAnsi="宋体" w:cs="宋体"/>
          <w:color w:val="auto"/>
          <w:kern w:val="0"/>
          <w:sz w:val="24"/>
          <w:highlight w:val="none"/>
        </w:rPr>
        <w:t>2、地下通道</w:t>
      </w:r>
      <w:bookmarkEnd w:id="15"/>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地下通道主要包括地下人行通道、地下行车通道、地铁、地下铁路等。</w:t>
      </w:r>
    </w:p>
    <w:p>
      <w:pPr>
        <w:spacing w:line="360" w:lineRule="auto"/>
        <w:ind w:firstLine="480" w:firstLineChars="200"/>
        <w:rPr>
          <w:rFonts w:ascii="宋体" w:hAnsi="宋体" w:cs="宋体"/>
          <w:color w:val="auto"/>
          <w:kern w:val="0"/>
          <w:sz w:val="24"/>
          <w:highlight w:val="none"/>
        </w:rPr>
      </w:pPr>
      <w:bookmarkStart w:id="16" w:name="_Toc80715104"/>
      <w:r>
        <w:rPr>
          <w:rFonts w:hint="eastAsia" w:ascii="宋体" w:hAnsi="宋体" w:cs="宋体"/>
          <w:color w:val="auto"/>
          <w:kern w:val="0"/>
          <w:sz w:val="24"/>
          <w:highlight w:val="none"/>
        </w:rPr>
        <w:t>3、地下公共停车场</w:t>
      </w:r>
      <w:bookmarkEnd w:id="16"/>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地下公共停车场主要包括独立占地的面向公众服务的地下停车场和由建筑物代建的不独立占地的面向公众服务的地下停车场。</w:t>
      </w:r>
    </w:p>
    <w:p>
      <w:pPr>
        <w:spacing w:line="360" w:lineRule="auto"/>
        <w:ind w:firstLine="480" w:firstLineChars="200"/>
        <w:rPr>
          <w:rFonts w:ascii="宋体" w:hAnsi="宋体" w:cs="宋体"/>
          <w:color w:val="auto"/>
          <w:kern w:val="0"/>
          <w:sz w:val="24"/>
          <w:highlight w:val="none"/>
        </w:rPr>
      </w:pPr>
      <w:bookmarkStart w:id="17" w:name="_Toc80715105"/>
      <w:r>
        <w:rPr>
          <w:rFonts w:hint="eastAsia" w:ascii="宋体" w:hAnsi="宋体" w:cs="宋体"/>
          <w:color w:val="auto"/>
          <w:kern w:val="0"/>
          <w:sz w:val="24"/>
          <w:highlight w:val="none"/>
        </w:rPr>
        <w:t>4、人防工程</w:t>
      </w:r>
      <w:bookmarkEnd w:id="17"/>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人防工程（含早期人防工程）主要包括为保障战时人员与物质掩蔽、医疗救护等需要而单独修建的地下防护建筑，以及结合地面建筑修建的战时可用于防空的地下室。</w:t>
      </w:r>
    </w:p>
    <w:p>
      <w:pPr>
        <w:spacing w:line="360" w:lineRule="auto"/>
        <w:ind w:firstLine="480" w:firstLineChars="200"/>
        <w:rPr>
          <w:rFonts w:ascii="宋体" w:hAnsi="宋体" w:cs="宋体"/>
          <w:color w:val="auto"/>
          <w:kern w:val="0"/>
          <w:sz w:val="24"/>
          <w:highlight w:val="none"/>
        </w:rPr>
      </w:pPr>
      <w:bookmarkStart w:id="18" w:name="_Toc80715106"/>
      <w:r>
        <w:rPr>
          <w:rFonts w:hint="eastAsia" w:ascii="宋体" w:hAnsi="宋体" w:cs="宋体"/>
          <w:color w:val="auto"/>
          <w:kern w:val="0"/>
          <w:sz w:val="24"/>
          <w:highlight w:val="none"/>
        </w:rPr>
        <w:t>5、废弃工程</w:t>
      </w:r>
      <w:bookmarkEnd w:id="18"/>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废弃工程主要包括无法修复利用的地下市政基础设施，如废弃地下管线、废弃地下通道、废弃人防工程等。各权属单位未上报有废弃工程，需在普查过程中深入调查确认。</w:t>
      </w:r>
    </w:p>
    <w:p>
      <w:pPr>
        <w:spacing w:line="360" w:lineRule="auto"/>
        <w:ind w:firstLine="480" w:firstLineChars="200"/>
        <w:rPr>
          <w:rFonts w:ascii="宋体" w:hAnsi="宋体" w:cs="宋体"/>
          <w:color w:val="auto"/>
          <w:kern w:val="0"/>
          <w:sz w:val="24"/>
          <w:highlight w:val="none"/>
        </w:rPr>
      </w:pPr>
      <w:bookmarkStart w:id="19" w:name="_Toc80715107"/>
      <w:r>
        <w:rPr>
          <w:rFonts w:hint="eastAsia" w:ascii="宋体" w:hAnsi="宋体" w:cs="宋体"/>
          <w:color w:val="auto"/>
          <w:kern w:val="0"/>
          <w:sz w:val="24"/>
          <w:highlight w:val="none"/>
        </w:rPr>
        <w:t>6、地下城镇污水与生活垃圾处理设施</w:t>
      </w:r>
      <w:bookmarkEnd w:id="19"/>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地下城镇污水处理设施是指位于地面以下天然形成的或人工挖掘的相对封闭的用于处理污水的设施；地下城镇生活垃圾处理设施是指位于地面以下天然形成的或人工挖掘的相对封闭的用于处理生活垃圾的设施。</w:t>
      </w:r>
    </w:p>
    <w:p>
      <w:pPr>
        <w:spacing w:line="360" w:lineRule="auto"/>
        <w:ind w:firstLine="482" w:firstLineChars="200"/>
        <w:outlineLvl w:val="2"/>
        <w:rPr>
          <w:rFonts w:ascii="宋体" w:hAnsi="宋体" w:cs="宋体"/>
          <w:b/>
          <w:color w:val="auto"/>
          <w:sz w:val="24"/>
          <w:highlight w:val="none"/>
        </w:rPr>
      </w:pPr>
      <w:bookmarkStart w:id="20" w:name="_Toc80198894"/>
      <w:bookmarkStart w:id="21" w:name="_Toc80715108"/>
      <w:bookmarkStart w:id="22" w:name="_Toc23119"/>
      <w:r>
        <w:rPr>
          <w:rFonts w:hint="eastAsia" w:ascii="宋体" w:hAnsi="宋体" w:cs="宋体"/>
          <w:b/>
          <w:color w:val="auto"/>
          <w:sz w:val="24"/>
          <w:highlight w:val="none"/>
        </w:rPr>
        <w:t>（三）普查内容</w:t>
      </w:r>
      <w:bookmarkEnd w:id="20"/>
      <w:bookmarkEnd w:id="21"/>
      <w:bookmarkEnd w:id="22"/>
    </w:p>
    <w:p>
      <w:pPr>
        <w:spacing w:line="360" w:lineRule="auto"/>
        <w:ind w:firstLine="560"/>
        <w:rPr>
          <w:rFonts w:ascii="宋体" w:hAnsi="宋体" w:cs="宋体"/>
          <w:color w:val="auto"/>
          <w:kern w:val="0"/>
          <w:sz w:val="24"/>
          <w:highlight w:val="none"/>
        </w:rPr>
      </w:pPr>
      <w:r>
        <w:rPr>
          <w:rFonts w:hint="eastAsia" w:ascii="宋体" w:hAnsi="宋体" w:cs="宋体"/>
          <w:color w:val="auto"/>
          <w:kern w:val="0"/>
          <w:sz w:val="24"/>
          <w:highlight w:val="none"/>
        </w:rPr>
        <w:t>本次普查的主要内容是普查区范围地下市政基础设施的空间信息、管理信息和技术信息，包括设施位置、结构外轮廓特征、几何形状等空间信息；设施名称、主管部门、运营（权属）单位、建设年代等管理信息；以及设施的敷设方式、覆土深度、施工方式等技术信息。</w:t>
      </w:r>
    </w:p>
    <w:p>
      <w:pPr>
        <w:spacing w:line="360" w:lineRule="auto"/>
        <w:outlineLvl w:val="1"/>
        <w:rPr>
          <w:rFonts w:ascii="宋体" w:hAnsi="宋体" w:cs="宋体"/>
          <w:b/>
          <w:color w:val="auto"/>
          <w:w w:val="95"/>
          <w:kern w:val="0"/>
          <w:sz w:val="24"/>
          <w:highlight w:val="none"/>
        </w:rPr>
      </w:pPr>
      <w:bookmarkStart w:id="23" w:name="_Toc32373"/>
      <w:bookmarkStart w:id="24" w:name="_Toc80715109"/>
      <w:bookmarkStart w:id="25" w:name="_Toc80198895"/>
      <w:r>
        <w:rPr>
          <w:rFonts w:hint="eastAsia" w:ascii="宋体" w:hAnsi="宋体" w:cs="宋体"/>
          <w:b/>
          <w:color w:val="auto"/>
          <w:w w:val="95"/>
          <w:kern w:val="0"/>
          <w:sz w:val="24"/>
          <w:highlight w:val="none"/>
        </w:rPr>
        <w:t>五、技术要求</w:t>
      </w:r>
      <w:bookmarkEnd w:id="23"/>
      <w:bookmarkEnd w:id="24"/>
      <w:bookmarkEnd w:id="25"/>
    </w:p>
    <w:p>
      <w:pPr>
        <w:spacing w:line="360" w:lineRule="auto"/>
        <w:jc w:val="left"/>
        <w:outlineLvl w:val="2"/>
        <w:rPr>
          <w:rFonts w:ascii="宋体" w:hAnsi="宋体" w:cs="宋体"/>
          <w:b/>
          <w:color w:val="auto"/>
          <w:sz w:val="24"/>
          <w:highlight w:val="none"/>
        </w:rPr>
      </w:pPr>
      <w:bookmarkStart w:id="26" w:name="_Toc80715110"/>
      <w:bookmarkStart w:id="27" w:name="_Toc5477"/>
      <w:bookmarkStart w:id="28" w:name="_Toc80198896"/>
      <w:r>
        <w:rPr>
          <w:rFonts w:hint="eastAsia" w:ascii="宋体" w:hAnsi="宋体" w:cs="宋体"/>
          <w:b/>
          <w:color w:val="auto"/>
          <w:sz w:val="24"/>
          <w:highlight w:val="none"/>
        </w:rPr>
        <w:t xml:space="preserve">    （一）基准系统</w:t>
      </w:r>
      <w:bookmarkEnd w:id="26"/>
      <w:bookmarkEnd w:id="27"/>
      <w:bookmarkEnd w:id="28"/>
    </w:p>
    <w:p>
      <w:pPr>
        <w:autoSpaceDE w:val="0"/>
        <w:autoSpaceDN w:val="0"/>
        <w:spacing w:line="360" w:lineRule="auto"/>
        <w:ind w:left="482"/>
        <w:jc w:val="left"/>
        <w:rPr>
          <w:rFonts w:ascii="宋体" w:hAnsi="宋体" w:cs="宋体"/>
          <w:color w:val="auto"/>
          <w:kern w:val="0"/>
          <w:sz w:val="24"/>
          <w:highlight w:val="none"/>
        </w:rPr>
      </w:pPr>
      <w:r>
        <w:rPr>
          <w:rFonts w:hint="eastAsia" w:ascii="宋体" w:hAnsi="宋体" w:cs="宋体"/>
          <w:color w:val="auto"/>
          <w:kern w:val="0"/>
          <w:sz w:val="24"/>
          <w:highlight w:val="none"/>
        </w:rPr>
        <w:t>1、平面坐标系统。坐标系统采用2000国家大地坐标系（同时提供一套台州2000坐标系成果）；</w:t>
      </w:r>
    </w:p>
    <w:p>
      <w:pPr>
        <w:numPr>
          <w:ilvl w:val="1"/>
          <w:numId w:val="3"/>
        </w:numPr>
        <w:autoSpaceDE w:val="0"/>
        <w:autoSpaceDN w:val="0"/>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高程基准。高程基准采用1985国家高程基准。</w:t>
      </w:r>
    </w:p>
    <w:p>
      <w:pPr>
        <w:spacing w:line="360" w:lineRule="auto"/>
        <w:ind w:firstLine="482" w:firstLineChars="200"/>
        <w:jc w:val="left"/>
        <w:outlineLvl w:val="2"/>
        <w:rPr>
          <w:rFonts w:ascii="宋体" w:hAnsi="宋体" w:cs="宋体"/>
          <w:b/>
          <w:color w:val="auto"/>
          <w:sz w:val="24"/>
          <w:highlight w:val="none"/>
        </w:rPr>
      </w:pPr>
      <w:bookmarkStart w:id="29" w:name="_Toc80198897"/>
      <w:bookmarkStart w:id="30" w:name="_Toc18722"/>
      <w:bookmarkStart w:id="31" w:name="_Toc80715111"/>
      <w:r>
        <w:rPr>
          <w:rFonts w:hint="eastAsia" w:ascii="宋体" w:hAnsi="宋体" w:cs="宋体"/>
          <w:b/>
          <w:color w:val="auto"/>
          <w:sz w:val="24"/>
          <w:highlight w:val="none"/>
        </w:rPr>
        <w:t>（二）精度要求</w:t>
      </w:r>
      <w:bookmarkEnd w:id="29"/>
      <w:bookmarkEnd w:id="30"/>
      <w:bookmarkEnd w:id="31"/>
    </w:p>
    <w:p>
      <w:pPr>
        <w:spacing w:line="360" w:lineRule="auto"/>
        <w:ind w:firstLine="480" w:firstLineChars="200"/>
        <w:rPr>
          <w:rFonts w:ascii="宋体" w:hAnsi="宋体" w:cs="宋体"/>
          <w:color w:val="auto"/>
          <w:sz w:val="24"/>
          <w:highlight w:val="none"/>
        </w:rPr>
      </w:pPr>
      <w:bookmarkStart w:id="32" w:name="_Toc80715112"/>
      <w:r>
        <w:rPr>
          <w:rFonts w:hint="eastAsia" w:ascii="宋体" w:hAnsi="宋体" w:cs="宋体"/>
          <w:color w:val="auto"/>
          <w:sz w:val="24"/>
          <w:highlight w:val="none"/>
        </w:rPr>
        <w:t>1、平面精度</w:t>
      </w:r>
      <w:bookmarkEnd w:id="32"/>
    </w:p>
    <w:p>
      <w:pPr>
        <w:numPr>
          <w:ilvl w:val="0"/>
          <w:numId w:val="4"/>
        </w:numPr>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明显地下管线（构筑物）点的平面位置测量中误差不大于50mm；</w:t>
      </w:r>
    </w:p>
    <w:p>
      <w:pPr>
        <w:numPr>
          <w:ilvl w:val="0"/>
          <w:numId w:val="4"/>
        </w:numPr>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隐蔽地下管线（构筑物）点的平面位置探查中误差不大于0.05h，其中h为管线（构筑物）中心埋深，单位为毫米，当h&lt;1000mm时以1000mm代入计算。</w:t>
      </w:r>
    </w:p>
    <w:p>
      <w:pPr>
        <w:spacing w:line="360" w:lineRule="auto"/>
        <w:ind w:firstLine="480" w:firstLineChars="200"/>
        <w:rPr>
          <w:rFonts w:ascii="宋体" w:hAnsi="宋体" w:cs="宋体"/>
          <w:color w:val="auto"/>
          <w:sz w:val="24"/>
          <w:highlight w:val="none"/>
        </w:rPr>
      </w:pPr>
      <w:bookmarkStart w:id="33" w:name="_Toc80715113"/>
      <w:r>
        <w:rPr>
          <w:rFonts w:hint="eastAsia" w:ascii="宋体" w:hAnsi="宋体" w:cs="宋体"/>
          <w:color w:val="auto"/>
          <w:sz w:val="24"/>
          <w:highlight w:val="none"/>
        </w:rPr>
        <w:t>2、高程精度</w:t>
      </w:r>
      <w:bookmarkEnd w:id="33"/>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地下管线（构筑物）点的高程测量中误差不大于30mm。</w:t>
      </w:r>
    </w:p>
    <w:p>
      <w:pPr>
        <w:spacing w:line="360" w:lineRule="auto"/>
        <w:ind w:firstLine="480" w:firstLineChars="200"/>
        <w:rPr>
          <w:rFonts w:ascii="宋体" w:hAnsi="宋体" w:cs="宋体"/>
          <w:color w:val="auto"/>
          <w:sz w:val="24"/>
          <w:highlight w:val="none"/>
        </w:rPr>
      </w:pPr>
      <w:bookmarkStart w:id="34" w:name="_Toc80715114"/>
      <w:r>
        <w:rPr>
          <w:rFonts w:hint="eastAsia" w:ascii="宋体" w:hAnsi="宋体" w:cs="宋体"/>
          <w:color w:val="auto"/>
          <w:sz w:val="24"/>
          <w:highlight w:val="none"/>
        </w:rPr>
        <w:t>3、埋深精度</w:t>
      </w:r>
      <w:bookmarkEnd w:id="34"/>
    </w:p>
    <w:p>
      <w:pPr>
        <w:numPr>
          <w:ilvl w:val="0"/>
          <w:numId w:val="5"/>
        </w:numPr>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明显管线点的埋深量测中误差不大于25mm；</w:t>
      </w:r>
    </w:p>
    <w:p>
      <w:pPr>
        <w:numPr>
          <w:ilvl w:val="0"/>
          <w:numId w:val="5"/>
        </w:numPr>
        <w:autoSpaceDE w:val="0"/>
        <w:autoSpaceDN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隐蔽管线点的埋深探查中误差不大于0.075h，其中h为管线（构筑物）中心埋深，单位为毫米，当h&lt;1000mm时以1000mm代入计算。</w:t>
      </w:r>
    </w:p>
    <w:p>
      <w:pPr>
        <w:spacing w:line="360" w:lineRule="auto"/>
        <w:ind w:firstLine="480" w:firstLineChars="200"/>
        <w:rPr>
          <w:rFonts w:ascii="宋体" w:hAnsi="宋体" w:cs="宋体"/>
          <w:color w:val="auto"/>
          <w:sz w:val="24"/>
          <w:highlight w:val="none"/>
        </w:rPr>
      </w:pPr>
      <w:bookmarkStart w:id="35" w:name="_Toc80715115"/>
      <w:r>
        <w:rPr>
          <w:rFonts w:hint="eastAsia" w:ascii="宋体" w:hAnsi="宋体" w:cs="宋体"/>
          <w:color w:val="auto"/>
          <w:sz w:val="24"/>
          <w:highlight w:val="none"/>
        </w:rPr>
        <w:t>4、净高精度</w:t>
      </w:r>
      <w:bookmarkEnd w:id="35"/>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地下构筑物净空高度量测中误差不大于25mm。</w:t>
      </w:r>
    </w:p>
    <w:p>
      <w:pPr>
        <w:spacing w:line="360" w:lineRule="auto"/>
        <w:ind w:firstLine="482" w:firstLineChars="200"/>
        <w:jc w:val="left"/>
        <w:outlineLvl w:val="2"/>
        <w:rPr>
          <w:rFonts w:ascii="宋体" w:hAnsi="宋体" w:cs="宋体"/>
          <w:b/>
          <w:color w:val="auto"/>
          <w:sz w:val="24"/>
          <w:highlight w:val="none"/>
        </w:rPr>
      </w:pPr>
      <w:bookmarkStart w:id="36" w:name="_Toc75955824"/>
      <w:bookmarkStart w:id="37" w:name="_Toc75954461"/>
      <w:bookmarkStart w:id="38" w:name="_Toc80715116"/>
      <w:bookmarkStart w:id="39" w:name="_Toc31794"/>
      <w:r>
        <w:rPr>
          <w:rFonts w:hint="eastAsia" w:ascii="宋体" w:hAnsi="宋体" w:cs="宋体"/>
          <w:b/>
          <w:color w:val="auto"/>
          <w:sz w:val="24"/>
          <w:highlight w:val="none"/>
        </w:rPr>
        <w:t>（三）工作</w:t>
      </w:r>
      <w:bookmarkEnd w:id="36"/>
      <w:bookmarkEnd w:id="37"/>
      <w:r>
        <w:rPr>
          <w:rFonts w:hint="eastAsia" w:ascii="宋体" w:hAnsi="宋体" w:cs="宋体"/>
          <w:b/>
          <w:color w:val="auto"/>
          <w:sz w:val="24"/>
          <w:highlight w:val="none"/>
        </w:rPr>
        <w:t>详解</w:t>
      </w:r>
      <w:bookmarkEnd w:id="38"/>
      <w:bookmarkEnd w:id="39"/>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在已有地下市政基础设施数据基础上，采用内外业结合的方法，分类分步开展普查。主要流程包括：资料收集分析、制定技术方案、划分普查单元、资料调查、现状调绘、数据处理建库、设施图件编绘、技术报告编写、成果验收和成果提交。</w:t>
      </w:r>
    </w:p>
    <w:p>
      <w:pPr>
        <w:spacing w:line="360" w:lineRule="auto"/>
        <w:ind w:firstLine="480" w:firstLineChars="200"/>
        <w:jc w:val="center"/>
        <w:rPr>
          <w:rFonts w:ascii="宋体" w:hAnsi="宋体" w:cs="宋体"/>
          <w:b/>
          <w:bCs/>
          <w:color w:val="auto"/>
          <w:sz w:val="24"/>
          <w:highlight w:val="none"/>
        </w:rPr>
      </w:pPr>
      <w:r>
        <w:rPr>
          <w:rFonts w:hint="eastAsia" w:ascii="宋体" w:hAnsi="宋体" w:cs="宋体"/>
          <w:color w:val="auto"/>
          <w:sz w:val="24"/>
          <w:highlight w:val="none"/>
        </w:rPr>
        <w:drawing>
          <wp:inline distT="0" distB="0" distL="114300" distR="114300">
            <wp:extent cx="4143375" cy="4724400"/>
            <wp:effectExtent l="0" t="0" r="952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6"/>
                    <a:stretch>
                      <a:fillRect/>
                    </a:stretch>
                  </pic:blipFill>
                  <pic:spPr>
                    <a:xfrm>
                      <a:off x="0" y="0"/>
                      <a:ext cx="4143375" cy="4724400"/>
                    </a:xfrm>
                    <a:prstGeom prst="rect">
                      <a:avLst/>
                    </a:prstGeom>
                    <a:noFill/>
                    <a:ln>
                      <a:noFill/>
                    </a:ln>
                  </pic:spPr>
                </pic:pic>
              </a:graphicData>
            </a:graphic>
          </wp:inline>
        </w:drawing>
      </w:r>
    </w:p>
    <w:p>
      <w:pPr>
        <w:spacing w:line="360" w:lineRule="auto"/>
        <w:ind w:firstLine="480" w:firstLineChars="200"/>
        <w:rPr>
          <w:rFonts w:ascii="宋体" w:hAnsi="宋体" w:cs="宋体"/>
          <w:color w:val="auto"/>
          <w:sz w:val="24"/>
          <w:highlight w:val="none"/>
        </w:rPr>
      </w:pPr>
      <w:bookmarkStart w:id="40" w:name="_bookmark6"/>
      <w:bookmarkEnd w:id="40"/>
      <w:bookmarkStart w:id="41" w:name="_Toc75954462"/>
      <w:bookmarkStart w:id="42" w:name="_Toc80715117"/>
      <w:bookmarkStart w:id="43" w:name="_Toc75955825"/>
      <w:bookmarkStart w:id="44" w:name="_Toc74747758"/>
      <w:r>
        <w:rPr>
          <w:rFonts w:hint="eastAsia" w:ascii="宋体" w:hAnsi="宋体" w:cs="宋体"/>
          <w:color w:val="auto"/>
          <w:sz w:val="24"/>
          <w:highlight w:val="none"/>
        </w:rPr>
        <w:t>1.前期准备</w:t>
      </w:r>
      <w:bookmarkEnd w:id="41"/>
      <w:bookmarkEnd w:id="42"/>
      <w:bookmarkEnd w:id="43"/>
      <w:bookmarkEnd w:id="44"/>
    </w:p>
    <w:p>
      <w:pPr>
        <w:spacing w:line="360" w:lineRule="auto"/>
        <w:ind w:firstLine="480" w:firstLineChars="200"/>
        <w:rPr>
          <w:rFonts w:ascii="宋体" w:hAnsi="宋体" w:cs="宋体"/>
          <w:bCs/>
          <w:color w:val="auto"/>
          <w:sz w:val="24"/>
          <w:highlight w:val="none"/>
        </w:rPr>
      </w:pPr>
      <w:bookmarkStart w:id="45" w:name="_bookmark7"/>
      <w:bookmarkEnd w:id="45"/>
      <w:bookmarkStart w:id="46" w:name="_Toc75954463"/>
      <w:bookmarkStart w:id="47" w:name="_Toc74747759"/>
      <w:bookmarkStart w:id="48" w:name="_Toc80715118"/>
      <w:bookmarkStart w:id="49" w:name="_Toc75955826"/>
      <w:r>
        <w:rPr>
          <w:rFonts w:hint="eastAsia" w:ascii="宋体" w:hAnsi="宋体" w:cs="宋体"/>
          <w:color w:val="auto"/>
          <w:sz w:val="24"/>
          <w:highlight w:val="none"/>
        </w:rPr>
        <w:t>（1）既有成果资料搜集</w:t>
      </w:r>
      <w:bookmarkEnd w:id="46"/>
      <w:bookmarkEnd w:id="47"/>
      <w:bookmarkEnd w:id="48"/>
      <w:bookmarkEnd w:id="49"/>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地下市政设施权属单位（管理单位）、城建档案馆或原建造方（建设、设计、勘察、施工、监理）单位获取地下市政设施的即有资料。</w:t>
      </w:r>
    </w:p>
    <w:p>
      <w:pPr>
        <w:spacing w:line="360" w:lineRule="auto"/>
        <w:ind w:firstLine="480" w:firstLineChars="200"/>
        <w:rPr>
          <w:rFonts w:ascii="宋体" w:hAnsi="宋体" w:cs="宋体"/>
          <w:bCs/>
          <w:color w:val="auto"/>
          <w:sz w:val="24"/>
          <w:highlight w:val="none"/>
        </w:rPr>
      </w:pPr>
      <w:bookmarkStart w:id="50" w:name="_bookmark8"/>
      <w:bookmarkEnd w:id="50"/>
      <w:bookmarkStart w:id="51" w:name="_Toc75955827"/>
      <w:bookmarkStart w:id="52" w:name="_Toc75954464"/>
      <w:bookmarkStart w:id="53" w:name="_Toc74747760"/>
      <w:bookmarkStart w:id="54" w:name="_Toc80715119"/>
      <w:r>
        <w:rPr>
          <w:rFonts w:hint="eastAsia" w:ascii="宋体" w:hAnsi="宋体" w:cs="宋体"/>
          <w:bCs/>
          <w:color w:val="auto"/>
          <w:sz w:val="24"/>
          <w:highlight w:val="none"/>
        </w:rPr>
        <w:t>（2）</w:t>
      </w:r>
      <w:r>
        <w:rPr>
          <w:rFonts w:hint="eastAsia" w:ascii="宋体" w:hAnsi="宋体" w:cs="宋体"/>
          <w:color w:val="auto"/>
          <w:sz w:val="24"/>
          <w:highlight w:val="none"/>
        </w:rPr>
        <w:t>既有成果分析评估</w:t>
      </w:r>
      <w:bookmarkEnd w:id="51"/>
      <w:bookmarkEnd w:id="52"/>
      <w:bookmarkEnd w:id="53"/>
      <w:bookmarkEnd w:id="54"/>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收集的成果进行分类整理，对地下管线普查数据库等经过省质检站检验合格的数据继承利用。对其他未经过质量检查的数据，按照《浙江省城市市政基础设施普查技术规程》进行质量检核。</w:t>
      </w:r>
    </w:p>
    <w:p>
      <w:pPr>
        <w:spacing w:line="360" w:lineRule="auto"/>
        <w:ind w:firstLine="480" w:firstLineChars="200"/>
        <w:rPr>
          <w:rFonts w:ascii="宋体" w:hAnsi="宋体" w:cs="宋体"/>
          <w:bCs/>
          <w:color w:val="auto"/>
          <w:sz w:val="24"/>
          <w:highlight w:val="none"/>
        </w:rPr>
      </w:pPr>
      <w:bookmarkStart w:id="55" w:name="_bookmark9"/>
      <w:bookmarkEnd w:id="55"/>
      <w:bookmarkStart w:id="56" w:name="_Toc75954465"/>
      <w:bookmarkStart w:id="57" w:name="_Toc74747761"/>
      <w:bookmarkStart w:id="58" w:name="_Toc75955828"/>
      <w:bookmarkStart w:id="59" w:name="_Toc80715120"/>
      <w:r>
        <w:rPr>
          <w:rFonts w:hint="eastAsia" w:ascii="宋体" w:hAnsi="宋体" w:cs="宋体"/>
          <w:color w:val="auto"/>
          <w:sz w:val="24"/>
          <w:highlight w:val="none"/>
        </w:rPr>
        <w:t>（3）编制技术方案</w:t>
      </w:r>
      <w:bookmarkEnd w:id="56"/>
      <w:bookmarkEnd w:id="57"/>
      <w:bookmarkEnd w:id="58"/>
      <w:bookmarkEnd w:id="59"/>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根据既有资料的收集分析评估情况，结合现场踏勘的基础上编制技术方案。明确工作内容及要求，采用的作业方法、提交的成果内容形式及时间要求、作业组织计划安排、质量保证及控制措施、安全防范措施等。</w:t>
      </w:r>
    </w:p>
    <w:p>
      <w:pPr>
        <w:spacing w:line="360" w:lineRule="auto"/>
        <w:ind w:firstLine="480" w:firstLineChars="200"/>
        <w:rPr>
          <w:rFonts w:ascii="宋体" w:hAnsi="宋体" w:cs="宋体"/>
          <w:color w:val="auto"/>
          <w:sz w:val="24"/>
          <w:highlight w:val="none"/>
        </w:rPr>
      </w:pPr>
      <w:bookmarkStart w:id="60" w:name="_bookmark10"/>
      <w:bookmarkEnd w:id="60"/>
      <w:bookmarkStart w:id="61" w:name="_Toc74747762"/>
      <w:bookmarkStart w:id="62" w:name="_Toc75955829"/>
      <w:bookmarkStart w:id="63" w:name="_Toc80715121"/>
      <w:bookmarkStart w:id="64" w:name="_Toc75954466"/>
      <w:r>
        <w:rPr>
          <w:rFonts w:hint="eastAsia" w:ascii="宋体" w:hAnsi="宋体" w:cs="宋体"/>
          <w:color w:val="auto"/>
          <w:sz w:val="24"/>
          <w:highlight w:val="none"/>
        </w:rPr>
        <w:t>2.资料整理普查</w:t>
      </w:r>
      <w:bookmarkEnd w:id="61"/>
      <w:bookmarkEnd w:id="62"/>
      <w:bookmarkEnd w:id="63"/>
      <w:bookmarkEnd w:id="64"/>
    </w:p>
    <w:p>
      <w:pPr>
        <w:spacing w:line="360" w:lineRule="auto"/>
        <w:ind w:firstLine="480" w:firstLineChars="200"/>
        <w:rPr>
          <w:rFonts w:ascii="宋体" w:hAnsi="宋体" w:cs="宋体"/>
          <w:bCs/>
          <w:color w:val="auto"/>
          <w:sz w:val="24"/>
          <w:highlight w:val="none"/>
        </w:rPr>
      </w:pPr>
      <w:bookmarkStart w:id="65" w:name="_bookmark11"/>
      <w:bookmarkEnd w:id="65"/>
      <w:bookmarkStart w:id="66" w:name="_Toc74747763"/>
      <w:bookmarkStart w:id="67" w:name="_Toc75955830"/>
      <w:bookmarkStart w:id="68" w:name="_Toc80715122"/>
      <w:bookmarkStart w:id="69" w:name="_Toc75954467"/>
      <w:r>
        <w:rPr>
          <w:rFonts w:hint="eastAsia" w:ascii="宋体" w:hAnsi="宋体" w:cs="宋体"/>
          <w:color w:val="auto"/>
          <w:sz w:val="24"/>
          <w:highlight w:val="none"/>
        </w:rPr>
        <w:t>（1）可利用既有成果资料整合处理</w:t>
      </w:r>
      <w:bookmarkEnd w:id="66"/>
      <w:bookmarkEnd w:id="67"/>
      <w:bookmarkEnd w:id="68"/>
      <w:bookmarkEnd w:id="69"/>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将收集的既有成果根据地下市政基础设施所在普查区域、用途、建筑形式等进行分类汇总。将所收集的资料数据格式、坐标系统等进行转换。</w:t>
      </w:r>
    </w:p>
    <w:p>
      <w:pPr>
        <w:spacing w:line="360" w:lineRule="auto"/>
        <w:ind w:firstLine="480" w:firstLineChars="200"/>
        <w:rPr>
          <w:rFonts w:ascii="宋体" w:hAnsi="宋体" w:cs="宋体"/>
          <w:bCs/>
          <w:color w:val="auto"/>
          <w:sz w:val="24"/>
          <w:highlight w:val="none"/>
        </w:rPr>
      </w:pPr>
      <w:bookmarkStart w:id="70" w:name="_bookmark12"/>
      <w:bookmarkEnd w:id="70"/>
      <w:bookmarkStart w:id="71" w:name="_Toc74747764"/>
      <w:bookmarkStart w:id="72" w:name="_Toc75955831"/>
      <w:bookmarkStart w:id="73" w:name="_Toc80715123"/>
      <w:bookmarkStart w:id="74" w:name="_Toc75954468"/>
      <w:r>
        <w:rPr>
          <w:rFonts w:hint="eastAsia" w:ascii="宋体" w:hAnsi="宋体" w:cs="宋体"/>
          <w:bCs/>
          <w:color w:val="auto"/>
          <w:sz w:val="24"/>
          <w:highlight w:val="none"/>
        </w:rPr>
        <w:t>（2）</w:t>
      </w:r>
      <w:r>
        <w:rPr>
          <w:rFonts w:hint="eastAsia" w:ascii="宋体" w:hAnsi="宋体" w:cs="宋体"/>
          <w:color w:val="auto"/>
          <w:sz w:val="24"/>
          <w:highlight w:val="none"/>
        </w:rPr>
        <w:t>划分普查单元</w:t>
      </w:r>
      <w:bookmarkEnd w:id="71"/>
      <w:bookmarkEnd w:id="72"/>
      <w:bookmarkEnd w:id="73"/>
      <w:bookmarkEnd w:id="74"/>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以道路、街区为单位划分普查单元，确保各普查单元无缝衔接，全面覆盖普查区域范围。普查单元编号采用三层 11 位层次码结构，由 6 位行政区代码+1位特征码+4 位流水编号构成。第 7 位特征码用D、J 表示，“D”表示道路普查单元，“J”表示街区普查单元；流水号不足 4 位的用前导“0”补齐。</w:t>
      </w:r>
    </w:p>
    <w:p>
      <w:pPr>
        <w:spacing w:line="360" w:lineRule="auto"/>
        <w:ind w:firstLine="480" w:firstLineChars="200"/>
        <w:jc w:val="center"/>
        <w:rPr>
          <w:rFonts w:ascii="宋体" w:hAnsi="宋体" w:cs="宋体"/>
          <w:color w:val="auto"/>
          <w:sz w:val="24"/>
          <w:highlight w:val="none"/>
        </w:rPr>
      </w:pPr>
      <w:r>
        <w:rPr>
          <w:rFonts w:hint="eastAsia" w:ascii="宋体" w:hAnsi="宋体" w:cs="宋体"/>
          <w:color w:val="auto"/>
          <w:sz w:val="24"/>
          <w:highlight w:val="none"/>
        </w:rPr>
        <w:drawing>
          <wp:inline distT="0" distB="0" distL="114300" distR="114300">
            <wp:extent cx="3726815" cy="144780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3726815" cy="1447800"/>
                    </a:xfrm>
                    <a:prstGeom prst="rect">
                      <a:avLst/>
                    </a:prstGeom>
                    <a:noFill/>
                    <a:ln>
                      <a:noFill/>
                    </a:ln>
                  </pic:spPr>
                </pic:pic>
              </a:graphicData>
            </a:graphic>
          </wp:inline>
        </w:drawing>
      </w:r>
    </w:p>
    <w:p>
      <w:pPr>
        <w:spacing w:line="360" w:lineRule="auto"/>
        <w:ind w:firstLine="480" w:firstLineChars="200"/>
        <w:rPr>
          <w:rFonts w:ascii="宋体" w:hAnsi="宋体" w:cs="宋体"/>
          <w:bCs/>
          <w:color w:val="auto"/>
          <w:sz w:val="24"/>
          <w:highlight w:val="none"/>
        </w:rPr>
      </w:pPr>
      <w:bookmarkStart w:id="75" w:name="_Toc80715124"/>
      <w:bookmarkStart w:id="76" w:name="_Toc74747765"/>
      <w:bookmarkStart w:id="77" w:name="_Toc75955832"/>
      <w:bookmarkStart w:id="78" w:name="_Toc75954469"/>
      <w:r>
        <w:rPr>
          <w:rFonts w:hint="eastAsia" w:ascii="宋体" w:hAnsi="宋体" w:cs="宋体"/>
          <w:bCs/>
          <w:color w:val="auto"/>
          <w:sz w:val="24"/>
          <w:highlight w:val="none"/>
        </w:rPr>
        <w:t>（3）</w:t>
      </w:r>
      <w:r>
        <w:rPr>
          <w:rFonts w:hint="eastAsia" w:ascii="宋体" w:hAnsi="宋体" w:cs="宋体"/>
          <w:color w:val="auto"/>
          <w:sz w:val="24"/>
          <w:highlight w:val="none"/>
        </w:rPr>
        <w:t>普查底图制作</w:t>
      </w:r>
      <w:bookmarkEnd w:id="75"/>
      <w:bookmarkEnd w:id="76"/>
      <w:bookmarkEnd w:id="77"/>
      <w:bookmarkEnd w:id="78"/>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采用台州湾新区1∶500数字地形图作为普查工作底图，并对背景图颜色进行调整，保证地下市基础设施图层颜色突出显示。将地下市政基础设施按不同颜色转绘其轮廓，并注明建设单位、建设年代等信息。</w:t>
      </w:r>
    </w:p>
    <w:p>
      <w:pPr>
        <w:spacing w:line="360" w:lineRule="auto"/>
        <w:rPr>
          <w:rFonts w:ascii="宋体" w:hAnsi="宋体" w:cs="宋体"/>
          <w:color w:val="auto"/>
          <w:sz w:val="24"/>
          <w:highlight w:val="none"/>
        </w:rPr>
      </w:pPr>
      <w:bookmarkStart w:id="79" w:name="_Toc74747766"/>
      <w:bookmarkStart w:id="80" w:name="_Toc75955833"/>
      <w:bookmarkStart w:id="81" w:name="_Toc80715125"/>
      <w:bookmarkStart w:id="82" w:name="_Toc75954470"/>
      <w:r>
        <w:rPr>
          <w:rFonts w:hint="eastAsia" w:ascii="宋体" w:hAnsi="宋体" w:cs="宋体"/>
          <w:color w:val="auto"/>
          <w:sz w:val="24"/>
          <w:highlight w:val="none"/>
        </w:rPr>
        <w:t>3 .现状调绘及测量</w:t>
      </w:r>
      <w:bookmarkEnd w:id="79"/>
      <w:bookmarkEnd w:id="80"/>
      <w:bookmarkEnd w:id="81"/>
      <w:bookmarkEnd w:id="82"/>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对增量城市地下市政基础设施进行现状调查与测绘，具体内容如下：现场踏勘、控制网布设、全站仪测量、成果图制作、质量检查、提交成果。其主要作业如下所示。 </w:t>
      </w:r>
      <w:bookmarkStart w:id="83" w:name="_bookmark13"/>
      <w:bookmarkEnd w:id="83"/>
      <w:bookmarkStart w:id="84" w:name="_bookmark14"/>
      <w:bookmarkEnd w:id="84"/>
      <w:bookmarkStart w:id="85" w:name="_bookmark15"/>
      <w:bookmarkEnd w:id="85"/>
      <w:bookmarkStart w:id="86" w:name="_Toc80715126"/>
      <w:bookmarkStart w:id="87" w:name="_Toc75955834"/>
      <w:bookmarkStart w:id="88" w:name="_Toc74747767"/>
      <w:bookmarkStart w:id="89" w:name="_Toc75954471"/>
    </w:p>
    <w:p>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（1）控制测量</w:t>
      </w:r>
      <w:bookmarkEnd w:id="86"/>
      <w:bookmarkEnd w:id="87"/>
      <w:bookmarkEnd w:id="88"/>
      <w:bookmarkEnd w:id="89"/>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下市政基础设施普查的控制测量可分为地面控制测量、联系测量和地下控制测量。控制测量作业前搜集已有的地形图、设计图资料及周边城市等级控制点成果，并进行实地踏勘。了解地下市政基础设施地面、地下的联系通道及其位置以及地下市政基础设施的整体分布状况等。</w:t>
      </w:r>
      <w:bookmarkStart w:id="90" w:name="_Toc74747768"/>
    </w:p>
    <w:p>
      <w:pPr>
        <w:spacing w:line="360" w:lineRule="auto"/>
        <w:ind w:firstLine="480" w:firstLineChars="200"/>
        <w:rPr>
          <w:rFonts w:ascii="宋体" w:hAnsi="宋体" w:cs="宋体"/>
          <w:bCs/>
          <w:color w:val="auto"/>
          <w:sz w:val="24"/>
          <w:highlight w:val="none"/>
        </w:rPr>
      </w:pPr>
      <w:bookmarkStart w:id="91" w:name="_Toc75954472"/>
      <w:bookmarkStart w:id="92" w:name="_Toc80715127"/>
      <w:bookmarkStart w:id="93" w:name="_Toc75955835"/>
      <w:r>
        <w:rPr>
          <w:rFonts w:hint="eastAsia" w:ascii="宋体" w:hAnsi="宋体" w:cs="宋体"/>
          <w:color w:val="auto"/>
          <w:sz w:val="24"/>
          <w:highlight w:val="none"/>
        </w:rPr>
        <w:t>（2）地下管线调绘</w:t>
      </w:r>
      <w:bookmarkEnd w:id="90"/>
      <w:bookmarkEnd w:id="91"/>
      <w:bookmarkEnd w:id="92"/>
      <w:bookmarkEnd w:id="93"/>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a、地下管线调查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实地调查应按地下管线类别分别调查其相应的管理信息和技术信息。地下管线普查工作中必须将燃气管线列入重点对象，查清：</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（1）涉及占用、挪用燃气设施用地的违法违规建（构）筑物；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（2）涉及城镇燃气管道占压、圈围的违法违规建（构）筑物；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（3）涉及侵占已建燃气设施安全距离内的违法违规建（构）筑物；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（4）排查规划中占用燃气设施用地情况，包括规划中占压、侵占燃气设施用地情况，规划中应建但未建的燃气设施用地情况。</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b、地下管线探查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地下管线设施仪器探测应遵循由已知到未知、由点到线、由线到面、由简单到复杂和不轻易放弃疑点的原则。地下管 线设施仪器探查应根据普查要求、探测对象和地球物理条件， 选择简便、有效的物探方法。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c、地下管线测量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管线点的平面位置和高程测量可采用全站仪极坐标法、 三角高程法、水准测量法、GNSS RTK 等方法。</w:t>
      </w:r>
    </w:p>
    <w:p>
      <w:pPr>
        <w:spacing w:line="360" w:lineRule="auto"/>
        <w:ind w:firstLine="480" w:firstLineChars="200"/>
        <w:rPr>
          <w:rFonts w:ascii="宋体" w:hAnsi="宋体" w:cs="宋体"/>
          <w:color w:val="auto"/>
          <w:sz w:val="24"/>
          <w:highlight w:val="none"/>
        </w:rPr>
      </w:pPr>
      <w:bookmarkStart w:id="94" w:name="_Toc75954473"/>
      <w:bookmarkStart w:id="95" w:name="_Toc74747769"/>
      <w:bookmarkStart w:id="96" w:name="_Toc80715128"/>
      <w:bookmarkStart w:id="97" w:name="_Toc75955836"/>
      <w:r>
        <w:rPr>
          <w:rFonts w:hint="eastAsia" w:ascii="宋体" w:hAnsi="宋体" w:cs="宋体"/>
          <w:color w:val="auto"/>
          <w:sz w:val="24"/>
          <w:highlight w:val="none"/>
        </w:rPr>
        <w:t>（3）地下通道调绘</w:t>
      </w:r>
      <w:bookmarkEnd w:id="94"/>
      <w:bookmarkEnd w:id="95"/>
      <w:bookmarkEnd w:id="96"/>
      <w:bookmarkEnd w:id="97"/>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a、地下通道调查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调查地下通道的建筑名称、地址、建筑形式、结构形式、主要用途、建筑类型、出入口情况、资料收集情况等信息。</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b、地下通道测绘</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地下通道测绘内容包括测绘空间位置信息及注记信息。 可采用全站仪或其他测量工具进行。</w:t>
      </w:r>
    </w:p>
    <w:p>
      <w:pPr>
        <w:spacing w:line="360" w:lineRule="auto"/>
        <w:ind w:firstLine="480" w:firstLineChars="200"/>
        <w:rPr>
          <w:rFonts w:ascii="宋体" w:hAnsi="宋体" w:cs="宋体"/>
          <w:bCs/>
          <w:color w:val="auto"/>
          <w:sz w:val="24"/>
          <w:highlight w:val="none"/>
        </w:rPr>
      </w:pPr>
      <w:bookmarkStart w:id="98" w:name="_bookmark18"/>
      <w:bookmarkEnd w:id="98"/>
      <w:bookmarkStart w:id="99" w:name="_Toc75955837"/>
      <w:bookmarkStart w:id="100" w:name="_Toc74747770"/>
      <w:bookmarkStart w:id="101" w:name="_Toc80715129"/>
      <w:bookmarkStart w:id="102" w:name="_Toc75954474"/>
      <w:r>
        <w:rPr>
          <w:rFonts w:hint="eastAsia" w:ascii="宋体" w:hAnsi="宋体" w:cs="宋体"/>
          <w:color w:val="auto"/>
          <w:sz w:val="24"/>
          <w:highlight w:val="none"/>
        </w:rPr>
        <w:t>（4）人防工程调绘</w:t>
      </w:r>
      <w:bookmarkEnd w:id="99"/>
      <w:bookmarkEnd w:id="100"/>
      <w:bookmarkEnd w:id="101"/>
      <w:bookmarkEnd w:id="102"/>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a、人防工程调查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地下人防工程调查的内容包括：出入口、竖井、与地道相连通的地下建筑的平面位置、高程、结构等。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b、地下人防工程测绘</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地下人防工程内（外）轮廓及特征点的平面位置可采用全站仪极坐标法或交会法测定。</w:t>
      </w:r>
    </w:p>
    <w:p>
      <w:pPr>
        <w:spacing w:line="360" w:lineRule="auto"/>
        <w:ind w:firstLine="480" w:firstLineChars="200"/>
        <w:rPr>
          <w:rFonts w:ascii="宋体" w:hAnsi="宋体" w:cs="宋体"/>
          <w:bCs/>
          <w:color w:val="auto"/>
          <w:sz w:val="24"/>
          <w:highlight w:val="none"/>
        </w:rPr>
      </w:pPr>
      <w:bookmarkStart w:id="103" w:name="_bookmark19"/>
      <w:bookmarkEnd w:id="103"/>
      <w:bookmarkStart w:id="104" w:name="_Toc74747771"/>
      <w:bookmarkStart w:id="105" w:name="_Toc75954475"/>
      <w:bookmarkStart w:id="106" w:name="_Toc75955838"/>
      <w:bookmarkStart w:id="107" w:name="_Toc80715130"/>
      <w:r>
        <w:rPr>
          <w:rFonts w:hint="eastAsia" w:ascii="宋体" w:hAnsi="宋体" w:cs="宋体"/>
          <w:color w:val="auto"/>
          <w:sz w:val="24"/>
          <w:highlight w:val="none"/>
        </w:rPr>
        <w:t>（5）地下公共停车场调绘</w:t>
      </w:r>
      <w:bookmarkEnd w:id="104"/>
      <w:bookmarkEnd w:id="105"/>
      <w:bookmarkEnd w:id="106"/>
      <w:bookmarkEnd w:id="107"/>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a、地下公共停车场调查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地下公共停车场设施管理信息调查应包括设施名称、设施位置、政府主管部门、运管单位、权属单位、特许经营单位、建成时间及开始使用时间等。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b、地下公共停车场测绘</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地下公共停车场现状测绘采用全站仪等仪器进行测绘。</w:t>
      </w:r>
    </w:p>
    <w:p>
      <w:pPr>
        <w:spacing w:line="360" w:lineRule="auto"/>
        <w:ind w:firstLine="480" w:firstLineChars="200"/>
        <w:rPr>
          <w:rFonts w:ascii="宋体" w:hAnsi="宋体" w:cs="宋体"/>
          <w:bCs/>
          <w:color w:val="auto"/>
          <w:sz w:val="24"/>
          <w:highlight w:val="none"/>
        </w:rPr>
      </w:pPr>
      <w:bookmarkStart w:id="108" w:name="_bookmark20"/>
      <w:bookmarkEnd w:id="108"/>
      <w:bookmarkStart w:id="109" w:name="_Toc75954476"/>
      <w:bookmarkStart w:id="110" w:name="_Toc75955839"/>
      <w:bookmarkStart w:id="111" w:name="_Toc80715131"/>
      <w:r>
        <w:rPr>
          <w:rFonts w:hint="eastAsia" w:ascii="宋体" w:hAnsi="宋体" w:cs="宋体"/>
          <w:bCs/>
          <w:color w:val="auto"/>
          <w:sz w:val="24"/>
          <w:highlight w:val="none"/>
        </w:rPr>
        <w:t>（6）</w:t>
      </w:r>
      <w:r>
        <w:rPr>
          <w:rFonts w:hint="eastAsia" w:ascii="宋体" w:hAnsi="宋体" w:cs="宋体"/>
          <w:color w:val="auto"/>
          <w:sz w:val="24"/>
          <w:highlight w:val="none"/>
        </w:rPr>
        <w:t>地下污水与生活垃圾处理设施调绘</w:t>
      </w:r>
      <w:bookmarkEnd w:id="109"/>
      <w:bookmarkEnd w:id="110"/>
      <w:bookmarkEnd w:id="111"/>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a、地下污水与生活垃圾处理设施调查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调查地下污水与生活垃圾处理设施的位置、主管部门、 运管单位、权属单位、处理类型、处理量等信息。</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b、地下污水与生活垃圾处理设施测绘</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采用全站仪等仪器对设施空间坐 标进行采集。</w:t>
      </w:r>
    </w:p>
    <w:p>
      <w:pPr>
        <w:spacing w:line="360" w:lineRule="auto"/>
        <w:ind w:firstLine="482" w:firstLineChars="200"/>
        <w:jc w:val="left"/>
        <w:outlineLvl w:val="2"/>
        <w:rPr>
          <w:rFonts w:ascii="宋体" w:hAnsi="宋体" w:cs="宋体"/>
          <w:b/>
          <w:color w:val="auto"/>
          <w:sz w:val="24"/>
          <w:highlight w:val="none"/>
        </w:rPr>
      </w:pPr>
      <w:bookmarkStart w:id="112" w:name="_Toc80715132"/>
      <w:bookmarkStart w:id="113" w:name="_Toc80198902"/>
      <w:bookmarkStart w:id="114" w:name="_Toc4186"/>
      <w:r>
        <w:rPr>
          <w:rFonts w:hint="eastAsia" w:ascii="宋体" w:hAnsi="宋体" w:cs="宋体"/>
          <w:b/>
          <w:color w:val="auto"/>
          <w:sz w:val="24"/>
          <w:highlight w:val="none"/>
        </w:rPr>
        <w:t>（四）数据建库</w:t>
      </w:r>
      <w:bookmarkEnd w:id="112"/>
      <w:bookmarkEnd w:id="113"/>
      <w:bookmarkEnd w:id="114"/>
    </w:p>
    <w:p>
      <w:pPr>
        <w:spacing w:line="360" w:lineRule="auto"/>
        <w:ind w:firstLine="560"/>
        <w:rPr>
          <w:rFonts w:ascii="宋体" w:hAnsi="宋体" w:cs="宋体"/>
          <w:color w:val="auto"/>
          <w:kern w:val="0"/>
          <w:sz w:val="24"/>
          <w:highlight w:val="none"/>
        </w:rPr>
      </w:pPr>
      <w:r>
        <w:rPr>
          <w:rFonts w:hint="eastAsia" w:ascii="宋体" w:hAnsi="宋体" w:cs="宋体"/>
          <w:color w:val="auto"/>
          <w:kern w:val="0"/>
          <w:sz w:val="24"/>
          <w:highlight w:val="none"/>
        </w:rPr>
        <w:t>普查成果经测绘质量检验检测机构检验合格后，即可开展数据建库工作，有关要求按照现行国家及省级标准规范、《浙江省城市地下市政基础设施数据库建设规范》执行。</w:t>
      </w:r>
    </w:p>
    <w:p>
      <w:pPr>
        <w:spacing w:line="360" w:lineRule="auto"/>
        <w:ind w:firstLine="482" w:firstLineChars="200"/>
        <w:jc w:val="left"/>
        <w:outlineLvl w:val="2"/>
        <w:rPr>
          <w:rFonts w:ascii="宋体" w:hAnsi="宋体" w:cs="宋体"/>
          <w:b/>
          <w:color w:val="auto"/>
          <w:sz w:val="24"/>
          <w:highlight w:val="none"/>
        </w:rPr>
      </w:pPr>
      <w:bookmarkStart w:id="115" w:name="_Toc80198903"/>
      <w:bookmarkStart w:id="116" w:name="_Toc17229"/>
      <w:bookmarkStart w:id="117" w:name="_Toc80715133"/>
      <w:r>
        <w:rPr>
          <w:rFonts w:hint="eastAsia" w:ascii="宋体" w:hAnsi="宋体" w:cs="宋体"/>
          <w:b/>
          <w:color w:val="auto"/>
          <w:sz w:val="24"/>
          <w:highlight w:val="none"/>
        </w:rPr>
        <w:t>（五）图件编制</w:t>
      </w:r>
      <w:bookmarkEnd w:id="115"/>
      <w:bookmarkEnd w:id="116"/>
      <w:bookmarkEnd w:id="117"/>
    </w:p>
    <w:p>
      <w:pPr>
        <w:spacing w:line="360" w:lineRule="auto"/>
        <w:ind w:firstLine="560"/>
        <w:rPr>
          <w:rFonts w:ascii="宋体" w:hAnsi="宋体" w:cs="宋体"/>
          <w:color w:val="auto"/>
          <w:kern w:val="0"/>
          <w:sz w:val="24"/>
          <w:highlight w:val="none"/>
        </w:rPr>
      </w:pPr>
      <w:r>
        <w:rPr>
          <w:rFonts w:hint="eastAsia" w:ascii="宋体" w:hAnsi="宋体" w:cs="宋体"/>
          <w:color w:val="auto"/>
          <w:kern w:val="0"/>
          <w:sz w:val="24"/>
          <w:highlight w:val="none"/>
        </w:rPr>
        <w:t>在建设完成</w:t>
      </w:r>
      <w:r>
        <w:rPr>
          <w:rFonts w:hint="eastAsia" w:ascii="宋体" w:hAnsi="宋体" w:cs="宋体"/>
          <w:color w:val="auto"/>
          <w:sz w:val="24"/>
          <w:highlight w:val="none"/>
        </w:rPr>
        <w:t>台州湾新区</w:t>
      </w:r>
      <w:r>
        <w:rPr>
          <w:rFonts w:hint="eastAsia" w:ascii="宋体" w:hAnsi="宋体" w:cs="宋体"/>
          <w:color w:val="auto"/>
          <w:kern w:val="0"/>
          <w:sz w:val="24"/>
          <w:highlight w:val="none"/>
        </w:rPr>
        <w:t>地下市政基础设施数据库的基础上，开展地下市政基础设施数字图件编制工作。有关要求按照现行国家及省级标准规范、《浙江省城市地下市政基础设施普查技术过程》执行。</w:t>
      </w:r>
    </w:p>
    <w:p>
      <w:pPr>
        <w:spacing w:line="360" w:lineRule="auto"/>
        <w:ind w:firstLine="482" w:firstLineChars="200"/>
        <w:jc w:val="left"/>
        <w:outlineLvl w:val="2"/>
        <w:rPr>
          <w:rFonts w:ascii="宋体" w:hAnsi="宋体" w:cs="宋体"/>
          <w:b/>
          <w:color w:val="auto"/>
          <w:sz w:val="24"/>
          <w:highlight w:val="none"/>
        </w:rPr>
      </w:pPr>
      <w:bookmarkStart w:id="118" w:name="_Toc80715134"/>
      <w:bookmarkStart w:id="119" w:name="_Toc13794"/>
      <w:bookmarkStart w:id="120" w:name="_Toc80198904"/>
      <w:r>
        <w:rPr>
          <w:rFonts w:hint="eastAsia" w:ascii="宋体" w:hAnsi="宋体" w:cs="宋体"/>
          <w:b/>
          <w:color w:val="auto"/>
          <w:sz w:val="24"/>
          <w:highlight w:val="none"/>
        </w:rPr>
        <w:t>（六）质量检验</w:t>
      </w:r>
      <w:bookmarkEnd w:id="118"/>
      <w:bookmarkEnd w:id="119"/>
      <w:bookmarkEnd w:id="120"/>
    </w:p>
    <w:p>
      <w:pPr>
        <w:spacing w:line="360" w:lineRule="auto"/>
        <w:ind w:firstLine="560"/>
        <w:rPr>
          <w:rFonts w:ascii="宋体" w:hAnsi="宋体" w:cs="宋体"/>
          <w:color w:val="auto"/>
          <w:kern w:val="0"/>
          <w:sz w:val="24"/>
          <w:highlight w:val="none"/>
        </w:rPr>
      </w:pPr>
      <w:r>
        <w:rPr>
          <w:rFonts w:hint="eastAsia" w:ascii="宋体" w:hAnsi="宋体" w:cs="宋体"/>
          <w:color w:val="auto"/>
          <w:kern w:val="0"/>
          <w:sz w:val="24"/>
          <w:highlight w:val="none"/>
        </w:rPr>
        <w:t>现状调绘、数据建库和图件编制在完成“两级检查”的基础上，由台州湾新区管理委员会组织验收，委托</w:t>
      </w:r>
      <w:r>
        <w:rPr>
          <w:rFonts w:hint="eastAsia" w:ascii="宋体" w:hAnsi="宋体" w:cs="宋体"/>
          <w:color w:val="auto"/>
          <w:sz w:val="24"/>
          <w:highlight w:val="none"/>
        </w:rPr>
        <w:t>省级及以上法定</w:t>
      </w:r>
      <w:r>
        <w:rPr>
          <w:rFonts w:hint="eastAsia" w:ascii="宋体" w:hAnsi="宋体" w:cs="宋体"/>
          <w:color w:val="auto"/>
          <w:kern w:val="0"/>
          <w:sz w:val="24"/>
          <w:highlight w:val="none"/>
        </w:rPr>
        <w:t>测绘质量检验机构进行质量检验。经检验合格后提交正式成果。</w:t>
      </w:r>
    </w:p>
    <w:p>
      <w:pPr>
        <w:numPr>
          <w:ilvl w:val="0"/>
          <w:numId w:val="6"/>
        </w:numPr>
        <w:spacing w:line="360" w:lineRule="auto"/>
        <w:outlineLvl w:val="1"/>
        <w:rPr>
          <w:rFonts w:ascii="宋体" w:hAnsi="宋体" w:cs="宋体"/>
          <w:b/>
          <w:color w:val="auto"/>
          <w:w w:val="95"/>
          <w:kern w:val="0"/>
          <w:sz w:val="24"/>
          <w:highlight w:val="none"/>
        </w:rPr>
      </w:pPr>
      <w:r>
        <w:rPr>
          <w:rFonts w:hint="eastAsia" w:ascii="宋体" w:hAnsi="宋体" w:cs="宋体"/>
          <w:b/>
          <w:color w:val="auto"/>
          <w:w w:val="95"/>
          <w:kern w:val="0"/>
          <w:sz w:val="24"/>
          <w:highlight w:val="none"/>
        </w:rPr>
        <w:t>普查成果</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浙江省城市地下市政基础设施普查形成的主要成果包括：数据成果、图件成果及相关文档成果。</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1、数据成果</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（1）地下市政基础设施数据库；</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（2）地下市政基础设施元数据及竣工平面图、纵横断面图等相关附图附件。</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2、图件成果</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（1）城市地下市政基础设施普查单元分布图；</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（2）城市地下市政基础设施分布图；</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（3）各类专题城市地下市政基础设施分布图；</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3、其他文档成果</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（1）技术设计书；</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（2）工作总结；</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（3）技术总结；</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（4）设施权属（管理）单位审核确认书；</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（5）质量检验报告；</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（6）验收意见。</w:t>
      </w:r>
    </w:p>
    <w:p>
      <w:pPr>
        <w:spacing w:line="360" w:lineRule="auto"/>
        <w:outlineLvl w:val="1"/>
        <w:rPr>
          <w:rFonts w:ascii="宋体" w:hAnsi="宋体" w:cs="宋体"/>
          <w:b/>
          <w:color w:val="auto"/>
          <w:w w:val="95"/>
          <w:kern w:val="0"/>
          <w:sz w:val="24"/>
          <w:highlight w:val="none"/>
        </w:rPr>
      </w:pPr>
      <w:bookmarkStart w:id="121" w:name="_Toc80715135"/>
      <w:bookmarkStart w:id="122" w:name="_Toc28356"/>
      <w:bookmarkStart w:id="123" w:name="_Toc80198906"/>
      <w:r>
        <w:rPr>
          <w:rFonts w:hint="eastAsia" w:ascii="宋体" w:hAnsi="宋体" w:cs="宋体"/>
          <w:b/>
          <w:color w:val="auto"/>
          <w:w w:val="95"/>
          <w:kern w:val="0"/>
          <w:sz w:val="24"/>
          <w:highlight w:val="none"/>
        </w:rPr>
        <w:t>七、质量控制</w:t>
      </w:r>
      <w:bookmarkEnd w:id="121"/>
      <w:bookmarkEnd w:id="122"/>
      <w:bookmarkEnd w:id="123"/>
    </w:p>
    <w:p>
      <w:pPr>
        <w:spacing w:line="360" w:lineRule="auto"/>
        <w:ind w:firstLine="480" w:firstLineChars="200"/>
        <w:rPr>
          <w:rFonts w:ascii="宋体" w:hAnsi="宋体" w:cs="宋体"/>
          <w:color w:val="auto"/>
          <w:sz w:val="24"/>
          <w:highlight w:val="none"/>
        </w:rPr>
      </w:pPr>
      <w:bookmarkStart w:id="124" w:name="_Toc893"/>
      <w:r>
        <w:rPr>
          <w:rFonts w:hint="eastAsia" w:ascii="宋体" w:hAnsi="宋体" w:cs="宋体"/>
          <w:color w:val="auto"/>
          <w:sz w:val="24"/>
          <w:highlight w:val="none"/>
        </w:rPr>
        <w:t>普查承担单位严格执行普查成果质量“两级检查”制度，在“两级检查”的基础上由省级及以上法定测绘质量检验检测机构进行质量检验，经检验合格后提交正式成果。</w:t>
      </w:r>
    </w:p>
    <w:p>
      <w:pPr>
        <w:spacing w:line="360" w:lineRule="auto"/>
        <w:ind w:left="355" w:hanging="357" w:hangingChars="156"/>
        <w:outlineLvl w:val="1"/>
        <w:rPr>
          <w:rFonts w:ascii="宋体" w:hAnsi="宋体" w:cs="宋体"/>
          <w:b/>
          <w:color w:val="auto"/>
          <w:w w:val="95"/>
          <w:kern w:val="0"/>
          <w:sz w:val="24"/>
          <w:highlight w:val="none"/>
        </w:rPr>
      </w:pPr>
      <w:r>
        <w:rPr>
          <w:rFonts w:hint="eastAsia" w:ascii="宋体" w:hAnsi="宋体" w:cs="宋体"/>
          <w:b/>
          <w:color w:val="auto"/>
          <w:w w:val="95"/>
          <w:kern w:val="0"/>
          <w:sz w:val="24"/>
          <w:highlight w:val="none"/>
        </w:rPr>
        <w:t>八、质保期</w:t>
      </w:r>
      <w:bookmarkEnd w:id="124"/>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本项目质保期为1年。自项目验收合格之日起计算。在质量保证期内因质量问题，中标供应商须提供相应的免费服务。</w:t>
      </w:r>
    </w:p>
    <w:p>
      <w:pPr>
        <w:spacing w:line="360" w:lineRule="auto"/>
        <w:ind w:left="355" w:hanging="357" w:hangingChars="156"/>
        <w:outlineLvl w:val="1"/>
        <w:rPr>
          <w:rFonts w:ascii="宋体" w:hAnsi="宋体" w:cs="宋体"/>
          <w:b/>
          <w:color w:val="auto"/>
          <w:w w:val="95"/>
          <w:kern w:val="0"/>
          <w:sz w:val="24"/>
          <w:highlight w:val="none"/>
        </w:rPr>
      </w:pPr>
      <w:bookmarkStart w:id="125" w:name="_Toc6347"/>
      <w:r>
        <w:rPr>
          <w:rFonts w:hint="eastAsia" w:ascii="宋体" w:hAnsi="宋体" w:cs="宋体"/>
          <w:b/>
          <w:color w:val="auto"/>
          <w:w w:val="95"/>
          <w:kern w:val="0"/>
          <w:sz w:val="24"/>
          <w:highlight w:val="none"/>
        </w:rPr>
        <w:t>九、验收</w:t>
      </w:r>
      <w:bookmarkEnd w:id="125"/>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1、按国家或行业标准、规定及技术标准等相关要求进行验收，测绘成果须经省级及以上法定测绘质量检验检测机构检验合格，并出具成果质量检验报告。</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2、中标供应商按合同规定提供了符合招标文件要求的服务，并经有关部门检验合格，所有的技术资料和清单已向采购人提交并被接受，验收被视为合格，双方签署验收合格证书。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3、验收合格条件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（1）技术参数和检验时出现的问题已被解决至采购人认可。</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（2）已提供了合同规定的全部服务和资料。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（3）资料在交付采购人使用前，需经采购人验收合格。</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（4）验收时提供完整的技术资料。</w:t>
      </w:r>
    </w:p>
    <w:p>
      <w:pPr>
        <w:pStyle w:val="117"/>
        <w:spacing w:before="156" w:after="156" w:afterLines="50" w:line="440" w:lineRule="exact"/>
        <w:ind w:firstLine="0"/>
        <w:rPr>
          <w:rFonts w:ascii="宋体" w:hAnsi="宋体" w:cs="宋体"/>
          <w:color w:val="auto"/>
          <w:sz w:val="24"/>
          <w:highlight w:val="none"/>
        </w:rPr>
      </w:pPr>
      <w:r>
        <w:rPr>
          <w:rFonts w:hint="eastAsia" w:ascii="宋体" w:hAnsi="宋体" w:cs="宋体"/>
          <w:b/>
          <w:color w:val="auto"/>
          <w:w w:val="95"/>
          <w:sz w:val="24"/>
          <w:highlight w:val="none"/>
        </w:rPr>
        <w:t>十、商务条款</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1、合同履行期限要求：</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1）、综合各种具体因素，</w:t>
      </w:r>
      <w:r>
        <w:rPr>
          <w:rFonts w:hint="eastAsia" w:ascii="宋体" w:hAnsi="宋体" w:cs="宋体"/>
          <w:color w:val="auto"/>
          <w:kern w:val="0"/>
          <w:sz w:val="24"/>
          <w:highlight w:val="none"/>
        </w:rPr>
        <w:t>合同签订</w:t>
      </w:r>
      <w:r>
        <w:rPr>
          <w:rFonts w:hint="eastAsia" w:ascii="宋体" w:hAnsi="宋体" w:cs="宋体"/>
          <w:color w:val="auto"/>
          <w:kern w:val="0"/>
          <w:sz w:val="24"/>
          <w:highlight w:val="none"/>
          <w:lang w:val="zh-CN"/>
        </w:rPr>
        <w:t>后中标单位应在1个月内完成</w:t>
      </w:r>
      <w:r>
        <w:rPr>
          <w:rFonts w:hint="eastAsia" w:ascii="宋体" w:hAnsi="宋体" w:cs="宋体"/>
          <w:color w:val="auto"/>
          <w:kern w:val="0"/>
          <w:sz w:val="24"/>
          <w:highlight w:val="none"/>
        </w:rPr>
        <w:t>台州湾新区</w:t>
      </w:r>
      <w:r>
        <w:rPr>
          <w:rFonts w:hint="eastAsia" w:ascii="宋体" w:hAnsi="宋体" w:cs="宋体"/>
          <w:color w:val="auto"/>
          <w:kern w:val="0"/>
          <w:sz w:val="24"/>
          <w:highlight w:val="none"/>
          <w:lang w:val="zh-CN"/>
        </w:rPr>
        <w:t>普查区域内全部地下通道、地下公共停车场、人防工程等设施资料收集和外业普查</w:t>
      </w:r>
      <w:r>
        <w:rPr>
          <w:rFonts w:hint="eastAsia" w:ascii="宋体" w:hAnsi="宋体" w:cs="宋体"/>
          <w:color w:val="auto"/>
          <w:kern w:val="0"/>
          <w:sz w:val="24"/>
          <w:highlight w:val="none"/>
        </w:rPr>
        <w:t>及数据建库、入库</w:t>
      </w:r>
      <w:r>
        <w:rPr>
          <w:rFonts w:hint="eastAsia" w:ascii="宋体" w:hAnsi="宋体" w:cs="宋体"/>
          <w:color w:val="auto"/>
          <w:kern w:val="0"/>
          <w:sz w:val="24"/>
          <w:highlight w:val="none"/>
          <w:lang w:val="zh-CN"/>
        </w:rPr>
        <w:t>工作。</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2）、2022年6月30日前完成普查区域内地下燃气管道普查工作</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并向省自然资源厅汇交普查成果。</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3）、2022年1</w:t>
      </w:r>
      <w:r>
        <w:rPr>
          <w:rFonts w:hint="eastAsia" w:ascii="宋体" w:hAnsi="宋体" w:cs="宋体"/>
          <w:color w:val="auto"/>
          <w:kern w:val="0"/>
          <w:sz w:val="24"/>
          <w:highlight w:val="none"/>
        </w:rPr>
        <w:t>1</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15</w:t>
      </w:r>
      <w:r>
        <w:rPr>
          <w:rFonts w:hint="eastAsia" w:ascii="宋体" w:hAnsi="宋体" w:cs="宋体"/>
          <w:color w:val="auto"/>
          <w:kern w:val="0"/>
          <w:sz w:val="24"/>
          <w:highlight w:val="none"/>
          <w:lang w:val="zh-CN"/>
        </w:rPr>
        <w:t>日前完成普查区域内其他地下市政基础设施普查及所有普查成果数据库建库、质检工作。</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4）</w:t>
      </w:r>
      <w:r>
        <w:rPr>
          <w:rFonts w:hint="eastAsia" w:ascii="宋体" w:hAnsi="宋体" w:cs="宋体"/>
          <w:color w:val="auto"/>
          <w:kern w:val="0"/>
          <w:sz w:val="24"/>
          <w:highlight w:val="none"/>
          <w:lang w:val="zh-CN"/>
        </w:rPr>
        <w:t>、2022年1</w:t>
      </w:r>
      <w:r>
        <w:rPr>
          <w:rFonts w:hint="eastAsia" w:ascii="宋体" w:hAnsi="宋体" w:cs="宋体"/>
          <w:color w:val="auto"/>
          <w:kern w:val="0"/>
          <w:sz w:val="24"/>
          <w:highlight w:val="none"/>
        </w:rPr>
        <w:t>2</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31</w:t>
      </w:r>
      <w:r>
        <w:rPr>
          <w:rFonts w:hint="eastAsia" w:ascii="宋体" w:hAnsi="宋体" w:cs="宋体"/>
          <w:color w:val="auto"/>
          <w:kern w:val="0"/>
          <w:sz w:val="24"/>
          <w:highlight w:val="none"/>
          <w:lang w:val="zh-CN"/>
        </w:rPr>
        <w:t>日前完成普查区域内所有普查成果验收、绘制</w:t>
      </w:r>
      <w:r>
        <w:rPr>
          <w:rFonts w:hint="eastAsia" w:ascii="宋体" w:hAnsi="宋体" w:cs="宋体"/>
          <w:color w:val="auto"/>
          <w:kern w:val="0"/>
          <w:sz w:val="24"/>
          <w:highlight w:val="none"/>
        </w:rPr>
        <w:t>新区</w:t>
      </w:r>
      <w:r>
        <w:rPr>
          <w:rFonts w:hint="eastAsia" w:ascii="宋体" w:hAnsi="宋体" w:cs="宋体"/>
          <w:color w:val="auto"/>
          <w:kern w:val="0"/>
          <w:sz w:val="24"/>
          <w:highlight w:val="none"/>
          <w:lang w:val="zh-CN"/>
        </w:rPr>
        <w:t>地下市政基础设施“一张图”，并向省自然资源厅汇交普查成果。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 ★因本项目工程量大，合同履行期限要求紧，要求供应商拟投入本项目的测绘或地理信息等相关专业工程师及以上人员总数不得少于20人。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相关方案评审费用和成果验收检测费等费用由中标人承担，供应商在投标时应综合考虑在投标报价中，不再另行计取。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3、履约保证金可以选择转账、支票、汇票、本票或者金融机构出具的独立保函等形式之一，金额为合同价款的2%。项目验收合格后7个工作日内返还履约保证金（不计息）。</w:t>
      </w:r>
    </w:p>
    <w:p>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4、 ▲合同款项支付方式：</w:t>
      </w:r>
    </w:p>
    <w:p>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合同签订后</w:t>
      </w:r>
      <w:r>
        <w:rPr>
          <w:rFonts w:hint="eastAsia" w:asciiTheme="minorEastAsia" w:hAnsiTheme="minorEastAsia" w:eastAsiaTheme="minorEastAsia"/>
          <w:bCs/>
          <w:color w:val="auto"/>
          <w:sz w:val="24"/>
          <w:highlight w:val="none"/>
          <w:lang w:val="en-US" w:eastAsia="zh-CN"/>
        </w:rPr>
        <w:t>30</w:t>
      </w:r>
      <w:r>
        <w:rPr>
          <w:rFonts w:hint="eastAsia" w:asciiTheme="minorEastAsia" w:hAnsiTheme="minorEastAsia" w:eastAsiaTheme="minorEastAsia"/>
          <w:color w:val="auto"/>
          <w:kern w:val="0"/>
          <w:sz w:val="24"/>
          <w:highlight w:val="none"/>
        </w:rPr>
        <w:t>天内预付合同款项的</w:t>
      </w:r>
      <w:r>
        <w:rPr>
          <w:rFonts w:hint="eastAsia" w:asciiTheme="minorEastAsia" w:hAnsiTheme="minorEastAsia" w:eastAsiaTheme="minorEastAsia"/>
          <w:color w:val="auto"/>
          <w:kern w:val="0"/>
          <w:sz w:val="24"/>
          <w:highlight w:val="none"/>
          <w:lang w:val="en-US" w:eastAsia="zh-CN"/>
        </w:rPr>
        <w:t>20</w:t>
      </w:r>
      <w:r>
        <w:rPr>
          <w:rFonts w:hint="eastAsia" w:asciiTheme="minorEastAsia" w:hAnsiTheme="minorEastAsia" w:eastAsiaTheme="minorEastAsia"/>
          <w:color w:val="auto"/>
          <w:kern w:val="0"/>
          <w:sz w:val="24"/>
          <w:highlight w:val="none"/>
        </w:rPr>
        <w:t>％。</w:t>
      </w:r>
      <w:r>
        <w:rPr>
          <w:rFonts w:hint="eastAsia" w:ascii="宋体" w:hAnsi="宋体" w:cs="宋体"/>
          <w:color w:val="auto"/>
          <w:sz w:val="24"/>
          <w:szCs w:val="20"/>
          <w:highlight w:val="none"/>
        </w:rPr>
        <w:t>中标人按照相应时间节点完成合同履行期限要求前二项工作内容，采购人在中标人汇交普查成果后30个工作日内向中标人支付项目总价款的</w:t>
      </w:r>
      <w:r>
        <w:rPr>
          <w:rFonts w:hint="eastAsia" w:ascii="宋体" w:hAnsi="宋体" w:cs="宋体"/>
          <w:color w:val="auto"/>
          <w:sz w:val="24"/>
          <w:szCs w:val="20"/>
          <w:highlight w:val="none"/>
          <w:lang w:val="en-US" w:eastAsia="zh-CN"/>
        </w:rPr>
        <w:t>2</w:t>
      </w:r>
      <w:r>
        <w:rPr>
          <w:rFonts w:hint="eastAsia" w:ascii="宋体" w:hAnsi="宋体" w:cs="宋体"/>
          <w:color w:val="auto"/>
          <w:sz w:val="24"/>
          <w:szCs w:val="20"/>
          <w:highlight w:val="none"/>
        </w:rPr>
        <w:t>0%；</w:t>
      </w:r>
      <w:r>
        <w:rPr>
          <w:rFonts w:hint="eastAsia" w:ascii="宋体" w:hAnsi="宋体" w:cs="宋体"/>
          <w:color w:val="auto"/>
          <w:kern w:val="0"/>
          <w:sz w:val="24"/>
          <w:highlight w:val="none"/>
          <w:lang w:val="zh-CN"/>
        </w:rPr>
        <w:t>2022年1</w:t>
      </w:r>
      <w:r>
        <w:rPr>
          <w:rFonts w:hint="eastAsia" w:ascii="宋体" w:hAnsi="宋体" w:cs="宋体"/>
          <w:color w:val="auto"/>
          <w:kern w:val="0"/>
          <w:sz w:val="24"/>
          <w:highlight w:val="none"/>
        </w:rPr>
        <w:t>2</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31</w:t>
      </w:r>
      <w:r>
        <w:rPr>
          <w:rFonts w:hint="eastAsia" w:ascii="宋体" w:hAnsi="宋体" w:cs="宋体"/>
          <w:color w:val="auto"/>
          <w:kern w:val="0"/>
          <w:sz w:val="24"/>
          <w:highlight w:val="none"/>
          <w:lang w:val="zh-CN"/>
        </w:rPr>
        <w:t>日前完成普查区域内所有普查成果验收、绘制</w:t>
      </w:r>
      <w:r>
        <w:rPr>
          <w:rFonts w:hint="eastAsia" w:ascii="宋体" w:hAnsi="宋体" w:cs="宋体"/>
          <w:color w:val="auto"/>
          <w:kern w:val="0"/>
          <w:sz w:val="24"/>
          <w:highlight w:val="none"/>
        </w:rPr>
        <w:t>新区</w:t>
      </w:r>
      <w:r>
        <w:rPr>
          <w:rFonts w:hint="eastAsia" w:ascii="宋体" w:hAnsi="宋体" w:cs="宋体"/>
          <w:color w:val="auto"/>
          <w:kern w:val="0"/>
          <w:sz w:val="24"/>
          <w:highlight w:val="none"/>
          <w:lang w:val="zh-CN"/>
        </w:rPr>
        <w:t>地下市政基础设施“一张图”，并向省自然资源厅汇交普查成果，</w:t>
      </w:r>
      <w:r>
        <w:rPr>
          <w:rFonts w:hint="eastAsia" w:ascii="宋体" w:hAnsi="宋体" w:cs="宋体"/>
          <w:color w:val="auto"/>
          <w:sz w:val="24"/>
          <w:szCs w:val="20"/>
          <w:highlight w:val="none"/>
        </w:rPr>
        <w:t>采购人应在汇交普查成果后30个工作日内向中标人支付合同金额的所有余款。</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 违约责任：中标供应商不能提供服务的，应向采购人赔偿合同额5%的违约金；</w:t>
      </w:r>
    </w:p>
    <w:p>
      <w:pPr>
        <w:numPr>
          <w:ilvl w:val="0"/>
          <w:numId w:val="7"/>
        </w:numPr>
        <w:spacing w:line="360" w:lineRule="auto"/>
        <w:ind w:firstLine="600"/>
        <w:rPr>
          <w:rFonts w:asciiTheme="minorEastAsia" w:hAnsiTheme="minorEastAsia" w:eastAsiaTheme="minorEastAsia" w:cstheme="minorEastAsia"/>
          <w:color w:val="auto"/>
          <w:sz w:val="24"/>
          <w:highlight w:val="none"/>
        </w:rPr>
      </w:pPr>
      <w:r>
        <w:rPr>
          <w:rFonts w:hint="eastAsia" w:ascii="宋体" w:hAnsi="宋体" w:cs="宋体"/>
          <w:color w:val="auto"/>
          <w:sz w:val="24"/>
          <w:highlight w:val="none"/>
        </w:rPr>
        <w:t>中标供应商未按期提交成果文件及资料，自拖延之日起，每日按合同额的5‰向采购人支付违约金，逾期超过约定日期10个工作日不能提交成果的，采购人可解除合同；因逾期或因其他违约行为导致采购人解除合同的，中标供应商应向采购人支付合同款项百分之五的违约金，如造成采购人损失超过违约金的，超出部分由中标供应商继续承担赔偿责任。</w:t>
      </w:r>
    </w:p>
    <w:p>
      <w:pPr>
        <w:pStyle w:val="2"/>
        <w:spacing w:line="360" w:lineRule="auto"/>
        <w:ind w:firstLine="600"/>
        <w:jc w:val="center"/>
        <w:rPr>
          <w:rFonts w:hAnsi="宋体" w:cs="宋体"/>
          <w:color w:val="auto"/>
          <w:sz w:val="30"/>
          <w:szCs w:val="30"/>
          <w:highlight w:val="none"/>
        </w:rPr>
      </w:pPr>
    </w:p>
    <w:p>
      <w:pPr>
        <w:pStyle w:val="2"/>
        <w:spacing w:line="360" w:lineRule="auto"/>
        <w:ind w:firstLine="600"/>
        <w:jc w:val="center"/>
        <w:rPr>
          <w:rFonts w:hAnsi="宋体" w:cs="宋体"/>
          <w:color w:val="auto"/>
          <w:sz w:val="30"/>
          <w:szCs w:val="30"/>
          <w:highlight w:val="none"/>
        </w:rPr>
      </w:pPr>
    </w:p>
    <w:p>
      <w:pPr>
        <w:pStyle w:val="2"/>
        <w:spacing w:line="360" w:lineRule="auto"/>
        <w:ind w:firstLine="600"/>
        <w:jc w:val="center"/>
        <w:rPr>
          <w:rFonts w:hAnsi="宋体" w:cs="宋体"/>
          <w:color w:val="auto"/>
          <w:sz w:val="30"/>
          <w:szCs w:val="30"/>
          <w:highlight w:val="none"/>
        </w:rPr>
      </w:pPr>
    </w:p>
    <w:p>
      <w:pPr>
        <w:pStyle w:val="2"/>
        <w:spacing w:line="360" w:lineRule="auto"/>
        <w:ind w:firstLine="600"/>
        <w:jc w:val="center"/>
        <w:rPr>
          <w:rFonts w:hAnsi="宋体" w:cs="宋体"/>
          <w:color w:val="auto"/>
          <w:sz w:val="30"/>
          <w:szCs w:val="30"/>
          <w:highlight w:val="none"/>
        </w:rPr>
      </w:pPr>
    </w:p>
    <w:p>
      <w:pPr>
        <w:pStyle w:val="2"/>
        <w:spacing w:line="360" w:lineRule="auto"/>
        <w:ind w:firstLine="600"/>
        <w:jc w:val="center"/>
        <w:rPr>
          <w:rFonts w:hAnsi="宋体" w:cs="宋体"/>
          <w:color w:val="auto"/>
          <w:sz w:val="30"/>
          <w:szCs w:val="30"/>
          <w:highlight w:val="none"/>
        </w:rPr>
      </w:pPr>
    </w:p>
    <w:p>
      <w:pPr>
        <w:pStyle w:val="2"/>
        <w:spacing w:line="360" w:lineRule="auto"/>
        <w:ind w:firstLine="600"/>
        <w:jc w:val="center"/>
        <w:rPr>
          <w:rFonts w:hAnsi="宋体" w:cs="宋体"/>
          <w:color w:val="auto"/>
          <w:sz w:val="30"/>
          <w:szCs w:val="30"/>
          <w:highlight w:val="none"/>
        </w:rPr>
      </w:pPr>
    </w:p>
    <w:p>
      <w:pPr>
        <w:pStyle w:val="2"/>
        <w:spacing w:line="360" w:lineRule="auto"/>
        <w:ind w:firstLine="600"/>
        <w:jc w:val="center"/>
        <w:rPr>
          <w:rFonts w:hAnsi="宋体" w:cs="宋体"/>
          <w:color w:val="auto"/>
          <w:sz w:val="30"/>
          <w:szCs w:val="30"/>
          <w:highlight w:val="none"/>
        </w:rPr>
      </w:pPr>
    </w:p>
    <w:p>
      <w:pPr>
        <w:pStyle w:val="2"/>
        <w:spacing w:line="360" w:lineRule="auto"/>
        <w:ind w:firstLine="0" w:firstLineChars="0"/>
        <w:jc w:val="center"/>
        <w:rPr>
          <w:rFonts w:hAnsi="宋体" w:cs="宋体"/>
          <w:color w:val="auto"/>
          <w:sz w:val="30"/>
          <w:szCs w:val="30"/>
          <w:highlight w:val="none"/>
        </w:rPr>
      </w:pPr>
    </w:p>
    <w:p>
      <w:pPr>
        <w:pStyle w:val="2"/>
        <w:spacing w:line="360" w:lineRule="auto"/>
        <w:ind w:firstLine="600"/>
        <w:jc w:val="center"/>
        <w:rPr>
          <w:rFonts w:hAnsi="宋体" w:cs="宋体"/>
          <w:color w:val="auto"/>
          <w:sz w:val="30"/>
          <w:szCs w:val="30"/>
          <w:highlight w:val="none"/>
        </w:rPr>
      </w:pPr>
      <w:r>
        <w:rPr>
          <w:rFonts w:hint="eastAsia" w:hAnsi="宋体" w:cs="宋体"/>
          <w:color w:val="auto"/>
          <w:sz w:val="30"/>
          <w:szCs w:val="30"/>
          <w:highlight w:val="none"/>
        </w:rPr>
        <w:t>第三章  投标人须知</w:t>
      </w:r>
    </w:p>
    <w:p>
      <w:pPr>
        <w:snapToGrid w:val="0"/>
        <w:spacing w:before="156" w:beforeLines="50" w:after="156" w:afterLines="50" w:line="360" w:lineRule="auto"/>
        <w:ind w:left="238"/>
        <w:jc w:val="center"/>
        <w:outlineLvl w:val="1"/>
        <w:rPr>
          <w:rFonts w:ascii="宋体" w:hAnsi="宋体" w:cs="宋体"/>
          <w:b/>
          <w:color w:val="auto"/>
          <w:szCs w:val="28"/>
          <w:highlight w:val="none"/>
        </w:rPr>
      </w:pPr>
      <w:r>
        <w:rPr>
          <w:rFonts w:hint="eastAsia" w:ascii="宋体" w:hAnsi="宋体" w:cs="宋体"/>
          <w:b/>
          <w:color w:val="auto"/>
          <w:szCs w:val="28"/>
          <w:highlight w:val="none"/>
        </w:rPr>
        <w:t>前 附 表</w:t>
      </w:r>
    </w:p>
    <w:tbl>
      <w:tblPr>
        <w:tblStyle w:val="38"/>
        <w:tblW w:w="9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9"/>
        <w:gridCol w:w="8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8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8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1200" w:hanging="1200" w:hangingChars="50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bCs/>
                <w:color w:val="auto"/>
                <w:sz w:val="24"/>
                <w:highlight w:val="none"/>
              </w:rPr>
              <w:t>城市地下市政基础设施普查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8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采购数量：详见第二章“招标需求”</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采购单位：</w:t>
            </w:r>
            <w:r>
              <w:rPr>
                <w:rFonts w:hint="eastAsia" w:ascii="宋体" w:hAnsi="宋体" w:cs="宋体"/>
                <w:bCs/>
                <w:color w:val="auto"/>
                <w:sz w:val="24"/>
                <w:highlight w:val="none"/>
              </w:rPr>
              <w:t>台州湾新区管理委员会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47"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8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投标报价及费用：</w:t>
            </w:r>
          </w:p>
          <w:p>
            <w:pPr>
              <w:numPr>
                <w:ilvl w:val="0"/>
                <w:numId w:val="8"/>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本项目投标应以人民币报价；</w:t>
            </w:r>
          </w:p>
          <w:p>
            <w:pPr>
              <w:numPr>
                <w:ilvl w:val="0"/>
                <w:numId w:val="8"/>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不论投标结果如何，投标人均应自行承担所有与投标有关的全部费用；</w:t>
            </w:r>
          </w:p>
          <w:p>
            <w:pPr>
              <w:numPr>
                <w:ilvl w:val="0"/>
                <w:numId w:val="8"/>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本次招标代理服务费32000元由中标人支付，请各投标人报价时综合考虑。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8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投标保证金：根据《浙江省财政厅关于明确政府采购保证金管理工作的通知》（浙财采监〔2019〕5号）相关规定，本项目不设置投标保证金。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8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现场踏勘： 投标人可自行踏勘，采购人不组织统一踏勘。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48"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8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sz w:val="24"/>
                <w:highlight w:val="none"/>
              </w:rPr>
            </w:pPr>
            <w:r>
              <w:rPr>
                <w:rFonts w:hint="eastAsia" w:ascii="宋体"/>
                <w:color w:val="auto"/>
                <w:kern w:val="21"/>
                <w:sz w:val="24"/>
                <w:highlight w:val="none"/>
              </w:rPr>
              <w:t>项目类别</w:t>
            </w:r>
            <w:r>
              <w:rPr>
                <w:rFonts w:hint="eastAsia" w:ascii="宋体"/>
                <w:b/>
                <w:bCs/>
                <w:color w:val="auto"/>
                <w:kern w:val="21"/>
                <w:sz w:val="24"/>
                <w:highlight w:val="none"/>
              </w:rPr>
              <w:t>：</w:t>
            </w:r>
            <w:r>
              <w:rPr>
                <w:rFonts w:hint="eastAsia" w:ascii="宋体"/>
                <w:b/>
                <w:bCs/>
                <w:color w:val="auto"/>
                <w:kern w:val="21"/>
                <w:sz w:val="24"/>
                <w:highlight w:val="none"/>
                <w:u w:val="single"/>
              </w:rPr>
              <w:t>服务类</w:t>
            </w:r>
            <w:r>
              <w:rPr>
                <w:rFonts w:hint="eastAsia" w:ascii="宋体"/>
                <w:color w:val="auto"/>
                <w:kern w:val="21"/>
                <w:sz w:val="24"/>
                <w:highlight w:val="none"/>
                <w:u w:val="single"/>
              </w:rPr>
              <w:t>。</w:t>
            </w:r>
            <w:r>
              <w:rPr>
                <w:rFonts w:hint="eastAsia" w:ascii="宋体"/>
                <w:color w:val="auto"/>
                <w:kern w:val="21"/>
                <w:sz w:val="24"/>
                <w:highlight w:val="none"/>
              </w:rPr>
              <w:t>采购标的所属行业：根据《工业和信息化部、国家统计局、国家发展和改革委员会、财政部关于印发中小企业划型标准规定的通知》（工信部联企业[2011]300 号）规定，本项目采购标的对应的中小企业划分标准所属行业为</w:t>
            </w:r>
            <w:r>
              <w:rPr>
                <w:rFonts w:hint="eastAsia" w:ascii="宋体"/>
                <w:b/>
                <w:bCs/>
                <w:color w:val="auto"/>
                <w:kern w:val="21"/>
                <w:sz w:val="24"/>
                <w:highlight w:val="none"/>
                <w:u w:val="single"/>
              </w:rPr>
              <w:t>（十六）其他未列明行业</w:t>
            </w:r>
            <w:r>
              <w:rPr>
                <w:rFonts w:hint="eastAsia" w:ascii="宋体"/>
                <w:color w:val="auto"/>
                <w:kern w:val="21"/>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8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演示时间及地点（如有）：</w:t>
            </w:r>
            <w:r>
              <w:rPr>
                <w:rFonts w:hint="eastAsia" w:ascii="宋体" w:hAnsi="宋体" w:cs="宋体"/>
                <w:b/>
                <w:bCs/>
                <w:color w:val="auto"/>
                <w:sz w:val="24"/>
                <w:highlight w:val="none"/>
              </w:rPr>
              <w:t>2022年</w:t>
            </w:r>
            <w:r>
              <w:rPr>
                <w:rFonts w:hint="eastAsia" w:ascii="宋体" w:hAnsi="宋体" w:cs="宋体"/>
                <w:b/>
                <w:bCs/>
                <w:color w:val="auto"/>
                <w:sz w:val="24"/>
                <w:highlight w:val="none"/>
                <w:lang w:val="en-US" w:eastAsia="zh-CN"/>
              </w:rPr>
              <w:t>05</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05</w:t>
            </w:r>
            <w:r>
              <w:rPr>
                <w:rFonts w:hint="eastAsia" w:ascii="宋体" w:hAnsi="宋体" w:cs="宋体"/>
                <w:b/>
                <w:bCs/>
                <w:color w:val="auto"/>
                <w:sz w:val="24"/>
                <w:highlight w:val="none"/>
              </w:rPr>
              <w:t>日上午9:30，浙江省台州市市府大道507号台州国际商务广场3幢（南门）三楼评标室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8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b/>
                <w:bCs/>
                <w:color w:val="auto"/>
                <w:sz w:val="24"/>
                <w:highlight w:val="none"/>
              </w:rPr>
            </w:pPr>
            <w:r>
              <w:rPr>
                <w:rFonts w:hint="eastAsia" w:ascii="宋体" w:hAnsi="宋体" w:cs="宋体"/>
                <w:b/>
                <w:bCs/>
                <w:color w:val="auto"/>
                <w:sz w:val="24"/>
                <w:highlight w:val="none"/>
              </w:rPr>
              <w:t>投标文件形式：</w:t>
            </w:r>
          </w:p>
          <w:p>
            <w:pPr>
              <w:autoSpaceDE w:val="0"/>
              <w:autoSpaceDN w:val="0"/>
              <w:snapToGrid w:val="0"/>
              <w:spacing w:line="360" w:lineRule="auto"/>
              <w:textAlignment w:val="bottom"/>
              <w:rPr>
                <w:rFonts w:ascii="宋体" w:hAnsi="宋体" w:cs="宋体"/>
                <w:b/>
                <w:bCs/>
                <w:color w:val="auto"/>
                <w:sz w:val="24"/>
                <w:highlight w:val="none"/>
              </w:rPr>
            </w:pPr>
            <w:r>
              <w:rPr>
                <w:rFonts w:hint="eastAsia" w:ascii="宋体" w:hAnsi="宋体" w:cs="宋体"/>
                <w:b/>
                <w:bCs/>
                <w:color w:val="auto"/>
                <w:sz w:val="24"/>
                <w:highlight w:val="none"/>
              </w:rPr>
              <w:t>本项目实行电子投标。</w:t>
            </w:r>
          </w:p>
          <w:p>
            <w:pPr>
              <w:autoSpaceDE w:val="0"/>
              <w:autoSpaceDN w:val="0"/>
              <w:snapToGrid w:val="0"/>
              <w:spacing w:line="360" w:lineRule="auto"/>
              <w:textAlignment w:val="bottom"/>
              <w:rPr>
                <w:rFonts w:ascii="宋体" w:hAnsi="宋体" w:cs="宋体"/>
                <w:b/>
                <w:bCs/>
                <w:color w:val="auto"/>
                <w:sz w:val="24"/>
                <w:highlight w:val="none"/>
              </w:rPr>
            </w:pPr>
            <w:r>
              <w:rPr>
                <w:rFonts w:hint="eastAsia" w:ascii="宋体" w:hAnsi="宋体" w:cs="宋体"/>
                <w:b/>
                <w:bCs/>
                <w:color w:val="auto"/>
                <w:sz w:val="24"/>
                <w:highlight w:val="none"/>
              </w:rPr>
              <w:t>供应商应准备电子加密投标文件、还可以提交以介质（U盘）存储的数据电文形式的备份投标文件。</w:t>
            </w:r>
          </w:p>
          <w:p>
            <w:pPr>
              <w:autoSpaceDE w:val="0"/>
              <w:autoSpaceDN w:val="0"/>
              <w:snapToGrid w:val="0"/>
              <w:spacing w:line="360" w:lineRule="auto"/>
              <w:textAlignment w:val="bottom"/>
              <w:rPr>
                <w:rFonts w:ascii="宋体" w:hAnsi="宋体" w:cs="宋体"/>
                <w:b/>
                <w:bCs/>
                <w:color w:val="auto"/>
                <w:sz w:val="24"/>
                <w:highlight w:val="none"/>
              </w:rPr>
            </w:pPr>
            <w:r>
              <w:rPr>
                <w:rFonts w:hint="eastAsia" w:ascii="宋体" w:hAnsi="宋体" w:cs="宋体"/>
                <w:b/>
                <w:bCs/>
                <w:color w:val="auto"/>
                <w:sz w:val="24"/>
                <w:highlight w:val="none"/>
              </w:rPr>
              <w:t>（1）“电子加密投标文件”是指通过“政采云电子交易客户端”完成投标文件编制后生成并加密的数据电文形式的投标文件（后缀格式为.jmbs）。</w:t>
            </w:r>
          </w:p>
          <w:p>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b/>
                <w:bCs/>
                <w:color w:val="auto"/>
                <w:sz w:val="24"/>
                <w:highlight w:val="none"/>
              </w:rPr>
              <w:t>（2）“备份投标文件”是指与“电子加密投标文件”同时生成的数据电文形式的电子文件（备份投标文件，用于供应商电子加密投标文件解密异常时应急使用），其他方式编制的备份投标文件视为无效备份投标文件。备份投标文件（后缀格式为.bfbs）以U盘形式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8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投标截止时间及地点：</w:t>
            </w:r>
            <w:r>
              <w:rPr>
                <w:rFonts w:hint="eastAsia" w:ascii="宋体" w:hAnsi="宋体" w:cs="宋体"/>
                <w:color w:val="auto"/>
                <w:sz w:val="24"/>
                <w:highlight w:val="none"/>
                <w:u w:val="single"/>
              </w:rPr>
              <w:t>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8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开标时间及地点：</w:t>
            </w:r>
            <w:r>
              <w:rPr>
                <w:rFonts w:hint="eastAsia" w:ascii="宋体" w:hAnsi="宋体" w:cs="宋体"/>
                <w:color w:val="auto"/>
                <w:sz w:val="24"/>
                <w:highlight w:val="none"/>
                <w:u w:val="single"/>
              </w:rPr>
              <w:t>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8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评标办法及评分标准：详见本招标文件第四章《评标办法及评分标准》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6"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8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ind w:firstLine="480" w:firstLineChars="200"/>
              <w:textAlignment w:val="bottom"/>
              <w:rPr>
                <w:rFonts w:ascii="宋体" w:hAnsi="宋体" w:cs="宋体"/>
                <w:color w:val="auto"/>
                <w:sz w:val="24"/>
                <w:szCs w:val="20"/>
                <w:highlight w:val="none"/>
              </w:rPr>
            </w:pPr>
            <w:r>
              <w:rPr>
                <w:rFonts w:hint="eastAsia" w:ascii="宋体" w:hAnsi="宋体" w:cs="宋体"/>
                <w:color w:val="auto"/>
                <w:sz w:val="24"/>
                <w:szCs w:val="20"/>
                <w:highlight w:val="none"/>
              </w:rPr>
              <w:t>中标公告及中标通知书：中标人确定之日起2个工作日内，中标公告发布于上述媒体。如中标、成交供应商享受小微企业扶持政策的，成交供应商的《小微企业声明函》随中标结果公布。</w:t>
            </w:r>
          </w:p>
          <w:p>
            <w:pPr>
              <w:pStyle w:val="10"/>
              <w:spacing w:line="360" w:lineRule="auto"/>
              <w:rPr>
                <w:color w:val="auto"/>
                <w:highlight w:val="none"/>
              </w:rPr>
            </w:pPr>
            <w:r>
              <w:rPr>
                <w:rFonts w:hint="eastAsia" w:ascii="宋体" w:hAnsi="宋体" w:cs="宋体"/>
                <w:color w:val="auto"/>
                <w:sz w:val="24"/>
                <w:highlight w:val="none"/>
              </w:rPr>
              <w:t>如供应商提供的声明函内容不实的，属于提供虚假材料谋取中标、成交，依照《中华人民共和国政府采购法》等国家有关规定追究相应责任。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8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签订合同时间：中标通知书发出后30日内。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14</w:t>
            </w:r>
          </w:p>
        </w:tc>
        <w:tc>
          <w:tcPr>
            <w:tcW w:w="8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履约</w:t>
            </w:r>
            <w:r>
              <w:rPr>
                <w:rFonts w:ascii="宋体" w:hAnsi="宋体" w:cs="宋体"/>
                <w:color w:val="auto"/>
                <w:sz w:val="24"/>
                <w:highlight w:val="none"/>
              </w:rPr>
              <w:t>保证金</w:t>
            </w:r>
            <w:r>
              <w:rPr>
                <w:rFonts w:hint="eastAsia" w:ascii="宋体" w:hAnsi="宋体" w:cs="宋体"/>
                <w:color w:val="auto"/>
                <w:sz w:val="24"/>
                <w:highlight w:val="none"/>
              </w:rPr>
              <w:t>：以保函或现金形式收取，金额为合同价款的2%</w:t>
            </w:r>
            <w:r>
              <w:rPr>
                <w:rFonts w:ascii="宋体" w:hAnsi="宋体" w:cs="宋体"/>
                <w:color w:val="auto"/>
                <w:sz w:val="24"/>
                <w:highlight w:val="none"/>
              </w:rPr>
              <w:t>。</w:t>
            </w:r>
            <w:r>
              <w:rPr>
                <w:rFonts w:ascii="宋体" w:hAnsi="宋体" w:cs="宋体"/>
                <w:color w:val="auto"/>
                <w:sz w:val="24"/>
                <w:highlight w:val="none"/>
              </w:rPr>
              <w:br w:type="textWrapping"/>
            </w:r>
            <w:r>
              <w:rPr>
                <w:rFonts w:hint="eastAsia" w:ascii="宋体" w:hAnsi="宋体" w:cs="宋体"/>
                <w:color w:val="auto"/>
                <w:sz w:val="24"/>
                <w:highlight w:val="none"/>
              </w:rPr>
              <w:t>中标人在合同签订前向采购单位缴纳中标金额2%的履约保证金。缴纳方式为：（可以选择转账、支票、汇票、本票或者金融机构出具的独立保函等形式之一）。</w:t>
            </w:r>
          </w:p>
          <w:p>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项目验收合格后7个工作日内返还履约保证金（不计息）。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8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采购资金来源：预算资金。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16</w:t>
            </w:r>
          </w:p>
        </w:tc>
        <w:tc>
          <w:tcPr>
            <w:tcW w:w="8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付款方式：详见合同条款。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5" w:hRule="exac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17</w:t>
            </w:r>
          </w:p>
        </w:tc>
        <w:tc>
          <w:tcPr>
            <w:tcW w:w="8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投标文件递交要求：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本项目实行</w:t>
            </w:r>
            <w:r>
              <w:rPr>
                <w:rFonts w:hint="eastAsia" w:ascii="宋体" w:hAnsi="宋体" w:cs="宋体"/>
                <w:b/>
                <w:bCs/>
                <w:color w:val="auto"/>
                <w:sz w:val="24"/>
                <w:highlight w:val="none"/>
              </w:rPr>
              <w:t>电子投标</w:t>
            </w:r>
            <w:r>
              <w:rPr>
                <w:rFonts w:hint="eastAsia" w:ascii="宋体" w:hAnsi="宋体" w:cs="宋体"/>
                <w:color w:val="auto"/>
                <w:sz w:val="24"/>
                <w:highlight w:val="none"/>
              </w:rPr>
              <w:t>，供应商应准备电子投标文件、还可以提交以介质（U盘）存储的数据电文形式的备份投标文件二类：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1.电子投标文件，按政采云平台项目采购--电子招投标操作指南及本招标文件要求编制、递交。</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2.以介质（U盘）存储的数据电文形式的备份投标文件，按政采云平台项目采购-电子招投标操作指南中上传的电子投标文件格式，以U盘形式提供。</w:t>
            </w:r>
          </w:p>
          <w:p>
            <w:pPr>
              <w:autoSpaceDE w:val="0"/>
              <w:autoSpaceDN w:val="0"/>
              <w:snapToGrid w:val="0"/>
              <w:spacing w:line="360" w:lineRule="auto"/>
              <w:ind w:firstLine="480" w:firstLineChars="200"/>
              <w:textAlignment w:val="bottom"/>
              <w:rPr>
                <w:rFonts w:ascii="宋体" w:hAnsi="宋体" w:cs="宋体"/>
                <w:color w:val="auto"/>
                <w:sz w:val="24"/>
                <w:highlight w:val="none"/>
              </w:rPr>
            </w:pPr>
            <w:r>
              <w:rPr>
                <w:rFonts w:hint="eastAsia" w:ascii="宋体" w:hAnsi="宋体" w:cs="宋体"/>
                <w:color w:val="auto"/>
                <w:sz w:val="24"/>
                <w:highlight w:val="none"/>
              </w:rPr>
              <w:t>3.投标文件启用顺序和效力：投标文件的启用，按先后顺位分别为电子投标文件、以介质（U盘）存储的数据电文形式的备份投标文件。投标人的电子投标文件已按时解密的，备份投标文件自动失效。某位投标人的电子投标文件无法按时解密的，启用以介质（U盘）存储的数据电文形式的“备份投标文件”进行开评标。</w:t>
            </w:r>
          </w:p>
          <w:p>
            <w:pPr>
              <w:autoSpaceDE w:val="0"/>
              <w:autoSpaceDN w:val="0"/>
              <w:snapToGrid w:val="0"/>
              <w:spacing w:line="360" w:lineRule="auto"/>
              <w:ind w:firstLine="480" w:firstLineChars="200"/>
              <w:textAlignment w:val="bottom"/>
              <w:rPr>
                <w:rFonts w:ascii="宋体" w:hAnsi="宋体" w:cs="宋体"/>
                <w:color w:val="auto"/>
                <w:sz w:val="24"/>
                <w:highlight w:val="none"/>
              </w:rPr>
            </w:pPr>
            <w:r>
              <w:rPr>
                <w:rFonts w:hint="eastAsia" w:ascii="宋体" w:hAnsi="宋体" w:cs="宋体"/>
                <w:color w:val="auto"/>
                <w:sz w:val="24"/>
                <w:highlight w:val="none"/>
              </w:rPr>
              <w:t>4.未传输递交电子投标文件的，投标无效。未按规定提供相应的备份投标文件，造成项目开评标活动无法进行下去的，投标无效。仅提交备份文件的，投标无效。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18</w:t>
            </w:r>
          </w:p>
        </w:tc>
        <w:tc>
          <w:tcPr>
            <w:tcW w:w="8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投标文件有效期：90天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7" w:hRule="exac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9</w:t>
            </w:r>
          </w:p>
        </w:tc>
        <w:tc>
          <w:tcPr>
            <w:tcW w:w="8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color w:val="auto"/>
                <w:sz w:val="24"/>
                <w:highlight w:val="none"/>
              </w:rPr>
            </w:pPr>
            <w:r>
              <w:rPr>
                <w:rFonts w:hint="eastAsia" w:asciiTheme="minorEastAsia" w:hAnsiTheme="minorEastAsia" w:eastAsiaTheme="minorEastAsia" w:cstheme="minorEastAsia"/>
                <w:color w:val="auto"/>
                <w:kern w:val="0"/>
                <w:sz w:val="24"/>
                <w:highlight w:val="none"/>
                <w:lang w:val="zh-CN"/>
              </w:rPr>
              <w:t>实质性条款：带“</w:t>
            </w:r>
            <w:r>
              <w:rPr>
                <w:rFonts w:hint="eastAsia" w:asciiTheme="minorEastAsia" w:hAnsiTheme="minorEastAsia" w:eastAsiaTheme="minorEastAsia" w:cstheme="minorEastAsia"/>
                <w:bCs/>
                <w:color w:val="auto"/>
                <w:sz w:val="24"/>
                <w:highlight w:val="none"/>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exact"/>
        </w:trPr>
        <w:tc>
          <w:tcPr>
            <w:tcW w:w="8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0</w:t>
            </w:r>
          </w:p>
        </w:tc>
        <w:tc>
          <w:tcPr>
            <w:tcW w:w="837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b/>
                <w:color w:val="auto"/>
                <w:sz w:val="24"/>
                <w:highlight w:val="none"/>
              </w:rPr>
            </w:pPr>
            <w:r>
              <w:rPr>
                <w:rFonts w:hint="eastAsia" w:ascii="宋体" w:hAnsi="宋体" w:cs="宋体"/>
                <w:color w:val="auto"/>
                <w:sz w:val="24"/>
                <w:highlight w:val="none"/>
              </w:rPr>
              <w:t>解释：本招标文件的解释权属于招标采购单位。</w:t>
            </w:r>
          </w:p>
        </w:tc>
      </w:tr>
    </w:tbl>
    <w:p>
      <w:pPr>
        <w:pStyle w:val="21"/>
        <w:snapToGrid w:val="0"/>
        <w:spacing w:before="156" w:after="156" w:line="360" w:lineRule="auto"/>
        <w:rPr>
          <w:rFonts w:hAnsi="宋体" w:cs="宋体"/>
          <w:b/>
          <w:color w:val="auto"/>
          <w:sz w:val="30"/>
          <w:szCs w:val="30"/>
          <w:highlight w:val="none"/>
        </w:rPr>
      </w:pPr>
      <w:r>
        <w:rPr>
          <w:rFonts w:hint="eastAsia" w:hAnsi="宋体" w:cs="宋体"/>
          <w:color w:val="auto"/>
          <w:highlight w:val="none"/>
        </w:rPr>
        <w:br w:type="page"/>
      </w:r>
      <w:r>
        <w:rPr>
          <w:rFonts w:hint="eastAsia" w:hAnsi="宋体" w:cs="宋体"/>
          <w:b/>
          <w:color w:val="auto"/>
          <w:sz w:val="30"/>
          <w:szCs w:val="30"/>
          <w:highlight w:val="none"/>
        </w:rPr>
        <w:t>一、总  则</w:t>
      </w:r>
    </w:p>
    <w:p>
      <w:pPr>
        <w:snapToGrid w:val="0"/>
        <w:spacing w:line="360" w:lineRule="auto"/>
        <w:ind w:firstLine="472" w:firstLineChars="196"/>
        <w:jc w:val="left"/>
        <w:outlineLvl w:val="1"/>
        <w:rPr>
          <w:rFonts w:ascii="宋体" w:hAnsi="宋体" w:cs="宋体"/>
          <w:b/>
          <w:color w:val="auto"/>
          <w:sz w:val="24"/>
          <w:szCs w:val="20"/>
          <w:highlight w:val="none"/>
        </w:rPr>
      </w:pPr>
      <w:r>
        <w:rPr>
          <w:rFonts w:hint="eastAsia" w:ascii="宋体" w:hAnsi="宋体" w:cs="宋体"/>
          <w:b/>
          <w:color w:val="auto"/>
          <w:sz w:val="24"/>
          <w:highlight w:val="none"/>
        </w:rPr>
        <w:t>（一）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本招标文件适用于本项目的招标、投标、评标、定标、验收、合同履约、付款等行为（法律、法规另有规定的，从其规定）。</w:t>
      </w:r>
    </w:p>
    <w:p>
      <w:pPr>
        <w:snapToGrid w:val="0"/>
        <w:spacing w:before="156" w:beforeLines="50" w:line="360" w:lineRule="auto"/>
        <w:ind w:firstLine="354" w:firstLineChars="147"/>
        <w:jc w:val="left"/>
        <w:outlineLvl w:val="1"/>
        <w:rPr>
          <w:rFonts w:ascii="宋体" w:hAnsi="宋体" w:cs="宋体"/>
          <w:b/>
          <w:color w:val="auto"/>
          <w:sz w:val="24"/>
          <w:szCs w:val="20"/>
          <w:highlight w:val="none"/>
        </w:rPr>
      </w:pPr>
      <w:r>
        <w:rPr>
          <w:rFonts w:hint="eastAsia" w:ascii="宋体" w:hAnsi="宋体" w:cs="宋体"/>
          <w:b/>
          <w:color w:val="auto"/>
          <w:sz w:val="24"/>
          <w:highlight w:val="none"/>
        </w:rPr>
        <w:t>（二）定义</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1.招标采购单位系指组织本次招标的代理机构（“采购人”）和采购单位。</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2.“投标人”系指向招标方提交投标文件的单位或个人。</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3.“产品”系指供方按招标文件规定，须向采购人提供的一切设备、保险、税金、备品备件、工具、手册及其它有关技术资料和材料。</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4.“服务”系指招标文件规定投标人须承担的安装、调试、技术协助、校准、培训、技术指导以及其他类似的义务。</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5.“项目”系指投标人按招标文件规定向采购人提供的产品和服务。</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6.“书面形式”包括信函、传真、电报等。</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7.“▲”系指实质性要求条款。</w:t>
      </w:r>
    </w:p>
    <w:p>
      <w:pPr>
        <w:snapToGrid w:val="0"/>
        <w:spacing w:before="156" w:beforeLines="50" w:line="360" w:lineRule="auto"/>
        <w:ind w:firstLine="472" w:firstLineChars="196"/>
        <w:jc w:val="left"/>
        <w:outlineLvl w:val="1"/>
        <w:rPr>
          <w:rFonts w:ascii="宋体" w:hAnsi="宋体" w:cs="宋体"/>
          <w:b/>
          <w:color w:val="auto"/>
          <w:sz w:val="24"/>
          <w:szCs w:val="20"/>
          <w:highlight w:val="none"/>
        </w:rPr>
      </w:pPr>
      <w:r>
        <w:rPr>
          <w:rFonts w:hint="eastAsia" w:ascii="宋体" w:hAnsi="宋体" w:cs="宋体"/>
          <w:b/>
          <w:color w:val="auto"/>
          <w:sz w:val="24"/>
          <w:highlight w:val="none"/>
        </w:rPr>
        <w:t>（三）招标方式</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本次招标采用公开招标方式进行。</w:t>
      </w:r>
    </w:p>
    <w:p>
      <w:pPr>
        <w:snapToGrid w:val="0"/>
        <w:spacing w:before="156" w:beforeLines="50" w:line="360" w:lineRule="auto"/>
        <w:ind w:firstLine="472" w:firstLineChars="196"/>
        <w:jc w:val="left"/>
        <w:outlineLvl w:val="1"/>
        <w:rPr>
          <w:rFonts w:ascii="宋体" w:hAnsi="宋体" w:cs="宋体"/>
          <w:b/>
          <w:color w:val="auto"/>
          <w:sz w:val="24"/>
          <w:szCs w:val="20"/>
          <w:highlight w:val="none"/>
        </w:rPr>
      </w:pPr>
      <w:r>
        <w:rPr>
          <w:rFonts w:hint="eastAsia" w:ascii="宋体" w:hAnsi="宋体" w:cs="宋体"/>
          <w:b/>
          <w:color w:val="auto"/>
          <w:sz w:val="24"/>
          <w:highlight w:val="none"/>
        </w:rPr>
        <w:t>（四）投标委托</w:t>
      </w:r>
    </w:p>
    <w:p>
      <w:pPr>
        <w:pStyle w:val="17"/>
        <w:snapToGrid w:val="0"/>
        <w:spacing w:line="360" w:lineRule="auto"/>
        <w:ind w:firstLine="464" w:firstLineChars="200"/>
        <w:jc w:val="left"/>
        <w:rPr>
          <w:rFonts w:hAnsi="宋体" w:cs="宋体"/>
          <w:color w:val="auto"/>
          <w:sz w:val="24"/>
          <w:szCs w:val="24"/>
          <w:highlight w:val="none"/>
        </w:rPr>
      </w:pPr>
      <w:r>
        <w:rPr>
          <w:rFonts w:hAnsi="宋体" w:cs="宋体"/>
          <w:color w:val="auto"/>
          <w:sz w:val="24"/>
          <w:szCs w:val="24"/>
          <w:highlight w:val="none"/>
        </w:rPr>
        <w:t>投标人代表须携带有效身份证件。如投标人代表不是法定代表人，须有法定代表人出具的授权委托书。</w:t>
      </w:r>
    </w:p>
    <w:p>
      <w:pPr>
        <w:snapToGrid w:val="0"/>
        <w:spacing w:before="156" w:beforeLines="50" w:line="360" w:lineRule="auto"/>
        <w:ind w:firstLine="472" w:firstLineChars="196"/>
        <w:jc w:val="left"/>
        <w:outlineLvl w:val="1"/>
        <w:rPr>
          <w:rFonts w:ascii="宋体" w:hAnsi="宋体" w:cs="宋体"/>
          <w:b/>
          <w:color w:val="auto"/>
          <w:sz w:val="24"/>
          <w:szCs w:val="20"/>
          <w:highlight w:val="none"/>
        </w:rPr>
      </w:pPr>
      <w:r>
        <w:rPr>
          <w:rFonts w:hint="eastAsia" w:ascii="宋体" w:hAnsi="宋体" w:cs="宋体"/>
          <w:b/>
          <w:color w:val="auto"/>
          <w:sz w:val="24"/>
          <w:highlight w:val="none"/>
        </w:rPr>
        <w:t>（五）投标费用</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不论投标结果如何，投标人均应自行承担所有与投标有关的全部费用（招标文件有相关规定除外）。</w:t>
      </w:r>
    </w:p>
    <w:p>
      <w:pPr>
        <w:snapToGrid w:val="0"/>
        <w:spacing w:before="156" w:beforeLines="50" w:line="360" w:lineRule="auto"/>
        <w:ind w:firstLine="472" w:firstLineChars="196"/>
        <w:jc w:val="left"/>
        <w:rPr>
          <w:rFonts w:ascii="宋体" w:hAnsi="宋体" w:cs="宋体"/>
          <w:b/>
          <w:color w:val="auto"/>
          <w:sz w:val="24"/>
          <w:szCs w:val="20"/>
          <w:highlight w:val="none"/>
        </w:rPr>
      </w:pPr>
      <w:r>
        <w:rPr>
          <w:rFonts w:hint="eastAsia" w:ascii="宋体" w:hAnsi="宋体" w:cs="宋体"/>
          <w:b/>
          <w:color w:val="auto"/>
          <w:sz w:val="24"/>
          <w:highlight w:val="none"/>
        </w:rPr>
        <w:t>（六）联合体投标</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本项目不接受联合体投标。</w:t>
      </w:r>
    </w:p>
    <w:p>
      <w:pPr>
        <w:snapToGrid w:val="0"/>
        <w:spacing w:before="156" w:beforeLines="50" w:line="360" w:lineRule="auto"/>
        <w:ind w:firstLine="472" w:firstLineChars="196"/>
        <w:rPr>
          <w:rFonts w:ascii="宋体" w:hAnsi="宋体" w:cs="宋体"/>
          <w:b/>
          <w:color w:val="auto"/>
          <w:kern w:val="0"/>
          <w:sz w:val="24"/>
          <w:szCs w:val="20"/>
          <w:highlight w:val="none"/>
        </w:rPr>
      </w:pPr>
      <w:r>
        <w:rPr>
          <w:rFonts w:hint="eastAsia" w:ascii="宋体" w:hAnsi="宋体" w:cs="宋体"/>
          <w:b/>
          <w:color w:val="auto"/>
          <w:sz w:val="24"/>
          <w:highlight w:val="none"/>
        </w:rPr>
        <w:t>（七）</w:t>
      </w:r>
      <w:r>
        <w:rPr>
          <w:rFonts w:hint="eastAsia" w:ascii="宋体" w:hAnsi="宋体" w:cs="宋体"/>
          <w:b/>
          <w:color w:val="auto"/>
          <w:kern w:val="0"/>
          <w:sz w:val="24"/>
          <w:highlight w:val="none"/>
        </w:rPr>
        <w:t>转包与分包</w:t>
      </w:r>
    </w:p>
    <w:p>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(1)本项目不允许转包与分包。</w:t>
      </w:r>
    </w:p>
    <w:p>
      <w:pPr>
        <w:snapToGrid w:val="0"/>
        <w:spacing w:line="360" w:lineRule="auto"/>
        <w:ind w:firstLine="480" w:firstLineChars="200"/>
        <w:rPr>
          <w:rFonts w:ascii="宋体" w:hAnsi="宋体" w:cs="宋体"/>
          <w:color w:val="auto"/>
          <w:kern w:val="0"/>
          <w:sz w:val="24"/>
          <w:highlight w:val="none"/>
        </w:rPr>
      </w:pPr>
    </w:p>
    <w:p>
      <w:pPr>
        <w:pStyle w:val="10"/>
        <w:spacing w:line="360" w:lineRule="auto"/>
        <w:rPr>
          <w:color w:val="auto"/>
          <w:highlight w:val="none"/>
        </w:rPr>
      </w:pPr>
    </w:p>
    <w:p>
      <w:pPr>
        <w:snapToGrid w:val="0"/>
        <w:spacing w:before="156" w:beforeLines="50" w:line="360" w:lineRule="auto"/>
        <w:ind w:firstLine="472" w:firstLineChars="196"/>
        <w:jc w:val="left"/>
        <w:outlineLvl w:val="1"/>
        <w:rPr>
          <w:rFonts w:ascii="宋体" w:hAnsi="宋体" w:cs="宋体"/>
          <w:b/>
          <w:color w:val="auto"/>
          <w:sz w:val="24"/>
          <w:highlight w:val="none"/>
        </w:rPr>
      </w:pPr>
      <w:r>
        <w:rPr>
          <w:rFonts w:hint="eastAsia" w:ascii="宋体" w:hAnsi="宋体" w:cs="宋体"/>
          <w:b/>
          <w:color w:val="auto"/>
          <w:sz w:val="24"/>
          <w:highlight w:val="none"/>
        </w:rPr>
        <w:t>（八）特别说明：</w:t>
      </w:r>
    </w:p>
    <w:p>
      <w:pPr>
        <w:pStyle w:val="21"/>
        <w:snapToGrid w:val="0"/>
        <w:spacing w:beforeLines="0" w:afterLines="0" w:line="360" w:lineRule="auto"/>
        <w:ind w:left="3" w:leftChars="1" w:firstLine="480" w:firstLineChars="200"/>
        <w:rPr>
          <w:rFonts w:hAnsi="宋体" w:cs="宋体"/>
          <w:color w:val="auto"/>
          <w:highlight w:val="none"/>
        </w:rPr>
      </w:pPr>
      <w:r>
        <w:rPr>
          <w:rFonts w:hint="eastAsia" w:hAnsi="宋体" w:cs="宋体"/>
          <w:color w:val="auto"/>
          <w:highlight w:val="none"/>
        </w:rPr>
        <w:t>▲1、投标人投标所使用的资格、信誉、荣誉、业绩与企业认证必须为本法人所拥有。投标人投标所使用的采购项目实施人员必须为本法人员工（或必须为本法人</w:t>
      </w:r>
      <w:r>
        <w:rPr>
          <w:rFonts w:hint="eastAsia" w:ascii="宋体" w:hAnsi="宋体" w:cs="宋体"/>
          <w:color w:val="auto"/>
          <w:sz w:val="24"/>
          <w:highlight w:val="none"/>
        </w:rPr>
        <w:t>或控股公司正式员工</w:t>
      </w:r>
      <w:r>
        <w:rPr>
          <w:rFonts w:hint="eastAsia" w:hAnsi="宋体" w:cs="宋体"/>
          <w:color w:val="auto"/>
          <w:highlight w:val="none"/>
        </w:rPr>
        <w:t>）。</w:t>
      </w:r>
    </w:p>
    <w:p>
      <w:pPr>
        <w:pStyle w:val="21"/>
        <w:snapToGrid w:val="0"/>
        <w:spacing w:beforeLines="0" w:afterLines="0" w:line="360" w:lineRule="auto"/>
        <w:ind w:left="3" w:leftChars="1" w:firstLine="480" w:firstLineChars="200"/>
        <w:rPr>
          <w:rFonts w:hAnsi="宋体" w:cs="宋体"/>
          <w:color w:val="auto"/>
          <w:highlight w:val="none"/>
        </w:rPr>
      </w:pPr>
      <w:r>
        <w:rPr>
          <w:rFonts w:hint="eastAsia" w:hAnsi="宋体" w:cs="宋体"/>
          <w:color w:val="auto"/>
          <w:highlight w:val="none"/>
        </w:rPr>
        <w:t>▲2、投标人应仔细阅读招标文件的所有内容，按照招标文件的要求提交投标文件，并对所提供的全部资料的真实性承担法律责任。</w:t>
      </w:r>
    </w:p>
    <w:p>
      <w:pPr>
        <w:pStyle w:val="21"/>
        <w:snapToGrid w:val="0"/>
        <w:spacing w:beforeLines="0" w:afterLines="0" w:line="360" w:lineRule="auto"/>
        <w:ind w:firstLine="470" w:firstLineChars="196"/>
        <w:outlineLvl w:val="1"/>
        <w:rPr>
          <w:rFonts w:hAnsi="宋体" w:cs="宋体"/>
          <w:color w:val="auto"/>
          <w:highlight w:val="none"/>
        </w:rPr>
      </w:pPr>
      <w:r>
        <w:rPr>
          <w:rFonts w:hint="eastAsia" w:hAnsi="宋体" w:cs="宋体"/>
          <w:color w:val="auto"/>
          <w:highlight w:val="none"/>
        </w:rPr>
        <w:t>▲3、投标人在投标活动中提供任何虚假材料,其投标无效，并报监管部门查处；中标后发现的, 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06"/>
        <w:snapToGrid w:val="0"/>
        <w:spacing w:line="360" w:lineRule="auto"/>
        <w:ind w:firstLine="480"/>
        <w:rPr>
          <w:rFonts w:asciiTheme="minorEastAsia" w:hAnsiTheme="minorEastAsia" w:eastAsiaTheme="minorEastAsia" w:cstheme="minorBidi"/>
          <w:color w:val="auto"/>
          <w:sz w:val="24"/>
          <w:highlight w:val="none"/>
        </w:rPr>
      </w:pPr>
      <w:r>
        <w:rPr>
          <w:rFonts w:asciiTheme="minorEastAsia" w:hAnsiTheme="minorEastAsia" w:eastAsiaTheme="minorEastAsia" w:cstheme="minorBidi"/>
          <w:color w:val="auto"/>
          <w:sz w:val="24"/>
          <w:highlight w:val="none"/>
        </w:rPr>
        <w:t>4</w:t>
      </w:r>
      <w:r>
        <w:rPr>
          <w:rFonts w:hint="eastAsia" w:asciiTheme="minorEastAsia" w:hAnsiTheme="minorEastAsia" w:eastAsiaTheme="minorEastAsia" w:cstheme="minorBidi"/>
          <w:color w:val="auto"/>
          <w:sz w:val="24"/>
          <w:highlight w:val="none"/>
        </w:rPr>
        <w:t>、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p>
    <w:p>
      <w:pPr>
        <w:pStyle w:val="106"/>
        <w:snapToGrid w:val="0"/>
        <w:spacing w:line="360" w:lineRule="auto"/>
        <w:ind w:firstLine="48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5、投标人不得相互串通投标报价，不得妨碍其他投标人的公平竞争，不得损害采购人或其他投标人的合法权益，投标人不得以向采购人、评标委员会成员行贿或者采取其他不正当手段谋取中标。</w:t>
      </w:r>
    </w:p>
    <w:p>
      <w:pPr>
        <w:pStyle w:val="106"/>
        <w:snapToGrid w:val="0"/>
        <w:spacing w:line="360" w:lineRule="auto"/>
        <w:ind w:firstLine="480"/>
        <w:rPr>
          <w:rFonts w:asciiTheme="minorEastAsia" w:hAnsiTheme="minorEastAsia" w:eastAsiaTheme="minorEastAsia" w:cstheme="minorBidi"/>
          <w:color w:val="auto"/>
          <w:sz w:val="24"/>
          <w:highlight w:val="none"/>
        </w:rPr>
      </w:pPr>
      <w:r>
        <w:rPr>
          <w:rFonts w:asciiTheme="minorEastAsia" w:hAnsiTheme="minorEastAsia" w:eastAsiaTheme="minorEastAsia" w:cstheme="minorBidi"/>
          <w:color w:val="auto"/>
          <w:sz w:val="24"/>
          <w:highlight w:val="none"/>
        </w:rPr>
        <w:t>6</w:t>
      </w:r>
      <w:r>
        <w:rPr>
          <w:rFonts w:hint="eastAsia" w:asciiTheme="minorEastAsia" w:hAnsiTheme="minorEastAsia" w:eastAsiaTheme="minorEastAsia" w:cstheme="minorBidi"/>
          <w:color w:val="auto"/>
          <w:sz w:val="24"/>
          <w:highlight w:val="none"/>
        </w:rPr>
        <w:t>、单位负责人为同一人或者存在直接控股、管理关系的不同供应商，不得参加同一合同项下的政府采购活动。</w:t>
      </w:r>
    </w:p>
    <w:p>
      <w:pPr>
        <w:pStyle w:val="106"/>
        <w:snapToGrid w:val="0"/>
        <w:spacing w:beforeLines="0" w:afterLines="0" w:line="360" w:lineRule="auto"/>
        <w:ind w:firstLine="470" w:firstLineChars="196"/>
        <w:outlineLvl w:val="1"/>
        <w:rPr>
          <w:rFonts w:asciiTheme="minorEastAsia" w:hAnsiTheme="minorEastAsia" w:eastAsiaTheme="minorEastAsia" w:cstheme="minorBidi"/>
          <w:color w:val="auto"/>
          <w:highlight w:val="none"/>
        </w:rPr>
      </w:pPr>
      <w:r>
        <w:rPr>
          <w:rFonts w:hint="eastAsia" w:asciiTheme="minorEastAsia" w:hAnsiTheme="minorEastAsia" w:eastAsiaTheme="minorEastAsia" w:cstheme="minorBidi"/>
          <w:color w:val="auto"/>
          <w:sz w:val="24"/>
          <w:highlight w:val="none"/>
        </w:rPr>
        <w:t>7、本项目不允许分包。</w:t>
      </w:r>
    </w:p>
    <w:p>
      <w:pPr>
        <w:pStyle w:val="106"/>
        <w:snapToGrid w:val="0"/>
        <w:spacing w:line="360" w:lineRule="auto"/>
        <w:ind w:firstLine="48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（九）质疑和投诉</w:t>
      </w:r>
    </w:p>
    <w:p>
      <w:pPr>
        <w:pStyle w:val="21"/>
        <w:snapToGrid w:val="0"/>
        <w:spacing w:beforeLines="0" w:afterLines="0" w:line="360" w:lineRule="auto"/>
        <w:ind w:firstLine="480" w:firstLineChars="200"/>
        <w:rPr>
          <w:rFonts w:hAnsi="宋体" w:cs="宋体"/>
          <w:bCs/>
          <w:color w:val="auto"/>
          <w:highlight w:val="none"/>
        </w:rPr>
      </w:pPr>
      <w:r>
        <w:rPr>
          <w:rFonts w:hint="eastAsia" w:hAnsi="宋体" w:cs="宋体"/>
          <w:bCs/>
          <w:color w:val="auto"/>
          <w:highlight w:val="none"/>
        </w:rPr>
        <w:t>1.投标人认为招标文件、招标过程或中标结果使自己的合法权益受到损害的，应当在知道或者应知其权益受到损害之日起七个工作日内，一次性以书面形式向采购人、采购代理机构针对同一环节提出质疑。</w:t>
      </w:r>
      <w:r>
        <w:rPr>
          <w:rFonts w:hint="eastAsia" w:hAnsi="宋体" w:cs="宋体"/>
          <w:color w:val="auto"/>
          <w:highlight w:val="none"/>
        </w:rPr>
        <w:t>投标人对招标采购单位的质疑答复不满意或者招标采购单位未在规定时间内作出答复的，可以在答复期满后十五个工作日内向同级采购监管部门投诉。</w:t>
      </w:r>
    </w:p>
    <w:p>
      <w:pPr>
        <w:pStyle w:val="21"/>
        <w:snapToGrid w:val="0"/>
        <w:spacing w:beforeLines="0" w:afterLines="0" w:line="360" w:lineRule="auto"/>
        <w:ind w:firstLine="480" w:firstLineChars="200"/>
        <w:rPr>
          <w:rFonts w:hAnsi="宋体" w:cs="宋体"/>
          <w:bCs/>
          <w:color w:val="auto"/>
          <w:highlight w:val="none"/>
        </w:rPr>
      </w:pPr>
      <w:r>
        <w:rPr>
          <w:rFonts w:hint="eastAsia" w:hAnsi="宋体" w:cs="宋体"/>
          <w:bCs/>
          <w:color w:val="auto"/>
          <w:highlight w:val="none"/>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pPr>
        <w:pStyle w:val="21"/>
        <w:snapToGrid w:val="0"/>
        <w:spacing w:beforeLines="0" w:afterLines="0" w:line="360" w:lineRule="auto"/>
        <w:rPr>
          <w:rFonts w:hAnsi="宋体" w:cs="宋体"/>
          <w:bCs/>
          <w:color w:val="auto"/>
          <w:highlight w:val="none"/>
        </w:rPr>
      </w:pPr>
    </w:p>
    <w:p>
      <w:pPr>
        <w:pStyle w:val="21"/>
        <w:snapToGrid w:val="0"/>
        <w:spacing w:before="156" w:after="156" w:line="360" w:lineRule="auto"/>
        <w:rPr>
          <w:rFonts w:hAnsi="宋体" w:cs="宋体"/>
          <w:b/>
          <w:color w:val="auto"/>
          <w:sz w:val="30"/>
          <w:szCs w:val="30"/>
          <w:highlight w:val="none"/>
        </w:rPr>
      </w:pPr>
      <w:r>
        <w:rPr>
          <w:rFonts w:hint="eastAsia" w:hAnsi="宋体" w:cs="宋体"/>
          <w:b/>
          <w:color w:val="auto"/>
          <w:sz w:val="30"/>
          <w:szCs w:val="30"/>
          <w:highlight w:val="none"/>
        </w:rPr>
        <w:t>二、招标文件</w:t>
      </w:r>
    </w:p>
    <w:p>
      <w:pPr>
        <w:snapToGrid w:val="0"/>
        <w:spacing w:line="360" w:lineRule="auto"/>
        <w:ind w:firstLine="472" w:firstLineChars="196"/>
        <w:jc w:val="left"/>
        <w:rPr>
          <w:rFonts w:ascii="宋体" w:hAnsi="宋体" w:cs="宋体"/>
          <w:b/>
          <w:color w:val="auto"/>
          <w:sz w:val="24"/>
          <w:szCs w:val="20"/>
          <w:highlight w:val="none"/>
        </w:rPr>
      </w:pPr>
      <w:r>
        <w:rPr>
          <w:rFonts w:hint="eastAsia" w:ascii="宋体" w:hAnsi="宋体" w:cs="宋体"/>
          <w:b/>
          <w:color w:val="auto"/>
          <w:sz w:val="24"/>
          <w:highlight w:val="none"/>
        </w:rPr>
        <w:t>（一）招标文件的构成。本招标文件由以下部份组成：</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1.公开招标采购公告</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2.招标需求</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3.投标人须知</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4.评标办法及评分标准</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5.合同主要条款</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6.投标文件格式</w:t>
      </w:r>
    </w:p>
    <w:p>
      <w:pPr>
        <w:snapToGrid w:val="0"/>
        <w:spacing w:line="360" w:lineRule="auto"/>
        <w:ind w:firstLine="480" w:firstLineChars="200"/>
        <w:jc w:val="left"/>
        <w:rPr>
          <w:rFonts w:ascii="宋体" w:hAnsi="宋体" w:cs="宋体"/>
          <w:color w:val="auto"/>
          <w:sz w:val="24"/>
          <w:szCs w:val="20"/>
          <w:highlight w:val="none"/>
        </w:rPr>
      </w:pPr>
      <w:r>
        <w:rPr>
          <w:rFonts w:hint="eastAsia" w:ascii="宋体" w:hAnsi="宋体" w:cs="宋体"/>
          <w:color w:val="auto"/>
          <w:sz w:val="24"/>
          <w:highlight w:val="none"/>
        </w:rPr>
        <w:t>7.本项目招标文件的澄清、答复、修改、补充的内容</w:t>
      </w:r>
    </w:p>
    <w:p>
      <w:pPr>
        <w:snapToGrid w:val="0"/>
        <w:spacing w:before="156" w:beforeLines="50" w:line="360" w:lineRule="auto"/>
        <w:ind w:firstLine="472" w:firstLineChars="196"/>
        <w:jc w:val="left"/>
        <w:rPr>
          <w:rFonts w:ascii="宋体" w:hAnsi="宋体" w:cs="宋体"/>
          <w:b/>
          <w:color w:val="auto"/>
          <w:sz w:val="24"/>
          <w:szCs w:val="20"/>
          <w:highlight w:val="none"/>
        </w:rPr>
      </w:pPr>
      <w:r>
        <w:rPr>
          <w:rFonts w:hint="eastAsia" w:ascii="宋体" w:hAnsi="宋体" w:cs="宋体"/>
          <w:b/>
          <w:color w:val="auto"/>
          <w:sz w:val="24"/>
          <w:highlight w:val="none"/>
        </w:rPr>
        <w:t>（二）投标人的风险</w:t>
      </w:r>
    </w:p>
    <w:p>
      <w:pPr>
        <w:snapToGrid w:val="0"/>
        <w:spacing w:line="360" w:lineRule="auto"/>
        <w:ind w:firstLine="480" w:firstLineChars="200"/>
        <w:jc w:val="left"/>
        <w:rPr>
          <w:rFonts w:ascii="宋体" w:hAnsi="宋体" w:cs="宋体"/>
          <w:color w:val="auto"/>
          <w:szCs w:val="20"/>
          <w:highlight w:val="none"/>
        </w:rPr>
      </w:pPr>
      <w:r>
        <w:rPr>
          <w:rFonts w:hint="eastAsia" w:ascii="宋体" w:hAnsi="宋体" w:cs="宋体"/>
          <w:color w:val="auto"/>
          <w:sz w:val="24"/>
          <w:highlight w:val="none"/>
        </w:rPr>
        <w:t>投标人没有按照招标文件要求提供全部资料，或者投标人没有对招标文件在各方面作出实质性响应是投标人的风险，并可能导致其投标被拒绝。</w:t>
      </w:r>
    </w:p>
    <w:p>
      <w:pPr>
        <w:pStyle w:val="9"/>
        <w:widowControl w:val="0"/>
        <w:tabs>
          <w:tab w:val="clear" w:pos="454"/>
          <w:tab w:val="clear" w:pos="900"/>
        </w:tabs>
        <w:snapToGrid w:val="0"/>
        <w:spacing w:before="156" w:beforeLines="50" w:afterLines="0" w:line="360" w:lineRule="auto"/>
        <w:ind w:left="0" w:firstLine="472" w:firstLineChars="196"/>
        <w:rPr>
          <w:rFonts w:ascii="宋体" w:hAnsi="宋体" w:cs="宋体"/>
          <w:b/>
          <w:color w:val="auto"/>
          <w:szCs w:val="24"/>
          <w:highlight w:val="none"/>
        </w:rPr>
      </w:pPr>
      <w:r>
        <w:rPr>
          <w:rFonts w:hint="eastAsia" w:ascii="宋体" w:hAnsi="宋体" w:cs="宋体"/>
          <w:b/>
          <w:color w:val="auto"/>
          <w:szCs w:val="24"/>
          <w:highlight w:val="none"/>
        </w:rPr>
        <w:t xml:space="preserve">（三）招标文件的澄清与修改 </w:t>
      </w:r>
    </w:p>
    <w:p>
      <w:pPr>
        <w:pStyle w:val="21"/>
        <w:snapToGrid w:val="0"/>
        <w:spacing w:beforeLines="0" w:afterLines="0" w:line="360" w:lineRule="auto"/>
        <w:ind w:firstLine="480" w:firstLineChars="200"/>
        <w:rPr>
          <w:rFonts w:hAnsi="宋体" w:cs="宋体"/>
          <w:color w:val="auto"/>
          <w:highlight w:val="none"/>
        </w:rPr>
      </w:pPr>
      <w:r>
        <w:rPr>
          <w:rFonts w:hint="eastAsia" w:hAnsi="宋体" w:cs="宋体"/>
          <w:color w:val="auto"/>
          <w:highlight w:val="none"/>
        </w:rPr>
        <w:t>1.</w:t>
      </w:r>
      <w:r>
        <w:rPr>
          <w:rFonts w:hint="eastAsia" w:hAnsi="宋体" w:cs="宋体"/>
          <w:bCs/>
          <w:color w:val="auto"/>
          <w:highlight w:val="none"/>
        </w:rPr>
        <w:t>投标人应认真阅读本招标文件，发现其中有误或有不合理要求的，投标人必须在前附表规定的时间内以书面形式要求招标采购单位澄清</w:t>
      </w:r>
      <w:r>
        <w:rPr>
          <w:rFonts w:hint="eastAsia" w:hAnsi="宋体" w:cs="宋体"/>
          <w:color w:val="auto"/>
          <w:highlight w:val="none"/>
        </w:rPr>
        <w:t>。采购代理机构对已发出的招标文件进行必要澄清、答复、修改或补充的，应当在招标文件要求提交投标文件截止时间五日前，在公告信息发布媒体上发布更正公告，并以书面形式通知所有招标文件收受人。</w:t>
      </w:r>
    </w:p>
    <w:p>
      <w:pPr>
        <w:pStyle w:val="21"/>
        <w:snapToGrid w:val="0"/>
        <w:spacing w:beforeLines="0" w:afterLines="0" w:line="360" w:lineRule="auto"/>
        <w:ind w:firstLine="480" w:firstLineChars="200"/>
        <w:rPr>
          <w:rFonts w:hAnsi="宋体" w:cs="宋体"/>
          <w:color w:val="auto"/>
          <w:highlight w:val="none"/>
        </w:rPr>
      </w:pPr>
      <w:r>
        <w:rPr>
          <w:rFonts w:hint="eastAsia" w:hAnsi="宋体" w:cs="宋体"/>
          <w:color w:val="auto"/>
          <w:highlight w:val="none"/>
        </w:rPr>
        <w:t>2.采购代理机构必须以书面形式答复投标人要求澄清的问题，并将不包含问题来源的答复书面通知所有购买招标文件的投标人；除书面答复以外的其他澄清方式及澄清内容均无效。</w:t>
      </w:r>
    </w:p>
    <w:p>
      <w:pPr>
        <w:pStyle w:val="21"/>
        <w:snapToGrid w:val="0"/>
        <w:spacing w:beforeLines="0" w:afterLines="0" w:line="360" w:lineRule="auto"/>
        <w:ind w:firstLine="480" w:firstLineChars="200"/>
        <w:rPr>
          <w:rFonts w:hAnsi="宋体" w:cs="宋体"/>
          <w:color w:val="auto"/>
          <w:highlight w:val="none"/>
        </w:rPr>
      </w:pPr>
      <w:r>
        <w:rPr>
          <w:rFonts w:hint="eastAsia" w:hAnsi="宋体" w:cs="宋体"/>
          <w:color w:val="auto"/>
          <w:highlight w:val="none"/>
        </w:rPr>
        <w:t>3.招标文件澄清、答复、修改、补充的内容为招标文件的组成部分。当招标文件与招标文件的答复、澄清、修改、补充通知就同一内容的表述不一致时，以最后发出的书面文件为准。</w:t>
      </w:r>
    </w:p>
    <w:p>
      <w:pPr>
        <w:pStyle w:val="21"/>
        <w:snapToGrid w:val="0"/>
        <w:spacing w:beforeLines="0" w:afterLines="0" w:line="360" w:lineRule="auto"/>
        <w:ind w:firstLine="480" w:firstLineChars="200"/>
        <w:rPr>
          <w:rFonts w:hAnsi="宋体" w:cs="宋体"/>
          <w:color w:val="auto"/>
          <w:highlight w:val="none"/>
        </w:rPr>
      </w:pPr>
      <w:r>
        <w:rPr>
          <w:rFonts w:hint="eastAsia" w:hAnsi="宋体" w:cs="宋体"/>
          <w:color w:val="auto"/>
          <w:highlight w:val="none"/>
        </w:rPr>
        <w:t>4.招标文件的澄清、答复、修改或补充都应该通过本代理机构以法定形式发布，采购人非通过本机构，不得擅自澄清、答复、修改或补充招标文件。</w:t>
      </w:r>
    </w:p>
    <w:p>
      <w:pPr>
        <w:pStyle w:val="21"/>
        <w:snapToGrid w:val="0"/>
        <w:spacing w:before="156" w:after="156" w:line="360" w:lineRule="auto"/>
        <w:rPr>
          <w:rFonts w:hAnsi="宋体" w:cs="宋体"/>
          <w:b/>
          <w:color w:val="auto"/>
          <w:sz w:val="30"/>
          <w:szCs w:val="30"/>
          <w:highlight w:val="none"/>
        </w:rPr>
      </w:pPr>
      <w:r>
        <w:rPr>
          <w:rFonts w:hint="eastAsia" w:hAnsi="宋体" w:cs="宋体"/>
          <w:b/>
          <w:color w:val="auto"/>
          <w:sz w:val="30"/>
          <w:szCs w:val="30"/>
          <w:highlight w:val="none"/>
        </w:rPr>
        <w:t>三、投标文件的编制</w:t>
      </w:r>
    </w:p>
    <w:p>
      <w:pPr>
        <w:snapToGrid w:val="0"/>
        <w:spacing w:line="360" w:lineRule="auto"/>
        <w:ind w:firstLine="472" w:firstLineChars="196"/>
        <w:jc w:val="left"/>
        <w:outlineLvl w:val="0"/>
        <w:rPr>
          <w:rFonts w:ascii="宋体" w:hAnsi="宋体" w:cs="宋体"/>
          <w:b/>
          <w:color w:val="auto"/>
          <w:sz w:val="24"/>
          <w:highlight w:val="none"/>
        </w:rPr>
      </w:pPr>
      <w:r>
        <w:rPr>
          <w:rFonts w:hint="eastAsia" w:ascii="宋体" w:hAnsi="宋体" w:cs="宋体"/>
          <w:b/>
          <w:color w:val="auto"/>
          <w:sz w:val="24"/>
          <w:highlight w:val="none"/>
        </w:rPr>
        <w:t>（一）</w:t>
      </w:r>
      <w:r>
        <w:rPr>
          <w:rFonts w:hint="eastAsia" w:ascii="宋体" w:hAnsi="宋体" w:cs="宋体"/>
          <w:b/>
          <w:color w:val="auto"/>
          <w:sz w:val="24"/>
          <w:highlight w:val="none"/>
        </w:rPr>
        <w:tab/>
      </w:r>
      <w:r>
        <w:rPr>
          <w:rFonts w:hint="eastAsia" w:ascii="宋体" w:hAnsi="宋体" w:cs="宋体"/>
          <w:b/>
          <w:color w:val="auto"/>
          <w:sz w:val="24"/>
          <w:highlight w:val="none"/>
        </w:rPr>
        <w:t>投标文件的要求</w:t>
      </w:r>
    </w:p>
    <w:p>
      <w:pPr>
        <w:snapToGrid w:val="0"/>
        <w:spacing w:line="360" w:lineRule="auto"/>
        <w:ind w:firstLine="470" w:firstLineChars="196"/>
        <w:jc w:val="left"/>
        <w:outlineLvl w:val="0"/>
        <w:rPr>
          <w:rFonts w:ascii="宋体" w:hAnsi="宋体" w:cs="宋体"/>
          <w:color w:val="auto"/>
          <w:sz w:val="24"/>
          <w:highlight w:val="none"/>
        </w:rPr>
      </w:pPr>
      <w:r>
        <w:rPr>
          <w:rFonts w:hint="eastAsia" w:ascii="宋体" w:hAnsi="宋体" w:cs="宋体"/>
          <w:color w:val="auto"/>
          <w:sz w:val="24"/>
          <w:highlight w:val="none"/>
        </w:rPr>
        <w:t xml:space="preserve">  1、投标人应仔细阅读招标文件的所有内容，按照要求详细编制投标文件，并保证投标文件的正确性和真实性。</w:t>
      </w:r>
    </w:p>
    <w:p>
      <w:pPr>
        <w:snapToGrid w:val="0"/>
        <w:spacing w:line="360" w:lineRule="auto"/>
        <w:ind w:firstLine="470" w:firstLineChars="196"/>
        <w:jc w:val="left"/>
        <w:outlineLvl w:val="0"/>
        <w:rPr>
          <w:rFonts w:ascii="宋体" w:hAnsi="宋体" w:cs="宋体"/>
          <w:color w:val="auto"/>
          <w:sz w:val="24"/>
          <w:highlight w:val="none"/>
        </w:rPr>
      </w:pPr>
      <w:r>
        <w:rPr>
          <w:rFonts w:hint="eastAsia" w:ascii="宋体" w:hAnsi="宋体" w:cs="宋体"/>
          <w:color w:val="auto"/>
          <w:sz w:val="24"/>
          <w:highlight w:val="none"/>
        </w:rPr>
        <w:t xml:space="preserve">  2、不按招标文件的要求提供的投标文件将被拒绝。</w:t>
      </w:r>
    </w:p>
    <w:p>
      <w:pPr>
        <w:snapToGrid w:val="0"/>
        <w:spacing w:line="360" w:lineRule="auto"/>
        <w:ind w:firstLine="472" w:firstLineChars="196"/>
        <w:jc w:val="left"/>
        <w:outlineLvl w:val="0"/>
        <w:rPr>
          <w:rFonts w:ascii="宋体" w:hAnsi="宋体" w:cs="宋体"/>
          <w:b/>
          <w:color w:val="auto"/>
          <w:sz w:val="24"/>
          <w:highlight w:val="none"/>
        </w:rPr>
      </w:pPr>
      <w:r>
        <w:rPr>
          <w:rFonts w:hint="eastAsia" w:ascii="宋体" w:hAnsi="宋体" w:cs="宋体"/>
          <w:b/>
          <w:color w:val="auto"/>
          <w:sz w:val="24"/>
          <w:highlight w:val="none"/>
        </w:rPr>
        <w:t>（二）投标文件的组成</w:t>
      </w:r>
    </w:p>
    <w:p>
      <w:pPr>
        <w:snapToGrid w:val="0"/>
        <w:spacing w:line="360" w:lineRule="auto"/>
        <w:ind w:firstLine="472" w:firstLineChars="196"/>
        <w:jc w:val="left"/>
        <w:outlineLvl w:val="0"/>
        <w:rPr>
          <w:rFonts w:ascii="宋体" w:hAnsi="宋体" w:cs="宋体"/>
          <w:b/>
          <w:color w:val="auto"/>
          <w:sz w:val="24"/>
          <w:highlight w:val="none"/>
        </w:rPr>
      </w:pPr>
      <w:r>
        <w:rPr>
          <w:rFonts w:hint="eastAsia" w:ascii="宋体" w:hAnsi="宋体" w:cs="宋体"/>
          <w:b/>
          <w:color w:val="auto"/>
          <w:sz w:val="24"/>
          <w:highlight w:val="none"/>
        </w:rPr>
        <w:t>投标人接到招标文件后，按照采购组织机构的要求提供所参与的投标文件：资格证明文件、商务与技术文件、报价文件。</w:t>
      </w:r>
      <w:r>
        <w:rPr>
          <w:rFonts w:hint="eastAsia" w:ascii="宋体" w:hAnsi="宋体" w:cs="宋体"/>
          <w:b/>
          <w:color w:val="auto"/>
          <w:sz w:val="24"/>
          <w:highlight w:val="none"/>
          <w:lang w:val="zh-CN"/>
        </w:rPr>
        <w:t>【特别提示：如有要求提供资料原件的，相关原件需在投标文件递交截止时间前递交，逾期将不予接收（原件放置在档案袋中，可不用密封）。原件仅作为核查复印件真实性之用，如仅提供了原件，投标文件中未提供复印件，不予认定投标文件中具备该份资料。资料原件也可以用与原件相符的公证原件替代】</w:t>
      </w:r>
    </w:p>
    <w:p>
      <w:pPr>
        <w:snapToGrid w:val="0"/>
        <w:spacing w:line="360" w:lineRule="auto"/>
        <w:ind w:firstLine="0" w:firstLineChars="0"/>
        <w:jc w:val="left"/>
        <w:outlineLvl w:val="0"/>
        <w:rPr>
          <w:rFonts w:ascii="宋体" w:hAnsi="宋体" w:cs="宋体"/>
          <w:color w:val="auto"/>
          <w:highlight w:val="none"/>
        </w:rPr>
      </w:pPr>
      <w:r>
        <w:rPr>
          <w:rFonts w:hint="eastAsia" w:ascii="宋体" w:hAnsi="宋体" w:cs="宋体"/>
          <w:b/>
          <w:color w:val="auto"/>
          <w:sz w:val="24"/>
          <w:highlight w:val="none"/>
        </w:rPr>
        <w:t>。</w:t>
      </w:r>
      <w:r>
        <w:rPr>
          <w:rFonts w:hint="eastAsia" w:ascii="宋体" w:hAnsi="宋体" w:cs="宋体"/>
          <w:b/>
          <w:color w:val="auto"/>
          <w:sz w:val="24"/>
          <w:highlight w:val="none"/>
          <w:lang w:val="zh-CN"/>
        </w:rPr>
        <w:t>【特别提示：如有要求提供资料原件的，相关原件需在投标文件递交截止时间前递交，逾期将不予接收（原件放置在档案袋中，可不用密封）。原件仅作为核查复印件真实性之用，如仅提供了原件，投标文件中未提供复印件，不予认定投标文件中具备该份资料。资料原件也可以用与原件相符的公证原件替代】</w:t>
      </w:r>
    </w:p>
    <w:p>
      <w:pPr>
        <w:snapToGrid w:val="0"/>
        <w:spacing w:line="360" w:lineRule="auto"/>
        <w:ind w:firstLine="0" w:firstLineChars="0"/>
        <w:rPr>
          <w:rFonts w:asciiTheme="minorEastAsia" w:hAnsiTheme="minorEastAsia" w:eastAsiaTheme="minorEastAsia"/>
          <w:color w:val="auto"/>
          <w:kern w:val="0"/>
          <w:sz w:val="24"/>
          <w:highlight w:val="none"/>
        </w:rPr>
      </w:pPr>
      <w:r>
        <w:rPr>
          <w:rFonts w:hint="eastAsia" w:ascii="宋体" w:hAnsi="宋体" w:cs="宋体"/>
          <w:b/>
          <w:color w:val="auto"/>
          <w:sz w:val="24"/>
          <w:highlight w:val="none"/>
        </w:rPr>
        <w:t>▲</w:t>
      </w:r>
      <w:r>
        <w:rPr>
          <w:rFonts w:hint="eastAsia" w:asciiTheme="minorEastAsia" w:hAnsiTheme="minorEastAsia" w:eastAsiaTheme="minorEastAsia"/>
          <w:b/>
          <w:color w:val="auto"/>
          <w:sz w:val="24"/>
          <w:highlight w:val="none"/>
        </w:rPr>
        <w:t>1.资格证明</w:t>
      </w:r>
      <w:r>
        <w:rPr>
          <w:rFonts w:asciiTheme="minorEastAsia" w:hAnsiTheme="minorEastAsia" w:eastAsiaTheme="minorEastAsia"/>
          <w:b/>
          <w:color w:val="auto"/>
          <w:sz w:val="24"/>
          <w:highlight w:val="none"/>
        </w:rPr>
        <w:t>文件</w:t>
      </w:r>
      <w:r>
        <w:rPr>
          <w:rFonts w:hint="eastAsia" w:ascii="宋体" w:hAnsi="宋体"/>
          <w:b/>
          <w:color w:val="auto"/>
          <w:sz w:val="24"/>
          <w:highlight w:val="none"/>
        </w:rPr>
        <w:t>的组成</w:t>
      </w:r>
    </w:p>
    <w:p>
      <w:pPr>
        <w:snapToGrid w:val="0"/>
        <w:spacing w:line="360" w:lineRule="auto"/>
        <w:ind w:firstLine="480" w:firstLineChars="200"/>
        <w:rPr>
          <w:rFonts w:ascii="宋体" w:hAnsi="宋体" w:cs="宋体"/>
          <w:color w:val="auto"/>
          <w:sz w:val="24"/>
          <w:highlight w:val="none"/>
        </w:rPr>
      </w:pPr>
      <w:r>
        <w:rPr>
          <w:rFonts w:hint="eastAsia" w:ascii="宋体" w:hAnsi="宋体"/>
          <w:bCs/>
          <w:color w:val="auto"/>
          <w:sz w:val="24"/>
          <w:highlight w:val="none"/>
        </w:rPr>
        <w:t>（1）</w:t>
      </w:r>
      <w:r>
        <w:rPr>
          <w:rFonts w:hint="eastAsia" w:ascii="宋体" w:hAnsi="宋体" w:cs="宋体"/>
          <w:color w:val="auto"/>
          <w:sz w:val="24"/>
          <w:highlight w:val="none"/>
        </w:rPr>
        <w:t>投标声明书（附件1）；</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（2）授权委托书（法定代表人亲自办理投标事宜的，则无需提交；附件2）；</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（3）法人或者其他组织的营业执照等证明文件，自然人的身份证明；</w:t>
      </w:r>
    </w:p>
    <w:p>
      <w:pPr>
        <w:snapToGrid w:val="0"/>
        <w:spacing w:line="360" w:lineRule="auto"/>
        <w:ind w:firstLine="480" w:firstLineChars="200"/>
        <w:rPr>
          <w:rFonts w:ascii="宋体" w:hAnsi="宋体" w:cs="宋体"/>
          <w:sz w:val="24"/>
        </w:rPr>
      </w:pPr>
      <w:r>
        <w:rPr>
          <w:rFonts w:hint="eastAsia" w:ascii="宋体" w:hAnsi="宋体" w:cs="宋体"/>
          <w:sz w:val="24"/>
        </w:rPr>
        <w:t>（4）具有依法缴纳税收和社会保障资金证明的承诺函（附件3）；</w:t>
      </w:r>
    </w:p>
    <w:p>
      <w:pPr>
        <w:snapToGrid w:val="0"/>
        <w:spacing w:line="360" w:lineRule="auto"/>
        <w:ind w:firstLine="480" w:firstLineChars="200"/>
        <w:rPr>
          <w:rFonts w:ascii="宋体" w:hAnsi="宋体" w:cs="宋体"/>
          <w:sz w:val="24"/>
          <w:highlight w:val="none"/>
        </w:rPr>
      </w:pPr>
      <w:r>
        <w:rPr>
          <w:rFonts w:hint="eastAsia" w:ascii="宋体" w:hAnsi="宋体" w:cs="宋体"/>
          <w:sz w:val="24"/>
        </w:rPr>
        <w:t>（5）具有良好的</w:t>
      </w:r>
      <w:r>
        <w:rPr>
          <w:rFonts w:hint="eastAsia" w:ascii="宋体" w:hAnsi="宋体" w:cs="宋体"/>
          <w:sz w:val="24"/>
          <w:highlight w:val="none"/>
        </w:rPr>
        <w:t>商业信誉和健全的财务会计制度的承诺函（附件4）；</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（6）具有履行合同所必须的设备和专业技术能力的承诺函（附件5）；</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（7）提供采购公告中符合供应商特定条件的有效资质证书复印件（投标供应商特定条件中有要求的必须提供）；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）需要说明的其他资料（如有）。</w:t>
      </w:r>
    </w:p>
    <w:p>
      <w:pPr>
        <w:snapToGrid w:val="0"/>
        <w:spacing w:line="360" w:lineRule="auto"/>
        <w:ind w:firstLine="482" w:firstLineChars="200"/>
        <w:rPr>
          <w:rFonts w:ascii="宋体" w:hAnsi="宋体"/>
          <w:b/>
          <w:color w:val="auto"/>
          <w:sz w:val="24"/>
          <w:highlight w:val="none"/>
        </w:rPr>
      </w:pPr>
      <w:r>
        <w:rPr>
          <w:rFonts w:hint="eastAsia" w:asciiTheme="minorEastAsia" w:hAnsiTheme="minorEastAsia" w:eastAsiaTheme="minorEastAsia"/>
          <w:b/>
          <w:color w:val="auto"/>
          <w:sz w:val="24"/>
          <w:highlight w:val="none"/>
        </w:rPr>
        <w:t>2.</w:t>
      </w:r>
      <w:r>
        <w:rPr>
          <w:rFonts w:hint="eastAsia" w:ascii="宋体" w:hAnsi="宋体"/>
          <w:b/>
          <w:color w:val="auto"/>
          <w:sz w:val="24"/>
          <w:highlight w:val="none"/>
        </w:rPr>
        <w:t>商务与技术文件的组成</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w:t>
      </w:r>
      <w:r>
        <w:rPr>
          <w:rFonts w:ascii="宋体" w:hAnsi="宋体"/>
          <w:bCs/>
          <w:color w:val="auto"/>
          <w:sz w:val="24"/>
          <w:highlight w:val="none"/>
        </w:rPr>
        <w:t>1）</w:t>
      </w:r>
      <w:r>
        <w:rPr>
          <w:rFonts w:hint="eastAsia" w:ascii="宋体" w:hAnsi="宋体"/>
          <w:bCs/>
          <w:color w:val="auto"/>
          <w:sz w:val="24"/>
          <w:highlight w:val="none"/>
        </w:rPr>
        <w:t>投标人情况介绍（附件</w:t>
      </w:r>
      <w:r>
        <w:rPr>
          <w:rFonts w:hint="eastAsia" w:ascii="宋体" w:hAnsi="宋体"/>
          <w:bCs/>
          <w:color w:val="auto"/>
          <w:sz w:val="24"/>
          <w:highlight w:val="none"/>
          <w:lang w:val="en-US" w:eastAsia="zh-CN"/>
        </w:rPr>
        <w:t>6</w:t>
      </w:r>
      <w:r>
        <w:rPr>
          <w:rFonts w:hint="eastAsia" w:ascii="宋体" w:hAnsi="宋体"/>
          <w:bCs/>
          <w:color w:val="auto"/>
          <w:sz w:val="24"/>
          <w:highlight w:val="none"/>
        </w:rPr>
        <w:t>）；</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（2）各投标人根据自身对本项目的解读，按照本招标文件第四章“评标办法及评分标准”中商务与技术文件的打分内容，并结合第二章“招标需求”，由各投标人自行编制商务与技术文件，并装订成册；</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（3）投标人业绩一览表（附件</w:t>
      </w:r>
      <w:r>
        <w:rPr>
          <w:rFonts w:hint="eastAsia" w:ascii="宋体" w:hAnsi="宋体"/>
          <w:bCs/>
          <w:color w:val="auto"/>
          <w:sz w:val="24"/>
          <w:highlight w:val="none"/>
          <w:lang w:val="en-US" w:eastAsia="zh-CN"/>
        </w:rPr>
        <w:t>7</w:t>
      </w:r>
      <w:r>
        <w:rPr>
          <w:rFonts w:hint="eastAsia" w:ascii="宋体" w:hAnsi="宋体"/>
          <w:bCs/>
          <w:color w:val="auto"/>
          <w:sz w:val="24"/>
          <w:highlight w:val="none"/>
        </w:rPr>
        <w:t>）；</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（4）拟参与本项目的主要人员资格及简历（附件</w:t>
      </w:r>
      <w:r>
        <w:rPr>
          <w:rFonts w:hint="eastAsia" w:ascii="宋体" w:hAnsi="宋体"/>
          <w:bCs/>
          <w:color w:val="auto"/>
          <w:sz w:val="24"/>
          <w:highlight w:val="none"/>
          <w:lang w:val="en-US" w:eastAsia="zh-CN"/>
        </w:rPr>
        <w:t>8</w:t>
      </w:r>
      <w:r>
        <w:rPr>
          <w:rFonts w:hint="eastAsia" w:ascii="宋体" w:hAnsi="宋体"/>
          <w:bCs/>
          <w:color w:val="auto"/>
          <w:sz w:val="24"/>
          <w:highlight w:val="none"/>
        </w:rPr>
        <w:t>）；</w:t>
      </w:r>
    </w:p>
    <w:p>
      <w:pPr>
        <w:snapToGrid w:val="0"/>
        <w:spacing w:line="360" w:lineRule="auto"/>
        <w:ind w:firstLine="480" w:firstLineChars="200"/>
        <w:rPr>
          <w:rFonts w:ascii="Calibri" w:hAnsi="Calibri" w:cs="Calibri"/>
          <w:color w:val="auto"/>
          <w:sz w:val="24"/>
          <w:highlight w:val="none"/>
        </w:rPr>
      </w:pPr>
      <w:r>
        <w:rPr>
          <w:rFonts w:hint="eastAsia" w:ascii="宋体" w:hAnsi="宋体"/>
          <w:bCs/>
          <w:color w:val="auto"/>
          <w:sz w:val="24"/>
          <w:highlight w:val="none"/>
        </w:rPr>
        <w:t>（5）</w:t>
      </w:r>
      <w:r>
        <w:rPr>
          <w:rFonts w:hint="eastAsia" w:ascii="Calibri" w:hAnsi="Calibri" w:cs="Calibri"/>
          <w:color w:val="auto"/>
          <w:sz w:val="24"/>
          <w:highlight w:val="none"/>
        </w:rPr>
        <w:t>服务条款响应表（附件</w:t>
      </w:r>
      <w:r>
        <w:rPr>
          <w:rFonts w:hint="eastAsia" w:ascii="Calibri" w:hAnsi="Calibri" w:cs="Calibri"/>
          <w:color w:val="auto"/>
          <w:sz w:val="24"/>
          <w:highlight w:val="none"/>
          <w:lang w:val="en-US" w:eastAsia="zh-CN"/>
        </w:rPr>
        <w:t>9</w:t>
      </w:r>
      <w:r>
        <w:rPr>
          <w:rFonts w:hint="eastAsia" w:ascii="Calibri" w:hAnsi="Calibri" w:cs="Calibri"/>
          <w:color w:val="auto"/>
          <w:sz w:val="24"/>
          <w:highlight w:val="none"/>
        </w:rPr>
        <w:t>）；</w:t>
      </w:r>
    </w:p>
    <w:p>
      <w:pPr>
        <w:pStyle w:val="10"/>
        <w:widowControl/>
        <w:numPr>
          <w:ilvl w:val="255"/>
          <w:numId w:val="0"/>
        </w:numPr>
        <w:adjustRightInd w:val="0"/>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（6）证书一览表（与本项目相关的认证证书或文件；附件</w:t>
      </w:r>
      <w:r>
        <w:rPr>
          <w:rFonts w:hint="eastAsia" w:ascii="宋体" w:hAnsi="宋体"/>
          <w:bCs/>
          <w:color w:val="auto"/>
          <w:sz w:val="24"/>
          <w:highlight w:val="none"/>
          <w:lang w:val="en-US" w:eastAsia="zh-CN"/>
        </w:rPr>
        <w:t>10</w:t>
      </w:r>
      <w:r>
        <w:rPr>
          <w:rFonts w:hint="eastAsia" w:ascii="宋体" w:hAnsi="宋体"/>
          <w:bCs/>
          <w:color w:val="auto"/>
          <w:sz w:val="24"/>
          <w:highlight w:val="none"/>
        </w:rPr>
        <w:t>）；</w:t>
      </w:r>
    </w:p>
    <w:p>
      <w:pPr>
        <w:pStyle w:val="10"/>
        <w:widowControl/>
        <w:numPr>
          <w:ilvl w:val="255"/>
          <w:numId w:val="0"/>
        </w:num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（7）同类业绩证明（如有，需提供合同复印件；附件</w:t>
      </w:r>
      <w:r>
        <w:rPr>
          <w:rFonts w:hint="eastAsia" w:ascii="宋体" w:hAnsi="宋体"/>
          <w:bCs/>
          <w:color w:val="auto"/>
          <w:sz w:val="24"/>
          <w:highlight w:val="none"/>
          <w:lang w:val="en-US" w:eastAsia="zh-CN"/>
        </w:rPr>
        <w:t>11</w:t>
      </w:r>
      <w:r>
        <w:rPr>
          <w:rFonts w:hint="eastAsia" w:ascii="宋体" w:hAnsi="宋体"/>
          <w:bCs/>
          <w:color w:val="auto"/>
          <w:sz w:val="24"/>
          <w:highlight w:val="none"/>
        </w:rPr>
        <w:t>）；</w:t>
      </w:r>
    </w:p>
    <w:p>
      <w:pPr>
        <w:pStyle w:val="10"/>
        <w:widowControl/>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bCs/>
          <w:color w:val="auto"/>
          <w:sz w:val="24"/>
          <w:highlight w:val="none"/>
        </w:rPr>
        <w:t>（8）符合招标文件规定的其他证明文件及评分标准中涉及的其他材料</w:t>
      </w:r>
      <w:r>
        <w:rPr>
          <w:rFonts w:hint="eastAsia"/>
          <w:color w:val="auto"/>
          <w:sz w:val="24"/>
          <w:szCs w:val="24"/>
          <w:highlight w:val="none"/>
        </w:rPr>
        <w:t>。</w:t>
      </w:r>
    </w:p>
    <w:p>
      <w:pPr>
        <w:autoSpaceDE w:val="0"/>
        <w:autoSpaceDN w:val="0"/>
        <w:adjustRightInd w:val="0"/>
        <w:spacing w:line="360" w:lineRule="auto"/>
        <w:ind w:left="426" w:firstLine="65" w:firstLineChars="27"/>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3、报价内容的组成</w:t>
      </w:r>
    </w:p>
    <w:p>
      <w:pPr>
        <w:numPr>
          <w:ilvl w:val="0"/>
          <w:numId w:val="9"/>
        </w:numPr>
        <w:autoSpaceDE w:val="0"/>
        <w:autoSpaceDN w:val="0"/>
        <w:adjustRightInd w:val="0"/>
        <w:spacing w:line="360" w:lineRule="auto"/>
        <w:ind w:firstLine="480" w:firstLineChars="200"/>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投标函（附件1</w:t>
      </w:r>
      <w:r>
        <w:rPr>
          <w:rFonts w:hint="eastAsia" w:asciiTheme="minorEastAsia" w:hAnsiTheme="minorEastAsia" w:eastAsiaTheme="minorEastAsia"/>
          <w:color w:val="auto"/>
          <w:kern w:val="0"/>
          <w:sz w:val="24"/>
          <w:highlight w:val="none"/>
          <w:lang w:val="en-US" w:eastAsia="zh-CN"/>
        </w:rPr>
        <w:t>2</w:t>
      </w:r>
      <w:r>
        <w:rPr>
          <w:rFonts w:hint="eastAsia" w:asciiTheme="minorEastAsia" w:hAnsiTheme="minorEastAsia" w:eastAsiaTheme="minorEastAsia"/>
          <w:color w:val="auto"/>
          <w:kern w:val="0"/>
          <w:sz w:val="24"/>
          <w:highlight w:val="none"/>
        </w:rPr>
        <w:t>）</w:t>
      </w:r>
      <w:r>
        <w:rPr>
          <w:rFonts w:hint="eastAsia" w:asciiTheme="minorEastAsia" w:hAnsiTheme="minorEastAsia" w:eastAsiaTheme="minorEastAsia"/>
          <w:color w:val="auto"/>
          <w:kern w:val="0"/>
          <w:sz w:val="24"/>
          <w:highlight w:val="none"/>
          <w:lang w:eastAsia="zh-CN"/>
        </w:rPr>
        <w:t>；</w:t>
      </w:r>
    </w:p>
    <w:p>
      <w:pPr>
        <w:numPr>
          <w:ilvl w:val="0"/>
          <w:numId w:val="9"/>
        </w:num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开标一览表（附件1</w:t>
      </w:r>
      <w:r>
        <w:rPr>
          <w:rFonts w:hint="eastAsia" w:asciiTheme="minorEastAsia" w:hAnsiTheme="minorEastAsia" w:eastAsiaTheme="minorEastAsia"/>
          <w:color w:val="auto"/>
          <w:kern w:val="0"/>
          <w:sz w:val="24"/>
          <w:highlight w:val="none"/>
          <w:lang w:val="en-US" w:eastAsia="zh-CN"/>
        </w:rPr>
        <w:t>3</w:t>
      </w:r>
      <w:r>
        <w:rPr>
          <w:rFonts w:hint="eastAsia" w:asciiTheme="minorEastAsia" w:hAnsiTheme="minorEastAsia" w:eastAsiaTheme="minorEastAsia"/>
          <w:color w:val="auto"/>
          <w:kern w:val="0"/>
          <w:sz w:val="24"/>
          <w:highlight w:val="none"/>
        </w:rPr>
        <w:t>）；</w:t>
      </w:r>
    </w:p>
    <w:p>
      <w:pPr>
        <w:autoSpaceDE w:val="0"/>
        <w:autoSpaceDN w:val="0"/>
        <w:adjustRightIn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w:t>
      </w:r>
      <w:r>
        <w:rPr>
          <w:rFonts w:hint="eastAsia" w:asciiTheme="minorEastAsia" w:hAnsiTheme="minorEastAsia" w:eastAsiaTheme="minorEastAsia"/>
          <w:color w:val="auto"/>
          <w:kern w:val="0"/>
          <w:sz w:val="24"/>
          <w:highlight w:val="none"/>
          <w:lang w:val="en-US" w:eastAsia="zh-CN"/>
        </w:rPr>
        <w:t>3</w:t>
      </w:r>
      <w:r>
        <w:rPr>
          <w:rFonts w:hint="eastAsia" w:asciiTheme="minorEastAsia" w:hAnsiTheme="minorEastAsia" w:eastAsiaTheme="minorEastAsia"/>
          <w:color w:val="auto"/>
          <w:kern w:val="0"/>
          <w:sz w:val="24"/>
          <w:highlight w:val="none"/>
        </w:rPr>
        <w:t>）针对报价投标人认为其他需要说明的。</w:t>
      </w:r>
    </w:p>
    <w:p>
      <w:pPr>
        <w:snapToGrid w:val="0"/>
        <w:spacing w:before="50" w:line="360" w:lineRule="auto"/>
        <w:ind w:firstLine="480" w:firstLineChars="200"/>
        <w:jc w:val="left"/>
        <w:rPr>
          <w:rFonts w:hint="eastAsia" w:asciiTheme="minorEastAsia" w:hAnsiTheme="minorEastAsia" w:eastAsiaTheme="minorEastAsia"/>
          <w:color w:val="auto"/>
          <w:kern w:val="0"/>
          <w:sz w:val="24"/>
          <w:highlight w:val="none"/>
          <w:lang w:eastAsia="zh-CN"/>
        </w:rPr>
      </w:pPr>
      <w:r>
        <w:rPr>
          <w:rFonts w:hint="eastAsia" w:asciiTheme="minorEastAsia" w:hAnsiTheme="minorEastAsia" w:eastAsiaTheme="minorEastAsia"/>
          <w:color w:val="auto"/>
          <w:kern w:val="0"/>
          <w:sz w:val="24"/>
          <w:highlight w:val="none"/>
        </w:rPr>
        <w:t>（</w:t>
      </w:r>
      <w:r>
        <w:rPr>
          <w:rFonts w:hint="eastAsia" w:asciiTheme="minorEastAsia" w:hAnsiTheme="minorEastAsia" w:eastAsiaTheme="minorEastAsia"/>
          <w:color w:val="auto"/>
          <w:kern w:val="0"/>
          <w:sz w:val="24"/>
          <w:highlight w:val="none"/>
          <w:lang w:val="en-US" w:eastAsia="zh-CN"/>
        </w:rPr>
        <w:t>4</w:t>
      </w:r>
      <w:r>
        <w:rPr>
          <w:rFonts w:hint="eastAsia" w:asciiTheme="minorEastAsia" w:hAnsiTheme="minorEastAsia" w:eastAsiaTheme="minorEastAsia"/>
          <w:color w:val="auto"/>
          <w:kern w:val="0"/>
          <w:sz w:val="24"/>
          <w:highlight w:val="none"/>
        </w:rPr>
        <w:t>）中小企业、</w:t>
      </w:r>
      <w:r>
        <w:rPr>
          <w:rFonts w:hint="eastAsia" w:asciiTheme="minorEastAsia" w:hAnsiTheme="minorEastAsia" w:eastAsiaTheme="minorEastAsia"/>
          <w:color w:val="auto"/>
          <w:kern w:val="0"/>
          <w:sz w:val="24"/>
          <w:highlight w:val="none"/>
          <w:lang w:val="en-GB"/>
        </w:rPr>
        <w:t>残疾人福利性单位、监狱企业</w:t>
      </w:r>
      <w:r>
        <w:rPr>
          <w:rFonts w:hint="eastAsia" w:asciiTheme="minorEastAsia" w:hAnsiTheme="minorEastAsia" w:eastAsiaTheme="minorEastAsia"/>
          <w:color w:val="auto"/>
          <w:kern w:val="0"/>
          <w:sz w:val="24"/>
          <w:highlight w:val="none"/>
        </w:rPr>
        <w:t>等声明函（附件1</w:t>
      </w:r>
      <w:r>
        <w:rPr>
          <w:rFonts w:hint="eastAsia" w:asciiTheme="minorEastAsia" w:hAnsiTheme="minorEastAsia" w:eastAsiaTheme="minorEastAsia"/>
          <w:color w:val="auto"/>
          <w:kern w:val="0"/>
          <w:sz w:val="24"/>
          <w:highlight w:val="none"/>
          <w:lang w:val="en-US" w:eastAsia="zh-CN"/>
        </w:rPr>
        <w:t>4</w:t>
      </w:r>
      <w:r>
        <w:rPr>
          <w:rFonts w:hint="eastAsia" w:asciiTheme="minorEastAsia" w:hAnsiTheme="minorEastAsia" w:eastAsiaTheme="minorEastAsia"/>
          <w:color w:val="auto"/>
          <w:kern w:val="0"/>
          <w:sz w:val="24"/>
          <w:highlight w:val="none"/>
        </w:rPr>
        <w:t>）</w:t>
      </w:r>
      <w:r>
        <w:rPr>
          <w:rFonts w:hint="eastAsia" w:asciiTheme="minorEastAsia" w:hAnsiTheme="minorEastAsia" w:eastAsiaTheme="minorEastAsia"/>
          <w:color w:val="auto"/>
          <w:kern w:val="0"/>
          <w:sz w:val="24"/>
          <w:highlight w:val="none"/>
          <w:lang w:eastAsia="zh-CN"/>
        </w:rPr>
        <w:t>。</w:t>
      </w:r>
    </w:p>
    <w:p>
      <w:pPr>
        <w:pStyle w:val="32"/>
        <w:widowControl w:val="0"/>
        <w:spacing w:before="0" w:afterLines="0" w:line="360" w:lineRule="auto"/>
        <w:ind w:firstLine="480" w:firstLineChars="200"/>
        <w:rPr>
          <w:rFonts w:hint="default" w:cs="宋体"/>
          <w:b/>
          <w:bCs/>
          <w:color w:val="auto"/>
          <w:highlight w:val="none"/>
        </w:rPr>
      </w:pPr>
      <w:r>
        <w:rPr>
          <w:rFonts w:cs="宋体"/>
          <w:color w:val="auto"/>
          <w:highlight w:val="none"/>
        </w:rPr>
        <w:t>▲</w:t>
      </w:r>
      <w:r>
        <w:rPr>
          <w:rFonts w:cs="宋体"/>
          <w:b/>
          <w:bCs/>
          <w:color w:val="auto"/>
          <w:highlight w:val="none"/>
        </w:rPr>
        <w:t>注：资格证明文件、商务与技术文件、报价文件封面必须由法定代表人签字或盖章或电子签章并加盖单位公章或电子签章，其余附件按招标文件要求格式签章。</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（三）投标文件的语言及计量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1、投标文件以及投标人与采购人就有关投标事宜的所有来往函电，均应以中文汉语书写。除签名、盖章、专用名称等特殊情形外，以中文汉语以外的文字表述的投标文件视同未提供。</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2、投标计量单位，招标文件已有明确规定的，使用招标文件规定的计量单位；招标文件没有规定的，应采用中华人民共和国法定计量单位（货币单位：人民币元），否则视同未响应。</w:t>
      </w:r>
    </w:p>
    <w:p>
      <w:pPr>
        <w:snapToGrid w:val="0"/>
        <w:spacing w:before="156" w:beforeLines="50" w:line="360" w:lineRule="auto"/>
        <w:ind w:firstLine="472" w:firstLineChars="196"/>
        <w:jc w:val="left"/>
        <w:outlineLvl w:val="0"/>
        <w:rPr>
          <w:rFonts w:ascii="宋体" w:hAnsi="宋体" w:cs="宋体"/>
          <w:b/>
          <w:color w:val="auto"/>
          <w:sz w:val="24"/>
          <w:szCs w:val="20"/>
          <w:highlight w:val="none"/>
        </w:rPr>
      </w:pPr>
      <w:r>
        <w:rPr>
          <w:rFonts w:hint="eastAsia" w:ascii="宋体" w:hAnsi="宋体" w:cs="宋体"/>
          <w:b/>
          <w:color w:val="auto"/>
          <w:sz w:val="24"/>
          <w:highlight w:val="none"/>
        </w:rPr>
        <w:t>（四）投标报价</w:t>
      </w:r>
    </w:p>
    <w:p>
      <w:pPr>
        <w:pStyle w:val="21"/>
        <w:snapToGrid w:val="0"/>
        <w:spacing w:beforeLines="0" w:afterLines="0" w:line="360" w:lineRule="auto"/>
        <w:ind w:firstLine="720" w:firstLineChars="300"/>
        <w:jc w:val="left"/>
        <w:rPr>
          <w:rFonts w:hAnsi="宋体" w:cs="宋体"/>
          <w:color w:val="auto"/>
          <w:highlight w:val="none"/>
        </w:rPr>
      </w:pPr>
      <w:r>
        <w:rPr>
          <w:rFonts w:hint="eastAsia" w:hAnsi="宋体" w:cs="宋体"/>
          <w:color w:val="auto"/>
          <w:highlight w:val="none"/>
        </w:rPr>
        <w:t>1.投标报价应按招标文件中相关附表格式填写。</w:t>
      </w:r>
    </w:p>
    <w:p>
      <w:pPr>
        <w:pStyle w:val="21"/>
        <w:snapToGrid w:val="0"/>
        <w:spacing w:beforeLines="0" w:afterLines="0" w:line="360" w:lineRule="auto"/>
        <w:ind w:firstLine="480" w:firstLineChars="200"/>
        <w:jc w:val="left"/>
        <w:rPr>
          <w:rFonts w:hAnsi="宋体" w:cs="宋体"/>
          <w:color w:val="auto"/>
          <w:highlight w:val="none"/>
        </w:rPr>
      </w:pPr>
      <w:r>
        <w:rPr>
          <w:rFonts w:hint="eastAsia" w:hAnsi="宋体" w:cs="宋体"/>
          <w:color w:val="auto"/>
          <w:highlight w:val="none"/>
        </w:rPr>
        <w:t>▲2.投标报价是履行合同的最终价格，</w:t>
      </w:r>
      <w:r>
        <w:rPr>
          <w:rFonts w:hint="eastAsia" w:hAnsi="宋体" w:cs="宋体"/>
          <w:b/>
          <w:color w:val="auto"/>
          <w:highlight w:val="none"/>
          <w:u w:val="single"/>
        </w:rPr>
        <w:t>本次报价为招标文件所确定的招标需求范围内和合同中要求完成的全部工作内容以及中标人服务承诺，包括但不限于招标代理服务费、现场踏勘、资料收集整理、数据调查分析、工作大纲编制、调研报告、方案和所有设计、会务费、餐费、住宿费、最终相关专题及报告的编制、印刷、报相关主管部门审批、咨询费、风险费、保险、利润、规费、税金、政策性文件规定及合同包含的所有风险、责任等所有费用。</w:t>
      </w:r>
      <w:r>
        <w:rPr>
          <w:rFonts w:hint="eastAsia" w:hAnsi="宋体" w:cs="宋体"/>
          <w:bCs/>
          <w:color w:val="auto"/>
          <w:highlight w:val="none"/>
        </w:rPr>
        <w:t>各投标人应根据招标人提供的技术资料、工程量清单，以及本工程实际情况和自身的综合实力，竞报投标报价。总报价以人民币元计。知识产权等由投标人在投标报价时综合考虑，以后不作任何调整。</w:t>
      </w:r>
    </w:p>
    <w:p>
      <w:pPr>
        <w:tabs>
          <w:tab w:val="left" w:pos="525"/>
        </w:tabs>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▲3.投标文件只允许有一个报价，有选择的或有条件的报价将不予接受。</w:t>
      </w:r>
    </w:p>
    <w:p>
      <w:pPr>
        <w:pStyle w:val="9"/>
        <w:widowControl w:val="0"/>
        <w:tabs>
          <w:tab w:val="clear" w:pos="454"/>
          <w:tab w:val="clear" w:pos="900"/>
        </w:tabs>
        <w:snapToGrid w:val="0"/>
        <w:spacing w:before="156" w:beforeLines="50" w:afterLines="0" w:line="360" w:lineRule="auto"/>
        <w:ind w:left="0" w:firstLine="472" w:firstLineChars="196"/>
        <w:rPr>
          <w:rFonts w:ascii="宋体" w:hAnsi="宋体" w:cs="宋体"/>
          <w:b/>
          <w:color w:val="auto"/>
          <w:szCs w:val="24"/>
          <w:highlight w:val="none"/>
        </w:rPr>
      </w:pPr>
      <w:r>
        <w:rPr>
          <w:rFonts w:hint="eastAsia" w:ascii="宋体" w:hAnsi="宋体" w:cs="宋体"/>
          <w:b/>
          <w:color w:val="auto"/>
          <w:szCs w:val="24"/>
          <w:highlight w:val="none"/>
        </w:rPr>
        <w:t>（五）投标文件的有效期</w:t>
      </w:r>
    </w:p>
    <w:p>
      <w:pPr>
        <w:pStyle w:val="9"/>
        <w:widowControl w:val="0"/>
        <w:tabs>
          <w:tab w:val="clear" w:pos="454"/>
          <w:tab w:val="clear" w:pos="900"/>
        </w:tabs>
        <w:snapToGrid w:val="0"/>
        <w:spacing w:afterLines="0" w:line="360" w:lineRule="auto"/>
        <w:ind w:left="0" w:firstLine="480" w:firstLineChars="200"/>
        <w:rPr>
          <w:rFonts w:ascii="宋体" w:hAnsi="宋体" w:cs="宋体"/>
          <w:color w:val="auto"/>
          <w:szCs w:val="24"/>
          <w:highlight w:val="none"/>
        </w:rPr>
      </w:pPr>
      <w:r>
        <w:rPr>
          <w:rFonts w:hint="eastAsia" w:ascii="宋体" w:hAnsi="宋体" w:cs="宋体"/>
          <w:color w:val="auto"/>
          <w:szCs w:val="24"/>
          <w:highlight w:val="none"/>
        </w:rPr>
        <w:t>▲1.自投标截止日起</w:t>
      </w:r>
      <w:r>
        <w:rPr>
          <w:rFonts w:hint="eastAsia" w:ascii="宋体" w:hAnsi="宋体" w:cs="宋体"/>
          <w:color w:val="auto"/>
          <w:szCs w:val="24"/>
          <w:highlight w:val="none"/>
          <w:u w:val="single"/>
        </w:rPr>
        <w:t xml:space="preserve"> 90</w:t>
      </w:r>
      <w:r>
        <w:rPr>
          <w:rFonts w:hint="eastAsia" w:ascii="宋体" w:hAnsi="宋体" w:cs="宋体"/>
          <w:color w:val="auto"/>
          <w:szCs w:val="24"/>
          <w:highlight w:val="none"/>
        </w:rPr>
        <w:t>天投标文件应保持有效。中标人投标文件有效期延长至合同有效期。有效期不足的投标文件将被拒绝。</w:t>
      </w:r>
    </w:p>
    <w:p>
      <w:pPr>
        <w:pStyle w:val="9"/>
        <w:widowControl w:val="0"/>
        <w:tabs>
          <w:tab w:val="clear" w:pos="454"/>
          <w:tab w:val="clear" w:pos="900"/>
        </w:tabs>
        <w:snapToGrid w:val="0"/>
        <w:spacing w:afterLines="0" w:line="360" w:lineRule="auto"/>
        <w:ind w:left="0" w:firstLine="480" w:firstLineChars="200"/>
        <w:rPr>
          <w:rFonts w:ascii="宋体" w:hAnsi="宋体" w:cs="宋体"/>
          <w:color w:val="auto"/>
          <w:szCs w:val="24"/>
          <w:highlight w:val="none"/>
        </w:rPr>
      </w:pPr>
      <w:r>
        <w:rPr>
          <w:rFonts w:hint="eastAsia" w:ascii="宋体" w:hAnsi="宋体" w:cs="宋体"/>
          <w:color w:val="auto"/>
          <w:szCs w:val="24"/>
          <w:highlight w:val="none"/>
        </w:rPr>
        <w:t>2.在特殊情况下，采购人可与投标人协商延长投标书的有效期，这种要求和答复均以书面形式进行。</w:t>
      </w:r>
    </w:p>
    <w:p>
      <w:pPr>
        <w:snapToGrid w:val="0"/>
        <w:spacing w:line="360" w:lineRule="auto"/>
        <w:ind w:firstLine="480" w:firstLineChars="200"/>
        <w:jc w:val="left"/>
        <w:outlineLvl w:val="0"/>
        <w:rPr>
          <w:rFonts w:ascii="宋体" w:hAnsi="宋体" w:cs="宋体"/>
          <w:b/>
          <w:color w:val="auto"/>
          <w:sz w:val="24"/>
          <w:szCs w:val="20"/>
          <w:highlight w:val="none"/>
        </w:rPr>
      </w:pPr>
      <w:r>
        <w:rPr>
          <w:rFonts w:hint="eastAsia" w:ascii="宋体" w:hAnsi="宋体" w:cs="宋体"/>
          <w:color w:val="auto"/>
          <w:sz w:val="24"/>
          <w:highlight w:val="none"/>
        </w:rPr>
        <w:t>3.投标人可拒绝接受延期要求。同意延长有效期的投标人不能修改投标文件。</w:t>
      </w:r>
    </w:p>
    <w:p>
      <w:pPr>
        <w:snapToGrid w:val="0"/>
        <w:spacing w:line="360" w:lineRule="auto"/>
        <w:ind w:firstLine="480" w:firstLineChars="200"/>
        <w:jc w:val="left"/>
        <w:outlineLvl w:val="0"/>
        <w:rPr>
          <w:rFonts w:ascii="宋体" w:hAnsi="宋体" w:cs="宋体"/>
          <w:b/>
          <w:color w:val="auto"/>
          <w:sz w:val="24"/>
          <w:highlight w:val="none"/>
        </w:rPr>
      </w:pPr>
      <w:r>
        <w:rPr>
          <w:rFonts w:hint="eastAsia" w:ascii="宋体" w:hAnsi="宋体" w:cs="宋体"/>
          <w:color w:val="auto"/>
          <w:sz w:val="24"/>
          <w:highlight w:val="none"/>
        </w:rPr>
        <w:t>4.中标人的投标文件自开标之日起至合同履行完毕止均应保持有效。</w:t>
      </w:r>
    </w:p>
    <w:p>
      <w:pPr>
        <w:snapToGrid w:val="0"/>
        <w:spacing w:before="156" w:beforeLines="50" w:line="360" w:lineRule="auto"/>
        <w:ind w:firstLine="472" w:firstLineChars="196"/>
        <w:jc w:val="left"/>
        <w:outlineLvl w:val="0"/>
        <w:rPr>
          <w:rFonts w:ascii="宋体" w:hAnsi="宋体" w:cs="宋体"/>
          <w:b/>
          <w:color w:val="auto"/>
          <w:sz w:val="24"/>
          <w:szCs w:val="20"/>
          <w:highlight w:val="none"/>
        </w:rPr>
      </w:pPr>
      <w:r>
        <w:rPr>
          <w:rFonts w:hint="eastAsia" w:ascii="宋体" w:hAnsi="宋体" w:cs="宋体"/>
          <w:b/>
          <w:color w:val="auto"/>
          <w:sz w:val="24"/>
          <w:highlight w:val="none"/>
        </w:rPr>
        <w:t>（六）投标保证金</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根据《浙江省财政厅关于明确政府采购保证金管理工作的通知》（浙财采监〔2019〕5号）相关规定，本项目不设置投标保证金。</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（七）投标文件的制作及递交要求</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1、投标文件的制作要求</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（1）投标人应按照投标文件组成内容及项目招标需求制作投标文件，不按招标文件要求制作投标文件的将视情处理（拒收、扣分等），由此产生的责任由投标人自行承担。</w:t>
      </w:r>
    </w:p>
    <w:p>
      <w:pPr>
        <w:spacing w:line="360" w:lineRule="auto"/>
        <w:ind w:firstLine="480" w:firstLineChars="200"/>
        <w:rPr>
          <w:rFonts w:ascii="宋体" w:hAnsi="宋体" w:cs="宋体"/>
          <w:color w:val="auto"/>
          <w:sz w:val="24"/>
          <w:szCs w:val="32"/>
          <w:highlight w:val="none"/>
          <w:lang w:val="zh-CN"/>
        </w:rPr>
      </w:pPr>
      <w:r>
        <w:rPr>
          <w:rFonts w:hint="eastAsia" w:ascii="宋体" w:hAnsi="宋体" w:cs="宋体"/>
          <w:color w:val="auto"/>
          <w:sz w:val="24"/>
          <w:szCs w:val="32"/>
          <w:highlight w:val="none"/>
        </w:rPr>
        <w:t>（2）投标人应对所提供的全部资料的真实性承担法律责任，</w:t>
      </w:r>
      <w:r>
        <w:rPr>
          <w:rFonts w:hint="eastAsia" w:ascii="宋体" w:hAnsi="宋体" w:cs="宋体"/>
          <w:color w:val="auto"/>
          <w:sz w:val="24"/>
          <w:szCs w:val="32"/>
          <w:highlight w:val="none"/>
          <w:lang w:val="zh-CN"/>
        </w:rPr>
        <w:t>投标文件内容中有要求盖章或签字的地方，必须加盖投标人的公章以及法定代表人或授权委托代理人盖章或签字。</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（3）若投标人不按招标文件的要求提供资格审查材料，其风险由投标人自行承担。</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（4）与本次投标无关的内容请不要制作在内，确保投标文件有针对性、简洁明了。</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①投标文件的编制</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本项目实行电子投标，</w:t>
      </w:r>
      <w:r>
        <w:rPr>
          <w:rFonts w:hint="eastAsia" w:ascii="宋体" w:hAnsi="宋体" w:cs="宋体"/>
          <w:color w:val="auto"/>
          <w:sz w:val="24"/>
          <w:highlight w:val="none"/>
        </w:rPr>
        <w:t>供应商应准备电子投标文件、还可以提交以介质（U盘）存储的数据电文形式的备份投标文件</w:t>
      </w:r>
      <w:r>
        <w:rPr>
          <w:rFonts w:hint="eastAsia" w:ascii="宋体" w:hAnsi="宋体" w:cs="宋体"/>
          <w:color w:val="auto"/>
          <w:sz w:val="24"/>
          <w:szCs w:val="32"/>
          <w:highlight w:val="none"/>
        </w:rPr>
        <w:t>：</w:t>
      </w:r>
    </w:p>
    <w:p>
      <w:pPr>
        <w:spacing w:line="360" w:lineRule="auto"/>
        <w:ind w:firstLine="480" w:firstLineChars="200"/>
        <w:rPr>
          <w:rFonts w:ascii="宋体" w:hAnsi="宋体" w:cs="宋体"/>
          <w:color w:val="auto"/>
          <w:sz w:val="24"/>
          <w:szCs w:val="32"/>
          <w:highlight w:val="none"/>
          <w:lang w:val="en-GB"/>
        </w:rPr>
      </w:pPr>
      <w:r>
        <w:rPr>
          <w:rFonts w:hint="eastAsia" w:ascii="宋体" w:hAnsi="宋体" w:cs="宋体"/>
          <w:color w:val="auto"/>
          <w:sz w:val="24"/>
          <w:szCs w:val="32"/>
          <w:highlight w:val="none"/>
        </w:rPr>
        <w:t>（1）按政采云平台项目采购--电子招投标操作指南及本招标文件要求编制。</w:t>
      </w:r>
      <w:r>
        <w:rPr>
          <w:rFonts w:hint="eastAsia" w:ascii="宋体" w:hAnsi="宋体" w:cs="宋体"/>
          <w:color w:val="auto"/>
          <w:sz w:val="24"/>
          <w:szCs w:val="32"/>
          <w:highlight w:val="none"/>
          <w:lang w:val="en-GB"/>
        </w:rPr>
        <w:t>投标人应通过“政采云电子交易客户端”，并按照本招标文件和“政府采购云平台”的要求编制并加密投标文件。</w:t>
      </w:r>
    </w:p>
    <w:p>
      <w:pPr>
        <w:spacing w:line="360" w:lineRule="auto"/>
        <w:ind w:firstLine="480" w:firstLineChars="200"/>
        <w:rPr>
          <w:rFonts w:ascii="宋体" w:hAnsi="宋体" w:cs="宋体"/>
          <w:color w:val="auto"/>
          <w:sz w:val="24"/>
          <w:szCs w:val="32"/>
          <w:highlight w:val="none"/>
          <w:lang w:val="en-GB"/>
        </w:rPr>
      </w:pPr>
      <w:r>
        <w:rPr>
          <w:rFonts w:hint="eastAsia" w:ascii="宋体" w:hAnsi="宋体" w:cs="宋体"/>
          <w:color w:val="auto"/>
          <w:sz w:val="24"/>
          <w:szCs w:val="32"/>
          <w:highlight w:val="none"/>
          <w:lang w:val="en-GB"/>
        </w:rPr>
        <w:t>1.</w:t>
      </w:r>
      <w:r>
        <w:rPr>
          <w:rFonts w:hint="eastAsia" w:ascii="宋体" w:hAnsi="宋体" w:cs="宋体"/>
          <w:color w:val="auto"/>
          <w:sz w:val="24"/>
          <w:szCs w:val="32"/>
          <w:highlight w:val="none"/>
        </w:rPr>
        <w:t>1</w:t>
      </w:r>
      <w:r>
        <w:rPr>
          <w:rFonts w:hint="eastAsia" w:ascii="宋体" w:hAnsi="宋体" w:cs="宋体"/>
          <w:color w:val="auto"/>
          <w:sz w:val="24"/>
          <w:szCs w:val="32"/>
          <w:highlight w:val="none"/>
          <w:lang w:val="en-GB"/>
        </w:rPr>
        <w:t>投标人应当按照本章节 “投标文件组成”规定的内容及顺序在“政采云电子交易客户端”编制投标文件。其中《</w:t>
      </w:r>
      <w:r>
        <w:rPr>
          <w:rFonts w:hint="eastAsia" w:ascii="宋体" w:hAnsi="宋体" w:cs="宋体"/>
          <w:color w:val="auto"/>
          <w:sz w:val="24"/>
          <w:szCs w:val="32"/>
          <w:highlight w:val="none"/>
        </w:rPr>
        <w:t>资格证明文件</w:t>
      </w:r>
      <w:r>
        <w:rPr>
          <w:rFonts w:hint="eastAsia" w:ascii="宋体" w:hAnsi="宋体" w:cs="宋体"/>
          <w:color w:val="auto"/>
          <w:sz w:val="24"/>
          <w:szCs w:val="32"/>
          <w:highlight w:val="none"/>
          <w:lang w:val="en-GB"/>
        </w:rPr>
        <w:t>》和《</w:t>
      </w:r>
      <w:r>
        <w:rPr>
          <w:rFonts w:hint="eastAsia" w:ascii="宋体" w:hAnsi="宋体" w:cs="宋体"/>
          <w:color w:val="auto"/>
          <w:sz w:val="24"/>
          <w:szCs w:val="32"/>
          <w:highlight w:val="none"/>
        </w:rPr>
        <w:t>商务与技术文件</w:t>
      </w:r>
      <w:r>
        <w:rPr>
          <w:rFonts w:hint="eastAsia" w:ascii="宋体" w:hAnsi="宋体" w:cs="宋体"/>
          <w:color w:val="auto"/>
          <w:sz w:val="24"/>
          <w:szCs w:val="32"/>
          <w:highlight w:val="none"/>
          <w:lang w:val="en-GB"/>
        </w:rPr>
        <w:t>》中不得出现本项目投标报价，如因投标人原因提前泄露投标报价，是投标人的责任。</w:t>
      </w:r>
    </w:p>
    <w:p>
      <w:pPr>
        <w:spacing w:line="360" w:lineRule="auto"/>
        <w:ind w:firstLine="480" w:firstLineChars="200"/>
        <w:rPr>
          <w:rFonts w:ascii="宋体" w:hAnsi="宋体" w:cs="宋体"/>
          <w:color w:val="auto"/>
          <w:sz w:val="24"/>
          <w:szCs w:val="32"/>
          <w:highlight w:val="none"/>
          <w:lang w:val="en-GB"/>
        </w:rPr>
      </w:pPr>
      <w:r>
        <w:rPr>
          <w:rFonts w:hint="eastAsia" w:ascii="宋体" w:hAnsi="宋体" w:cs="宋体"/>
          <w:color w:val="auto"/>
          <w:sz w:val="24"/>
          <w:szCs w:val="32"/>
          <w:highlight w:val="none"/>
          <w:lang w:val="zh-CN"/>
        </w:rPr>
        <w:t>1.</w:t>
      </w:r>
      <w:r>
        <w:rPr>
          <w:rFonts w:hint="eastAsia" w:ascii="宋体" w:hAnsi="宋体" w:cs="宋体"/>
          <w:color w:val="auto"/>
          <w:sz w:val="24"/>
          <w:szCs w:val="32"/>
          <w:highlight w:val="none"/>
          <w:lang w:val="en-GB"/>
        </w:rPr>
        <w:t>2</w:t>
      </w:r>
      <w:r>
        <w:rPr>
          <w:rFonts w:hint="eastAsia" w:ascii="宋体" w:hAnsi="宋体" w:cs="宋体"/>
          <w:color w:val="auto"/>
          <w:sz w:val="24"/>
          <w:szCs w:val="32"/>
          <w:highlight w:val="none"/>
          <w:lang w:val="zh-CN"/>
        </w:rPr>
        <w:t>投标文件分为</w:t>
      </w:r>
      <w:r>
        <w:rPr>
          <w:rFonts w:hint="eastAsia" w:ascii="宋体" w:hAnsi="宋体" w:cs="宋体"/>
          <w:color w:val="auto"/>
          <w:sz w:val="24"/>
          <w:szCs w:val="32"/>
          <w:highlight w:val="none"/>
          <w:lang w:val="en-GB"/>
        </w:rPr>
        <w:t>资格证明文件、商务与技术文件、报价文件三部分</w:t>
      </w:r>
      <w:r>
        <w:rPr>
          <w:rFonts w:hint="eastAsia" w:ascii="宋体" w:hAnsi="宋体" w:cs="宋体"/>
          <w:color w:val="auto"/>
          <w:sz w:val="24"/>
          <w:szCs w:val="32"/>
          <w:highlight w:val="none"/>
          <w:lang w:val="zh-CN"/>
        </w:rPr>
        <w:t>。各投标人在编制投标文件时请按照采购文件</w:t>
      </w:r>
      <w:r>
        <w:rPr>
          <w:rFonts w:hint="eastAsia" w:ascii="宋体" w:hAnsi="宋体" w:cs="宋体"/>
          <w:color w:val="auto"/>
          <w:sz w:val="24"/>
          <w:szCs w:val="32"/>
          <w:highlight w:val="none"/>
        </w:rPr>
        <w:t>中</w:t>
      </w:r>
      <w:r>
        <w:rPr>
          <w:rFonts w:hint="eastAsia" w:ascii="宋体" w:hAnsi="宋体" w:cs="宋体"/>
          <w:b/>
          <w:bCs/>
          <w:color w:val="auto"/>
          <w:sz w:val="24"/>
          <w:szCs w:val="32"/>
          <w:highlight w:val="none"/>
          <w:lang w:val="zh-CN"/>
        </w:rPr>
        <w:t>“</w:t>
      </w:r>
      <w:r>
        <w:rPr>
          <w:rFonts w:hint="eastAsia" w:ascii="宋体" w:hAnsi="宋体" w:cs="宋体"/>
          <w:b/>
          <w:bCs/>
          <w:color w:val="auto"/>
          <w:sz w:val="24"/>
          <w:szCs w:val="32"/>
          <w:highlight w:val="none"/>
        </w:rPr>
        <w:t>投标文件的组成”</w:t>
      </w:r>
      <w:r>
        <w:rPr>
          <w:rFonts w:hint="eastAsia" w:ascii="宋体" w:hAnsi="宋体" w:cs="宋体"/>
          <w:color w:val="auto"/>
          <w:sz w:val="24"/>
          <w:szCs w:val="32"/>
          <w:highlight w:val="none"/>
        </w:rPr>
        <w:t>的</w:t>
      </w:r>
      <w:r>
        <w:rPr>
          <w:rFonts w:hint="eastAsia" w:ascii="宋体" w:hAnsi="宋体" w:cs="宋体"/>
          <w:color w:val="auto"/>
          <w:sz w:val="24"/>
          <w:szCs w:val="32"/>
          <w:highlight w:val="none"/>
          <w:lang w:val="zh-CN"/>
        </w:rPr>
        <w:t>格式进行，</w:t>
      </w:r>
      <w:r>
        <w:rPr>
          <w:rFonts w:hint="eastAsia" w:ascii="宋体" w:hAnsi="宋体" w:cs="宋体"/>
          <w:color w:val="auto"/>
          <w:sz w:val="24"/>
          <w:szCs w:val="32"/>
          <w:highlight w:val="none"/>
          <w:lang w:val="en-GB"/>
        </w:rPr>
        <w:t>并按格式要求在指定位置根据要求进行签章，否则视为未提供，未提供格式的，请各投标人自行拟定格式，并加盖单位公章并由法定代表人或其授权委托代理人签署（签字或盖章），否则视为未提供。</w:t>
      </w:r>
    </w:p>
    <w:p>
      <w:pPr>
        <w:spacing w:line="360" w:lineRule="auto"/>
        <w:ind w:firstLine="480" w:firstLineChars="200"/>
        <w:rPr>
          <w:rFonts w:ascii="宋体" w:hAnsi="宋体" w:cs="宋体"/>
          <w:color w:val="auto"/>
          <w:sz w:val="24"/>
          <w:szCs w:val="32"/>
          <w:highlight w:val="none"/>
          <w:lang w:val="en-GB"/>
        </w:rPr>
      </w:pPr>
      <w:r>
        <w:rPr>
          <w:rFonts w:hint="eastAsia" w:ascii="宋体" w:hAnsi="宋体" w:cs="宋体"/>
          <w:color w:val="auto"/>
          <w:sz w:val="24"/>
          <w:szCs w:val="32"/>
          <w:highlight w:val="none"/>
          <w:lang w:val="en-GB"/>
        </w:rPr>
        <w:t>1.3《投标文件》内容不完整、</w:t>
      </w:r>
      <w:r>
        <w:rPr>
          <w:rFonts w:hint="eastAsia" w:ascii="宋体" w:hAnsi="宋体" w:cs="宋体"/>
          <w:color w:val="auto"/>
          <w:sz w:val="24"/>
          <w:szCs w:val="32"/>
          <w:highlight w:val="none"/>
          <w:lang w:val="zh-CN"/>
        </w:rPr>
        <w:t>混乱的编排导致投标文件被误读或评标委员会查找不到有效文件是投标人的责任。</w:t>
      </w:r>
      <w:r>
        <w:rPr>
          <w:rFonts w:hint="eastAsia" w:ascii="宋体" w:hAnsi="宋体" w:cs="宋体"/>
          <w:color w:val="auto"/>
          <w:sz w:val="24"/>
          <w:szCs w:val="32"/>
          <w:highlight w:val="none"/>
          <w:lang w:val="en-GB"/>
        </w:rPr>
        <w:t>《投标文件》因字迹潦草或表达不清所引起的后果由投标人负责，▲投标文件未按规定的格式编制的，投标无效。</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（2）以介质</w:t>
      </w:r>
      <w:r>
        <w:rPr>
          <w:rFonts w:hint="eastAsia" w:ascii="宋体" w:hAnsi="宋体" w:cs="宋体"/>
          <w:color w:val="auto"/>
          <w:sz w:val="24"/>
          <w:highlight w:val="none"/>
        </w:rPr>
        <w:t>（U盘）</w:t>
      </w:r>
      <w:r>
        <w:rPr>
          <w:rFonts w:hint="eastAsia" w:ascii="宋体" w:hAnsi="宋体" w:cs="宋体"/>
          <w:color w:val="auto"/>
          <w:sz w:val="24"/>
          <w:szCs w:val="32"/>
          <w:highlight w:val="none"/>
        </w:rPr>
        <w:t>存储的数据电文形式的备份投标文件，按政采云平台项目采购-电子招投标操作指南中上传的电子投标文件格式，以U盘形式提供。数量为1份。</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Ⅰ电子投标文件</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电子投标文件中须加盖公章、法人章部分均采用CA签章，并根据“政采云供应商项目采购-电子招投标操作指南”及本招标文件规定的格式和顺序编制电子投标文件并进行关联定位，以便评标委员会在评标时，点击评分项可直接定位到该评分项内容。如对招标文件的某项要求，投标人的电子投标文件未能关联定位提供相应的内容与其对应，则评标委员会在评审时如做出对投标人不利的评审由投标人自行承担。</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电子投标文件如内容不完整、编排混乱导致投标文件被误读、漏读，或者在按采购文件规定的部位查找不到相关内容的，由投标人自行承担。</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2.温馨提醒：CA签章上目前没有法人或授权委托代理人签字信息，需要投标人联系相应公司进行办理，或在投标文件中涉及到签字的位置线下签好字然后扫描或者拍照做成PDF的格式亦可。</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w:t>
      </w:r>
      <w:r>
        <w:rPr>
          <w:rFonts w:hint="eastAsia" w:ascii="宋体" w:hAnsi="宋体" w:cs="宋体"/>
          <w:b/>
          <w:bCs/>
          <w:color w:val="auto"/>
          <w:sz w:val="24"/>
          <w:szCs w:val="32"/>
          <w:highlight w:val="none"/>
        </w:rPr>
        <w:t>以介质（U盘）存储的数据电文形式的备份投标文件</w:t>
      </w:r>
      <w:r>
        <w:rPr>
          <w:rFonts w:hint="eastAsia" w:ascii="宋体" w:hAnsi="宋体" w:cs="宋体"/>
          <w:color w:val="auto"/>
          <w:sz w:val="24"/>
          <w:szCs w:val="32"/>
          <w:highlight w:val="none"/>
        </w:rPr>
        <w:t>，按政采云平台项目采购-电子招投标操作指南中上传的电子投标文件格式，以U盘形式提供。数量为1份。</w:t>
      </w:r>
    </w:p>
    <w:p>
      <w:pPr>
        <w:spacing w:line="360" w:lineRule="auto"/>
        <w:ind w:firstLine="482" w:firstLineChars="200"/>
        <w:rPr>
          <w:rFonts w:ascii="宋体" w:hAnsi="宋体" w:cs="宋体"/>
          <w:b/>
          <w:bCs/>
          <w:color w:val="auto"/>
          <w:sz w:val="24"/>
          <w:szCs w:val="32"/>
          <w:highlight w:val="none"/>
        </w:rPr>
      </w:pP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2、投标文件的递交要求</w:t>
      </w:r>
    </w:p>
    <w:p>
      <w:pPr>
        <w:spacing w:line="360" w:lineRule="auto"/>
        <w:ind w:firstLine="480" w:firstLineChars="200"/>
        <w:rPr>
          <w:rFonts w:ascii="宋体" w:hAnsi="宋体" w:cs="宋体"/>
          <w:color w:val="auto"/>
          <w:sz w:val="24"/>
          <w:szCs w:val="32"/>
          <w:highlight w:val="none"/>
          <w:lang w:val="en-GB"/>
        </w:rPr>
      </w:pPr>
      <w:r>
        <w:rPr>
          <w:rFonts w:hint="eastAsia" w:ascii="宋体" w:hAnsi="宋体" w:cs="宋体"/>
          <w:color w:val="auto"/>
          <w:sz w:val="24"/>
          <w:szCs w:val="32"/>
          <w:highlight w:val="none"/>
          <w:lang w:val="en-GB"/>
        </w:rPr>
        <w:t>（</w:t>
      </w:r>
      <w:r>
        <w:rPr>
          <w:rFonts w:hint="eastAsia" w:ascii="宋体" w:hAnsi="宋体" w:cs="宋体"/>
          <w:color w:val="auto"/>
          <w:sz w:val="24"/>
          <w:szCs w:val="32"/>
          <w:highlight w:val="none"/>
        </w:rPr>
        <w:t>1</w:t>
      </w:r>
      <w:r>
        <w:rPr>
          <w:rFonts w:hint="eastAsia" w:ascii="宋体" w:hAnsi="宋体" w:cs="宋体"/>
          <w:color w:val="auto"/>
          <w:sz w:val="24"/>
          <w:szCs w:val="32"/>
          <w:highlight w:val="none"/>
          <w:lang w:val="en-GB"/>
        </w:rPr>
        <w:t>）“投标文件”的上传、递交：见《前附表》。▲未传输递交电子投标文件的，投标无效。</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（2）供应商还可以在投标截止之间前将以介质</w:t>
      </w:r>
      <w:r>
        <w:rPr>
          <w:rFonts w:hint="eastAsia" w:ascii="宋体" w:hAnsi="宋体" w:cs="宋体"/>
          <w:color w:val="auto"/>
          <w:sz w:val="24"/>
          <w:highlight w:val="none"/>
        </w:rPr>
        <w:t>（U盘）</w:t>
      </w:r>
      <w:r>
        <w:rPr>
          <w:rFonts w:hint="eastAsia" w:ascii="宋体" w:hAnsi="宋体" w:cs="宋体"/>
          <w:color w:val="auto"/>
          <w:sz w:val="24"/>
          <w:szCs w:val="32"/>
          <w:highlight w:val="none"/>
        </w:rPr>
        <w:t>存储的数据电文形式的备份投标文件送达或邮寄至</w:t>
      </w:r>
      <w:r>
        <w:rPr>
          <w:rFonts w:hint="eastAsia" w:ascii="宋体" w:hAnsi="宋体" w:cs="宋体"/>
          <w:color w:val="auto"/>
          <w:sz w:val="24"/>
          <w:highlight w:val="none"/>
          <w:lang w:val="en-GB"/>
        </w:rPr>
        <w:t>公告规定的</w:t>
      </w:r>
      <w:r>
        <w:rPr>
          <w:rFonts w:hint="eastAsia" w:ascii="宋体" w:hAnsi="宋体" w:cs="宋体"/>
          <w:color w:val="auto"/>
          <w:sz w:val="24"/>
          <w:szCs w:val="32"/>
          <w:highlight w:val="none"/>
        </w:rPr>
        <w:t>地点。备份投标文件在截止时间后提交，采购组织机构将拒绝接收。</w:t>
      </w:r>
      <w:r>
        <w:rPr>
          <w:rFonts w:hint="eastAsia" w:ascii="宋体" w:hAnsi="宋体" w:cs="宋体"/>
          <w:color w:val="auto"/>
          <w:sz w:val="24"/>
          <w:highlight w:val="none"/>
          <w:lang w:val="en-GB"/>
        </w:rPr>
        <w:t>▲未按规定提供相应的备份投标文件，造成项目开评标活动无法进行下去的，投标无效。</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（3）符合法律法规规定的情形下，采购组织机构延长截止时间和开标时间，采购组织机构和投标人的权利和义务将受到新的截止时间和开标时间的约束。</w:t>
      </w:r>
    </w:p>
    <w:p>
      <w:pPr>
        <w:spacing w:line="360" w:lineRule="auto"/>
        <w:ind w:firstLine="480" w:firstLineChars="200"/>
        <w:rPr>
          <w:rFonts w:ascii="宋体" w:hAnsi="宋体" w:cs="宋体"/>
          <w:color w:val="auto"/>
          <w:sz w:val="24"/>
          <w:szCs w:val="32"/>
          <w:highlight w:val="none"/>
          <w:lang w:val="en-GB"/>
        </w:rPr>
      </w:pPr>
      <w:r>
        <w:rPr>
          <w:rFonts w:hint="eastAsia" w:ascii="宋体" w:hAnsi="宋体" w:cs="宋体"/>
          <w:color w:val="auto"/>
          <w:sz w:val="24"/>
          <w:szCs w:val="32"/>
          <w:highlight w:val="none"/>
          <w:lang w:val="en-GB"/>
        </w:rPr>
        <w:t>（</w:t>
      </w:r>
      <w:r>
        <w:rPr>
          <w:rFonts w:hint="eastAsia" w:ascii="宋体" w:hAnsi="宋体" w:cs="宋体"/>
          <w:color w:val="auto"/>
          <w:sz w:val="24"/>
          <w:szCs w:val="32"/>
          <w:highlight w:val="none"/>
        </w:rPr>
        <w:t>4</w:t>
      </w:r>
      <w:r>
        <w:rPr>
          <w:rFonts w:hint="eastAsia" w:ascii="宋体" w:hAnsi="宋体" w:cs="宋体"/>
          <w:color w:val="auto"/>
          <w:sz w:val="24"/>
          <w:szCs w:val="32"/>
          <w:highlight w:val="none"/>
          <w:lang w:val="en-GB"/>
        </w:rPr>
        <w:t>）投标文件的备选方案</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lang w:val="en-GB"/>
        </w:rPr>
        <w:t>投标人不得递交任何的投标备选（替代）方案，否则其投标文件将作无效标处理。与“电子加密投标文件”同时生成的“备份投标文件”不是投标备选（替代）方案。</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（八）投标文件的有效期</w:t>
      </w:r>
    </w:p>
    <w:p>
      <w:pPr>
        <w:spacing w:line="360" w:lineRule="auto"/>
        <w:ind w:firstLine="480" w:firstLineChars="200"/>
        <w:rPr>
          <w:rFonts w:ascii="宋体" w:hAnsi="宋体" w:cs="宋体"/>
          <w:color w:val="auto"/>
          <w:sz w:val="24"/>
          <w:szCs w:val="32"/>
          <w:highlight w:val="none"/>
          <w:lang w:val="en-GB"/>
        </w:rPr>
      </w:pPr>
      <w:r>
        <w:rPr>
          <w:rFonts w:hint="eastAsia" w:ascii="宋体" w:hAnsi="宋体" w:cs="宋体"/>
          <w:color w:val="auto"/>
          <w:sz w:val="24"/>
          <w:szCs w:val="32"/>
          <w:highlight w:val="none"/>
        </w:rPr>
        <w:t>1.</w:t>
      </w:r>
      <w:r>
        <w:rPr>
          <w:rFonts w:hint="eastAsia" w:ascii="宋体" w:hAnsi="宋体" w:cs="宋体"/>
          <w:color w:val="auto"/>
          <w:sz w:val="24"/>
          <w:szCs w:val="32"/>
          <w:highlight w:val="none"/>
          <w:lang w:val="en-GB"/>
        </w:rPr>
        <w:t>自投标截止日起90天投标文件应保持有效。有效期不足的投标文件将被拒绝。</w:t>
      </w:r>
    </w:p>
    <w:p>
      <w:pPr>
        <w:spacing w:line="360" w:lineRule="auto"/>
        <w:ind w:firstLine="480" w:firstLineChars="200"/>
        <w:rPr>
          <w:rFonts w:ascii="宋体" w:hAnsi="宋体" w:cs="宋体"/>
          <w:color w:val="auto"/>
          <w:sz w:val="24"/>
          <w:szCs w:val="32"/>
          <w:highlight w:val="none"/>
          <w:lang w:val="en-GB"/>
        </w:rPr>
      </w:pPr>
      <w:r>
        <w:rPr>
          <w:rFonts w:hint="eastAsia" w:ascii="宋体" w:hAnsi="宋体" w:cs="宋体"/>
          <w:color w:val="auto"/>
          <w:sz w:val="24"/>
          <w:szCs w:val="32"/>
          <w:highlight w:val="none"/>
        </w:rPr>
        <w:t>2.</w:t>
      </w:r>
      <w:r>
        <w:rPr>
          <w:rFonts w:hint="eastAsia" w:ascii="宋体" w:hAnsi="宋体" w:cs="宋体"/>
          <w:color w:val="auto"/>
          <w:sz w:val="24"/>
          <w:szCs w:val="32"/>
          <w:highlight w:val="none"/>
          <w:lang w:val="en-GB"/>
        </w:rPr>
        <w:t>在特殊情况下，采购人可与投标人协商延长投标文件的有效期，这种要求和答复均以书面形式进行。</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3.中标人的投标文件自开标之日起至合同履行完毕均应保持有效。</w:t>
      </w:r>
    </w:p>
    <w:p>
      <w:pPr>
        <w:pStyle w:val="21"/>
        <w:snapToGrid w:val="0"/>
        <w:spacing w:before="156" w:after="156" w:line="360" w:lineRule="auto"/>
        <w:rPr>
          <w:rFonts w:hAnsi="宋体" w:cs="宋体"/>
          <w:b/>
          <w:color w:val="auto"/>
          <w:sz w:val="30"/>
          <w:szCs w:val="30"/>
          <w:highlight w:val="none"/>
        </w:rPr>
      </w:pPr>
      <w:r>
        <w:rPr>
          <w:rFonts w:hint="eastAsia" w:hAnsi="宋体" w:cs="宋体"/>
          <w:b/>
          <w:color w:val="auto"/>
          <w:sz w:val="30"/>
          <w:szCs w:val="30"/>
          <w:highlight w:val="none"/>
        </w:rPr>
        <w:t>四、开标</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（一）开标事项</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采购组织机构在“招标公告”规定的时间和地点公开开标，本次招标先评审资格证明和商务与技术文件，后公开并评审报价的办法实施。</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采购过程中出现以下情形，导致电子交易平台无法正常运行，或者无法保证电子交易的公平、公正和安全时，采购组织机构可中止电子交易活动：</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 xml:space="preserve">（1）电子交易平台发生故障而无法登录访问的； </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（2）电子交易平台应用或数据库出现错误，不能进行正常操作的；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（3）电子交易平台发现严重安全漏洞，有潜在泄密危险的；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 xml:space="preserve">（4）病毒导致不能进行正常操作的； </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（5）其他无法保证电子交易的公平、公正和安全的情况。</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出现前款规定情形，不影响采购公平、公正性的，采购组织机构可以待上述情形消除后继续组织电子交易活动；影响或可能影响采购公平、公正性的，应当重新采购。</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（二） 开标程序：</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1、开标会由招标项目负责人主持，主持人宣布开标会议开始；</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 xml:space="preserve">2、主持人介绍参加开标会的人员名单； </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3、主持人宣布评标期间的有关事项，告知应当回避的情形,提请有关人员回避；对投标人进行签到验证。</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4、向各投标人发出电子加密投标文件【开始解密】通知，由投标人按招标文件规定的时间内自行进行投标文件解密。投标文件的制作和解密应使用同一个数字证书，否则将可能解密失败。</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5、采购组织机构点击【开启标书信息】，开启标书成功后进入开标流程。</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6、</w:t>
      </w:r>
      <w:r>
        <w:rPr>
          <w:rFonts w:hint="eastAsia" w:ascii="宋体" w:hAnsi="宋体" w:cs="宋体"/>
          <w:color w:val="auto"/>
          <w:sz w:val="24"/>
          <w:szCs w:val="32"/>
          <w:highlight w:val="none"/>
          <w:lang w:val="zh-CN"/>
        </w:rPr>
        <w:t>资格证明文件和商务与技术文件</w:t>
      </w:r>
      <w:r>
        <w:rPr>
          <w:rFonts w:hint="eastAsia" w:ascii="宋体" w:hAnsi="宋体" w:cs="宋体"/>
          <w:color w:val="auto"/>
          <w:sz w:val="24"/>
          <w:szCs w:val="32"/>
          <w:highlight w:val="none"/>
        </w:rPr>
        <w:t>评审；</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7、由主持人公布无效投标的投标人名单、投标无效的原因及其他有效投标的评分汇总分；</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8、开启报价响应文件：采购代理机构成功开启报价响应文件后，方可查看各供应商报价情况。</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9、报价文件评审；</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10、由主持人公布无效投标的投标人名单、投标无效的原因及其他有效投标的报价文件得分；</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11、宣布综合得分结果及中标候选人名单；</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12、开标会议结束。</w:t>
      </w:r>
    </w:p>
    <w:p>
      <w:pPr>
        <w:pStyle w:val="21"/>
        <w:snapToGrid w:val="0"/>
        <w:spacing w:before="156" w:after="156" w:line="360" w:lineRule="auto"/>
        <w:rPr>
          <w:rFonts w:hAnsi="宋体" w:cs="宋体"/>
          <w:b/>
          <w:color w:val="auto"/>
          <w:sz w:val="30"/>
          <w:szCs w:val="30"/>
          <w:highlight w:val="none"/>
        </w:rPr>
      </w:pPr>
      <w:r>
        <w:rPr>
          <w:rFonts w:hint="eastAsia" w:hAnsi="宋体" w:cs="宋体"/>
          <w:b/>
          <w:color w:val="auto"/>
          <w:sz w:val="30"/>
          <w:szCs w:val="30"/>
          <w:highlight w:val="none"/>
        </w:rPr>
        <w:t>五、评标</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本项目采用不公开方式评标，评标的依据为招标文件和投标文件。本项目采用电子评审方法，若因政采云平台原因无法读取或电子开评标无法正常进行，本次开标失败。</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（一）组建评标委员会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评标委员会由采购人代表和评审专家组成，成员人数为5人以上单数，其中评审专家不得少于成员总数的三分之二。</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（二）评标程序</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1、资格审查</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公开招标采购项目开标结束后，采购人或者采购组织机构应当依法对投标人的资格进行审查，对审查发现无效的进行必要的询标，结束后公布无效投标的投标人名单、投标无效的原因。</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2、符合性审查</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评标委员会应当对符合资格的投标人的投标文件进行符合性审查，以确定其是否满足招标文件的实质性要求，对审查发现无效的进行必要的询标，结束后公布无效投标的投标人名单、投标无效的原因。</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3、综合比较与评价</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（1）对于投标文件中含义不明确、同类问题表述不一致或者有明显文字和计算错误的内容，评标委员会应当以书面形式要求投标人作出必要的澄清、说明或者补正。</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（2）评标委员会应当按照招标文件中规定的评标方法和标准，对符合性审查合格的投标文件进行商务和技术评估，综合比较与评价。</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（3）评标时，评标委员会各成员应当独立对每个投标人的投标文件进行评价，并汇总每个投标人的得分。</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4、得分确认及评审报告编写</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（1）评标委员会对报价文件进行复核，对于系统计算出的价格分及总得分进行确认；</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（2）评标委员会应当按照招标文件中规定的评标方法和标准，对符合性审查合格的投标文件进行商务和技术评估，综合比较与评价。</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（3）评标委员会按评标原则及得分情况编写评审报告。</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5、评价</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采购组织机构对评标委员会评审专家进行评价。</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（三）澄清问题的形式</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投标人的澄清、说明或者补正应当采用书面形式，并加盖公章，或者由法定代理人或其授权委托代理人签字，并不得超出投标文件的范围或者改变投标文件的实质性内容。</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（四）错误修正</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投标文件报价出现前后不一致的，除招标文件另有规定外，按照下列规定修正：</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1、投标文件中开标一览表（报价表）内容与投标文件中相应内容不一致的，以开标一览表（报价表）为准；</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2、大写金额和小写金额不一致的，以大写金额为准；</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3、单价金额小数点或者百分比有明显错位的，以开标一览表的总价为准，并修改单价；</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4、总价金额与按单价汇总金额不一致的，以单价金额计算结果为准。</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同时出现两种以上不一致的，按照前款规定的顺序修正。修正应当采用书面形式，并加盖公章，或者由法定代表人或其授权委托代理人签字。修正后的报价经投标人确认后产生约束力，投标人不确认的，其投标无效。</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（五）投标人存在下列情况之一的，投标无效：</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电子投标文件在指定页面无法定代表人盖章或签字、未在指定页面盖公章、在指定页面无被授权人签字、未提供法定代表人授权委托书、未提供投标函或者投标函格式不符合招标文件要求或填写项目不齐全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w:t>
      </w:r>
      <w:r>
        <w:rPr>
          <w:rFonts w:hint="eastAsia" w:ascii="宋体" w:hAnsi="宋体" w:cs="宋体"/>
          <w:color w:val="auto"/>
          <w:sz w:val="24"/>
          <w:szCs w:val="32"/>
          <w:highlight w:val="none"/>
          <w:lang w:val="zh-CN"/>
        </w:rPr>
        <w:t>资格证明文件、商务与技术文件</w:t>
      </w:r>
      <w:r>
        <w:rPr>
          <w:rFonts w:hint="eastAsia" w:ascii="宋体" w:hAnsi="宋体" w:cs="宋体"/>
          <w:color w:val="auto"/>
          <w:sz w:val="24"/>
          <w:szCs w:val="32"/>
          <w:highlight w:val="none"/>
        </w:rPr>
        <w:t>跟报价文件出现混装或在</w:t>
      </w:r>
      <w:r>
        <w:rPr>
          <w:rFonts w:hint="eastAsia" w:ascii="宋体" w:hAnsi="宋体" w:cs="宋体"/>
          <w:color w:val="auto"/>
          <w:sz w:val="24"/>
          <w:szCs w:val="32"/>
          <w:highlight w:val="none"/>
          <w:lang w:val="zh-CN"/>
        </w:rPr>
        <w:t>资格证明文件、商务与技术文件</w:t>
      </w:r>
      <w:r>
        <w:rPr>
          <w:rFonts w:hint="eastAsia" w:ascii="宋体" w:hAnsi="宋体" w:cs="宋体"/>
          <w:color w:val="auto"/>
          <w:sz w:val="24"/>
          <w:szCs w:val="32"/>
          <w:highlight w:val="none"/>
        </w:rPr>
        <w:t>中出现投标报价的，或者报价文件中报价的项目跟</w:t>
      </w:r>
      <w:r>
        <w:rPr>
          <w:rFonts w:hint="eastAsia" w:ascii="宋体" w:hAnsi="宋体" w:cs="宋体"/>
          <w:color w:val="auto"/>
          <w:sz w:val="24"/>
          <w:szCs w:val="32"/>
          <w:highlight w:val="none"/>
          <w:lang w:val="zh-CN"/>
        </w:rPr>
        <w:t>资格证明文件、商务与技术文件</w:t>
      </w:r>
      <w:r>
        <w:rPr>
          <w:rFonts w:hint="eastAsia" w:ascii="宋体" w:hAnsi="宋体" w:cs="宋体"/>
          <w:color w:val="auto"/>
          <w:sz w:val="24"/>
          <w:szCs w:val="32"/>
          <w:highlight w:val="none"/>
        </w:rPr>
        <w:t>中的投标项目出现重大偏差的。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3、不具备招标文件中规定的资格要求的。</w:t>
      </w:r>
      <w:r>
        <w:rPr>
          <w:rFonts w:hint="eastAsia" w:ascii="宋体" w:hAnsi="宋体" w:cs="宋体"/>
          <w:color w:val="auto"/>
          <w:sz w:val="24"/>
          <w:szCs w:val="32"/>
          <w:highlight w:val="none"/>
        </w:rPr>
        <w:tab/>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4、投标文件含有采购人不能接受的附加条件的。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5、授权委托代理人未能出具身份证明或与法定代表人授权委托代理人身份不符的。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7、报价超过招标文件中规定的预算金额/最高限价。</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8、投标参数未如实填写，完全复制粘贴招标参数的。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9、投标文件提供虚假材料的。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10、投标人的电子投标文件无法按时解密的。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11、不符合中华人民共和国财政部令第87号《政府采购货物和服务招标投标管理办法》第三十七条情形之一的，视为投标人串通投标，其投标无效，并移送采购监管部门：</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（1）不同投标人的投标文件由同一单位或者个人编制；不同投标人的投标文件,由同一台电脑编制；</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（2）不同投标人委托同一单位或者个人办理投标事宜；</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（3）不同投标人的投标文件载明的项目管理成员或者联系人员为同一人；</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（4）不同投标人的投标文件异常一致或者投标报价呈规律性差异；</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（5）不同投标人的投标文件相互混装。</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12、不符合法律、法规和招标文件中规定的其他实质性要求的（招标文件中打“▲”内容及被拒绝的条款）。</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13、未传输递交电子投标文件的或者未按规定提供相应的备份投标文件，造成项目开评标活动无法进行下去的。</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（六）有下列情况之一的，本次招标作为废标处理</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1、符合专业条件的投标人或者对招标文件作实质响应的投标人不足3家，评标委员会认定投标明显缺乏竞争的；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2、出现影响采购公正的违法、违规行为的；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 xml:space="preserve">3、评标委员会发现招标文件存在歧义、重大缺陷导致评标工作无法进行，或者招标文件内容违反国家有关强制性规定的； </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4、因重大变故，采购任务取消的；</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5、法律、法规和招标文件规定的其他导致评标结果无效的。</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（七）评标原则和评标办法</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2、评标办法。具体评标内容及评分标准等详见《第四章 评标方法及评分标准》。</w:t>
      </w:r>
    </w:p>
    <w:p>
      <w:pPr>
        <w:spacing w:line="360" w:lineRule="auto"/>
        <w:ind w:firstLine="482" w:firstLineChars="200"/>
        <w:rPr>
          <w:rFonts w:ascii="宋体" w:hAnsi="宋体" w:cs="宋体"/>
          <w:b/>
          <w:bCs/>
          <w:color w:val="auto"/>
          <w:sz w:val="24"/>
          <w:szCs w:val="32"/>
          <w:highlight w:val="none"/>
        </w:rPr>
      </w:pPr>
      <w:r>
        <w:rPr>
          <w:rFonts w:hint="eastAsia" w:ascii="宋体" w:hAnsi="宋体" w:cs="宋体"/>
          <w:b/>
          <w:bCs/>
          <w:color w:val="auto"/>
          <w:sz w:val="24"/>
          <w:szCs w:val="32"/>
          <w:highlight w:val="none"/>
        </w:rPr>
        <w:t>（八）评标过程的监控</w:t>
      </w:r>
    </w:p>
    <w:p>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本项目评标过程实行全程录音、录像监控，政府采购监管部门视情进行现场监督，投标人在评标过程中所进行的试图影响评标结果的不公正活动，可能导致其投标被拒绝。</w:t>
      </w:r>
    </w:p>
    <w:p>
      <w:pPr>
        <w:pStyle w:val="21"/>
        <w:snapToGrid w:val="0"/>
        <w:spacing w:beforeLines="0" w:afterLines="0" w:line="360" w:lineRule="auto"/>
        <w:rPr>
          <w:rFonts w:hAnsi="宋体" w:cs="宋体"/>
          <w:b/>
          <w:color w:val="auto"/>
          <w:sz w:val="30"/>
          <w:szCs w:val="30"/>
          <w:highlight w:val="none"/>
        </w:rPr>
      </w:pPr>
    </w:p>
    <w:p>
      <w:pPr>
        <w:pStyle w:val="21"/>
        <w:snapToGrid w:val="0"/>
        <w:spacing w:beforeLines="0" w:afterLines="0" w:line="360" w:lineRule="auto"/>
        <w:rPr>
          <w:rFonts w:hAnsi="宋体" w:cs="宋体"/>
          <w:b/>
          <w:color w:val="auto"/>
          <w:sz w:val="30"/>
          <w:szCs w:val="30"/>
          <w:highlight w:val="none"/>
        </w:rPr>
      </w:pPr>
      <w:r>
        <w:rPr>
          <w:rFonts w:hint="eastAsia" w:hAnsi="宋体" w:cs="宋体"/>
          <w:b/>
          <w:color w:val="auto"/>
          <w:sz w:val="30"/>
          <w:szCs w:val="30"/>
          <w:highlight w:val="none"/>
        </w:rPr>
        <w:t>六、定标</w:t>
      </w:r>
    </w:p>
    <w:p>
      <w:pPr>
        <w:pStyle w:val="21"/>
        <w:snapToGrid w:val="0"/>
        <w:spacing w:beforeLines="0" w:afterLines="0" w:line="360" w:lineRule="auto"/>
        <w:ind w:firstLine="472" w:firstLineChars="196"/>
        <w:rPr>
          <w:rFonts w:hAnsi="宋体" w:cs="宋体"/>
          <w:b/>
          <w:bCs/>
          <w:color w:val="auto"/>
          <w:szCs w:val="20"/>
          <w:highlight w:val="none"/>
        </w:rPr>
      </w:pPr>
      <w:r>
        <w:rPr>
          <w:rFonts w:hint="eastAsia" w:hAnsi="宋体" w:cs="宋体"/>
          <w:b/>
          <w:bCs/>
          <w:color w:val="auto"/>
          <w:highlight w:val="none"/>
        </w:rPr>
        <w:t>（一）确定中标人。</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应确定排名第一的中标候选供应商为供应商，排名第一的中标候选供应商放弃成交；或因不可抗力或自身原因提出不能履行合同；或者招标文件规定或合同约定应当提交履约保证金而在规定的期限内未能提交的；或未能在规定时间内与采购人签订合同的；或在规定时间内借故否认已经承诺的条件而拒签合同的；或已签合同却拒绝按合同约定履约的；或者经质疑，采购人审查后，确因排名第一的候选供应商在本次采购活动中存在违法违规行为或其他原因使质疑成立的，采购人重新招标。</w:t>
      </w:r>
    </w:p>
    <w:p>
      <w:pPr>
        <w:pStyle w:val="21"/>
        <w:snapToGrid w:val="0"/>
        <w:spacing w:beforeLines="0" w:afterLines="0" w:line="360" w:lineRule="auto"/>
        <w:ind w:firstLine="472" w:firstLineChars="196"/>
        <w:rPr>
          <w:rFonts w:hAnsi="宋体" w:cs="宋体"/>
          <w:b/>
          <w:bCs/>
          <w:color w:val="auto"/>
          <w:highlight w:val="none"/>
        </w:rPr>
      </w:pPr>
    </w:p>
    <w:p>
      <w:pPr>
        <w:pStyle w:val="21"/>
        <w:snapToGrid w:val="0"/>
        <w:spacing w:beforeLines="0" w:afterLines="0" w:line="360" w:lineRule="auto"/>
        <w:rPr>
          <w:rFonts w:hAnsi="宋体" w:cs="宋体"/>
          <w:b/>
          <w:color w:val="auto"/>
          <w:sz w:val="30"/>
          <w:szCs w:val="30"/>
          <w:highlight w:val="none"/>
        </w:rPr>
      </w:pPr>
      <w:r>
        <w:rPr>
          <w:rFonts w:hint="eastAsia" w:hAnsi="宋体" w:cs="宋体"/>
          <w:b/>
          <w:color w:val="auto"/>
          <w:sz w:val="30"/>
          <w:szCs w:val="30"/>
          <w:highlight w:val="none"/>
        </w:rPr>
        <w:t>七、合同授予</w:t>
      </w:r>
    </w:p>
    <w:p>
      <w:pPr>
        <w:snapToGrid w:val="0"/>
        <w:spacing w:line="360" w:lineRule="auto"/>
        <w:ind w:firstLine="472" w:firstLineChars="196"/>
        <w:rPr>
          <w:rFonts w:ascii="宋体" w:hAnsi="宋体" w:cs="宋体"/>
          <w:b/>
          <w:bCs/>
          <w:color w:val="auto"/>
          <w:sz w:val="24"/>
          <w:szCs w:val="20"/>
          <w:highlight w:val="none"/>
        </w:rPr>
      </w:pPr>
      <w:r>
        <w:rPr>
          <w:rFonts w:hint="eastAsia" w:ascii="宋体" w:hAnsi="宋体" w:cs="宋体"/>
          <w:b/>
          <w:bCs/>
          <w:color w:val="auto"/>
          <w:sz w:val="24"/>
          <w:highlight w:val="none"/>
        </w:rPr>
        <w:t>（一）签订合同</w:t>
      </w:r>
    </w:p>
    <w:p>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rPr>
        <w:t>1.采购人与中标人应当在《中标通知书》发出之日起30日内签订政府采购合同。同时，采购代理机构对合同内容进行审查，如发现与采购结果和投标承诺内容不一致的，应予以纠正。</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2.中标人拖延、拒签合同的,将被取消中标资格。</w:t>
      </w:r>
    </w:p>
    <w:p>
      <w:pPr>
        <w:pStyle w:val="21"/>
        <w:snapToGrid w:val="0"/>
        <w:spacing w:beforeLines="0" w:afterLines="0" w:line="360" w:lineRule="auto"/>
        <w:ind w:firstLine="472" w:firstLineChars="196"/>
        <w:rPr>
          <w:rFonts w:hAnsi="宋体" w:cs="宋体"/>
          <w:b/>
          <w:color w:val="auto"/>
          <w:highlight w:val="none"/>
        </w:rPr>
      </w:pPr>
      <w:r>
        <w:rPr>
          <w:rFonts w:hint="eastAsia" w:hAnsi="宋体" w:cs="宋体"/>
          <w:b/>
          <w:color w:val="auto"/>
          <w:highlight w:val="none"/>
        </w:rPr>
        <w:t>（二）履约保证金</w:t>
      </w:r>
    </w:p>
    <w:p>
      <w:pPr>
        <w:pStyle w:val="21"/>
        <w:snapToGrid w:val="0"/>
        <w:spacing w:beforeLines="0" w:afterLines="0" w:line="360" w:lineRule="auto"/>
        <w:ind w:firstLine="480" w:firstLineChars="200"/>
        <w:rPr>
          <w:rFonts w:hAnsi="宋体" w:cs="宋体"/>
          <w:color w:val="auto"/>
          <w:highlight w:val="none"/>
        </w:rPr>
      </w:pPr>
      <w:r>
        <w:rPr>
          <w:rFonts w:hint="eastAsia" w:hAnsi="宋体" w:cs="宋体"/>
          <w:color w:val="auto"/>
          <w:highlight w:val="none"/>
        </w:rPr>
        <w:t>1.签订合同前，中标人应按招标文件确定的履约保证金的金额，向采购人交纳履约保证金。</w:t>
      </w:r>
    </w:p>
    <w:p>
      <w:pPr>
        <w:pStyle w:val="21"/>
        <w:snapToGrid w:val="0"/>
        <w:spacing w:beforeLines="0" w:afterLines="0" w:line="360" w:lineRule="auto"/>
        <w:ind w:firstLine="480" w:firstLineChars="200"/>
        <w:rPr>
          <w:rFonts w:hAnsi="宋体" w:cs="宋体"/>
          <w:b/>
          <w:bCs/>
          <w:color w:val="auto"/>
          <w:szCs w:val="20"/>
          <w:highlight w:val="none"/>
        </w:rPr>
      </w:pPr>
      <w:r>
        <w:rPr>
          <w:rFonts w:hint="eastAsia" w:hAnsi="宋体" w:cs="宋体"/>
          <w:color w:val="auto"/>
          <w:highlight w:val="none"/>
        </w:rPr>
        <w:t>2.签订合同后，如中标人不按双方合同约定履约，则没收其全部履约保证金，履约保证金不足以赔偿损失的，按实际损失赔偿。</w:t>
      </w:r>
    </w:p>
    <w:p>
      <w:pPr>
        <w:pStyle w:val="21"/>
        <w:snapToGrid w:val="0"/>
        <w:spacing w:before="156" w:after="156" w:line="360" w:lineRule="auto"/>
        <w:ind w:firstLine="480" w:firstLineChars="200"/>
        <w:jc w:val="center"/>
        <w:rPr>
          <w:rFonts w:hAnsi="宋体" w:cs="宋体"/>
          <w:b/>
          <w:color w:val="auto"/>
          <w:sz w:val="30"/>
          <w:szCs w:val="30"/>
          <w:highlight w:val="none"/>
        </w:rPr>
      </w:pPr>
      <w:r>
        <w:rPr>
          <w:rFonts w:hint="eastAsia" w:hAnsi="宋体" w:cs="宋体"/>
          <w:color w:val="auto"/>
          <w:highlight w:val="none"/>
        </w:rPr>
        <w:br w:type="page"/>
      </w:r>
      <w:r>
        <w:rPr>
          <w:rFonts w:hint="eastAsia" w:hAnsi="宋体" w:cs="宋体"/>
          <w:b/>
          <w:color w:val="auto"/>
          <w:sz w:val="30"/>
          <w:szCs w:val="30"/>
          <w:highlight w:val="none"/>
        </w:rPr>
        <w:t>第四章  评标办法及评分标准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为公正、公平、科学地选择中标人，根据《中华人民共和国政府采购法》、《政府采购货物和服务招投标管理办法》等有关法律法规的规定，并结合本项目的实际，制定本办法。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组织机构将组织评标委员会，对投标人提供的投标文件进行综合评审。本项目原则上采用电子评审方法，若因政采云平台原因无法读取或电子开评标无法正常进行，采购代理机构将开启投标人递交的以介质（U盘）存储的数据电文形式的备份投标文件，以完成开、评标。</w:t>
      </w:r>
    </w:p>
    <w:p>
      <w:pPr>
        <w:spacing w:before="156" w:beforeLines="50" w:after="156" w:afterLines="50"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一、总则</w:t>
      </w:r>
    </w:p>
    <w:p>
      <w:pPr>
        <w:spacing w:line="360" w:lineRule="auto"/>
        <w:ind w:left="238" w:leftChars="85" w:firstLine="240" w:firstLineChars="100"/>
        <w:rPr>
          <w:rFonts w:ascii="宋体" w:hAnsi="宋体" w:cs="宋体"/>
          <w:bCs/>
          <w:color w:val="auto"/>
          <w:sz w:val="24"/>
          <w:highlight w:val="none"/>
        </w:rPr>
      </w:pPr>
      <w:r>
        <w:rPr>
          <w:rFonts w:hint="eastAsia" w:ascii="宋体" w:hAnsi="宋体" w:cs="宋体"/>
          <w:color w:val="auto"/>
          <w:sz w:val="24"/>
          <w:highlight w:val="none"/>
        </w:rPr>
        <w:t>本次评标采用综合评分法，</w:t>
      </w:r>
      <w:r>
        <w:rPr>
          <w:rFonts w:hint="eastAsia" w:ascii="宋体" w:hAnsi="宋体" w:cs="宋体"/>
          <w:b/>
          <w:color w:val="auto"/>
          <w:sz w:val="24"/>
          <w:highlight w:val="none"/>
        </w:rPr>
        <w:t>总分为100分，其中报价文件15分、商务与技术文件85分</w:t>
      </w:r>
      <w:r>
        <w:rPr>
          <w:rFonts w:hint="eastAsia" w:ascii="宋体" w:hAnsi="宋体" w:cs="宋体"/>
          <w:color w:val="auto"/>
          <w:sz w:val="24"/>
          <w:highlight w:val="none"/>
        </w:rPr>
        <w:t>。</w:t>
      </w:r>
    </w:p>
    <w:p>
      <w:pPr>
        <w:spacing w:line="360" w:lineRule="auto"/>
        <w:ind w:firstLine="472" w:firstLineChars="197"/>
        <w:rPr>
          <w:rFonts w:ascii="宋体" w:hAnsi="宋体" w:cs="宋体"/>
          <w:color w:val="auto"/>
          <w:sz w:val="24"/>
          <w:highlight w:val="none"/>
        </w:rPr>
      </w:pPr>
      <w:r>
        <w:rPr>
          <w:rFonts w:hint="eastAsia" w:ascii="宋体" w:hAnsi="宋体" w:cs="宋体"/>
          <w:bCs/>
          <w:color w:val="auto"/>
          <w:sz w:val="24"/>
          <w:highlight w:val="none"/>
        </w:rPr>
        <w:t>投标人的总得分＝商务与技术文件得分+报价文件得分。</w:t>
      </w:r>
    </w:p>
    <w:p>
      <w:pPr>
        <w:spacing w:before="156" w:beforeLines="50" w:after="156" w:afterLines="5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二、评标内容及标准</w:t>
      </w:r>
    </w:p>
    <w:p>
      <w:pPr>
        <w:spacing w:before="156" w:beforeLines="50" w:after="156" w:afterLines="5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（1）资格证明文件审查</w:t>
      </w:r>
    </w:p>
    <w:p>
      <w:pPr>
        <w:spacing w:before="156" w:beforeLines="50" w:after="156" w:afterLines="50"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评标委员会按照招标文件载明的投标人资格条件对投标人进行审查，凡不符合资格审查中合格条件要求的，以无效标处理，不再进入后续阶段评标。</w:t>
      </w:r>
    </w:p>
    <w:p>
      <w:pPr>
        <w:spacing w:line="360" w:lineRule="auto"/>
        <w:ind w:firstLine="482" w:firstLineChars="200"/>
        <w:rPr>
          <w:rFonts w:ascii="宋体" w:hAnsi="宋体" w:cs="宋体"/>
          <w:bCs/>
          <w:color w:val="auto"/>
          <w:spacing w:val="14"/>
          <w:sz w:val="24"/>
          <w:highlight w:val="none"/>
        </w:rPr>
      </w:pPr>
      <w:r>
        <w:rPr>
          <w:rFonts w:hint="eastAsia" w:ascii="宋体" w:hAnsi="宋体" w:cs="宋体"/>
          <w:b/>
          <w:color w:val="auto"/>
          <w:sz w:val="24"/>
          <w:highlight w:val="none"/>
        </w:rPr>
        <w:t>（2）商务与技术文件评审（85分）</w:t>
      </w:r>
    </w:p>
    <w:p>
      <w:pPr>
        <w:autoSpaceDE w:val="0"/>
        <w:autoSpaceDN w:val="0"/>
        <w:adjustRightInd w:val="0"/>
        <w:spacing w:line="360" w:lineRule="auto"/>
        <w:jc w:val="left"/>
        <w:rPr>
          <w:rFonts w:ascii="宋体" w:hAnsi="宋体" w:cs="宋体"/>
          <w:color w:val="auto"/>
          <w:sz w:val="24"/>
          <w:highlight w:val="none"/>
        </w:rPr>
        <w:sectPr>
          <w:footerReference r:id="rId5" w:type="default"/>
          <w:pgSz w:w="11906" w:h="16838"/>
          <w:pgMar w:top="1247" w:right="1361" w:bottom="1247" w:left="1361" w:header="851" w:footer="851" w:gutter="0"/>
          <w:cols w:space="720" w:num="1"/>
          <w:docGrid w:type="lines" w:linePitch="312" w:charSpace="0"/>
        </w:sectPr>
      </w:pPr>
      <w:r>
        <w:rPr>
          <w:rFonts w:hint="eastAsia" w:ascii="宋体" w:hAnsi="宋体" w:cs="宋体"/>
          <w:color w:val="auto"/>
          <w:sz w:val="24"/>
          <w:highlight w:val="none"/>
        </w:rPr>
        <w:t>评标委员会成员按商务与技术文件的评分标准，在确定的最终类别的分值范围内各自打分。商务与技术文件分按照评标委员会成员的评分结果取平均值，为投标人的商务与技术文件得分。（评委评分结果每项保留1位小数，第2位四舍五入；平均值小数点后保留2位，第3位四舍五入）</w:t>
      </w:r>
    </w:p>
    <w:tbl>
      <w:tblPr>
        <w:tblStyle w:val="38"/>
        <w:tblW w:w="10313"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11"/>
        <w:gridCol w:w="850"/>
        <w:gridCol w:w="992"/>
        <w:gridCol w:w="7371"/>
        <w:gridCol w:w="68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11" w:type="dxa"/>
            <w:tcBorders>
              <w:right w:val="single" w:color="auto" w:sz="4" w:space="0"/>
            </w:tcBorders>
            <w:vAlign w:val="center"/>
          </w:tcPr>
          <w:p>
            <w:pPr>
              <w:adjustRightInd w:val="0"/>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850" w:type="dxa"/>
            <w:tcBorders>
              <w:left w:val="single" w:color="auto" w:sz="4" w:space="0"/>
            </w:tcBorders>
            <w:vAlign w:val="center"/>
          </w:tcPr>
          <w:p>
            <w:pPr>
              <w:adjustRightInd w:val="0"/>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内容</w:t>
            </w:r>
          </w:p>
        </w:tc>
        <w:tc>
          <w:tcPr>
            <w:tcW w:w="992" w:type="dxa"/>
            <w:vAlign w:val="center"/>
          </w:tcPr>
          <w:p>
            <w:pPr>
              <w:adjustRightInd w:val="0"/>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评分</w:t>
            </w:r>
          </w:p>
          <w:p>
            <w:pPr>
              <w:adjustRightInd w:val="0"/>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子项</w:t>
            </w:r>
          </w:p>
        </w:tc>
        <w:tc>
          <w:tcPr>
            <w:tcW w:w="7371" w:type="dxa"/>
            <w:vAlign w:val="center"/>
          </w:tcPr>
          <w:p>
            <w:pPr>
              <w:adjustRightInd w:val="0"/>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评分细则</w:t>
            </w:r>
          </w:p>
        </w:tc>
        <w:tc>
          <w:tcPr>
            <w:tcW w:w="689" w:type="dxa"/>
            <w:vAlign w:val="center"/>
          </w:tcPr>
          <w:p>
            <w:pPr>
              <w:adjustRightInd w:val="0"/>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满分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411" w:type="dxa"/>
            <w:vMerge w:val="restart"/>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850" w:type="dxa"/>
            <w:vMerge w:val="restart"/>
            <w:tcBorders>
              <w:left w:val="single" w:color="auto" w:sz="4" w:space="0"/>
            </w:tcBorders>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技术实施部分</w:t>
            </w:r>
          </w:p>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.5分）</w:t>
            </w:r>
          </w:p>
        </w:tc>
        <w:tc>
          <w:tcPr>
            <w:tcW w:w="992"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整体理解分析</w:t>
            </w: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投标人对本项目政策及需求的理解进行评分。理解分析到位性，由专家在5.0-0分区间范围内酌情打分，缺项得0分。</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70"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992" w:type="dxa"/>
            <w:vMerge w:val="restart"/>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技术方案编制</w:t>
            </w: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①投标人整体技术方案编制技术路线工序、完整、科学、针对性、技术先进性，由专家在6.0-0分区间范围内酌情打分，缺项得0分。</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992" w:type="dxa"/>
            <w:vMerge w:val="continue"/>
            <w:vAlign w:val="center"/>
          </w:tcPr>
          <w:p>
            <w:pPr>
              <w:spacing w:line="360" w:lineRule="auto"/>
              <w:jc w:val="center"/>
              <w:rPr>
                <w:rFonts w:ascii="宋体" w:hAnsi="宋体" w:cs="宋体"/>
                <w:color w:val="auto"/>
                <w:sz w:val="24"/>
                <w:highlight w:val="none"/>
              </w:rPr>
            </w:pP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②根据投标人提供的资料收集完善及利用分析、普查单元划分及调查底图制作等方案情况进行打分，资料收集较完善及利用分析情况较清晰普查单元划分及调查底图制作方案先进、完整科学的，由专家在6.0-0分区间范围内酌情打分，缺项得0分。</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992" w:type="dxa"/>
            <w:vMerge w:val="continue"/>
            <w:vAlign w:val="center"/>
          </w:tcPr>
          <w:p>
            <w:pPr>
              <w:spacing w:line="360" w:lineRule="auto"/>
              <w:jc w:val="center"/>
              <w:rPr>
                <w:rFonts w:ascii="宋体" w:hAnsi="宋体" w:cs="宋体"/>
                <w:color w:val="auto"/>
                <w:sz w:val="24"/>
                <w:highlight w:val="none"/>
              </w:rPr>
            </w:pP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③投标人提供的地下管线、地下交通设施及其它地下设施普查工作编制先进、完整、科学、针对性强的，由专家在6.0-0分区间范围内酌情打分，缺项得0分。</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992" w:type="dxa"/>
            <w:vMerge w:val="continue"/>
            <w:vAlign w:val="center"/>
          </w:tcPr>
          <w:p>
            <w:pPr>
              <w:spacing w:line="360" w:lineRule="auto"/>
              <w:jc w:val="center"/>
              <w:rPr>
                <w:rFonts w:ascii="宋体" w:hAnsi="宋体" w:cs="宋体"/>
                <w:color w:val="auto"/>
                <w:sz w:val="24"/>
                <w:highlight w:val="none"/>
              </w:rPr>
            </w:pP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④投标人数据处理和入库、成果整理汇交等方案编制先进、完整、科学、针对性强的，由专家在5.5-0分区间范围内酌情打分，缺项得0分。</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992"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项目优势分析</w:t>
            </w: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根据投标人对项目采取有力的技术措施或项目实施优势等进行评分。投标人每列明一项对项目实施有利的技术或项目优势的得1.0分，最高得5.0分。</w:t>
            </w:r>
          </w:p>
        </w:tc>
        <w:tc>
          <w:tcPr>
            <w:tcW w:w="68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992"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重点工作分析</w:t>
            </w: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投标人对本项目重点工作理解透彻、难点分析准确、应对举措合理有效、符合实际的，由专家在6.0-0分区间范围内酌情打分，缺项得0分。</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spacing w:line="360" w:lineRule="auto"/>
              <w:rPr>
                <w:rFonts w:ascii="宋体" w:hAnsi="宋体" w:cs="宋体"/>
                <w:color w:val="auto"/>
                <w:sz w:val="24"/>
                <w:highlight w:val="none"/>
              </w:rPr>
            </w:pPr>
          </w:p>
        </w:tc>
        <w:tc>
          <w:tcPr>
            <w:tcW w:w="992"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组织实施方案</w:t>
            </w: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投标人对本项目组织实施方案：如实施工序、探测方法、质量管控方法、安全管理措施、项目管理制度、文明施工措施、突发应急事件处置等。</w:t>
            </w:r>
          </w:p>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项目组织实施方案完善、科学、先进、针对性，由专家在</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.0-0分区间范围内酌情打分，缺项得0分。</w:t>
            </w:r>
          </w:p>
        </w:tc>
        <w:tc>
          <w:tcPr>
            <w:tcW w:w="689" w:type="dxa"/>
            <w:vAlign w:val="center"/>
          </w:tcPr>
          <w:p>
            <w:pPr>
              <w:adjustRightInd w:val="0"/>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spacing w:line="360" w:lineRule="auto"/>
              <w:rPr>
                <w:rFonts w:ascii="宋体" w:hAnsi="宋体" w:cs="宋体"/>
                <w:color w:val="auto"/>
                <w:sz w:val="24"/>
                <w:highlight w:val="none"/>
              </w:rPr>
            </w:pPr>
          </w:p>
        </w:tc>
        <w:tc>
          <w:tcPr>
            <w:tcW w:w="992"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工期进度安排</w:t>
            </w: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投标人对本项目工期进度计划、施工中进度编排、工期保障措施等方案进行评分。</w:t>
            </w:r>
          </w:p>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工期进度计划、施工中进度编排合理，工期保障措施完善的，由专家在</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.0-0分区间范围内酌情打分，缺项得0分。</w:t>
            </w:r>
          </w:p>
        </w:tc>
        <w:tc>
          <w:tcPr>
            <w:tcW w:w="689" w:type="dxa"/>
            <w:vAlign w:val="center"/>
          </w:tcPr>
          <w:p>
            <w:pPr>
              <w:adjustRightInd w:val="0"/>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992" w:type="dxa"/>
            <w:vMerge w:val="restart"/>
            <w:vAlign w:val="center"/>
          </w:tcPr>
          <w:p>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人员投入情况</w:t>
            </w:r>
          </w:p>
        </w:tc>
        <w:tc>
          <w:tcPr>
            <w:tcW w:w="7371" w:type="dxa"/>
          </w:tcPr>
          <w:p>
            <w:pPr>
              <w:pStyle w:val="15"/>
              <w:rPr>
                <w:rFonts w:ascii="宋体" w:hAnsi="宋体" w:cs="宋体"/>
                <w:b/>
                <w:bCs/>
                <w:color w:val="auto"/>
                <w:sz w:val="24"/>
                <w:highlight w:val="none"/>
              </w:rPr>
            </w:pPr>
            <w:r>
              <w:rPr>
                <w:rFonts w:hint="eastAsia" w:ascii="宋体" w:hAnsi="宋体" w:cs="宋体"/>
                <w:b/>
                <w:bCs/>
                <w:color w:val="auto"/>
                <w:sz w:val="24"/>
                <w:highlight w:val="none"/>
              </w:rPr>
              <w:t>①项目负责人：本项目拟投入的项目总负责人同时具有测绘地理信息类专业教授级高级工程师资格和注册测绘师证书，得2分，其他情况不得分。</w:t>
            </w:r>
          </w:p>
          <w:p>
            <w:pPr>
              <w:spacing w:line="360" w:lineRule="auto"/>
              <w:jc w:val="left"/>
              <w:rPr>
                <w:rFonts w:ascii="宋体" w:hAnsi="宋体" w:cs="宋体"/>
                <w:b/>
                <w:bCs/>
                <w:color w:val="auto"/>
                <w:sz w:val="24"/>
                <w:highlight w:val="none"/>
              </w:rPr>
            </w:pPr>
            <w:r>
              <w:rPr>
                <w:rFonts w:hint="eastAsia" w:ascii="宋体" w:hAnsi="宋体" w:cs="宋体"/>
                <w:color w:val="auto"/>
                <w:sz w:val="24"/>
                <w:highlight w:val="none"/>
              </w:rPr>
              <w:t>②</w:t>
            </w:r>
            <w:r>
              <w:rPr>
                <w:rFonts w:hint="eastAsia" w:ascii="宋体" w:hAnsi="宋体" w:cs="宋体"/>
                <w:b/>
                <w:bCs/>
                <w:color w:val="auto"/>
                <w:sz w:val="24"/>
                <w:highlight w:val="none"/>
              </w:rPr>
              <w:t>其他负责人（项目负责人除外）：拟投入的技术负责人、质量负责人、建库负责人、现场负责人、售后负责人，具有测绘高级工程师或物探高级工程师资格的每人得0.5分；安全负责人具有安全管理高级工程师资格的得0.5分，本项最高得3分</w:t>
            </w:r>
          </w:p>
          <w:p>
            <w:pPr>
              <w:spacing w:line="360" w:lineRule="auto"/>
              <w:jc w:val="left"/>
              <w:rPr>
                <w:rFonts w:ascii="宋体" w:hAnsi="宋体" w:cs="宋体"/>
                <w:b/>
                <w:bCs/>
                <w:color w:val="auto"/>
                <w:sz w:val="24"/>
                <w:highlight w:val="none"/>
              </w:rPr>
            </w:pPr>
            <w:r>
              <w:rPr>
                <w:rFonts w:hint="eastAsia" w:ascii="宋体" w:hAnsi="宋体" w:cs="宋体"/>
                <w:b/>
                <w:bCs/>
                <w:color w:val="auto"/>
                <w:sz w:val="24"/>
                <w:highlight w:val="none"/>
              </w:rPr>
              <w:t>注：以上人员不重复计算，投标人须提供上述人员社保证明材料和证书复印件。</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992" w:type="dxa"/>
            <w:vMerge w:val="continue"/>
            <w:vAlign w:val="center"/>
          </w:tcPr>
          <w:p>
            <w:pPr>
              <w:spacing w:line="360" w:lineRule="auto"/>
              <w:jc w:val="center"/>
              <w:rPr>
                <w:rFonts w:ascii="宋体" w:hAnsi="宋体" w:cs="宋体"/>
                <w:bCs/>
                <w:color w:val="auto"/>
                <w:sz w:val="24"/>
                <w:highlight w:val="none"/>
              </w:rPr>
            </w:pPr>
          </w:p>
        </w:tc>
        <w:tc>
          <w:tcPr>
            <w:tcW w:w="7371" w:type="dxa"/>
          </w:tcPr>
          <w:p>
            <w:pPr>
              <w:pStyle w:val="15"/>
              <w:rPr>
                <w:rFonts w:ascii="Calibri" w:hAnsi="Calibri" w:cs="Calibri"/>
                <w:color w:val="auto"/>
                <w:sz w:val="24"/>
                <w:highlight w:val="none"/>
              </w:rPr>
            </w:pPr>
            <w:r>
              <w:rPr>
                <w:rFonts w:hint="eastAsia" w:ascii="宋体" w:hAnsi="宋体" w:cs="宋体"/>
                <w:color w:val="auto"/>
                <w:sz w:val="24"/>
                <w:highlight w:val="none"/>
              </w:rPr>
              <w:t>③</w:t>
            </w:r>
            <w:r>
              <w:rPr>
                <w:rFonts w:hint="eastAsia" w:ascii="宋体" w:hAnsi="宋体" w:cs="宋体"/>
                <w:b/>
                <w:color w:val="auto"/>
                <w:sz w:val="24"/>
                <w:highlight w:val="none"/>
              </w:rPr>
              <w:t>项目组成员：</w:t>
            </w:r>
            <w:r>
              <w:rPr>
                <w:rFonts w:hint="eastAsia" w:ascii="宋体" w:hAnsi="宋体" w:cs="宋体"/>
                <w:color w:val="auto"/>
                <w:sz w:val="24"/>
                <w:highlight w:val="none"/>
              </w:rPr>
              <w:t>投入本项目的其他技术人员具有测绘地理信息类高级工程师及以上职称的每人得0.</w:t>
            </w:r>
            <w:r>
              <w:rPr>
                <w:rFonts w:hint="eastAsia" w:ascii="Calibri" w:hAnsi="Calibri" w:cs="Calibri"/>
                <w:color w:val="auto"/>
                <w:sz w:val="24"/>
                <w:highlight w:val="none"/>
              </w:rPr>
              <w:t>2分，此项最高得2.0分；</w:t>
            </w:r>
          </w:p>
          <w:p>
            <w:pPr>
              <w:pStyle w:val="15"/>
              <w:rPr>
                <w:rFonts w:ascii="宋体" w:hAnsi="宋体" w:cs="宋体"/>
                <w:color w:val="auto"/>
                <w:sz w:val="24"/>
                <w:highlight w:val="none"/>
              </w:rPr>
            </w:pPr>
            <w:r>
              <w:rPr>
                <w:rFonts w:hint="eastAsia" w:ascii="Calibri" w:hAnsi="Calibri" w:cs="Calibri"/>
                <w:color w:val="auto"/>
                <w:sz w:val="24"/>
                <w:highlight w:val="none"/>
              </w:rPr>
              <w:t>投入测绘地理信息类</w:t>
            </w:r>
            <w:r>
              <w:rPr>
                <w:rFonts w:hint="eastAsia" w:ascii="宋体" w:hAnsi="宋体" w:cs="宋体"/>
                <w:color w:val="auto"/>
                <w:sz w:val="24"/>
                <w:highlight w:val="none"/>
              </w:rPr>
              <w:t>中级工程师职称每1人得0.1分，此项最高得2.0分；</w:t>
            </w:r>
          </w:p>
          <w:p>
            <w:pPr>
              <w:pStyle w:val="15"/>
              <w:rPr>
                <w:rFonts w:ascii="宋体" w:hAnsi="宋体" w:cs="宋体"/>
                <w:color w:val="auto"/>
                <w:sz w:val="24"/>
                <w:highlight w:val="none"/>
              </w:rPr>
            </w:pPr>
            <w:r>
              <w:rPr>
                <w:rFonts w:hint="eastAsia" w:ascii="宋体" w:hAnsi="宋体" w:cs="宋体"/>
                <w:color w:val="auto"/>
                <w:sz w:val="24"/>
                <w:highlight w:val="none"/>
              </w:rPr>
              <w:t>投入本项目的技术人员具有物探类工程师及以上职称的每人得0.5分，此项最高得</w:t>
            </w:r>
            <w:r>
              <w:rPr>
                <w:rFonts w:hint="eastAsia" w:ascii="Calibri" w:hAnsi="Calibri" w:cs="Calibri"/>
                <w:color w:val="auto"/>
                <w:sz w:val="24"/>
                <w:highlight w:val="none"/>
              </w:rPr>
              <w:t>2.0分。</w:t>
            </w:r>
          </w:p>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注：以上人员投标人须提供对应人员的社保证明材料和证书复印件（退休人员须提供退休证和返聘合同原件及复印件，否则不得分）；如上述人员为劳务派遣性质的， 还须提供相对应的劳务派遣合同复印件。</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992" w:type="dxa"/>
            <w:vMerge w:val="continue"/>
            <w:vAlign w:val="center"/>
          </w:tcPr>
          <w:p>
            <w:pPr>
              <w:spacing w:line="360" w:lineRule="auto"/>
              <w:jc w:val="center"/>
              <w:rPr>
                <w:rFonts w:ascii="宋体" w:hAnsi="宋体" w:cs="宋体"/>
                <w:bCs/>
                <w:color w:val="auto"/>
                <w:sz w:val="24"/>
                <w:highlight w:val="none"/>
              </w:rPr>
            </w:pPr>
          </w:p>
        </w:tc>
        <w:tc>
          <w:tcPr>
            <w:tcW w:w="7371" w:type="dxa"/>
          </w:tcPr>
          <w:p>
            <w:pPr>
              <w:pStyle w:val="15"/>
              <w:rPr>
                <w:rFonts w:ascii="宋体" w:hAnsi="宋体" w:cs="宋体"/>
                <w:color w:val="auto"/>
                <w:sz w:val="24"/>
                <w:highlight w:val="none"/>
              </w:rPr>
            </w:pPr>
            <w:r>
              <w:rPr>
                <w:rFonts w:hint="eastAsia" w:ascii="宋体" w:hAnsi="宋体" w:cs="宋体"/>
                <w:color w:val="auto"/>
                <w:sz w:val="24"/>
                <w:highlight w:val="none"/>
              </w:rPr>
              <w:t>④涉密资质人员：投标人具有涉密人员每1个得0.2分，最高得1.0分。（应提供相应证书，否则不得分）</w:t>
            </w:r>
          </w:p>
          <w:p>
            <w:pPr>
              <w:pStyle w:val="15"/>
              <w:rPr>
                <w:rFonts w:ascii="宋体" w:hAnsi="宋体" w:cs="宋体"/>
                <w:color w:val="auto"/>
                <w:sz w:val="24"/>
                <w:highlight w:val="none"/>
              </w:rPr>
            </w:pPr>
            <w:r>
              <w:rPr>
                <w:rFonts w:hint="eastAsia" w:ascii="宋体" w:hAnsi="宋体" w:cs="宋体"/>
                <w:color w:val="auto"/>
                <w:sz w:val="24"/>
                <w:highlight w:val="none"/>
              </w:rPr>
              <w:t>注：以上人员不包括项目总负责人及项目技术负责人，投标人须提供对应人员的社保证明材料和证书复印件（退休人员须提供退休证和返聘合同原件及复印件，否则不得分）；如上述人员为劳务派遣性质的， 还须提供相对应的劳务派遣合同复印件。</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99"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w:t>
            </w:r>
          </w:p>
        </w:tc>
        <w:tc>
          <w:tcPr>
            <w:tcW w:w="850" w:type="dxa"/>
            <w:vMerge w:val="continue"/>
            <w:tcBorders>
              <w:left w:val="single" w:color="auto" w:sz="4" w:space="0"/>
            </w:tcBorders>
            <w:vAlign w:val="center"/>
          </w:tcPr>
          <w:p>
            <w:pPr>
              <w:adjustRightInd w:val="0"/>
              <w:snapToGrid w:val="0"/>
              <w:spacing w:line="360" w:lineRule="auto"/>
              <w:rPr>
                <w:rFonts w:ascii="宋体" w:hAnsi="宋体" w:cs="宋体"/>
                <w:bCs/>
                <w:color w:val="auto"/>
                <w:sz w:val="24"/>
                <w:highlight w:val="none"/>
              </w:rPr>
            </w:pPr>
          </w:p>
        </w:tc>
        <w:tc>
          <w:tcPr>
            <w:tcW w:w="992" w:type="dxa"/>
            <w:vAlign w:val="center"/>
          </w:tcPr>
          <w:p>
            <w:pPr>
              <w:rPr>
                <w:rFonts w:ascii="宋体" w:hAnsi="宋体" w:cs="宋体"/>
                <w:color w:val="auto"/>
                <w:sz w:val="24"/>
                <w:highlight w:val="none"/>
                <w:lang w:val="zh-CN"/>
              </w:rPr>
            </w:pPr>
            <w:r>
              <w:rPr>
                <w:rFonts w:hint="eastAsia" w:ascii="宋体" w:hAnsi="宋体" w:cs="仿宋"/>
                <w:color w:val="auto"/>
                <w:sz w:val="24"/>
                <w:highlight w:val="none"/>
              </w:rPr>
              <w:t>设备投入情况</w:t>
            </w:r>
          </w:p>
        </w:tc>
        <w:tc>
          <w:tcPr>
            <w:tcW w:w="7371" w:type="dxa"/>
            <w:vAlign w:val="center"/>
          </w:tcPr>
          <w:p>
            <w:pPr>
              <w:jc w:val="left"/>
              <w:rPr>
                <w:rFonts w:ascii="宋体" w:hAnsi="宋体" w:cs="宋体"/>
                <w:color w:val="auto"/>
                <w:sz w:val="24"/>
                <w:highlight w:val="none"/>
              </w:rPr>
            </w:pPr>
            <w:r>
              <w:rPr>
                <w:rFonts w:hint="eastAsia" w:ascii="宋体" w:hAnsi="宋体" w:cs="宋体"/>
                <w:color w:val="auto"/>
                <w:sz w:val="24"/>
                <w:highlight w:val="none"/>
              </w:rPr>
              <w:t>根据投标人拟投入与本项目相关的专业设备的数量评分。</w:t>
            </w:r>
          </w:p>
          <w:p>
            <w:pPr>
              <w:rPr>
                <w:rFonts w:ascii="宋体" w:hAnsi="宋体" w:cs="宋体"/>
                <w:color w:val="auto"/>
                <w:sz w:val="24"/>
                <w:highlight w:val="none"/>
              </w:rPr>
            </w:pPr>
            <w:r>
              <w:rPr>
                <w:rFonts w:hint="eastAsia" w:ascii="宋体" w:hAnsi="宋体" w:cs="宋体"/>
                <w:color w:val="auto"/>
                <w:sz w:val="24"/>
                <w:highlight w:val="none"/>
              </w:rPr>
              <w:t>1、管线探测仪提供10台及以上得1分，10~5台得0.5分，5台以下不得分；</w:t>
            </w:r>
          </w:p>
          <w:p>
            <w:pPr>
              <w:rPr>
                <w:rFonts w:ascii="宋体" w:hAnsi="宋体" w:cs="宋体"/>
                <w:color w:val="auto"/>
                <w:sz w:val="24"/>
                <w:highlight w:val="none"/>
              </w:rPr>
            </w:pPr>
            <w:r>
              <w:rPr>
                <w:rFonts w:hint="eastAsia" w:ascii="宋体" w:hAnsi="宋体" w:cs="宋体"/>
                <w:color w:val="auto"/>
                <w:sz w:val="24"/>
                <w:highlight w:val="none"/>
              </w:rPr>
              <w:t>2、提供GPS 接收机和全站仪15台及以上得 1 分，15 台以下不得分；</w:t>
            </w:r>
          </w:p>
          <w:p>
            <w:pPr>
              <w:rPr>
                <w:rFonts w:ascii="宋体" w:hAnsi="宋体" w:cs="宋体"/>
                <w:color w:val="auto"/>
                <w:sz w:val="24"/>
                <w:highlight w:val="none"/>
              </w:rPr>
            </w:pPr>
            <w:r>
              <w:rPr>
                <w:rFonts w:hint="eastAsia" w:ascii="宋体" w:hAnsi="宋体" w:cs="宋体"/>
                <w:color w:val="auto"/>
                <w:sz w:val="24"/>
                <w:highlight w:val="none"/>
              </w:rPr>
              <w:t>3、提供高精度三维激光扫描仪2台及以上得 1分，2台以下不得分。</w:t>
            </w:r>
          </w:p>
          <w:p>
            <w:pPr>
              <w:snapToGrid w:val="0"/>
              <w:spacing w:after="160" w:line="360" w:lineRule="exact"/>
              <w:jc w:val="left"/>
              <w:rPr>
                <w:rFonts w:ascii="宋体" w:hAnsi="宋体" w:cs="宋体"/>
                <w:color w:val="auto"/>
                <w:sz w:val="24"/>
                <w:highlight w:val="none"/>
              </w:rPr>
            </w:pPr>
            <w:r>
              <w:rPr>
                <w:rFonts w:hint="eastAsia" w:ascii="宋体" w:hAnsi="宋体" w:cs="宋体"/>
                <w:color w:val="auto"/>
                <w:sz w:val="24"/>
                <w:highlight w:val="none"/>
              </w:rPr>
              <w:t>4、提供燃气非金属管线( PE 管)声波探测仪2台及以上的得1分，2台以下不得分。</w:t>
            </w:r>
          </w:p>
          <w:p>
            <w:pPr>
              <w:rPr>
                <w:rFonts w:ascii="宋体" w:hAnsi="宋体" w:cs="宋体"/>
                <w:color w:val="auto"/>
                <w:sz w:val="24"/>
                <w:highlight w:val="none"/>
              </w:rPr>
            </w:pPr>
            <w:r>
              <w:rPr>
                <w:rFonts w:hint="eastAsia" w:ascii="宋体" w:hAnsi="宋体" w:cs="宋体"/>
                <w:color w:val="auto"/>
                <w:sz w:val="24"/>
                <w:highlight w:val="none"/>
              </w:rPr>
              <w:t>5、提供地质雷达2台及以上得1分，2台以下不得分</w:t>
            </w:r>
          </w:p>
          <w:p>
            <w:pPr>
              <w:rPr>
                <w:rFonts w:ascii="宋体" w:hAnsi="宋体" w:cs="宋体"/>
                <w:color w:val="auto"/>
                <w:sz w:val="24"/>
                <w:highlight w:val="none"/>
                <w:lang w:val="zh-CN"/>
              </w:rPr>
            </w:pPr>
            <w:r>
              <w:rPr>
                <w:rFonts w:hint="eastAsia" w:ascii="宋体" w:hAnsi="宋体" w:cs="宋体"/>
                <w:color w:val="auto"/>
                <w:sz w:val="24"/>
                <w:highlight w:val="none"/>
              </w:rPr>
              <w:t>注：以上设备须提供相关设备购置发票原件扫描件或租赁合同及租赁单位发票的扫描件。</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spacing w:line="360" w:lineRule="auto"/>
              <w:rPr>
                <w:rFonts w:ascii="宋体" w:hAnsi="宋体" w:cs="宋体"/>
                <w:color w:val="auto"/>
                <w:sz w:val="24"/>
                <w:highlight w:val="none"/>
              </w:rPr>
            </w:pPr>
          </w:p>
        </w:tc>
        <w:tc>
          <w:tcPr>
            <w:tcW w:w="992"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售后服务方案</w:t>
            </w: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需提供完整可行的售后服务方案包含但不限于：售后服务内容，售后服务承诺、维护能力、服务标准、技术服务方式与内容、通信应急保障方式等。从全周期实际服务考虑由评委进行评分，由专家在4.0-0分区间范围内酌情打分，缺项得0分。</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snapToGrid w:val="0"/>
                <w:color w:val="auto"/>
                <w:sz w:val="24"/>
                <w:highlight w:val="none"/>
              </w:rPr>
            </w:pPr>
          </w:p>
        </w:tc>
        <w:tc>
          <w:tcPr>
            <w:tcW w:w="992"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服务保障能力</w:t>
            </w: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投标人应具备较强的本地化应急服务保障能力，响应时间及时，由专家在3.0-0分区间范围内酌情打分，缺项得0分。</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1" w:type="dxa"/>
            <w:vMerge w:val="restart"/>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r>
              <w:rPr>
                <w:rFonts w:ascii="宋体" w:hAnsi="宋体" w:cs="宋体"/>
                <w:color w:val="auto"/>
                <w:sz w:val="24"/>
                <w:highlight w:val="none"/>
              </w:rPr>
              <w:t>2</w:t>
            </w:r>
          </w:p>
        </w:tc>
        <w:tc>
          <w:tcPr>
            <w:tcW w:w="850" w:type="dxa"/>
            <w:vMerge w:val="restart"/>
            <w:tcBorders>
              <w:left w:val="single" w:color="auto" w:sz="4" w:space="0"/>
            </w:tcBorders>
            <w:vAlign w:val="center"/>
          </w:tcPr>
          <w:p>
            <w:pPr>
              <w:adjustRightInd w:val="0"/>
              <w:snapToGrid w:val="0"/>
              <w:spacing w:line="360" w:lineRule="auto"/>
              <w:jc w:val="center"/>
              <w:rPr>
                <w:rFonts w:ascii="宋体" w:hAnsi="宋体" w:cs="宋体"/>
                <w:snapToGrid w:val="0"/>
                <w:color w:val="auto"/>
                <w:sz w:val="24"/>
                <w:highlight w:val="none"/>
              </w:rPr>
            </w:pPr>
            <w:r>
              <w:rPr>
                <w:rFonts w:ascii="宋体" w:hAnsi="宋体" w:cs="宋体"/>
                <w:bCs/>
                <w:color w:val="auto"/>
                <w:sz w:val="24"/>
                <w:highlight w:val="none"/>
              </w:rPr>
              <w:t>商务部分（</w:t>
            </w:r>
            <w:r>
              <w:rPr>
                <w:rFonts w:hint="eastAsia" w:ascii="宋体" w:hAnsi="宋体" w:cs="宋体"/>
                <w:bCs/>
                <w:color w:val="auto"/>
                <w:sz w:val="24"/>
                <w:highlight w:val="none"/>
                <w:lang w:val="en-US" w:eastAsia="zh-CN"/>
              </w:rPr>
              <w:t>9</w:t>
            </w:r>
            <w:r>
              <w:rPr>
                <w:rFonts w:hint="eastAsia" w:ascii="宋体" w:hAnsi="宋体" w:cs="宋体"/>
                <w:bCs/>
                <w:color w:val="auto"/>
                <w:sz w:val="24"/>
                <w:highlight w:val="none"/>
              </w:rPr>
              <w:t>.5</w:t>
            </w:r>
            <w:r>
              <w:rPr>
                <w:rFonts w:ascii="宋体" w:hAnsi="宋体" w:cs="宋体"/>
                <w:bCs/>
                <w:color w:val="auto"/>
                <w:sz w:val="24"/>
                <w:highlight w:val="none"/>
              </w:rPr>
              <w:t>分）</w:t>
            </w:r>
          </w:p>
        </w:tc>
        <w:tc>
          <w:tcPr>
            <w:tcW w:w="992" w:type="dxa"/>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类似</w:t>
            </w:r>
          </w:p>
          <w:p>
            <w:pPr>
              <w:spacing w:line="360" w:lineRule="auto"/>
              <w:jc w:val="center"/>
              <w:rPr>
                <w:rFonts w:ascii="宋体" w:hAnsi="宋体" w:cs="宋体"/>
                <w:color w:val="auto"/>
                <w:sz w:val="24"/>
                <w:highlight w:val="none"/>
              </w:rPr>
            </w:pPr>
            <w:r>
              <w:rPr>
                <w:rFonts w:ascii="宋体" w:hAnsi="宋体" w:cs="宋体"/>
                <w:color w:val="auto"/>
                <w:sz w:val="24"/>
                <w:highlight w:val="none"/>
              </w:rPr>
              <w:t>业绩</w:t>
            </w: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投标人2018年1月1日以来承担过地下市政设施普查或地下空间调查类项目的，每个得0.5分，最高得1.5分。</w:t>
            </w:r>
          </w:p>
          <w:p>
            <w:pPr>
              <w:pStyle w:val="10"/>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注：须提供合同的复印件并加盖公章，以合同签订时间为准，否则不得分。</w:t>
            </w:r>
          </w:p>
        </w:tc>
        <w:tc>
          <w:tcPr>
            <w:tcW w:w="689" w:type="dxa"/>
            <w:vAlign w:val="center"/>
          </w:tcPr>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snapToGrid w:val="0"/>
                <w:color w:val="auto"/>
                <w:sz w:val="24"/>
                <w:highlight w:val="none"/>
              </w:rPr>
            </w:pPr>
          </w:p>
        </w:tc>
        <w:tc>
          <w:tcPr>
            <w:tcW w:w="992"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获得</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荣誉</w:t>
            </w:r>
          </w:p>
        </w:tc>
        <w:tc>
          <w:tcPr>
            <w:tcW w:w="7371" w:type="dxa"/>
            <w:vAlign w:val="center"/>
          </w:tcPr>
          <w:p>
            <w:pPr>
              <w:snapToGrid w:val="0"/>
              <w:spacing w:line="276" w:lineRule="auto"/>
              <w:rPr>
                <w:rFonts w:ascii="宋体" w:hAnsi="宋体" w:cs="宋体"/>
                <w:color w:val="auto"/>
                <w:sz w:val="24"/>
                <w:highlight w:val="none"/>
              </w:rPr>
            </w:pPr>
            <w:r>
              <w:rPr>
                <w:rFonts w:hint="eastAsia" w:ascii="宋体" w:hAnsi="宋体" w:cs="宋体"/>
                <w:color w:val="auto"/>
                <w:sz w:val="24"/>
                <w:highlight w:val="none"/>
              </w:rPr>
              <w:t>1.2018年1月1日以来投标人承担的类似项目获得国家测绘或地理信息科技进步奖的，每个得1.0分，本项最高得2.0分；（提供证书复印件，以证书获奖时间为准）</w:t>
            </w:r>
          </w:p>
          <w:p>
            <w:pPr>
              <w:snapToGrid w:val="0"/>
              <w:spacing w:line="276" w:lineRule="auto"/>
              <w:rPr>
                <w:rFonts w:ascii="宋体" w:hAnsi="宋体" w:cs="宋体"/>
                <w:color w:val="auto"/>
                <w:sz w:val="24"/>
                <w:highlight w:val="none"/>
              </w:rPr>
            </w:pPr>
            <w:r>
              <w:rPr>
                <w:rFonts w:hint="eastAsia" w:ascii="宋体" w:hAnsi="宋体" w:cs="宋体"/>
                <w:color w:val="auto"/>
                <w:sz w:val="24"/>
                <w:highlight w:val="none"/>
              </w:rPr>
              <w:t>2.2018年1月1日以来投标人承担的类似项目获得过国家或地理信息产业优秀工程奖的，每个得1.0分，本项最高得2.0分。</w:t>
            </w:r>
          </w:p>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注：须提供证书复印件并加盖公章，以证书获奖时间为准，不提供不得分。</w:t>
            </w:r>
          </w:p>
        </w:tc>
        <w:tc>
          <w:tcPr>
            <w:tcW w:w="68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snapToGrid w:val="0"/>
                <w:color w:val="auto"/>
                <w:sz w:val="24"/>
                <w:highlight w:val="none"/>
              </w:rPr>
            </w:pPr>
          </w:p>
        </w:tc>
        <w:tc>
          <w:tcPr>
            <w:tcW w:w="992"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认证</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体系</w:t>
            </w:r>
          </w:p>
        </w:tc>
        <w:tc>
          <w:tcPr>
            <w:tcW w:w="737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投标人具有质量管理体系认证证书、职业健康安全管理体系认证证书、环境管理体系认证证书、信息安全管理体系认证证书（认证范围包括工程测量、地理信息系统工程）的得2.0分，缺一不得分。</w:t>
            </w:r>
          </w:p>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注：须提供有效期内的认证证书的扫描件并加盖公章，否则不得分。</w:t>
            </w:r>
          </w:p>
        </w:tc>
        <w:tc>
          <w:tcPr>
            <w:tcW w:w="68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806" w:hRule="atLeast"/>
          <w:jc w:val="center"/>
        </w:trPr>
        <w:tc>
          <w:tcPr>
            <w:tcW w:w="411" w:type="dxa"/>
            <w:vMerge w:val="continue"/>
            <w:tcBorders>
              <w:right w:val="single" w:color="auto" w:sz="4" w:space="0"/>
            </w:tcBorders>
            <w:vAlign w:val="center"/>
          </w:tcPr>
          <w:p>
            <w:pPr>
              <w:adjustRightInd w:val="0"/>
              <w:snapToGrid w:val="0"/>
              <w:spacing w:line="360" w:lineRule="auto"/>
              <w:jc w:val="center"/>
              <w:rPr>
                <w:rFonts w:ascii="宋体" w:hAnsi="宋体" w:cs="宋体"/>
                <w:color w:val="auto"/>
                <w:sz w:val="24"/>
                <w:highlight w:val="none"/>
              </w:rPr>
            </w:pPr>
          </w:p>
        </w:tc>
        <w:tc>
          <w:tcPr>
            <w:tcW w:w="850" w:type="dxa"/>
            <w:vMerge w:val="continue"/>
            <w:tcBorders>
              <w:left w:val="single" w:color="auto" w:sz="4" w:space="0"/>
            </w:tcBorders>
            <w:vAlign w:val="center"/>
          </w:tcPr>
          <w:p>
            <w:pPr>
              <w:adjustRightInd w:val="0"/>
              <w:snapToGrid w:val="0"/>
              <w:spacing w:line="360" w:lineRule="auto"/>
              <w:jc w:val="center"/>
              <w:rPr>
                <w:rFonts w:ascii="宋体" w:hAnsi="宋体" w:cs="宋体"/>
                <w:snapToGrid w:val="0"/>
                <w:color w:val="auto"/>
                <w:sz w:val="24"/>
                <w:highlight w:val="none"/>
              </w:rPr>
            </w:pPr>
          </w:p>
        </w:tc>
        <w:tc>
          <w:tcPr>
            <w:tcW w:w="992" w:type="dxa"/>
            <w:vAlign w:val="center"/>
          </w:tcPr>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综合</w:t>
            </w:r>
          </w:p>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能力</w:t>
            </w:r>
          </w:p>
        </w:tc>
        <w:tc>
          <w:tcPr>
            <w:tcW w:w="7371" w:type="dxa"/>
            <w:vAlign w:val="center"/>
          </w:tcPr>
          <w:p>
            <w:pPr>
              <w:widowControl/>
              <w:jc w:val="left"/>
              <w:rPr>
                <w:rFonts w:ascii="宋体" w:hAnsi="宋体" w:cs="宋体"/>
                <w:color w:val="auto"/>
                <w:sz w:val="24"/>
                <w:highlight w:val="none"/>
              </w:rPr>
            </w:pPr>
            <w:r>
              <w:rPr>
                <w:rFonts w:hint="eastAsia" w:ascii="宋体" w:hAnsi="宋体" w:cs="宋体"/>
                <w:color w:val="auto"/>
                <w:sz w:val="24"/>
                <w:highlight w:val="none"/>
              </w:rPr>
              <w:t>投标人具有PDA地下管线数据采集系统软件著作权、地下管线数据处理系统软件著作权、城市地下空间数据建库成图系统软件著作权、综合管网地理信息平台著作权、每个得0.5分，最高得2.0分</w:t>
            </w:r>
          </w:p>
          <w:p>
            <w:pPr>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注：须提供有效期内的证书扫描件并加盖公章，否则不得分。</w:t>
            </w:r>
          </w:p>
          <w:p>
            <w:pPr>
              <w:pStyle w:val="15"/>
              <w:rPr>
                <w:rFonts w:ascii="宋体" w:hAnsi="宋体" w:cs="宋体"/>
                <w:color w:val="auto"/>
                <w:sz w:val="24"/>
                <w:highlight w:val="none"/>
              </w:rPr>
            </w:pPr>
          </w:p>
        </w:tc>
        <w:tc>
          <w:tcPr>
            <w:tcW w:w="68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r>
    </w:tbl>
    <w:p>
      <w:pPr>
        <w:adjustRightInd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注：商务与技术文件内容缺项的，该项得0分。</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（3）报价文件评定分值为15分。（以下除注明外，计算结果小数点后保留2位，第3位四舍五入）。</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本项目采购人设有报价上限，上限价为524.58万元，投标报价高于上限价的，作无效标处理。当所有投标人的投标报价均高于上限价的，本项目重新招标。</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auto"/>
        <w:ind w:firstLine="600"/>
        <w:rPr>
          <w:rFonts w:ascii="宋体" w:hAnsi="宋体" w:cs="宋体"/>
          <w:color w:val="auto"/>
          <w:sz w:val="24"/>
          <w:highlight w:val="none"/>
        </w:rPr>
      </w:pPr>
      <w:r>
        <w:rPr>
          <w:rFonts w:hint="eastAsia" w:ascii="宋体" w:hAnsi="宋体" w:cs="宋体"/>
          <w:color w:val="auto"/>
          <w:sz w:val="24"/>
          <w:highlight w:val="none"/>
        </w:rPr>
        <w:t>价格分采用低价优先法计算，以最低有效投标报价作为评标基准价，其价格分为20分。其他投标人的价格分统一按照下列公式计算：</w:t>
      </w:r>
    </w:p>
    <w:p>
      <w:pPr>
        <w:spacing w:line="360" w:lineRule="auto"/>
        <w:ind w:firstLine="470" w:firstLineChars="196"/>
        <w:rPr>
          <w:rFonts w:ascii="宋体" w:hAnsi="宋体" w:cs="宋体"/>
          <w:b/>
          <w:bCs/>
          <w:color w:val="auto"/>
          <w:sz w:val="24"/>
          <w:highlight w:val="none"/>
        </w:rPr>
      </w:pPr>
      <w:r>
        <w:rPr>
          <w:rFonts w:hint="eastAsia" w:ascii="宋体" w:hAnsi="宋体" w:cs="宋体"/>
          <w:color w:val="auto"/>
          <w:sz w:val="24"/>
          <w:highlight w:val="none"/>
        </w:rPr>
        <w:t>报价文件得分=(评标基准价／投标报价)×15</w:t>
      </w:r>
    </w:p>
    <w:p>
      <w:pPr>
        <w:spacing w:line="360" w:lineRule="auto"/>
        <w:ind w:firstLine="472" w:firstLineChars="196"/>
        <w:rPr>
          <w:rFonts w:ascii="宋体" w:hAnsi="宋体" w:cs="宋体"/>
          <w:b/>
          <w:bCs/>
          <w:color w:val="auto"/>
          <w:sz w:val="24"/>
          <w:highlight w:val="none"/>
        </w:rPr>
      </w:pPr>
      <w:r>
        <w:rPr>
          <w:rFonts w:hint="eastAsia" w:ascii="宋体" w:hAnsi="宋体" w:cs="宋体"/>
          <w:b/>
          <w:bCs/>
          <w:color w:val="auto"/>
          <w:sz w:val="24"/>
          <w:highlight w:val="none"/>
        </w:rPr>
        <w:t>（注：对于小型和微型企业产品的价格给予10%的扣除，用扣除后的价格参与评审)</w:t>
      </w:r>
    </w:p>
    <w:p>
      <w:pPr>
        <w:spacing w:line="360" w:lineRule="auto"/>
        <w:ind w:left="420"/>
        <w:rPr>
          <w:rFonts w:ascii="宋体" w:hAnsi="宋体" w:cs="宋体"/>
          <w:b/>
          <w:bCs/>
          <w:color w:val="auto"/>
          <w:sz w:val="24"/>
          <w:highlight w:val="none"/>
        </w:rPr>
      </w:pPr>
      <w:r>
        <w:rPr>
          <w:rFonts w:hint="eastAsia" w:ascii="宋体" w:hAnsi="宋体" w:cs="宋体"/>
          <w:b/>
          <w:bCs/>
          <w:color w:val="auto"/>
          <w:sz w:val="24"/>
          <w:highlight w:val="none"/>
        </w:rPr>
        <w:t>（4）总得分的统计及中标候选人的确定。</w:t>
      </w:r>
    </w:p>
    <w:p>
      <w:pPr>
        <w:spacing w:line="360" w:lineRule="auto"/>
        <w:ind w:left="420"/>
        <w:rPr>
          <w:rFonts w:ascii="宋体" w:hAnsi="宋体" w:cs="宋体"/>
          <w:bCs/>
          <w:color w:val="auto"/>
          <w:sz w:val="24"/>
          <w:highlight w:val="none"/>
        </w:rPr>
      </w:pPr>
      <w:r>
        <w:rPr>
          <w:rFonts w:hint="eastAsia" w:ascii="宋体" w:hAnsi="宋体" w:cs="宋体"/>
          <w:b/>
          <w:color w:val="auto"/>
          <w:sz w:val="24"/>
          <w:highlight w:val="none"/>
        </w:rPr>
        <w:t>评标总得分的确定：</w:t>
      </w:r>
    </w:p>
    <w:p>
      <w:pPr>
        <w:spacing w:line="360" w:lineRule="auto"/>
        <w:ind w:left="420"/>
        <w:rPr>
          <w:rFonts w:ascii="宋体" w:hAnsi="宋体" w:cs="宋体"/>
          <w:bCs/>
          <w:color w:val="auto"/>
          <w:sz w:val="24"/>
          <w:highlight w:val="none"/>
        </w:rPr>
      </w:pPr>
      <w:r>
        <w:rPr>
          <w:rFonts w:hint="eastAsia" w:ascii="宋体" w:hAnsi="宋体" w:cs="宋体"/>
          <w:bCs/>
          <w:color w:val="auto"/>
          <w:sz w:val="24"/>
          <w:highlight w:val="none"/>
        </w:rPr>
        <w:t>投标人的总得分＝商务与技术文件得分+报价文件得分。</w:t>
      </w:r>
    </w:p>
    <w:p>
      <w:pPr>
        <w:spacing w:line="360" w:lineRule="auto"/>
        <w:ind w:left="420"/>
        <w:rPr>
          <w:rFonts w:ascii="宋体" w:hAnsi="宋体" w:cs="宋体"/>
          <w:b/>
          <w:color w:val="auto"/>
          <w:sz w:val="24"/>
          <w:highlight w:val="none"/>
        </w:rPr>
      </w:pPr>
      <w:r>
        <w:rPr>
          <w:rFonts w:hint="eastAsia" w:ascii="宋体" w:hAnsi="宋体" w:cs="宋体"/>
          <w:b/>
          <w:color w:val="auto"/>
          <w:sz w:val="24"/>
          <w:highlight w:val="none"/>
        </w:rPr>
        <w:t>中标候选人的确定：</w:t>
      </w:r>
    </w:p>
    <w:p>
      <w:pPr>
        <w:spacing w:line="360" w:lineRule="auto"/>
        <w:ind w:firstLine="600"/>
        <w:rPr>
          <w:rFonts w:ascii="宋体" w:hAnsi="宋体" w:cs="宋体"/>
          <w:color w:val="auto"/>
          <w:sz w:val="24"/>
          <w:highlight w:val="none"/>
        </w:rPr>
      </w:pPr>
      <w:r>
        <w:rPr>
          <w:rFonts w:hint="eastAsia" w:ascii="宋体" w:hAnsi="宋体" w:cs="宋体"/>
          <w:color w:val="auto"/>
          <w:sz w:val="24"/>
          <w:highlight w:val="none"/>
        </w:rPr>
        <w:t>本次招标设置一名中标候选人。中标候选人的排名次序按投标人总得分从高到低顺序排列，即总得分最高者为中标候选人。若出现总得分相同时，按投标报价得分由高到低顺序排列；若总得分且报价得分均相同的，按商务技术响应文件得分由高到低顺序排列；若以上两项均相同的，则抽签确定。</w:t>
      </w:r>
    </w:p>
    <w:p>
      <w:pPr>
        <w:pStyle w:val="4"/>
        <w:spacing w:line="360" w:lineRule="auto"/>
        <w:rPr>
          <w:color w:val="auto"/>
          <w:highlight w:val="none"/>
        </w:rPr>
        <w:sectPr>
          <w:pgSz w:w="11906" w:h="16838"/>
          <w:pgMar w:top="1247" w:right="1361" w:bottom="1247" w:left="1361" w:header="851" w:footer="851" w:gutter="0"/>
          <w:cols w:space="720" w:num="1"/>
          <w:docGrid w:type="lines" w:linePitch="312" w:charSpace="0"/>
        </w:sectPr>
      </w:pPr>
    </w:p>
    <w:p>
      <w:pPr>
        <w:adjustRightInd w:val="0"/>
        <w:spacing w:line="360" w:lineRule="auto"/>
        <w:jc w:val="center"/>
        <w:rPr>
          <w:rFonts w:ascii="宋体" w:hAnsi="宋体" w:cs="宋体"/>
          <w:color w:val="auto"/>
          <w:sz w:val="32"/>
          <w:highlight w:val="none"/>
        </w:rPr>
      </w:pPr>
      <w:r>
        <w:rPr>
          <w:rFonts w:hint="eastAsia" w:ascii="宋体" w:hAnsi="宋体" w:cs="宋体"/>
          <w:color w:val="auto"/>
          <w:sz w:val="32"/>
          <w:highlight w:val="none"/>
        </w:rPr>
        <w:t>第五章 合同主要条款（供参考）</w:t>
      </w:r>
    </w:p>
    <w:p>
      <w:pPr>
        <w:spacing w:before="299" w:line="360" w:lineRule="auto"/>
        <w:ind w:firstLine="2166"/>
        <w:rPr>
          <w:rFonts w:ascii="宋体" w:hAnsi="宋体" w:cs="宋体"/>
          <w:color w:val="auto"/>
          <w:szCs w:val="28"/>
          <w:highlight w:val="none"/>
        </w:rPr>
      </w:pPr>
      <w:r>
        <w:rPr>
          <w:rFonts w:ascii="宋体" w:hAnsi="宋体" w:cs="宋体"/>
          <w:color w:val="auto"/>
          <w:spacing w:val="-1"/>
          <w:szCs w:val="28"/>
          <w:highlight w:val="none"/>
          <w14:textOutline w14:w="5105" w14:cap="sq" w14:cmpd="sng" w14:algn="ctr">
            <w14:solidFill>
              <w14:srgbClr w14:val="000000"/>
            </w14:solidFill>
            <w14:prstDash w14:val="solid"/>
            <w14:bevel/>
          </w14:textOutline>
        </w:rPr>
        <w:t>（以甲、乙双方签订的正式合同为准）</w:t>
      </w:r>
    </w:p>
    <w:p>
      <w:pPr>
        <w:spacing w:line="360" w:lineRule="auto"/>
        <w:rPr>
          <w:rFonts w:ascii="宋体" w:hAnsi="宋体" w:cs="宋体"/>
          <w:color w:val="auto"/>
          <w:sz w:val="24"/>
          <w:highlight w:val="none"/>
          <w:u w:val="single"/>
        </w:rPr>
      </w:pPr>
      <w:r>
        <w:rPr>
          <w:rFonts w:hint="eastAsia" w:ascii="宋体" w:hAnsi="宋体" w:cs="宋体"/>
          <w:b/>
          <w:bCs/>
          <w:color w:val="auto"/>
          <w:sz w:val="24"/>
          <w:highlight w:val="none"/>
        </w:rPr>
        <w:t>项目名称：</w:t>
      </w:r>
      <w:r>
        <w:rPr>
          <w:rFonts w:hint="eastAsia" w:ascii="宋体" w:hAnsi="宋体" w:cs="宋体"/>
          <w:color w:val="auto"/>
          <w:sz w:val="24"/>
          <w:highlight w:val="none"/>
          <w:u w:val="single"/>
        </w:rPr>
        <w:t>城市地下市政基础设施普查项目</w:t>
      </w:r>
    </w:p>
    <w:p>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项目编号：</w:t>
      </w:r>
      <w:r>
        <w:rPr>
          <w:rFonts w:hint="eastAsia" w:ascii="宋体" w:hAnsi="宋体" w:cs="宋体"/>
          <w:b/>
          <w:bCs/>
          <w:color w:val="auto"/>
          <w:sz w:val="24"/>
          <w:highlight w:val="none"/>
          <w:u w:val="single"/>
        </w:rPr>
        <w:t xml:space="preserve">                </w:t>
      </w:r>
    </w:p>
    <w:p>
      <w:pPr>
        <w:pStyle w:val="34"/>
        <w:spacing w:before="0" w:beforeAutospacing="0" w:after="0" w:afterAutospacing="0" w:line="360" w:lineRule="auto"/>
        <w:ind w:right="-252"/>
        <w:rPr>
          <w:color w:val="auto"/>
          <w:highlight w:val="none"/>
        </w:rPr>
      </w:pPr>
      <w:r>
        <w:rPr>
          <w:rFonts w:hint="eastAsia"/>
          <w:color w:val="auto"/>
          <w:highlight w:val="none"/>
        </w:rPr>
        <w:t>委托方（甲方）：</w:t>
      </w:r>
      <w:r>
        <w:rPr>
          <w:rFonts w:hint="eastAsia"/>
          <w:color w:val="auto"/>
          <w:highlight w:val="none"/>
          <w:u w:val="single"/>
        </w:rPr>
        <w:t xml:space="preserve">台州湾新区管理委员会 </w:t>
      </w:r>
    </w:p>
    <w:p>
      <w:pPr>
        <w:pStyle w:val="34"/>
        <w:spacing w:before="0" w:beforeAutospacing="0" w:after="0" w:afterAutospacing="0" w:line="360" w:lineRule="auto"/>
        <w:ind w:right="-252"/>
        <w:rPr>
          <w:color w:val="auto"/>
          <w:highlight w:val="none"/>
        </w:rPr>
      </w:pPr>
      <w:r>
        <w:rPr>
          <w:rFonts w:hint="eastAsia"/>
          <w:color w:val="auto"/>
          <w:highlight w:val="none"/>
        </w:rPr>
        <w:t>承揽方（乙方）：</w:t>
      </w:r>
    </w:p>
    <w:p>
      <w:pPr>
        <w:pStyle w:val="34"/>
        <w:spacing w:before="0" w:beforeAutospacing="0" w:after="0" w:afterAutospacing="0" w:line="360" w:lineRule="auto"/>
        <w:ind w:right="-252" w:firstLine="480" w:firstLineChars="200"/>
        <w:rPr>
          <w:color w:val="auto"/>
          <w:highlight w:val="none"/>
        </w:rPr>
      </w:pPr>
      <w:r>
        <w:rPr>
          <w:rFonts w:hint="eastAsia"/>
          <w:color w:val="auto"/>
          <w:highlight w:val="none"/>
        </w:rPr>
        <w:t>根据</w:t>
      </w:r>
      <w:r>
        <w:rPr>
          <w:rFonts w:hint="eastAsia" w:cs="宋体"/>
          <w:color w:val="auto"/>
          <w:highlight w:val="none"/>
        </w:rPr>
        <w:t>台州湾新区（高新区）</w:t>
      </w:r>
      <w:r>
        <w:rPr>
          <w:rFonts w:hint="eastAsia"/>
          <w:color w:val="auto"/>
          <w:highlight w:val="none"/>
        </w:rPr>
        <w:t>城市地下市政基础设施普查项目公开招标（项目编号：</w:t>
      </w:r>
      <w:r>
        <w:rPr>
          <w:rFonts w:hint="eastAsia"/>
          <w:color w:val="auto"/>
          <w:highlight w:val="none"/>
          <w:u w:val="single"/>
        </w:rPr>
        <w:t>ZJWS2022-HYZRZYGHJ03</w:t>
      </w:r>
      <w:r>
        <w:rPr>
          <w:rFonts w:hint="eastAsia"/>
          <w:color w:val="auto"/>
          <w:highlight w:val="none"/>
        </w:rPr>
        <w:t>）的结果以及《中华人民共和国民法典》、《中华人民共和国测绘法》和有关法律法规，经双方协商一致签订本合同。</w:t>
      </w:r>
    </w:p>
    <w:p>
      <w:pPr>
        <w:pStyle w:val="34"/>
        <w:numPr>
          <w:ilvl w:val="0"/>
          <w:numId w:val="10"/>
        </w:numPr>
        <w:spacing w:before="0" w:beforeAutospacing="0" w:after="0" w:afterAutospacing="0" w:line="360" w:lineRule="auto"/>
        <w:ind w:right="-252" w:firstLine="482" w:firstLineChars="200"/>
        <w:rPr>
          <w:b/>
          <w:color w:val="auto"/>
          <w:highlight w:val="none"/>
        </w:rPr>
      </w:pPr>
      <w:r>
        <w:rPr>
          <w:rFonts w:hint="eastAsia"/>
          <w:b/>
          <w:color w:val="auto"/>
          <w:highlight w:val="none"/>
        </w:rPr>
        <w:t>服务内容</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rPr>
        <w:t>台州湾新区（高新区）</w:t>
      </w:r>
      <w:r>
        <w:rPr>
          <w:rFonts w:hint="eastAsia" w:ascii="宋体" w:hAnsi="宋体" w:cs="宋体"/>
          <w:color w:val="auto"/>
          <w:kern w:val="0"/>
          <w:sz w:val="24"/>
          <w:highlight w:val="none"/>
          <w:lang w:val="zh-CN"/>
        </w:rPr>
        <w:t>城市地下市政基础设施普查项目，包括项目建设、实施、直至验收合格及售后服务等。</w:t>
      </w:r>
    </w:p>
    <w:p>
      <w:pPr>
        <w:spacing w:line="360" w:lineRule="auto"/>
        <w:ind w:firstLine="561"/>
        <w:rPr>
          <w:rFonts w:ascii="宋体" w:hAnsi="宋体" w:cs="宋体"/>
          <w:color w:val="auto"/>
          <w:kern w:val="0"/>
          <w:sz w:val="24"/>
          <w:highlight w:val="none"/>
        </w:rPr>
      </w:pPr>
      <w:r>
        <w:rPr>
          <w:rFonts w:hint="eastAsia" w:ascii="宋体" w:hAnsi="宋体" w:cs="宋体"/>
          <w:color w:val="auto"/>
          <w:kern w:val="0"/>
          <w:sz w:val="24"/>
          <w:highlight w:val="none"/>
        </w:rPr>
        <w:t>本次普查范围如下图所示：区块1面积约6.5平方千米，区块2面积约21平方千米。区块内的快速路、主干路、次干路、支路、通道等市政道路及街巷和公园、广场等其他公共区域、以及跨县级以上行政区域铺设的主干管线。</w:t>
      </w:r>
    </w:p>
    <w:p>
      <w:pPr>
        <w:spacing w:line="360" w:lineRule="auto"/>
        <w:ind w:firstLine="560" w:firstLineChars="200"/>
        <w:rPr>
          <w:rFonts w:ascii="宋体" w:hAnsi="宋体" w:cs="宋体"/>
          <w:color w:val="auto"/>
          <w:kern w:val="0"/>
          <w:sz w:val="24"/>
          <w:highlight w:val="none"/>
          <w:lang w:val="zh-CN"/>
        </w:rPr>
      </w:pPr>
      <w:r>
        <w:rPr>
          <w:color w:val="auto"/>
          <w:highlight w:val="none"/>
        </w:rPr>
        <w:drawing>
          <wp:inline distT="0" distB="0" distL="114300" distR="114300">
            <wp:extent cx="5253355" cy="3717925"/>
            <wp:effectExtent l="0" t="0" r="444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53355" cy="3717925"/>
                    </a:xfrm>
                    <a:prstGeom prst="rect">
                      <a:avLst/>
                    </a:prstGeom>
                    <a:noFill/>
                    <a:ln>
                      <a:noFill/>
                    </a:ln>
                  </pic:spPr>
                </pic:pic>
              </a:graphicData>
            </a:graphic>
          </wp:inline>
        </w:drawing>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普查内容：城市地下市政基础设施的空间信息、管理信息和技术信息，包括设施位置、结构外轮廓特征、几何形状等空间信息；设施名称、主管部门、运营（权属）单位、建设年代等管理信息；以及设施的敷设方式、覆土深度、施工方式等技术信息。</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普查对象：普查区内地下管线及附属设施（窨井盖等）、地下通道、地下公共停车场、人防工程、废弃工程及地下城镇污水与生活垃圾处理设施等；以及穿越普查区或在普查区外的地下主干管线（输电、通信、输油、输气、供水、原水），地上地下一体化普查，以保持其联通性和连续性。</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（1）地下管线及附属设施</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地下管线种类主要包括给水、排水、燃气、热力、电力、通信、工业等，以及铁路、民航等系统的专用管线及其附属设施。</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（2）地下通道</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地下通道主要包括地下人行通道、地下车行通道等。</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（3）地下公共停车场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地下公共停车场主要包括独立占地的面向公众服务的地下停车场和由建筑物代建的不独立占地的面向公众服务的地下停车场。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（4）人防工程</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人防工程（含早期人防工程）主要包括为保障战时人员与物资掩蔽、医疗救护等需要而单独修建的地下防护建筑，以及结合地面建筑修建的战时可用于防空的地下室。</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（5）废弃工程</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废弃工程主要包括无法修复利用的地下市政基础设施，如废弃地下管线、废弃地下通道、废弃人防工程等。</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（6）地下城镇污水与生活垃圾处理设施</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地下城镇污水处理设施是指位于地面以下天然形成的或人工挖掘的相对封闭的用于处理污水的设施；地下城镇生活垃圾处理设施是指位于地面以下天然形成的或人工挖掘的相对封闭的用于处理生活垃圾的设施。</w:t>
      </w:r>
    </w:p>
    <w:p>
      <w:pPr>
        <w:pStyle w:val="34"/>
        <w:numPr>
          <w:ilvl w:val="0"/>
          <w:numId w:val="10"/>
        </w:numPr>
        <w:spacing w:before="0" w:beforeAutospacing="0" w:after="0" w:afterAutospacing="0" w:line="360" w:lineRule="auto"/>
        <w:ind w:right="-252" w:firstLine="482" w:firstLineChars="200"/>
        <w:rPr>
          <w:b/>
          <w:color w:val="auto"/>
          <w:highlight w:val="none"/>
        </w:rPr>
      </w:pPr>
      <w:r>
        <w:rPr>
          <w:rFonts w:hint="eastAsia"/>
          <w:b/>
          <w:color w:val="auto"/>
          <w:highlight w:val="none"/>
        </w:rPr>
        <w:t>合同金额</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本合同金额为（大写）：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pPr>
        <w:pStyle w:val="34"/>
        <w:numPr>
          <w:ilvl w:val="0"/>
          <w:numId w:val="10"/>
        </w:numPr>
        <w:spacing w:before="0" w:beforeAutospacing="0" w:after="0" w:afterAutospacing="0" w:line="360" w:lineRule="auto"/>
        <w:ind w:right="-252" w:firstLine="482" w:firstLineChars="200"/>
        <w:rPr>
          <w:b/>
          <w:color w:val="auto"/>
          <w:highlight w:val="none"/>
        </w:rPr>
      </w:pPr>
      <w:r>
        <w:rPr>
          <w:rFonts w:hint="eastAsia"/>
          <w:b/>
          <w:bCs/>
          <w:color w:val="auto"/>
          <w:highlight w:val="none"/>
          <w:lang w:val="zh-CN"/>
        </w:rPr>
        <w:t>合同履行期限及要求</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1、综合各种具体因素，</w:t>
      </w:r>
      <w:r>
        <w:rPr>
          <w:rFonts w:hint="eastAsia" w:ascii="宋体" w:hAnsi="宋体" w:cs="宋体"/>
          <w:color w:val="auto"/>
          <w:kern w:val="0"/>
          <w:sz w:val="24"/>
          <w:highlight w:val="none"/>
        </w:rPr>
        <w:t>合同签订</w:t>
      </w:r>
      <w:r>
        <w:rPr>
          <w:rFonts w:hint="eastAsia" w:ascii="宋体" w:hAnsi="宋体" w:cs="宋体"/>
          <w:color w:val="auto"/>
          <w:kern w:val="0"/>
          <w:sz w:val="24"/>
          <w:highlight w:val="none"/>
          <w:lang w:val="zh-CN"/>
        </w:rPr>
        <w:t>后中标单位应在1个月内完成</w:t>
      </w:r>
      <w:r>
        <w:rPr>
          <w:rFonts w:hint="eastAsia" w:ascii="宋体" w:hAnsi="宋体" w:cs="宋体"/>
          <w:color w:val="auto"/>
          <w:kern w:val="0"/>
          <w:sz w:val="24"/>
          <w:highlight w:val="none"/>
        </w:rPr>
        <w:t>台州湾新区</w:t>
      </w:r>
      <w:r>
        <w:rPr>
          <w:rFonts w:hint="eastAsia" w:ascii="宋体" w:hAnsi="宋体" w:cs="宋体"/>
          <w:color w:val="auto"/>
          <w:kern w:val="0"/>
          <w:sz w:val="24"/>
          <w:highlight w:val="none"/>
          <w:lang w:val="zh-CN"/>
        </w:rPr>
        <w:t>普查区域内全部地下通道、地下公共停车场、人防工程等设施资料收集和外业普查</w:t>
      </w:r>
      <w:r>
        <w:rPr>
          <w:rFonts w:hint="eastAsia" w:ascii="宋体" w:hAnsi="宋体" w:cs="宋体"/>
          <w:color w:val="auto"/>
          <w:kern w:val="0"/>
          <w:sz w:val="24"/>
          <w:highlight w:val="none"/>
        </w:rPr>
        <w:t>及数据建库、入库</w:t>
      </w:r>
      <w:r>
        <w:rPr>
          <w:rFonts w:hint="eastAsia" w:ascii="宋体" w:hAnsi="宋体" w:cs="宋体"/>
          <w:color w:val="auto"/>
          <w:kern w:val="0"/>
          <w:sz w:val="24"/>
          <w:highlight w:val="none"/>
          <w:lang w:val="zh-CN"/>
        </w:rPr>
        <w:t>工作。</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2、2022年6月30日前完成普查区域内地下燃气管道普查工作</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并向省自然资源厅汇交普查成果。</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3、2022年1</w:t>
      </w:r>
      <w:r>
        <w:rPr>
          <w:rFonts w:hint="eastAsia" w:ascii="宋体" w:hAnsi="宋体" w:cs="宋体"/>
          <w:color w:val="auto"/>
          <w:kern w:val="0"/>
          <w:sz w:val="24"/>
          <w:highlight w:val="none"/>
        </w:rPr>
        <w:t>1</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15</w:t>
      </w:r>
      <w:r>
        <w:rPr>
          <w:rFonts w:hint="eastAsia" w:ascii="宋体" w:hAnsi="宋体" w:cs="宋体"/>
          <w:color w:val="auto"/>
          <w:kern w:val="0"/>
          <w:sz w:val="24"/>
          <w:highlight w:val="none"/>
          <w:lang w:val="zh-CN"/>
        </w:rPr>
        <w:t>日前完成普查区域内其他地下市政基础设施普查及所有普查成果数据库建库、质检工作。</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rPr>
        <w:t>4</w:t>
      </w:r>
      <w:r>
        <w:rPr>
          <w:rFonts w:hint="eastAsia" w:ascii="宋体" w:hAnsi="宋体" w:cs="宋体"/>
          <w:color w:val="auto"/>
          <w:kern w:val="0"/>
          <w:sz w:val="24"/>
          <w:highlight w:val="none"/>
          <w:lang w:val="zh-CN"/>
        </w:rPr>
        <w:t>、2022年1</w:t>
      </w:r>
      <w:r>
        <w:rPr>
          <w:rFonts w:hint="eastAsia" w:ascii="宋体" w:hAnsi="宋体" w:cs="宋体"/>
          <w:color w:val="auto"/>
          <w:kern w:val="0"/>
          <w:sz w:val="24"/>
          <w:highlight w:val="none"/>
        </w:rPr>
        <w:t>2</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31</w:t>
      </w:r>
      <w:r>
        <w:rPr>
          <w:rFonts w:hint="eastAsia" w:ascii="宋体" w:hAnsi="宋体" w:cs="宋体"/>
          <w:color w:val="auto"/>
          <w:kern w:val="0"/>
          <w:sz w:val="24"/>
          <w:highlight w:val="none"/>
          <w:lang w:val="zh-CN"/>
        </w:rPr>
        <w:t>日前完成普查区域内所有普查成果验收、绘制</w:t>
      </w:r>
      <w:r>
        <w:rPr>
          <w:rFonts w:hint="eastAsia" w:ascii="宋体" w:hAnsi="宋体" w:cs="宋体"/>
          <w:color w:val="auto"/>
          <w:kern w:val="0"/>
          <w:sz w:val="24"/>
          <w:highlight w:val="none"/>
        </w:rPr>
        <w:t>新区</w:t>
      </w:r>
      <w:r>
        <w:rPr>
          <w:rFonts w:hint="eastAsia" w:ascii="宋体" w:hAnsi="宋体" w:cs="宋体"/>
          <w:color w:val="auto"/>
          <w:kern w:val="0"/>
          <w:sz w:val="24"/>
          <w:highlight w:val="none"/>
          <w:lang w:val="zh-CN"/>
        </w:rPr>
        <w:t>地下市政基础设施“一张图”，并向省自然资源厅汇交普查成果。</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 履约保证金</w:t>
      </w:r>
    </w:p>
    <w:p>
      <w:pPr>
        <w:pStyle w:val="100"/>
        <w:spacing w:line="460" w:lineRule="exact"/>
        <w:ind w:firstLine="480" w:firstLineChars="200"/>
        <w:rPr>
          <w:rFonts w:ascii="宋体" w:hAnsi="宋体" w:cs="宋体"/>
          <w:color w:val="auto"/>
          <w:kern w:val="2"/>
          <w:szCs w:val="20"/>
          <w:highlight w:val="none"/>
          <w:lang w:val="zh-CN"/>
        </w:rPr>
      </w:pPr>
      <w:r>
        <w:rPr>
          <w:rFonts w:hint="eastAsia" w:ascii="宋体" w:hAnsi="宋体" w:cs="宋体"/>
          <w:color w:val="auto"/>
          <w:kern w:val="2"/>
          <w:szCs w:val="20"/>
          <w:highlight w:val="none"/>
          <w:lang w:val="zh-CN"/>
        </w:rPr>
        <w:t>签订合同前</w:t>
      </w:r>
      <w:r>
        <w:rPr>
          <w:rFonts w:hint="eastAsia" w:ascii="宋体" w:hAnsi="宋体" w:cs="宋体"/>
          <w:color w:val="auto"/>
          <w:kern w:val="2"/>
          <w:szCs w:val="20"/>
          <w:highlight w:val="none"/>
        </w:rPr>
        <w:t>乙方</w:t>
      </w:r>
      <w:r>
        <w:rPr>
          <w:rFonts w:hint="eastAsia" w:ascii="宋体" w:hAnsi="宋体" w:cs="宋体"/>
          <w:color w:val="auto"/>
          <w:kern w:val="2"/>
          <w:szCs w:val="20"/>
          <w:highlight w:val="none"/>
          <w:lang w:val="zh-CN"/>
        </w:rPr>
        <w:t>须向</w:t>
      </w:r>
      <w:r>
        <w:rPr>
          <w:rFonts w:hint="eastAsia" w:ascii="宋体" w:hAnsi="宋体" w:cs="宋体"/>
          <w:color w:val="auto"/>
          <w:kern w:val="2"/>
          <w:szCs w:val="20"/>
          <w:highlight w:val="none"/>
        </w:rPr>
        <w:t>甲方</w:t>
      </w:r>
      <w:r>
        <w:rPr>
          <w:rFonts w:hint="eastAsia" w:ascii="宋体" w:hAnsi="宋体" w:cs="宋体"/>
          <w:color w:val="auto"/>
          <w:kern w:val="2"/>
          <w:szCs w:val="20"/>
          <w:highlight w:val="none"/>
          <w:lang w:val="zh-CN"/>
        </w:rPr>
        <w:t>提交</w:t>
      </w:r>
      <w:r>
        <w:rPr>
          <w:rFonts w:hint="eastAsia" w:ascii="宋体" w:hAnsi="宋体" w:cs="宋体"/>
          <w:color w:val="auto"/>
          <w:kern w:val="2"/>
          <w:szCs w:val="20"/>
          <w:highlight w:val="none"/>
        </w:rPr>
        <w:t>合同金额的2%作为履约</w:t>
      </w:r>
      <w:r>
        <w:rPr>
          <w:rFonts w:hint="eastAsia" w:ascii="宋体" w:hAnsi="宋体" w:cs="宋体"/>
          <w:color w:val="auto"/>
          <w:kern w:val="2"/>
          <w:szCs w:val="20"/>
          <w:highlight w:val="none"/>
          <w:lang w:val="zh-CN"/>
        </w:rPr>
        <w:t>保证金（可以选择转账、支票、汇票、本票或者金融机构出具的独立保函等形式之一）。项目验收合格后7个工作日内返还履约保证金（不计息）。</w:t>
      </w:r>
    </w:p>
    <w:p>
      <w:pPr>
        <w:spacing w:line="360" w:lineRule="auto"/>
        <w:ind w:firstLine="482" w:firstLineChars="200"/>
        <w:rPr>
          <w:rFonts w:ascii="宋体" w:hAnsi="宋体" w:cs="宋体"/>
          <w:b/>
          <w:bCs/>
          <w:color w:val="auto"/>
          <w:sz w:val="24"/>
          <w:highlight w:val="none"/>
        </w:rPr>
      </w:pPr>
      <w:r>
        <w:rPr>
          <w:rFonts w:hint="eastAsia" w:ascii="宋体" w:hAnsi="宋体" w:cs="宋体"/>
          <w:b/>
          <w:color w:val="auto"/>
          <w:sz w:val="24"/>
          <w:highlight w:val="none"/>
        </w:rPr>
        <w:t xml:space="preserve">第五条 </w:t>
      </w:r>
      <w:r>
        <w:rPr>
          <w:rFonts w:hint="eastAsia" w:ascii="宋体" w:hAnsi="宋体" w:cs="宋体"/>
          <w:b/>
          <w:bCs/>
          <w:color w:val="auto"/>
          <w:sz w:val="24"/>
          <w:highlight w:val="none"/>
        </w:rPr>
        <w:t>付款方式</w:t>
      </w:r>
    </w:p>
    <w:p>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合同签订后</w:t>
      </w:r>
      <w:r>
        <w:rPr>
          <w:rFonts w:hint="eastAsia" w:asciiTheme="minorEastAsia" w:hAnsiTheme="minorEastAsia" w:eastAsiaTheme="minorEastAsia"/>
          <w:bCs/>
          <w:color w:val="auto"/>
          <w:sz w:val="24"/>
          <w:highlight w:val="none"/>
          <w:lang w:val="en-US" w:eastAsia="zh-CN"/>
        </w:rPr>
        <w:t>30</w:t>
      </w:r>
      <w:r>
        <w:rPr>
          <w:rFonts w:hint="eastAsia" w:asciiTheme="minorEastAsia" w:hAnsiTheme="minorEastAsia" w:eastAsiaTheme="minorEastAsia"/>
          <w:color w:val="auto"/>
          <w:kern w:val="0"/>
          <w:sz w:val="24"/>
          <w:highlight w:val="none"/>
        </w:rPr>
        <w:t>天内预付合同款项的</w:t>
      </w:r>
      <w:r>
        <w:rPr>
          <w:rFonts w:hint="eastAsia" w:asciiTheme="minorEastAsia" w:hAnsiTheme="minorEastAsia" w:eastAsiaTheme="minorEastAsia"/>
          <w:color w:val="auto"/>
          <w:kern w:val="0"/>
          <w:sz w:val="24"/>
          <w:highlight w:val="none"/>
          <w:lang w:val="en-US" w:eastAsia="zh-CN"/>
        </w:rPr>
        <w:t>20</w:t>
      </w:r>
      <w:r>
        <w:rPr>
          <w:rFonts w:hint="eastAsia" w:asciiTheme="minorEastAsia" w:hAnsiTheme="minorEastAsia" w:eastAsiaTheme="minorEastAsia"/>
          <w:color w:val="auto"/>
          <w:kern w:val="0"/>
          <w:sz w:val="24"/>
          <w:highlight w:val="none"/>
        </w:rPr>
        <w:t>％。</w:t>
      </w:r>
      <w:r>
        <w:rPr>
          <w:rFonts w:hint="eastAsia" w:ascii="宋体" w:hAnsi="宋体" w:cs="宋体"/>
          <w:color w:val="auto"/>
          <w:sz w:val="24"/>
          <w:szCs w:val="20"/>
          <w:highlight w:val="none"/>
        </w:rPr>
        <w:t>中标人按照相应时间节点完成合同履行期限要求前二项工作内容，采购人在中标人汇交普查成果后30个工作日内向中标人支付项目总价款的</w:t>
      </w:r>
      <w:r>
        <w:rPr>
          <w:rFonts w:hint="eastAsia" w:ascii="宋体" w:hAnsi="宋体" w:cs="宋体"/>
          <w:color w:val="auto"/>
          <w:sz w:val="24"/>
          <w:szCs w:val="20"/>
          <w:highlight w:val="none"/>
          <w:lang w:val="en-US" w:eastAsia="zh-CN"/>
        </w:rPr>
        <w:t>20</w:t>
      </w:r>
      <w:r>
        <w:rPr>
          <w:rFonts w:hint="eastAsia" w:ascii="宋体" w:hAnsi="宋体" w:cs="宋体"/>
          <w:color w:val="auto"/>
          <w:sz w:val="24"/>
          <w:szCs w:val="20"/>
          <w:highlight w:val="none"/>
        </w:rPr>
        <w:t>%；</w:t>
      </w:r>
      <w:r>
        <w:rPr>
          <w:rFonts w:hint="eastAsia" w:ascii="宋体" w:hAnsi="宋体" w:cs="宋体"/>
          <w:color w:val="auto"/>
          <w:kern w:val="0"/>
          <w:sz w:val="24"/>
          <w:highlight w:val="none"/>
          <w:lang w:val="zh-CN"/>
        </w:rPr>
        <w:t>2022年1</w:t>
      </w:r>
      <w:r>
        <w:rPr>
          <w:rFonts w:hint="eastAsia" w:ascii="宋体" w:hAnsi="宋体" w:cs="宋体"/>
          <w:color w:val="auto"/>
          <w:kern w:val="0"/>
          <w:sz w:val="24"/>
          <w:highlight w:val="none"/>
        </w:rPr>
        <w:t>2</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31</w:t>
      </w:r>
      <w:r>
        <w:rPr>
          <w:rFonts w:hint="eastAsia" w:ascii="宋体" w:hAnsi="宋体" w:cs="宋体"/>
          <w:color w:val="auto"/>
          <w:kern w:val="0"/>
          <w:sz w:val="24"/>
          <w:highlight w:val="none"/>
          <w:lang w:val="zh-CN"/>
        </w:rPr>
        <w:t>日前完成普查区域内所有普查成果验收、绘制</w:t>
      </w:r>
      <w:r>
        <w:rPr>
          <w:rFonts w:hint="eastAsia" w:ascii="宋体" w:hAnsi="宋体" w:cs="宋体"/>
          <w:color w:val="auto"/>
          <w:kern w:val="0"/>
          <w:sz w:val="24"/>
          <w:highlight w:val="none"/>
        </w:rPr>
        <w:t>新区</w:t>
      </w:r>
      <w:r>
        <w:rPr>
          <w:rFonts w:hint="eastAsia" w:ascii="宋体" w:hAnsi="宋体" w:cs="宋体"/>
          <w:color w:val="auto"/>
          <w:kern w:val="0"/>
          <w:sz w:val="24"/>
          <w:highlight w:val="none"/>
          <w:lang w:val="zh-CN"/>
        </w:rPr>
        <w:t>地下市政基础设施“一张图”，并向省自然资源厅汇交普查成果，</w:t>
      </w:r>
      <w:r>
        <w:rPr>
          <w:rFonts w:hint="eastAsia" w:ascii="宋体" w:hAnsi="宋体" w:cs="宋体"/>
          <w:color w:val="auto"/>
          <w:sz w:val="24"/>
          <w:szCs w:val="20"/>
          <w:highlight w:val="none"/>
        </w:rPr>
        <w:t>采购人应在汇交普查成果后30个工作日内向中标人支付合同金额的所有余款。</w:t>
      </w:r>
    </w:p>
    <w:p>
      <w:pPr>
        <w:snapToGrid w:val="0"/>
        <w:spacing w:line="460" w:lineRule="exact"/>
        <w:ind w:firstLine="420"/>
        <w:rPr>
          <w:b/>
          <w:color w:val="auto"/>
          <w:highlight w:val="none"/>
        </w:rPr>
      </w:pPr>
      <w:r>
        <w:rPr>
          <w:rFonts w:hint="eastAsia"/>
          <w:b/>
          <w:color w:val="auto"/>
          <w:highlight w:val="none"/>
        </w:rPr>
        <w:t>第六条 甲方的义务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1、自接到乙方编制的技术设计书之日起7日内完成技术设计书的审核备案工作。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2、甲方应当保证工程款按时到位，以保证工程的顺利进行。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3、甲方应当为乙方提供必要的技术支持及工作联系事宜。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4、乙方提供给甲方的过程成果或最终成果，按照测绘成果保密管理有关法律法规要求已涉密的，甲方应严格按相应的保密要求进行管理，如对存放本项目涉密数据的计算机应进行涉密标识等。</w:t>
      </w:r>
    </w:p>
    <w:p>
      <w:pPr>
        <w:pStyle w:val="34"/>
        <w:spacing w:before="0" w:beforeAutospacing="0" w:after="0" w:afterAutospacing="0" w:line="360" w:lineRule="auto"/>
        <w:ind w:right="-252" w:firstLine="482" w:firstLineChars="200"/>
        <w:rPr>
          <w:b/>
          <w:color w:val="auto"/>
          <w:highlight w:val="none"/>
        </w:rPr>
      </w:pPr>
      <w:r>
        <w:rPr>
          <w:rFonts w:hint="eastAsia"/>
          <w:b/>
          <w:color w:val="auto"/>
          <w:highlight w:val="none"/>
        </w:rPr>
        <w:t>第七条 乙方的义务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1、自签订合同之日起，根据本合同的技术要求和上级地下市政基础设施普查的要求，</w:t>
      </w:r>
      <w:r>
        <w:rPr>
          <w:rFonts w:hint="eastAsia" w:ascii="宋体" w:hAnsi="宋体" w:cs="宋体"/>
          <w:color w:val="auto"/>
          <w:sz w:val="24"/>
          <w:highlight w:val="none"/>
          <w:u w:val="single"/>
        </w:rPr>
        <w:t>7</w:t>
      </w:r>
      <w:r>
        <w:rPr>
          <w:rFonts w:hint="eastAsia" w:ascii="宋体" w:hAnsi="宋体" w:cs="宋体"/>
          <w:color w:val="auto"/>
          <w:sz w:val="24"/>
          <w:highlight w:val="none"/>
        </w:rPr>
        <w:t>日内完成技术设计书的编制，并交甲方审核与备案。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2、自收到甲方对技术设计书同意实施的审定意见之日起</w:t>
      </w:r>
      <w:r>
        <w:rPr>
          <w:rFonts w:hint="eastAsia" w:ascii="宋体" w:hAnsi="宋体" w:cs="宋体"/>
          <w:color w:val="auto"/>
          <w:sz w:val="24"/>
          <w:highlight w:val="none"/>
          <w:u w:val="single"/>
        </w:rPr>
        <w:t xml:space="preserve"> 15 </w:t>
      </w:r>
      <w:r>
        <w:rPr>
          <w:rFonts w:hint="eastAsia" w:ascii="宋体" w:hAnsi="宋体" w:cs="宋体"/>
          <w:color w:val="auto"/>
          <w:sz w:val="24"/>
          <w:highlight w:val="none"/>
        </w:rPr>
        <w:t>日内组织测绘队伍进场作业。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3、乙方应当根据合同与技术设计书要求确保测绘项目如期完成。</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4、坚持《中华人民共和国保守国家秘密法》及其实施办法和相关保密法律法规，确保国家秘密和甲方及其下属单位工作秘密的安全，杜绝失、泄密事件的发生。</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5、本项目的所有成果的知识产权及其他权利均属于甲方，乙方保证在未征得甲方许可情况下，绝不将本项目的任何成果透露给第三方。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6、在本项目工作过程中的任意阶段，无条件接受甲方对项目成果保密等各方面的监督检查，接受甲方提出的合理整改要求。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保密范围：项目所涉及的所有属于国家秘密的资料或数据、项目过程中由甲方或其下属单位提供的各类业务资料及电子数据、各类测绘资料及空间数据、项目产生的所有成果，包括各类文字报告、文档资料、电子数据和软件程序等、与双方合作有关的计划、规范、制度、会议纪要及其他应予以保密的情报或资料。</w:t>
      </w:r>
    </w:p>
    <w:p>
      <w:pPr>
        <w:pStyle w:val="34"/>
        <w:spacing w:before="0" w:beforeAutospacing="0" w:after="0" w:afterAutospacing="0" w:line="360" w:lineRule="auto"/>
        <w:ind w:right="-249" w:firstLine="482" w:firstLineChars="200"/>
        <w:rPr>
          <w:b/>
          <w:color w:val="auto"/>
          <w:highlight w:val="none"/>
        </w:rPr>
      </w:pPr>
      <w:r>
        <w:rPr>
          <w:rFonts w:hint="eastAsia"/>
          <w:b/>
          <w:color w:val="auto"/>
          <w:highlight w:val="none"/>
        </w:rPr>
        <w:t>第八条 验收</w:t>
      </w:r>
    </w:p>
    <w:p>
      <w:pPr>
        <w:spacing w:line="360" w:lineRule="auto"/>
        <w:ind w:firstLine="480" w:firstLineChars="200"/>
        <w:rPr>
          <w:rFonts w:ascii="宋体" w:hAnsi="宋体" w:cs="宋体"/>
          <w:color w:val="auto"/>
          <w:sz w:val="24"/>
          <w:highlight w:val="none"/>
        </w:rPr>
      </w:pPr>
      <w:r>
        <w:rPr>
          <w:rFonts w:hint="eastAsia" w:hAnsi="宋体"/>
          <w:color w:val="auto"/>
          <w:sz w:val="24"/>
          <w:highlight w:val="none"/>
        </w:rPr>
        <w:t>1.甲方对乙方提交的服务依据</w:t>
      </w:r>
      <w:r>
        <w:rPr>
          <w:rFonts w:hint="eastAsia" w:ascii="宋体" w:hAnsi="宋体" w:cs="宋体"/>
          <w:color w:val="auto"/>
          <w:sz w:val="24"/>
          <w:highlight w:val="none"/>
        </w:rPr>
        <w:t>按国家或行业标准、规定及技术标准等相关要求进行验收，测绘成果须经省级及以上法定测绘质量检验检测机构检验合格，并出具成果质量检验报告。</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2、乙方按合同规定提供了符合招标文件要求的服务，并经有关部门检验合格，所有的技术资料和清单已向甲方提交并被接受，验收被视为合格，双方签署验收合格证书。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3、验收合格条件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（1）技术参数和检验时出现的问题已被解决至甲方认可。</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（2）已提供了合同规定的全部服务和资料。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（3）资料在交付甲方使用前，需经甲方验收合格。</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（4）验收时提供完整的技术资料。</w:t>
      </w:r>
    </w:p>
    <w:p>
      <w:pPr>
        <w:pStyle w:val="34"/>
        <w:spacing w:before="0" w:beforeAutospacing="0" w:after="0" w:afterAutospacing="0" w:line="360" w:lineRule="auto"/>
        <w:ind w:right="-249" w:firstLine="482" w:firstLineChars="200"/>
        <w:rPr>
          <w:b/>
          <w:color w:val="auto"/>
          <w:highlight w:val="none"/>
        </w:rPr>
      </w:pPr>
      <w:r>
        <w:rPr>
          <w:rFonts w:hint="eastAsia"/>
          <w:b/>
          <w:color w:val="auto"/>
          <w:highlight w:val="none"/>
        </w:rPr>
        <w:t>第九条 对乙方测绘成果的所有权、使用权和著作权归属的约定</w:t>
      </w:r>
    </w:p>
    <w:p>
      <w:pPr>
        <w:pStyle w:val="34"/>
        <w:spacing w:before="0" w:beforeAutospacing="0" w:after="0" w:afterAutospacing="0" w:line="360" w:lineRule="auto"/>
        <w:ind w:right="-252" w:firstLine="480" w:firstLineChars="200"/>
        <w:rPr>
          <w:color w:val="auto"/>
          <w:highlight w:val="none"/>
        </w:rPr>
      </w:pPr>
      <w:r>
        <w:rPr>
          <w:rFonts w:hint="eastAsia"/>
          <w:color w:val="auto"/>
          <w:highlight w:val="none"/>
        </w:rPr>
        <w:t>1、乙方保证提供服务过程中不会侵犯任何第三方的知识产权及其他权利。</w:t>
      </w:r>
    </w:p>
    <w:p>
      <w:pPr>
        <w:pStyle w:val="34"/>
        <w:spacing w:before="0" w:beforeAutospacing="0" w:after="0" w:afterAutospacing="0" w:line="360" w:lineRule="auto"/>
        <w:ind w:right="-252" w:firstLine="480" w:firstLineChars="200"/>
        <w:rPr>
          <w:color w:val="auto"/>
          <w:highlight w:val="none"/>
        </w:rPr>
      </w:pPr>
      <w:r>
        <w:rPr>
          <w:rFonts w:hint="eastAsia"/>
          <w:color w:val="auto"/>
          <w:highlight w:val="none"/>
        </w:rPr>
        <w:t>2、本项目所有成果的版权属甲方所有，乙方不得以任何形式向第三方提供。否则，甲方将按国家法律和有关规定及项目合同追究乙方的一切责任。</w:t>
      </w:r>
    </w:p>
    <w:p>
      <w:pPr>
        <w:pStyle w:val="34"/>
        <w:spacing w:before="0" w:beforeAutospacing="0" w:after="0" w:afterAutospacing="0" w:line="360" w:lineRule="auto"/>
        <w:ind w:right="-252" w:firstLine="480" w:firstLineChars="200"/>
        <w:rPr>
          <w:color w:val="auto"/>
          <w:highlight w:val="none"/>
        </w:rPr>
      </w:pPr>
      <w:r>
        <w:rPr>
          <w:rFonts w:hint="eastAsia"/>
          <w:color w:val="auto"/>
          <w:highlight w:val="none"/>
        </w:rPr>
        <w:t>3、本项目作业过程中由甲方提供的所有资料或数据均属甲方所有，中标单位不得在合同规定之外自行处置数据，不得自行删除、复制、修改、转移数据，不得以任何形式向第三方提供。</w:t>
      </w:r>
    </w:p>
    <w:p>
      <w:pPr>
        <w:pStyle w:val="34"/>
        <w:spacing w:before="0" w:beforeAutospacing="0" w:after="0" w:afterAutospacing="0" w:line="360" w:lineRule="auto"/>
        <w:ind w:right="-252" w:firstLine="480" w:firstLineChars="200"/>
        <w:rPr>
          <w:color w:val="auto"/>
          <w:highlight w:val="none"/>
        </w:rPr>
      </w:pPr>
      <w:r>
        <w:rPr>
          <w:rFonts w:hint="eastAsia"/>
          <w:color w:val="auto"/>
          <w:highlight w:val="none"/>
        </w:rPr>
        <w:t>4、甲方允许乙方内部使用本合同生产的测绘成果，不得用于营利性项目。</w:t>
      </w:r>
    </w:p>
    <w:p>
      <w:pPr>
        <w:pStyle w:val="34"/>
        <w:spacing w:before="0" w:beforeAutospacing="0" w:after="0" w:afterAutospacing="0" w:line="360" w:lineRule="auto"/>
        <w:ind w:right="-252" w:firstLine="482" w:firstLineChars="200"/>
        <w:jc w:val="both"/>
        <w:rPr>
          <w:b/>
          <w:color w:val="auto"/>
          <w:highlight w:val="none"/>
        </w:rPr>
      </w:pPr>
      <w:r>
        <w:rPr>
          <w:rFonts w:hint="eastAsia"/>
          <w:b/>
          <w:color w:val="auto"/>
          <w:highlight w:val="none"/>
        </w:rPr>
        <w:t>第十条 甲方违约责任</w:t>
      </w:r>
    </w:p>
    <w:p>
      <w:pPr>
        <w:spacing w:line="360" w:lineRule="auto"/>
        <w:ind w:firstLine="480" w:firstLineChars="200"/>
        <w:rPr>
          <w:rStyle w:val="118"/>
          <w:rFonts w:ascii="宋体" w:hAnsi="宋体" w:cs="宋体"/>
          <w:color w:val="auto"/>
          <w:sz w:val="24"/>
          <w:highlight w:val="none"/>
        </w:rPr>
      </w:pPr>
      <w:r>
        <w:rPr>
          <w:rStyle w:val="118"/>
          <w:rFonts w:hint="eastAsia" w:ascii="宋体" w:hAnsi="宋体" w:cs="宋体"/>
          <w:color w:val="auto"/>
          <w:sz w:val="24"/>
          <w:highlight w:val="none"/>
        </w:rPr>
        <w:t>1、在合同履行期间，甲方要求终止或解除合同，乙方已进入现场开始工作的，甲方应根据乙方已进行的实际工作量，不足一半时，按项目工程费的一半支付；超过一半时，按项目工程费的全额支付。</w:t>
      </w:r>
    </w:p>
    <w:p>
      <w:pPr>
        <w:spacing w:line="360" w:lineRule="auto"/>
        <w:ind w:firstLine="480" w:firstLineChars="200"/>
        <w:rPr>
          <w:rStyle w:val="118"/>
          <w:rFonts w:ascii="宋体" w:hAnsi="宋体" w:cs="宋体"/>
          <w:color w:val="auto"/>
          <w:sz w:val="24"/>
          <w:highlight w:val="none"/>
        </w:rPr>
      </w:pPr>
      <w:r>
        <w:rPr>
          <w:rStyle w:val="118"/>
          <w:rFonts w:hint="eastAsia" w:ascii="宋体" w:hAnsi="宋体" w:cs="宋体"/>
          <w:color w:val="auto"/>
          <w:sz w:val="24"/>
          <w:highlight w:val="none"/>
        </w:rPr>
        <w:t>2、甲方由于财政支付时间计划发生变更而未按要求时间支付乙方工程费的，甲方不承担工程延期的责任。</w:t>
      </w:r>
    </w:p>
    <w:p>
      <w:pPr>
        <w:spacing w:line="360" w:lineRule="auto"/>
        <w:ind w:firstLine="480" w:firstLineChars="200"/>
        <w:rPr>
          <w:rStyle w:val="118"/>
          <w:rFonts w:ascii="宋体" w:hAnsi="宋体" w:cs="宋体"/>
          <w:color w:val="auto"/>
          <w:sz w:val="24"/>
          <w:highlight w:val="none"/>
        </w:rPr>
      </w:pPr>
      <w:r>
        <w:rPr>
          <w:rStyle w:val="118"/>
          <w:rFonts w:hint="eastAsia" w:ascii="宋体" w:hAnsi="宋体" w:cs="宋体"/>
          <w:color w:val="auto"/>
          <w:sz w:val="24"/>
          <w:highlight w:val="none"/>
        </w:rPr>
        <w:t>3、甲方按本合同规定的金额和日期支付乙方项目费每逾期支付一天（财政拨款方式原因影响除外），应承担支付金额千分之一的逾期违约金。</w:t>
      </w:r>
    </w:p>
    <w:p>
      <w:pPr>
        <w:spacing w:line="360" w:lineRule="auto"/>
        <w:ind w:firstLine="480" w:firstLineChars="200"/>
        <w:rPr>
          <w:rStyle w:val="118"/>
          <w:rFonts w:ascii="宋体" w:hAnsi="宋体" w:cs="宋体"/>
          <w:color w:val="auto"/>
          <w:sz w:val="24"/>
          <w:highlight w:val="none"/>
        </w:rPr>
      </w:pPr>
      <w:r>
        <w:rPr>
          <w:rStyle w:val="118"/>
          <w:rFonts w:hint="eastAsia" w:ascii="宋体" w:hAnsi="宋体" w:cs="宋体"/>
          <w:color w:val="auto"/>
          <w:sz w:val="24"/>
          <w:highlight w:val="none"/>
        </w:rPr>
        <w:t>4、因甲方原因而造成停窝工的，项目工期顺延。</w:t>
      </w:r>
    </w:p>
    <w:p>
      <w:pPr>
        <w:spacing w:line="360" w:lineRule="auto"/>
        <w:ind w:firstLine="480" w:firstLineChars="200"/>
        <w:rPr>
          <w:rFonts w:ascii="宋体" w:hAnsi="宋体" w:cs="宋体"/>
          <w:color w:val="auto"/>
          <w:sz w:val="24"/>
          <w:highlight w:val="none"/>
        </w:rPr>
      </w:pPr>
      <w:r>
        <w:rPr>
          <w:rStyle w:val="118"/>
          <w:rFonts w:hint="eastAsia" w:ascii="宋体" w:hAnsi="宋体" w:cs="宋体"/>
          <w:color w:val="auto"/>
          <w:sz w:val="24"/>
          <w:highlight w:val="none"/>
        </w:rPr>
        <w:t>5、对于乙方提供的图纸等资料以及属于乙方的测绘成果，甲方有义务保密，不得向第三方提供或用于本合同以外的项目，否则乙方有权对因此造成的损失追究甲方责任。</w:t>
      </w:r>
    </w:p>
    <w:p>
      <w:pPr>
        <w:pStyle w:val="34"/>
        <w:spacing w:before="0" w:beforeAutospacing="0" w:after="0" w:afterAutospacing="0" w:line="360" w:lineRule="auto"/>
        <w:ind w:right="-252" w:firstLine="482" w:firstLineChars="200"/>
        <w:rPr>
          <w:b/>
          <w:color w:val="auto"/>
          <w:highlight w:val="none"/>
        </w:rPr>
      </w:pPr>
      <w:r>
        <w:rPr>
          <w:rFonts w:hint="eastAsia"/>
          <w:b/>
          <w:color w:val="auto"/>
          <w:highlight w:val="none"/>
        </w:rPr>
        <w:t>第十一条 乙方违约责任</w:t>
      </w:r>
    </w:p>
    <w:p>
      <w:pPr>
        <w:spacing w:line="360" w:lineRule="auto"/>
        <w:ind w:firstLine="480" w:firstLineChars="200"/>
        <w:rPr>
          <w:rStyle w:val="118"/>
          <w:rFonts w:ascii="宋体" w:hAnsi="宋体" w:cs="宋体"/>
          <w:color w:val="auto"/>
          <w:sz w:val="24"/>
          <w:highlight w:val="none"/>
        </w:rPr>
      </w:pPr>
      <w:r>
        <w:rPr>
          <w:rStyle w:val="118"/>
          <w:rFonts w:hint="eastAsia" w:ascii="宋体" w:hAnsi="宋体" w:cs="宋体"/>
          <w:color w:val="auto"/>
          <w:sz w:val="24"/>
          <w:highlight w:val="none"/>
        </w:rPr>
        <w:t>1、合同签定后，如乙方擅自中途停止或解除合同。双方没有约定定金的，乙方应向甲方返回已付工程价款，并赔偿由此引起的损失。</w:t>
      </w:r>
    </w:p>
    <w:p>
      <w:pPr>
        <w:spacing w:line="360" w:lineRule="auto"/>
        <w:ind w:firstLine="480" w:firstLineChars="200"/>
        <w:rPr>
          <w:rStyle w:val="118"/>
          <w:rFonts w:ascii="宋体" w:hAnsi="宋体" w:cs="宋体"/>
          <w:color w:val="auto"/>
          <w:sz w:val="24"/>
          <w:highlight w:val="none"/>
        </w:rPr>
      </w:pPr>
      <w:r>
        <w:rPr>
          <w:rStyle w:val="118"/>
          <w:rFonts w:hint="eastAsia" w:ascii="宋体" w:hAnsi="宋体" w:cs="宋体"/>
          <w:color w:val="auto"/>
          <w:sz w:val="24"/>
          <w:highlight w:val="none"/>
        </w:rPr>
        <w:t>2、乙方未能按合同规定的日期提交测绘成果时，应向甲方偿付拖期损失费，每天的拖期损失费按本合同约定的工程总价款的千分之一计算。</w:t>
      </w:r>
    </w:p>
    <w:p>
      <w:pPr>
        <w:spacing w:line="360" w:lineRule="auto"/>
        <w:ind w:firstLine="480" w:firstLineChars="200"/>
        <w:rPr>
          <w:rStyle w:val="118"/>
          <w:rFonts w:ascii="宋体" w:hAnsi="宋体" w:cs="宋体"/>
          <w:color w:val="auto"/>
          <w:sz w:val="24"/>
          <w:highlight w:val="none"/>
        </w:rPr>
      </w:pPr>
      <w:r>
        <w:rPr>
          <w:rStyle w:val="118"/>
          <w:rFonts w:hint="eastAsia" w:ascii="宋体" w:hAnsi="宋体" w:cs="宋体"/>
          <w:color w:val="auto"/>
          <w:sz w:val="24"/>
          <w:highlight w:val="none"/>
        </w:rPr>
        <w:t>3、乙方提供的测绘成果质量不合格，乙方应采取补救措施以达到质量要求。因测绘成果质量不符合合同约定的要求</w:t>
      </w:r>
      <w:r>
        <w:rPr>
          <w:rFonts w:hint="eastAsia" w:ascii="宋体" w:hAnsi="宋体" w:cs="宋体"/>
          <w:color w:val="auto"/>
          <w:sz w:val="24"/>
          <w:highlight w:val="none"/>
        </w:rPr>
        <w:t>（而又非甲方提供的图纸资料原因所致）</w:t>
      </w:r>
      <w:r>
        <w:rPr>
          <w:rStyle w:val="118"/>
          <w:rFonts w:hint="eastAsia" w:ascii="宋体" w:hAnsi="宋体" w:cs="宋体"/>
          <w:color w:val="auto"/>
          <w:sz w:val="24"/>
          <w:highlight w:val="none"/>
        </w:rPr>
        <w:t>造成后果时，乙方应对因此造成的损失负赔偿责任，并承担相应的法律责任；</w:t>
      </w:r>
      <w:r>
        <w:rPr>
          <w:rFonts w:hint="eastAsia" w:ascii="宋体" w:hAnsi="宋体" w:cs="宋体"/>
          <w:color w:val="auto"/>
          <w:sz w:val="24"/>
          <w:highlight w:val="none"/>
        </w:rPr>
        <w:t>由于甲方提供的图纸资料原因产生的责任由甲方自己负责；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4、对于甲方提供的图纸和技术资料以及属于甲方的测绘成果，乙方有义务保密，不得向第三方转让，否则，甲方有权对因此造成的损失追究责任。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5、中标供应商不能提供服务的，应向采购人赔偿合同额5%的违约金；</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中标供应商未按期提交成果文件及资料，自拖延之日起，每日按合同额的5‰向采购人支付违约金，逾期超过约定日期10个工作日不能提交成果的，采购人可解除合同；因逾期或因其他违约行为导致采购人解除合同的，中标供应商应向采购人支付合同款项百分之五的违约金，如造成采购人损失超过违约金的，超出部分由中标供应商继续承担赔偿责任。</w:t>
      </w:r>
    </w:p>
    <w:p>
      <w:pPr>
        <w:pStyle w:val="34"/>
        <w:spacing w:before="0" w:beforeAutospacing="0" w:after="0" w:afterAutospacing="0" w:line="360" w:lineRule="auto"/>
        <w:ind w:right="-252" w:firstLine="482" w:firstLineChars="200"/>
        <w:rPr>
          <w:b/>
          <w:color w:val="auto"/>
          <w:highlight w:val="none"/>
        </w:rPr>
      </w:pPr>
      <w:r>
        <w:rPr>
          <w:rFonts w:hint="eastAsia"/>
          <w:b/>
          <w:color w:val="auto"/>
          <w:highlight w:val="none"/>
        </w:rPr>
        <w:t>第十二条 其他约定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1、在合同有效期内，任何一方因不可抗力事件导致不能履行合同，则合同履约执行期可延长，其延长期与不可抗力影响期相同。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2、不可抗力事件发生后，应立即通知对方，并寄送有关权威机构出具的证明。</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3、不可抗力事件延续120天以上，双方应通过友好协商，确定是否继续履行合同。</w:t>
      </w:r>
    </w:p>
    <w:p>
      <w:pPr>
        <w:pStyle w:val="34"/>
        <w:spacing w:before="0" w:beforeAutospacing="0" w:after="0" w:afterAutospacing="0" w:line="360" w:lineRule="auto"/>
        <w:ind w:right="-252" w:firstLine="482" w:firstLineChars="200"/>
        <w:rPr>
          <w:b/>
          <w:color w:val="auto"/>
          <w:highlight w:val="none"/>
        </w:rPr>
      </w:pPr>
      <w:r>
        <w:rPr>
          <w:rFonts w:hint="eastAsia"/>
          <w:b/>
          <w:color w:val="auto"/>
          <w:highlight w:val="none"/>
        </w:rPr>
        <w:t>第十三条 关于补充协议</w:t>
      </w:r>
    </w:p>
    <w:p>
      <w:pPr>
        <w:pStyle w:val="34"/>
        <w:spacing w:before="0" w:beforeAutospacing="0" w:after="0" w:afterAutospacing="0" w:line="360" w:lineRule="auto"/>
        <w:ind w:right="-252" w:firstLine="480" w:firstLineChars="200"/>
        <w:rPr>
          <w:color w:val="auto"/>
          <w:highlight w:val="none"/>
        </w:rPr>
      </w:pPr>
      <w:r>
        <w:rPr>
          <w:rFonts w:hint="eastAsia"/>
          <w:color w:val="auto"/>
          <w:highlight w:val="none"/>
        </w:rPr>
        <w:t>本合同执行过程中的未尽事宜，双方应本着实事求是、友好协商的态度加以解决。双方协商一致的，签订补充协议。补充协议与本合同具有同等效力。</w:t>
      </w:r>
    </w:p>
    <w:p>
      <w:pPr>
        <w:pStyle w:val="34"/>
        <w:spacing w:before="0" w:beforeAutospacing="0" w:after="0" w:afterAutospacing="0" w:line="360" w:lineRule="auto"/>
        <w:ind w:right="-252" w:firstLine="482" w:firstLineChars="200"/>
        <w:rPr>
          <w:b/>
          <w:color w:val="auto"/>
          <w:highlight w:val="none"/>
        </w:rPr>
      </w:pPr>
      <w:r>
        <w:rPr>
          <w:rFonts w:hint="eastAsia"/>
          <w:b/>
          <w:color w:val="auto"/>
          <w:highlight w:val="none"/>
        </w:rPr>
        <w:t>第十四条 解决争议的方法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如双方在履行合同时发生纠纷，应协商解决；协商不成时，可依法向甲方所在地人民法院提起诉讼。 </w:t>
      </w:r>
    </w:p>
    <w:p>
      <w:pPr>
        <w:pStyle w:val="34"/>
        <w:spacing w:before="0" w:beforeAutospacing="0" w:after="0" w:afterAutospacing="0" w:line="360" w:lineRule="auto"/>
        <w:ind w:right="-252" w:firstLine="482" w:firstLineChars="200"/>
        <w:rPr>
          <w:b/>
          <w:color w:val="auto"/>
          <w:highlight w:val="none"/>
        </w:rPr>
      </w:pPr>
      <w:r>
        <w:rPr>
          <w:rFonts w:hint="eastAsia"/>
          <w:b/>
          <w:color w:val="auto"/>
          <w:highlight w:val="none"/>
        </w:rPr>
        <w:t>第十五条 合同生效及其它</w:t>
      </w:r>
    </w:p>
    <w:p>
      <w:pPr>
        <w:pStyle w:val="15"/>
        <w:spacing w:line="360" w:lineRule="auto"/>
        <w:ind w:right="-88" w:firstLine="560" w:firstLineChars="200"/>
        <w:rPr>
          <w:rFonts w:ascii="宋体" w:hAnsi="宋体" w:cs="宋体"/>
          <w:color w:val="auto"/>
          <w:kern w:val="0"/>
          <w:highlight w:val="none"/>
        </w:rPr>
      </w:pPr>
      <w:r>
        <w:rPr>
          <w:rFonts w:hint="eastAsia" w:ascii="宋体" w:hAnsi="宋体" w:cs="宋体"/>
          <w:color w:val="auto"/>
          <w:kern w:val="0"/>
          <w:highlight w:val="none"/>
        </w:rPr>
        <w:t>1.合同经双方法定代表人或授权代表签字并加盖单位公章后生效。</w:t>
      </w:r>
    </w:p>
    <w:p>
      <w:pPr>
        <w:pStyle w:val="15"/>
        <w:spacing w:line="360" w:lineRule="auto"/>
        <w:ind w:right="-88" w:firstLine="560" w:firstLineChars="200"/>
        <w:rPr>
          <w:rFonts w:ascii="宋体" w:hAnsi="宋体" w:cs="宋体"/>
          <w:color w:val="auto"/>
          <w:kern w:val="0"/>
          <w:highlight w:val="none"/>
        </w:rPr>
      </w:pPr>
      <w:r>
        <w:rPr>
          <w:rFonts w:hint="eastAsia" w:ascii="宋体" w:hAnsi="宋体" w:cs="宋体"/>
          <w:color w:val="auto"/>
          <w:kern w:val="0"/>
          <w:highlight w:val="none"/>
        </w:rPr>
        <w:t>2.本合同未尽事宜，遵照《中华人民共和国民法典》有关条文执行。</w:t>
      </w:r>
    </w:p>
    <w:p>
      <w:pPr>
        <w:pStyle w:val="15"/>
        <w:spacing w:line="360" w:lineRule="auto"/>
        <w:ind w:right="-88" w:firstLine="560" w:firstLineChars="200"/>
        <w:rPr>
          <w:rFonts w:ascii="宋体" w:hAnsi="宋体" w:cs="宋体"/>
          <w:color w:val="auto"/>
          <w:kern w:val="0"/>
          <w:highlight w:val="none"/>
        </w:rPr>
      </w:pPr>
      <w:r>
        <w:rPr>
          <w:rFonts w:hint="eastAsia" w:ascii="宋体" w:hAnsi="宋体" w:cs="宋体"/>
          <w:color w:val="auto"/>
          <w:kern w:val="0"/>
          <w:highlight w:val="none"/>
        </w:rPr>
        <w:t>3.本合同一式陆份。甲、乙双方各执两份，采购组织机构及同级人民政府财政采购监管部门各执一份。</w:t>
      </w:r>
    </w:p>
    <w:p>
      <w:pPr>
        <w:pStyle w:val="15"/>
        <w:spacing w:line="360" w:lineRule="auto"/>
        <w:ind w:right="-88" w:firstLine="560" w:firstLineChars="200"/>
        <w:rPr>
          <w:rFonts w:ascii="宋体" w:hAnsi="宋体" w:cs="宋体"/>
          <w:color w:val="auto"/>
          <w:kern w:val="0"/>
          <w:highlight w:val="none"/>
        </w:rPr>
      </w:pPr>
      <w:r>
        <w:rPr>
          <w:rFonts w:hint="eastAsia" w:ascii="宋体" w:hAnsi="宋体" w:cs="宋体"/>
          <w:color w:val="auto"/>
          <w:kern w:val="0"/>
          <w:highlight w:val="none"/>
        </w:rPr>
        <w:t>4.本项目未尽事宜以招标文件、投标文件及澄清文件等为准，本合同中如有未尽事宜，由双方协商另行解决。</w:t>
      </w:r>
    </w:p>
    <w:p>
      <w:pPr>
        <w:pStyle w:val="15"/>
        <w:rPr>
          <w:color w:val="auto"/>
          <w:highlight w:val="none"/>
        </w:rPr>
      </w:pPr>
    </w:p>
    <w:p>
      <w:pPr>
        <w:pStyle w:val="15"/>
        <w:spacing w:line="360" w:lineRule="auto"/>
        <w:ind w:firstLine="560" w:firstLineChars="200"/>
        <w:rPr>
          <w:rFonts w:ascii="宋体" w:hAnsi="宋体" w:cs="宋体"/>
          <w:color w:val="auto"/>
          <w:highlight w:val="none"/>
        </w:rPr>
      </w:pPr>
    </w:p>
    <w:p>
      <w:pPr>
        <w:spacing w:line="360" w:lineRule="auto"/>
        <w:jc w:val="left"/>
        <w:rPr>
          <w:rFonts w:ascii="宋体" w:hAnsi="宋体" w:cs="宋体"/>
          <w:color w:val="auto"/>
          <w:sz w:val="24"/>
          <w:szCs w:val="32"/>
          <w:highlight w:val="none"/>
        </w:rPr>
      </w:pPr>
      <w:r>
        <w:rPr>
          <w:rFonts w:hint="eastAsia" w:ascii="宋体" w:hAnsi="宋体" w:cs="宋体"/>
          <w:color w:val="auto"/>
          <w:sz w:val="24"/>
          <w:szCs w:val="32"/>
          <w:highlight w:val="none"/>
        </w:rPr>
        <w:t>甲     方（公章）：　　                乙     方（公章）：</w:t>
      </w:r>
    </w:p>
    <w:p>
      <w:pPr>
        <w:spacing w:line="360" w:lineRule="auto"/>
        <w:jc w:val="left"/>
        <w:rPr>
          <w:rFonts w:ascii="宋体" w:hAnsi="宋体" w:cs="宋体"/>
          <w:color w:val="auto"/>
          <w:sz w:val="24"/>
          <w:szCs w:val="32"/>
          <w:highlight w:val="none"/>
        </w:rPr>
      </w:pPr>
      <w:r>
        <w:rPr>
          <w:rFonts w:hint="eastAsia" w:ascii="宋体" w:hAnsi="宋体" w:cs="宋体"/>
          <w:color w:val="auto"/>
          <w:sz w:val="24"/>
          <w:szCs w:val="32"/>
          <w:highlight w:val="none"/>
        </w:rPr>
        <w:t>法定代表人（签章）：　                 法定代表人（签章）：</w:t>
      </w:r>
    </w:p>
    <w:p>
      <w:pPr>
        <w:spacing w:line="360" w:lineRule="auto"/>
        <w:jc w:val="left"/>
        <w:rPr>
          <w:rFonts w:ascii="宋体" w:hAnsi="宋体" w:cs="宋体"/>
          <w:color w:val="auto"/>
          <w:sz w:val="24"/>
          <w:szCs w:val="32"/>
          <w:highlight w:val="none"/>
        </w:rPr>
      </w:pPr>
      <w:r>
        <w:rPr>
          <w:rFonts w:hint="eastAsia" w:ascii="宋体" w:hAnsi="宋体" w:cs="宋体"/>
          <w:color w:val="auto"/>
          <w:sz w:val="24"/>
          <w:szCs w:val="32"/>
          <w:highlight w:val="none"/>
        </w:rPr>
        <w:t>委托代理人（签章）：　　               委托代理人（签章）：</w:t>
      </w:r>
    </w:p>
    <w:p>
      <w:pPr>
        <w:spacing w:line="360" w:lineRule="auto"/>
        <w:jc w:val="left"/>
        <w:rPr>
          <w:rFonts w:ascii="宋体" w:hAnsi="宋体" w:cs="宋体"/>
          <w:color w:val="auto"/>
          <w:sz w:val="24"/>
          <w:szCs w:val="32"/>
          <w:highlight w:val="none"/>
        </w:rPr>
      </w:pPr>
      <w:r>
        <w:rPr>
          <w:rFonts w:hint="eastAsia" w:ascii="宋体" w:hAnsi="宋体" w:cs="宋体"/>
          <w:color w:val="auto"/>
          <w:sz w:val="24"/>
          <w:szCs w:val="32"/>
          <w:highlight w:val="none"/>
        </w:rPr>
        <w:t>经办人（签章）：                       经办人（签章）：</w:t>
      </w:r>
    </w:p>
    <w:p>
      <w:pPr>
        <w:spacing w:line="360" w:lineRule="auto"/>
        <w:jc w:val="left"/>
        <w:rPr>
          <w:rFonts w:ascii="宋体" w:hAnsi="宋体" w:cs="宋体"/>
          <w:color w:val="auto"/>
          <w:sz w:val="24"/>
          <w:szCs w:val="32"/>
          <w:highlight w:val="none"/>
        </w:rPr>
      </w:pPr>
      <w:r>
        <w:rPr>
          <w:rFonts w:hint="eastAsia" w:ascii="宋体" w:hAnsi="宋体" w:cs="宋体"/>
          <w:color w:val="auto"/>
          <w:sz w:val="24"/>
          <w:szCs w:val="32"/>
          <w:highlight w:val="none"/>
        </w:rPr>
        <w:t>电     话：                            电     话：</w:t>
      </w:r>
    </w:p>
    <w:p>
      <w:pPr>
        <w:spacing w:line="360" w:lineRule="auto"/>
        <w:jc w:val="left"/>
        <w:rPr>
          <w:rFonts w:ascii="宋体" w:hAnsi="宋体" w:cs="宋体"/>
          <w:color w:val="auto"/>
          <w:sz w:val="24"/>
          <w:szCs w:val="32"/>
          <w:highlight w:val="none"/>
        </w:rPr>
      </w:pPr>
      <w:r>
        <w:rPr>
          <w:rFonts w:hint="eastAsia" w:ascii="宋体" w:hAnsi="宋体" w:cs="宋体"/>
          <w:color w:val="auto"/>
          <w:sz w:val="24"/>
          <w:szCs w:val="32"/>
          <w:highlight w:val="none"/>
        </w:rPr>
        <w:t>传     真：                            传     真：</w:t>
      </w:r>
    </w:p>
    <w:p>
      <w:pPr>
        <w:spacing w:line="360" w:lineRule="auto"/>
        <w:jc w:val="left"/>
        <w:rPr>
          <w:rFonts w:ascii="宋体" w:hAnsi="宋体" w:cs="宋体"/>
          <w:color w:val="auto"/>
          <w:sz w:val="24"/>
          <w:szCs w:val="32"/>
          <w:highlight w:val="none"/>
        </w:rPr>
      </w:pPr>
      <w:r>
        <w:rPr>
          <w:rFonts w:hint="eastAsia" w:ascii="宋体" w:hAnsi="宋体" w:cs="宋体"/>
          <w:color w:val="auto"/>
          <w:sz w:val="24"/>
          <w:szCs w:val="32"/>
          <w:highlight w:val="none"/>
        </w:rPr>
        <w:t xml:space="preserve">开户 银行：                            开户 银行（必填）： </w:t>
      </w:r>
    </w:p>
    <w:p>
      <w:pPr>
        <w:spacing w:line="360" w:lineRule="auto"/>
        <w:jc w:val="left"/>
        <w:rPr>
          <w:rFonts w:ascii="宋体" w:hAnsi="宋体" w:cs="宋体"/>
          <w:color w:val="auto"/>
          <w:sz w:val="24"/>
          <w:szCs w:val="32"/>
          <w:highlight w:val="none"/>
        </w:rPr>
      </w:pPr>
      <w:r>
        <w:rPr>
          <w:rFonts w:hint="eastAsia" w:ascii="宋体" w:hAnsi="宋体" w:cs="宋体"/>
          <w:color w:val="auto"/>
          <w:sz w:val="24"/>
          <w:szCs w:val="32"/>
          <w:highlight w:val="none"/>
        </w:rPr>
        <w:t>账     号：                            账     号（必填）：</w:t>
      </w:r>
    </w:p>
    <w:p>
      <w:pPr>
        <w:spacing w:line="360" w:lineRule="auto"/>
        <w:rPr>
          <w:color w:val="auto"/>
          <w:highlight w:val="none"/>
        </w:rPr>
      </w:pPr>
      <w:r>
        <w:rPr>
          <w:rFonts w:hint="eastAsia" w:ascii="宋体" w:hAnsi="宋体" w:cs="宋体"/>
          <w:color w:val="auto"/>
          <w:sz w:val="24"/>
          <w:szCs w:val="32"/>
          <w:highlight w:val="none"/>
        </w:rPr>
        <w:t>日     期：                            日     期：</w:t>
      </w:r>
    </w:p>
    <w:p>
      <w:pPr>
        <w:autoSpaceDE w:val="0"/>
        <w:autoSpaceDN w:val="0"/>
        <w:spacing w:line="360" w:lineRule="auto"/>
        <w:jc w:val="center"/>
        <w:rPr>
          <w:rFonts w:ascii="宋体" w:hAnsi="宋体" w:cs="宋体"/>
          <w:b/>
          <w:color w:val="auto"/>
          <w:sz w:val="32"/>
          <w:szCs w:val="32"/>
          <w:highlight w:val="none"/>
        </w:rPr>
      </w:pPr>
      <w:bookmarkStart w:id="126" w:name="_Hlk93323214"/>
    </w:p>
    <w:p>
      <w:pPr>
        <w:autoSpaceDE w:val="0"/>
        <w:autoSpaceDN w:val="0"/>
        <w:spacing w:line="360" w:lineRule="auto"/>
        <w:jc w:val="center"/>
        <w:rPr>
          <w:rFonts w:ascii="宋体" w:hAnsi="宋体" w:cs="宋体"/>
          <w:color w:val="auto"/>
          <w:sz w:val="24"/>
          <w:highlight w:val="none"/>
        </w:rPr>
      </w:pPr>
      <w:r>
        <w:rPr>
          <w:rFonts w:hint="eastAsia" w:ascii="宋体" w:hAnsi="宋体" w:cs="宋体"/>
          <w:b/>
          <w:color w:val="auto"/>
          <w:sz w:val="32"/>
          <w:szCs w:val="32"/>
          <w:highlight w:val="none"/>
        </w:rPr>
        <w:t>第六章　投标文件格式</w:t>
      </w:r>
    </w:p>
    <w:p>
      <w:pPr>
        <w:spacing w:line="360" w:lineRule="auto"/>
        <w:rPr>
          <w:rFonts w:hint="eastAsia" w:ascii="宋体" w:hAnsi="宋体" w:eastAsia="宋体" w:cs="宋体"/>
          <w:b/>
          <w:color w:val="auto"/>
          <w:sz w:val="30"/>
          <w:szCs w:val="30"/>
          <w:highlight w:val="none"/>
          <w:lang w:eastAsia="zh-CN"/>
        </w:rPr>
      </w:pPr>
      <w:r>
        <w:rPr>
          <w:rFonts w:hint="eastAsia" w:ascii="宋体" w:hAnsi="宋体" w:cs="宋体"/>
          <w:color w:val="auto"/>
          <w:sz w:val="24"/>
          <w:highlight w:val="none"/>
          <w:lang w:val="en-US" w:eastAsia="zh-CN"/>
        </w:rPr>
        <w:t xml:space="preserve"> </w:t>
      </w:r>
    </w:p>
    <w:p>
      <w:pPr>
        <w:spacing w:line="360" w:lineRule="auto"/>
        <w:jc w:val="center"/>
        <w:rPr>
          <w:rFonts w:ascii="宋体" w:hAnsi="宋体" w:cs="宋体"/>
          <w:color w:val="auto"/>
          <w:spacing w:val="40"/>
          <w:sz w:val="36"/>
          <w:szCs w:val="36"/>
          <w:highlight w:val="none"/>
        </w:rPr>
      </w:pPr>
      <w:r>
        <w:rPr>
          <w:rFonts w:hint="eastAsia" w:ascii="宋体" w:hAnsi="宋体" w:cs="宋体"/>
          <w:color w:val="auto"/>
          <w:spacing w:val="40"/>
          <w:sz w:val="36"/>
          <w:szCs w:val="36"/>
          <w:highlight w:val="none"/>
        </w:rPr>
        <w:t>城市地下市政基础设施普查</w:t>
      </w:r>
    </w:p>
    <w:p>
      <w:pPr>
        <w:spacing w:line="360" w:lineRule="auto"/>
        <w:rPr>
          <w:rFonts w:ascii="宋体" w:hAnsi="宋体" w:cs="宋体"/>
          <w:color w:val="auto"/>
          <w:sz w:val="36"/>
          <w:szCs w:val="36"/>
          <w:highlight w:val="none"/>
        </w:rPr>
      </w:pPr>
    </w:p>
    <w:p>
      <w:pPr>
        <w:spacing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项目编号： 台财采确临【2022】683号</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投</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标</w:t>
      </w:r>
    </w:p>
    <w:p>
      <w:pPr>
        <w:autoSpaceDE w:val="0"/>
        <w:autoSpaceDN w:val="0"/>
        <w:adjustRightInd w:val="0"/>
        <w:spacing w:line="360" w:lineRule="auto"/>
        <w:jc w:val="center"/>
        <w:rPr>
          <w:rFonts w:ascii="宋体" w:hAnsi="宋体" w:cs="宋体"/>
          <w:color w:val="auto"/>
          <w:sz w:val="84"/>
          <w:szCs w:val="84"/>
          <w:highlight w:val="none"/>
        </w:rPr>
      </w:pPr>
      <w:r>
        <w:rPr>
          <w:rFonts w:hint="eastAsia" w:ascii="宋体" w:hAnsi="宋体" w:cs="宋体"/>
          <w:color w:val="auto"/>
          <w:sz w:val="84"/>
          <w:szCs w:val="84"/>
          <w:highlight w:val="none"/>
          <w:lang w:val="zh-CN"/>
        </w:rPr>
        <w:t>文</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件</w:t>
      </w:r>
    </w:p>
    <w:p>
      <w:pPr>
        <w:autoSpaceDE w:val="0"/>
        <w:autoSpaceDN w:val="0"/>
        <w:adjustRightInd w:val="0"/>
        <w:spacing w:line="360" w:lineRule="auto"/>
        <w:jc w:val="center"/>
        <w:rPr>
          <w:rFonts w:ascii="宋体" w:hAnsi="宋体" w:cs="宋体"/>
          <w:b/>
          <w:bCs/>
          <w:color w:val="auto"/>
          <w:spacing w:val="40"/>
          <w:szCs w:val="28"/>
          <w:highlight w:val="none"/>
        </w:rPr>
      </w:pPr>
      <w:r>
        <w:rPr>
          <w:rFonts w:hint="eastAsia" w:ascii="宋体" w:hAnsi="宋体" w:cs="宋体"/>
          <w:b/>
          <w:bCs/>
          <w:color w:val="auto"/>
          <w:szCs w:val="28"/>
          <w:highlight w:val="none"/>
          <w:lang w:val="zh-CN"/>
        </w:rPr>
        <w:t>（资格证明文件</w:t>
      </w:r>
      <w:r>
        <w:rPr>
          <w:rFonts w:hint="eastAsia" w:ascii="宋体" w:hAnsi="宋体" w:cs="宋体"/>
          <w:b/>
          <w:bCs/>
          <w:color w:val="auto"/>
          <w:spacing w:val="40"/>
          <w:szCs w:val="28"/>
          <w:highlight w:val="none"/>
        </w:rPr>
        <w:t>）</w:t>
      </w:r>
    </w:p>
    <w:p>
      <w:pPr>
        <w:autoSpaceDE w:val="0"/>
        <w:autoSpaceDN w:val="0"/>
        <w:adjustRightInd w:val="0"/>
        <w:spacing w:line="360" w:lineRule="auto"/>
        <w:rPr>
          <w:rFonts w:ascii="宋体" w:hAnsi="宋体" w:cs="宋体"/>
          <w:color w:val="auto"/>
          <w:sz w:val="36"/>
          <w:szCs w:val="36"/>
          <w:highlight w:val="none"/>
        </w:rPr>
      </w:pPr>
    </w:p>
    <w:p>
      <w:pPr>
        <w:autoSpaceDE w:val="0"/>
        <w:autoSpaceDN w:val="0"/>
        <w:adjustRightInd w:val="0"/>
        <w:spacing w:line="360" w:lineRule="auto"/>
        <w:rPr>
          <w:rFonts w:ascii="宋体" w:hAnsi="宋体" w:cs="宋体"/>
          <w:color w:val="auto"/>
          <w:sz w:val="36"/>
          <w:szCs w:val="36"/>
          <w:highlight w:val="none"/>
        </w:rPr>
      </w:pPr>
      <w:r>
        <w:rPr>
          <w:rFonts w:hint="eastAsia" w:ascii="宋体" w:hAnsi="宋体" w:cs="宋体"/>
          <w:color w:val="auto"/>
          <w:sz w:val="36"/>
          <w:szCs w:val="36"/>
          <w:highlight w:val="none"/>
        </w:rPr>
        <w:t>投标人全称（公章或CA签章）：</w:t>
      </w:r>
    </w:p>
    <w:p>
      <w:pPr>
        <w:autoSpaceDE w:val="0"/>
        <w:autoSpaceDN w:val="0"/>
        <w:adjustRightInd w:val="0"/>
        <w:spacing w:line="360" w:lineRule="auto"/>
        <w:rPr>
          <w:rFonts w:ascii="宋体" w:hAnsi="宋体" w:cs="宋体"/>
          <w:color w:val="auto"/>
          <w:sz w:val="36"/>
          <w:szCs w:val="36"/>
          <w:highlight w:val="none"/>
        </w:rPr>
      </w:pPr>
      <w:r>
        <w:rPr>
          <w:rFonts w:hint="eastAsia" w:ascii="宋体" w:hAnsi="宋体" w:cs="宋体"/>
          <w:color w:val="auto"/>
          <w:sz w:val="36"/>
          <w:szCs w:val="36"/>
          <w:highlight w:val="none"/>
        </w:rPr>
        <w:t>法定代表人（签字或盖章）：</w:t>
      </w:r>
    </w:p>
    <w:p>
      <w:pPr>
        <w:autoSpaceDE w:val="0"/>
        <w:autoSpaceDN w:val="0"/>
        <w:adjustRightInd w:val="0"/>
        <w:spacing w:line="360" w:lineRule="auto"/>
        <w:rPr>
          <w:rFonts w:ascii="宋体" w:hAnsi="宋体" w:cs="宋体"/>
          <w:color w:val="auto"/>
          <w:sz w:val="36"/>
          <w:szCs w:val="36"/>
          <w:highlight w:val="none"/>
        </w:rPr>
      </w:pPr>
      <w:r>
        <w:rPr>
          <w:rFonts w:hint="eastAsia" w:ascii="宋体" w:hAnsi="宋体" w:cs="宋体"/>
          <w:color w:val="auto"/>
          <w:sz w:val="36"/>
          <w:szCs w:val="36"/>
          <w:highlight w:val="none"/>
        </w:rPr>
        <w:t>时间：</w:t>
      </w:r>
    </w:p>
    <w:p>
      <w:pPr>
        <w:snapToGrid w:val="0"/>
        <w:spacing w:before="50" w:after="156" w:afterLines="50" w:line="360" w:lineRule="auto"/>
        <w:jc w:val="left"/>
        <w:rPr>
          <w:rFonts w:ascii="宋体" w:hAnsi="宋体" w:cs="宋体"/>
          <w:color w:val="auto"/>
          <w:sz w:val="24"/>
          <w:highlight w:val="none"/>
        </w:rPr>
      </w:pPr>
    </w:p>
    <w:bookmarkEnd w:id="126"/>
    <w:p>
      <w:pPr>
        <w:snapToGrid w:val="0"/>
        <w:spacing w:before="50" w:after="156" w:afterLines="50" w:line="360" w:lineRule="auto"/>
        <w:jc w:val="left"/>
        <w:rPr>
          <w:rFonts w:ascii="宋体" w:hAnsi="宋体" w:cs="宋体"/>
          <w:color w:val="auto"/>
          <w:sz w:val="24"/>
          <w:highlight w:val="none"/>
        </w:rPr>
      </w:pPr>
    </w:p>
    <w:p>
      <w:pPr>
        <w:snapToGrid w:val="0"/>
        <w:spacing w:before="50" w:after="156" w:afterLines="50" w:line="360" w:lineRule="auto"/>
        <w:jc w:val="left"/>
        <w:rPr>
          <w:rFonts w:ascii="宋体" w:hAnsi="宋体" w:cs="宋体"/>
          <w:color w:val="auto"/>
          <w:sz w:val="24"/>
          <w:highlight w:val="none"/>
        </w:rPr>
      </w:pPr>
    </w:p>
    <w:p>
      <w:pPr>
        <w:pStyle w:val="102"/>
        <w:spacing w:line="360" w:lineRule="auto"/>
        <w:rPr>
          <w:color w:val="auto"/>
          <w:highlight w:val="none"/>
        </w:rPr>
      </w:pPr>
    </w:p>
    <w:p>
      <w:pPr>
        <w:spacing w:line="360" w:lineRule="auto"/>
        <w:jc w:val="center"/>
        <w:rPr>
          <w:rFonts w:hint="eastAsia"/>
          <w:b/>
          <w:bCs/>
          <w:color w:val="auto"/>
          <w:sz w:val="36"/>
          <w:szCs w:val="36"/>
          <w:highlight w:val="none"/>
        </w:rPr>
      </w:pPr>
    </w:p>
    <w:p>
      <w:pPr>
        <w:spacing w:line="360" w:lineRule="auto"/>
        <w:jc w:val="center"/>
        <w:rPr>
          <w:rFonts w:hint="eastAsia"/>
          <w:b/>
          <w:bCs/>
          <w:color w:val="auto"/>
          <w:sz w:val="36"/>
          <w:szCs w:val="36"/>
          <w:highlight w:val="none"/>
        </w:rPr>
      </w:pPr>
    </w:p>
    <w:p>
      <w:pPr>
        <w:spacing w:line="360" w:lineRule="auto"/>
        <w:jc w:val="center"/>
        <w:rPr>
          <w:rFonts w:hint="eastAsia"/>
          <w:b/>
          <w:bCs/>
          <w:color w:val="auto"/>
          <w:sz w:val="36"/>
          <w:szCs w:val="36"/>
          <w:highlight w:val="none"/>
        </w:rPr>
      </w:pPr>
    </w:p>
    <w:p>
      <w:pPr>
        <w:spacing w:line="360" w:lineRule="auto"/>
        <w:jc w:val="center"/>
        <w:rPr>
          <w:rFonts w:hint="eastAsia"/>
          <w:b/>
          <w:bCs/>
          <w:color w:val="auto"/>
          <w:sz w:val="36"/>
          <w:szCs w:val="36"/>
          <w:highlight w:val="none"/>
        </w:rPr>
      </w:pPr>
    </w:p>
    <w:p>
      <w:pPr>
        <w:spacing w:line="360" w:lineRule="auto"/>
        <w:jc w:val="center"/>
        <w:rPr>
          <w:b/>
          <w:bCs/>
          <w:color w:val="auto"/>
          <w:sz w:val="36"/>
          <w:szCs w:val="36"/>
          <w:highlight w:val="none"/>
        </w:rPr>
      </w:pPr>
      <w:r>
        <w:rPr>
          <w:rFonts w:hint="eastAsia"/>
          <w:b/>
          <w:bCs/>
          <w:color w:val="auto"/>
          <w:sz w:val="36"/>
          <w:szCs w:val="36"/>
          <w:highlight w:val="none"/>
        </w:rPr>
        <w:t>资格证明文件目录</w:t>
      </w:r>
    </w:p>
    <w:p>
      <w:pPr>
        <w:spacing w:line="360" w:lineRule="auto"/>
        <w:ind w:firstLine="560" w:firstLineChars="200"/>
        <w:rPr>
          <w:color w:val="auto"/>
          <w:sz w:val="28"/>
          <w:szCs w:val="36"/>
          <w:highlight w:val="none"/>
        </w:rPr>
      </w:pPr>
    </w:p>
    <w:p>
      <w:pPr>
        <w:snapToGrid w:val="0"/>
        <w:spacing w:line="360" w:lineRule="auto"/>
        <w:ind w:firstLine="480" w:firstLineChars="200"/>
        <w:rPr>
          <w:rFonts w:ascii="宋体" w:hAnsi="宋体" w:cs="宋体"/>
          <w:color w:val="auto"/>
          <w:sz w:val="24"/>
          <w:highlight w:val="none"/>
        </w:rPr>
      </w:pPr>
      <w:r>
        <w:rPr>
          <w:rFonts w:hint="eastAsia" w:ascii="宋体" w:hAnsi="宋体"/>
          <w:bCs/>
          <w:color w:val="auto"/>
          <w:sz w:val="24"/>
          <w:highlight w:val="none"/>
        </w:rPr>
        <w:t>（1）</w:t>
      </w:r>
      <w:r>
        <w:rPr>
          <w:rFonts w:hint="eastAsia" w:ascii="宋体" w:hAnsi="宋体" w:cs="宋体"/>
          <w:color w:val="auto"/>
          <w:sz w:val="24"/>
          <w:highlight w:val="none"/>
        </w:rPr>
        <w:t>投标声明书（附件1）；</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（2）授权委托书（法定代表人亲自办理投标事宜的，则无需提交；附件2）；</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（3）法人或者其他组织的营业执照等证明文件，自然人的身份证明；</w:t>
      </w:r>
    </w:p>
    <w:p>
      <w:pPr>
        <w:snapToGrid w:val="0"/>
        <w:spacing w:line="360" w:lineRule="auto"/>
        <w:ind w:firstLine="480" w:firstLineChars="200"/>
        <w:rPr>
          <w:rFonts w:ascii="宋体" w:hAnsi="宋体" w:cs="宋体"/>
          <w:sz w:val="24"/>
        </w:rPr>
      </w:pPr>
      <w:r>
        <w:rPr>
          <w:rFonts w:hint="eastAsia" w:ascii="宋体" w:hAnsi="宋体" w:cs="宋体"/>
          <w:sz w:val="24"/>
        </w:rPr>
        <w:t>（4）具有依法缴纳税收和社会保障资金证明的承诺函（附件3）；</w:t>
      </w:r>
    </w:p>
    <w:p>
      <w:pPr>
        <w:snapToGrid w:val="0"/>
        <w:spacing w:line="360" w:lineRule="auto"/>
        <w:ind w:firstLine="480" w:firstLineChars="200"/>
        <w:rPr>
          <w:rFonts w:ascii="宋体" w:hAnsi="宋体" w:cs="宋体"/>
          <w:sz w:val="24"/>
          <w:highlight w:val="none"/>
        </w:rPr>
      </w:pPr>
      <w:r>
        <w:rPr>
          <w:rFonts w:hint="eastAsia" w:ascii="宋体" w:hAnsi="宋体" w:cs="宋体"/>
          <w:sz w:val="24"/>
        </w:rPr>
        <w:t>（5）具有良好的</w:t>
      </w:r>
      <w:r>
        <w:rPr>
          <w:rFonts w:hint="eastAsia" w:ascii="宋体" w:hAnsi="宋体" w:cs="宋体"/>
          <w:sz w:val="24"/>
          <w:highlight w:val="none"/>
        </w:rPr>
        <w:t>商业信誉和健全的财务会计制度的承诺函（附件4）；</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（6）具有履行合同所必须的设备和专业技术能力的承诺函（附件5）；</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（7）提供采购公告中符合供应商特定条件的有效资质证书复印件（投标供应商特定条件中有要求的必须提供）；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8</w:t>
      </w:r>
      <w:r>
        <w:rPr>
          <w:rFonts w:hint="eastAsia" w:ascii="宋体" w:hAnsi="宋体" w:cs="宋体"/>
          <w:color w:val="auto"/>
          <w:sz w:val="24"/>
          <w:highlight w:val="none"/>
          <w:lang w:eastAsia="zh-CN"/>
        </w:rPr>
        <w:t>）</w:t>
      </w:r>
      <w:r>
        <w:rPr>
          <w:rFonts w:hint="eastAsia" w:ascii="宋体" w:hAnsi="宋体" w:cs="宋体"/>
          <w:color w:val="auto"/>
          <w:sz w:val="24"/>
          <w:highlight w:val="none"/>
        </w:rPr>
        <w:t>需要说明的其他资料（如有）。</w:t>
      </w:r>
    </w:p>
    <w:p>
      <w:pPr>
        <w:snapToGrid w:val="0"/>
        <w:spacing w:before="50" w:after="156" w:afterLines="50" w:line="360" w:lineRule="auto"/>
        <w:jc w:val="left"/>
        <w:rPr>
          <w:rFonts w:hint="eastAsia" w:ascii="宋体" w:hAnsi="宋体" w:cs="宋体"/>
          <w:color w:val="auto"/>
          <w:sz w:val="24"/>
          <w:highlight w:val="none"/>
        </w:rPr>
      </w:pPr>
    </w:p>
    <w:p>
      <w:pPr>
        <w:snapToGrid w:val="0"/>
        <w:spacing w:before="50" w:after="156" w:afterLines="50" w:line="360" w:lineRule="auto"/>
        <w:jc w:val="left"/>
        <w:rPr>
          <w:rFonts w:hint="eastAsia" w:ascii="宋体" w:hAnsi="宋体" w:cs="宋体"/>
          <w:color w:val="auto"/>
          <w:sz w:val="24"/>
          <w:highlight w:val="none"/>
        </w:rPr>
      </w:pPr>
    </w:p>
    <w:p>
      <w:pPr>
        <w:snapToGrid w:val="0"/>
        <w:spacing w:before="50" w:after="156" w:afterLines="50" w:line="360" w:lineRule="auto"/>
        <w:jc w:val="left"/>
        <w:rPr>
          <w:rFonts w:hint="eastAsia" w:ascii="宋体" w:hAnsi="宋体" w:cs="宋体"/>
          <w:color w:val="auto"/>
          <w:sz w:val="24"/>
          <w:highlight w:val="none"/>
        </w:rPr>
      </w:pPr>
    </w:p>
    <w:p>
      <w:pPr>
        <w:snapToGrid w:val="0"/>
        <w:spacing w:before="50" w:after="156" w:afterLines="50" w:line="360" w:lineRule="auto"/>
        <w:jc w:val="left"/>
        <w:rPr>
          <w:rFonts w:hint="eastAsia" w:ascii="宋体" w:hAnsi="宋体" w:cs="宋体"/>
          <w:color w:val="auto"/>
          <w:sz w:val="24"/>
          <w:highlight w:val="none"/>
        </w:rPr>
      </w:pPr>
    </w:p>
    <w:p>
      <w:pPr>
        <w:snapToGrid w:val="0"/>
        <w:spacing w:before="50" w:after="156" w:afterLines="50" w:line="360" w:lineRule="auto"/>
        <w:jc w:val="left"/>
        <w:rPr>
          <w:rFonts w:hint="eastAsia" w:ascii="宋体" w:hAnsi="宋体" w:cs="宋体"/>
          <w:color w:val="auto"/>
          <w:sz w:val="24"/>
          <w:highlight w:val="none"/>
        </w:rPr>
      </w:pPr>
    </w:p>
    <w:p>
      <w:pPr>
        <w:snapToGrid w:val="0"/>
        <w:spacing w:before="50" w:after="156" w:afterLines="50" w:line="360" w:lineRule="auto"/>
        <w:jc w:val="left"/>
        <w:rPr>
          <w:rFonts w:hint="eastAsia" w:ascii="宋体" w:hAnsi="宋体" w:cs="宋体"/>
          <w:color w:val="auto"/>
          <w:sz w:val="24"/>
          <w:highlight w:val="none"/>
        </w:rPr>
      </w:pPr>
    </w:p>
    <w:p>
      <w:pPr>
        <w:snapToGrid w:val="0"/>
        <w:spacing w:before="50" w:after="156" w:afterLines="50" w:line="360" w:lineRule="auto"/>
        <w:jc w:val="left"/>
        <w:rPr>
          <w:rFonts w:hint="eastAsia" w:ascii="宋体" w:hAnsi="宋体" w:cs="宋体"/>
          <w:color w:val="auto"/>
          <w:sz w:val="24"/>
          <w:highlight w:val="none"/>
        </w:rPr>
      </w:pPr>
    </w:p>
    <w:p>
      <w:pPr>
        <w:snapToGrid w:val="0"/>
        <w:spacing w:before="50" w:after="156" w:afterLines="50" w:line="360" w:lineRule="auto"/>
        <w:jc w:val="left"/>
        <w:rPr>
          <w:rFonts w:hint="eastAsia" w:ascii="宋体" w:hAnsi="宋体" w:cs="宋体"/>
          <w:color w:val="auto"/>
          <w:sz w:val="24"/>
          <w:highlight w:val="none"/>
        </w:rPr>
      </w:pPr>
    </w:p>
    <w:p>
      <w:pPr>
        <w:snapToGrid w:val="0"/>
        <w:spacing w:before="50" w:after="156" w:afterLines="50" w:line="360" w:lineRule="auto"/>
        <w:jc w:val="left"/>
        <w:rPr>
          <w:rFonts w:hint="eastAsia" w:ascii="宋体" w:hAnsi="宋体" w:cs="宋体"/>
          <w:color w:val="auto"/>
          <w:sz w:val="24"/>
          <w:highlight w:val="none"/>
        </w:rPr>
      </w:pPr>
    </w:p>
    <w:p>
      <w:pPr>
        <w:snapToGrid w:val="0"/>
        <w:spacing w:before="50" w:after="156" w:afterLines="50" w:line="360" w:lineRule="auto"/>
        <w:jc w:val="left"/>
        <w:rPr>
          <w:rFonts w:hint="eastAsia" w:ascii="宋体" w:hAnsi="宋体" w:cs="宋体"/>
          <w:color w:val="auto"/>
          <w:sz w:val="24"/>
          <w:highlight w:val="none"/>
        </w:rPr>
      </w:pPr>
    </w:p>
    <w:p>
      <w:pPr>
        <w:snapToGrid w:val="0"/>
        <w:spacing w:before="50" w:after="156" w:afterLines="50" w:line="360" w:lineRule="auto"/>
        <w:jc w:val="left"/>
        <w:rPr>
          <w:rFonts w:hint="eastAsia" w:ascii="宋体" w:hAnsi="宋体" w:cs="宋体"/>
          <w:color w:val="auto"/>
          <w:sz w:val="24"/>
          <w:highlight w:val="none"/>
        </w:rPr>
      </w:pPr>
    </w:p>
    <w:p>
      <w:pPr>
        <w:spacing w:line="312" w:lineRule="auto"/>
        <w:rPr>
          <w:rFonts w:ascii="宋体" w:hAnsi="宋体"/>
          <w:b/>
          <w:color w:val="auto"/>
          <w:sz w:val="28"/>
          <w:highlight w:val="none"/>
        </w:rPr>
      </w:pPr>
      <w:r>
        <w:rPr>
          <w:rFonts w:hint="eastAsia" w:ascii="宋体" w:hAnsi="宋体"/>
          <w:b/>
          <w:color w:val="auto"/>
          <w:sz w:val="28"/>
          <w:highlight w:val="none"/>
        </w:rPr>
        <w:t>附件1</w:t>
      </w:r>
    </w:p>
    <w:p>
      <w:pPr>
        <w:adjustRightInd w:val="0"/>
        <w:snapToGrid w:val="0"/>
        <w:spacing w:line="312" w:lineRule="auto"/>
        <w:ind w:right="480"/>
        <w:jc w:val="center"/>
        <w:rPr>
          <w:rFonts w:ascii="宋体" w:hAnsi="宋体"/>
          <w:b/>
          <w:color w:val="auto"/>
          <w:kern w:val="0"/>
          <w:sz w:val="32"/>
          <w:szCs w:val="32"/>
          <w:highlight w:val="none"/>
          <w:lang w:val="zh-CN"/>
        </w:rPr>
      </w:pPr>
      <w:bookmarkStart w:id="127" w:name="_Toc31708_WPSOffice_Level1"/>
      <w:bookmarkStart w:id="128" w:name="_Toc30723_WPSOffice_Level1"/>
      <w:r>
        <w:rPr>
          <w:rFonts w:hint="eastAsia" w:ascii="宋体" w:hAnsi="宋体"/>
          <w:b/>
          <w:color w:val="auto"/>
          <w:kern w:val="0"/>
          <w:sz w:val="32"/>
          <w:szCs w:val="32"/>
          <w:highlight w:val="none"/>
          <w:lang w:val="zh-CN"/>
        </w:rPr>
        <w:t>投标声明书</w:t>
      </w:r>
      <w:bookmarkEnd w:id="127"/>
      <w:bookmarkEnd w:id="128"/>
    </w:p>
    <w:p>
      <w:pPr>
        <w:snapToGrid w:val="0"/>
        <w:spacing w:before="120" w:beforeLines="50" w:after="50" w:line="312" w:lineRule="auto"/>
        <w:rPr>
          <w:rFonts w:ascii="宋体" w:hAnsi="宋体" w:cs="宋体"/>
          <w:color w:val="auto"/>
          <w:kern w:val="0"/>
          <w:sz w:val="24"/>
          <w:highlight w:val="none"/>
        </w:rPr>
      </w:pPr>
      <w:r>
        <w:rPr>
          <w:rFonts w:hint="eastAsia" w:ascii="宋体" w:hAnsi="宋体" w:cstheme="minorBidi"/>
          <w:color w:val="auto"/>
          <w:sz w:val="24"/>
          <w:highlight w:val="none"/>
          <w:u w:val="single"/>
          <w:lang w:val="en-US" w:eastAsia="zh-CN"/>
        </w:rPr>
        <w:t xml:space="preserve">                                     </w:t>
      </w:r>
      <w:r>
        <w:rPr>
          <w:rFonts w:hint="eastAsia" w:ascii="宋体" w:hAnsi="宋体" w:cs="宋体"/>
          <w:color w:val="auto"/>
          <w:kern w:val="0"/>
          <w:sz w:val="24"/>
          <w:highlight w:val="none"/>
        </w:rPr>
        <w:t>：</w:t>
      </w:r>
    </w:p>
    <w:p>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系中华人民共和国合法企业，经营地址。</w:t>
      </w:r>
    </w:p>
    <w:p>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姓名 ）</w:t>
      </w:r>
      <w:r>
        <w:rPr>
          <w:rFonts w:hint="eastAsia" w:ascii="宋体" w:hAnsi="宋体" w:cs="宋体"/>
          <w:color w:val="auto"/>
          <w:kern w:val="0"/>
          <w:sz w:val="24"/>
          <w:highlight w:val="none"/>
        </w:rPr>
        <w:t>系</w:t>
      </w:r>
      <w:r>
        <w:rPr>
          <w:rFonts w:hint="eastAsia" w:ascii="宋体" w:hAnsi="宋体" w:cs="宋体"/>
          <w:color w:val="auto"/>
          <w:kern w:val="0"/>
          <w:sz w:val="24"/>
          <w:highlight w:val="none"/>
          <w:u w:val="single"/>
        </w:rPr>
        <w:t>（ 投标人名称 ）</w:t>
      </w:r>
      <w:r>
        <w:rPr>
          <w:rFonts w:hint="eastAsia" w:ascii="宋体" w:hAnsi="宋体" w:cs="宋体"/>
          <w:color w:val="auto"/>
          <w:kern w:val="0"/>
          <w:sz w:val="24"/>
          <w:highlight w:val="none"/>
        </w:rPr>
        <w:t>的法定代表人，我公司自愿参加贵方组织的（</w:t>
      </w:r>
      <w:r>
        <w:rPr>
          <w:rFonts w:hint="eastAsia" w:ascii="宋体" w:hAnsi="宋体" w:cs="宋体"/>
          <w:color w:val="auto"/>
          <w:kern w:val="0"/>
          <w:sz w:val="24"/>
          <w:highlight w:val="none"/>
          <w:u w:val="single"/>
        </w:rPr>
        <w:t xml:space="preserve">              招标项目名称                </w:t>
      </w:r>
      <w:r>
        <w:rPr>
          <w:rFonts w:hint="eastAsia" w:ascii="宋体" w:hAnsi="宋体" w:cs="宋体"/>
          <w:color w:val="auto"/>
          <w:kern w:val="0"/>
          <w:sz w:val="24"/>
          <w:highlight w:val="none"/>
        </w:rPr>
        <w:t>）（编号为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）的投标，为此，我公司就本次投标有关事项郑重声明如下：</w:t>
      </w:r>
    </w:p>
    <w:p>
      <w:pPr>
        <w:numPr>
          <w:ilvl w:val="0"/>
          <w:numId w:val="11"/>
        </w:numPr>
        <w:snapToGrid w:val="0"/>
        <w:spacing w:line="360" w:lineRule="auto"/>
        <w:ind w:left="5" w:firstLine="415"/>
        <w:rPr>
          <w:rFonts w:ascii="宋体" w:hAnsi="宋体" w:cs="宋体"/>
          <w:color w:val="auto"/>
          <w:kern w:val="0"/>
          <w:sz w:val="24"/>
          <w:highlight w:val="none"/>
        </w:rPr>
      </w:pPr>
      <w:r>
        <w:rPr>
          <w:rFonts w:hint="eastAsia" w:ascii="宋体" w:hAnsi="宋体" w:cs="宋体"/>
          <w:color w:val="auto"/>
          <w:kern w:val="0"/>
          <w:sz w:val="24"/>
          <w:highlight w:val="none"/>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pPr>
        <w:numPr>
          <w:ilvl w:val="0"/>
          <w:numId w:val="11"/>
        </w:numPr>
        <w:snapToGrid w:val="0"/>
        <w:spacing w:line="360" w:lineRule="auto"/>
        <w:ind w:left="5" w:firstLine="415"/>
        <w:rPr>
          <w:rFonts w:ascii="宋体" w:hAnsi="宋体" w:cs="宋体"/>
          <w:color w:val="auto"/>
          <w:kern w:val="0"/>
          <w:sz w:val="24"/>
          <w:highlight w:val="none"/>
        </w:rPr>
      </w:pPr>
      <w:r>
        <w:rPr>
          <w:rFonts w:hint="eastAsia" w:ascii="宋体" w:hAnsi="宋体" w:cs="宋体"/>
          <w:color w:val="auto"/>
          <w:kern w:val="0"/>
          <w:sz w:val="24"/>
          <w:highlight w:val="none"/>
        </w:rPr>
        <w:t>我公司在参与投标前已详细审查了招标文件和所有相关资料，我方完全知悉并认为此招标文件没有倾向性，也没有存在排斥潜在投标人的内容，我方对招标文件的所有内容没有任何异议，不申请澄清和质疑。</w:t>
      </w:r>
    </w:p>
    <w:p>
      <w:pPr>
        <w:numPr>
          <w:ilvl w:val="0"/>
          <w:numId w:val="11"/>
        </w:numPr>
        <w:snapToGrid w:val="0"/>
        <w:spacing w:line="360" w:lineRule="auto"/>
        <w:ind w:left="5" w:firstLine="415"/>
        <w:rPr>
          <w:rFonts w:ascii="宋体" w:hAnsi="宋体"/>
          <w:color w:val="auto"/>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rPr>
        <w:t>不是采购人的附属机构；</w:t>
      </w:r>
      <w:r>
        <w:rPr>
          <w:rFonts w:hint="eastAsia" w:ascii="宋体" w:hAnsi="宋体"/>
          <w:color w:val="auto"/>
          <w:sz w:val="24"/>
          <w:highlight w:val="none"/>
        </w:rPr>
        <w:t>在获知本项目采购信息后，与采购人聘请的为此项目提供咨询服务的公司及其附属机构没有任何联系。</w:t>
      </w:r>
    </w:p>
    <w:p>
      <w:pPr>
        <w:numPr>
          <w:ilvl w:val="0"/>
          <w:numId w:val="11"/>
        </w:numPr>
        <w:snapToGrid w:val="0"/>
        <w:spacing w:line="360" w:lineRule="auto"/>
        <w:ind w:left="5" w:firstLine="415"/>
        <w:rPr>
          <w:rFonts w:ascii="宋体" w:hAnsi="宋体"/>
          <w:color w:val="auto"/>
          <w:kern w:val="0"/>
          <w:sz w:val="24"/>
          <w:highlight w:val="none"/>
          <w:lang w:val="af-ZA"/>
        </w:rPr>
      </w:pP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s="宋体"/>
          <w:color w:val="auto"/>
          <w:kern w:val="0"/>
          <w:sz w:val="24"/>
          <w:highlight w:val="none"/>
        </w:rPr>
        <w:t>保证，</w:t>
      </w:r>
      <w:r>
        <w:rPr>
          <w:rFonts w:hint="eastAsia" w:ascii="宋体" w:hAnsi="宋体"/>
          <w:color w:val="auto"/>
          <w:kern w:val="0"/>
          <w:sz w:val="24"/>
          <w:highlight w:val="none"/>
          <w:lang w:val="af-ZA"/>
        </w:rPr>
        <w:t>采购人在中华人民共和国境内使用</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olor w:val="auto"/>
          <w:kern w:val="0"/>
          <w:sz w:val="24"/>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highlight w:val="none"/>
          <w:lang w:val="af-ZA"/>
        </w:rPr>
        <w:t>我方</w:t>
      </w:r>
      <w:r>
        <w:rPr>
          <w:rFonts w:hint="eastAsia" w:ascii="宋体" w:hAnsi="宋体"/>
          <w:color w:val="auto"/>
          <w:kern w:val="0"/>
          <w:sz w:val="24"/>
          <w:highlight w:val="none"/>
          <w:lang w:val="af-ZA"/>
        </w:rPr>
        <w:t>承担。</w:t>
      </w:r>
      <w:r>
        <w:rPr>
          <w:rFonts w:hint="eastAsia" w:ascii="宋体" w:hAnsi="宋体" w:cs="宋体"/>
          <w:color w:val="auto"/>
          <w:kern w:val="0"/>
          <w:sz w:val="24"/>
          <w:highlight w:val="none"/>
          <w:lang w:val="af-ZA"/>
        </w:rPr>
        <w:t>我方的</w:t>
      </w:r>
      <w:r>
        <w:rPr>
          <w:rFonts w:hint="eastAsia" w:ascii="宋体" w:hAnsi="宋体"/>
          <w:color w:val="auto"/>
          <w:kern w:val="0"/>
          <w:sz w:val="24"/>
          <w:highlight w:val="none"/>
          <w:lang w:val="af-ZA"/>
        </w:rPr>
        <w:t>投标报价</w:t>
      </w:r>
      <w:r>
        <w:rPr>
          <w:rFonts w:hint="eastAsia" w:ascii="宋体" w:hAnsi="宋体" w:cs="宋体"/>
          <w:color w:val="auto"/>
          <w:kern w:val="0"/>
          <w:sz w:val="24"/>
          <w:highlight w:val="none"/>
          <w:lang w:val="af-ZA"/>
        </w:rPr>
        <w:t>已</w:t>
      </w:r>
      <w:r>
        <w:rPr>
          <w:rFonts w:hint="eastAsia" w:ascii="宋体" w:hAnsi="宋体"/>
          <w:color w:val="auto"/>
          <w:kern w:val="0"/>
          <w:sz w:val="24"/>
          <w:highlight w:val="none"/>
          <w:lang w:val="af-ZA"/>
        </w:rPr>
        <w:t>包含所有应向所有权人支付的专利权、商标权或其它知识产权的一切相关费用。</w:t>
      </w:r>
    </w:p>
    <w:p>
      <w:pPr>
        <w:numPr>
          <w:ilvl w:val="0"/>
          <w:numId w:val="11"/>
        </w:numPr>
        <w:snapToGrid w:val="0"/>
        <w:spacing w:line="360" w:lineRule="auto"/>
        <w:ind w:left="5" w:firstLine="415"/>
        <w:rPr>
          <w:rFonts w:ascii="仿宋_GB2312" w:hAnsi="仿宋_GB2312" w:cs="仿宋_GB2312"/>
          <w:color w:val="auto"/>
          <w:sz w:val="24"/>
          <w:highlight w:val="none"/>
        </w:rPr>
      </w:pPr>
      <w:r>
        <w:rPr>
          <w:rFonts w:hint="eastAsia" w:ascii="宋体" w:hAnsi="宋体" w:cs="宋体"/>
          <w:color w:val="auto"/>
          <w:kern w:val="0"/>
          <w:sz w:val="24"/>
          <w:highlight w:val="none"/>
          <w:lang w:val="af-ZA"/>
        </w:rPr>
        <w:t>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lang w:val="af-ZA"/>
        </w:rPr>
        <w:t>严格履行政府采购合同，不降低合同约定的产品质量和服务，不擅自变更、中止、终止合同，或拒绝履行合同义务。</w:t>
      </w:r>
    </w:p>
    <w:p>
      <w:pPr>
        <w:numPr>
          <w:ilvl w:val="0"/>
          <w:numId w:val="11"/>
        </w:numPr>
        <w:snapToGrid w:val="0"/>
        <w:spacing w:line="360" w:lineRule="auto"/>
        <w:ind w:left="5" w:firstLine="415"/>
        <w:rPr>
          <w:rFonts w:ascii="宋体" w:hAnsi="宋体"/>
          <w:color w:val="auto"/>
          <w:sz w:val="24"/>
          <w:highlight w:val="none"/>
        </w:rPr>
      </w:pPr>
      <w:r>
        <w:rPr>
          <w:rFonts w:hint="eastAsia" w:ascii="宋体" w:hAnsi="宋体"/>
          <w:color w:val="auto"/>
          <w:sz w:val="24"/>
          <w:highlight w:val="none"/>
        </w:rPr>
        <w:t>以上事项如有虚假或隐瞒，我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愿意承担一切后果，并不再寻求任何旨在减轻或免除法律责任的辩解。</w:t>
      </w:r>
    </w:p>
    <w:p>
      <w:pPr>
        <w:pStyle w:val="37"/>
        <w:ind w:left="0" w:leftChars="0" w:firstLine="0"/>
        <w:rPr>
          <w:color w:val="auto"/>
          <w:highlight w:val="none"/>
        </w:rPr>
      </w:pPr>
    </w:p>
    <w:p>
      <w:pPr>
        <w:pStyle w:val="37"/>
        <w:ind w:left="0" w:leftChars="0" w:firstLine="0"/>
        <w:rPr>
          <w:color w:val="auto"/>
          <w:highlight w:val="none"/>
        </w:rPr>
      </w:pP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投标人名称（公章）：</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法定代表人或授权委托人签字：</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theme="minorBidi"/>
          <w:color w:val="auto"/>
          <w:sz w:val="24"/>
          <w:highlight w:val="none"/>
          <w:lang w:val="en-US" w:eastAsia="zh-CN"/>
        </w:rPr>
        <w:t xml:space="preserve">    </w:t>
      </w:r>
      <w:r>
        <w:rPr>
          <w:rFonts w:hint="eastAsia" w:ascii="宋体" w:hAnsi="宋体" w:cs="仿宋_GB2312"/>
          <w:color w:val="auto"/>
          <w:kern w:val="0"/>
          <w:sz w:val="24"/>
          <w:highlight w:val="none"/>
          <w:lang w:val="zh-CN"/>
        </w:rPr>
        <w:t xml:space="preserve">年 </w:t>
      </w:r>
      <w:r>
        <w:rPr>
          <w:rFonts w:hint="eastAsia" w:ascii="宋体" w:hAnsi="宋体" w:cstheme="minorBidi"/>
          <w:color w:val="auto"/>
          <w:sz w:val="24"/>
          <w:highlight w:val="none"/>
          <w:lang w:val="en-US" w:eastAsia="zh-CN"/>
        </w:rPr>
        <w:t xml:space="preserve">  </w:t>
      </w:r>
      <w:r>
        <w:rPr>
          <w:rFonts w:hint="eastAsia" w:ascii="宋体" w:hAnsi="宋体" w:cs="仿宋_GB2312"/>
          <w:color w:val="auto"/>
          <w:kern w:val="0"/>
          <w:sz w:val="24"/>
          <w:highlight w:val="none"/>
          <w:lang w:val="zh-CN"/>
        </w:rPr>
        <w:t xml:space="preserve"> 月 </w:t>
      </w:r>
      <w:r>
        <w:rPr>
          <w:rFonts w:hint="eastAsia" w:ascii="宋体" w:hAnsi="宋体" w:cstheme="minorBidi"/>
          <w:color w:val="auto"/>
          <w:sz w:val="24"/>
          <w:highlight w:val="none"/>
          <w:lang w:val="en-US" w:eastAsia="zh-CN"/>
        </w:rPr>
        <w:t xml:space="preserve">   </w:t>
      </w:r>
      <w:r>
        <w:rPr>
          <w:rFonts w:hint="eastAsia" w:ascii="宋体" w:hAnsi="宋体" w:cs="仿宋_GB2312"/>
          <w:color w:val="auto"/>
          <w:kern w:val="0"/>
          <w:sz w:val="24"/>
          <w:highlight w:val="none"/>
          <w:lang w:val="zh-CN"/>
        </w:rPr>
        <w:t>日</w:t>
      </w:r>
    </w:p>
    <w:p>
      <w:pPr>
        <w:adjustRightInd w:val="0"/>
        <w:snapToGrid w:val="0"/>
        <w:spacing w:line="360" w:lineRule="auto"/>
        <w:ind w:right="480"/>
        <w:rPr>
          <w:rFonts w:ascii="宋体"/>
          <w:b/>
          <w:color w:val="auto"/>
          <w:sz w:val="30"/>
          <w:szCs w:val="30"/>
          <w:highlight w:val="none"/>
        </w:rPr>
      </w:pPr>
      <w:r>
        <w:rPr>
          <w:rFonts w:hint="eastAsia" w:ascii="宋体" w:hAnsi="宋体"/>
          <w:b/>
          <w:color w:val="auto"/>
          <w:sz w:val="28"/>
          <w:highlight w:val="none"/>
        </w:rPr>
        <w:t>附件2</w:t>
      </w:r>
    </w:p>
    <w:p>
      <w:pPr>
        <w:spacing w:line="360" w:lineRule="auto"/>
        <w:ind w:firstLine="321" w:firstLineChars="100"/>
        <w:jc w:val="center"/>
        <w:rPr>
          <w:rFonts w:hAnsi="宋体"/>
          <w:b/>
          <w:color w:val="auto"/>
          <w:sz w:val="32"/>
          <w:szCs w:val="32"/>
          <w:highlight w:val="none"/>
          <w:u w:val="single"/>
        </w:rPr>
      </w:pPr>
      <w:bookmarkStart w:id="129" w:name="_Toc24373_WPSOffice_Level1"/>
      <w:bookmarkStart w:id="130" w:name="_Toc6870_WPSOffice_Level1"/>
      <w:r>
        <w:rPr>
          <w:b/>
          <w:color w:val="auto"/>
          <w:sz w:val="32"/>
          <w:szCs w:val="32"/>
          <w:highlight w:val="none"/>
        </w:rPr>
        <w:t>授权</w:t>
      </w:r>
      <w:r>
        <w:rPr>
          <w:rFonts w:hint="eastAsia"/>
          <w:b/>
          <w:color w:val="auto"/>
          <w:sz w:val="32"/>
          <w:szCs w:val="32"/>
          <w:highlight w:val="none"/>
        </w:rPr>
        <w:t>委托</w:t>
      </w:r>
      <w:r>
        <w:rPr>
          <w:b/>
          <w:color w:val="auto"/>
          <w:sz w:val="32"/>
          <w:szCs w:val="32"/>
          <w:highlight w:val="none"/>
        </w:rPr>
        <w:t>书</w:t>
      </w:r>
      <w:bookmarkEnd w:id="129"/>
      <w:bookmarkEnd w:id="130"/>
    </w:p>
    <w:p>
      <w:pPr>
        <w:snapToGrid w:val="0"/>
        <w:spacing w:before="120" w:beforeLines="50" w:after="50" w:line="360" w:lineRule="auto"/>
        <w:rPr>
          <w:rFonts w:ascii="宋体" w:hAnsi="宋体" w:cs="宋体"/>
          <w:color w:val="auto"/>
          <w:kern w:val="0"/>
          <w:sz w:val="24"/>
          <w:highlight w:val="none"/>
        </w:rPr>
      </w:pP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rPr>
        <w:t>：</w:t>
      </w:r>
    </w:p>
    <w:p>
      <w:pPr>
        <w:pStyle w:val="21"/>
        <w:spacing w:line="360" w:lineRule="auto"/>
        <w:ind w:firstLine="480" w:firstLineChars="200"/>
        <w:rPr>
          <w:rFonts w:hAnsi="宋体"/>
          <w:color w:val="auto"/>
          <w:sz w:val="24"/>
          <w:highlight w:val="none"/>
        </w:rPr>
      </w:pPr>
      <w:r>
        <w:rPr>
          <w:rFonts w:hAnsi="宋体"/>
          <w:color w:val="auto"/>
          <w:sz w:val="24"/>
          <w:highlight w:val="none"/>
          <w:u w:val="single"/>
        </w:rPr>
        <w:t xml:space="preserve">  （投标人全称）  </w:t>
      </w:r>
      <w:r>
        <w:rPr>
          <w:rFonts w:hAnsi="宋体"/>
          <w:color w:val="auto"/>
          <w:sz w:val="24"/>
          <w:highlight w:val="none"/>
        </w:rPr>
        <w:t>法定代表人</w:t>
      </w:r>
      <w:r>
        <w:rPr>
          <w:rFonts w:hint="eastAsia" w:ascii="Arial" w:hAnsi="Arial" w:cs="Arial"/>
          <w:color w:val="auto"/>
          <w:sz w:val="24"/>
          <w:highlight w:val="none"/>
        </w:rPr>
        <w:t>（或营业执照中单位负责人）</w:t>
      </w:r>
      <w:r>
        <w:rPr>
          <w:rFonts w:hAnsi="宋体"/>
          <w:color w:val="auto"/>
          <w:sz w:val="24"/>
          <w:highlight w:val="none"/>
          <w:u w:val="single"/>
        </w:rPr>
        <w:tab/>
      </w:r>
      <w:r>
        <w:rPr>
          <w:rFonts w:hAnsi="宋体"/>
          <w:color w:val="auto"/>
          <w:sz w:val="24"/>
          <w:highlight w:val="none"/>
          <w:u w:val="single"/>
        </w:rPr>
        <w:t>（法定代表</w:t>
      </w:r>
      <w:r>
        <w:rPr>
          <w:rFonts w:hint="eastAsia" w:hAnsi="宋体"/>
          <w:color w:val="auto"/>
          <w:sz w:val="24"/>
          <w:highlight w:val="none"/>
          <w:u w:val="single"/>
        </w:rPr>
        <w:t>人</w:t>
      </w:r>
      <w:r>
        <w:rPr>
          <w:rFonts w:hint="eastAsia" w:ascii="Arial" w:hAnsi="Arial" w:cs="Arial"/>
          <w:color w:val="auto"/>
          <w:sz w:val="24"/>
          <w:highlight w:val="none"/>
          <w:u w:val="single"/>
        </w:rPr>
        <w:t>或营业执照中单位负责人</w:t>
      </w:r>
      <w:r>
        <w:rPr>
          <w:rFonts w:hAnsi="宋体"/>
          <w:color w:val="auto"/>
          <w:sz w:val="24"/>
          <w:highlight w:val="none"/>
          <w:u w:val="single"/>
        </w:rPr>
        <w:t xml:space="preserve">姓名） </w:t>
      </w:r>
      <w:r>
        <w:rPr>
          <w:rFonts w:hAnsi="宋体"/>
          <w:color w:val="auto"/>
          <w:sz w:val="24"/>
          <w:highlight w:val="none"/>
        </w:rPr>
        <w:t>授权</w:t>
      </w:r>
      <w:r>
        <w:rPr>
          <w:rFonts w:hint="eastAsia" w:hAnsi="宋体"/>
          <w:color w:val="auto"/>
          <w:sz w:val="24"/>
          <w:highlight w:val="none"/>
          <w:u w:val="single"/>
        </w:rPr>
        <w:t xml:space="preserve">   （全权代表</w:t>
      </w:r>
      <w:r>
        <w:rPr>
          <w:rFonts w:hAnsi="宋体"/>
          <w:color w:val="auto"/>
          <w:sz w:val="24"/>
          <w:highlight w:val="none"/>
          <w:u w:val="single"/>
        </w:rPr>
        <w:t>姓名</w:t>
      </w:r>
      <w:r>
        <w:rPr>
          <w:rFonts w:hint="eastAsia" w:hAnsi="宋体"/>
          <w:color w:val="auto"/>
          <w:sz w:val="24"/>
          <w:highlight w:val="none"/>
          <w:u w:val="single"/>
        </w:rPr>
        <w:t xml:space="preserve">） </w:t>
      </w:r>
      <w:r>
        <w:rPr>
          <w:rFonts w:hAnsi="宋体"/>
          <w:color w:val="auto"/>
          <w:sz w:val="24"/>
          <w:highlight w:val="none"/>
        </w:rPr>
        <w:t>为</w:t>
      </w:r>
      <w:r>
        <w:rPr>
          <w:rFonts w:hint="eastAsia" w:hAnsi="宋体"/>
          <w:color w:val="auto"/>
          <w:sz w:val="24"/>
          <w:highlight w:val="none"/>
        </w:rPr>
        <w:t>全权代表</w:t>
      </w:r>
      <w:r>
        <w:rPr>
          <w:rFonts w:hAnsi="宋体"/>
          <w:color w:val="auto"/>
          <w:sz w:val="24"/>
          <w:highlight w:val="none"/>
        </w:rPr>
        <w:t>，参加贵单位组织的</w:t>
      </w:r>
      <w:r>
        <w:rPr>
          <w:rFonts w:hint="eastAsia" w:ascii="宋体" w:hAnsi="宋体" w:cs="宋体"/>
          <w:color w:val="auto"/>
          <w:sz w:val="24"/>
          <w:szCs w:val="32"/>
          <w:highlight w:val="none"/>
          <w:u w:val="single"/>
        </w:rPr>
        <w:t>城市地下市政基础设施普查</w:t>
      </w:r>
      <w:r>
        <w:rPr>
          <w:rFonts w:hAnsi="宋体"/>
          <w:color w:val="auto"/>
          <w:sz w:val="24"/>
          <w:highlight w:val="none"/>
        </w:rPr>
        <w:t>的采购活动，并代表我方全权办理针对上述项目的投标、开标、评标、签约等具体事务和签署相关文件。</w:t>
      </w:r>
      <w:r>
        <w:rPr>
          <w:rFonts w:hint="eastAsia" w:hAnsi="宋体"/>
          <w:color w:val="auto"/>
          <w:sz w:val="24"/>
          <w:highlight w:val="none"/>
        </w:rPr>
        <w:t>我方对全权代表的签字事项负全部责任。</w:t>
      </w:r>
    </w:p>
    <w:p>
      <w:pPr>
        <w:pStyle w:val="21"/>
        <w:spacing w:line="360" w:lineRule="auto"/>
        <w:ind w:firstLine="480" w:firstLineChars="200"/>
        <w:rPr>
          <w:rFonts w:hAnsi="宋体"/>
          <w:color w:val="auto"/>
          <w:sz w:val="24"/>
          <w:highlight w:val="none"/>
        </w:rPr>
      </w:pPr>
      <w:r>
        <w:rPr>
          <w:rFonts w:hint="eastAsia" w:hAnsi="宋体"/>
          <w:color w:val="auto"/>
          <w:sz w:val="24"/>
          <w:highlight w:val="none"/>
        </w:rPr>
        <w:t>在撤销授权的书面通知以前，本授权书一直有效。全权代表在授权委托书有效期内签署的所有文件不因授权的撤销而失效。</w:t>
      </w:r>
    </w:p>
    <w:p>
      <w:pPr>
        <w:pStyle w:val="21"/>
        <w:spacing w:line="360" w:lineRule="auto"/>
        <w:ind w:firstLine="480" w:firstLineChars="200"/>
        <w:rPr>
          <w:rFonts w:hAnsi="宋体"/>
          <w:color w:val="auto"/>
          <w:sz w:val="24"/>
          <w:highlight w:val="none"/>
        </w:rPr>
      </w:pPr>
      <w:r>
        <w:rPr>
          <w:rFonts w:hint="eastAsia" w:hAnsi="宋体"/>
          <w:color w:val="auto"/>
          <w:sz w:val="24"/>
          <w:highlight w:val="none"/>
        </w:rPr>
        <w:t>全权代表无转委托权，特此委托。</w:t>
      </w:r>
    </w:p>
    <w:p>
      <w:pPr>
        <w:spacing w:line="360" w:lineRule="auto"/>
        <w:rPr>
          <w:color w:val="auto"/>
          <w:sz w:val="24"/>
          <w:highlight w:val="none"/>
        </w:rPr>
      </w:pPr>
    </w:p>
    <w:p>
      <w:pPr>
        <w:spacing w:line="360" w:lineRule="auto"/>
        <w:rPr>
          <w:color w:val="auto"/>
          <w:sz w:val="24"/>
          <w:highlight w:val="none"/>
        </w:rPr>
      </w:pPr>
      <w:r>
        <w:rPr>
          <w:rFonts w:hint="eastAsia" w:ascii="宋体"/>
          <w:color w:val="auto"/>
          <w:sz w:val="24"/>
          <w:highlight w:val="none"/>
        </w:rPr>
        <w:t>法定代表人签字或盖章：</w:t>
      </w:r>
    </w:p>
    <w:p>
      <w:pPr>
        <w:spacing w:line="360" w:lineRule="auto"/>
        <w:rPr>
          <w:color w:val="auto"/>
          <w:sz w:val="24"/>
          <w:highlight w:val="none"/>
        </w:rPr>
      </w:pPr>
      <w:r>
        <w:rPr>
          <w:rFonts w:hint="eastAsia" w:ascii="宋体"/>
          <w:color w:val="auto"/>
          <w:sz w:val="24"/>
          <w:highlight w:val="none"/>
        </w:rPr>
        <w:t>投标人全称（公章）：                              日期：</w:t>
      </w:r>
    </w:p>
    <w:p>
      <w:pPr>
        <w:spacing w:line="360" w:lineRule="auto"/>
        <w:rPr>
          <w:color w:val="auto"/>
          <w:sz w:val="24"/>
          <w:highlight w:val="none"/>
        </w:rPr>
      </w:pPr>
    </w:p>
    <w:p>
      <w:pPr>
        <w:spacing w:line="360" w:lineRule="auto"/>
        <w:rPr>
          <w:b/>
          <w:color w:val="auto"/>
          <w:sz w:val="24"/>
          <w:highlight w:val="none"/>
        </w:rPr>
      </w:pPr>
      <w:r>
        <w:rPr>
          <w:rFonts w:hint="eastAsia" w:ascii="宋体"/>
          <w:b/>
          <w:color w:val="auto"/>
          <w:sz w:val="24"/>
          <w:highlight w:val="none"/>
        </w:rPr>
        <w:t>附：</w:t>
      </w:r>
    </w:p>
    <w:tbl>
      <w:tblPr>
        <w:tblStyle w:val="38"/>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法定代表身份证</w:t>
            </w:r>
          </w:p>
        </w:tc>
      </w:tr>
    </w:tbl>
    <w:p>
      <w:pPr>
        <w:spacing w:line="360" w:lineRule="auto"/>
        <w:rPr>
          <w:color w:val="auto"/>
          <w:sz w:val="24"/>
          <w:highlight w:val="none"/>
        </w:rPr>
      </w:pPr>
      <w:r>
        <w:rPr>
          <w:rFonts w:hint="eastAsia" w:ascii="宋体"/>
          <w:color w:val="auto"/>
          <w:sz w:val="24"/>
          <w:highlight w:val="none"/>
        </w:rPr>
        <w:t xml:space="preserve">法定代表人姓名：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电话：</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ascii="宋体"/>
          <w:color w:val="auto"/>
          <w:sz w:val="24"/>
          <w:highlight w:val="none"/>
        </w:rPr>
      </w:pPr>
      <w:r>
        <w:rPr>
          <w:rFonts w:hint="eastAsia" w:ascii="宋体"/>
          <w:color w:val="auto"/>
          <w:sz w:val="24"/>
          <w:highlight w:val="none"/>
        </w:rPr>
        <w:t>邮政编码：</w:t>
      </w:r>
    </w:p>
    <w:p>
      <w:pPr>
        <w:spacing w:line="360" w:lineRule="auto"/>
        <w:rPr>
          <w:b/>
          <w:color w:val="auto"/>
          <w:sz w:val="24"/>
          <w:highlight w:val="none"/>
        </w:rPr>
      </w:pPr>
    </w:p>
    <w:tbl>
      <w:tblPr>
        <w:tblStyle w:val="38"/>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全权代表身份证</w:t>
            </w:r>
          </w:p>
        </w:tc>
      </w:tr>
    </w:tbl>
    <w:p>
      <w:pPr>
        <w:spacing w:line="360" w:lineRule="auto"/>
        <w:rPr>
          <w:rFonts w:ascii="宋体"/>
          <w:color w:val="auto"/>
          <w:sz w:val="24"/>
          <w:highlight w:val="none"/>
        </w:rPr>
      </w:pPr>
      <w:r>
        <w:rPr>
          <w:rFonts w:hint="eastAsia" w:ascii="宋体"/>
          <w:color w:val="auto"/>
          <w:sz w:val="24"/>
          <w:highlight w:val="none"/>
        </w:rPr>
        <w:t xml:space="preserve">全权代表姓名：       </w:t>
      </w:r>
    </w:p>
    <w:p>
      <w:pPr>
        <w:spacing w:line="360" w:lineRule="auto"/>
        <w:rPr>
          <w:color w:val="auto"/>
          <w:sz w:val="24"/>
          <w:highlight w:val="none"/>
        </w:rPr>
      </w:pPr>
      <w:r>
        <w:rPr>
          <w:rFonts w:hint="eastAsia" w:ascii="宋体"/>
          <w:color w:val="auto"/>
          <w:sz w:val="24"/>
          <w:highlight w:val="none"/>
        </w:rPr>
        <w:t xml:space="preserve">职务：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电话：</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ascii="宋体"/>
          <w:color w:val="auto"/>
          <w:sz w:val="24"/>
          <w:highlight w:val="none"/>
        </w:rPr>
      </w:pPr>
      <w:r>
        <w:rPr>
          <w:rFonts w:hint="eastAsia" w:ascii="宋体"/>
          <w:color w:val="auto"/>
          <w:sz w:val="24"/>
          <w:highlight w:val="none"/>
        </w:rPr>
        <w:t>邮政编码：</w:t>
      </w:r>
    </w:p>
    <w:p>
      <w:pPr>
        <w:snapToGrid w:val="0"/>
        <w:spacing w:before="50" w:after="50" w:line="360" w:lineRule="auto"/>
        <w:rPr>
          <w:rFonts w:hint="eastAsia" w:ascii="宋体" w:hAnsi="宋体" w:cs="宋体"/>
          <w:color w:val="auto"/>
          <w:sz w:val="24"/>
          <w:highlight w:val="none"/>
        </w:rPr>
      </w:pPr>
    </w:p>
    <w:p>
      <w:pPr>
        <w:snapToGrid w:val="0"/>
        <w:spacing w:before="50" w:after="50" w:line="360" w:lineRule="auto"/>
        <w:ind w:firstLine="1680" w:firstLineChars="700"/>
        <w:rPr>
          <w:rFonts w:hint="eastAsia" w:ascii="宋体" w:hAnsi="宋体" w:cs="宋体"/>
          <w:color w:val="auto"/>
          <w:sz w:val="24"/>
          <w:highlight w:val="none"/>
        </w:rPr>
      </w:pPr>
    </w:p>
    <w:p>
      <w:pPr>
        <w:jc w:val="left"/>
        <w:rPr>
          <w:rFonts w:hint="eastAsia" w:ascii="宋体" w:hAnsi="宋体" w:eastAsia="宋体"/>
          <w:b/>
          <w:color w:val="auto"/>
          <w:kern w:val="0"/>
          <w:sz w:val="32"/>
          <w:szCs w:val="32"/>
          <w:highlight w:val="none"/>
          <w:lang w:eastAsia="zh-CN"/>
        </w:rPr>
      </w:pPr>
      <w:r>
        <w:rPr>
          <w:rFonts w:hint="eastAsia" w:ascii="宋体" w:hAnsi="宋体"/>
          <w:b/>
          <w:color w:val="auto"/>
          <w:kern w:val="0"/>
          <w:sz w:val="32"/>
          <w:szCs w:val="32"/>
          <w:highlight w:val="none"/>
        </w:rPr>
        <w:t>附件</w:t>
      </w:r>
      <w:r>
        <w:rPr>
          <w:rFonts w:hint="eastAsia" w:ascii="宋体" w:hAnsi="宋体"/>
          <w:b/>
          <w:color w:val="auto"/>
          <w:kern w:val="0"/>
          <w:sz w:val="32"/>
          <w:szCs w:val="32"/>
          <w:highlight w:val="none"/>
          <w:lang w:val="en-US" w:eastAsia="zh-CN"/>
        </w:rPr>
        <w:t>3</w:t>
      </w:r>
    </w:p>
    <w:p>
      <w:pPr>
        <w:jc w:val="center"/>
        <w:rPr>
          <w:rFonts w:ascii="宋体" w:hAnsi="宋体"/>
          <w:b/>
          <w:color w:val="auto"/>
          <w:sz w:val="28"/>
          <w:highlight w:val="none"/>
        </w:rPr>
      </w:pPr>
      <w:r>
        <w:rPr>
          <w:rFonts w:ascii="宋体" w:hAnsi="宋体"/>
          <w:b/>
          <w:color w:val="auto"/>
          <w:kern w:val="0"/>
          <w:sz w:val="32"/>
          <w:szCs w:val="32"/>
          <w:highlight w:val="none"/>
        </w:rPr>
        <w:t>具有履行合同所必须的设备和专业技术能力的承诺函</w:t>
      </w:r>
    </w:p>
    <w:p>
      <w:pPr>
        <w:jc w:val="center"/>
        <w:rPr>
          <w:rFonts w:ascii="宋体" w:hAnsi="宋体"/>
          <w:b/>
          <w:color w:val="auto"/>
          <w:sz w:val="28"/>
          <w:highlight w:val="none"/>
        </w:rPr>
      </w:pPr>
    </w:p>
    <w:p>
      <w:pPr>
        <w:widowControl/>
        <w:shd w:val="clear" w:color="auto" w:fill="FFFFFF"/>
        <w:snapToGrid w:val="0"/>
        <w:spacing w:after="50" w:line="480" w:lineRule="auto"/>
        <w:jc w:val="left"/>
        <w:rPr>
          <w:rFonts w:ascii="宋体" w:hAnsi="宋体"/>
          <w:color w:val="auto"/>
          <w:kern w:val="0"/>
          <w:sz w:val="24"/>
          <w:highlight w:val="none"/>
        </w:rPr>
      </w:pPr>
      <w:r>
        <w:rPr>
          <w:rFonts w:hint="eastAsia" w:ascii="宋体" w:hAnsi="宋体"/>
          <w:color w:val="auto"/>
          <w:kern w:val="0"/>
          <w:sz w:val="24"/>
          <w:highlight w:val="none"/>
          <w:u w:val="single"/>
          <w:lang w:eastAsia="zh-CN"/>
        </w:rPr>
        <w:t>台州湾新区管理委员会</w:t>
      </w:r>
      <w:r>
        <w:rPr>
          <w:rFonts w:ascii="宋体" w:hAnsi="宋体"/>
          <w:color w:val="auto"/>
          <w:kern w:val="0"/>
          <w:sz w:val="24"/>
          <w:highlight w:val="none"/>
        </w:rPr>
        <w:t>：</w:t>
      </w:r>
    </w:p>
    <w:p>
      <w:pPr>
        <w:widowControl/>
        <w:shd w:val="clear" w:color="auto" w:fill="FFFFFF"/>
        <w:spacing w:before="100" w:beforeAutospacing="1" w:after="100" w:afterAutospacing="1" w:line="480" w:lineRule="auto"/>
        <w:ind w:firstLine="480" w:firstLineChars="200"/>
        <w:jc w:val="left"/>
        <w:rPr>
          <w:rFonts w:ascii="宋体" w:hAnsi="宋体"/>
          <w:color w:val="auto"/>
          <w:kern w:val="0"/>
          <w:sz w:val="24"/>
          <w:highlight w:val="none"/>
        </w:rPr>
      </w:pPr>
      <w:r>
        <w:rPr>
          <w:rFonts w:ascii="宋体" w:hAnsi="宋体"/>
          <w:color w:val="auto"/>
          <w:kern w:val="0"/>
          <w:sz w:val="24"/>
          <w:highlight w:val="none"/>
        </w:rPr>
        <w:t>若我单位有幸成为</w:t>
      </w:r>
      <w:r>
        <w:rPr>
          <w:rFonts w:hint="eastAsia" w:ascii="宋体" w:hAnsi="宋体"/>
          <w:color w:val="auto"/>
          <w:kern w:val="0"/>
          <w:sz w:val="24"/>
          <w:highlight w:val="none"/>
        </w:rPr>
        <w:t>城市地下市政基础设施普查</w:t>
      </w:r>
      <w:r>
        <w:rPr>
          <w:rFonts w:hint="eastAsia" w:hAnsi="宋体"/>
          <w:color w:val="auto"/>
          <w:sz w:val="24"/>
          <w:highlight w:val="none"/>
        </w:rPr>
        <w:t>（</w:t>
      </w:r>
      <w:r>
        <w:rPr>
          <w:rFonts w:hint="eastAsia" w:ascii="宋体" w:hAnsi="宋体" w:cs="宋体"/>
          <w:color w:val="auto"/>
          <w:kern w:val="0"/>
          <w:sz w:val="24"/>
          <w:highlight w:val="none"/>
        </w:rPr>
        <w:t>编号为台财采确临【2022】683号</w:t>
      </w:r>
      <w:r>
        <w:rPr>
          <w:rFonts w:hint="eastAsia" w:hAnsi="宋体" w:cs="宋体"/>
          <w:color w:val="auto"/>
          <w:kern w:val="0"/>
          <w:sz w:val="24"/>
          <w:highlight w:val="none"/>
        </w:rPr>
        <w:t>）</w:t>
      </w:r>
      <w:r>
        <w:rPr>
          <w:rFonts w:ascii="宋体" w:hAnsi="宋体"/>
          <w:color w:val="auto"/>
          <w:kern w:val="0"/>
          <w:sz w:val="24"/>
          <w:highlight w:val="none"/>
        </w:rPr>
        <w:t>的成交单位，我单位有履行该项目合同的设备和专业技术能力，胜任本项目的服务工作。如本声明失实，我单位自愿承担被取消成交资格等责任。</w:t>
      </w:r>
    </w:p>
    <w:p>
      <w:pPr>
        <w:widowControl/>
        <w:shd w:val="clear" w:color="auto" w:fill="FFFFFF"/>
        <w:spacing w:before="100" w:beforeAutospacing="1" w:after="100" w:afterAutospacing="1" w:line="360" w:lineRule="auto"/>
        <w:ind w:firstLine="480" w:firstLineChars="200"/>
        <w:jc w:val="left"/>
        <w:rPr>
          <w:rFonts w:ascii="宋体" w:hAnsi="宋体"/>
          <w:color w:val="auto"/>
          <w:kern w:val="0"/>
          <w:sz w:val="24"/>
          <w:highlight w:val="none"/>
        </w:rPr>
      </w:pPr>
    </w:p>
    <w:p>
      <w:pPr>
        <w:widowControl/>
        <w:shd w:val="clear" w:color="auto" w:fill="FFFFFF"/>
        <w:spacing w:before="100" w:beforeAutospacing="1" w:after="100" w:afterAutospacing="1" w:line="360" w:lineRule="auto"/>
        <w:ind w:firstLine="480" w:firstLineChars="200"/>
        <w:jc w:val="left"/>
        <w:rPr>
          <w:rFonts w:ascii="宋体" w:hAnsi="宋体"/>
          <w:color w:val="auto"/>
          <w:kern w:val="0"/>
          <w:sz w:val="24"/>
          <w:highlight w:val="none"/>
        </w:rPr>
      </w:pPr>
      <w:r>
        <w:rPr>
          <w:rFonts w:ascii="宋体" w:hAnsi="宋体"/>
          <w:color w:val="auto"/>
          <w:kern w:val="0"/>
          <w:sz w:val="24"/>
          <w:highlight w:val="none"/>
        </w:rPr>
        <w:t>特此声明</w:t>
      </w:r>
      <w:r>
        <w:rPr>
          <w:rFonts w:hint="eastAsia" w:ascii="宋体" w:hAnsi="宋体"/>
          <w:color w:val="auto"/>
          <w:kern w:val="0"/>
          <w:sz w:val="24"/>
          <w:highlight w:val="none"/>
        </w:rPr>
        <w:t>。</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投标人名称（公章）：</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法定代表人或授权委托人签字：</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theme="minorBidi"/>
          <w:color w:val="auto"/>
          <w:sz w:val="24"/>
          <w:highlight w:val="none"/>
          <w:lang w:val="en-US" w:eastAsia="zh-CN"/>
        </w:rPr>
        <w:t xml:space="preserve">    </w:t>
      </w:r>
      <w:r>
        <w:rPr>
          <w:rFonts w:hint="eastAsia" w:ascii="宋体" w:hAnsi="宋体" w:cs="仿宋_GB2312"/>
          <w:color w:val="auto"/>
          <w:kern w:val="0"/>
          <w:sz w:val="24"/>
          <w:highlight w:val="none"/>
          <w:lang w:val="zh-CN"/>
        </w:rPr>
        <w:t xml:space="preserve">年 </w:t>
      </w:r>
      <w:r>
        <w:rPr>
          <w:rFonts w:hint="eastAsia" w:ascii="宋体" w:hAnsi="宋体" w:cstheme="minorBidi"/>
          <w:color w:val="auto"/>
          <w:sz w:val="24"/>
          <w:highlight w:val="none"/>
          <w:lang w:val="en-US" w:eastAsia="zh-CN"/>
        </w:rPr>
        <w:t xml:space="preserve">  </w:t>
      </w:r>
      <w:r>
        <w:rPr>
          <w:rFonts w:hint="eastAsia" w:ascii="宋体" w:hAnsi="宋体" w:cs="仿宋_GB2312"/>
          <w:color w:val="auto"/>
          <w:kern w:val="0"/>
          <w:sz w:val="24"/>
          <w:highlight w:val="none"/>
          <w:lang w:val="zh-CN"/>
        </w:rPr>
        <w:t xml:space="preserve"> 月 </w:t>
      </w:r>
      <w:r>
        <w:rPr>
          <w:rFonts w:hint="eastAsia" w:ascii="宋体" w:hAnsi="宋体" w:cstheme="minorBidi"/>
          <w:color w:val="auto"/>
          <w:sz w:val="24"/>
          <w:highlight w:val="none"/>
          <w:lang w:val="en-US" w:eastAsia="zh-CN"/>
        </w:rPr>
        <w:t xml:space="preserve">   </w:t>
      </w:r>
      <w:r>
        <w:rPr>
          <w:rFonts w:hint="eastAsia" w:ascii="宋体" w:hAnsi="宋体" w:cs="仿宋_GB2312"/>
          <w:color w:val="auto"/>
          <w:kern w:val="0"/>
          <w:sz w:val="24"/>
          <w:highlight w:val="none"/>
          <w:lang w:val="zh-CN"/>
        </w:rPr>
        <w:t>日</w:t>
      </w: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snapToGrid w:val="0"/>
        <w:spacing w:before="50" w:after="50" w:line="360" w:lineRule="auto"/>
        <w:ind w:firstLine="1960" w:firstLineChars="700"/>
        <w:rPr>
          <w:rFonts w:hint="eastAsia" w:hAnsi="宋体" w:cs="仿宋_GB2312"/>
          <w:color w:val="auto"/>
          <w:kern w:val="0"/>
          <w:highlight w:val="none"/>
          <w:lang w:val="zh-CN"/>
        </w:rPr>
      </w:pPr>
    </w:p>
    <w:p>
      <w:pPr>
        <w:rPr>
          <w:rFonts w:ascii="宋体" w:hAnsi="宋体"/>
          <w:b/>
          <w:sz w:val="28"/>
        </w:rPr>
      </w:pPr>
      <w:r>
        <w:rPr>
          <w:rFonts w:hint="eastAsia" w:ascii="宋体" w:hAnsi="宋体"/>
          <w:b/>
          <w:sz w:val="28"/>
        </w:rPr>
        <w:t>附件3</w:t>
      </w:r>
    </w:p>
    <w:p>
      <w:pPr>
        <w:widowControl/>
        <w:adjustRightInd w:val="0"/>
        <w:snapToGrid w:val="0"/>
        <w:jc w:val="center"/>
        <w:rPr>
          <w:rFonts w:ascii="宋体" w:hAnsi="宋体"/>
          <w:b/>
          <w:kern w:val="0"/>
          <w:sz w:val="32"/>
          <w:szCs w:val="32"/>
        </w:rPr>
      </w:pPr>
      <w:r>
        <w:rPr>
          <w:rFonts w:hint="eastAsia" w:ascii="宋体" w:hAnsi="宋体"/>
          <w:b/>
          <w:kern w:val="0"/>
          <w:sz w:val="32"/>
          <w:szCs w:val="32"/>
        </w:rPr>
        <w:t>具有</w:t>
      </w:r>
      <w:r>
        <w:rPr>
          <w:rFonts w:ascii="宋体" w:hAnsi="宋体"/>
          <w:b/>
          <w:kern w:val="0"/>
          <w:sz w:val="32"/>
          <w:szCs w:val="32"/>
        </w:rPr>
        <w:t>依法缴纳税收和</w:t>
      </w:r>
      <w:r>
        <w:rPr>
          <w:rFonts w:hint="eastAsia" w:ascii="宋体" w:hAnsi="宋体"/>
          <w:b/>
          <w:kern w:val="0"/>
          <w:sz w:val="32"/>
          <w:szCs w:val="32"/>
        </w:rPr>
        <w:t>社会保障资金证明</w:t>
      </w:r>
      <w:r>
        <w:rPr>
          <w:rFonts w:ascii="宋体" w:hAnsi="宋体"/>
          <w:b/>
          <w:kern w:val="0"/>
          <w:sz w:val="32"/>
          <w:szCs w:val="32"/>
        </w:rPr>
        <w:t>的承诺函</w:t>
      </w:r>
    </w:p>
    <w:p>
      <w:pPr>
        <w:widowControl/>
        <w:adjustRightInd w:val="0"/>
        <w:snapToGrid w:val="0"/>
        <w:jc w:val="center"/>
        <w:rPr>
          <w:rFonts w:ascii="宋体" w:hAnsi="宋体"/>
          <w:b/>
          <w:kern w:val="0"/>
          <w:sz w:val="32"/>
          <w:szCs w:val="32"/>
        </w:rPr>
      </w:pPr>
    </w:p>
    <w:p>
      <w:pPr>
        <w:widowControl/>
        <w:adjustRightInd w:val="0"/>
        <w:snapToGrid w:val="0"/>
        <w:jc w:val="left"/>
        <w:rPr>
          <w:rFonts w:ascii="宋体" w:hAnsi="宋体"/>
          <w:kern w:val="0"/>
          <w:sz w:val="28"/>
          <w:szCs w:val="32"/>
        </w:rPr>
      </w:pPr>
      <w:r>
        <w:rPr>
          <w:rFonts w:hint="eastAsia" w:ascii="宋体" w:hAnsi="宋体"/>
          <w:kern w:val="0"/>
          <w:sz w:val="28"/>
          <w:szCs w:val="32"/>
        </w:rPr>
        <w:t>（如依法免税的，应提供相应文件证明其依法免税；如依法不需要缴纳社会保障资金的，应提供相应文件证明其依法不需要缴纳社会保障资金。）</w:t>
      </w:r>
    </w:p>
    <w:p>
      <w:pPr>
        <w:adjustRightInd w:val="0"/>
        <w:snapToGrid w:val="0"/>
        <w:jc w:val="left"/>
        <w:rPr>
          <w:rFonts w:ascii="宋体" w:hAnsi="宋体"/>
          <w:b/>
          <w:kern w:val="0"/>
          <w:sz w:val="32"/>
          <w:szCs w:val="32"/>
        </w:rPr>
      </w:pPr>
    </w:p>
    <w:p>
      <w:pPr>
        <w:widowControl/>
        <w:shd w:val="clear" w:color="auto" w:fill="FFFFFF"/>
        <w:spacing w:before="100" w:beforeAutospacing="1" w:after="100" w:afterAutospacing="1" w:line="480" w:lineRule="auto"/>
        <w:jc w:val="left"/>
        <w:rPr>
          <w:rFonts w:ascii="宋体" w:hAnsi="宋体"/>
          <w:kern w:val="0"/>
          <w:sz w:val="24"/>
        </w:rPr>
      </w:pPr>
      <w:r>
        <w:rPr>
          <w:rFonts w:hint="eastAsia" w:ascii="宋体" w:hAnsi="宋体"/>
          <w:kern w:val="0"/>
          <w:sz w:val="24"/>
          <w:u w:val="single"/>
        </w:rPr>
        <w:t>台州湾新区管理委员会</w:t>
      </w:r>
      <w:r>
        <w:rPr>
          <w:rFonts w:ascii="宋体" w:hAnsi="宋体"/>
          <w:kern w:val="0"/>
          <w:sz w:val="24"/>
        </w:rPr>
        <w:t>：</w:t>
      </w:r>
    </w:p>
    <w:p>
      <w:pPr>
        <w:widowControl/>
        <w:shd w:val="clear" w:color="auto" w:fill="FFFFFF"/>
        <w:spacing w:before="100" w:beforeAutospacing="1" w:after="100" w:afterAutospacing="1" w:line="480" w:lineRule="auto"/>
        <w:ind w:firstLine="480" w:firstLineChars="200"/>
        <w:jc w:val="left"/>
        <w:rPr>
          <w:rFonts w:ascii="宋体" w:hAnsi="宋体"/>
          <w:kern w:val="0"/>
          <w:sz w:val="24"/>
        </w:rPr>
      </w:pPr>
      <w:r>
        <w:rPr>
          <w:rFonts w:ascii="宋体" w:hAnsi="宋体"/>
          <w:kern w:val="0"/>
          <w:sz w:val="24"/>
        </w:rPr>
        <w:t>我单位</w:t>
      </w:r>
      <w:r>
        <w:rPr>
          <w:rFonts w:hint="eastAsia" w:ascii="宋体" w:hAnsi="宋体"/>
          <w:kern w:val="0"/>
          <w:sz w:val="24"/>
        </w:rPr>
        <w:t>具有</w:t>
      </w:r>
      <w:r>
        <w:rPr>
          <w:rFonts w:ascii="宋体" w:hAnsi="宋体"/>
          <w:kern w:val="0"/>
          <w:sz w:val="24"/>
        </w:rPr>
        <w:t>依法缴纳税收和</w:t>
      </w:r>
      <w:r>
        <w:rPr>
          <w:rFonts w:hint="eastAsia" w:ascii="宋体" w:hAnsi="宋体"/>
          <w:kern w:val="0"/>
          <w:sz w:val="24"/>
        </w:rPr>
        <w:t>社会保障资金</w:t>
      </w:r>
      <w:r>
        <w:rPr>
          <w:rFonts w:ascii="宋体" w:hAnsi="宋体"/>
          <w:kern w:val="0"/>
          <w:sz w:val="24"/>
        </w:rPr>
        <w:t>。如本声明失实，我单位自愿承担被取消成交资格等责任。</w:t>
      </w:r>
    </w:p>
    <w:p>
      <w:pPr>
        <w:widowControl/>
        <w:shd w:val="clear" w:color="auto" w:fill="FFFFFF"/>
        <w:spacing w:before="100" w:beforeAutospacing="1" w:after="100" w:afterAutospacing="1" w:line="480" w:lineRule="auto"/>
        <w:ind w:firstLine="480" w:firstLineChars="200"/>
        <w:jc w:val="left"/>
        <w:rPr>
          <w:rFonts w:ascii="宋体" w:hAnsi="宋体"/>
          <w:kern w:val="0"/>
          <w:sz w:val="24"/>
        </w:rPr>
      </w:pPr>
      <w:r>
        <w:rPr>
          <w:rFonts w:ascii="宋体" w:hAnsi="宋体"/>
          <w:kern w:val="0"/>
          <w:sz w:val="24"/>
        </w:rPr>
        <w:t>特此声明</w:t>
      </w:r>
      <w:r>
        <w:rPr>
          <w:rFonts w:hint="eastAsia" w:ascii="宋体" w:hAnsi="宋体"/>
          <w:kern w:val="0"/>
          <w:sz w:val="24"/>
        </w:rPr>
        <w:t>。</w:t>
      </w:r>
    </w:p>
    <w:p>
      <w:pPr>
        <w:adjustRightInd w:val="0"/>
        <w:snapToGrid w:val="0"/>
        <w:spacing w:line="360" w:lineRule="auto"/>
        <w:ind w:firstLine="4838" w:firstLineChars="2016"/>
        <w:rPr>
          <w:rFonts w:ascii="宋体" w:hAnsi="宋体" w:cs="仿宋_GB2312"/>
          <w:kern w:val="0"/>
          <w:sz w:val="24"/>
          <w:lang w:val="zh-CN"/>
        </w:rPr>
      </w:pPr>
      <w:r>
        <w:rPr>
          <w:rFonts w:hint="eastAsia" w:ascii="宋体" w:hAnsi="宋体" w:cs="仿宋_GB2312"/>
          <w:kern w:val="0"/>
          <w:sz w:val="24"/>
          <w:lang w:val="zh-CN"/>
        </w:rPr>
        <w:t>投标人名称（公章）：</w:t>
      </w:r>
    </w:p>
    <w:p>
      <w:pPr>
        <w:adjustRightInd w:val="0"/>
        <w:snapToGrid w:val="0"/>
        <w:spacing w:line="360" w:lineRule="auto"/>
        <w:ind w:firstLine="4838" w:firstLineChars="2016"/>
        <w:rPr>
          <w:rFonts w:ascii="宋体" w:hAnsi="宋体" w:cs="仿宋_GB2312"/>
          <w:kern w:val="0"/>
          <w:sz w:val="24"/>
          <w:lang w:val="zh-CN"/>
        </w:rPr>
      </w:pPr>
      <w:r>
        <w:rPr>
          <w:rFonts w:hint="eastAsia" w:ascii="宋体" w:hAnsi="宋体" w:cs="仿宋_GB2312"/>
          <w:kern w:val="0"/>
          <w:sz w:val="24"/>
          <w:lang w:val="zh-CN"/>
        </w:rPr>
        <w:t>法定代表人或授权委托人签字：</w:t>
      </w:r>
    </w:p>
    <w:p>
      <w:pPr>
        <w:adjustRightInd w:val="0"/>
        <w:snapToGrid w:val="0"/>
        <w:spacing w:line="360" w:lineRule="auto"/>
        <w:ind w:firstLine="4838" w:firstLineChars="2016"/>
        <w:rPr>
          <w:rFonts w:ascii="宋体" w:hAnsi="宋体" w:cs="仿宋_GB2312"/>
          <w:kern w:val="0"/>
          <w:sz w:val="24"/>
          <w:lang w:val="zh-CN"/>
        </w:rPr>
      </w:pPr>
      <w:r>
        <w:rPr>
          <w:rFonts w:hint="eastAsia" w:ascii="宋体" w:hAnsi="宋体" w:cs="仿宋_GB2312"/>
          <w:kern w:val="0"/>
          <w:sz w:val="24"/>
          <w:lang w:val="zh-CN"/>
        </w:rPr>
        <w:t>日期：</w:t>
      </w:r>
      <w:r>
        <w:rPr>
          <w:rFonts w:hint="eastAsia" w:ascii="宋体" w:hAnsi="宋体" w:cstheme="minorBidi"/>
          <w:sz w:val="24"/>
          <w:lang w:val="en-US" w:eastAsia="zh-CN"/>
        </w:rPr>
        <w:t xml:space="preserve">    </w:t>
      </w:r>
      <w:r>
        <w:rPr>
          <w:rFonts w:hint="eastAsia" w:ascii="宋体" w:hAnsi="宋体" w:cs="仿宋_GB2312"/>
          <w:kern w:val="0"/>
          <w:sz w:val="24"/>
          <w:lang w:val="zh-CN"/>
        </w:rPr>
        <w:t xml:space="preserve">年 </w:t>
      </w:r>
      <w:r>
        <w:rPr>
          <w:rFonts w:hint="eastAsia" w:ascii="宋体" w:hAnsi="宋体" w:cstheme="minorBidi"/>
          <w:sz w:val="24"/>
          <w:lang w:val="en-US" w:eastAsia="zh-CN"/>
        </w:rPr>
        <w:t xml:space="preserve">  </w:t>
      </w:r>
      <w:r>
        <w:rPr>
          <w:rFonts w:hint="eastAsia" w:ascii="宋体" w:hAnsi="宋体" w:cs="仿宋_GB2312"/>
          <w:kern w:val="0"/>
          <w:sz w:val="24"/>
          <w:lang w:val="zh-CN"/>
        </w:rPr>
        <w:t xml:space="preserve"> 月 </w:t>
      </w:r>
      <w:r>
        <w:rPr>
          <w:rFonts w:hint="eastAsia" w:ascii="宋体" w:hAnsi="宋体" w:cstheme="minorBidi"/>
          <w:sz w:val="24"/>
          <w:lang w:val="en-US" w:eastAsia="zh-CN"/>
        </w:rPr>
        <w:t xml:space="preserve">   </w:t>
      </w:r>
      <w:r>
        <w:rPr>
          <w:rFonts w:hint="eastAsia" w:ascii="宋体" w:hAnsi="宋体" w:cs="仿宋_GB2312"/>
          <w:kern w:val="0"/>
          <w:sz w:val="24"/>
          <w:lang w:val="zh-CN"/>
        </w:rPr>
        <w:t>日</w:t>
      </w: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snapToGrid w:val="0"/>
        <w:spacing w:before="50" w:after="50" w:line="360" w:lineRule="auto"/>
        <w:rPr>
          <w:rFonts w:hint="eastAsia" w:ascii="宋体" w:hAnsi="宋体" w:cs="宋体"/>
          <w:sz w:val="24"/>
        </w:rPr>
      </w:pPr>
    </w:p>
    <w:p>
      <w:pPr>
        <w:rPr>
          <w:rFonts w:ascii="宋体" w:hAnsi="宋体"/>
          <w:b/>
          <w:sz w:val="28"/>
        </w:rPr>
      </w:pPr>
      <w:r>
        <w:rPr>
          <w:rFonts w:hint="eastAsia" w:ascii="宋体" w:hAnsi="宋体"/>
          <w:b/>
          <w:sz w:val="28"/>
        </w:rPr>
        <w:t>附件4</w:t>
      </w:r>
    </w:p>
    <w:p>
      <w:pPr>
        <w:jc w:val="center"/>
        <w:rPr>
          <w:rFonts w:ascii="宋体" w:hAnsi="宋体"/>
          <w:b/>
          <w:kern w:val="0"/>
          <w:sz w:val="32"/>
          <w:szCs w:val="32"/>
        </w:rPr>
      </w:pPr>
      <w:r>
        <w:rPr>
          <w:rFonts w:ascii="宋体" w:hAnsi="宋体"/>
          <w:b/>
          <w:kern w:val="0"/>
          <w:sz w:val="32"/>
          <w:szCs w:val="32"/>
        </w:rPr>
        <w:t>具有良好的商业信誉和健全的财务会计制度的承诺函</w:t>
      </w:r>
    </w:p>
    <w:p>
      <w:pPr>
        <w:jc w:val="center"/>
        <w:rPr>
          <w:rFonts w:ascii="宋体" w:hAnsi="宋体"/>
          <w:b/>
          <w:kern w:val="0"/>
          <w:sz w:val="32"/>
          <w:szCs w:val="32"/>
        </w:rPr>
      </w:pPr>
    </w:p>
    <w:p>
      <w:pPr>
        <w:widowControl/>
        <w:shd w:val="clear" w:color="auto" w:fill="FFFFFF"/>
        <w:spacing w:before="100" w:beforeAutospacing="1" w:after="100" w:afterAutospacing="1" w:line="480" w:lineRule="auto"/>
        <w:jc w:val="left"/>
        <w:rPr>
          <w:rFonts w:ascii="宋体" w:hAnsi="宋体"/>
          <w:kern w:val="0"/>
          <w:sz w:val="24"/>
        </w:rPr>
      </w:pPr>
      <w:r>
        <w:rPr>
          <w:rFonts w:hint="eastAsia" w:ascii="宋体" w:hAnsi="宋体"/>
          <w:kern w:val="0"/>
          <w:sz w:val="24"/>
          <w:u w:val="single"/>
          <w:lang w:eastAsia="zh-CN"/>
        </w:rPr>
        <w:t>台州湾新区管理委员会</w:t>
      </w:r>
      <w:r>
        <w:rPr>
          <w:rFonts w:ascii="宋体" w:hAnsi="宋体"/>
          <w:kern w:val="0"/>
          <w:sz w:val="24"/>
        </w:rPr>
        <w:t>：</w:t>
      </w:r>
    </w:p>
    <w:p>
      <w:pPr>
        <w:widowControl/>
        <w:shd w:val="clear" w:color="auto" w:fill="FFFFFF"/>
        <w:spacing w:before="100" w:beforeAutospacing="1" w:after="100" w:afterAutospacing="1" w:line="480" w:lineRule="auto"/>
        <w:ind w:firstLine="480" w:firstLineChars="200"/>
        <w:jc w:val="left"/>
        <w:rPr>
          <w:rFonts w:ascii="宋体" w:hAnsi="宋体"/>
          <w:kern w:val="0"/>
          <w:sz w:val="24"/>
        </w:rPr>
      </w:pPr>
      <w:r>
        <w:rPr>
          <w:rFonts w:ascii="宋体" w:hAnsi="宋体"/>
          <w:kern w:val="0"/>
          <w:sz w:val="24"/>
        </w:rPr>
        <w:t>我单位具有良好的商业信誉和健全的财务会计制度。如本声明失实，我单位自愿承担被取消成交资格等责任。</w:t>
      </w:r>
    </w:p>
    <w:p>
      <w:pPr>
        <w:widowControl/>
        <w:shd w:val="clear" w:color="auto" w:fill="FFFFFF"/>
        <w:spacing w:before="100" w:beforeAutospacing="1" w:after="100" w:afterAutospacing="1" w:line="480" w:lineRule="auto"/>
        <w:ind w:firstLine="480" w:firstLineChars="200"/>
        <w:jc w:val="left"/>
        <w:rPr>
          <w:rFonts w:ascii="宋体" w:hAnsi="宋体"/>
          <w:kern w:val="0"/>
          <w:sz w:val="24"/>
        </w:rPr>
      </w:pPr>
      <w:r>
        <w:rPr>
          <w:rFonts w:ascii="宋体" w:hAnsi="宋体"/>
          <w:kern w:val="0"/>
          <w:sz w:val="24"/>
        </w:rPr>
        <w:t>特此声明</w:t>
      </w:r>
      <w:r>
        <w:rPr>
          <w:rFonts w:hint="eastAsia" w:ascii="宋体" w:hAnsi="宋体"/>
          <w:kern w:val="0"/>
          <w:sz w:val="24"/>
        </w:rPr>
        <w:t>。</w:t>
      </w:r>
    </w:p>
    <w:p>
      <w:pPr>
        <w:adjustRightInd w:val="0"/>
        <w:snapToGrid w:val="0"/>
        <w:spacing w:line="360" w:lineRule="auto"/>
        <w:ind w:firstLine="4838" w:firstLineChars="2016"/>
        <w:rPr>
          <w:rFonts w:ascii="宋体" w:hAnsi="宋体" w:cs="仿宋_GB2312"/>
          <w:kern w:val="0"/>
          <w:sz w:val="24"/>
          <w:lang w:val="zh-CN"/>
        </w:rPr>
      </w:pPr>
      <w:r>
        <w:rPr>
          <w:rFonts w:hint="eastAsia" w:ascii="宋体" w:hAnsi="宋体" w:cs="仿宋_GB2312"/>
          <w:kern w:val="0"/>
          <w:sz w:val="24"/>
          <w:lang w:val="zh-CN"/>
        </w:rPr>
        <w:t>投标人名称（公章）：</w:t>
      </w:r>
    </w:p>
    <w:p>
      <w:pPr>
        <w:adjustRightInd w:val="0"/>
        <w:snapToGrid w:val="0"/>
        <w:spacing w:line="360" w:lineRule="auto"/>
        <w:ind w:firstLine="4838" w:firstLineChars="2016"/>
        <w:rPr>
          <w:rFonts w:ascii="宋体" w:hAnsi="宋体" w:cs="仿宋_GB2312"/>
          <w:kern w:val="0"/>
          <w:sz w:val="24"/>
          <w:lang w:val="zh-CN"/>
        </w:rPr>
      </w:pPr>
      <w:r>
        <w:rPr>
          <w:rFonts w:hint="eastAsia" w:ascii="宋体" w:hAnsi="宋体" w:cs="仿宋_GB2312"/>
          <w:kern w:val="0"/>
          <w:sz w:val="24"/>
          <w:lang w:val="zh-CN"/>
        </w:rPr>
        <w:t>法定代表人或授权委托人签字：</w:t>
      </w:r>
    </w:p>
    <w:p>
      <w:pPr>
        <w:adjustRightInd w:val="0"/>
        <w:snapToGrid w:val="0"/>
        <w:spacing w:line="360" w:lineRule="auto"/>
        <w:ind w:firstLine="4838" w:firstLineChars="2016"/>
        <w:rPr>
          <w:rFonts w:ascii="宋体" w:hAnsi="宋体" w:cs="仿宋_GB2312"/>
          <w:kern w:val="0"/>
          <w:sz w:val="24"/>
          <w:lang w:val="zh-CN"/>
        </w:rPr>
      </w:pPr>
      <w:r>
        <w:rPr>
          <w:rFonts w:hint="eastAsia" w:ascii="宋体" w:hAnsi="宋体" w:cs="仿宋_GB2312"/>
          <w:kern w:val="0"/>
          <w:sz w:val="24"/>
          <w:lang w:val="zh-CN"/>
        </w:rPr>
        <w:t>日期：</w:t>
      </w:r>
      <w:r>
        <w:rPr>
          <w:rFonts w:hint="eastAsia" w:ascii="宋体" w:hAnsi="宋体" w:cstheme="minorBidi"/>
          <w:sz w:val="24"/>
          <w:lang w:val="en-US" w:eastAsia="zh-CN"/>
        </w:rPr>
        <w:t xml:space="preserve">    </w:t>
      </w:r>
      <w:r>
        <w:rPr>
          <w:rFonts w:hint="eastAsia" w:ascii="宋体" w:hAnsi="宋体" w:cs="仿宋_GB2312"/>
          <w:kern w:val="0"/>
          <w:sz w:val="24"/>
          <w:lang w:val="zh-CN"/>
        </w:rPr>
        <w:t xml:space="preserve">年 </w:t>
      </w:r>
      <w:r>
        <w:rPr>
          <w:rFonts w:hint="eastAsia" w:ascii="宋体" w:hAnsi="宋体" w:cstheme="minorBidi"/>
          <w:sz w:val="24"/>
          <w:lang w:val="en-US" w:eastAsia="zh-CN"/>
        </w:rPr>
        <w:t xml:space="preserve">  </w:t>
      </w:r>
      <w:r>
        <w:rPr>
          <w:rFonts w:hint="eastAsia" w:ascii="宋体" w:hAnsi="宋体" w:cs="仿宋_GB2312"/>
          <w:kern w:val="0"/>
          <w:sz w:val="24"/>
          <w:lang w:val="zh-CN"/>
        </w:rPr>
        <w:t xml:space="preserve"> 月 </w:t>
      </w:r>
      <w:r>
        <w:rPr>
          <w:rFonts w:hint="eastAsia" w:ascii="宋体" w:hAnsi="宋体" w:cstheme="minorBidi"/>
          <w:sz w:val="24"/>
          <w:lang w:val="en-US" w:eastAsia="zh-CN"/>
        </w:rPr>
        <w:t xml:space="preserve">   </w:t>
      </w:r>
      <w:r>
        <w:rPr>
          <w:rFonts w:hint="eastAsia" w:ascii="宋体" w:hAnsi="宋体" w:cs="仿宋_GB2312"/>
          <w:kern w:val="0"/>
          <w:sz w:val="24"/>
          <w:lang w:val="zh-CN"/>
        </w:rPr>
        <w:t>日</w:t>
      </w:r>
    </w:p>
    <w:p>
      <w:pPr>
        <w:spacing w:line="360" w:lineRule="auto"/>
        <w:jc w:val="center"/>
        <w:rPr>
          <w:rFonts w:hint="eastAsia" w:ascii="宋体" w:hAnsi="宋体" w:cs="宋体"/>
          <w:color w:val="auto"/>
          <w:spacing w:val="40"/>
          <w:sz w:val="36"/>
          <w:szCs w:val="36"/>
          <w:highlight w:val="none"/>
        </w:rPr>
      </w:pPr>
    </w:p>
    <w:p>
      <w:pPr>
        <w:spacing w:line="360" w:lineRule="auto"/>
        <w:jc w:val="center"/>
        <w:rPr>
          <w:rFonts w:hint="eastAsia" w:ascii="宋体" w:hAnsi="宋体" w:cs="宋体"/>
          <w:color w:val="auto"/>
          <w:spacing w:val="40"/>
          <w:sz w:val="36"/>
          <w:szCs w:val="36"/>
          <w:highlight w:val="none"/>
        </w:rPr>
      </w:pPr>
    </w:p>
    <w:p>
      <w:pPr>
        <w:spacing w:line="360" w:lineRule="auto"/>
        <w:jc w:val="center"/>
        <w:rPr>
          <w:rFonts w:hint="eastAsia" w:ascii="宋体" w:hAnsi="宋体" w:cs="宋体"/>
          <w:color w:val="auto"/>
          <w:spacing w:val="40"/>
          <w:sz w:val="36"/>
          <w:szCs w:val="36"/>
          <w:highlight w:val="none"/>
        </w:rPr>
      </w:pPr>
    </w:p>
    <w:p>
      <w:pPr>
        <w:spacing w:line="360" w:lineRule="auto"/>
        <w:jc w:val="center"/>
        <w:rPr>
          <w:rFonts w:hint="eastAsia" w:ascii="宋体" w:hAnsi="宋体" w:cs="宋体"/>
          <w:color w:val="auto"/>
          <w:spacing w:val="40"/>
          <w:sz w:val="36"/>
          <w:szCs w:val="36"/>
          <w:highlight w:val="none"/>
        </w:rPr>
      </w:pPr>
    </w:p>
    <w:p>
      <w:pPr>
        <w:spacing w:line="360" w:lineRule="auto"/>
        <w:jc w:val="center"/>
        <w:rPr>
          <w:rFonts w:hint="eastAsia" w:ascii="宋体" w:hAnsi="宋体" w:cs="宋体"/>
          <w:color w:val="auto"/>
          <w:spacing w:val="40"/>
          <w:sz w:val="36"/>
          <w:szCs w:val="36"/>
          <w:highlight w:val="none"/>
        </w:rPr>
      </w:pPr>
    </w:p>
    <w:p>
      <w:pPr>
        <w:spacing w:line="360" w:lineRule="auto"/>
        <w:jc w:val="center"/>
        <w:rPr>
          <w:rFonts w:hint="eastAsia" w:ascii="宋体" w:hAnsi="宋体" w:cs="宋体"/>
          <w:color w:val="auto"/>
          <w:spacing w:val="40"/>
          <w:sz w:val="36"/>
          <w:szCs w:val="36"/>
          <w:highlight w:val="none"/>
        </w:rPr>
      </w:pPr>
    </w:p>
    <w:p>
      <w:pPr>
        <w:spacing w:line="360" w:lineRule="auto"/>
        <w:jc w:val="center"/>
        <w:rPr>
          <w:rFonts w:hint="eastAsia" w:ascii="宋体" w:hAnsi="宋体" w:cs="宋体"/>
          <w:color w:val="auto"/>
          <w:spacing w:val="40"/>
          <w:sz w:val="36"/>
          <w:szCs w:val="36"/>
          <w:highlight w:val="none"/>
        </w:rPr>
      </w:pPr>
    </w:p>
    <w:p>
      <w:pPr>
        <w:spacing w:line="360" w:lineRule="auto"/>
        <w:jc w:val="center"/>
        <w:rPr>
          <w:rFonts w:hint="eastAsia" w:ascii="宋体" w:hAnsi="宋体" w:cs="宋体"/>
          <w:color w:val="auto"/>
          <w:spacing w:val="40"/>
          <w:sz w:val="36"/>
          <w:szCs w:val="36"/>
          <w:highlight w:val="none"/>
        </w:rPr>
      </w:pPr>
    </w:p>
    <w:p>
      <w:pPr>
        <w:spacing w:line="360" w:lineRule="auto"/>
        <w:jc w:val="center"/>
        <w:rPr>
          <w:rFonts w:hint="eastAsia" w:ascii="宋体" w:hAnsi="宋体" w:cs="宋体"/>
          <w:color w:val="auto"/>
          <w:spacing w:val="40"/>
          <w:sz w:val="36"/>
          <w:szCs w:val="36"/>
          <w:highlight w:val="none"/>
        </w:rPr>
      </w:pPr>
    </w:p>
    <w:p>
      <w:pPr>
        <w:spacing w:line="360" w:lineRule="auto"/>
        <w:jc w:val="center"/>
        <w:rPr>
          <w:rFonts w:hint="eastAsia" w:ascii="宋体" w:hAnsi="宋体" w:cs="宋体"/>
          <w:color w:val="auto"/>
          <w:spacing w:val="40"/>
          <w:sz w:val="36"/>
          <w:szCs w:val="36"/>
          <w:highlight w:val="none"/>
        </w:rPr>
      </w:pPr>
    </w:p>
    <w:p>
      <w:pPr>
        <w:spacing w:line="360" w:lineRule="auto"/>
        <w:jc w:val="center"/>
        <w:rPr>
          <w:rFonts w:hint="eastAsia" w:ascii="宋体" w:hAnsi="宋体" w:cs="宋体"/>
          <w:color w:val="auto"/>
          <w:spacing w:val="40"/>
          <w:sz w:val="36"/>
          <w:szCs w:val="36"/>
          <w:highlight w:val="none"/>
        </w:rPr>
      </w:pPr>
    </w:p>
    <w:p>
      <w:pPr>
        <w:jc w:val="left"/>
        <w:rPr>
          <w:rFonts w:ascii="宋体" w:hAnsi="宋体"/>
          <w:b/>
          <w:kern w:val="0"/>
          <w:sz w:val="32"/>
          <w:szCs w:val="32"/>
        </w:rPr>
      </w:pPr>
      <w:r>
        <w:rPr>
          <w:rFonts w:hint="eastAsia" w:ascii="宋体" w:hAnsi="宋体"/>
          <w:b/>
          <w:kern w:val="0"/>
          <w:sz w:val="32"/>
          <w:szCs w:val="32"/>
        </w:rPr>
        <w:t>附件5</w:t>
      </w:r>
    </w:p>
    <w:p>
      <w:pPr>
        <w:jc w:val="center"/>
        <w:rPr>
          <w:rFonts w:ascii="宋体" w:hAnsi="宋体"/>
          <w:b/>
          <w:sz w:val="28"/>
        </w:rPr>
      </w:pPr>
      <w:r>
        <w:rPr>
          <w:rFonts w:ascii="宋体" w:hAnsi="宋体"/>
          <w:b/>
          <w:kern w:val="0"/>
          <w:sz w:val="32"/>
          <w:szCs w:val="32"/>
        </w:rPr>
        <w:t>具有履行合同所必须的设备和专业技术能力的承诺函</w:t>
      </w:r>
    </w:p>
    <w:p>
      <w:pPr>
        <w:jc w:val="center"/>
        <w:rPr>
          <w:rFonts w:ascii="宋体" w:hAnsi="宋体"/>
          <w:b/>
          <w:sz w:val="28"/>
        </w:rPr>
      </w:pPr>
    </w:p>
    <w:p>
      <w:pPr>
        <w:widowControl/>
        <w:shd w:val="clear" w:color="auto" w:fill="FFFFFF"/>
        <w:snapToGrid w:val="0"/>
        <w:spacing w:after="50" w:line="480" w:lineRule="auto"/>
        <w:jc w:val="left"/>
        <w:rPr>
          <w:rFonts w:ascii="宋体" w:hAnsi="宋体"/>
          <w:kern w:val="0"/>
          <w:sz w:val="24"/>
        </w:rPr>
      </w:pPr>
      <w:r>
        <w:rPr>
          <w:rFonts w:hint="eastAsia" w:ascii="宋体" w:hAnsi="宋体"/>
          <w:kern w:val="0"/>
          <w:sz w:val="24"/>
          <w:u w:val="single"/>
          <w:lang w:eastAsia="zh-CN"/>
        </w:rPr>
        <w:t>台州湾新区管理委员会</w:t>
      </w:r>
      <w:r>
        <w:rPr>
          <w:rFonts w:ascii="宋体" w:hAnsi="宋体"/>
          <w:kern w:val="0"/>
          <w:sz w:val="24"/>
        </w:rPr>
        <w:t>：</w:t>
      </w:r>
    </w:p>
    <w:p>
      <w:pPr>
        <w:widowControl/>
        <w:shd w:val="clear" w:color="auto" w:fill="FFFFFF"/>
        <w:spacing w:before="100" w:beforeAutospacing="1" w:after="100" w:afterAutospacing="1" w:line="480" w:lineRule="auto"/>
        <w:ind w:firstLine="480" w:firstLineChars="200"/>
        <w:jc w:val="left"/>
        <w:rPr>
          <w:rFonts w:ascii="宋体" w:hAnsi="宋体"/>
          <w:kern w:val="0"/>
          <w:sz w:val="24"/>
        </w:rPr>
      </w:pPr>
      <w:r>
        <w:rPr>
          <w:rFonts w:ascii="宋体" w:hAnsi="宋体"/>
          <w:kern w:val="0"/>
          <w:sz w:val="24"/>
        </w:rPr>
        <w:t>若我单位有幸成为</w:t>
      </w:r>
      <w:r>
        <w:rPr>
          <w:rFonts w:hint="eastAsia" w:ascii="宋体" w:hAnsi="宋体"/>
          <w:kern w:val="0"/>
          <w:sz w:val="24"/>
        </w:rPr>
        <w:t>城市地下市政基础设施普查</w:t>
      </w:r>
      <w:r>
        <w:rPr>
          <w:rFonts w:hint="eastAsia" w:hAnsi="宋体"/>
          <w:sz w:val="24"/>
        </w:rPr>
        <w:t>（</w:t>
      </w:r>
      <w:r>
        <w:rPr>
          <w:rFonts w:hint="eastAsia" w:ascii="宋体" w:hAnsi="宋体" w:cs="宋体"/>
          <w:kern w:val="0"/>
          <w:sz w:val="24"/>
        </w:rPr>
        <w:t>编号为台财采确临【2022】683号</w:t>
      </w:r>
      <w:r>
        <w:rPr>
          <w:rFonts w:hint="eastAsia" w:hAnsi="宋体" w:cs="宋体"/>
          <w:kern w:val="0"/>
          <w:sz w:val="24"/>
        </w:rPr>
        <w:t>）</w:t>
      </w:r>
      <w:r>
        <w:rPr>
          <w:rFonts w:ascii="宋体" w:hAnsi="宋体"/>
          <w:kern w:val="0"/>
          <w:sz w:val="24"/>
        </w:rPr>
        <w:t>的成交单位，我单位有履行该项目合同的设备和专业技术能力，胜任本项目的服务工作。如本声明失实，我单位自愿承担被取消成交资格等责任。</w:t>
      </w:r>
    </w:p>
    <w:p>
      <w:pPr>
        <w:widowControl/>
        <w:shd w:val="clear" w:color="auto" w:fill="FFFFFF"/>
        <w:spacing w:before="100" w:beforeAutospacing="1" w:after="100" w:afterAutospacing="1" w:line="360" w:lineRule="auto"/>
        <w:ind w:firstLine="480" w:firstLineChars="200"/>
        <w:jc w:val="left"/>
        <w:rPr>
          <w:rFonts w:ascii="宋体" w:hAnsi="宋体"/>
          <w:kern w:val="0"/>
          <w:sz w:val="24"/>
        </w:rPr>
      </w:pPr>
    </w:p>
    <w:p>
      <w:pPr>
        <w:widowControl/>
        <w:shd w:val="clear" w:color="auto" w:fill="FFFFFF"/>
        <w:spacing w:before="100" w:beforeAutospacing="1" w:after="100" w:afterAutospacing="1" w:line="360" w:lineRule="auto"/>
        <w:ind w:firstLine="480" w:firstLineChars="200"/>
        <w:jc w:val="left"/>
        <w:rPr>
          <w:rFonts w:ascii="宋体" w:hAnsi="宋体"/>
          <w:kern w:val="0"/>
          <w:sz w:val="24"/>
        </w:rPr>
      </w:pPr>
      <w:r>
        <w:rPr>
          <w:rFonts w:ascii="宋体" w:hAnsi="宋体"/>
          <w:kern w:val="0"/>
          <w:sz w:val="24"/>
        </w:rPr>
        <w:t>特此声明</w:t>
      </w:r>
      <w:r>
        <w:rPr>
          <w:rFonts w:hint="eastAsia" w:ascii="宋体" w:hAnsi="宋体"/>
          <w:kern w:val="0"/>
          <w:sz w:val="24"/>
        </w:rPr>
        <w:t>。</w:t>
      </w:r>
    </w:p>
    <w:p>
      <w:pPr>
        <w:adjustRightInd w:val="0"/>
        <w:snapToGrid w:val="0"/>
        <w:spacing w:line="360" w:lineRule="auto"/>
        <w:ind w:firstLine="4838" w:firstLineChars="2016"/>
        <w:rPr>
          <w:rFonts w:ascii="宋体" w:hAnsi="宋体" w:cs="仿宋_GB2312"/>
          <w:kern w:val="0"/>
          <w:sz w:val="24"/>
          <w:lang w:val="zh-CN"/>
        </w:rPr>
      </w:pPr>
      <w:r>
        <w:rPr>
          <w:rFonts w:hint="eastAsia" w:ascii="宋体" w:hAnsi="宋体" w:cs="仿宋_GB2312"/>
          <w:kern w:val="0"/>
          <w:sz w:val="24"/>
          <w:lang w:val="zh-CN"/>
        </w:rPr>
        <w:t>投标人名称（公章）：</w:t>
      </w:r>
    </w:p>
    <w:p>
      <w:pPr>
        <w:adjustRightInd w:val="0"/>
        <w:snapToGrid w:val="0"/>
        <w:spacing w:line="360" w:lineRule="auto"/>
        <w:ind w:firstLine="4838" w:firstLineChars="2016"/>
        <w:rPr>
          <w:rFonts w:ascii="宋体" w:hAnsi="宋体" w:cs="仿宋_GB2312"/>
          <w:kern w:val="0"/>
          <w:sz w:val="24"/>
          <w:lang w:val="zh-CN"/>
        </w:rPr>
      </w:pPr>
      <w:r>
        <w:rPr>
          <w:rFonts w:hint="eastAsia" w:ascii="宋体" w:hAnsi="宋体" w:cs="仿宋_GB2312"/>
          <w:kern w:val="0"/>
          <w:sz w:val="24"/>
          <w:lang w:val="zh-CN"/>
        </w:rPr>
        <w:t>法定代表人或授权委托人签字：</w:t>
      </w:r>
    </w:p>
    <w:p>
      <w:pPr>
        <w:spacing w:line="360" w:lineRule="auto"/>
        <w:jc w:val="center"/>
        <w:rPr>
          <w:rFonts w:hint="eastAsia" w:ascii="宋体" w:hAnsi="宋体" w:cs="仿宋_GB2312"/>
          <w:kern w:val="0"/>
          <w:sz w:val="24"/>
          <w:lang w:val="zh-CN"/>
        </w:rPr>
      </w:pPr>
      <w:r>
        <w:rPr>
          <w:rFonts w:hint="eastAsia" w:ascii="宋体" w:hAnsi="宋体" w:cs="仿宋_GB2312"/>
          <w:kern w:val="0"/>
          <w:sz w:val="24"/>
          <w:lang w:val="zh-CN"/>
        </w:rPr>
        <w:t>日期：</w:t>
      </w:r>
      <w:r>
        <w:rPr>
          <w:rFonts w:hint="eastAsia" w:ascii="宋体" w:hAnsi="宋体" w:cstheme="minorBidi"/>
          <w:sz w:val="24"/>
          <w:lang w:val="en-US" w:eastAsia="zh-CN"/>
        </w:rPr>
        <w:t xml:space="preserve">    </w:t>
      </w:r>
      <w:r>
        <w:rPr>
          <w:rFonts w:hint="eastAsia" w:ascii="宋体" w:hAnsi="宋体" w:cs="仿宋_GB2312"/>
          <w:kern w:val="0"/>
          <w:sz w:val="24"/>
          <w:lang w:val="zh-CN"/>
        </w:rPr>
        <w:t xml:space="preserve">年 </w:t>
      </w:r>
      <w:r>
        <w:rPr>
          <w:rFonts w:hint="eastAsia" w:ascii="宋体" w:hAnsi="宋体" w:cstheme="minorBidi"/>
          <w:sz w:val="24"/>
          <w:lang w:val="en-US" w:eastAsia="zh-CN"/>
        </w:rPr>
        <w:t xml:space="preserve">  </w:t>
      </w:r>
      <w:r>
        <w:rPr>
          <w:rFonts w:hint="eastAsia" w:ascii="宋体" w:hAnsi="宋体" w:cs="仿宋_GB2312"/>
          <w:kern w:val="0"/>
          <w:sz w:val="24"/>
          <w:lang w:val="zh-CN"/>
        </w:rPr>
        <w:t xml:space="preserve"> 月 </w:t>
      </w:r>
      <w:r>
        <w:rPr>
          <w:rFonts w:hint="eastAsia" w:ascii="宋体" w:hAnsi="宋体" w:cstheme="minorBidi"/>
          <w:sz w:val="24"/>
          <w:lang w:val="en-US" w:eastAsia="zh-CN"/>
        </w:rPr>
        <w:t xml:space="preserve">   </w:t>
      </w:r>
      <w:r>
        <w:rPr>
          <w:rFonts w:hint="eastAsia" w:ascii="宋体" w:hAnsi="宋体" w:cs="仿宋_GB2312"/>
          <w:kern w:val="0"/>
          <w:sz w:val="24"/>
          <w:lang w:val="zh-CN"/>
        </w:rPr>
        <w:t>日</w:t>
      </w: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hint="eastAsia" w:ascii="宋体" w:hAnsi="宋体" w:cs="仿宋_GB2312"/>
          <w:kern w:val="0"/>
          <w:sz w:val="24"/>
          <w:lang w:val="zh-CN"/>
        </w:rPr>
      </w:pPr>
    </w:p>
    <w:p>
      <w:pPr>
        <w:spacing w:line="360" w:lineRule="auto"/>
        <w:jc w:val="center"/>
        <w:rPr>
          <w:rFonts w:ascii="宋体" w:hAnsi="宋体" w:cs="宋体"/>
          <w:color w:val="auto"/>
          <w:spacing w:val="40"/>
          <w:sz w:val="36"/>
          <w:szCs w:val="36"/>
          <w:highlight w:val="none"/>
        </w:rPr>
      </w:pPr>
      <w:r>
        <w:rPr>
          <w:rFonts w:hint="eastAsia" w:ascii="宋体" w:hAnsi="宋体" w:cs="宋体"/>
          <w:color w:val="auto"/>
          <w:spacing w:val="40"/>
          <w:sz w:val="36"/>
          <w:szCs w:val="36"/>
          <w:highlight w:val="none"/>
        </w:rPr>
        <w:t>城市地下市政基础设施普查</w:t>
      </w:r>
    </w:p>
    <w:p>
      <w:pPr>
        <w:spacing w:line="360" w:lineRule="auto"/>
        <w:rPr>
          <w:rFonts w:ascii="宋体" w:hAnsi="宋体" w:cs="宋体"/>
          <w:color w:val="auto"/>
          <w:sz w:val="36"/>
          <w:szCs w:val="36"/>
          <w:highlight w:val="none"/>
        </w:rPr>
      </w:pPr>
    </w:p>
    <w:p>
      <w:pPr>
        <w:spacing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项目编号： 台财采确临【2022】683号</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投</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标</w:t>
      </w:r>
    </w:p>
    <w:p>
      <w:pPr>
        <w:autoSpaceDE w:val="0"/>
        <w:autoSpaceDN w:val="0"/>
        <w:adjustRightInd w:val="0"/>
        <w:spacing w:line="360" w:lineRule="auto"/>
        <w:jc w:val="center"/>
        <w:rPr>
          <w:rFonts w:ascii="宋体" w:hAnsi="宋体" w:cs="宋体"/>
          <w:color w:val="auto"/>
          <w:sz w:val="84"/>
          <w:szCs w:val="84"/>
          <w:highlight w:val="none"/>
        </w:rPr>
      </w:pPr>
      <w:r>
        <w:rPr>
          <w:rFonts w:hint="eastAsia" w:ascii="宋体" w:hAnsi="宋体" w:cs="宋体"/>
          <w:color w:val="auto"/>
          <w:sz w:val="84"/>
          <w:szCs w:val="84"/>
          <w:highlight w:val="none"/>
          <w:lang w:val="zh-CN"/>
        </w:rPr>
        <w:t>文</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件</w:t>
      </w:r>
    </w:p>
    <w:p>
      <w:pPr>
        <w:autoSpaceDE w:val="0"/>
        <w:autoSpaceDN w:val="0"/>
        <w:adjustRightInd w:val="0"/>
        <w:spacing w:line="360" w:lineRule="auto"/>
        <w:jc w:val="center"/>
        <w:rPr>
          <w:rFonts w:ascii="宋体" w:hAnsi="宋体" w:cs="宋体"/>
          <w:b/>
          <w:bCs/>
          <w:color w:val="auto"/>
          <w:spacing w:val="40"/>
          <w:szCs w:val="28"/>
          <w:highlight w:val="none"/>
        </w:rPr>
      </w:pPr>
      <w:r>
        <w:rPr>
          <w:rFonts w:hint="eastAsia" w:ascii="宋体" w:hAnsi="宋体" w:cs="宋体"/>
          <w:b/>
          <w:bCs/>
          <w:color w:val="auto"/>
          <w:szCs w:val="28"/>
          <w:highlight w:val="none"/>
          <w:lang w:val="zh-CN"/>
        </w:rPr>
        <w:t>（商务与技术文件</w:t>
      </w:r>
      <w:r>
        <w:rPr>
          <w:rFonts w:hint="eastAsia" w:ascii="宋体" w:hAnsi="宋体" w:cs="宋体"/>
          <w:b/>
          <w:bCs/>
          <w:color w:val="auto"/>
          <w:spacing w:val="40"/>
          <w:szCs w:val="28"/>
          <w:highlight w:val="none"/>
        </w:rPr>
        <w:t>）</w:t>
      </w:r>
    </w:p>
    <w:p>
      <w:pPr>
        <w:autoSpaceDE w:val="0"/>
        <w:autoSpaceDN w:val="0"/>
        <w:adjustRightInd w:val="0"/>
        <w:spacing w:line="360" w:lineRule="auto"/>
        <w:rPr>
          <w:rFonts w:ascii="宋体" w:hAnsi="宋体" w:cs="宋体"/>
          <w:color w:val="auto"/>
          <w:sz w:val="36"/>
          <w:szCs w:val="36"/>
          <w:highlight w:val="none"/>
        </w:rPr>
      </w:pPr>
    </w:p>
    <w:p>
      <w:pPr>
        <w:autoSpaceDE w:val="0"/>
        <w:autoSpaceDN w:val="0"/>
        <w:adjustRightInd w:val="0"/>
        <w:spacing w:line="360" w:lineRule="auto"/>
        <w:rPr>
          <w:rFonts w:ascii="宋体" w:hAnsi="宋体" w:cs="宋体"/>
          <w:color w:val="auto"/>
          <w:sz w:val="36"/>
          <w:szCs w:val="36"/>
          <w:highlight w:val="none"/>
        </w:rPr>
      </w:pPr>
      <w:r>
        <w:rPr>
          <w:rFonts w:hint="eastAsia" w:ascii="宋体" w:hAnsi="宋体" w:cs="宋体"/>
          <w:color w:val="auto"/>
          <w:sz w:val="36"/>
          <w:szCs w:val="36"/>
          <w:highlight w:val="none"/>
        </w:rPr>
        <w:t>投标人全称（公章或CA签章）：</w:t>
      </w:r>
    </w:p>
    <w:p>
      <w:pPr>
        <w:autoSpaceDE w:val="0"/>
        <w:autoSpaceDN w:val="0"/>
        <w:adjustRightInd w:val="0"/>
        <w:spacing w:line="360" w:lineRule="auto"/>
        <w:rPr>
          <w:rFonts w:ascii="宋体" w:hAnsi="宋体" w:cs="宋体"/>
          <w:color w:val="auto"/>
          <w:sz w:val="36"/>
          <w:szCs w:val="36"/>
          <w:highlight w:val="none"/>
        </w:rPr>
      </w:pPr>
      <w:r>
        <w:rPr>
          <w:rFonts w:hint="eastAsia" w:ascii="宋体" w:hAnsi="宋体" w:cs="宋体"/>
          <w:color w:val="auto"/>
          <w:sz w:val="36"/>
          <w:szCs w:val="36"/>
          <w:highlight w:val="none"/>
        </w:rPr>
        <w:t>法定代表人（签字或盖章）：</w:t>
      </w:r>
    </w:p>
    <w:p>
      <w:pPr>
        <w:autoSpaceDE w:val="0"/>
        <w:autoSpaceDN w:val="0"/>
        <w:adjustRightInd w:val="0"/>
        <w:spacing w:line="360" w:lineRule="auto"/>
        <w:rPr>
          <w:rFonts w:ascii="宋体" w:hAnsi="宋体" w:cs="宋体"/>
          <w:color w:val="auto"/>
          <w:sz w:val="36"/>
          <w:szCs w:val="36"/>
          <w:highlight w:val="none"/>
        </w:rPr>
      </w:pPr>
      <w:r>
        <w:rPr>
          <w:rFonts w:hint="eastAsia" w:ascii="宋体" w:hAnsi="宋体" w:cs="宋体"/>
          <w:color w:val="auto"/>
          <w:sz w:val="36"/>
          <w:szCs w:val="36"/>
          <w:highlight w:val="none"/>
        </w:rPr>
        <w:t>时间：</w:t>
      </w:r>
    </w:p>
    <w:p>
      <w:pPr>
        <w:snapToGrid w:val="0"/>
        <w:spacing w:before="50" w:after="50" w:line="360" w:lineRule="auto"/>
        <w:ind w:firstLine="1680" w:firstLineChars="700"/>
        <w:rPr>
          <w:rFonts w:hint="eastAsia" w:ascii="宋体" w:hAnsi="宋体" w:cs="宋体"/>
          <w:color w:val="auto"/>
          <w:sz w:val="24"/>
          <w:highlight w:val="none"/>
        </w:rPr>
      </w:pPr>
    </w:p>
    <w:p>
      <w:pPr>
        <w:snapToGrid w:val="0"/>
        <w:spacing w:before="50" w:after="50" w:line="360" w:lineRule="auto"/>
        <w:ind w:firstLine="1680" w:firstLineChars="700"/>
        <w:rPr>
          <w:rFonts w:hint="eastAsia" w:ascii="宋体" w:hAnsi="宋体" w:cs="宋体"/>
          <w:color w:val="auto"/>
          <w:sz w:val="24"/>
          <w:highlight w:val="none"/>
        </w:rPr>
      </w:pPr>
    </w:p>
    <w:p>
      <w:pPr>
        <w:snapToGrid w:val="0"/>
        <w:spacing w:before="50" w:after="50" w:line="360" w:lineRule="auto"/>
        <w:ind w:firstLine="1680" w:firstLineChars="700"/>
        <w:rPr>
          <w:rFonts w:hint="eastAsia" w:ascii="宋体" w:hAnsi="宋体" w:cs="宋体"/>
          <w:color w:val="auto"/>
          <w:sz w:val="24"/>
          <w:highlight w:val="none"/>
        </w:rPr>
      </w:pPr>
    </w:p>
    <w:p>
      <w:pPr>
        <w:snapToGrid w:val="0"/>
        <w:spacing w:before="50" w:after="50" w:line="360" w:lineRule="auto"/>
        <w:ind w:firstLine="1680" w:firstLineChars="700"/>
        <w:rPr>
          <w:rFonts w:hint="eastAsia" w:ascii="宋体" w:hAnsi="宋体" w:cs="宋体"/>
          <w:color w:val="auto"/>
          <w:sz w:val="24"/>
          <w:highlight w:val="none"/>
        </w:rPr>
      </w:pPr>
    </w:p>
    <w:p>
      <w:pPr>
        <w:jc w:val="center"/>
        <w:rPr>
          <w:rFonts w:hint="eastAsia"/>
          <w:b/>
          <w:bCs/>
          <w:color w:val="auto"/>
          <w:sz w:val="36"/>
          <w:szCs w:val="36"/>
          <w:highlight w:val="none"/>
          <w:lang w:val="zh-CN"/>
        </w:rPr>
      </w:pPr>
    </w:p>
    <w:p>
      <w:pPr>
        <w:jc w:val="center"/>
        <w:rPr>
          <w:rFonts w:hint="eastAsia"/>
          <w:b/>
          <w:bCs/>
          <w:color w:val="auto"/>
          <w:sz w:val="36"/>
          <w:szCs w:val="36"/>
          <w:highlight w:val="none"/>
          <w:lang w:val="zh-CN"/>
        </w:rPr>
      </w:pPr>
    </w:p>
    <w:p>
      <w:pPr>
        <w:jc w:val="center"/>
        <w:rPr>
          <w:rFonts w:hint="eastAsia"/>
          <w:b/>
          <w:bCs/>
          <w:color w:val="auto"/>
          <w:sz w:val="36"/>
          <w:szCs w:val="36"/>
          <w:highlight w:val="none"/>
          <w:lang w:val="zh-CN"/>
        </w:rPr>
      </w:pPr>
    </w:p>
    <w:p>
      <w:pPr>
        <w:jc w:val="center"/>
        <w:rPr>
          <w:rFonts w:hint="eastAsia"/>
          <w:b/>
          <w:bCs/>
          <w:color w:val="auto"/>
          <w:sz w:val="36"/>
          <w:szCs w:val="36"/>
          <w:highlight w:val="none"/>
          <w:lang w:val="zh-CN"/>
        </w:rPr>
      </w:pPr>
    </w:p>
    <w:p>
      <w:pPr>
        <w:jc w:val="center"/>
        <w:rPr>
          <w:b/>
          <w:bCs/>
          <w:color w:val="auto"/>
          <w:sz w:val="36"/>
          <w:szCs w:val="36"/>
          <w:highlight w:val="none"/>
        </w:rPr>
      </w:pPr>
      <w:r>
        <w:rPr>
          <w:rFonts w:hint="eastAsia"/>
          <w:b/>
          <w:bCs/>
          <w:color w:val="auto"/>
          <w:sz w:val="36"/>
          <w:szCs w:val="36"/>
          <w:highlight w:val="none"/>
          <w:lang w:val="zh-CN"/>
        </w:rPr>
        <w:t>商务与技术文件</w:t>
      </w:r>
      <w:r>
        <w:rPr>
          <w:rFonts w:hint="eastAsia"/>
          <w:b/>
          <w:bCs/>
          <w:color w:val="auto"/>
          <w:sz w:val="36"/>
          <w:szCs w:val="36"/>
          <w:highlight w:val="none"/>
        </w:rPr>
        <w:t>目录</w:t>
      </w:r>
    </w:p>
    <w:p>
      <w:pPr>
        <w:spacing w:line="360" w:lineRule="auto"/>
        <w:rPr>
          <w:color w:val="auto"/>
          <w:sz w:val="24"/>
          <w:highlight w:val="none"/>
        </w:rPr>
      </w:pPr>
    </w:p>
    <w:p>
      <w:pPr>
        <w:snapToGrid w:val="0"/>
        <w:spacing w:line="360" w:lineRule="auto"/>
        <w:ind w:firstLine="480" w:firstLineChars="200"/>
        <w:rPr>
          <w:rFonts w:ascii="宋体" w:hAnsi="宋体"/>
          <w:bCs/>
          <w:sz w:val="24"/>
        </w:rPr>
      </w:pPr>
      <w:r>
        <w:rPr>
          <w:rFonts w:hint="eastAsia" w:ascii="宋体" w:hAnsi="宋体"/>
          <w:bCs/>
          <w:sz w:val="24"/>
        </w:rPr>
        <w:t>（</w:t>
      </w:r>
      <w:r>
        <w:rPr>
          <w:rFonts w:ascii="宋体" w:hAnsi="宋体"/>
          <w:bCs/>
          <w:sz w:val="24"/>
        </w:rPr>
        <w:t>1）</w:t>
      </w:r>
      <w:r>
        <w:rPr>
          <w:rFonts w:hint="eastAsia" w:ascii="宋体" w:hAnsi="宋体"/>
          <w:bCs/>
          <w:sz w:val="24"/>
        </w:rPr>
        <w:t>投标人情况介绍（附件6）；</w:t>
      </w:r>
    </w:p>
    <w:p>
      <w:pPr>
        <w:snapToGrid w:val="0"/>
        <w:spacing w:line="360" w:lineRule="auto"/>
        <w:ind w:firstLine="480" w:firstLineChars="200"/>
        <w:rPr>
          <w:rFonts w:ascii="宋体" w:hAnsi="宋体"/>
          <w:bCs/>
          <w:sz w:val="24"/>
        </w:rPr>
      </w:pPr>
      <w:r>
        <w:rPr>
          <w:rFonts w:hint="eastAsia" w:ascii="宋体" w:hAnsi="宋体"/>
          <w:bCs/>
          <w:sz w:val="24"/>
        </w:rPr>
        <w:t>（2）各投标人根据自身对本项目的解读，按照本招标文件第四章“评标办法及评分标准”中商务与技术文件的打分内容，并结合第二章“招标需求”，由各投标人自行编制商务与技术文件，并装订成册；</w:t>
      </w:r>
    </w:p>
    <w:p>
      <w:pPr>
        <w:snapToGrid w:val="0"/>
        <w:spacing w:line="360" w:lineRule="auto"/>
        <w:ind w:firstLine="480" w:firstLineChars="200"/>
        <w:rPr>
          <w:rFonts w:ascii="宋体" w:hAnsi="宋体"/>
          <w:bCs/>
          <w:sz w:val="24"/>
        </w:rPr>
      </w:pPr>
      <w:r>
        <w:rPr>
          <w:rFonts w:hint="eastAsia" w:ascii="宋体" w:hAnsi="宋体"/>
          <w:bCs/>
          <w:sz w:val="24"/>
        </w:rPr>
        <w:t>（3）投标人业绩一览表（附件7）；</w:t>
      </w:r>
    </w:p>
    <w:p>
      <w:pPr>
        <w:snapToGrid w:val="0"/>
        <w:spacing w:line="360" w:lineRule="auto"/>
        <w:ind w:firstLine="480" w:firstLineChars="200"/>
        <w:rPr>
          <w:rFonts w:ascii="宋体" w:hAnsi="宋体"/>
          <w:bCs/>
          <w:sz w:val="24"/>
        </w:rPr>
      </w:pPr>
      <w:r>
        <w:rPr>
          <w:rFonts w:hint="eastAsia" w:ascii="宋体" w:hAnsi="宋体"/>
          <w:bCs/>
          <w:sz w:val="24"/>
        </w:rPr>
        <w:t>（4）拟参与本项目的主要人员资格及简历（附件8）；</w:t>
      </w:r>
    </w:p>
    <w:p>
      <w:pPr>
        <w:snapToGrid w:val="0"/>
        <w:spacing w:line="360" w:lineRule="auto"/>
        <w:ind w:firstLine="480" w:firstLineChars="200"/>
        <w:rPr>
          <w:rFonts w:ascii="Calibri" w:hAnsi="Calibri" w:cs="Calibri"/>
          <w:sz w:val="24"/>
        </w:rPr>
      </w:pPr>
      <w:r>
        <w:rPr>
          <w:rFonts w:hint="eastAsia" w:ascii="宋体" w:hAnsi="宋体"/>
          <w:bCs/>
          <w:sz w:val="24"/>
        </w:rPr>
        <w:t>（5）</w:t>
      </w:r>
      <w:r>
        <w:rPr>
          <w:rFonts w:hint="eastAsia" w:ascii="Calibri" w:hAnsi="Calibri" w:cs="Calibri"/>
          <w:sz w:val="24"/>
        </w:rPr>
        <w:t>服务条款响应表（附件9）；</w:t>
      </w:r>
    </w:p>
    <w:p>
      <w:pPr>
        <w:pStyle w:val="10"/>
        <w:widowControl/>
        <w:numPr>
          <w:ilvl w:val="255"/>
          <w:numId w:val="0"/>
        </w:numPr>
        <w:adjustRightInd w:val="0"/>
        <w:snapToGrid w:val="0"/>
        <w:spacing w:line="360" w:lineRule="auto"/>
        <w:ind w:firstLine="480" w:firstLineChars="200"/>
        <w:rPr>
          <w:rFonts w:ascii="宋体" w:hAnsi="宋体"/>
          <w:bCs/>
          <w:sz w:val="24"/>
        </w:rPr>
      </w:pPr>
      <w:r>
        <w:rPr>
          <w:rFonts w:hint="eastAsia" w:ascii="宋体" w:hAnsi="宋体"/>
          <w:bCs/>
          <w:sz w:val="24"/>
        </w:rPr>
        <w:t>（6）证书一览表（与本项目相关的认证证书或文件；附件10）；</w:t>
      </w:r>
    </w:p>
    <w:p>
      <w:pPr>
        <w:pStyle w:val="10"/>
        <w:widowControl/>
        <w:numPr>
          <w:ilvl w:val="255"/>
          <w:numId w:val="0"/>
        </w:numPr>
        <w:snapToGrid w:val="0"/>
        <w:spacing w:line="360" w:lineRule="auto"/>
        <w:ind w:firstLine="480" w:firstLineChars="200"/>
        <w:rPr>
          <w:rFonts w:ascii="宋体" w:hAnsi="宋体"/>
          <w:bCs/>
          <w:sz w:val="24"/>
        </w:rPr>
      </w:pPr>
      <w:r>
        <w:rPr>
          <w:rFonts w:hint="eastAsia" w:ascii="宋体" w:hAnsi="宋体"/>
          <w:bCs/>
          <w:sz w:val="24"/>
        </w:rPr>
        <w:t>（7）同类业绩证明（如有，需提供合同复印件；附件11）；</w:t>
      </w:r>
    </w:p>
    <w:p>
      <w:pPr>
        <w:pStyle w:val="10"/>
        <w:widowControl/>
        <w:adjustRightInd w:val="0"/>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bCs/>
          <w:sz w:val="24"/>
        </w:rPr>
        <w:t>（8）符合招标文件规定的其他证明文件及评分标准中涉及的其他材料</w:t>
      </w:r>
      <w:r>
        <w:rPr>
          <w:rFonts w:hint="eastAsia"/>
          <w:color w:val="000000" w:themeColor="text1"/>
          <w:sz w:val="24"/>
          <w:szCs w:val="24"/>
          <w14:textFill>
            <w14:solidFill>
              <w14:schemeClr w14:val="tx1"/>
            </w14:solidFill>
          </w14:textFill>
        </w:rPr>
        <w:t>。</w:t>
      </w:r>
    </w:p>
    <w:p>
      <w:pPr>
        <w:pStyle w:val="10"/>
        <w:numPr>
          <w:ilvl w:val="255"/>
          <w:numId w:val="0"/>
        </w:numPr>
        <w:snapToGrid w:val="0"/>
        <w:spacing w:line="360" w:lineRule="auto"/>
        <w:ind w:firstLine="422" w:firstLineChars="200"/>
        <w:jc w:val="both"/>
        <w:rPr>
          <w:rFonts w:cs="宋体"/>
          <w:b/>
          <w:color w:val="auto"/>
          <w:highlight w:val="none"/>
        </w:rPr>
        <w:sectPr>
          <w:headerReference r:id="rId6" w:type="default"/>
          <w:footerReference r:id="rId7" w:type="default"/>
          <w:pgSz w:w="11907" w:h="16840"/>
          <w:pgMar w:top="1361" w:right="1247" w:bottom="1247" w:left="1304" w:header="851" w:footer="992" w:gutter="0"/>
          <w:cols w:space="720" w:num="1"/>
          <w:docGrid w:linePitch="312" w:charSpace="0"/>
        </w:sectPr>
      </w:pPr>
    </w:p>
    <w:p>
      <w:pPr>
        <w:pStyle w:val="120"/>
        <w:shd w:val="clear" w:color="auto" w:fill="FFFFFF"/>
        <w:spacing w:before="0" w:beforeAutospacing="0" w:after="0" w:afterAutospacing="0" w:line="360" w:lineRule="auto"/>
        <w:rPr>
          <w:rFonts w:hint="eastAsia" w:eastAsia="宋体"/>
          <w:b/>
          <w:color w:val="auto"/>
          <w:sz w:val="28"/>
          <w:highlight w:val="none"/>
          <w:lang w:eastAsia="zh-CN"/>
        </w:rPr>
      </w:pPr>
      <w:r>
        <w:rPr>
          <w:rFonts w:hint="eastAsia"/>
          <w:b/>
          <w:color w:val="auto"/>
          <w:sz w:val="28"/>
          <w:highlight w:val="none"/>
        </w:rPr>
        <w:t>附件</w:t>
      </w:r>
      <w:r>
        <w:rPr>
          <w:rFonts w:hint="eastAsia"/>
          <w:b/>
          <w:color w:val="auto"/>
          <w:sz w:val="28"/>
          <w:highlight w:val="none"/>
          <w:lang w:val="en-US" w:eastAsia="zh-CN"/>
        </w:rPr>
        <w:t>6</w:t>
      </w:r>
    </w:p>
    <w:p>
      <w:pPr>
        <w:pStyle w:val="120"/>
        <w:shd w:val="clear" w:color="auto" w:fill="FFFFFF"/>
        <w:spacing w:before="0" w:beforeAutospacing="0" w:after="0" w:afterAutospacing="0" w:line="360" w:lineRule="auto"/>
        <w:jc w:val="center"/>
        <w:rPr>
          <w:rFonts w:eastAsia="微软雅黑"/>
          <w:color w:val="auto"/>
          <w:sz w:val="36"/>
          <w:szCs w:val="36"/>
          <w:highlight w:val="none"/>
        </w:rPr>
      </w:pPr>
      <w:r>
        <w:rPr>
          <w:rFonts w:hint="eastAsia"/>
          <w:b/>
          <w:color w:val="auto"/>
          <w:sz w:val="32"/>
          <w:szCs w:val="32"/>
          <w:highlight w:val="none"/>
        </w:rPr>
        <w:t xml:space="preserve">  </w:t>
      </w:r>
      <w:bookmarkStart w:id="131" w:name="_Toc13307_WPSOffice_Level1"/>
      <w:bookmarkStart w:id="132" w:name="_Toc14261_WPSOffice_Level1"/>
      <w:r>
        <w:rPr>
          <w:rFonts w:hint="eastAsia"/>
          <w:b/>
          <w:color w:val="auto"/>
          <w:sz w:val="32"/>
          <w:szCs w:val="32"/>
          <w:highlight w:val="none"/>
        </w:rPr>
        <w:t>投标</w:t>
      </w:r>
      <w:r>
        <w:rPr>
          <w:rFonts w:hint="eastAsia"/>
          <w:b/>
          <w:bCs/>
          <w:color w:val="auto"/>
          <w:sz w:val="32"/>
          <w:szCs w:val="32"/>
          <w:highlight w:val="none"/>
        </w:rPr>
        <w:t>人基本情况表</w:t>
      </w:r>
      <w:bookmarkEnd w:id="131"/>
      <w:bookmarkEnd w:id="132"/>
    </w:p>
    <w:tbl>
      <w:tblPr>
        <w:tblStyle w:val="38"/>
        <w:tblpPr w:leftFromText="181" w:rightFromText="181" w:bottomFromText="170" w:vertAnchor="text" w:tblpXSpec="center" w:tblpY="1"/>
        <w:tblOverlap w:val="never"/>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823" w:type="dxa"/>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企业名称</w:t>
            </w:r>
          </w:p>
        </w:tc>
        <w:tc>
          <w:tcPr>
            <w:tcW w:w="3979" w:type="dxa"/>
            <w:gridSpan w:val="6"/>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2001" w:type="dxa"/>
            <w:gridSpan w:val="3"/>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法人代表</w:t>
            </w:r>
          </w:p>
        </w:tc>
        <w:tc>
          <w:tcPr>
            <w:tcW w:w="2151" w:type="dxa"/>
            <w:gridSpan w:val="2"/>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823" w:type="dxa"/>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地址</w:t>
            </w:r>
          </w:p>
        </w:tc>
        <w:tc>
          <w:tcPr>
            <w:tcW w:w="3979" w:type="dxa"/>
            <w:gridSpan w:val="6"/>
            <w:tcBorders>
              <w:bottom w:val="single" w:color="auto" w:sz="4" w:space="0"/>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2001" w:type="dxa"/>
            <w:gridSpan w:val="3"/>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企业性质</w:t>
            </w:r>
          </w:p>
        </w:tc>
        <w:tc>
          <w:tcPr>
            <w:tcW w:w="2151" w:type="dxa"/>
            <w:gridSpan w:val="2"/>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823" w:type="dxa"/>
            <w:tcBorders>
              <w:bottom w:val="single" w:color="auto" w:sz="4" w:space="0"/>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股东姓名</w:t>
            </w:r>
          </w:p>
        </w:tc>
        <w:tc>
          <w:tcPr>
            <w:tcW w:w="701" w:type="dxa"/>
            <w:tcBorders>
              <w:bottom w:val="single" w:color="auto" w:sz="4" w:space="0"/>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910" w:type="dxa"/>
            <w:gridSpan w:val="2"/>
            <w:tcBorders>
              <w:bottom w:val="single" w:color="auto" w:sz="4" w:space="0"/>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股权结构（%）</w:t>
            </w:r>
          </w:p>
        </w:tc>
        <w:tc>
          <w:tcPr>
            <w:tcW w:w="2368" w:type="dxa"/>
            <w:gridSpan w:val="3"/>
            <w:tcBorders>
              <w:bottom w:val="single" w:color="auto" w:sz="4" w:space="0"/>
            </w:tcBorders>
            <w:tcMar>
              <w:top w:w="57" w:type="dxa"/>
              <w:left w:w="85" w:type="dxa"/>
              <w:bottom w:w="0" w:type="dxa"/>
              <w:right w:w="85" w:type="dxa"/>
            </w:tcMar>
            <w:vAlign w:val="center"/>
          </w:tcPr>
          <w:p>
            <w:pPr>
              <w:widowControl/>
              <w:jc w:val="center"/>
              <w:rPr>
                <w:rFonts w:ascii="宋体" w:hAnsi="宋体" w:cs="宋体"/>
                <w:bCs/>
                <w:color w:val="auto"/>
                <w:kern w:val="0"/>
                <w:sz w:val="24"/>
                <w:highlight w:val="none"/>
              </w:rPr>
            </w:pPr>
          </w:p>
          <w:p>
            <w:pPr>
              <w:pStyle w:val="120"/>
              <w:shd w:val="clear" w:color="auto" w:fill="FFFFFF"/>
              <w:spacing w:before="0" w:beforeAutospacing="0" w:after="0" w:afterAutospacing="0"/>
              <w:jc w:val="center"/>
              <w:rPr>
                <w:bCs/>
                <w:color w:val="auto"/>
                <w:highlight w:val="none"/>
              </w:rPr>
            </w:pPr>
          </w:p>
        </w:tc>
        <w:tc>
          <w:tcPr>
            <w:tcW w:w="2001" w:type="dxa"/>
            <w:gridSpan w:val="3"/>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股东关系</w:t>
            </w:r>
          </w:p>
        </w:tc>
        <w:tc>
          <w:tcPr>
            <w:tcW w:w="2151" w:type="dxa"/>
            <w:gridSpan w:val="2"/>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823" w:type="dxa"/>
            <w:vMerge w:val="restart"/>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联系人姓名</w:t>
            </w:r>
          </w:p>
        </w:tc>
        <w:tc>
          <w:tcPr>
            <w:tcW w:w="701" w:type="dxa"/>
            <w:vMerge w:val="restart"/>
            <w:tcBorders>
              <w:top w:val="nil"/>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910" w:type="dxa"/>
            <w:gridSpan w:val="2"/>
            <w:tcBorders>
              <w:top w:val="nil"/>
              <w:bottom w:val="single" w:color="auto" w:sz="4" w:space="0"/>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固定电话</w:t>
            </w:r>
          </w:p>
        </w:tc>
        <w:tc>
          <w:tcPr>
            <w:tcW w:w="2368" w:type="dxa"/>
            <w:gridSpan w:val="3"/>
            <w:tcBorders>
              <w:top w:val="nil"/>
              <w:bottom w:val="single" w:color="auto" w:sz="4" w:space="0"/>
            </w:tcBorders>
            <w:tcMar>
              <w:top w:w="57" w:type="dxa"/>
              <w:left w:w="85" w:type="dxa"/>
              <w:bottom w:w="0" w:type="dxa"/>
              <w:right w:w="85" w:type="dxa"/>
            </w:tcMar>
            <w:vAlign w:val="center"/>
          </w:tcPr>
          <w:p>
            <w:pPr>
              <w:widowControl/>
              <w:jc w:val="center"/>
              <w:rPr>
                <w:rFonts w:ascii="宋体" w:hAnsi="宋体" w:cs="宋体"/>
                <w:bCs/>
                <w:color w:val="auto"/>
                <w:kern w:val="0"/>
                <w:sz w:val="24"/>
                <w:highlight w:val="none"/>
              </w:rPr>
            </w:pPr>
          </w:p>
          <w:p>
            <w:pPr>
              <w:pStyle w:val="120"/>
              <w:shd w:val="clear" w:color="auto" w:fill="FFFFFF"/>
              <w:spacing w:before="0" w:beforeAutospacing="0" w:after="0" w:afterAutospacing="0"/>
              <w:jc w:val="center"/>
              <w:rPr>
                <w:bCs/>
                <w:color w:val="auto"/>
                <w:highlight w:val="none"/>
              </w:rPr>
            </w:pPr>
          </w:p>
        </w:tc>
        <w:tc>
          <w:tcPr>
            <w:tcW w:w="2001" w:type="dxa"/>
            <w:gridSpan w:val="3"/>
            <w:vMerge w:val="restart"/>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传真</w:t>
            </w:r>
          </w:p>
        </w:tc>
        <w:tc>
          <w:tcPr>
            <w:tcW w:w="2151" w:type="dxa"/>
            <w:gridSpan w:val="2"/>
            <w:vMerge w:val="restart"/>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23" w:type="dxa"/>
            <w:vMerge w:val="continue"/>
            <w:tcBorders>
              <w:bottom w:val="single" w:color="auto" w:sz="4" w:space="0"/>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701" w:type="dxa"/>
            <w:vMerge w:val="continue"/>
            <w:tcBorders>
              <w:bottom w:val="single" w:color="auto" w:sz="4" w:space="0"/>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910" w:type="dxa"/>
            <w:gridSpan w:val="2"/>
            <w:tcBorders>
              <w:bottom w:val="single" w:color="auto" w:sz="4" w:space="0"/>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手机</w:t>
            </w:r>
          </w:p>
        </w:tc>
        <w:tc>
          <w:tcPr>
            <w:tcW w:w="2368" w:type="dxa"/>
            <w:gridSpan w:val="3"/>
            <w:tcBorders>
              <w:bottom w:val="single" w:color="auto" w:sz="4" w:space="0"/>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2001" w:type="dxa"/>
            <w:gridSpan w:val="3"/>
            <w:vMerge w:val="continue"/>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2151" w:type="dxa"/>
            <w:gridSpan w:val="2"/>
            <w:vMerge w:val="continue"/>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823" w:type="dxa"/>
            <w:vMerge w:val="restart"/>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bCs/>
                <w:color w:val="auto"/>
                <w:highlight w:val="none"/>
              </w:rPr>
              <w:t>1</w:t>
            </w:r>
            <w:r>
              <w:rPr>
                <w:rFonts w:hint="eastAsia"/>
                <w:bCs/>
                <w:color w:val="auto"/>
                <w:highlight w:val="none"/>
              </w:rPr>
              <w:t>.</w:t>
            </w:r>
          </w:p>
          <w:p>
            <w:pPr>
              <w:pStyle w:val="120"/>
              <w:shd w:val="clear" w:color="auto" w:fill="FFFFFF"/>
              <w:spacing w:before="0" w:beforeAutospacing="0" w:after="0" w:afterAutospacing="0"/>
              <w:jc w:val="center"/>
              <w:rPr>
                <w:bCs/>
                <w:color w:val="auto"/>
                <w:highlight w:val="none"/>
              </w:rPr>
            </w:pPr>
            <w:r>
              <w:rPr>
                <w:rFonts w:hint="eastAsia"/>
                <w:bCs/>
                <w:color w:val="auto"/>
                <w:highlight w:val="none"/>
              </w:rPr>
              <w:t>企</w:t>
            </w:r>
          </w:p>
          <w:p>
            <w:pPr>
              <w:pStyle w:val="120"/>
              <w:shd w:val="clear" w:color="auto" w:fill="FFFFFF"/>
              <w:spacing w:before="0" w:beforeAutospacing="0" w:after="0" w:afterAutospacing="0"/>
              <w:jc w:val="center"/>
              <w:rPr>
                <w:bCs/>
                <w:color w:val="auto"/>
                <w:highlight w:val="none"/>
              </w:rPr>
            </w:pPr>
            <w:r>
              <w:rPr>
                <w:rFonts w:hint="eastAsia"/>
                <w:bCs/>
                <w:color w:val="auto"/>
                <w:highlight w:val="none"/>
              </w:rPr>
              <w:t>业</w:t>
            </w:r>
          </w:p>
          <w:p>
            <w:pPr>
              <w:pStyle w:val="120"/>
              <w:shd w:val="clear" w:color="auto" w:fill="FFFFFF"/>
              <w:spacing w:before="0" w:beforeAutospacing="0" w:after="0" w:afterAutospacing="0"/>
              <w:jc w:val="center"/>
              <w:rPr>
                <w:bCs/>
                <w:color w:val="auto"/>
                <w:highlight w:val="none"/>
              </w:rPr>
            </w:pPr>
            <w:r>
              <w:rPr>
                <w:rFonts w:hint="eastAsia"/>
                <w:bCs/>
                <w:color w:val="auto"/>
                <w:highlight w:val="none"/>
              </w:rPr>
              <w:t>概</w:t>
            </w:r>
          </w:p>
          <w:p>
            <w:pPr>
              <w:pStyle w:val="120"/>
              <w:shd w:val="clear" w:color="auto" w:fill="FFFFFF"/>
              <w:spacing w:before="0" w:beforeAutospacing="0" w:after="0" w:afterAutospacing="0"/>
              <w:jc w:val="center"/>
              <w:rPr>
                <w:bCs/>
                <w:color w:val="auto"/>
                <w:highlight w:val="none"/>
              </w:rPr>
            </w:pPr>
            <w:r>
              <w:rPr>
                <w:rFonts w:hint="eastAsia"/>
                <w:bCs/>
                <w:color w:val="auto"/>
                <w:highlight w:val="none"/>
              </w:rPr>
              <w:t>况</w:t>
            </w:r>
          </w:p>
        </w:tc>
        <w:tc>
          <w:tcPr>
            <w:tcW w:w="701" w:type="dxa"/>
            <w:tcBorders>
              <w:top w:val="nil"/>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职工人数</w:t>
            </w:r>
          </w:p>
        </w:tc>
        <w:tc>
          <w:tcPr>
            <w:tcW w:w="910" w:type="dxa"/>
            <w:gridSpan w:val="2"/>
            <w:tcBorders>
              <w:top w:val="nil"/>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1163" w:type="dxa"/>
            <w:tcBorders>
              <w:top w:val="nil"/>
            </w:tcBorders>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具备大专以上学历人数</w:t>
            </w:r>
          </w:p>
        </w:tc>
        <w:tc>
          <w:tcPr>
            <w:tcW w:w="1205" w:type="dxa"/>
            <w:gridSpan w:val="2"/>
            <w:tcBorders>
              <w:top w:val="nil"/>
            </w:tcBorders>
            <w:tcMar>
              <w:top w:w="57" w:type="dxa"/>
              <w:left w:w="85" w:type="dxa"/>
              <w:bottom w:w="0" w:type="dxa"/>
              <w:right w:w="85" w:type="dxa"/>
            </w:tcMar>
            <w:vAlign w:val="center"/>
          </w:tcPr>
          <w:p>
            <w:pPr>
              <w:widowControl/>
              <w:jc w:val="center"/>
              <w:rPr>
                <w:rFonts w:ascii="宋体" w:hAnsi="宋体" w:cs="宋体"/>
                <w:bCs/>
                <w:color w:val="auto"/>
                <w:kern w:val="0"/>
                <w:sz w:val="24"/>
                <w:highlight w:val="none"/>
              </w:rPr>
            </w:pPr>
          </w:p>
          <w:p>
            <w:pPr>
              <w:widowControl/>
              <w:jc w:val="center"/>
              <w:rPr>
                <w:rFonts w:ascii="宋体" w:hAnsi="宋体" w:cs="宋体"/>
                <w:bCs/>
                <w:color w:val="auto"/>
                <w:kern w:val="0"/>
                <w:sz w:val="24"/>
                <w:highlight w:val="none"/>
              </w:rPr>
            </w:pPr>
          </w:p>
          <w:p>
            <w:pPr>
              <w:pStyle w:val="120"/>
              <w:shd w:val="clear" w:color="auto" w:fill="FFFFFF"/>
              <w:spacing w:before="0" w:beforeAutospacing="0" w:after="0" w:afterAutospacing="0"/>
              <w:jc w:val="center"/>
              <w:rPr>
                <w:bCs/>
                <w:color w:val="auto"/>
                <w:highlight w:val="none"/>
              </w:rPr>
            </w:pPr>
          </w:p>
        </w:tc>
        <w:tc>
          <w:tcPr>
            <w:tcW w:w="2001" w:type="dxa"/>
            <w:gridSpan w:val="3"/>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国家授予技术职称人数</w:t>
            </w:r>
          </w:p>
        </w:tc>
        <w:tc>
          <w:tcPr>
            <w:tcW w:w="2151" w:type="dxa"/>
            <w:gridSpan w:val="2"/>
            <w:tcMar>
              <w:top w:w="57" w:type="dxa"/>
              <w:left w:w="85" w:type="dxa"/>
              <w:bottom w:w="0" w:type="dxa"/>
              <w:right w:w="85" w:type="dxa"/>
            </w:tcMar>
            <w:vAlign w:val="center"/>
          </w:tcPr>
          <w:p>
            <w:pPr>
              <w:widowControl/>
              <w:jc w:val="center"/>
              <w:rPr>
                <w:rFonts w:ascii="宋体" w:hAnsi="宋体" w:cs="宋体"/>
                <w:bCs/>
                <w:color w:val="auto"/>
                <w:kern w:val="0"/>
                <w:sz w:val="24"/>
                <w:highlight w:val="none"/>
              </w:rPr>
            </w:pPr>
          </w:p>
          <w:p>
            <w:pPr>
              <w:pStyle w:val="120"/>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823" w:type="dxa"/>
            <w:vMerge w:val="continue"/>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701" w:type="dxa"/>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占地面积</w:t>
            </w:r>
          </w:p>
        </w:tc>
        <w:tc>
          <w:tcPr>
            <w:tcW w:w="910" w:type="dxa"/>
            <w:gridSpan w:val="2"/>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1163" w:type="dxa"/>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建筑面积</w:t>
            </w:r>
          </w:p>
        </w:tc>
        <w:tc>
          <w:tcPr>
            <w:tcW w:w="1205" w:type="dxa"/>
            <w:gridSpan w:val="2"/>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平方米</w:t>
            </w:r>
          </w:p>
          <w:p>
            <w:pPr>
              <w:pStyle w:val="120"/>
              <w:shd w:val="clear" w:color="auto" w:fill="FFFFFF"/>
              <w:spacing w:before="0" w:beforeAutospacing="0" w:after="0" w:afterAutospacing="0"/>
              <w:jc w:val="center"/>
              <w:rPr>
                <w:bCs/>
                <w:color w:val="auto"/>
                <w:highlight w:val="none"/>
              </w:rPr>
            </w:pPr>
            <w:r>
              <w:rPr>
                <w:rFonts w:hint="eastAsia"/>
                <w:bCs/>
                <w:color w:val="auto"/>
                <w:highlight w:val="none"/>
              </w:rPr>
              <w:t>□自有</w:t>
            </w:r>
          </w:p>
          <w:p>
            <w:pPr>
              <w:pStyle w:val="120"/>
              <w:shd w:val="clear" w:color="auto" w:fill="FFFFFF"/>
              <w:spacing w:before="0" w:beforeAutospacing="0" w:after="0" w:afterAutospacing="0"/>
              <w:jc w:val="center"/>
              <w:rPr>
                <w:bCs/>
                <w:color w:val="auto"/>
                <w:highlight w:val="none"/>
              </w:rPr>
            </w:pPr>
            <w:r>
              <w:rPr>
                <w:rFonts w:hint="eastAsia"/>
                <w:bCs/>
                <w:color w:val="auto"/>
                <w:highlight w:val="none"/>
              </w:rPr>
              <w:t>□租赁</w:t>
            </w:r>
          </w:p>
        </w:tc>
        <w:tc>
          <w:tcPr>
            <w:tcW w:w="2001" w:type="dxa"/>
            <w:gridSpan w:val="3"/>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生产经营场所及场所的设施与设备</w:t>
            </w:r>
          </w:p>
        </w:tc>
        <w:tc>
          <w:tcPr>
            <w:tcW w:w="2151" w:type="dxa"/>
            <w:gridSpan w:val="2"/>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823" w:type="dxa"/>
            <w:vMerge w:val="continue"/>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701" w:type="dxa"/>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注册资金</w:t>
            </w:r>
          </w:p>
        </w:tc>
        <w:tc>
          <w:tcPr>
            <w:tcW w:w="910" w:type="dxa"/>
            <w:gridSpan w:val="2"/>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1163" w:type="dxa"/>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注册发证机关</w:t>
            </w:r>
          </w:p>
        </w:tc>
        <w:tc>
          <w:tcPr>
            <w:tcW w:w="3206" w:type="dxa"/>
            <w:gridSpan w:val="5"/>
            <w:tcMar>
              <w:top w:w="57" w:type="dxa"/>
              <w:left w:w="85" w:type="dxa"/>
              <w:bottom w:w="0" w:type="dxa"/>
              <w:right w:w="85" w:type="dxa"/>
            </w:tcMar>
            <w:vAlign w:val="center"/>
          </w:tcPr>
          <w:p>
            <w:pPr>
              <w:widowControl/>
              <w:jc w:val="center"/>
              <w:rPr>
                <w:rFonts w:ascii="宋体" w:hAnsi="宋体" w:cs="宋体"/>
                <w:bCs/>
                <w:color w:val="auto"/>
                <w:kern w:val="0"/>
                <w:sz w:val="24"/>
                <w:highlight w:val="none"/>
              </w:rPr>
            </w:pPr>
          </w:p>
          <w:p>
            <w:pPr>
              <w:pStyle w:val="120"/>
              <w:shd w:val="clear" w:color="auto" w:fill="FFFFFF"/>
              <w:spacing w:before="0" w:beforeAutospacing="0" w:after="0" w:afterAutospacing="0"/>
              <w:jc w:val="center"/>
              <w:rPr>
                <w:bCs/>
                <w:color w:val="auto"/>
                <w:highlight w:val="none"/>
              </w:rPr>
            </w:pPr>
          </w:p>
        </w:tc>
        <w:tc>
          <w:tcPr>
            <w:tcW w:w="1218" w:type="dxa"/>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公司成立时间</w:t>
            </w:r>
          </w:p>
        </w:tc>
        <w:tc>
          <w:tcPr>
            <w:tcW w:w="933" w:type="dxa"/>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823" w:type="dxa"/>
            <w:vMerge w:val="continue"/>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701" w:type="dxa"/>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核准经营范围</w:t>
            </w:r>
          </w:p>
        </w:tc>
        <w:tc>
          <w:tcPr>
            <w:tcW w:w="7430" w:type="dxa"/>
            <w:gridSpan w:val="10"/>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823" w:type="dxa"/>
            <w:vMerge w:val="continue"/>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8131" w:type="dxa"/>
            <w:gridSpan w:val="11"/>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23" w:type="dxa"/>
            <w:vMerge w:val="restart"/>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bCs/>
                <w:color w:val="auto"/>
                <w:highlight w:val="none"/>
              </w:rPr>
              <w:t>2</w:t>
            </w:r>
            <w:r>
              <w:rPr>
                <w:rFonts w:hint="eastAsia"/>
                <w:bCs/>
                <w:color w:val="auto"/>
                <w:highlight w:val="none"/>
              </w:rPr>
              <w:t>．</w:t>
            </w:r>
          </w:p>
          <w:p>
            <w:pPr>
              <w:pStyle w:val="120"/>
              <w:shd w:val="clear" w:color="auto" w:fill="FFFFFF"/>
              <w:spacing w:before="0" w:beforeAutospacing="0" w:after="0" w:afterAutospacing="0"/>
              <w:jc w:val="center"/>
              <w:rPr>
                <w:bCs/>
                <w:color w:val="auto"/>
                <w:highlight w:val="none"/>
              </w:rPr>
            </w:pPr>
            <w:r>
              <w:rPr>
                <w:rFonts w:hint="eastAsia"/>
                <w:bCs/>
                <w:color w:val="auto"/>
                <w:highlight w:val="none"/>
              </w:rPr>
              <w:t>企业有关资质获证情况</w:t>
            </w:r>
          </w:p>
        </w:tc>
        <w:tc>
          <w:tcPr>
            <w:tcW w:w="1553" w:type="dxa"/>
            <w:gridSpan w:val="2"/>
            <w:vMerge w:val="restart"/>
            <w:tcMar>
              <w:top w:w="57" w:type="dxa"/>
              <w:left w:w="85" w:type="dxa"/>
              <w:bottom w:w="0" w:type="dxa"/>
              <w:right w:w="85" w:type="dxa"/>
            </w:tcMar>
            <w:vAlign w:val="center"/>
          </w:tcPr>
          <w:p>
            <w:pPr>
              <w:pStyle w:val="120"/>
              <w:spacing w:before="0" w:beforeAutospacing="0" w:after="0" w:afterAutospacing="0"/>
              <w:jc w:val="center"/>
              <w:rPr>
                <w:bCs/>
                <w:color w:val="auto"/>
                <w:highlight w:val="none"/>
              </w:rPr>
            </w:pPr>
            <w:r>
              <w:rPr>
                <w:rFonts w:hint="eastAsia"/>
                <w:bCs/>
                <w:color w:val="auto"/>
                <w:spacing w:val="41"/>
                <w:highlight w:val="none"/>
              </w:rPr>
              <w:t>企业获得其他资质</w:t>
            </w:r>
            <w:r>
              <w:rPr>
                <w:rFonts w:hint="eastAsia"/>
                <w:bCs/>
                <w:color w:val="auto"/>
                <w:spacing w:val="11"/>
                <w:highlight w:val="none"/>
              </w:rPr>
              <w:t>认证情况</w:t>
            </w:r>
          </w:p>
        </w:tc>
        <w:tc>
          <w:tcPr>
            <w:tcW w:w="1333" w:type="dxa"/>
            <w:gridSpan w:val="3"/>
            <w:tcMar>
              <w:top w:w="57" w:type="dxa"/>
              <w:left w:w="85" w:type="dxa"/>
              <w:bottom w:w="0" w:type="dxa"/>
              <w:right w:w="85" w:type="dxa"/>
            </w:tcMar>
            <w:vAlign w:val="center"/>
          </w:tcPr>
          <w:p>
            <w:pPr>
              <w:pStyle w:val="120"/>
              <w:spacing w:before="0" w:beforeAutospacing="0" w:after="0" w:afterAutospacing="0"/>
              <w:jc w:val="center"/>
              <w:rPr>
                <w:bCs/>
                <w:color w:val="auto"/>
                <w:highlight w:val="none"/>
              </w:rPr>
            </w:pPr>
            <w:r>
              <w:rPr>
                <w:rFonts w:hint="eastAsia"/>
                <w:bCs/>
                <w:color w:val="auto"/>
                <w:spacing w:val="16"/>
                <w:highlight w:val="none"/>
              </w:rPr>
              <w:t>资质名称</w:t>
            </w:r>
          </w:p>
        </w:tc>
        <w:tc>
          <w:tcPr>
            <w:tcW w:w="1418" w:type="dxa"/>
            <w:gridSpan w:val="2"/>
            <w:tcMar>
              <w:top w:w="57" w:type="dxa"/>
              <w:left w:w="85" w:type="dxa"/>
              <w:bottom w:w="0" w:type="dxa"/>
              <w:right w:w="85" w:type="dxa"/>
            </w:tcMar>
            <w:vAlign w:val="center"/>
          </w:tcPr>
          <w:p>
            <w:pPr>
              <w:pStyle w:val="120"/>
              <w:spacing w:before="0" w:beforeAutospacing="0" w:after="0" w:afterAutospacing="0"/>
              <w:jc w:val="center"/>
              <w:rPr>
                <w:bCs/>
                <w:color w:val="auto"/>
                <w:highlight w:val="none"/>
              </w:rPr>
            </w:pPr>
            <w:r>
              <w:rPr>
                <w:rFonts w:hint="eastAsia"/>
                <w:bCs/>
                <w:color w:val="auto"/>
                <w:spacing w:val="16"/>
                <w:highlight w:val="none"/>
              </w:rPr>
              <w:t>发证机关</w:t>
            </w:r>
          </w:p>
        </w:tc>
        <w:tc>
          <w:tcPr>
            <w:tcW w:w="1276" w:type="dxa"/>
            <w:tcMar>
              <w:top w:w="57" w:type="dxa"/>
              <w:left w:w="85" w:type="dxa"/>
              <w:bottom w:w="0" w:type="dxa"/>
              <w:right w:w="85" w:type="dxa"/>
            </w:tcMar>
            <w:vAlign w:val="center"/>
          </w:tcPr>
          <w:p>
            <w:pPr>
              <w:pStyle w:val="120"/>
              <w:spacing w:before="0" w:beforeAutospacing="0" w:after="0" w:afterAutospacing="0"/>
              <w:jc w:val="center"/>
              <w:rPr>
                <w:bCs/>
                <w:color w:val="auto"/>
                <w:highlight w:val="none"/>
              </w:rPr>
            </w:pPr>
            <w:r>
              <w:rPr>
                <w:rFonts w:hint="eastAsia"/>
                <w:bCs/>
                <w:color w:val="auto"/>
                <w:spacing w:val="27"/>
                <w:highlight w:val="none"/>
              </w:rPr>
              <w:t>编号</w:t>
            </w:r>
          </w:p>
        </w:tc>
        <w:tc>
          <w:tcPr>
            <w:tcW w:w="1618" w:type="dxa"/>
            <w:gridSpan w:val="2"/>
            <w:tcMar>
              <w:top w:w="57" w:type="dxa"/>
              <w:left w:w="85" w:type="dxa"/>
              <w:bottom w:w="0" w:type="dxa"/>
              <w:right w:w="85" w:type="dxa"/>
            </w:tcMar>
            <w:vAlign w:val="center"/>
          </w:tcPr>
          <w:p>
            <w:pPr>
              <w:pStyle w:val="120"/>
              <w:spacing w:before="0" w:beforeAutospacing="0" w:after="0" w:afterAutospacing="0"/>
              <w:jc w:val="center"/>
              <w:rPr>
                <w:bCs/>
                <w:color w:val="auto"/>
                <w:highlight w:val="none"/>
              </w:rPr>
            </w:pPr>
            <w:r>
              <w:rPr>
                <w:rFonts w:hint="eastAsia"/>
                <w:bCs/>
                <w:color w:val="auto"/>
                <w:spacing w:val="16"/>
                <w:highlight w:val="none"/>
              </w:rPr>
              <w:t>发证时间</w:t>
            </w:r>
          </w:p>
        </w:tc>
        <w:tc>
          <w:tcPr>
            <w:tcW w:w="933" w:type="dxa"/>
            <w:tcMar>
              <w:top w:w="57" w:type="dxa"/>
              <w:left w:w="85" w:type="dxa"/>
              <w:bottom w:w="0" w:type="dxa"/>
              <w:right w:w="85" w:type="dxa"/>
            </w:tcMar>
            <w:vAlign w:val="center"/>
          </w:tcPr>
          <w:p>
            <w:pPr>
              <w:pStyle w:val="120"/>
              <w:spacing w:before="0" w:beforeAutospacing="0" w:after="0" w:afterAutospacing="0"/>
              <w:jc w:val="center"/>
              <w:rPr>
                <w:bCs/>
                <w:color w:val="auto"/>
                <w:highlight w:val="none"/>
              </w:rPr>
            </w:pPr>
            <w:r>
              <w:rPr>
                <w:rFonts w:hint="eastAsia"/>
                <w:bCs/>
                <w:color w:val="auto"/>
                <w:spacing w:val="27"/>
                <w:highlight w:val="none"/>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23" w:type="dxa"/>
            <w:vMerge w:val="continue"/>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1553" w:type="dxa"/>
            <w:gridSpan w:val="2"/>
            <w:vMerge w:val="continue"/>
            <w:tcMar>
              <w:top w:w="57" w:type="dxa"/>
              <w:left w:w="85" w:type="dxa"/>
              <w:bottom w:w="0" w:type="dxa"/>
              <w:right w:w="85" w:type="dxa"/>
            </w:tcMar>
            <w:vAlign w:val="center"/>
          </w:tcPr>
          <w:p>
            <w:pPr>
              <w:pStyle w:val="120"/>
              <w:spacing w:before="0" w:beforeAutospacing="0" w:after="0" w:afterAutospacing="0"/>
              <w:jc w:val="center"/>
              <w:rPr>
                <w:bCs/>
                <w:color w:val="auto"/>
                <w:highlight w:val="none"/>
              </w:rPr>
            </w:pPr>
          </w:p>
        </w:tc>
        <w:tc>
          <w:tcPr>
            <w:tcW w:w="1333" w:type="dxa"/>
            <w:gridSpan w:val="3"/>
            <w:tcMar>
              <w:top w:w="57" w:type="dxa"/>
              <w:left w:w="85" w:type="dxa"/>
              <w:bottom w:w="0" w:type="dxa"/>
              <w:right w:w="85" w:type="dxa"/>
            </w:tcMar>
            <w:vAlign w:val="center"/>
          </w:tcPr>
          <w:p>
            <w:pPr>
              <w:pStyle w:val="120"/>
              <w:spacing w:before="0" w:beforeAutospacing="0" w:after="0" w:afterAutospacing="0"/>
              <w:jc w:val="center"/>
              <w:rPr>
                <w:bCs/>
                <w:color w:val="auto"/>
                <w:highlight w:val="none"/>
              </w:rPr>
            </w:pPr>
          </w:p>
        </w:tc>
        <w:tc>
          <w:tcPr>
            <w:tcW w:w="1418" w:type="dxa"/>
            <w:gridSpan w:val="2"/>
            <w:tcMar>
              <w:top w:w="57" w:type="dxa"/>
              <w:left w:w="85" w:type="dxa"/>
              <w:bottom w:w="0" w:type="dxa"/>
              <w:right w:w="85" w:type="dxa"/>
            </w:tcMar>
            <w:vAlign w:val="center"/>
          </w:tcPr>
          <w:p>
            <w:pPr>
              <w:pStyle w:val="120"/>
              <w:spacing w:before="0" w:beforeAutospacing="0" w:after="0" w:afterAutospacing="0"/>
              <w:jc w:val="center"/>
              <w:rPr>
                <w:bCs/>
                <w:color w:val="auto"/>
                <w:highlight w:val="none"/>
              </w:rPr>
            </w:pPr>
          </w:p>
        </w:tc>
        <w:tc>
          <w:tcPr>
            <w:tcW w:w="1276" w:type="dxa"/>
            <w:tcMar>
              <w:top w:w="57" w:type="dxa"/>
              <w:left w:w="85" w:type="dxa"/>
              <w:bottom w:w="0" w:type="dxa"/>
              <w:right w:w="85" w:type="dxa"/>
            </w:tcMar>
            <w:vAlign w:val="center"/>
          </w:tcPr>
          <w:p>
            <w:pPr>
              <w:pStyle w:val="120"/>
              <w:spacing w:before="0" w:beforeAutospacing="0" w:after="0" w:afterAutospacing="0"/>
              <w:jc w:val="center"/>
              <w:rPr>
                <w:bCs/>
                <w:color w:val="auto"/>
                <w:highlight w:val="none"/>
              </w:rPr>
            </w:pPr>
          </w:p>
        </w:tc>
        <w:tc>
          <w:tcPr>
            <w:tcW w:w="1618" w:type="dxa"/>
            <w:gridSpan w:val="2"/>
            <w:tcMar>
              <w:top w:w="57" w:type="dxa"/>
              <w:left w:w="85" w:type="dxa"/>
              <w:bottom w:w="0" w:type="dxa"/>
              <w:right w:w="85" w:type="dxa"/>
            </w:tcMar>
            <w:vAlign w:val="center"/>
          </w:tcPr>
          <w:p>
            <w:pPr>
              <w:pStyle w:val="120"/>
              <w:spacing w:before="0" w:beforeAutospacing="0" w:after="0" w:afterAutospacing="0"/>
              <w:jc w:val="center"/>
              <w:rPr>
                <w:bCs/>
                <w:color w:val="auto"/>
                <w:highlight w:val="none"/>
              </w:rPr>
            </w:pPr>
          </w:p>
        </w:tc>
        <w:tc>
          <w:tcPr>
            <w:tcW w:w="933" w:type="dxa"/>
            <w:tcMar>
              <w:top w:w="57" w:type="dxa"/>
              <w:left w:w="85" w:type="dxa"/>
              <w:bottom w:w="0" w:type="dxa"/>
              <w:right w:w="85" w:type="dxa"/>
            </w:tcMar>
            <w:vAlign w:val="center"/>
          </w:tcPr>
          <w:p>
            <w:pPr>
              <w:pStyle w:val="120"/>
              <w:spacing w:before="0" w:beforeAutospacing="0" w:after="0" w:afterAutospacing="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23" w:type="dxa"/>
            <w:vMerge w:val="continue"/>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c>
          <w:tcPr>
            <w:tcW w:w="1553" w:type="dxa"/>
            <w:gridSpan w:val="2"/>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r>
              <w:rPr>
                <w:rFonts w:hint="eastAsia"/>
                <w:bCs/>
                <w:color w:val="auto"/>
                <w:highlight w:val="none"/>
              </w:rPr>
              <w:t>企业获得专利情况</w:t>
            </w:r>
          </w:p>
        </w:tc>
        <w:tc>
          <w:tcPr>
            <w:tcW w:w="6578" w:type="dxa"/>
            <w:gridSpan w:val="9"/>
            <w:tcMar>
              <w:top w:w="57" w:type="dxa"/>
              <w:left w:w="85" w:type="dxa"/>
              <w:bottom w:w="0" w:type="dxa"/>
              <w:right w:w="85" w:type="dxa"/>
            </w:tcMar>
            <w:vAlign w:val="center"/>
          </w:tcPr>
          <w:p>
            <w:pPr>
              <w:pStyle w:val="120"/>
              <w:shd w:val="clear" w:color="auto" w:fill="FFFFFF"/>
              <w:spacing w:before="0" w:beforeAutospacing="0" w:after="0" w:afterAutospacing="0"/>
              <w:jc w:val="center"/>
              <w:rPr>
                <w:bCs/>
                <w:color w:val="auto"/>
                <w:highlight w:val="none"/>
              </w:rPr>
            </w:pPr>
          </w:p>
        </w:tc>
      </w:tr>
    </w:tbl>
    <w:p>
      <w:pPr>
        <w:pStyle w:val="120"/>
        <w:shd w:val="clear" w:color="auto" w:fill="FFFFFF"/>
        <w:spacing w:before="0" w:beforeAutospacing="0" w:after="0" w:afterAutospacing="0" w:line="360" w:lineRule="auto"/>
        <w:rPr>
          <w:b/>
          <w:color w:val="auto"/>
          <w:sz w:val="21"/>
          <w:szCs w:val="21"/>
          <w:highlight w:val="none"/>
        </w:rPr>
      </w:pPr>
      <w:r>
        <w:rPr>
          <w:rFonts w:hint="eastAsia"/>
          <w:b/>
          <w:color w:val="auto"/>
          <w:sz w:val="21"/>
          <w:szCs w:val="21"/>
          <w:highlight w:val="none"/>
        </w:rPr>
        <w:t>要求：</w:t>
      </w:r>
    </w:p>
    <w:p>
      <w:pPr>
        <w:pStyle w:val="120"/>
        <w:shd w:val="clear" w:color="auto" w:fill="FFFFFF"/>
        <w:spacing w:before="0" w:beforeAutospacing="0" w:after="0" w:afterAutospacing="0" w:line="360" w:lineRule="auto"/>
        <w:ind w:firstLine="424" w:firstLineChars="202"/>
        <w:rPr>
          <w:color w:val="auto"/>
          <w:sz w:val="21"/>
          <w:szCs w:val="21"/>
          <w:highlight w:val="none"/>
        </w:rPr>
      </w:pPr>
      <w:r>
        <w:rPr>
          <w:rFonts w:hint="eastAsia" w:ascii="仿宋_GB2312" w:eastAsia="仿宋_GB2312"/>
          <w:color w:val="auto"/>
          <w:sz w:val="21"/>
          <w:szCs w:val="21"/>
          <w:highlight w:val="none"/>
        </w:rPr>
        <w:t>1.</w:t>
      </w:r>
      <w:r>
        <w:rPr>
          <w:rFonts w:hint="eastAsia"/>
          <w:color w:val="auto"/>
          <w:sz w:val="21"/>
          <w:szCs w:val="21"/>
          <w:highlight w:val="none"/>
        </w:rPr>
        <w:t>姓名栏必须将所有股东都统计在内，若非股份公司此行（第三行）无需填写。</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left="420"/>
        <w:rPr>
          <w:rFonts w:ascii="宋体" w:hAnsi="宋体"/>
          <w:color w:val="auto"/>
          <w:sz w:val="24"/>
          <w:highlight w:val="none"/>
        </w:rPr>
      </w:pP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投标人代表签字：</w:t>
      </w:r>
    </w:p>
    <w:p>
      <w:pPr>
        <w:spacing w:line="360" w:lineRule="auto"/>
        <w:ind w:firstLine="435"/>
        <w:rPr>
          <w:rFonts w:ascii="宋体" w:hAnsi="宋体"/>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pStyle w:val="120"/>
        <w:shd w:val="clear" w:color="auto" w:fill="FFFFFF"/>
        <w:spacing w:before="0" w:beforeAutospacing="0" w:after="0" w:afterAutospacing="0" w:line="360" w:lineRule="auto"/>
        <w:ind w:firstLine="424" w:firstLineChars="177"/>
        <w:rPr>
          <w:b/>
          <w:bCs/>
          <w:color w:val="auto"/>
          <w:highlight w:val="none"/>
        </w:rPr>
      </w:pPr>
      <w:r>
        <w:rPr>
          <w:rFonts w:hint="eastAsia"/>
          <w:color w:val="auto"/>
          <w:highlight w:val="none"/>
        </w:rPr>
        <w:t>日        期：</w:t>
      </w: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pacing w:line="360" w:lineRule="auto"/>
        <w:rPr>
          <w:rFonts w:hint="eastAsia" w:ascii="宋体" w:hAnsi="宋体" w:eastAsia="宋体"/>
          <w:b/>
          <w:color w:val="auto"/>
          <w:sz w:val="28"/>
          <w:highlight w:val="none"/>
          <w:lang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7</w:t>
      </w:r>
    </w:p>
    <w:p>
      <w:pPr>
        <w:spacing w:before="120" w:beforeLines="50" w:after="120" w:afterLines="50" w:line="360" w:lineRule="auto"/>
        <w:ind w:right="-10"/>
        <w:jc w:val="center"/>
        <w:rPr>
          <w:rFonts w:ascii="宋体" w:hAnsi="宋体"/>
          <w:b/>
          <w:bCs/>
          <w:color w:val="auto"/>
          <w:sz w:val="32"/>
          <w:szCs w:val="32"/>
          <w:highlight w:val="none"/>
        </w:rPr>
      </w:pPr>
      <w:r>
        <w:rPr>
          <w:rFonts w:hint="eastAsia" w:ascii="宋体" w:hAnsi="宋体"/>
          <w:b/>
          <w:bCs/>
          <w:color w:val="auto"/>
          <w:sz w:val="32"/>
          <w:szCs w:val="32"/>
          <w:highlight w:val="none"/>
        </w:rPr>
        <w:t>项目负责人资格情况表</w:t>
      </w:r>
    </w:p>
    <w:tbl>
      <w:tblPr>
        <w:tblStyle w:val="38"/>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4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974" w:type="dxa"/>
            <w:tcBorders>
              <w:top w:val="single" w:color="auto" w:sz="12"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姓名</w:t>
            </w:r>
          </w:p>
        </w:tc>
        <w:tc>
          <w:tcPr>
            <w:tcW w:w="2967" w:type="dxa"/>
            <w:tcBorders>
              <w:top w:val="single" w:color="auto" w:sz="12"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tcBorders>
              <w:top w:val="single" w:color="auto" w:sz="12"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性别</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restart"/>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rPr>
            </w:pPr>
            <w:r>
              <w:rPr>
                <w:rFonts w:hint="eastAsia" w:ascii="宋体" w:hAnsi="宋体"/>
                <w:color w:val="auto"/>
                <w:highlight w:val="none"/>
              </w:rPr>
              <w:t>注：业绩证明应提供旁证材料</w:t>
            </w:r>
          </w:p>
          <w:p>
            <w:pPr>
              <w:autoSpaceDE w:val="0"/>
              <w:autoSpaceDN w:val="0"/>
              <w:adjustRightInd w:val="0"/>
              <w:snapToGrid w:val="0"/>
              <w:spacing w:line="360" w:lineRule="auto"/>
              <w:jc w:val="center"/>
              <w:rPr>
                <w:rFonts w:ascii="宋体" w:hAnsi="宋体"/>
                <w:color w:val="auto"/>
                <w:highlight w:val="none"/>
                <w:lang w:val="zh-CN"/>
              </w:rPr>
            </w:pPr>
            <w:r>
              <w:rPr>
                <w:rFonts w:hint="eastAsia" w:ascii="宋体" w:hAnsi="宋体"/>
                <w:color w:val="auto"/>
                <w:highlight w:val="none"/>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年龄</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职称</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毕业时间</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学校专业</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联系电话</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rPr>
              <w:t>最近一年工作状况</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974" w:type="dxa"/>
            <w:tcBorders>
              <w:top w:val="single" w:color="auto" w:sz="4" w:space="0"/>
              <w:left w:val="single" w:color="auto" w:sz="12" w:space="0"/>
              <w:bottom w:val="single" w:color="auto" w:sz="12"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拟在本项目中担任主要工作</w:t>
            </w:r>
          </w:p>
        </w:tc>
        <w:tc>
          <w:tcPr>
            <w:tcW w:w="7064" w:type="dxa"/>
            <w:gridSpan w:val="2"/>
            <w:tcBorders>
              <w:top w:val="single" w:color="auto" w:sz="4" w:space="0"/>
              <w:left w:val="single" w:color="auto" w:sz="4" w:space="0"/>
              <w:bottom w:val="single" w:color="auto" w:sz="12"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bl>
    <w:p>
      <w:pPr>
        <w:spacing w:line="360" w:lineRule="auto"/>
        <w:ind w:left="420"/>
        <w:rPr>
          <w:rFonts w:ascii="宋体" w:hAnsi="宋体"/>
          <w:color w:val="auto"/>
          <w:sz w:val="24"/>
          <w:highlight w:val="none"/>
        </w:rPr>
      </w:pP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日        期：</w:t>
      </w:r>
    </w:p>
    <w:p>
      <w:pPr>
        <w:snapToGrid w:val="0"/>
        <w:spacing w:before="50" w:line="360" w:lineRule="auto"/>
        <w:jc w:val="left"/>
        <w:rPr>
          <w:rFonts w:hint="eastAsia" w:ascii="宋体" w:hAnsi="宋体"/>
          <w:color w:val="auto"/>
          <w:sz w:val="24"/>
          <w:highlight w:val="none"/>
        </w:rPr>
      </w:pPr>
    </w:p>
    <w:p>
      <w:pPr>
        <w:jc w:val="left"/>
        <w:rPr>
          <w:rFonts w:hint="eastAsia" w:ascii="宋体" w:hAnsi="宋体" w:eastAsia="宋体"/>
          <w:b/>
          <w:bCs/>
          <w:color w:val="auto"/>
          <w:kern w:val="0"/>
          <w:sz w:val="32"/>
          <w:szCs w:val="32"/>
          <w:highlight w:val="none"/>
          <w:lang w:eastAsia="zh-CN"/>
        </w:rPr>
      </w:pPr>
      <w:r>
        <w:rPr>
          <w:rFonts w:hint="eastAsia" w:ascii="宋体" w:hAnsi="宋体"/>
          <w:b/>
          <w:bCs/>
          <w:color w:val="auto"/>
          <w:kern w:val="0"/>
          <w:sz w:val="32"/>
          <w:szCs w:val="32"/>
          <w:highlight w:val="none"/>
        </w:rPr>
        <w:t>附件</w:t>
      </w:r>
      <w:r>
        <w:rPr>
          <w:rFonts w:hint="eastAsia" w:ascii="宋体" w:hAnsi="宋体"/>
          <w:b/>
          <w:bCs/>
          <w:color w:val="auto"/>
          <w:kern w:val="0"/>
          <w:sz w:val="32"/>
          <w:szCs w:val="32"/>
          <w:highlight w:val="none"/>
          <w:lang w:val="en-US" w:eastAsia="zh-CN"/>
        </w:rPr>
        <w:t>8</w:t>
      </w:r>
    </w:p>
    <w:p>
      <w:pPr>
        <w:snapToGrid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pPr>
        <w:snapToGrid w:val="0"/>
        <w:spacing w:line="360" w:lineRule="auto"/>
        <w:jc w:val="center"/>
        <w:rPr>
          <w:rFonts w:ascii="宋体" w:hAnsi="宋体"/>
          <w:color w:val="auto"/>
          <w:sz w:val="24"/>
          <w:highlight w:val="none"/>
        </w:rPr>
      </w:pPr>
      <w:r>
        <w:rPr>
          <w:rFonts w:hint="eastAsia" w:ascii="宋体" w:hAnsi="宋体"/>
          <w:color w:val="auto"/>
          <w:sz w:val="24"/>
          <w:highlight w:val="none"/>
        </w:rPr>
        <w:t>（主要从业人员及其技术资格）</w:t>
      </w:r>
    </w:p>
    <w:tbl>
      <w:tblPr>
        <w:tblStyle w:val="38"/>
        <w:tblpPr w:leftFromText="181" w:rightFromText="181" w:bottomFromText="170" w:vertAnchor="text" w:tblpXSpec="center" w:tblpY="1"/>
        <w:tblOverlap w:val="never"/>
        <w:tblW w:w="917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815"/>
        <w:gridCol w:w="1004"/>
        <w:gridCol w:w="795"/>
        <w:gridCol w:w="1276"/>
        <w:gridCol w:w="1275"/>
        <w:gridCol w:w="1743"/>
        <w:gridCol w:w="18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序号</w:t>
            </w: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姓名</w:t>
            </w: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职务</w:t>
            </w: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职责</w:t>
            </w: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专业技术资格</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证书编号</w:t>
            </w: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bCs/>
                <w:color w:val="auto"/>
                <w:szCs w:val="21"/>
                <w:highlight w:val="none"/>
              </w:rPr>
            </w:pPr>
            <w:r>
              <w:rPr>
                <w:rFonts w:hint="eastAsia" w:ascii="宋体" w:hAnsi="宋体"/>
                <w:b/>
                <w:bCs/>
                <w:color w:val="auto"/>
                <w:szCs w:val="21"/>
                <w:highlight w:val="none"/>
              </w:rPr>
              <w:t>参加本单位工作时间</w:t>
            </w: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bCs/>
                <w:color w:val="auto"/>
                <w:szCs w:val="21"/>
                <w:highlight w:val="none"/>
              </w:rPr>
            </w:pPr>
            <w:r>
              <w:rPr>
                <w:rFonts w:hint="eastAsia" w:ascii="宋体" w:hAnsi="宋体"/>
                <w:b/>
                <w:color w:val="auto"/>
                <w:szCs w:val="21"/>
                <w:highlight w:val="none"/>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22"/>
              <w:snapToGrid w:val="0"/>
              <w:spacing w:before="120" w:beforeLines="50" w:after="50" w:line="360" w:lineRule="auto"/>
              <w:ind w:left="5250"/>
              <w:rPr>
                <w:rFonts w:ascii="宋体" w:hAnsi="宋体" w:eastAsia="宋体"/>
                <w:b/>
                <w:color w:val="auto"/>
                <w:kern w:val="44"/>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22"/>
              <w:snapToGrid w:val="0"/>
              <w:spacing w:before="120" w:beforeLines="50" w:after="50" w:line="360" w:lineRule="auto"/>
              <w:ind w:left="5250"/>
              <w:rPr>
                <w:rFonts w:ascii="宋体" w:hAnsi="宋体" w:eastAsia="宋体"/>
                <w:b/>
                <w:color w:val="auto"/>
                <w:kern w:val="44"/>
                <w:sz w:val="21"/>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22"/>
              <w:spacing w:line="360" w:lineRule="auto"/>
              <w:ind w:left="5250"/>
              <w:rPr>
                <w:rFonts w:ascii="宋体" w:hAnsi="宋体"/>
                <w:color w:val="auto"/>
                <w:sz w:val="21"/>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highlight w:val="none"/>
              </w:rPr>
            </w:pPr>
          </w:p>
        </w:tc>
      </w:tr>
    </w:tbl>
    <w:p>
      <w:pPr>
        <w:spacing w:line="360" w:lineRule="auto"/>
        <w:rPr>
          <w:rFonts w:ascii="宋体" w:hAnsi="宋体"/>
          <w:b/>
          <w:color w:val="auto"/>
          <w:szCs w:val="21"/>
          <w:highlight w:val="none"/>
        </w:rPr>
      </w:pPr>
      <w:r>
        <w:rPr>
          <w:rFonts w:hint="eastAsia" w:ascii="宋体" w:hAnsi="宋体"/>
          <w:b/>
          <w:color w:val="auto"/>
          <w:szCs w:val="21"/>
          <w:highlight w:val="none"/>
        </w:rPr>
        <w:t>要求：</w:t>
      </w:r>
    </w:p>
    <w:p>
      <w:pPr>
        <w:spacing w:line="360" w:lineRule="auto"/>
        <w:ind w:left="437"/>
        <w:rPr>
          <w:rFonts w:hint="eastAsia" w:ascii="宋体" w:hAnsi="宋体"/>
          <w:color w:val="auto"/>
          <w:sz w:val="21"/>
          <w:szCs w:val="21"/>
          <w:highlight w:val="none"/>
        </w:rPr>
      </w:pPr>
      <w:r>
        <w:rPr>
          <w:rFonts w:hint="eastAsia" w:ascii="宋体" w:hAnsi="宋体"/>
          <w:bCs w:val="0"/>
          <w:color w:val="auto"/>
          <w:sz w:val="21"/>
          <w:szCs w:val="21"/>
          <w:highlight w:val="none"/>
        </w:rPr>
        <w:t>1.在填</w:t>
      </w:r>
      <w:r>
        <w:rPr>
          <w:rFonts w:hint="eastAsia" w:ascii="宋体" w:hAnsi="宋体"/>
          <w:color w:val="auto"/>
          <w:sz w:val="21"/>
          <w:szCs w:val="21"/>
          <w:highlight w:val="none"/>
        </w:rPr>
        <w:t>写时，如本表格不适合投标单位的实际情况，可根据本表格式自行划表填写。</w:t>
      </w:r>
    </w:p>
    <w:p>
      <w:pPr>
        <w:pStyle w:val="121"/>
        <w:spacing w:line="360" w:lineRule="auto"/>
        <w:ind w:left="566" w:leftChars="202"/>
        <w:rPr>
          <w:rFonts w:ascii="宋体" w:hAnsi="宋体"/>
          <w:color w:val="auto"/>
          <w:szCs w:val="21"/>
          <w:highlight w:val="none"/>
        </w:rPr>
      </w:pPr>
      <w:r>
        <w:rPr>
          <w:rFonts w:hint="eastAsia" w:ascii="宋体" w:hAnsi="宋体"/>
          <w:color w:val="auto"/>
          <w:szCs w:val="21"/>
          <w:highlight w:val="none"/>
        </w:rPr>
        <w:t>2.附人员证书。</w:t>
      </w:r>
    </w:p>
    <w:p>
      <w:pPr>
        <w:pStyle w:val="121"/>
        <w:spacing w:line="360" w:lineRule="auto"/>
        <w:rPr>
          <w:rFonts w:ascii="宋体" w:hAnsi="宋体"/>
          <w:color w:val="auto"/>
          <w:szCs w:val="21"/>
          <w:highlight w:val="none"/>
        </w:rPr>
      </w:pPr>
      <w:r>
        <w:rPr>
          <w:rFonts w:hint="eastAsia" w:ascii="宋体" w:hAnsi="宋体"/>
          <w:color w:val="auto"/>
          <w:szCs w:val="21"/>
          <w:highlight w:val="none"/>
        </w:rPr>
        <w:t>　　3.出具上述人员在本单位服务的外部证明，如：</w:t>
      </w:r>
      <w:r>
        <w:rPr>
          <w:rFonts w:ascii="宋体" w:hAnsi="宋体"/>
          <w:color w:val="auto"/>
          <w:szCs w:val="21"/>
          <w:highlight w:val="none"/>
        </w:rPr>
        <w:t>投标截止日之前的</w:t>
      </w:r>
      <w:r>
        <w:rPr>
          <w:rFonts w:hint="eastAsia" w:ascii="宋体" w:hAnsi="宋体"/>
          <w:color w:val="auto"/>
          <w:szCs w:val="21"/>
          <w:highlight w:val="none"/>
        </w:rPr>
        <w:t>代缴个税税单、参加社会保险的《投保单》或《社会保险参保人员证明》等。</w:t>
      </w:r>
    </w:p>
    <w:p>
      <w:pPr>
        <w:snapToGrid w:val="0"/>
        <w:spacing w:before="50" w:after="120" w:afterLines="50" w:line="360" w:lineRule="auto"/>
        <w:jc w:val="left"/>
        <w:rPr>
          <w:rFonts w:ascii="宋体" w:hAnsi="宋体"/>
          <w:color w:val="auto"/>
          <w:sz w:val="24"/>
          <w:szCs w:val="20"/>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pacing w:line="360" w:lineRule="auto"/>
        <w:jc w:val="left"/>
        <w:rPr>
          <w:rFonts w:hint="eastAsia" w:ascii="宋体" w:hAnsi="宋体" w:eastAsia="宋体"/>
          <w:b/>
          <w:bCs/>
          <w:color w:val="auto"/>
          <w:kern w:val="0"/>
          <w:sz w:val="32"/>
          <w:szCs w:val="32"/>
          <w:highlight w:val="none"/>
          <w:lang w:eastAsia="zh-CN"/>
        </w:rPr>
      </w:pPr>
      <w:r>
        <w:rPr>
          <w:rFonts w:hint="eastAsia" w:ascii="宋体" w:hAnsi="宋体"/>
          <w:b/>
          <w:bCs/>
          <w:color w:val="auto"/>
          <w:kern w:val="0"/>
          <w:sz w:val="32"/>
          <w:szCs w:val="32"/>
          <w:highlight w:val="none"/>
        </w:rPr>
        <w:t>附件</w:t>
      </w:r>
      <w:r>
        <w:rPr>
          <w:rFonts w:hint="eastAsia" w:ascii="宋体" w:hAnsi="宋体"/>
          <w:b/>
          <w:bCs/>
          <w:color w:val="auto"/>
          <w:kern w:val="0"/>
          <w:sz w:val="32"/>
          <w:szCs w:val="32"/>
          <w:highlight w:val="none"/>
          <w:lang w:val="en-US" w:eastAsia="zh-CN"/>
        </w:rPr>
        <w:t>9</w:t>
      </w:r>
    </w:p>
    <w:p>
      <w:pPr>
        <w:adjustRightInd w:val="0"/>
        <w:snapToGrid w:val="0"/>
        <w:ind w:firstLine="1205" w:firstLineChars="375"/>
        <w:jc w:val="center"/>
        <w:rPr>
          <w:rFonts w:ascii="宋体" w:hAnsi="宋体"/>
          <w:b/>
          <w:color w:val="auto"/>
          <w:kern w:val="0"/>
          <w:sz w:val="32"/>
          <w:szCs w:val="32"/>
          <w:highlight w:val="none"/>
        </w:rPr>
      </w:pPr>
      <w:r>
        <w:rPr>
          <w:rFonts w:ascii="宋体" w:hAnsi="宋体"/>
          <w:b/>
          <w:color w:val="auto"/>
          <w:kern w:val="0"/>
          <w:sz w:val="32"/>
          <w:szCs w:val="32"/>
          <w:highlight w:val="none"/>
        </w:rPr>
        <w:t>服务条款响应表</w:t>
      </w:r>
    </w:p>
    <w:p>
      <w:pPr>
        <w:adjustRightInd w:val="0"/>
        <w:snapToGrid w:val="0"/>
        <w:ind w:firstLine="1205" w:firstLineChars="375"/>
        <w:jc w:val="center"/>
        <w:rPr>
          <w:rFonts w:ascii="宋体" w:hAnsi="宋体"/>
          <w:b/>
          <w:color w:val="auto"/>
          <w:kern w:val="0"/>
          <w:sz w:val="32"/>
          <w:szCs w:val="32"/>
          <w:highlight w:val="none"/>
        </w:rPr>
      </w:pPr>
    </w:p>
    <w:tbl>
      <w:tblPr>
        <w:tblStyle w:val="38"/>
        <w:tblW w:w="52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4002"/>
        <w:gridCol w:w="2799"/>
        <w:gridCol w:w="1394"/>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9"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序号</w:t>
            </w:r>
          </w:p>
        </w:tc>
        <w:tc>
          <w:tcPr>
            <w:tcW w:w="2003"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u w:val="thick" w:color="FFFFFF"/>
              </w:rPr>
              <w:t>招标文件</w:t>
            </w:r>
            <w:r>
              <w:rPr>
                <w:rFonts w:ascii="宋体" w:hAnsi="宋体"/>
                <w:color w:val="auto"/>
                <w:sz w:val="24"/>
                <w:highlight w:val="none"/>
              </w:rPr>
              <w:t>要求</w:t>
            </w:r>
          </w:p>
        </w:tc>
        <w:tc>
          <w:tcPr>
            <w:tcW w:w="1401"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投标响应内容</w:t>
            </w:r>
          </w:p>
        </w:tc>
        <w:tc>
          <w:tcPr>
            <w:tcW w:w="698"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响应情况</w:t>
            </w:r>
          </w:p>
        </w:tc>
        <w:tc>
          <w:tcPr>
            <w:tcW w:w="400"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9"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1</w:t>
            </w:r>
          </w:p>
        </w:tc>
        <w:tc>
          <w:tcPr>
            <w:tcW w:w="2003"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（服务期）</w:t>
            </w:r>
          </w:p>
        </w:tc>
        <w:tc>
          <w:tcPr>
            <w:tcW w:w="1401" w:type="pct"/>
            <w:vAlign w:val="center"/>
          </w:tcPr>
          <w:p>
            <w:pPr>
              <w:adjustRightInd w:val="0"/>
              <w:snapToGrid w:val="0"/>
              <w:spacing w:before="100" w:beforeAutospacing="1" w:after="100" w:afterAutospacing="1"/>
              <w:rPr>
                <w:rFonts w:ascii="宋体" w:hAnsi="宋体"/>
                <w:color w:val="auto"/>
                <w:sz w:val="24"/>
                <w:highlight w:val="none"/>
              </w:rPr>
            </w:pPr>
          </w:p>
        </w:tc>
        <w:tc>
          <w:tcPr>
            <w:tcW w:w="698" w:type="pct"/>
            <w:vAlign w:val="center"/>
          </w:tcPr>
          <w:p>
            <w:pPr>
              <w:adjustRightInd w:val="0"/>
              <w:snapToGrid w:val="0"/>
              <w:spacing w:before="100" w:beforeAutospacing="1" w:after="100" w:afterAutospacing="1"/>
              <w:jc w:val="center"/>
              <w:rPr>
                <w:rFonts w:ascii="宋体" w:hAnsi="宋体"/>
                <w:color w:val="auto"/>
                <w:sz w:val="24"/>
                <w:highlight w:val="none"/>
              </w:rPr>
            </w:pPr>
          </w:p>
        </w:tc>
        <w:tc>
          <w:tcPr>
            <w:tcW w:w="400" w:type="pct"/>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9"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2</w:t>
            </w:r>
          </w:p>
        </w:tc>
        <w:tc>
          <w:tcPr>
            <w:tcW w:w="2003"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（付款方式）</w:t>
            </w:r>
          </w:p>
        </w:tc>
        <w:tc>
          <w:tcPr>
            <w:tcW w:w="1401" w:type="pct"/>
            <w:vAlign w:val="center"/>
          </w:tcPr>
          <w:p>
            <w:pPr>
              <w:adjustRightInd w:val="0"/>
              <w:snapToGrid w:val="0"/>
              <w:spacing w:before="100" w:beforeAutospacing="1" w:after="100" w:afterAutospacing="1"/>
              <w:rPr>
                <w:rFonts w:ascii="宋体" w:hAnsi="宋体"/>
                <w:color w:val="auto"/>
                <w:sz w:val="24"/>
                <w:highlight w:val="none"/>
              </w:rPr>
            </w:pPr>
          </w:p>
        </w:tc>
        <w:tc>
          <w:tcPr>
            <w:tcW w:w="698" w:type="pct"/>
            <w:vAlign w:val="center"/>
          </w:tcPr>
          <w:p>
            <w:pPr>
              <w:adjustRightInd w:val="0"/>
              <w:snapToGrid w:val="0"/>
              <w:spacing w:before="100" w:beforeAutospacing="1" w:after="100" w:afterAutospacing="1"/>
              <w:jc w:val="center"/>
              <w:rPr>
                <w:rFonts w:ascii="宋体" w:hAnsi="宋体"/>
                <w:color w:val="auto"/>
                <w:sz w:val="24"/>
                <w:highlight w:val="none"/>
              </w:rPr>
            </w:pPr>
          </w:p>
        </w:tc>
        <w:tc>
          <w:tcPr>
            <w:tcW w:w="400" w:type="pct"/>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9"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3</w:t>
            </w:r>
          </w:p>
        </w:tc>
        <w:tc>
          <w:tcPr>
            <w:tcW w:w="2003" w:type="pct"/>
            <w:vAlign w:val="center"/>
          </w:tcPr>
          <w:p>
            <w:pPr>
              <w:adjustRightInd w:val="0"/>
              <w:snapToGrid w:val="0"/>
              <w:spacing w:before="100" w:beforeAutospacing="1" w:after="100" w:afterAutospacing="1"/>
              <w:jc w:val="center"/>
              <w:rPr>
                <w:rFonts w:ascii="宋体" w:hAnsi="宋体"/>
                <w:color w:val="auto"/>
                <w:sz w:val="24"/>
                <w:highlight w:val="none"/>
              </w:rPr>
            </w:pPr>
          </w:p>
        </w:tc>
        <w:tc>
          <w:tcPr>
            <w:tcW w:w="1401" w:type="pct"/>
            <w:vAlign w:val="center"/>
          </w:tcPr>
          <w:p>
            <w:pPr>
              <w:adjustRightInd w:val="0"/>
              <w:snapToGrid w:val="0"/>
              <w:spacing w:before="100" w:beforeAutospacing="1" w:after="100" w:afterAutospacing="1"/>
              <w:rPr>
                <w:rFonts w:ascii="宋体" w:hAnsi="宋体"/>
                <w:color w:val="auto"/>
                <w:sz w:val="24"/>
                <w:highlight w:val="none"/>
              </w:rPr>
            </w:pPr>
          </w:p>
        </w:tc>
        <w:tc>
          <w:tcPr>
            <w:tcW w:w="698" w:type="pct"/>
            <w:vAlign w:val="center"/>
          </w:tcPr>
          <w:p>
            <w:pPr>
              <w:adjustRightInd w:val="0"/>
              <w:snapToGrid w:val="0"/>
              <w:spacing w:before="100" w:beforeAutospacing="1" w:after="100" w:afterAutospacing="1"/>
              <w:rPr>
                <w:rFonts w:ascii="宋体" w:hAnsi="宋体"/>
                <w:color w:val="auto"/>
                <w:sz w:val="24"/>
                <w:highlight w:val="none"/>
              </w:rPr>
            </w:pPr>
          </w:p>
        </w:tc>
        <w:tc>
          <w:tcPr>
            <w:tcW w:w="400" w:type="pct"/>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9"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4</w:t>
            </w:r>
          </w:p>
        </w:tc>
        <w:tc>
          <w:tcPr>
            <w:tcW w:w="2003" w:type="pct"/>
            <w:vAlign w:val="center"/>
          </w:tcPr>
          <w:p>
            <w:pPr>
              <w:adjustRightInd w:val="0"/>
              <w:snapToGrid w:val="0"/>
              <w:spacing w:before="100" w:beforeAutospacing="1" w:after="100" w:afterAutospacing="1"/>
              <w:jc w:val="center"/>
              <w:rPr>
                <w:rFonts w:ascii="宋体" w:hAnsi="宋体"/>
                <w:color w:val="auto"/>
                <w:sz w:val="24"/>
                <w:highlight w:val="none"/>
              </w:rPr>
            </w:pPr>
          </w:p>
        </w:tc>
        <w:tc>
          <w:tcPr>
            <w:tcW w:w="1401" w:type="pct"/>
            <w:vAlign w:val="center"/>
          </w:tcPr>
          <w:p>
            <w:pPr>
              <w:adjustRightInd w:val="0"/>
              <w:snapToGrid w:val="0"/>
              <w:spacing w:before="100" w:beforeAutospacing="1" w:after="100" w:afterAutospacing="1"/>
              <w:rPr>
                <w:rFonts w:ascii="宋体" w:hAnsi="宋体"/>
                <w:color w:val="auto"/>
                <w:sz w:val="24"/>
                <w:highlight w:val="none"/>
              </w:rPr>
            </w:pPr>
          </w:p>
        </w:tc>
        <w:tc>
          <w:tcPr>
            <w:tcW w:w="698" w:type="pct"/>
            <w:vAlign w:val="center"/>
          </w:tcPr>
          <w:p>
            <w:pPr>
              <w:adjustRightInd w:val="0"/>
              <w:snapToGrid w:val="0"/>
              <w:spacing w:before="100" w:beforeAutospacing="1" w:after="100" w:afterAutospacing="1"/>
              <w:rPr>
                <w:rFonts w:ascii="宋体" w:hAnsi="宋体"/>
                <w:color w:val="auto"/>
                <w:sz w:val="24"/>
                <w:highlight w:val="none"/>
              </w:rPr>
            </w:pPr>
          </w:p>
        </w:tc>
        <w:tc>
          <w:tcPr>
            <w:tcW w:w="400" w:type="pct"/>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9"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5</w:t>
            </w:r>
          </w:p>
        </w:tc>
        <w:tc>
          <w:tcPr>
            <w:tcW w:w="2003" w:type="pct"/>
            <w:vAlign w:val="center"/>
          </w:tcPr>
          <w:p>
            <w:pPr>
              <w:adjustRightInd w:val="0"/>
              <w:snapToGrid w:val="0"/>
              <w:spacing w:before="100" w:beforeAutospacing="1" w:after="100" w:afterAutospacing="1"/>
              <w:jc w:val="center"/>
              <w:rPr>
                <w:rFonts w:ascii="宋体" w:hAnsi="宋体"/>
                <w:color w:val="auto"/>
                <w:sz w:val="24"/>
                <w:highlight w:val="none"/>
              </w:rPr>
            </w:pPr>
          </w:p>
        </w:tc>
        <w:tc>
          <w:tcPr>
            <w:tcW w:w="1401" w:type="pct"/>
            <w:vAlign w:val="center"/>
          </w:tcPr>
          <w:p>
            <w:pPr>
              <w:adjustRightInd w:val="0"/>
              <w:snapToGrid w:val="0"/>
              <w:spacing w:before="100" w:beforeAutospacing="1" w:after="100" w:afterAutospacing="1"/>
              <w:rPr>
                <w:rFonts w:ascii="宋体" w:hAnsi="宋体"/>
                <w:color w:val="auto"/>
                <w:sz w:val="24"/>
                <w:highlight w:val="none"/>
              </w:rPr>
            </w:pPr>
          </w:p>
        </w:tc>
        <w:tc>
          <w:tcPr>
            <w:tcW w:w="698" w:type="pct"/>
            <w:vAlign w:val="center"/>
          </w:tcPr>
          <w:p>
            <w:pPr>
              <w:adjustRightInd w:val="0"/>
              <w:snapToGrid w:val="0"/>
              <w:spacing w:before="100" w:beforeAutospacing="1" w:after="100" w:afterAutospacing="1"/>
              <w:rPr>
                <w:rFonts w:ascii="宋体" w:hAnsi="宋体"/>
                <w:color w:val="auto"/>
                <w:sz w:val="24"/>
                <w:highlight w:val="none"/>
              </w:rPr>
            </w:pPr>
          </w:p>
        </w:tc>
        <w:tc>
          <w:tcPr>
            <w:tcW w:w="400" w:type="pct"/>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9"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6</w:t>
            </w:r>
          </w:p>
        </w:tc>
        <w:tc>
          <w:tcPr>
            <w:tcW w:w="2003" w:type="pct"/>
            <w:vAlign w:val="center"/>
          </w:tcPr>
          <w:p>
            <w:pPr>
              <w:adjustRightInd w:val="0"/>
              <w:snapToGrid w:val="0"/>
              <w:spacing w:before="100" w:beforeAutospacing="1" w:after="100" w:afterAutospacing="1"/>
              <w:jc w:val="center"/>
              <w:rPr>
                <w:rFonts w:ascii="宋体" w:hAnsi="宋体"/>
                <w:color w:val="auto"/>
                <w:sz w:val="24"/>
                <w:highlight w:val="none"/>
              </w:rPr>
            </w:pPr>
          </w:p>
        </w:tc>
        <w:tc>
          <w:tcPr>
            <w:tcW w:w="1401" w:type="pct"/>
            <w:vAlign w:val="center"/>
          </w:tcPr>
          <w:p>
            <w:pPr>
              <w:adjustRightInd w:val="0"/>
              <w:snapToGrid w:val="0"/>
              <w:spacing w:before="100" w:beforeAutospacing="1" w:after="100" w:afterAutospacing="1"/>
              <w:rPr>
                <w:rFonts w:ascii="宋体" w:hAnsi="宋体"/>
                <w:color w:val="auto"/>
                <w:sz w:val="24"/>
                <w:highlight w:val="none"/>
              </w:rPr>
            </w:pPr>
          </w:p>
        </w:tc>
        <w:tc>
          <w:tcPr>
            <w:tcW w:w="698" w:type="pct"/>
            <w:vAlign w:val="center"/>
          </w:tcPr>
          <w:p>
            <w:pPr>
              <w:adjustRightInd w:val="0"/>
              <w:snapToGrid w:val="0"/>
              <w:spacing w:before="100" w:beforeAutospacing="1" w:after="100" w:afterAutospacing="1"/>
              <w:rPr>
                <w:rFonts w:ascii="宋体" w:hAnsi="宋体"/>
                <w:color w:val="auto"/>
                <w:sz w:val="24"/>
                <w:highlight w:val="none"/>
              </w:rPr>
            </w:pPr>
          </w:p>
        </w:tc>
        <w:tc>
          <w:tcPr>
            <w:tcW w:w="400" w:type="pct"/>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9"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7</w:t>
            </w:r>
          </w:p>
        </w:tc>
        <w:tc>
          <w:tcPr>
            <w:tcW w:w="2003" w:type="pct"/>
            <w:vAlign w:val="center"/>
          </w:tcPr>
          <w:p>
            <w:pPr>
              <w:adjustRightInd w:val="0"/>
              <w:snapToGrid w:val="0"/>
              <w:spacing w:before="100" w:beforeAutospacing="1" w:after="100" w:afterAutospacing="1"/>
              <w:jc w:val="center"/>
              <w:rPr>
                <w:rFonts w:ascii="宋体" w:hAnsi="宋体"/>
                <w:color w:val="auto"/>
                <w:sz w:val="24"/>
                <w:highlight w:val="none"/>
              </w:rPr>
            </w:pPr>
          </w:p>
        </w:tc>
        <w:tc>
          <w:tcPr>
            <w:tcW w:w="1401" w:type="pct"/>
            <w:vAlign w:val="center"/>
          </w:tcPr>
          <w:p>
            <w:pPr>
              <w:adjustRightInd w:val="0"/>
              <w:snapToGrid w:val="0"/>
              <w:spacing w:before="100" w:beforeAutospacing="1" w:after="100" w:afterAutospacing="1"/>
              <w:rPr>
                <w:rFonts w:ascii="宋体" w:hAnsi="宋体"/>
                <w:color w:val="auto"/>
                <w:sz w:val="24"/>
                <w:highlight w:val="none"/>
              </w:rPr>
            </w:pPr>
          </w:p>
        </w:tc>
        <w:tc>
          <w:tcPr>
            <w:tcW w:w="698" w:type="pct"/>
            <w:vAlign w:val="center"/>
          </w:tcPr>
          <w:p>
            <w:pPr>
              <w:adjustRightInd w:val="0"/>
              <w:snapToGrid w:val="0"/>
              <w:spacing w:before="100" w:beforeAutospacing="1" w:after="100" w:afterAutospacing="1"/>
              <w:rPr>
                <w:rFonts w:ascii="宋体" w:hAnsi="宋体"/>
                <w:color w:val="auto"/>
                <w:sz w:val="24"/>
                <w:highlight w:val="none"/>
              </w:rPr>
            </w:pPr>
          </w:p>
        </w:tc>
        <w:tc>
          <w:tcPr>
            <w:tcW w:w="400" w:type="pct"/>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9" w:type="pct"/>
            <w:vAlign w:val="center"/>
          </w:tcPr>
          <w:p>
            <w:pPr>
              <w:adjustRightInd w:val="0"/>
              <w:snapToGrid w:val="0"/>
              <w:spacing w:before="100" w:beforeAutospacing="1" w:after="100" w:afterAutospacing="1"/>
              <w:jc w:val="center"/>
              <w:rPr>
                <w:rFonts w:ascii="宋体" w:hAnsi="宋体"/>
                <w:color w:val="auto"/>
                <w:sz w:val="24"/>
                <w:highlight w:val="none"/>
              </w:rPr>
            </w:pPr>
          </w:p>
        </w:tc>
        <w:tc>
          <w:tcPr>
            <w:tcW w:w="2003" w:type="pct"/>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w:t>
            </w:r>
          </w:p>
        </w:tc>
        <w:tc>
          <w:tcPr>
            <w:tcW w:w="1401" w:type="pct"/>
            <w:vAlign w:val="center"/>
          </w:tcPr>
          <w:p>
            <w:pPr>
              <w:adjustRightInd w:val="0"/>
              <w:snapToGrid w:val="0"/>
              <w:spacing w:before="100" w:beforeAutospacing="1" w:after="100" w:afterAutospacing="1"/>
              <w:rPr>
                <w:rFonts w:ascii="宋体" w:hAnsi="宋体"/>
                <w:color w:val="auto"/>
                <w:sz w:val="24"/>
                <w:highlight w:val="none"/>
              </w:rPr>
            </w:pPr>
          </w:p>
        </w:tc>
        <w:tc>
          <w:tcPr>
            <w:tcW w:w="698" w:type="pct"/>
            <w:vAlign w:val="center"/>
          </w:tcPr>
          <w:p>
            <w:pPr>
              <w:adjustRightInd w:val="0"/>
              <w:snapToGrid w:val="0"/>
              <w:spacing w:before="100" w:beforeAutospacing="1" w:after="100" w:afterAutospacing="1"/>
              <w:rPr>
                <w:rFonts w:ascii="宋体" w:hAnsi="宋体"/>
                <w:color w:val="auto"/>
                <w:sz w:val="24"/>
                <w:highlight w:val="none"/>
              </w:rPr>
            </w:pPr>
          </w:p>
        </w:tc>
        <w:tc>
          <w:tcPr>
            <w:tcW w:w="400" w:type="pct"/>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99" w:type="pct"/>
            <w:vAlign w:val="center"/>
          </w:tcPr>
          <w:p>
            <w:pPr>
              <w:adjustRightInd w:val="0"/>
              <w:snapToGrid w:val="0"/>
              <w:spacing w:before="100" w:beforeAutospacing="1" w:after="100" w:afterAutospacing="1"/>
              <w:jc w:val="center"/>
              <w:rPr>
                <w:rFonts w:ascii="宋体" w:hAnsi="宋体"/>
                <w:color w:val="auto"/>
                <w:sz w:val="24"/>
                <w:highlight w:val="none"/>
              </w:rPr>
            </w:pPr>
          </w:p>
        </w:tc>
        <w:tc>
          <w:tcPr>
            <w:tcW w:w="2003" w:type="pct"/>
            <w:vAlign w:val="center"/>
          </w:tcPr>
          <w:p>
            <w:pPr>
              <w:adjustRightInd w:val="0"/>
              <w:snapToGrid w:val="0"/>
              <w:spacing w:before="100" w:beforeAutospacing="1" w:after="100" w:afterAutospacing="1"/>
              <w:rPr>
                <w:rFonts w:ascii="宋体" w:hAnsi="宋体"/>
                <w:color w:val="auto"/>
                <w:sz w:val="24"/>
                <w:highlight w:val="none"/>
              </w:rPr>
            </w:pPr>
          </w:p>
        </w:tc>
        <w:tc>
          <w:tcPr>
            <w:tcW w:w="1401" w:type="pct"/>
            <w:vAlign w:val="center"/>
          </w:tcPr>
          <w:p>
            <w:pPr>
              <w:adjustRightInd w:val="0"/>
              <w:snapToGrid w:val="0"/>
              <w:spacing w:before="100" w:beforeAutospacing="1" w:after="100" w:afterAutospacing="1"/>
              <w:rPr>
                <w:rFonts w:ascii="宋体" w:hAnsi="宋体"/>
                <w:color w:val="auto"/>
                <w:sz w:val="24"/>
                <w:highlight w:val="none"/>
              </w:rPr>
            </w:pPr>
          </w:p>
        </w:tc>
        <w:tc>
          <w:tcPr>
            <w:tcW w:w="698" w:type="pct"/>
            <w:vAlign w:val="center"/>
          </w:tcPr>
          <w:p>
            <w:pPr>
              <w:adjustRightInd w:val="0"/>
              <w:snapToGrid w:val="0"/>
              <w:spacing w:before="100" w:beforeAutospacing="1" w:after="100" w:afterAutospacing="1"/>
              <w:rPr>
                <w:rFonts w:ascii="宋体" w:hAnsi="宋体"/>
                <w:color w:val="auto"/>
                <w:sz w:val="24"/>
                <w:highlight w:val="none"/>
              </w:rPr>
            </w:pPr>
          </w:p>
        </w:tc>
        <w:tc>
          <w:tcPr>
            <w:tcW w:w="400" w:type="pct"/>
            <w:vAlign w:val="center"/>
          </w:tcPr>
          <w:p>
            <w:pPr>
              <w:adjustRightInd w:val="0"/>
              <w:snapToGrid w:val="0"/>
              <w:spacing w:before="100" w:beforeAutospacing="1" w:after="100" w:afterAutospacing="1"/>
              <w:rPr>
                <w:rFonts w:ascii="宋体" w:hAnsi="宋体"/>
                <w:color w:val="auto"/>
                <w:sz w:val="24"/>
                <w:highlight w:val="none"/>
              </w:rPr>
            </w:pPr>
          </w:p>
        </w:tc>
      </w:tr>
    </w:tbl>
    <w:p>
      <w:pPr>
        <w:pStyle w:val="21"/>
        <w:adjustRightInd w:val="0"/>
        <w:snapToGrid w:val="0"/>
        <w:rPr>
          <w:rFonts w:hAnsi="宋体"/>
          <w:b/>
          <w:color w:val="auto"/>
          <w:szCs w:val="21"/>
          <w:highlight w:val="none"/>
        </w:rPr>
      </w:pPr>
      <w:r>
        <w:rPr>
          <w:rFonts w:hAnsi="宋体"/>
          <w:b/>
          <w:color w:val="auto"/>
          <w:szCs w:val="21"/>
          <w:highlight w:val="none"/>
        </w:rPr>
        <w:t>说明：1</w:t>
      </w:r>
      <w:r>
        <w:rPr>
          <w:rFonts w:hint="eastAsia" w:hAnsi="宋体"/>
          <w:b/>
          <w:color w:val="auto"/>
          <w:szCs w:val="21"/>
          <w:highlight w:val="none"/>
        </w:rPr>
        <w:t>、</w:t>
      </w:r>
      <w:r>
        <w:rPr>
          <w:rFonts w:hAnsi="宋体"/>
          <w:b/>
          <w:color w:val="auto"/>
          <w:szCs w:val="21"/>
          <w:highlight w:val="none"/>
        </w:rPr>
        <w:t>投标人若不填写</w:t>
      </w:r>
      <w:r>
        <w:rPr>
          <w:rFonts w:hint="eastAsia" w:hAnsi="宋体"/>
          <w:b/>
          <w:color w:val="auto"/>
          <w:szCs w:val="21"/>
          <w:highlight w:val="none"/>
        </w:rPr>
        <w:t>此表</w:t>
      </w:r>
      <w:r>
        <w:rPr>
          <w:rFonts w:hAnsi="宋体"/>
          <w:b/>
          <w:color w:val="auto"/>
          <w:szCs w:val="21"/>
          <w:highlight w:val="none"/>
        </w:rPr>
        <w:t>，则视为完全响应</w:t>
      </w:r>
      <w:r>
        <w:rPr>
          <w:rFonts w:hint="eastAsia" w:hAnsi="宋体"/>
          <w:b/>
          <w:color w:val="auto"/>
          <w:szCs w:val="21"/>
          <w:highlight w:val="none"/>
        </w:rPr>
        <w:t>招标</w:t>
      </w:r>
      <w:r>
        <w:rPr>
          <w:rFonts w:hAnsi="宋体"/>
          <w:b/>
          <w:color w:val="auto"/>
          <w:szCs w:val="21"/>
          <w:highlight w:val="none"/>
        </w:rPr>
        <w:t>文件要求</w:t>
      </w:r>
      <w:r>
        <w:rPr>
          <w:rFonts w:hint="eastAsia" w:hAnsi="宋体"/>
          <w:b/>
          <w:color w:val="auto"/>
          <w:szCs w:val="21"/>
          <w:highlight w:val="none"/>
        </w:rPr>
        <w:t>。</w:t>
      </w:r>
    </w:p>
    <w:p>
      <w:pPr>
        <w:pStyle w:val="21"/>
        <w:adjustRightInd w:val="0"/>
        <w:snapToGrid w:val="0"/>
        <w:rPr>
          <w:rFonts w:hAnsi="宋体"/>
          <w:b/>
          <w:color w:val="auto"/>
          <w:szCs w:val="21"/>
          <w:highlight w:val="none"/>
        </w:rPr>
      </w:pPr>
      <w:r>
        <w:rPr>
          <w:rFonts w:hint="eastAsia" w:hAnsi="宋体"/>
          <w:b/>
          <w:color w:val="auto"/>
          <w:szCs w:val="21"/>
          <w:highlight w:val="none"/>
        </w:rPr>
        <w:t xml:space="preserve">       2、</w:t>
      </w:r>
      <w:r>
        <w:rPr>
          <w:rFonts w:hAnsi="宋体"/>
          <w:b/>
          <w:color w:val="auto"/>
          <w:szCs w:val="21"/>
          <w:highlight w:val="none"/>
        </w:rPr>
        <w:t xml:space="preserve">投标人拟提供的服务承诺与招标文件中的要求不一致时，则必须在技术标《服务条款响应表》中予以明确。 </w:t>
      </w:r>
    </w:p>
    <w:p>
      <w:pPr>
        <w:pStyle w:val="21"/>
        <w:adjustRightInd w:val="0"/>
        <w:snapToGrid w:val="0"/>
        <w:jc w:val="left"/>
        <w:rPr>
          <w:rFonts w:ascii="宋体" w:hAnsi="宋体"/>
          <w:b/>
          <w:color w:val="auto"/>
          <w:kern w:val="2"/>
          <w:szCs w:val="21"/>
          <w:highlight w:val="none"/>
        </w:rPr>
      </w:pPr>
      <w:r>
        <w:rPr>
          <w:rFonts w:hint="default" w:ascii="宋体" w:hAnsi="宋体"/>
          <w:b/>
          <w:color w:val="auto"/>
          <w:szCs w:val="21"/>
          <w:highlight w:val="none"/>
        </w:rPr>
        <w:t xml:space="preserve">       3</w:t>
      </w:r>
      <w:r>
        <w:rPr>
          <w:rFonts w:ascii="宋体" w:hAnsi="宋体"/>
          <w:b/>
          <w:color w:val="auto"/>
          <w:szCs w:val="21"/>
          <w:highlight w:val="none"/>
        </w:rPr>
        <w:t>、响应情况分别为：正偏离、响应或负偏离。投标人可在备注栏内就偏离原因进行简要说明。</w:t>
      </w:r>
    </w:p>
    <w:p>
      <w:pPr>
        <w:spacing w:line="360" w:lineRule="auto"/>
        <w:rPr>
          <w:rFonts w:ascii="宋体" w:hAnsi="宋体"/>
          <w:color w:val="auto"/>
          <w:sz w:val="24"/>
          <w:highlight w:val="none"/>
        </w:rPr>
      </w:pPr>
    </w:p>
    <w:p>
      <w:pPr>
        <w:pStyle w:val="37"/>
        <w:rPr>
          <w:color w:val="auto"/>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w:t>
      </w: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snapToGrid w:val="0"/>
        <w:spacing w:before="50" w:line="360" w:lineRule="auto"/>
        <w:jc w:val="left"/>
        <w:rPr>
          <w:rFonts w:hint="eastAsia" w:ascii="宋体" w:hAnsi="宋体"/>
          <w:color w:val="auto"/>
          <w:sz w:val="24"/>
          <w:highlight w:val="none"/>
        </w:rPr>
      </w:pPr>
    </w:p>
    <w:p>
      <w:pPr>
        <w:pStyle w:val="122"/>
        <w:spacing w:line="360" w:lineRule="auto"/>
        <w:jc w:val="left"/>
        <w:rPr>
          <w:rFonts w:hint="default" w:ascii="宋体" w:hAnsi="宋体" w:eastAsia="宋体"/>
          <w:b/>
          <w:color w:val="auto"/>
          <w:sz w:val="28"/>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10</w:t>
      </w:r>
    </w:p>
    <w:p>
      <w:pPr>
        <w:pStyle w:val="123"/>
        <w:spacing w:line="360" w:lineRule="auto"/>
        <w:jc w:val="center"/>
        <w:rPr>
          <w:rFonts w:ascii="宋体" w:hAnsi="宋体" w:cs="Arial"/>
          <w:color w:val="auto"/>
          <w:sz w:val="28"/>
          <w:szCs w:val="28"/>
          <w:highlight w:val="none"/>
        </w:rPr>
      </w:pPr>
      <w:bookmarkStart w:id="133" w:name="_Toc11030_WPSOffice_Level1"/>
      <w:bookmarkStart w:id="134" w:name="_Toc17604_WPSOffice_Level1"/>
      <w:r>
        <w:rPr>
          <w:rFonts w:hint="eastAsia" w:ascii="宋体" w:hAnsi="宋体"/>
          <w:b/>
          <w:color w:val="auto"/>
          <w:sz w:val="32"/>
          <w:szCs w:val="32"/>
          <w:highlight w:val="none"/>
        </w:rPr>
        <w:t>证书一览表</w:t>
      </w:r>
      <w:bookmarkEnd w:id="133"/>
      <w:bookmarkEnd w:id="134"/>
    </w:p>
    <w:tbl>
      <w:tblPr>
        <w:tblStyle w:val="38"/>
        <w:tblpPr w:leftFromText="181" w:rightFromText="181" w:bottomFromText="170" w:vertAnchor="text" w:tblpXSpec="center" w:tblpY="1"/>
        <w:tblOverlap w:val="never"/>
        <w:tblW w:w="895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258"/>
        <w:gridCol w:w="2260"/>
        <w:gridCol w:w="227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157" w:type="dxa"/>
            <w:tcBorders>
              <w:top w:val="single" w:color="auto" w:sz="4" w:space="0"/>
              <w:left w:val="single" w:color="auto" w:sz="4" w:space="0"/>
              <w:bottom w:val="single" w:color="auto" w:sz="4" w:space="0"/>
            </w:tcBorders>
            <w:tcMar>
              <w:top w:w="57" w:type="dxa"/>
              <w:left w:w="85" w:type="dxa"/>
              <w:bottom w:w="0" w:type="dxa"/>
              <w:right w:w="85" w:type="dxa"/>
            </w:tcMar>
          </w:tcPr>
          <w:p>
            <w:pPr>
              <w:pStyle w:val="123"/>
              <w:spacing w:line="360" w:lineRule="auto"/>
              <w:jc w:val="center"/>
              <w:rPr>
                <w:rFonts w:ascii="宋体" w:hAnsi="宋体" w:cs="Arial"/>
                <w:b/>
                <w:bCs/>
                <w:color w:val="auto"/>
                <w:szCs w:val="21"/>
                <w:highlight w:val="none"/>
              </w:rPr>
            </w:pPr>
            <w:r>
              <w:rPr>
                <w:rFonts w:hint="eastAsia" w:ascii="宋体" w:hAnsi="宋体" w:cs="Arial"/>
                <w:b/>
                <w:bCs/>
                <w:color w:val="auto"/>
                <w:szCs w:val="21"/>
                <w:highlight w:val="none"/>
              </w:rPr>
              <w:t>证书名称</w:t>
            </w:r>
          </w:p>
        </w:tc>
        <w:tc>
          <w:tcPr>
            <w:tcW w:w="2258" w:type="dxa"/>
            <w:tcBorders>
              <w:top w:val="single" w:color="auto" w:sz="4" w:space="0"/>
              <w:bottom w:val="single" w:color="auto" w:sz="4" w:space="0"/>
            </w:tcBorders>
            <w:tcMar>
              <w:top w:w="57" w:type="dxa"/>
              <w:left w:w="85" w:type="dxa"/>
              <w:bottom w:w="0" w:type="dxa"/>
              <w:right w:w="85" w:type="dxa"/>
            </w:tcMar>
          </w:tcPr>
          <w:p>
            <w:pPr>
              <w:pStyle w:val="123"/>
              <w:spacing w:line="360" w:lineRule="auto"/>
              <w:jc w:val="center"/>
              <w:rPr>
                <w:rFonts w:ascii="宋体" w:hAnsi="宋体" w:cs="Arial"/>
                <w:b/>
                <w:bCs/>
                <w:color w:val="auto"/>
                <w:szCs w:val="21"/>
                <w:highlight w:val="none"/>
              </w:rPr>
            </w:pPr>
            <w:r>
              <w:rPr>
                <w:rFonts w:hint="eastAsia" w:ascii="宋体" w:hAnsi="宋体" w:cs="Arial"/>
                <w:b/>
                <w:bCs/>
                <w:color w:val="auto"/>
                <w:szCs w:val="21"/>
                <w:highlight w:val="none"/>
              </w:rPr>
              <w:t>发证单位</w:t>
            </w:r>
          </w:p>
        </w:tc>
        <w:tc>
          <w:tcPr>
            <w:tcW w:w="2260" w:type="dxa"/>
            <w:tcBorders>
              <w:top w:val="single" w:color="auto" w:sz="4" w:space="0"/>
              <w:bottom w:val="single" w:color="auto" w:sz="4" w:space="0"/>
            </w:tcBorders>
            <w:tcMar>
              <w:top w:w="57" w:type="dxa"/>
              <w:left w:w="85" w:type="dxa"/>
              <w:bottom w:w="0" w:type="dxa"/>
              <w:right w:w="85" w:type="dxa"/>
            </w:tcMar>
          </w:tcPr>
          <w:p>
            <w:pPr>
              <w:pStyle w:val="123"/>
              <w:spacing w:line="360" w:lineRule="auto"/>
              <w:jc w:val="center"/>
              <w:rPr>
                <w:rFonts w:ascii="宋体" w:hAnsi="宋体" w:cs="Arial"/>
                <w:b/>
                <w:bCs/>
                <w:color w:val="auto"/>
                <w:szCs w:val="21"/>
                <w:highlight w:val="none"/>
              </w:rPr>
            </w:pPr>
            <w:r>
              <w:rPr>
                <w:rFonts w:hint="eastAsia" w:ascii="宋体" w:hAnsi="宋体" w:cs="Arial"/>
                <w:b/>
                <w:bCs/>
                <w:color w:val="auto"/>
                <w:szCs w:val="21"/>
                <w:highlight w:val="none"/>
              </w:rPr>
              <w:t>证书等级</w:t>
            </w:r>
          </w:p>
        </w:tc>
        <w:tc>
          <w:tcPr>
            <w:tcW w:w="2277" w:type="dxa"/>
            <w:tcBorders>
              <w:top w:val="single" w:color="auto" w:sz="4" w:space="0"/>
              <w:bottom w:val="single" w:color="auto" w:sz="4" w:space="0"/>
              <w:right w:val="single" w:color="auto" w:sz="4" w:space="0"/>
            </w:tcBorders>
            <w:tcMar>
              <w:top w:w="57" w:type="dxa"/>
              <w:left w:w="85" w:type="dxa"/>
              <w:bottom w:w="0" w:type="dxa"/>
              <w:right w:w="85" w:type="dxa"/>
            </w:tcMar>
          </w:tcPr>
          <w:p>
            <w:pPr>
              <w:pStyle w:val="123"/>
              <w:spacing w:line="360" w:lineRule="auto"/>
              <w:jc w:val="center"/>
              <w:rPr>
                <w:rFonts w:ascii="宋体" w:hAnsi="宋体" w:cs="Arial"/>
                <w:b/>
                <w:bCs/>
                <w:color w:val="auto"/>
                <w:szCs w:val="21"/>
                <w:highlight w:val="none"/>
              </w:rPr>
            </w:pPr>
            <w:r>
              <w:rPr>
                <w:rFonts w:hint="eastAsia" w:ascii="宋体" w:hAnsi="宋体" w:cs="Arial"/>
                <w:b/>
                <w:bCs/>
                <w:color w:val="auto"/>
                <w:szCs w:val="21"/>
                <w:highlight w:val="none"/>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top w:val="single" w:color="auto" w:sz="4" w:space="0"/>
              <w:lef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58" w:type="dxa"/>
            <w:tcBorders>
              <w:top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60" w:type="dxa"/>
            <w:tcBorders>
              <w:top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77" w:type="dxa"/>
            <w:tcBorders>
              <w:top w:val="single" w:color="auto" w:sz="4" w:space="0"/>
              <w:righ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58" w:type="dxa"/>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60" w:type="dxa"/>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77" w:type="dxa"/>
            <w:tcBorders>
              <w:righ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58" w:type="dxa"/>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60" w:type="dxa"/>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77" w:type="dxa"/>
            <w:tcBorders>
              <w:righ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58" w:type="dxa"/>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60" w:type="dxa"/>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77" w:type="dxa"/>
            <w:tcBorders>
              <w:righ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58" w:type="dxa"/>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60" w:type="dxa"/>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77" w:type="dxa"/>
            <w:tcBorders>
              <w:righ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58" w:type="dxa"/>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60" w:type="dxa"/>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77" w:type="dxa"/>
            <w:tcBorders>
              <w:righ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bottom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58" w:type="dxa"/>
            <w:tcBorders>
              <w:bottom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60" w:type="dxa"/>
            <w:tcBorders>
              <w:bottom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c>
          <w:tcPr>
            <w:tcW w:w="2277" w:type="dxa"/>
            <w:tcBorders>
              <w:bottom w:val="single" w:color="auto" w:sz="4" w:space="0"/>
              <w:right w:val="single" w:color="auto" w:sz="4" w:space="0"/>
            </w:tcBorders>
            <w:tcMar>
              <w:top w:w="57" w:type="dxa"/>
              <w:left w:w="85" w:type="dxa"/>
              <w:bottom w:w="0" w:type="dxa"/>
              <w:right w:w="85" w:type="dxa"/>
            </w:tcMar>
          </w:tcPr>
          <w:p>
            <w:pPr>
              <w:pStyle w:val="123"/>
              <w:spacing w:line="360" w:lineRule="auto"/>
              <w:jc w:val="center"/>
              <w:rPr>
                <w:rFonts w:ascii="宋体" w:hAnsi="宋体" w:cs="Arial"/>
                <w:color w:val="auto"/>
                <w:szCs w:val="21"/>
                <w:highlight w:val="none"/>
              </w:rPr>
            </w:pPr>
          </w:p>
        </w:tc>
      </w:tr>
    </w:tbl>
    <w:p>
      <w:pPr>
        <w:pStyle w:val="123"/>
        <w:tabs>
          <w:tab w:val="left" w:pos="1050"/>
        </w:tabs>
        <w:spacing w:line="360" w:lineRule="auto"/>
        <w:rPr>
          <w:rFonts w:ascii="宋体" w:hAnsi="宋体"/>
          <w:color w:val="auto"/>
          <w:szCs w:val="21"/>
          <w:highlight w:val="none"/>
        </w:rPr>
      </w:pPr>
      <w:r>
        <w:rPr>
          <w:rFonts w:hint="eastAsia" w:ascii="宋体" w:hAnsi="宋体"/>
          <w:b/>
          <w:color w:val="auto"/>
          <w:szCs w:val="21"/>
          <w:highlight w:val="none"/>
        </w:rPr>
        <w:t>要求：</w:t>
      </w:r>
    </w:p>
    <w:p>
      <w:pPr>
        <w:pStyle w:val="123"/>
        <w:tabs>
          <w:tab w:val="left" w:pos="1050"/>
        </w:tabs>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1.填写投标人获得资质、认证或企业信誉证书。</w:t>
      </w:r>
    </w:p>
    <w:p>
      <w:pPr>
        <w:pStyle w:val="123"/>
        <w:tabs>
          <w:tab w:val="left" w:pos="1050"/>
        </w:tabs>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2.附所列证书或其他证明材料。</w:t>
      </w:r>
    </w:p>
    <w:p>
      <w:pPr>
        <w:pStyle w:val="123"/>
        <w:tabs>
          <w:tab w:val="left" w:pos="1050"/>
        </w:tabs>
        <w:spacing w:line="360" w:lineRule="auto"/>
        <w:rPr>
          <w:rFonts w:ascii="仿宋_GB2312" w:hAnsi="宋体" w:eastAsia="仿宋_GB2312"/>
          <w:color w:val="auto"/>
          <w:sz w:val="24"/>
          <w:highlight w:val="none"/>
        </w:rPr>
      </w:pPr>
    </w:p>
    <w:p>
      <w:pPr>
        <w:pStyle w:val="123"/>
        <w:tabs>
          <w:tab w:val="left" w:pos="1050"/>
        </w:tabs>
        <w:spacing w:line="360" w:lineRule="auto"/>
        <w:ind w:firstLine="720" w:firstLineChars="300"/>
        <w:rPr>
          <w:rFonts w:ascii="仿宋_GB2312" w:hAnsi="宋体" w:eastAsia="仿宋_GB2312"/>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left="420"/>
        <w:rPr>
          <w:rFonts w:ascii="宋体" w:hAnsi="宋体"/>
          <w:color w:val="auto"/>
          <w:sz w:val="24"/>
          <w:highlight w:val="none"/>
        </w:rPr>
      </w:pP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投标人代表签字：</w:t>
      </w:r>
    </w:p>
    <w:p>
      <w:pPr>
        <w:spacing w:line="360" w:lineRule="auto"/>
        <w:ind w:firstLine="435"/>
        <w:rPr>
          <w:rFonts w:ascii="宋体" w:hAnsi="宋体"/>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pStyle w:val="120"/>
        <w:shd w:val="clear" w:color="auto" w:fill="FFFFFF"/>
        <w:spacing w:before="0" w:beforeAutospacing="0" w:after="0" w:afterAutospacing="0" w:line="360" w:lineRule="auto"/>
        <w:ind w:firstLine="424" w:firstLineChars="177"/>
        <w:rPr>
          <w:b/>
          <w:bCs/>
          <w:color w:val="auto"/>
          <w:highlight w:val="none"/>
        </w:rPr>
      </w:pPr>
      <w:r>
        <w:rPr>
          <w:rFonts w:hint="eastAsia"/>
          <w:color w:val="auto"/>
          <w:highlight w:val="none"/>
        </w:rPr>
        <w:t>日        期：</w:t>
      </w: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pacing w:line="360" w:lineRule="auto"/>
        <w:rPr>
          <w:rFonts w:hint="default" w:ascii="宋体" w:hAnsi="宋体" w:eastAsia="宋体"/>
          <w:b/>
          <w:color w:val="auto"/>
          <w:sz w:val="28"/>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11</w:t>
      </w:r>
    </w:p>
    <w:p>
      <w:pPr>
        <w:spacing w:line="360" w:lineRule="auto"/>
        <w:jc w:val="center"/>
        <w:rPr>
          <w:rFonts w:ascii="宋体" w:hAnsi="宋体"/>
          <w:b/>
          <w:bCs/>
          <w:color w:val="auto"/>
          <w:kern w:val="0"/>
          <w:sz w:val="32"/>
          <w:szCs w:val="32"/>
          <w:highlight w:val="none"/>
        </w:rPr>
      </w:pPr>
      <w:bookmarkStart w:id="135" w:name="_Toc7134_WPSOffice_Level1"/>
      <w:bookmarkStart w:id="136" w:name="_Toc19231_WPSOffice_Level1"/>
      <w:r>
        <w:rPr>
          <w:rFonts w:hint="eastAsia" w:ascii="宋体" w:hAnsi="宋体"/>
          <w:b/>
          <w:bCs/>
          <w:color w:val="auto"/>
          <w:kern w:val="0"/>
          <w:sz w:val="32"/>
          <w:szCs w:val="32"/>
          <w:highlight w:val="none"/>
        </w:rPr>
        <w:t>投标人类似项目实施情况一览表</w:t>
      </w:r>
      <w:bookmarkEnd w:id="135"/>
      <w:bookmarkEnd w:id="136"/>
    </w:p>
    <w:tbl>
      <w:tblPr>
        <w:tblStyle w:val="38"/>
        <w:tblpPr w:leftFromText="181" w:rightFromText="181" w:bottomFromText="170" w:vertAnchor="text" w:tblpXSpec="center" w:tblpY="1"/>
        <w:tblOverlap w:val="never"/>
        <w:tblW w:w="90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358"/>
        <w:gridCol w:w="1228"/>
        <w:gridCol w:w="18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122"/>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122"/>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项目名称</w:t>
            </w: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122"/>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项目地址</w:t>
            </w: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122"/>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合同总价</w:t>
            </w: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122"/>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实施时间</w:t>
            </w: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122"/>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项目质量</w:t>
            </w: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122"/>
              <w:jc w:val="center"/>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122"/>
              <w:spacing w:line="360" w:lineRule="auto"/>
              <w:rPr>
                <w:rFonts w:asciiTheme="minorEastAsia" w:hAnsiTheme="minorEastAsia" w:eastAsiaTheme="minorEastAsia" w:cstheme="minorEastAsia"/>
                <w:color w:val="auto"/>
                <w:szCs w:val="21"/>
                <w:highlight w:val="none"/>
              </w:rPr>
            </w:pPr>
          </w:p>
        </w:tc>
      </w:tr>
    </w:tbl>
    <w:p>
      <w:pPr>
        <w:autoSpaceDE w:val="0"/>
        <w:autoSpaceDN w:val="0"/>
        <w:adjustRightInd w:val="0"/>
        <w:spacing w:before="120" w:beforeLines="50" w:line="360" w:lineRule="auto"/>
        <w:rPr>
          <w:rFonts w:ascii="宋体" w:hAnsi="宋体" w:cs="Arial"/>
          <w:b/>
          <w:color w:val="auto"/>
          <w:szCs w:val="21"/>
          <w:highlight w:val="none"/>
        </w:rPr>
      </w:pPr>
      <w:r>
        <w:rPr>
          <w:rFonts w:hint="eastAsia" w:ascii="宋体" w:hAnsi="宋体" w:cs="Arial"/>
          <w:b/>
          <w:color w:val="auto"/>
          <w:szCs w:val="21"/>
          <w:highlight w:val="none"/>
        </w:rPr>
        <w:t>要求</w:t>
      </w:r>
      <w:r>
        <w:rPr>
          <w:rFonts w:ascii="宋体" w:hAnsi="宋体" w:cs="Arial"/>
          <w:b/>
          <w:color w:val="auto"/>
          <w:szCs w:val="21"/>
          <w:highlight w:val="none"/>
        </w:rPr>
        <w:t>：</w:t>
      </w:r>
    </w:p>
    <w:p>
      <w:pPr>
        <w:autoSpaceDE w:val="0"/>
        <w:autoSpaceDN w:val="0"/>
        <w:adjustRightInd w:val="0"/>
        <w:spacing w:before="120" w:beforeLines="50" w:line="360" w:lineRule="auto"/>
        <w:ind w:firstLine="560" w:firstLineChars="200"/>
        <w:rPr>
          <w:rFonts w:ascii="宋体" w:hAnsi="宋体" w:cs="Arial"/>
          <w:b/>
          <w:color w:val="auto"/>
          <w:szCs w:val="21"/>
          <w:highlight w:val="none"/>
        </w:rPr>
      </w:pPr>
      <w:r>
        <w:rPr>
          <w:rFonts w:ascii="宋体" w:hAnsi="宋体" w:cs="Arial"/>
          <w:color w:val="auto"/>
          <w:szCs w:val="21"/>
          <w:highlight w:val="none"/>
        </w:rPr>
        <w:t>1</w:t>
      </w:r>
      <w:r>
        <w:rPr>
          <w:rFonts w:hint="eastAsia" w:ascii="宋体" w:hAnsi="宋体" w:cs="Arial"/>
          <w:color w:val="auto"/>
          <w:szCs w:val="21"/>
          <w:highlight w:val="none"/>
        </w:rPr>
        <w:t>.</w:t>
      </w:r>
      <w:r>
        <w:rPr>
          <w:rFonts w:ascii="宋体" w:hAnsi="宋体" w:cs="Arial"/>
          <w:color w:val="auto"/>
          <w:szCs w:val="21"/>
          <w:highlight w:val="none"/>
        </w:rPr>
        <w:t>业绩证明应提供证明材料（合同</w:t>
      </w:r>
      <w:r>
        <w:rPr>
          <w:rFonts w:hint="eastAsia" w:ascii="宋体" w:hAnsi="宋体" w:cs="Arial"/>
          <w:color w:val="auto"/>
          <w:szCs w:val="21"/>
          <w:highlight w:val="none"/>
        </w:rPr>
        <w:t>可只提供首页、含金额页、盖章页并加盖投标人公章</w:t>
      </w:r>
      <w:r>
        <w:rPr>
          <w:rFonts w:ascii="宋体" w:hAnsi="宋体" w:cs="Arial"/>
          <w:color w:val="auto"/>
          <w:szCs w:val="21"/>
          <w:highlight w:val="none"/>
        </w:rPr>
        <w:t>）</w:t>
      </w:r>
      <w:r>
        <w:rPr>
          <w:rFonts w:hint="eastAsia" w:ascii="宋体" w:hAnsi="宋体" w:cs="Arial"/>
          <w:color w:val="auto"/>
          <w:szCs w:val="21"/>
          <w:highlight w:val="none"/>
        </w:rPr>
        <w:t>。</w:t>
      </w:r>
    </w:p>
    <w:p>
      <w:pPr>
        <w:spacing w:line="360" w:lineRule="auto"/>
        <w:ind w:firstLine="565" w:firstLineChars="202"/>
        <w:jc w:val="left"/>
        <w:rPr>
          <w:rFonts w:ascii="宋体" w:hAnsi="宋体" w:cs="Arial"/>
          <w:color w:val="auto"/>
          <w:szCs w:val="21"/>
          <w:highlight w:val="none"/>
        </w:rPr>
      </w:pPr>
      <w:r>
        <w:rPr>
          <w:rFonts w:ascii="宋体" w:hAnsi="宋体" w:cs="Arial"/>
          <w:color w:val="auto"/>
          <w:szCs w:val="21"/>
          <w:highlight w:val="none"/>
        </w:rPr>
        <w:t>2</w:t>
      </w:r>
      <w:r>
        <w:rPr>
          <w:rFonts w:hint="eastAsia" w:ascii="宋体" w:hAnsi="宋体" w:cs="Arial"/>
          <w:color w:val="auto"/>
          <w:szCs w:val="21"/>
          <w:highlight w:val="none"/>
        </w:rPr>
        <w:t>.投标人</w:t>
      </w:r>
      <w:r>
        <w:rPr>
          <w:rFonts w:ascii="宋体" w:hAnsi="宋体" w:cs="Arial"/>
          <w:color w:val="auto"/>
          <w:szCs w:val="21"/>
          <w:highlight w:val="none"/>
        </w:rPr>
        <w:t>可按此表格式复制</w:t>
      </w:r>
      <w:r>
        <w:rPr>
          <w:rFonts w:hint="eastAsia" w:ascii="宋体" w:hAnsi="宋体" w:cs="Arial"/>
          <w:color w:val="auto"/>
          <w:szCs w:val="21"/>
          <w:highlight w:val="none"/>
        </w:rPr>
        <w:t>。</w:t>
      </w:r>
    </w:p>
    <w:p>
      <w:pPr>
        <w:spacing w:line="360" w:lineRule="auto"/>
        <w:rPr>
          <w:rFonts w:ascii="宋体" w:hAnsi="宋体"/>
          <w:color w:val="auto"/>
          <w:sz w:val="22"/>
          <w:szCs w:val="22"/>
          <w:highlight w:val="none"/>
        </w:rPr>
      </w:pPr>
    </w:p>
    <w:p>
      <w:pPr>
        <w:pStyle w:val="37"/>
        <w:rPr>
          <w:color w:val="auto"/>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投标人名称（公章）：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投标人代表签字：</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pacing w:line="360" w:lineRule="auto"/>
        <w:jc w:val="center"/>
        <w:rPr>
          <w:rFonts w:hint="eastAsia" w:ascii="宋体" w:hAnsi="宋体" w:cs="宋体"/>
          <w:color w:val="auto"/>
          <w:spacing w:val="40"/>
          <w:sz w:val="36"/>
          <w:szCs w:val="36"/>
          <w:highlight w:val="none"/>
        </w:rPr>
      </w:pPr>
    </w:p>
    <w:p>
      <w:pPr>
        <w:spacing w:line="360" w:lineRule="auto"/>
        <w:jc w:val="center"/>
        <w:rPr>
          <w:rFonts w:ascii="宋体" w:hAnsi="宋体" w:cs="宋体"/>
          <w:color w:val="auto"/>
          <w:spacing w:val="40"/>
          <w:sz w:val="36"/>
          <w:szCs w:val="36"/>
          <w:highlight w:val="none"/>
        </w:rPr>
      </w:pPr>
      <w:r>
        <w:rPr>
          <w:rFonts w:hint="eastAsia" w:ascii="宋体" w:hAnsi="宋体" w:cs="宋体"/>
          <w:color w:val="auto"/>
          <w:spacing w:val="40"/>
          <w:sz w:val="36"/>
          <w:szCs w:val="36"/>
          <w:highlight w:val="none"/>
        </w:rPr>
        <w:t>城市地下市政基础设施普查</w:t>
      </w:r>
    </w:p>
    <w:p>
      <w:pPr>
        <w:spacing w:line="360" w:lineRule="auto"/>
        <w:rPr>
          <w:rFonts w:ascii="宋体" w:hAnsi="宋体" w:cs="宋体"/>
          <w:color w:val="auto"/>
          <w:sz w:val="36"/>
          <w:szCs w:val="36"/>
          <w:highlight w:val="none"/>
        </w:rPr>
      </w:pPr>
    </w:p>
    <w:p>
      <w:pPr>
        <w:spacing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项目编号： 台财采确临【2022】683号</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投</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标</w:t>
      </w:r>
    </w:p>
    <w:p>
      <w:pPr>
        <w:autoSpaceDE w:val="0"/>
        <w:autoSpaceDN w:val="0"/>
        <w:adjustRightInd w:val="0"/>
        <w:spacing w:line="360" w:lineRule="auto"/>
        <w:jc w:val="center"/>
        <w:rPr>
          <w:rFonts w:ascii="宋体" w:hAnsi="宋体" w:cs="宋体"/>
          <w:color w:val="auto"/>
          <w:sz w:val="84"/>
          <w:szCs w:val="84"/>
          <w:highlight w:val="none"/>
        </w:rPr>
      </w:pPr>
      <w:r>
        <w:rPr>
          <w:rFonts w:hint="eastAsia" w:ascii="宋体" w:hAnsi="宋体" w:cs="宋体"/>
          <w:color w:val="auto"/>
          <w:sz w:val="84"/>
          <w:szCs w:val="84"/>
          <w:highlight w:val="none"/>
          <w:lang w:val="zh-CN"/>
        </w:rPr>
        <w:t>文</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件</w:t>
      </w:r>
    </w:p>
    <w:p>
      <w:pPr>
        <w:autoSpaceDE w:val="0"/>
        <w:autoSpaceDN w:val="0"/>
        <w:adjustRightInd w:val="0"/>
        <w:spacing w:line="360" w:lineRule="auto"/>
        <w:jc w:val="center"/>
        <w:rPr>
          <w:rFonts w:ascii="宋体" w:hAnsi="宋体" w:cs="宋体"/>
          <w:b/>
          <w:bCs/>
          <w:color w:val="auto"/>
          <w:spacing w:val="40"/>
          <w:szCs w:val="28"/>
          <w:highlight w:val="none"/>
        </w:rPr>
      </w:pPr>
      <w:r>
        <w:rPr>
          <w:rFonts w:hint="eastAsia" w:ascii="宋体" w:hAnsi="宋体" w:cs="宋体"/>
          <w:b/>
          <w:bCs/>
          <w:color w:val="auto"/>
          <w:szCs w:val="28"/>
          <w:highlight w:val="none"/>
          <w:lang w:val="zh-CN"/>
        </w:rPr>
        <w:t>（报价文件</w:t>
      </w:r>
      <w:r>
        <w:rPr>
          <w:rFonts w:hint="eastAsia" w:ascii="宋体" w:hAnsi="宋体" w:cs="宋体"/>
          <w:b/>
          <w:bCs/>
          <w:color w:val="auto"/>
          <w:spacing w:val="40"/>
          <w:szCs w:val="28"/>
          <w:highlight w:val="none"/>
        </w:rPr>
        <w:t>）</w:t>
      </w:r>
    </w:p>
    <w:p>
      <w:pPr>
        <w:autoSpaceDE w:val="0"/>
        <w:autoSpaceDN w:val="0"/>
        <w:adjustRightInd w:val="0"/>
        <w:spacing w:line="360" w:lineRule="auto"/>
        <w:rPr>
          <w:rFonts w:ascii="宋体" w:hAnsi="宋体" w:cs="宋体"/>
          <w:color w:val="auto"/>
          <w:sz w:val="36"/>
          <w:szCs w:val="36"/>
          <w:highlight w:val="none"/>
        </w:rPr>
      </w:pPr>
    </w:p>
    <w:p>
      <w:pPr>
        <w:autoSpaceDE w:val="0"/>
        <w:autoSpaceDN w:val="0"/>
        <w:adjustRightInd w:val="0"/>
        <w:spacing w:line="360" w:lineRule="auto"/>
        <w:rPr>
          <w:rFonts w:ascii="宋体" w:hAnsi="宋体" w:cs="宋体"/>
          <w:color w:val="auto"/>
          <w:sz w:val="36"/>
          <w:szCs w:val="36"/>
          <w:highlight w:val="none"/>
        </w:rPr>
      </w:pPr>
      <w:r>
        <w:rPr>
          <w:rFonts w:hint="eastAsia" w:ascii="宋体" w:hAnsi="宋体" w:cs="宋体"/>
          <w:color w:val="auto"/>
          <w:sz w:val="36"/>
          <w:szCs w:val="36"/>
          <w:highlight w:val="none"/>
        </w:rPr>
        <w:t>投标人全称（公章或CA签章）：</w:t>
      </w:r>
    </w:p>
    <w:p>
      <w:pPr>
        <w:autoSpaceDE w:val="0"/>
        <w:autoSpaceDN w:val="0"/>
        <w:adjustRightInd w:val="0"/>
        <w:spacing w:line="360" w:lineRule="auto"/>
        <w:rPr>
          <w:rFonts w:ascii="宋体" w:hAnsi="宋体" w:cs="宋体"/>
          <w:color w:val="auto"/>
          <w:sz w:val="36"/>
          <w:szCs w:val="36"/>
          <w:highlight w:val="none"/>
        </w:rPr>
      </w:pPr>
      <w:r>
        <w:rPr>
          <w:rFonts w:hint="eastAsia" w:ascii="宋体" w:hAnsi="宋体" w:cs="宋体"/>
          <w:color w:val="auto"/>
          <w:sz w:val="36"/>
          <w:szCs w:val="36"/>
          <w:highlight w:val="none"/>
        </w:rPr>
        <w:t>法定代表人（签字或盖章）：</w:t>
      </w:r>
    </w:p>
    <w:p>
      <w:pPr>
        <w:autoSpaceDE w:val="0"/>
        <w:autoSpaceDN w:val="0"/>
        <w:adjustRightInd w:val="0"/>
        <w:spacing w:line="360" w:lineRule="auto"/>
        <w:rPr>
          <w:rFonts w:ascii="宋体" w:hAnsi="宋体" w:cs="宋体"/>
          <w:color w:val="auto"/>
          <w:sz w:val="36"/>
          <w:szCs w:val="36"/>
          <w:highlight w:val="none"/>
        </w:rPr>
      </w:pPr>
      <w:r>
        <w:rPr>
          <w:rFonts w:hint="eastAsia" w:ascii="宋体" w:hAnsi="宋体" w:cs="宋体"/>
          <w:color w:val="auto"/>
          <w:sz w:val="36"/>
          <w:szCs w:val="36"/>
          <w:highlight w:val="none"/>
        </w:rPr>
        <w:t>时间：</w:t>
      </w: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pacing w:line="480" w:lineRule="auto"/>
        <w:jc w:val="center"/>
        <w:rPr>
          <w:rFonts w:ascii="宋体" w:hAnsi="宋体"/>
          <w:b/>
          <w:bCs/>
          <w:color w:val="auto"/>
          <w:sz w:val="36"/>
          <w:szCs w:val="36"/>
          <w:highlight w:val="none"/>
        </w:rPr>
      </w:pPr>
      <w:bookmarkStart w:id="137" w:name="_Toc29537_WPSOffice_Level1"/>
      <w:bookmarkStart w:id="138" w:name="_Toc19972_WPSOffice_Level1"/>
      <w:r>
        <w:rPr>
          <w:rFonts w:hint="eastAsia" w:ascii="宋体" w:hAnsi="宋体"/>
          <w:b/>
          <w:bCs/>
          <w:color w:val="auto"/>
          <w:sz w:val="36"/>
          <w:szCs w:val="36"/>
          <w:highlight w:val="none"/>
        </w:rPr>
        <w:t>报价文件目录</w:t>
      </w:r>
      <w:bookmarkEnd w:id="137"/>
      <w:bookmarkEnd w:id="138"/>
    </w:p>
    <w:p>
      <w:pPr>
        <w:pStyle w:val="37"/>
        <w:rPr>
          <w:color w:val="auto"/>
          <w:highlight w:val="none"/>
        </w:rPr>
      </w:pPr>
    </w:p>
    <w:p>
      <w:pPr>
        <w:rPr>
          <w:rFonts w:asciiTheme="minorEastAsia" w:hAnsiTheme="minorEastAsia" w:eastAsiaTheme="minorEastAsia" w:cstheme="minorEastAsia"/>
          <w:color w:val="auto"/>
          <w:sz w:val="28"/>
          <w:szCs w:val="28"/>
          <w:highlight w:val="none"/>
        </w:rPr>
      </w:pPr>
    </w:p>
    <w:p>
      <w:pPr>
        <w:numPr>
          <w:ilvl w:val="-1"/>
          <w:numId w:val="0"/>
        </w:numPr>
        <w:autoSpaceDE w:val="0"/>
        <w:autoSpaceDN w:val="0"/>
        <w:adjustRightInd w:val="0"/>
        <w:spacing w:line="360" w:lineRule="auto"/>
        <w:ind w:firstLine="480" w:firstLineChars="200"/>
        <w:rPr>
          <w:rFonts w:hint="eastAsia" w:asciiTheme="minorEastAsia" w:hAnsiTheme="minorEastAsia" w:eastAsiaTheme="minorEastAsia"/>
          <w:kern w:val="0"/>
          <w:sz w:val="24"/>
        </w:rPr>
      </w:pPr>
      <w:r>
        <w:rPr>
          <w:rFonts w:hint="eastAsia" w:asciiTheme="minorEastAsia" w:hAnsiTheme="minorEastAsia" w:eastAsiaTheme="minorEastAsia"/>
          <w:kern w:val="0"/>
          <w:sz w:val="24"/>
          <w:lang w:eastAsia="zh-CN"/>
        </w:rPr>
        <w:t>（</w:t>
      </w:r>
      <w:r>
        <w:rPr>
          <w:rFonts w:hint="eastAsia" w:asciiTheme="minorEastAsia" w:hAnsiTheme="minorEastAsia" w:eastAsiaTheme="minorEastAsia"/>
          <w:kern w:val="0"/>
          <w:sz w:val="24"/>
          <w:lang w:val="en-US" w:eastAsia="zh-CN"/>
        </w:rPr>
        <w:t>1</w:t>
      </w:r>
      <w:r>
        <w:rPr>
          <w:rFonts w:hint="eastAsia" w:asciiTheme="minorEastAsia" w:hAnsiTheme="minorEastAsia" w:eastAsiaTheme="minorEastAsia"/>
          <w:kern w:val="0"/>
          <w:sz w:val="24"/>
          <w:lang w:eastAsia="zh-CN"/>
        </w:rPr>
        <w:t>）</w:t>
      </w:r>
      <w:r>
        <w:rPr>
          <w:rFonts w:hint="eastAsia" w:asciiTheme="minorEastAsia" w:hAnsiTheme="minorEastAsia" w:eastAsiaTheme="minorEastAsia"/>
          <w:kern w:val="0"/>
          <w:sz w:val="24"/>
        </w:rPr>
        <w:t>投标函（附件12）</w:t>
      </w:r>
      <w:r>
        <w:rPr>
          <w:rFonts w:hint="eastAsia" w:asciiTheme="minorEastAsia" w:hAnsiTheme="minorEastAsia" w:eastAsiaTheme="minorEastAsia"/>
          <w:kern w:val="0"/>
          <w:sz w:val="24"/>
          <w:lang w:eastAsia="zh-CN"/>
        </w:rPr>
        <w:t>；</w:t>
      </w:r>
    </w:p>
    <w:p>
      <w:pPr>
        <w:numPr>
          <w:numId w:val="0"/>
        </w:numPr>
        <w:autoSpaceDE w:val="0"/>
        <w:autoSpaceDN w:val="0"/>
        <w:adjustRightInd w:val="0"/>
        <w:spacing w:line="360" w:lineRule="auto"/>
        <w:ind w:firstLine="480" w:firstLineChars="200"/>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lang w:eastAsia="zh-CN"/>
        </w:rPr>
        <w:t>（</w:t>
      </w:r>
      <w:r>
        <w:rPr>
          <w:rFonts w:hint="eastAsia" w:asciiTheme="minorEastAsia" w:hAnsiTheme="minorEastAsia" w:eastAsiaTheme="minorEastAsia"/>
          <w:kern w:val="0"/>
          <w:sz w:val="24"/>
          <w:highlight w:val="none"/>
          <w:lang w:val="en-US" w:eastAsia="zh-CN"/>
        </w:rPr>
        <w:t>2</w:t>
      </w:r>
      <w:r>
        <w:rPr>
          <w:rFonts w:hint="eastAsia" w:asciiTheme="minorEastAsia" w:hAnsiTheme="minorEastAsia" w:eastAsiaTheme="minorEastAsia"/>
          <w:kern w:val="0"/>
          <w:sz w:val="24"/>
          <w:highlight w:val="none"/>
          <w:lang w:eastAsia="zh-CN"/>
        </w:rPr>
        <w:t>）</w:t>
      </w:r>
      <w:r>
        <w:rPr>
          <w:rFonts w:hint="eastAsia" w:asciiTheme="minorEastAsia" w:hAnsiTheme="minorEastAsia" w:eastAsiaTheme="minorEastAsia"/>
          <w:kern w:val="0"/>
          <w:sz w:val="24"/>
          <w:highlight w:val="none"/>
        </w:rPr>
        <w:t>开标一览表（附件1</w:t>
      </w:r>
      <w:r>
        <w:rPr>
          <w:rFonts w:hint="eastAsia" w:asciiTheme="minorEastAsia" w:hAnsiTheme="minorEastAsia" w:eastAsiaTheme="minorEastAsia"/>
          <w:kern w:val="0"/>
          <w:sz w:val="24"/>
          <w:highlight w:val="none"/>
          <w:lang w:val="en-US" w:eastAsia="zh-CN"/>
        </w:rPr>
        <w:t>3</w:t>
      </w:r>
      <w:r>
        <w:rPr>
          <w:rFonts w:hint="eastAsia" w:asciiTheme="minorEastAsia" w:hAnsiTheme="minorEastAsia" w:eastAsiaTheme="minorEastAsia"/>
          <w:kern w:val="0"/>
          <w:sz w:val="24"/>
          <w:highlight w:val="none"/>
        </w:rPr>
        <w:t>）；</w:t>
      </w:r>
    </w:p>
    <w:p>
      <w:pPr>
        <w:autoSpaceDE w:val="0"/>
        <w:autoSpaceDN w:val="0"/>
        <w:adjustRightInd w:val="0"/>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kern w:val="0"/>
          <w:sz w:val="24"/>
          <w:highlight w:val="none"/>
        </w:rPr>
        <w:t>（</w:t>
      </w:r>
      <w:r>
        <w:rPr>
          <w:rFonts w:hint="eastAsia" w:asciiTheme="minorEastAsia" w:hAnsiTheme="minorEastAsia" w:eastAsiaTheme="minorEastAsia"/>
          <w:kern w:val="0"/>
          <w:sz w:val="24"/>
          <w:highlight w:val="none"/>
          <w:lang w:val="en-US" w:eastAsia="zh-CN"/>
        </w:rPr>
        <w:t>3</w:t>
      </w:r>
      <w:r>
        <w:rPr>
          <w:rFonts w:hint="eastAsia" w:asciiTheme="minorEastAsia" w:hAnsiTheme="minorEastAsia" w:eastAsiaTheme="minorEastAsia"/>
          <w:kern w:val="0"/>
          <w:sz w:val="24"/>
          <w:highlight w:val="none"/>
        </w:rPr>
        <w:t>）针对报价投标人认为其他需要说明的</w:t>
      </w:r>
      <w:r>
        <w:rPr>
          <w:rFonts w:hint="eastAsia" w:asciiTheme="minorEastAsia" w:hAnsiTheme="minorEastAsia" w:eastAsiaTheme="minorEastAsia"/>
          <w:color w:val="000000" w:themeColor="text1"/>
          <w:kern w:val="0"/>
          <w:sz w:val="24"/>
          <w:highlight w:val="none"/>
          <w14:textFill>
            <w14:solidFill>
              <w14:schemeClr w14:val="tx1"/>
            </w14:solidFill>
          </w14:textFill>
        </w:rPr>
        <w:t>。</w:t>
      </w:r>
    </w:p>
    <w:p>
      <w:pPr>
        <w:snapToGrid w:val="0"/>
        <w:spacing w:before="50" w:line="360" w:lineRule="auto"/>
        <w:ind w:firstLine="480" w:firstLineChars="200"/>
        <w:jc w:val="left"/>
        <w:rPr>
          <w:rFonts w:hint="eastAsia" w:asciiTheme="minorEastAsia" w:hAnsiTheme="minorEastAsia" w:eastAsiaTheme="minorEastAsia"/>
          <w:kern w:val="0"/>
          <w:sz w:val="24"/>
          <w:highlight w:val="none"/>
          <w:lang w:eastAsia="zh-CN"/>
        </w:rPr>
      </w:pPr>
      <w:r>
        <w:rPr>
          <w:rFonts w:hint="eastAsia" w:asciiTheme="minorEastAsia" w:hAnsiTheme="minorEastAsia" w:eastAsiaTheme="minorEastAsia"/>
          <w:kern w:val="0"/>
          <w:sz w:val="24"/>
          <w:highlight w:val="none"/>
        </w:rPr>
        <w:t>（</w:t>
      </w:r>
      <w:r>
        <w:rPr>
          <w:rFonts w:hint="eastAsia" w:asciiTheme="minorEastAsia" w:hAnsiTheme="minorEastAsia" w:eastAsiaTheme="minorEastAsia"/>
          <w:kern w:val="0"/>
          <w:sz w:val="24"/>
          <w:highlight w:val="none"/>
          <w:lang w:val="en-US" w:eastAsia="zh-CN"/>
        </w:rPr>
        <w:t>4</w:t>
      </w:r>
      <w:r>
        <w:rPr>
          <w:rFonts w:hint="eastAsia" w:asciiTheme="minorEastAsia" w:hAnsiTheme="minorEastAsia" w:eastAsiaTheme="minorEastAsia"/>
          <w:kern w:val="0"/>
          <w:sz w:val="24"/>
          <w:highlight w:val="none"/>
        </w:rPr>
        <w:t>）中小企业、</w:t>
      </w:r>
      <w:r>
        <w:rPr>
          <w:rFonts w:hint="eastAsia" w:asciiTheme="minorEastAsia" w:hAnsiTheme="minorEastAsia" w:eastAsiaTheme="minorEastAsia"/>
          <w:kern w:val="0"/>
          <w:sz w:val="24"/>
          <w:highlight w:val="none"/>
          <w:lang w:val="en-GB"/>
        </w:rPr>
        <w:t>残疾人福利性单位、监狱企业</w:t>
      </w:r>
      <w:r>
        <w:rPr>
          <w:rFonts w:hint="eastAsia" w:asciiTheme="minorEastAsia" w:hAnsiTheme="minorEastAsia" w:eastAsiaTheme="minorEastAsia"/>
          <w:kern w:val="0"/>
          <w:sz w:val="24"/>
          <w:highlight w:val="none"/>
        </w:rPr>
        <w:t>等声明函（附件1</w:t>
      </w:r>
      <w:r>
        <w:rPr>
          <w:rFonts w:hint="eastAsia" w:asciiTheme="minorEastAsia" w:hAnsiTheme="minorEastAsia" w:eastAsiaTheme="minorEastAsia"/>
          <w:kern w:val="0"/>
          <w:sz w:val="24"/>
          <w:highlight w:val="none"/>
          <w:lang w:val="en-US" w:eastAsia="zh-CN"/>
        </w:rPr>
        <w:t>4</w:t>
      </w:r>
      <w:r>
        <w:rPr>
          <w:rFonts w:hint="eastAsia" w:asciiTheme="minorEastAsia" w:hAnsiTheme="minorEastAsia" w:eastAsiaTheme="minorEastAsia"/>
          <w:kern w:val="0"/>
          <w:sz w:val="24"/>
          <w:highlight w:val="none"/>
        </w:rPr>
        <w:t>）</w:t>
      </w:r>
      <w:r>
        <w:rPr>
          <w:rFonts w:hint="eastAsia" w:asciiTheme="minorEastAsia" w:hAnsiTheme="minorEastAsia" w:eastAsiaTheme="minorEastAsia"/>
          <w:kern w:val="0"/>
          <w:sz w:val="24"/>
          <w:highlight w:val="none"/>
          <w:lang w:eastAsia="zh-CN"/>
        </w:rPr>
        <w:t>。</w:t>
      </w: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int="eastAsia" w:ascii="宋体" w:hAnsi="宋体"/>
          <w:color w:val="auto"/>
          <w:sz w:val="24"/>
          <w:highlight w:val="none"/>
        </w:rPr>
      </w:pPr>
    </w:p>
    <w:p>
      <w:pPr>
        <w:snapToGrid w:val="0"/>
        <w:spacing w:before="50" w:line="360" w:lineRule="auto"/>
        <w:jc w:val="left"/>
        <w:rPr>
          <w:rFonts w:hAnsi="宋体"/>
          <w:b/>
          <w:color w:val="auto"/>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12</w:t>
      </w:r>
      <w:r>
        <w:rPr>
          <w:rFonts w:hint="eastAsia" w:ascii="宋体" w:hAnsi="宋体"/>
          <w:color w:val="auto"/>
          <w:sz w:val="24"/>
          <w:highlight w:val="none"/>
        </w:rPr>
        <w:t xml:space="preserve">    投标函 </w:t>
      </w:r>
    </w:p>
    <w:p>
      <w:pPr>
        <w:pStyle w:val="21"/>
        <w:spacing w:before="120" w:after="120" w:line="360" w:lineRule="auto"/>
        <w:ind w:firstLine="562"/>
        <w:jc w:val="center"/>
        <w:rPr>
          <w:rFonts w:hAnsi="宋体" w:cs="宋体"/>
          <w:b/>
          <w:color w:val="auto"/>
          <w:sz w:val="28"/>
          <w:szCs w:val="28"/>
          <w:highlight w:val="none"/>
        </w:rPr>
      </w:pPr>
      <w:r>
        <w:rPr>
          <w:rFonts w:hint="eastAsia" w:hAnsi="宋体" w:cs="宋体"/>
          <w:b/>
          <w:color w:val="auto"/>
          <w:sz w:val="28"/>
          <w:szCs w:val="28"/>
          <w:highlight w:val="none"/>
        </w:rPr>
        <w:t>投标函</w:t>
      </w:r>
    </w:p>
    <w:p>
      <w:pPr>
        <w:pStyle w:val="21"/>
        <w:spacing w:before="120" w:after="120" w:line="360" w:lineRule="auto"/>
        <w:ind w:firstLine="0" w:firstLineChars="0"/>
        <w:jc w:val="left"/>
        <w:rPr>
          <w:rFonts w:hAnsi="宋体" w:cs="宋体"/>
          <w:color w:val="auto"/>
          <w:highlight w:val="none"/>
          <w:u w:val="single"/>
        </w:rPr>
      </w:pPr>
      <w:r>
        <w:rPr>
          <w:rFonts w:hint="eastAsia" w:hAnsi="宋体" w:cs="宋体"/>
          <w:color w:val="auto"/>
          <w:highlight w:val="none"/>
        </w:rPr>
        <w:t>台州湾新区管理委员会：</w:t>
      </w:r>
    </w:p>
    <w:p>
      <w:pPr>
        <w:snapToGrid w:val="0"/>
        <w:spacing w:line="336"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xml:space="preserve"> 姓名 </w:t>
      </w:r>
      <w:r>
        <w:rPr>
          <w:rFonts w:hint="eastAsia" w:ascii="宋体" w:hAnsi="宋体" w:cs="宋体"/>
          <w:color w:val="auto"/>
          <w:kern w:val="0"/>
          <w:sz w:val="24"/>
          <w:highlight w:val="none"/>
        </w:rPr>
        <w:t>）系（</w:t>
      </w:r>
      <w:r>
        <w:rPr>
          <w:rFonts w:hint="eastAsia" w:ascii="宋体" w:hAnsi="宋体" w:cs="宋体"/>
          <w:color w:val="auto"/>
          <w:kern w:val="0"/>
          <w:sz w:val="24"/>
          <w:highlight w:val="none"/>
          <w:u w:val="single"/>
        </w:rPr>
        <w:t xml:space="preserve"> 投标人名称 </w:t>
      </w:r>
      <w:r>
        <w:rPr>
          <w:rFonts w:hint="eastAsia" w:ascii="宋体" w:hAnsi="宋体" w:cs="宋体"/>
          <w:color w:val="auto"/>
          <w:kern w:val="0"/>
          <w:sz w:val="24"/>
          <w:highlight w:val="none"/>
        </w:rPr>
        <w:t>）的法定代表人，我公司自愿参加贵方组织的</w:t>
      </w:r>
      <w:r>
        <w:rPr>
          <w:rFonts w:hint="eastAsia" w:ascii="宋体" w:hAnsi="宋体" w:cs="宋体"/>
          <w:color w:val="auto"/>
          <w:kern w:val="0"/>
          <w:sz w:val="24"/>
          <w:highlight w:val="none"/>
          <w:u w:val="single"/>
        </w:rPr>
        <w:t xml:space="preserve">  城市地下市政基础设施普查  </w:t>
      </w:r>
      <w:r>
        <w:rPr>
          <w:rFonts w:hint="eastAsia" w:ascii="宋体" w:hAnsi="宋体" w:cs="宋体"/>
          <w:color w:val="auto"/>
          <w:kern w:val="0"/>
          <w:sz w:val="24"/>
          <w:highlight w:val="none"/>
        </w:rPr>
        <w:t>项目 (采购编号：台财采确临【2022】683号)的有关活动，并对此项目进行投标，为此，我公司就本次投标有关事项郑重声明如下：</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1、我方同意在投标人编制和提交投标文件须知规定的开标日期起遵守本投标书中的承诺且在投标有效期满之前均具有约束力。</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2、我方承诺已经具备《中华人民共和国政府采购法》中规定的参加政府采购活动的投标人应当具备的条件：</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(1)具有独立承担民事责任的能力；</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(2)遵守国家法律、行政法规，具有良好的信誉和商业道德；</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(3)具有履行合同的能力和良好的履行合同记录；</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(4)良好的资金、财务状况；</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(5)没有违反政府采购法规、政策的记录；</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(6)没有发生重大经济纠纷和走私犯罪记录。</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3、提供编制和提交投标文件须知规定的全部投标文件，具体内容为：</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(1)资格响应文件、商务技术响应文件、报价响应文件(2)报价文件；</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(2)编制和提交投标文件须知要求投标人提交的全部文件；</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(3)按采购文件要求提供和交付的货物和服务的投标报价详见开标一览表；</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4、我方完全理解贵方不一定要接受最低价的投标。</w:t>
      </w:r>
    </w:p>
    <w:p>
      <w:pPr>
        <w:pStyle w:val="21"/>
        <w:spacing w:before="120" w:after="120" w:line="360" w:lineRule="auto"/>
        <w:ind w:firstLine="480" w:firstLineChars="200"/>
        <w:rPr>
          <w:rFonts w:hAnsi="宋体" w:cs="宋体"/>
          <w:color w:val="auto"/>
          <w:highlight w:val="none"/>
          <w:lang w:val="af-ZA"/>
        </w:rPr>
      </w:pPr>
      <w:r>
        <w:rPr>
          <w:rFonts w:hint="eastAsia" w:hAnsi="宋体" w:cs="宋体"/>
          <w:color w:val="auto"/>
          <w:highlight w:val="none"/>
        </w:rPr>
        <w:t>5、我方愿意向贵方提供任何与该项投标有关的数据、情况和技术资料。若贵方需要，我方愿意提供我方作出的一切承诺的证明材料。我公司保证，采购人在中华人民共和国境内使用我公司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6、我方已详细审核全部采购文件，包括采购文件修改书(如果有)、参考资料及有关附件，确认无误。</w:t>
      </w:r>
      <w:r>
        <w:rPr>
          <w:rFonts w:hAnsi="宋体" w:cs="宋体"/>
          <w:color w:val="auto"/>
          <w:kern w:val="0"/>
          <w:highlight w:val="none"/>
        </w:rPr>
        <w:t>我方完全明白并认为此招标文件没有倾向性，也没有存在排斥潜在投标人的内容，我方同意招标文件的相关条款，放弃对招标文件提出误解和质疑的一切权</w:t>
      </w:r>
      <w:r>
        <w:rPr>
          <w:rFonts w:hint="eastAsia" w:hAnsi="宋体" w:cs="宋体"/>
          <w:color w:val="auto"/>
          <w:kern w:val="0"/>
          <w:highlight w:val="none"/>
        </w:rPr>
        <w:t>利。</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7、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a)提供虚假材料谋取中标、成交的；</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b)采取不正当手段诋毁、排挤其他投标人的；</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c)与采购人、其它投标人或者采购代理机构恶意串通的；</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d)向采购人、采购代理机构行贿或者提供其他不正当利益的；</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e)在招标采购过程中与采购人进行协商谈判的；</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f)拒绝有关部门监督检查或提供虚假情况的。</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投标人有前款第a)至e)项情形之一的，中标、成交无效。</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8、我公司不是采购人的附属机构；在获知本项目采购信息后，与采购人聘请的为此项目提供咨询服务的公司及其附属机构没有任何联系。</w:t>
      </w:r>
    </w:p>
    <w:p>
      <w:pPr>
        <w:pStyle w:val="21"/>
        <w:spacing w:before="120" w:after="120" w:line="360" w:lineRule="auto"/>
        <w:ind w:firstLine="480" w:firstLineChars="200"/>
        <w:rPr>
          <w:rFonts w:hAnsi="宋体" w:cs="宋体"/>
          <w:color w:val="auto"/>
          <w:highlight w:val="none"/>
        </w:rPr>
      </w:pPr>
      <w:r>
        <w:rPr>
          <w:rFonts w:hAnsi="宋体" w:cs="宋体"/>
          <w:color w:val="auto"/>
          <w:highlight w:val="none"/>
        </w:rPr>
        <w:t>9</w:t>
      </w:r>
      <w:r>
        <w:rPr>
          <w:rFonts w:hint="eastAsia" w:hAnsi="宋体" w:cs="宋体"/>
          <w:color w:val="auto"/>
          <w:highlight w:val="none"/>
        </w:rPr>
        <w:t>、我公司严格履行政府采购合同，除在投标文件中明确拒绝的之外，均接受招标文件中的全部条件，不降低合同约定的产品质量和服务，不擅自变更、中止、终止合同，或拒绝履行合同义务；</w:t>
      </w:r>
    </w:p>
    <w:p>
      <w:pPr>
        <w:pStyle w:val="21"/>
        <w:spacing w:before="120" w:after="120" w:line="360" w:lineRule="auto"/>
        <w:ind w:firstLine="480" w:firstLineChars="200"/>
        <w:rPr>
          <w:rFonts w:hAnsi="宋体" w:cs="宋体"/>
          <w:color w:val="auto"/>
          <w:highlight w:val="none"/>
        </w:rPr>
      </w:pPr>
      <w:r>
        <w:rPr>
          <w:rFonts w:hAnsi="宋体" w:cs="宋体"/>
          <w:color w:val="auto"/>
          <w:highlight w:val="none"/>
        </w:rPr>
        <w:t>10</w:t>
      </w:r>
      <w:r>
        <w:rPr>
          <w:rFonts w:hint="eastAsia" w:hAnsi="宋体" w:cs="宋体"/>
          <w:color w:val="auto"/>
          <w:highlight w:val="none"/>
        </w:rPr>
        <w:t>、以上事项如有虚假或隐瞒，我公司愿意承担一切后果，并不再寻求任何旨在减轻或免除法律责任的辩解。</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投标人（公章或CA签章）：</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 xml:space="preserve">联系人：  </w:t>
      </w:r>
      <w:r>
        <w:rPr>
          <w:rFonts w:hint="eastAsia" w:hAnsi="宋体" w:cs="宋体"/>
          <w:color w:val="auto"/>
          <w:highlight w:val="none"/>
          <w:lang w:val="en-US" w:eastAsia="zh-CN"/>
        </w:rPr>
        <w:t xml:space="preserve">    </w:t>
      </w:r>
      <w:r>
        <w:rPr>
          <w:rFonts w:hint="eastAsia" w:hAnsi="宋体" w:cs="宋体"/>
          <w:color w:val="auto"/>
          <w:highlight w:val="none"/>
        </w:rPr>
        <w:t xml:space="preserve">  联系电话</w:t>
      </w:r>
      <w:r>
        <w:rPr>
          <w:rFonts w:hint="eastAsia" w:hAnsi="宋体" w:cs="宋体"/>
          <w:color w:val="auto"/>
          <w:highlight w:val="none"/>
          <w:u w:val="single"/>
        </w:rPr>
        <w:t xml:space="preserve">：                 </w:t>
      </w:r>
    </w:p>
    <w:p>
      <w:pPr>
        <w:pStyle w:val="21"/>
        <w:spacing w:before="120" w:after="120" w:line="360" w:lineRule="auto"/>
        <w:ind w:firstLine="480" w:firstLineChars="200"/>
        <w:rPr>
          <w:rFonts w:hAnsi="宋体" w:cs="宋体"/>
          <w:color w:val="auto"/>
          <w:highlight w:val="none"/>
        </w:rPr>
      </w:pPr>
      <w:r>
        <w:rPr>
          <w:rFonts w:hint="eastAsia" w:hAnsi="宋体" w:cs="宋体"/>
          <w:color w:val="auto"/>
          <w:highlight w:val="none"/>
        </w:rPr>
        <w:t>联系地址：</w:t>
      </w:r>
      <w:r>
        <w:rPr>
          <w:rFonts w:hint="eastAsia" w:hAnsi="宋体" w:cs="宋体"/>
          <w:color w:val="auto"/>
          <w:highlight w:val="none"/>
          <w:lang w:val="en-US" w:eastAsia="zh-CN"/>
        </w:rPr>
        <w:t xml:space="preserve">      </w:t>
      </w:r>
      <w:r>
        <w:rPr>
          <w:rFonts w:hint="eastAsia" w:hAnsi="宋体" w:cs="宋体"/>
          <w:color w:val="auto"/>
          <w:highlight w:val="none"/>
        </w:rPr>
        <w:t>邮政编码：</w:t>
      </w:r>
      <w:r>
        <w:rPr>
          <w:rFonts w:hint="eastAsia" w:hAnsi="宋体" w:cs="宋体"/>
          <w:color w:val="auto"/>
          <w:highlight w:val="none"/>
          <w:lang w:val="en-US" w:eastAsia="zh-CN"/>
        </w:rPr>
        <w:t xml:space="preserve">            </w:t>
      </w:r>
      <w:r>
        <w:rPr>
          <w:rFonts w:hint="eastAsia" w:hAnsi="宋体" w:cs="宋体"/>
          <w:color w:val="auto"/>
          <w:highlight w:val="none"/>
        </w:rPr>
        <w:t>传真号码</w:t>
      </w:r>
      <w:r>
        <w:rPr>
          <w:rFonts w:hint="eastAsia" w:hAnsi="宋体" w:cs="宋体"/>
          <w:color w:val="auto"/>
          <w:highlight w:val="none"/>
          <w:u w:val="single"/>
        </w:rPr>
        <w:t xml:space="preserve">：                     </w:t>
      </w:r>
    </w:p>
    <w:p>
      <w:pPr>
        <w:snapToGrid w:val="0"/>
        <w:spacing w:before="50" w:after="50" w:line="360" w:lineRule="auto"/>
        <w:ind w:firstLine="480" w:firstLineChars="200"/>
        <w:rPr>
          <w:rFonts w:ascii="宋体" w:hAnsi="宋体" w:cs="宋体"/>
          <w:color w:val="auto"/>
          <w:sz w:val="22"/>
          <w:szCs w:val="22"/>
          <w:highlight w:val="none"/>
        </w:rPr>
        <w:sectPr>
          <w:headerReference r:id="rId8" w:type="default"/>
          <w:footerReference r:id="rId9" w:type="default"/>
          <w:footerReference r:id="rId10" w:type="even"/>
          <w:pgSz w:w="11907" w:h="16840"/>
          <w:pgMar w:top="1361" w:right="1247" w:bottom="1247" w:left="1304" w:header="851" w:footer="992" w:gutter="0"/>
          <w:cols w:space="720" w:num="1"/>
          <w:docGrid w:linePitch="312" w:charSpace="0"/>
        </w:sectPr>
      </w:pPr>
      <w:r>
        <w:rPr>
          <w:rFonts w:hint="eastAsia"/>
          <w:color w:val="auto"/>
          <w:sz w:val="24"/>
          <w:szCs w:val="22"/>
          <w:highlight w:val="none"/>
        </w:rPr>
        <w:t>日期：   年  月  日</w:t>
      </w:r>
    </w:p>
    <w:p>
      <w:pPr>
        <w:snapToGrid w:val="0"/>
        <w:spacing w:before="50" w:after="50" w:line="360" w:lineRule="auto"/>
        <w:rPr>
          <w:rFonts w:ascii="宋体" w:hAnsi="宋体" w:cs="宋体"/>
          <w:b/>
          <w:color w:val="auto"/>
          <w:sz w:val="24"/>
          <w:szCs w:val="20"/>
          <w:highlight w:val="none"/>
        </w:rPr>
      </w:pPr>
      <w:r>
        <w:rPr>
          <w:rFonts w:hint="eastAsia" w:ascii="宋体" w:hAnsi="宋体" w:cs="宋体"/>
          <w:color w:val="auto"/>
          <w:sz w:val="24"/>
          <w:highlight w:val="none"/>
        </w:rPr>
        <w:t>附件</w:t>
      </w:r>
      <w:r>
        <w:rPr>
          <w:rFonts w:hint="eastAsia" w:ascii="宋体" w:hAnsi="宋体" w:cs="宋体"/>
          <w:color w:val="auto"/>
          <w:sz w:val="24"/>
          <w:highlight w:val="none"/>
          <w:lang w:val="en-US" w:eastAsia="zh-CN"/>
        </w:rPr>
        <w:t>13</w:t>
      </w:r>
      <w:r>
        <w:rPr>
          <w:rFonts w:hint="eastAsia" w:ascii="宋体" w:hAnsi="宋体" w:cs="宋体"/>
          <w:color w:val="auto"/>
          <w:sz w:val="24"/>
          <w:highlight w:val="none"/>
        </w:rPr>
        <w:t xml:space="preserve">     </w:t>
      </w:r>
      <w:r>
        <w:rPr>
          <w:rFonts w:hint="eastAsia" w:ascii="宋体" w:hAnsi="宋体" w:cs="宋体"/>
          <w:bCs/>
          <w:color w:val="auto"/>
          <w:sz w:val="24"/>
          <w:highlight w:val="none"/>
        </w:rPr>
        <w:t>开标一览表</w:t>
      </w:r>
    </w:p>
    <w:p>
      <w:pPr>
        <w:spacing w:line="360" w:lineRule="auto"/>
        <w:jc w:val="center"/>
        <w:rPr>
          <w:rFonts w:ascii="宋体"/>
          <w:b/>
          <w:bCs/>
          <w:color w:val="auto"/>
          <w:szCs w:val="28"/>
          <w:highlight w:val="none"/>
        </w:rPr>
      </w:pPr>
      <w:r>
        <w:rPr>
          <w:rFonts w:hint="eastAsia" w:ascii="宋体" w:hAnsi="宋体" w:cs="宋体"/>
          <w:b/>
          <w:bCs/>
          <w:color w:val="auto"/>
          <w:szCs w:val="28"/>
          <w:highlight w:val="none"/>
        </w:rPr>
        <w:t>城市地下市政基础设施普查</w:t>
      </w:r>
    </w:p>
    <w:p>
      <w:pPr>
        <w:spacing w:line="360" w:lineRule="auto"/>
        <w:jc w:val="center"/>
        <w:rPr>
          <w:rFonts w:ascii="宋体"/>
          <w:b/>
          <w:bCs/>
          <w:color w:val="auto"/>
          <w:sz w:val="24"/>
          <w:highlight w:val="none"/>
        </w:rPr>
      </w:pPr>
      <w:r>
        <w:rPr>
          <w:rFonts w:hint="eastAsia" w:ascii="宋体" w:hAnsi="宋体" w:cs="宋体"/>
          <w:b/>
          <w:bCs/>
          <w:color w:val="auto"/>
          <w:sz w:val="30"/>
          <w:szCs w:val="30"/>
          <w:highlight w:val="none"/>
        </w:rPr>
        <w:t>开标一览表</w:t>
      </w:r>
    </w:p>
    <w:p>
      <w:pPr>
        <w:snapToGrid w:val="0"/>
        <w:spacing w:before="50" w:after="50" w:line="360" w:lineRule="auto"/>
        <w:jc w:val="left"/>
        <w:rPr>
          <w:rFonts w:ascii="Arial" w:hAnsi="Arial" w:cs="Arial"/>
          <w:color w:val="auto"/>
          <w:sz w:val="22"/>
          <w:szCs w:val="22"/>
          <w:highlight w:val="none"/>
        </w:rPr>
      </w:pPr>
      <w:r>
        <w:rPr>
          <w:rFonts w:hint="eastAsia" w:ascii="Arial" w:hAnsi="Arial" w:cs="宋体"/>
          <w:color w:val="auto"/>
          <w:sz w:val="22"/>
          <w:szCs w:val="22"/>
          <w:highlight w:val="none"/>
        </w:rPr>
        <w:t>致：台州湾新区管理委员会</w:t>
      </w:r>
    </w:p>
    <w:p>
      <w:pPr>
        <w:snapToGrid w:val="0"/>
        <w:spacing w:line="360" w:lineRule="auto"/>
        <w:ind w:firstLine="440" w:firstLineChars="200"/>
        <w:jc w:val="left"/>
        <w:rPr>
          <w:rFonts w:ascii="新宋体" w:hAnsi="新宋体" w:eastAsia="新宋体"/>
          <w:color w:val="auto"/>
          <w:sz w:val="21"/>
          <w:szCs w:val="21"/>
          <w:highlight w:val="none"/>
        </w:rPr>
      </w:pPr>
      <w:r>
        <w:rPr>
          <w:rFonts w:ascii="Arial" w:hAnsi="Arial" w:cs="Arial"/>
          <w:color w:val="auto"/>
          <w:sz w:val="22"/>
          <w:szCs w:val="22"/>
          <w:highlight w:val="none"/>
        </w:rPr>
        <w:t>经研究，我们决定参加</w:t>
      </w:r>
      <w:r>
        <w:rPr>
          <w:rFonts w:hint="eastAsia" w:ascii="Arial" w:hAnsi="Arial" w:cs="Arial"/>
          <w:color w:val="auto"/>
          <w:sz w:val="22"/>
          <w:szCs w:val="22"/>
          <w:highlight w:val="none"/>
        </w:rPr>
        <w:t>你单位的</w:t>
      </w:r>
      <w:r>
        <w:rPr>
          <w:rFonts w:hint="eastAsia" w:ascii="宋体" w:hAnsi="宋体"/>
          <w:color w:val="auto"/>
          <w:sz w:val="22"/>
          <w:szCs w:val="22"/>
          <w:highlight w:val="none"/>
          <w:u w:val="single"/>
        </w:rPr>
        <w:t>城市地下市政基础设施普查</w:t>
      </w:r>
      <w:r>
        <w:rPr>
          <w:rFonts w:ascii="Arial" w:hAnsi="Arial" w:cs="Arial"/>
          <w:color w:val="auto"/>
          <w:sz w:val="22"/>
          <w:szCs w:val="22"/>
          <w:highlight w:val="none"/>
        </w:rPr>
        <w:t>的</w:t>
      </w:r>
      <w:r>
        <w:rPr>
          <w:rFonts w:hint="eastAsia" w:ascii="Arial" w:hAnsi="Arial" w:cs="Arial"/>
          <w:color w:val="auto"/>
          <w:sz w:val="22"/>
          <w:highlight w:val="none"/>
        </w:rPr>
        <w:t>招标</w:t>
      </w:r>
      <w:r>
        <w:rPr>
          <w:rFonts w:ascii="Arial" w:hAnsi="Arial" w:cs="Arial"/>
          <w:color w:val="auto"/>
          <w:sz w:val="22"/>
          <w:highlight w:val="none"/>
        </w:rPr>
        <w:t>采购活动并提交</w:t>
      </w:r>
      <w:r>
        <w:rPr>
          <w:rFonts w:hint="eastAsia" w:ascii="Arial" w:hAnsi="Arial" w:cs="Arial"/>
          <w:color w:val="auto"/>
          <w:sz w:val="22"/>
          <w:highlight w:val="none"/>
        </w:rPr>
        <w:t>投标</w:t>
      </w:r>
      <w:r>
        <w:rPr>
          <w:rFonts w:ascii="Arial" w:hAnsi="Arial" w:cs="Arial"/>
          <w:color w:val="auto"/>
          <w:sz w:val="22"/>
          <w:highlight w:val="none"/>
        </w:rPr>
        <w:t>文件。为此，我方郑重声明以下诸点，并负法律责任。</w:t>
      </w:r>
    </w:p>
    <w:p>
      <w:pPr>
        <w:pStyle w:val="17"/>
        <w:adjustRightInd w:val="0"/>
        <w:snapToGrid w:val="0"/>
        <w:spacing w:line="360" w:lineRule="auto"/>
        <w:rPr>
          <w:rFonts w:ascii="Arial" w:hAnsi="Arial" w:cs="Arial"/>
          <w:color w:val="auto"/>
          <w:spacing w:val="0"/>
          <w:sz w:val="22"/>
          <w:szCs w:val="22"/>
          <w:highlight w:val="none"/>
        </w:rPr>
      </w:pPr>
      <w:r>
        <w:rPr>
          <w:rFonts w:ascii="Arial" w:hAnsi="Arial" w:cs="Arial"/>
          <w:color w:val="auto"/>
          <w:spacing w:val="0"/>
          <w:sz w:val="22"/>
          <w:szCs w:val="22"/>
          <w:highlight w:val="none"/>
        </w:rPr>
        <w:t>1、如果我们的招标文件被接受，我们将履行招标文件中规定的每一项要求，并按我们投标文件中的承诺按期、按质、按量提供服务。</w:t>
      </w:r>
    </w:p>
    <w:p>
      <w:pPr>
        <w:pStyle w:val="17"/>
        <w:adjustRightInd w:val="0"/>
        <w:snapToGrid w:val="0"/>
        <w:spacing w:line="360" w:lineRule="auto"/>
        <w:ind w:firstLine="283" w:firstLineChars="129"/>
        <w:rPr>
          <w:rFonts w:ascii="Arial" w:hAnsi="Arial" w:cs="Arial"/>
          <w:color w:val="auto"/>
          <w:spacing w:val="0"/>
          <w:sz w:val="22"/>
          <w:szCs w:val="22"/>
          <w:highlight w:val="none"/>
        </w:rPr>
      </w:pPr>
      <w:r>
        <w:rPr>
          <w:rFonts w:ascii="Arial" w:hAnsi="Arial" w:cs="Arial"/>
          <w:color w:val="auto"/>
          <w:spacing w:val="0"/>
          <w:sz w:val="22"/>
          <w:szCs w:val="22"/>
          <w:highlight w:val="none"/>
        </w:rPr>
        <w:t>2、我们同意按采购文件规定遵守采购人有关采购的各项规定。</w:t>
      </w:r>
    </w:p>
    <w:p>
      <w:pPr>
        <w:pStyle w:val="17"/>
        <w:adjustRightInd w:val="0"/>
        <w:snapToGrid w:val="0"/>
        <w:spacing w:line="360" w:lineRule="auto"/>
        <w:ind w:firstLine="275" w:firstLineChars="125"/>
        <w:rPr>
          <w:rFonts w:ascii="Arial" w:hAnsi="Arial" w:cs="Arial"/>
          <w:color w:val="auto"/>
          <w:sz w:val="22"/>
          <w:szCs w:val="22"/>
          <w:highlight w:val="none"/>
        </w:rPr>
      </w:pPr>
      <w:r>
        <w:rPr>
          <w:rFonts w:ascii="Arial" w:hAnsi="Arial" w:cs="Arial"/>
          <w:color w:val="auto"/>
          <w:spacing w:val="0"/>
          <w:sz w:val="22"/>
          <w:szCs w:val="22"/>
          <w:highlight w:val="none"/>
        </w:rPr>
        <w:t>3、</w:t>
      </w:r>
      <w:r>
        <w:rPr>
          <w:rFonts w:ascii="Arial" w:hAnsi="Arial" w:cs="Arial"/>
          <w:color w:val="auto"/>
          <w:sz w:val="22"/>
          <w:szCs w:val="22"/>
          <w:highlight w:val="none"/>
        </w:rPr>
        <w:t>我方同意提供按照贵方可能要求的与投标有关的一切数据或资料，</w:t>
      </w:r>
      <w:r>
        <w:rPr>
          <w:rFonts w:ascii="Arial" w:hAnsi="Arial" w:cs="Arial"/>
          <w:color w:val="auto"/>
          <w:spacing w:val="0"/>
          <w:sz w:val="22"/>
          <w:szCs w:val="22"/>
          <w:highlight w:val="none"/>
        </w:rPr>
        <w:t>我方若未成为成交投标人，采购人有权不做任何解释。</w:t>
      </w:r>
    </w:p>
    <w:p>
      <w:pPr>
        <w:spacing w:line="360" w:lineRule="auto"/>
        <w:ind w:firstLine="330" w:firstLineChars="150"/>
        <w:rPr>
          <w:rFonts w:ascii="宋体" w:hAnsi="宋体"/>
          <w:color w:val="auto"/>
          <w:sz w:val="22"/>
          <w:szCs w:val="22"/>
          <w:highlight w:val="none"/>
        </w:rPr>
      </w:pPr>
      <w:r>
        <w:rPr>
          <w:rFonts w:hint="eastAsia" w:ascii="Arial" w:hAnsi="Arial" w:cs="Arial"/>
          <w:color w:val="auto"/>
          <w:sz w:val="22"/>
          <w:szCs w:val="22"/>
          <w:highlight w:val="none"/>
        </w:rPr>
        <w:t>4、我方如果中标，将保证履行招标文件以及招标文件修改书（如有）中的全部责任和义务，按质、按量、按期完成《合同》中的全部任务。</w:t>
      </w:r>
    </w:p>
    <w:tbl>
      <w:tblPr>
        <w:tblStyle w:val="38"/>
        <w:tblW w:w="9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5"/>
        <w:gridCol w:w="6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75" w:type="dxa"/>
            <w:vAlign w:val="center"/>
          </w:tcPr>
          <w:p>
            <w:pPr>
              <w:spacing w:line="360" w:lineRule="auto"/>
              <w:outlineLvl w:val="0"/>
              <w:rPr>
                <w:rFonts w:ascii="宋体" w:hAnsi="宋体"/>
                <w:color w:val="auto"/>
                <w:sz w:val="24"/>
                <w:szCs w:val="21"/>
                <w:highlight w:val="none"/>
              </w:rPr>
            </w:pPr>
            <w:r>
              <w:rPr>
                <w:rFonts w:hint="eastAsia" w:ascii="宋体" w:hAnsi="宋体"/>
                <w:color w:val="auto"/>
                <w:sz w:val="24"/>
                <w:szCs w:val="21"/>
                <w:highlight w:val="none"/>
              </w:rPr>
              <w:t>1、投标总报价</w:t>
            </w:r>
          </w:p>
        </w:tc>
        <w:tc>
          <w:tcPr>
            <w:tcW w:w="6338" w:type="dxa"/>
            <w:vAlign w:val="center"/>
          </w:tcPr>
          <w:p>
            <w:pPr>
              <w:spacing w:line="360" w:lineRule="auto"/>
              <w:ind w:right="420" w:firstLine="420" w:firstLineChars="200"/>
              <w:outlineLvl w:val="0"/>
              <w:rPr>
                <w:rFonts w:ascii="宋体" w:hAnsi="宋体"/>
                <w:bCs/>
                <w:color w:val="auto"/>
                <w:sz w:val="21"/>
                <w:szCs w:val="21"/>
                <w:highlight w:val="none"/>
              </w:rPr>
            </w:pPr>
            <w:r>
              <w:rPr>
                <w:rFonts w:hint="eastAsia" w:ascii="宋体" w:hAnsi="宋体"/>
                <w:bCs/>
                <w:color w:val="auto"/>
                <w:sz w:val="21"/>
                <w:szCs w:val="21"/>
                <w:highlight w:val="none"/>
              </w:rPr>
              <w:t>大写：</w:t>
            </w:r>
            <w:r>
              <w:rPr>
                <w:rFonts w:hint="eastAsia" w:ascii="宋体" w:hAnsi="宋体"/>
                <w:bCs/>
                <w:color w:val="auto"/>
                <w:sz w:val="21"/>
                <w:szCs w:val="21"/>
                <w:highlight w:val="none"/>
                <w:u w:val="single"/>
              </w:rPr>
              <w:t xml:space="preserve">               </w:t>
            </w:r>
            <w:r>
              <w:rPr>
                <w:rFonts w:hint="eastAsia" w:ascii="宋体" w:hAnsi="宋体"/>
                <w:bCs/>
                <w:color w:val="auto"/>
                <w:sz w:val="21"/>
                <w:szCs w:val="21"/>
                <w:highlight w:val="none"/>
              </w:rPr>
              <w:t>元；小写：</w:t>
            </w:r>
            <w:r>
              <w:rPr>
                <w:rFonts w:hint="eastAsia" w:ascii="宋体" w:hAnsi="宋体"/>
                <w:bCs/>
                <w:color w:val="auto"/>
                <w:sz w:val="21"/>
                <w:szCs w:val="21"/>
                <w:highlight w:val="none"/>
                <w:u w:val="single"/>
              </w:rPr>
              <w:t xml:space="preserve">              </w:t>
            </w:r>
            <w:r>
              <w:rPr>
                <w:rFonts w:hint="eastAsia" w:ascii="宋体" w:hAnsi="宋体"/>
                <w:bCs/>
                <w:color w:val="auto"/>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75" w:type="dxa"/>
            <w:vAlign w:val="center"/>
          </w:tcPr>
          <w:p>
            <w:pPr>
              <w:snapToGrid w:val="0"/>
              <w:spacing w:before="50" w:after="50" w:line="360" w:lineRule="auto"/>
              <w:rPr>
                <w:rFonts w:ascii="宋体" w:hAnsi="宋体"/>
                <w:color w:val="auto"/>
                <w:sz w:val="24"/>
                <w:szCs w:val="21"/>
                <w:highlight w:val="none"/>
              </w:rPr>
            </w:pPr>
            <w:r>
              <w:rPr>
                <w:rFonts w:hint="eastAsia" w:ascii="宋体" w:hAnsi="宋体"/>
                <w:color w:val="auto"/>
                <w:sz w:val="24"/>
                <w:szCs w:val="21"/>
                <w:highlight w:val="none"/>
              </w:rPr>
              <w:t>2、时间要求</w:t>
            </w:r>
          </w:p>
        </w:tc>
        <w:tc>
          <w:tcPr>
            <w:tcW w:w="6338" w:type="dxa"/>
            <w:vAlign w:val="center"/>
          </w:tcPr>
          <w:p>
            <w:pPr>
              <w:snapToGrid w:val="0"/>
              <w:spacing w:line="360" w:lineRule="auto"/>
              <w:jc w:val="center"/>
              <w:rPr>
                <w:rFonts w:ascii="宋体" w:hAnsi="宋体"/>
                <w:color w:val="auto"/>
                <w:sz w:val="24"/>
                <w:szCs w:val="21"/>
                <w:highlight w:val="none"/>
              </w:rPr>
            </w:pPr>
            <w:r>
              <w:rPr>
                <w:rFonts w:hint="eastAsia" w:ascii="宋体" w:hAnsi="宋体"/>
                <w:color w:val="auto"/>
                <w:sz w:val="24"/>
                <w:szCs w:val="21"/>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275" w:type="dxa"/>
            <w:vAlign w:val="center"/>
          </w:tcPr>
          <w:p>
            <w:pPr>
              <w:snapToGrid w:val="0"/>
              <w:spacing w:before="50" w:after="50" w:line="360" w:lineRule="auto"/>
              <w:rPr>
                <w:rFonts w:ascii="宋体" w:hAnsi="宋体"/>
                <w:color w:val="auto"/>
                <w:sz w:val="24"/>
                <w:szCs w:val="21"/>
                <w:highlight w:val="none"/>
              </w:rPr>
            </w:pPr>
            <w:r>
              <w:rPr>
                <w:rFonts w:hint="eastAsia" w:ascii="宋体" w:hAnsi="宋体"/>
                <w:color w:val="auto"/>
                <w:sz w:val="24"/>
                <w:szCs w:val="21"/>
                <w:highlight w:val="none"/>
              </w:rPr>
              <w:t>3、质量要求</w:t>
            </w:r>
          </w:p>
        </w:tc>
        <w:tc>
          <w:tcPr>
            <w:tcW w:w="6338" w:type="dxa"/>
            <w:vAlign w:val="center"/>
          </w:tcPr>
          <w:p>
            <w:pPr>
              <w:snapToGrid w:val="0"/>
              <w:spacing w:before="50" w:after="50" w:line="360" w:lineRule="auto"/>
              <w:jc w:val="center"/>
              <w:rPr>
                <w:rFonts w:ascii="宋体" w:hAnsi="宋体"/>
                <w:color w:val="auto"/>
                <w:sz w:val="24"/>
                <w:szCs w:val="21"/>
                <w:highlight w:val="none"/>
              </w:rPr>
            </w:pPr>
            <w:r>
              <w:rPr>
                <w:rFonts w:hint="eastAsia" w:ascii="宋体" w:hAnsi="宋体"/>
                <w:color w:val="auto"/>
                <w:sz w:val="24"/>
                <w:szCs w:val="21"/>
                <w:highlight w:val="none"/>
              </w:rPr>
              <w:t>符合要求</w:t>
            </w:r>
          </w:p>
        </w:tc>
      </w:tr>
    </w:tbl>
    <w:p>
      <w:pPr>
        <w:snapToGrid w:val="0"/>
        <w:spacing w:before="50" w:after="50" w:line="360" w:lineRule="auto"/>
        <w:jc w:val="left"/>
        <w:rPr>
          <w:rFonts w:ascii="宋体" w:hAnsi="宋体"/>
          <w:color w:val="auto"/>
          <w:sz w:val="22"/>
          <w:szCs w:val="22"/>
          <w:highlight w:val="none"/>
        </w:rPr>
      </w:pPr>
    </w:p>
    <w:p>
      <w:pPr>
        <w:snapToGrid w:val="0"/>
        <w:spacing w:before="50" w:after="50" w:line="360" w:lineRule="auto"/>
        <w:jc w:val="left"/>
        <w:rPr>
          <w:rFonts w:ascii="宋体" w:hAnsi="宋体"/>
          <w:color w:val="auto"/>
          <w:sz w:val="22"/>
          <w:szCs w:val="22"/>
          <w:highlight w:val="none"/>
        </w:rPr>
      </w:pPr>
      <w:r>
        <w:rPr>
          <w:rFonts w:hint="eastAsia" w:ascii="宋体" w:hAnsi="宋体"/>
          <w:color w:val="auto"/>
          <w:sz w:val="22"/>
          <w:szCs w:val="22"/>
          <w:highlight w:val="none"/>
        </w:rPr>
        <w:t>注</w:t>
      </w:r>
      <w:r>
        <w:rPr>
          <w:rFonts w:ascii="宋体" w:hAnsi="宋体"/>
          <w:color w:val="auto"/>
          <w:sz w:val="22"/>
          <w:szCs w:val="22"/>
          <w:highlight w:val="none"/>
        </w:rPr>
        <w:t>: 1</w:t>
      </w:r>
      <w:r>
        <w:rPr>
          <w:rFonts w:hint="eastAsia" w:ascii="宋体" w:hAnsi="宋体"/>
          <w:color w:val="auto"/>
          <w:sz w:val="22"/>
          <w:szCs w:val="22"/>
          <w:highlight w:val="none"/>
        </w:rPr>
        <w:t>、报价一经涂改，应在涂改处加盖单位公章或者由法定代表人或授权委托人签字或盖章，否则其投标作无效标处理。</w:t>
      </w:r>
    </w:p>
    <w:p>
      <w:pPr>
        <w:snapToGrid w:val="0"/>
        <w:spacing w:before="50" w:after="50" w:line="360" w:lineRule="auto"/>
        <w:jc w:val="left"/>
        <w:rPr>
          <w:rFonts w:ascii="宋体" w:hAnsi="宋体"/>
          <w:color w:val="auto"/>
          <w:sz w:val="22"/>
          <w:szCs w:val="22"/>
          <w:highlight w:val="none"/>
        </w:rPr>
      </w:pPr>
      <w:r>
        <w:rPr>
          <w:rFonts w:ascii="宋体" w:hAnsi="宋体"/>
          <w:color w:val="auto"/>
          <w:sz w:val="22"/>
          <w:szCs w:val="22"/>
          <w:highlight w:val="none"/>
        </w:rPr>
        <w:t>2</w:t>
      </w:r>
      <w:r>
        <w:rPr>
          <w:rFonts w:hint="eastAsia" w:ascii="宋体" w:hAnsi="宋体"/>
          <w:color w:val="auto"/>
          <w:sz w:val="22"/>
          <w:szCs w:val="22"/>
          <w:highlight w:val="none"/>
        </w:rPr>
        <w:t>、本次报价为招标文件所确定的招标需求范围内和合同中要求完成的全部工作内容以及中标的服务承诺，包括</w:t>
      </w:r>
      <w:r>
        <w:rPr>
          <w:rFonts w:hint="eastAsia" w:ascii="宋体" w:hAnsi="宋体"/>
          <w:b/>
          <w:bCs/>
          <w:color w:val="auto"/>
          <w:sz w:val="22"/>
          <w:szCs w:val="22"/>
          <w:highlight w:val="none"/>
        </w:rPr>
        <w:t>但不限于招标代理服务费、现场踏勘、资料收集整理、数据调查分析、工作大纲编制、调研报告、方案和所有设计、会务费、餐费、住宿费、最终相关专题及报告的编制、印刷、报相关主管部门审批、咨询费、风险费、保险、利润、规费、税金、政策性文件规定及合同包含的所有风险、责任等所有费用</w:t>
      </w:r>
      <w:r>
        <w:rPr>
          <w:rFonts w:hint="eastAsia" w:ascii="宋体" w:hAnsi="宋体"/>
          <w:color w:val="auto"/>
          <w:sz w:val="22"/>
          <w:szCs w:val="22"/>
          <w:highlight w:val="none"/>
        </w:rPr>
        <w:t>。</w:t>
      </w:r>
    </w:p>
    <w:p>
      <w:pPr>
        <w:spacing w:line="360" w:lineRule="auto"/>
        <w:ind w:left="420"/>
        <w:rPr>
          <w:rFonts w:ascii="宋体" w:hAnsi="宋体"/>
          <w:color w:val="auto"/>
          <w:sz w:val="22"/>
          <w:szCs w:val="22"/>
          <w:highlight w:val="none"/>
        </w:rPr>
      </w:pPr>
    </w:p>
    <w:p>
      <w:pPr>
        <w:spacing w:line="360" w:lineRule="auto"/>
        <w:ind w:left="420"/>
        <w:rPr>
          <w:rFonts w:ascii="宋体" w:hAnsi="宋体"/>
          <w:color w:val="auto"/>
          <w:sz w:val="22"/>
          <w:szCs w:val="22"/>
          <w:highlight w:val="none"/>
        </w:rPr>
      </w:pPr>
      <w:r>
        <w:rPr>
          <w:rFonts w:hint="eastAsia" w:ascii="宋体" w:hAnsi="宋体"/>
          <w:color w:val="auto"/>
          <w:sz w:val="22"/>
          <w:szCs w:val="22"/>
          <w:highlight w:val="none"/>
        </w:rPr>
        <w:t xml:space="preserve">投标人（公章或CA签章）：     </w:t>
      </w:r>
    </w:p>
    <w:p>
      <w:pPr>
        <w:spacing w:line="360" w:lineRule="auto"/>
        <w:ind w:left="420"/>
        <w:rPr>
          <w:rFonts w:ascii="宋体" w:hAnsi="宋体"/>
          <w:color w:val="auto"/>
          <w:sz w:val="22"/>
          <w:szCs w:val="22"/>
          <w:highlight w:val="none"/>
        </w:rPr>
      </w:pPr>
    </w:p>
    <w:p>
      <w:pPr>
        <w:snapToGrid/>
        <w:spacing w:before="0" w:beforeLines="-2147483648" w:after="0" w:line="360" w:lineRule="auto"/>
        <w:ind w:left="420"/>
        <w:rPr>
          <w:rFonts w:hint="eastAsia" w:ascii="宋体" w:hAnsi="宋体" w:cs="宋体"/>
          <w:color w:val="auto"/>
          <w:sz w:val="24"/>
          <w:highlight w:val="none"/>
        </w:rPr>
      </w:pPr>
      <w:r>
        <w:rPr>
          <w:rFonts w:hint="eastAsia" w:ascii="宋体" w:hAnsi="宋体"/>
          <w:color w:val="auto"/>
          <w:sz w:val="22"/>
          <w:szCs w:val="22"/>
          <w:highlight w:val="none"/>
        </w:rPr>
        <w:t>法定代表人（签字或盖章）：                          日期：</w:t>
      </w:r>
    </w:p>
    <w:p>
      <w:pPr>
        <w:snapToGrid w:val="0"/>
        <w:spacing w:before="120" w:beforeLines="50" w:after="50" w:line="360" w:lineRule="auto"/>
        <w:rPr>
          <w:rFonts w:hint="eastAsia" w:ascii="宋体" w:hAnsi="宋体" w:eastAsia="宋体"/>
          <w:b/>
          <w:color w:val="auto"/>
          <w:sz w:val="28"/>
          <w:szCs w:val="28"/>
          <w:highlight w:val="none"/>
          <w:lang w:eastAsia="zh-CN"/>
        </w:rPr>
      </w:pPr>
      <w:r>
        <w:rPr>
          <w:rFonts w:hint="eastAsia" w:ascii="宋体" w:hAnsi="宋体"/>
          <w:b/>
          <w:color w:val="auto"/>
          <w:sz w:val="28"/>
          <w:highlight w:val="none"/>
        </w:rPr>
        <w:t>附件1</w:t>
      </w:r>
      <w:r>
        <w:rPr>
          <w:rFonts w:hint="eastAsia" w:ascii="宋体" w:hAnsi="宋体"/>
          <w:b/>
          <w:color w:val="auto"/>
          <w:sz w:val="28"/>
          <w:highlight w:val="none"/>
          <w:lang w:val="en-US" w:eastAsia="zh-CN"/>
        </w:rPr>
        <w:t>4</w:t>
      </w:r>
    </w:p>
    <w:p>
      <w:pPr>
        <w:pStyle w:val="93"/>
        <w:spacing w:line="360" w:lineRule="auto"/>
        <w:jc w:val="center"/>
        <w:rPr>
          <w:rFonts w:ascii="宋体" w:hAnsi="宋体"/>
          <w:b/>
          <w:color w:val="auto"/>
          <w:sz w:val="32"/>
          <w:szCs w:val="32"/>
          <w:highlight w:val="none"/>
          <w:lang w:val="en-GB"/>
        </w:rPr>
      </w:pPr>
      <w:r>
        <w:rPr>
          <w:rFonts w:hint="eastAsia" w:ascii="宋体" w:hAnsi="宋体"/>
          <w:b/>
          <w:color w:val="auto"/>
          <w:sz w:val="32"/>
          <w:szCs w:val="32"/>
          <w:highlight w:val="none"/>
          <w:lang w:val="en-GB"/>
        </w:rPr>
        <w:t>中小企业声明函</w:t>
      </w:r>
    </w:p>
    <w:p>
      <w:pPr>
        <w:pStyle w:val="93"/>
        <w:spacing w:line="360" w:lineRule="auto"/>
        <w:jc w:val="center"/>
        <w:rPr>
          <w:rFonts w:ascii="宋体" w:hAnsi="宋体"/>
          <w:b/>
          <w:color w:val="auto"/>
          <w:sz w:val="24"/>
          <w:highlight w:val="none"/>
          <w:lang w:val="en-GB"/>
        </w:rPr>
      </w:pPr>
    </w:p>
    <w:p>
      <w:pPr>
        <w:pStyle w:val="93"/>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公司（联合体）郑重声明，根据《政府采购促进中小企业发展管理办法》（财库﹝2020﹞46号）的规定，本公司（联合体）参加（单位名称）的（项目名称）采购活动，服务全部由符合政策要求的中小企业承接）。相关企业（含联合体中的中小企业、签订分包意向协议的中小企业）的具体情况如下：</w:t>
      </w:r>
    </w:p>
    <w:p>
      <w:pPr>
        <w:pStyle w:val="93"/>
        <w:numPr>
          <w:ilvl w:val="0"/>
          <w:numId w:val="12"/>
        </w:numPr>
        <w:spacing w:line="360" w:lineRule="auto"/>
        <w:ind w:firstLine="480" w:firstLineChars="200"/>
        <w:rPr>
          <w:rFonts w:ascii="宋体" w:hAnsi="宋体"/>
          <w:color w:val="auto"/>
          <w:sz w:val="24"/>
          <w:highlight w:val="none"/>
        </w:rPr>
      </w:pPr>
      <w:r>
        <w:rPr>
          <w:rFonts w:hint="eastAsia" w:ascii="宋体" w:hAnsi="宋体"/>
          <w:color w:val="auto"/>
          <w:sz w:val="24"/>
          <w:highlight w:val="none"/>
          <w:u w:val="single"/>
        </w:rPr>
        <w:t>（标的名称）</w:t>
      </w:r>
      <w:r>
        <w:rPr>
          <w:rFonts w:hint="eastAsia" w:ascii="宋体" w:hAnsi="宋体"/>
          <w:color w:val="auto"/>
          <w:sz w:val="24"/>
          <w:highlight w:val="none"/>
        </w:rPr>
        <w:t>，属于</w:t>
      </w:r>
      <w:r>
        <w:rPr>
          <w:rFonts w:hint="eastAsia" w:ascii="宋体" w:hAnsi="宋体"/>
          <w:color w:val="auto"/>
          <w:sz w:val="24"/>
          <w:highlight w:val="none"/>
          <w:u w:val="single"/>
        </w:rPr>
        <w:t>（招标文件中明确的所属行业）</w:t>
      </w:r>
      <w:r>
        <w:rPr>
          <w:rFonts w:hint="eastAsia" w:ascii="宋体" w:hAnsi="宋体"/>
          <w:color w:val="auto"/>
          <w:sz w:val="24"/>
          <w:highlight w:val="none"/>
        </w:rPr>
        <w:t>；承建（承接）企业为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w:t>
      </w: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1 \* GB3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①</w:t>
      </w:r>
      <w:r>
        <w:rPr>
          <w:rFonts w:hint="eastAsia" w:ascii="宋体" w:hAnsi="宋体" w:cs="宋体"/>
          <w:color w:val="auto"/>
          <w:sz w:val="24"/>
          <w:highlight w:val="none"/>
        </w:rPr>
        <w:fldChar w:fldCharType="end"/>
      </w:r>
      <w:r>
        <w:rPr>
          <w:rFonts w:hint="eastAsia" w:ascii="宋体" w:hAnsi="宋体"/>
          <w:color w:val="auto"/>
          <w:sz w:val="24"/>
          <w:highlight w:val="none"/>
        </w:rPr>
        <w:t>，属于（中型企业、小型企业、微型企业）；</w:t>
      </w:r>
    </w:p>
    <w:p>
      <w:pPr>
        <w:pStyle w:val="93"/>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u w:val="single"/>
        </w:rPr>
        <w:t>（标的名称）</w:t>
      </w:r>
      <w:r>
        <w:rPr>
          <w:rFonts w:hint="eastAsia" w:ascii="宋体" w:hAnsi="宋体"/>
          <w:color w:val="auto"/>
          <w:sz w:val="24"/>
          <w:highlight w:val="none"/>
        </w:rPr>
        <w:t>，属于</w:t>
      </w:r>
      <w:r>
        <w:rPr>
          <w:rFonts w:hint="eastAsia" w:ascii="宋体" w:hAnsi="宋体"/>
          <w:color w:val="auto"/>
          <w:sz w:val="24"/>
          <w:highlight w:val="none"/>
          <w:u w:val="single"/>
        </w:rPr>
        <w:t>（招标文件中明确的所属行业）</w:t>
      </w:r>
      <w:r>
        <w:rPr>
          <w:rFonts w:hint="eastAsia" w:ascii="宋体" w:hAnsi="宋体"/>
          <w:color w:val="auto"/>
          <w:sz w:val="24"/>
          <w:highlight w:val="none"/>
        </w:rPr>
        <w:t>；承建（承接）企业为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pPr>
        <w:pStyle w:val="93"/>
        <w:spacing w:line="360" w:lineRule="auto"/>
        <w:ind w:firstLine="480" w:firstLineChars="200"/>
        <w:rPr>
          <w:rFonts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pPr>
        <w:pStyle w:val="93"/>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pPr>
        <w:pStyle w:val="93"/>
        <w:spacing w:line="360" w:lineRule="auto"/>
        <w:ind w:firstLine="480" w:firstLineChars="200"/>
        <w:rPr>
          <w:rFonts w:ascii="宋体" w:hAnsi="宋体" w:cs="Arial"/>
          <w:bCs/>
          <w:color w:val="auto"/>
          <w:sz w:val="24"/>
          <w:highlight w:val="none"/>
        </w:rPr>
      </w:pPr>
      <w:r>
        <w:rPr>
          <w:rFonts w:ascii="宋体" w:hAnsi="宋体" w:cs="Arial"/>
          <w:bCs/>
          <w:color w:val="auto"/>
          <w:sz w:val="24"/>
          <w:highlight w:val="none"/>
        </w:rPr>
        <w:t>信息查询</w:t>
      </w:r>
      <w:r>
        <w:rPr>
          <w:rFonts w:hint="eastAsia" w:ascii="宋体" w:hAnsi="宋体" w:cs="Arial"/>
          <w:bCs/>
          <w:color w:val="auto"/>
          <w:sz w:val="24"/>
          <w:highlight w:val="none"/>
        </w:rPr>
        <w:t>网址为：</w:t>
      </w:r>
    </w:p>
    <w:p>
      <w:pPr>
        <w:spacing w:line="360" w:lineRule="auto"/>
        <w:rPr>
          <w:rFonts w:ascii="宋体" w:hAnsi="宋体"/>
          <w:color w:val="auto"/>
          <w:spacing w:val="6"/>
          <w:sz w:val="24"/>
          <w:highlight w:val="none"/>
        </w:rPr>
      </w:pPr>
    </w:p>
    <w:p>
      <w:pPr>
        <w:pStyle w:val="93"/>
        <w:spacing w:line="360" w:lineRule="auto"/>
        <w:ind w:firstLine="480" w:firstLineChars="200"/>
        <w:rPr>
          <w:rFonts w:ascii="宋体" w:hAnsi="宋体" w:cs="Arial"/>
          <w:bCs/>
          <w:color w:val="auto"/>
          <w:sz w:val="24"/>
          <w:highlight w:val="none"/>
        </w:rPr>
      </w:pPr>
    </w:p>
    <w:p>
      <w:pPr>
        <w:pStyle w:val="93"/>
        <w:spacing w:line="360" w:lineRule="auto"/>
        <w:rPr>
          <w:rFonts w:ascii="宋体" w:hAnsi="宋体"/>
          <w:color w:val="auto"/>
          <w:sz w:val="24"/>
          <w:highlight w:val="none"/>
        </w:rPr>
      </w:pPr>
    </w:p>
    <w:p>
      <w:pPr>
        <w:pStyle w:val="93"/>
        <w:spacing w:line="360" w:lineRule="auto"/>
        <w:ind w:firstLine="4800" w:firstLineChars="2000"/>
        <w:rPr>
          <w:rFonts w:ascii="宋体" w:hAnsi="宋体"/>
          <w:color w:val="auto"/>
          <w:sz w:val="24"/>
          <w:highlight w:val="none"/>
        </w:rPr>
      </w:pPr>
      <w:r>
        <w:rPr>
          <w:rFonts w:hint="eastAsia" w:ascii="宋体" w:hAnsi="宋体"/>
          <w:color w:val="auto"/>
          <w:sz w:val="24"/>
          <w:highlight w:val="none"/>
        </w:rPr>
        <w:t xml:space="preserve">企业名称（盖章）：              </w:t>
      </w:r>
    </w:p>
    <w:p>
      <w:pPr>
        <w:pStyle w:val="93"/>
        <w:spacing w:line="360" w:lineRule="auto"/>
        <w:ind w:firstLine="4800" w:firstLineChars="2000"/>
        <w:rPr>
          <w:rFonts w:ascii="宋体" w:hAnsi="宋体"/>
          <w:color w:val="auto"/>
          <w:sz w:val="24"/>
          <w:highlight w:val="none"/>
        </w:rPr>
      </w:pPr>
      <w:r>
        <w:rPr>
          <w:rFonts w:hint="eastAsia" w:ascii="宋体" w:hAnsi="宋体"/>
          <w:color w:val="auto"/>
          <w:sz w:val="24"/>
          <w:highlight w:val="none"/>
        </w:rPr>
        <w:t>日 期：</w:t>
      </w:r>
    </w:p>
    <w:p>
      <w:pPr>
        <w:spacing w:line="360" w:lineRule="auto"/>
        <w:rPr>
          <w:rFonts w:ascii="宋体" w:hAnsi="宋体" w:cs="宋体"/>
          <w:color w:val="auto"/>
          <w:sz w:val="24"/>
          <w:highlight w:val="none"/>
        </w:rPr>
      </w:pPr>
      <w:r>
        <w:rPr>
          <w:rFonts w:ascii="宋体" w:hAnsi="宋体" w:cs="宋体"/>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209550</wp:posOffset>
                </wp:positionV>
                <wp:extent cx="298450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2984740"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4pt;margin-top:16.5pt;height:0pt;width:235pt;z-index:251659264;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0UqpXTAAAABgEAAA8AAAAAAAAAAQAgAAAAIgAAAGRycy9kb3ducmV2LnhtbFBLAQIUABQA&#10;AAAIAIdO4kCum33J9QEAANQDAAAOAAAAAAAAAAEAIAAAACIBAABkcnMvZTJvRG9jLnhtbFBLBQYA&#10;AAAABgAGAFkBAACJBQAAAAA=&#10;">
                <v:fill on="f" focussize="0,0"/>
                <v:stroke weight="1.25pt" color="#000000" miterlimit="8" joinstyle="miter"/>
                <v:imagedata o:title=""/>
                <o:lock v:ext="edit" aspectratio="f"/>
              </v:line>
            </w:pict>
          </mc:Fallback>
        </mc:AlternateContent>
      </w:r>
    </w:p>
    <w:p>
      <w:pPr>
        <w:spacing w:line="360" w:lineRule="auto"/>
        <w:rPr>
          <w:rFonts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1 \* GB3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①</w:t>
      </w:r>
      <w:r>
        <w:rPr>
          <w:rFonts w:hint="eastAsia" w:ascii="宋体" w:hAnsi="宋体" w:cs="宋体"/>
          <w:color w:val="auto"/>
          <w:sz w:val="24"/>
          <w:highlight w:val="none"/>
        </w:rPr>
        <w:fldChar w:fldCharType="end"/>
      </w:r>
      <w:r>
        <w:rPr>
          <w:rFonts w:hint="eastAsia" w:ascii="宋体" w:hAnsi="宋体" w:cs="宋体"/>
          <w:color w:val="auto"/>
          <w:sz w:val="24"/>
          <w:highlight w:val="none"/>
        </w:rPr>
        <w:t>从业人员、营业收入、资产总额填报上一年度数据，无上一年度数据的新成立企业可不填报。</w:t>
      </w:r>
    </w:p>
    <w:p>
      <w:pPr>
        <w:rPr>
          <w:rFonts w:ascii="宋体" w:hAnsi="宋体" w:cs="宋体"/>
          <w:color w:val="auto"/>
          <w:sz w:val="24"/>
          <w:highlight w:val="none"/>
        </w:rPr>
        <w:sectPr>
          <w:headerReference r:id="rId11" w:type="default"/>
          <w:footerReference r:id="rId12" w:type="default"/>
          <w:pgSz w:w="11906" w:h="16838"/>
          <w:pgMar w:top="1701" w:right="1448" w:bottom="1531" w:left="1418" w:header="851" w:footer="851" w:gutter="0"/>
          <w:cols w:space="720" w:num="1"/>
          <w:docGrid w:linePitch="312" w:charSpace="0"/>
        </w:sectPr>
      </w:pPr>
      <w:r>
        <w:rPr>
          <w:rFonts w:hint="eastAsia" w:ascii="宋体" w:hAnsi="宋体" w:cs="宋体"/>
          <w:color w:val="auto"/>
          <w:sz w:val="24"/>
          <w:highlight w:val="none"/>
        </w:rPr>
        <w:t>②本声明函将随中标结果公开，接受社会监督。</w:t>
      </w:r>
    </w:p>
    <w:p>
      <w:pPr>
        <w:pStyle w:val="21"/>
        <w:spacing w:line="360" w:lineRule="auto"/>
        <w:jc w:val="center"/>
        <w:outlineLvl w:val="1"/>
        <w:rPr>
          <w:rFonts w:hAnsi="宋体" w:cs="宋体"/>
          <w:b/>
          <w:color w:val="auto"/>
          <w:sz w:val="32"/>
          <w:szCs w:val="32"/>
          <w:highlight w:val="none"/>
          <w:lang w:val="en-GB"/>
        </w:rPr>
      </w:pPr>
      <w:bookmarkStart w:id="139" w:name="_Toc27483_WPSOffice_Level1"/>
      <w:bookmarkStart w:id="140" w:name="_Toc17646_WPSOffice_Level1"/>
      <w:r>
        <w:rPr>
          <w:rFonts w:hint="eastAsia" w:hAnsi="宋体" w:cs="宋体"/>
          <w:b/>
          <w:color w:val="auto"/>
          <w:sz w:val="32"/>
          <w:szCs w:val="32"/>
          <w:highlight w:val="none"/>
          <w:lang w:val="en-GB"/>
        </w:rPr>
        <w:t>残疾人福利性单位声明函</w:t>
      </w:r>
      <w:bookmarkEnd w:id="139"/>
      <w:bookmarkEnd w:id="140"/>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pStyle w:val="37"/>
        <w:rPr>
          <w:color w:val="auto"/>
          <w:highlight w:val="none"/>
        </w:rPr>
      </w:pPr>
    </w:p>
    <w:p>
      <w:pPr>
        <w:tabs>
          <w:tab w:val="left" w:pos="4860"/>
        </w:tabs>
        <w:spacing w:line="588" w:lineRule="exact"/>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p>
    <w:p>
      <w:pPr>
        <w:pStyle w:val="93"/>
        <w:spacing w:line="360" w:lineRule="auto"/>
        <w:ind w:left="6384" w:leftChars="2280"/>
        <w:rPr>
          <w:rFonts w:ascii="宋体" w:hAnsi="宋体" w:cs="宋体"/>
          <w:color w:val="auto"/>
          <w:sz w:val="24"/>
          <w:highlight w:val="none"/>
        </w:rPr>
      </w:pPr>
      <w:r>
        <w:rPr>
          <w:rFonts w:hint="eastAsia" w:ascii="宋体" w:hAnsi="宋体" w:cs="宋体"/>
          <w:color w:val="auto"/>
          <w:sz w:val="24"/>
          <w:highlight w:val="none"/>
        </w:rPr>
        <w:t xml:space="preserve">       </w:t>
      </w:r>
    </w:p>
    <w:p>
      <w:pPr>
        <w:pStyle w:val="93"/>
        <w:spacing w:line="360" w:lineRule="auto"/>
        <w:ind w:left="6384" w:leftChars="2280"/>
        <w:rPr>
          <w:rFonts w:ascii="宋体" w:hAnsi="宋体"/>
          <w:color w:val="auto"/>
          <w:sz w:val="24"/>
          <w:highlight w:val="none"/>
        </w:rPr>
      </w:pPr>
      <w:r>
        <w:rPr>
          <w:rFonts w:hint="eastAsia" w:ascii="宋体" w:hAnsi="宋体"/>
          <w:color w:val="auto"/>
          <w:sz w:val="24"/>
          <w:highlight w:val="none"/>
        </w:rPr>
        <w:t>单位名称（盖章）：</w:t>
      </w:r>
    </w:p>
    <w:p>
      <w:pPr>
        <w:spacing w:line="360" w:lineRule="auto"/>
        <w:ind w:firstLine="600" w:firstLineChars="250"/>
        <w:jc w:val="right"/>
        <w:rPr>
          <w:color w:val="auto"/>
          <w:highlight w:val="none"/>
        </w:rPr>
        <w:sectPr>
          <w:pgSz w:w="11907" w:h="16840"/>
          <w:pgMar w:top="1361" w:right="1247" w:bottom="1247" w:left="1304" w:header="851" w:footer="992" w:gutter="0"/>
          <w:cols w:space="720" w:num="1"/>
          <w:docGrid w:linePitch="312" w:charSpace="0"/>
        </w:sectPr>
      </w:pPr>
      <w:r>
        <w:rPr>
          <w:rFonts w:hint="eastAsia" w:ascii="宋体" w:hAnsi="宋体"/>
          <w:color w:val="auto"/>
          <w:sz w:val="24"/>
          <w:highlight w:val="none"/>
        </w:rPr>
        <w:t>日  期  ：</w:t>
      </w:r>
    </w:p>
    <w:p>
      <w:pPr>
        <w:pStyle w:val="101"/>
        <w:snapToGrid w:val="0"/>
        <w:spacing w:line="360" w:lineRule="auto"/>
        <w:rPr>
          <w:rFonts w:hint="default" w:hAnsi="宋体" w:cs="宋体"/>
          <w:color w:val="auto"/>
          <w:sz w:val="24"/>
          <w:szCs w:val="24"/>
          <w:highlight w:val="none"/>
        </w:rPr>
      </w:pPr>
      <w:r>
        <w:rPr>
          <w:rFonts w:hint="default" w:hAnsi="宋体" w:cs="宋体"/>
          <w:color w:val="auto"/>
          <w:sz w:val="24"/>
          <w:szCs w:val="24"/>
          <w:highlight w:val="none"/>
        </w:rPr>
        <w:t>附件</w:t>
      </w:r>
      <w:r>
        <w:rPr>
          <w:rFonts w:hint="eastAsia" w:hAnsi="宋体" w:cs="宋体"/>
          <w:color w:val="auto"/>
          <w:sz w:val="24"/>
          <w:szCs w:val="24"/>
          <w:highlight w:val="none"/>
          <w:lang w:val="en-US" w:eastAsia="zh-CN"/>
        </w:rPr>
        <w:t>15</w:t>
      </w:r>
      <w:bookmarkStart w:id="141" w:name="_GoBack"/>
      <w:bookmarkEnd w:id="141"/>
      <w:r>
        <w:rPr>
          <w:rFonts w:hAnsi="宋体" w:cs="宋体"/>
          <w:color w:val="auto"/>
          <w:sz w:val="24"/>
          <w:szCs w:val="24"/>
          <w:highlight w:val="none"/>
        </w:rPr>
        <w:t>：</w:t>
      </w:r>
    </w:p>
    <w:p>
      <w:pPr>
        <w:pStyle w:val="101"/>
        <w:snapToGrid w:val="0"/>
        <w:spacing w:line="360" w:lineRule="auto"/>
        <w:ind w:firstLine="480" w:firstLineChars="200"/>
        <w:rPr>
          <w:rFonts w:hint="default" w:hAnsi="宋体" w:cs="宋体"/>
          <w:color w:val="auto"/>
          <w:sz w:val="24"/>
          <w:szCs w:val="24"/>
          <w:highlight w:val="none"/>
        </w:rPr>
      </w:pPr>
    </w:p>
    <w:tbl>
      <w:tblPr>
        <w:tblStyle w:val="38"/>
        <w:tblW w:w="9386" w:type="dxa"/>
        <w:tblInd w:w="0" w:type="dxa"/>
        <w:tblLayout w:type="fixed"/>
        <w:tblCellMar>
          <w:top w:w="0" w:type="dxa"/>
          <w:left w:w="0" w:type="dxa"/>
          <w:bottom w:w="0" w:type="dxa"/>
          <w:right w:w="0" w:type="dxa"/>
        </w:tblCellMar>
      </w:tblPr>
      <w:tblGrid>
        <w:gridCol w:w="474"/>
        <w:gridCol w:w="777"/>
        <w:gridCol w:w="1949"/>
        <w:gridCol w:w="788"/>
        <w:gridCol w:w="4443"/>
        <w:gridCol w:w="955"/>
      </w:tblGrid>
      <w:tr>
        <w:tblPrEx>
          <w:tblCellMar>
            <w:top w:w="0" w:type="dxa"/>
            <w:left w:w="0" w:type="dxa"/>
            <w:bottom w:w="0" w:type="dxa"/>
            <w:right w:w="0" w:type="dxa"/>
          </w:tblCellMar>
        </w:tblPrEx>
        <w:trPr>
          <w:trHeight w:val="361" w:hRule="atLeast"/>
        </w:trPr>
        <w:tc>
          <w:tcPr>
            <w:tcW w:w="938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ascii="黑体" w:hAnsi="宋体" w:eastAsia="黑体" w:cs="黑体"/>
                <w:b/>
                <w:color w:val="auto"/>
                <w:sz w:val="24"/>
                <w:highlight w:val="none"/>
              </w:rPr>
            </w:pPr>
            <w:r>
              <w:rPr>
                <w:rFonts w:hint="eastAsia" w:ascii="黑体" w:hAnsi="宋体" w:eastAsia="黑体" w:cs="黑体"/>
                <w:b/>
                <w:color w:val="auto"/>
                <w:kern w:val="0"/>
                <w:sz w:val="24"/>
                <w:highlight w:val="none"/>
              </w:rPr>
              <w:t>中小企业划型标准规定</w:t>
            </w:r>
          </w:p>
        </w:tc>
      </w:tr>
      <w:tr>
        <w:tblPrEx>
          <w:tblCellMar>
            <w:top w:w="0" w:type="dxa"/>
            <w:left w:w="0" w:type="dxa"/>
            <w:bottom w:w="0" w:type="dxa"/>
            <w:right w:w="0" w:type="dxa"/>
          </w:tblCellMar>
        </w:tblPrEx>
        <w:trPr>
          <w:trHeight w:val="361" w:hRule="atLeast"/>
        </w:trPr>
        <w:tc>
          <w:tcPr>
            <w:tcW w:w="9386"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工信部联企业【2011】300号</w:t>
            </w:r>
          </w:p>
        </w:tc>
      </w:tr>
      <w:tr>
        <w:tblPrEx>
          <w:tblCellMar>
            <w:top w:w="0" w:type="dxa"/>
            <w:left w:w="0" w:type="dxa"/>
            <w:bottom w:w="0" w:type="dxa"/>
            <w:right w:w="0" w:type="dxa"/>
          </w:tblCellMar>
        </w:tblPrEx>
        <w:trPr>
          <w:trHeight w:val="361" w:hRule="atLeast"/>
        </w:trPr>
        <w:tc>
          <w:tcPr>
            <w:tcW w:w="4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序号</w:t>
            </w:r>
          </w:p>
        </w:tc>
        <w:tc>
          <w:tcPr>
            <w:tcW w:w="7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行业</w:t>
            </w:r>
          </w:p>
        </w:tc>
        <w:tc>
          <w:tcPr>
            <w:tcW w:w="19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原则</w:t>
            </w:r>
          </w:p>
        </w:tc>
        <w:tc>
          <w:tcPr>
            <w:tcW w:w="523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具体规定</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60" w:lineRule="auto"/>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指标</w:t>
            </w: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1</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农、林、牧、渔业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r>
              <w:rPr>
                <w:color w:val="auto"/>
                <w:kern w:val="0"/>
                <w:sz w:val="20"/>
                <w:szCs w:val="20"/>
                <w:highlight w:val="none"/>
              </w:rPr>
              <w:t>20000</w:t>
            </w:r>
            <w:r>
              <w:rPr>
                <w:rFonts w:hint="eastAsia" w:ascii="宋体" w:hAnsi="宋体" w:cs="宋体"/>
                <w:color w:val="auto"/>
                <w:kern w:val="0"/>
                <w:sz w:val="20"/>
                <w:szCs w:val="20"/>
                <w:highlight w:val="none"/>
              </w:rPr>
              <w:t>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r>
              <w:rPr>
                <w:color w:val="auto"/>
                <w:kern w:val="0"/>
                <w:sz w:val="20"/>
                <w:szCs w:val="20"/>
                <w:highlight w:val="none"/>
              </w:rPr>
              <w:t>500</w:t>
            </w:r>
            <w:r>
              <w:rPr>
                <w:rFonts w:hint="eastAsia" w:ascii="宋体" w:hAnsi="宋体" w:cs="宋体"/>
                <w:color w:val="auto"/>
                <w:kern w:val="0"/>
                <w:sz w:val="20"/>
                <w:szCs w:val="20"/>
                <w:highlight w:val="none"/>
              </w:rPr>
              <w:t>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r>
              <w:rPr>
                <w:color w:val="auto"/>
                <w:kern w:val="0"/>
                <w:sz w:val="20"/>
                <w:szCs w:val="20"/>
                <w:highlight w:val="none"/>
              </w:rPr>
              <w:t>50</w:t>
            </w:r>
            <w:r>
              <w:rPr>
                <w:rFonts w:hint="eastAsia" w:ascii="宋体" w:hAnsi="宋体" w:cs="宋体"/>
                <w:color w:val="auto"/>
                <w:kern w:val="0"/>
                <w:sz w:val="20"/>
                <w:szCs w:val="20"/>
                <w:highlight w:val="none"/>
              </w:rPr>
              <w:t>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r>
              <w:rPr>
                <w:color w:val="auto"/>
                <w:kern w:val="0"/>
                <w:sz w:val="20"/>
                <w:szCs w:val="20"/>
                <w:highlight w:val="none"/>
              </w:rPr>
              <w:t>50</w:t>
            </w:r>
            <w:r>
              <w:rPr>
                <w:rFonts w:hint="eastAsia" w:ascii="宋体" w:hAnsi="宋体" w:cs="宋体"/>
                <w:color w:val="auto"/>
                <w:kern w:val="0"/>
                <w:sz w:val="20"/>
                <w:szCs w:val="20"/>
                <w:highlight w:val="none"/>
              </w:rPr>
              <w:t>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2</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工业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从业人员1000人以下或营业收入40000万元以下的为中小微型企业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从业人员300人及以上，且营业收入2000万元及以上的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从业人员20人及以上，且营业收入300万元及以上的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从业人员20人以下或营业收入300万元以下的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632"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3</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建筑业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营业收入80000万元以下或资产总额80000万元以下的为中小微型企业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营业收入6000万元及以上，且资产总额5000万元及以上的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营业收入300万元及以上，且资产总额300万元及以上的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资产总额</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营业收入300万元以下或资产总额300万元以下的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4</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批发业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从业人员200人以下或营业收入40000万元以下的为中小微型企业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从业人员20人及以上，且营业收入5000万元及以上的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从业人员5人及以上，且营业收入1000万元及以上的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从业人员5人以下或营业收入1000万元以下的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5</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零售业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从业人员300人以下或营业收入20000万元以下的为中小微型企业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从业人员50人及以上，且营业收入500万元及以上的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从业人员10人及以上，且营业收入100万元及以上的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从业人员10人以下或营业收入100万元以下的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6</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交通运输业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从业人员1000人以下或营业收入30000万元以下的为中小微型企业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从业人员300人及以上，且营业收入3000万元及以上的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从业人员20人及以上，且营业收入200万元及以上的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从业人员20人以下或营业收入200万元以下的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7</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仓储业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从业人员200人以下或营业收入30000万元以下的为中小微型企业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从业人员100人及以上，且营业收入1000万元及以上的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从业人员20人及以上，且营业收入100万元及以上的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从业人员20人以下或营业收入100万元以下的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8</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邮政业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从业人员1000人以下或营业收入30000万元以下的为中小微型企业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从业人员300人及以上，且营业收入2000万元及以上的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从业人员20人及以上，且营业收入100万元及以上的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从业人员20人以下或营业收入100万元以下的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9</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住宿业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从业人员300人以下或营业收入10000万元以下的为中小微型企业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从业人员100人及以上，且营业收入2000万元及以上的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从业人员10人及以上，且营业收入100万元及以上的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从业人员10人以下或营业收入100万元以下的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10</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餐饮业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从业人员300人以下或营业收入10000万元以下的为中小微型企业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从业人员100人及以上，且营业收入2000万元及以上的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从业人员10人及以上，且营业收入100万元及以上的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从业人员10人以下或营业收入100万元以下的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11</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信息传输业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从业人员2000人以下或营业收入100000万元以下的为中小微型企业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从业人员100人及以上，且营业收入1000万元及以上的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从业人员10人及以上，且营业收入100万元及以上的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从业人员10人以下或营业收入100万元以下的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12</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软件和信息技术服务业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从业人员300人以下或营业收入10000万元以下的为中小微型企业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从业人员100人及以上，且营业收入1000万元及以上的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从业人员10人及以上，且营业收入50万元及以上的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从业人员10人以下或营业收入50万元以下的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632"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13</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房地产开发经营</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营业收入200000万元以下或资产总额10000万元以下的为中小微型企业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营业收入1000万元及以上，且资产总额5000万元及以上的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营业收入100万元及以上，且资产总额2000万元及以上的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资产总额</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营业收入100万元以下或资产总额2000万元以下的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14</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物业管理</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从业人员1000人以下或营业收入5000万元以下的为中小微型企业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从业人员300人及以上，且营业收入1000万元及以上的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从业人员100人及以上，且营业收入500万元及以上的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营业收入</w:t>
            </w:r>
          </w:p>
        </w:tc>
      </w:tr>
      <w:tr>
        <w:tblPrEx>
          <w:tblCellMar>
            <w:top w:w="0" w:type="dxa"/>
            <w:left w:w="0" w:type="dxa"/>
            <w:bottom w:w="0" w:type="dxa"/>
            <w:right w:w="0" w:type="dxa"/>
          </w:tblCellMar>
        </w:tblPrEx>
        <w:trPr>
          <w:trHeight w:val="632"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从业人员100人以下或营业收入500万元以下的为微型企业</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15</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租赁和商务服务业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从业人员300人以下或资产总额120000万元以下的为中小微型企业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从业人员100人及以上，且资产总额8000万元及以上的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从业人员10人及以上，且资产总额100万元及以上的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资产总额</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从业人员10人以下或资产总额100万元以下的</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61" w:hRule="atLeast"/>
        </w:trPr>
        <w:tc>
          <w:tcPr>
            <w:tcW w:w="47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color w:val="auto"/>
                <w:sz w:val="20"/>
                <w:szCs w:val="20"/>
                <w:highlight w:val="none"/>
              </w:rPr>
            </w:pPr>
            <w:r>
              <w:rPr>
                <w:color w:val="auto"/>
                <w:kern w:val="0"/>
                <w:sz w:val="20"/>
                <w:szCs w:val="20"/>
                <w:highlight w:val="none"/>
              </w:rPr>
              <w:t>16</w:t>
            </w:r>
          </w:p>
        </w:tc>
        <w:tc>
          <w:tcPr>
            <w:tcW w:w="77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其他未列明行业</w:t>
            </w:r>
          </w:p>
        </w:tc>
        <w:tc>
          <w:tcPr>
            <w:tcW w:w="194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从业人员300人以下的为中小微型企业</w:t>
            </w: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中型企业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从业人员100人及以上的</w:t>
            </w:r>
          </w:p>
        </w:tc>
        <w:tc>
          <w:tcPr>
            <w:tcW w:w="955"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widowControl/>
              <w:spacing w:line="360" w:lineRule="auto"/>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w:t>
            </w:r>
          </w:p>
        </w:tc>
      </w:tr>
      <w:tr>
        <w:tblPrEx>
          <w:tblCellMar>
            <w:top w:w="0" w:type="dxa"/>
            <w:left w:w="0" w:type="dxa"/>
            <w:bottom w:w="0" w:type="dxa"/>
            <w:right w:w="0" w:type="dxa"/>
          </w:tblCellMar>
        </w:tblPrEx>
        <w:trPr>
          <w:trHeight w:val="361"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小型企业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从业人员10人及以上的</w:t>
            </w:r>
          </w:p>
        </w:tc>
        <w:tc>
          <w:tcPr>
            <w:tcW w:w="955" w:type="dxa"/>
            <w:tcBorders>
              <w:top w:val="nil"/>
              <w:left w:val="single" w:color="000000" w:sz="4" w:space="0"/>
              <w:bottom w:val="nil"/>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r>
        <w:tblPrEx>
          <w:tblCellMar>
            <w:top w:w="0" w:type="dxa"/>
            <w:left w:w="0" w:type="dxa"/>
            <w:bottom w:w="0" w:type="dxa"/>
            <w:right w:w="0" w:type="dxa"/>
          </w:tblCellMar>
        </w:tblPrEx>
        <w:trPr>
          <w:trHeight w:val="370" w:hRule="atLeast"/>
        </w:trPr>
        <w:tc>
          <w:tcPr>
            <w:tcW w:w="4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color w:val="auto"/>
                <w:sz w:val="20"/>
                <w:szCs w:val="20"/>
                <w:highlight w:val="none"/>
              </w:rPr>
            </w:pPr>
          </w:p>
        </w:tc>
        <w:tc>
          <w:tcPr>
            <w:tcW w:w="77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194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宋体" w:hAnsi="宋体" w:cs="宋体"/>
                <w:color w:val="auto"/>
                <w:sz w:val="20"/>
                <w:szCs w:val="20"/>
                <w:highlight w:val="none"/>
              </w:rPr>
            </w:pPr>
          </w:p>
        </w:tc>
        <w:tc>
          <w:tcPr>
            <w:tcW w:w="7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微型企业</w:t>
            </w:r>
          </w:p>
        </w:tc>
        <w:tc>
          <w:tcPr>
            <w:tcW w:w="4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从业人员10人以下的为微型企业</w:t>
            </w:r>
          </w:p>
        </w:tc>
        <w:tc>
          <w:tcPr>
            <w:tcW w:w="95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left"/>
              <w:rPr>
                <w:rFonts w:ascii="宋体" w:hAnsi="宋体" w:cs="宋体"/>
                <w:color w:val="auto"/>
                <w:sz w:val="20"/>
                <w:szCs w:val="20"/>
                <w:highlight w:val="none"/>
              </w:rPr>
            </w:pPr>
          </w:p>
        </w:tc>
      </w:tr>
    </w:tbl>
    <w:p>
      <w:pPr>
        <w:pStyle w:val="15"/>
        <w:spacing w:line="360" w:lineRule="auto"/>
        <w:rPr>
          <w:color w:val="auto"/>
          <w:highlight w:val="none"/>
        </w:rPr>
      </w:pPr>
      <w:r>
        <w:rPr>
          <w:rFonts w:hint="eastAsia" w:ascii="微软雅黑" w:hAnsi="微软雅黑" w:eastAsia="微软雅黑" w:cs="微软雅黑"/>
          <w:color w:val="auto"/>
          <w:highlight w:val="none"/>
        </w:rPr>
        <w:t>该附件可供投标人参考。</w:t>
      </w:r>
    </w:p>
    <w:sectPr>
      <w:footerReference r:id="rId13" w:type="default"/>
      <w:pgSz w:w="11907" w:h="16840"/>
      <w:pgMar w:top="1247" w:right="1304" w:bottom="1361" w:left="124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B0604020202020204"/>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B0604020202020204"/>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Arial"/>
    <w:panose1 w:val="020B0604020202020204"/>
    <w:charset w:val="80"/>
    <w:family w:val="swiss"/>
    <w:pitch w:val="default"/>
    <w:sig w:usb0="00000000" w:usb1="00000000" w:usb2="0000003F" w:usb3="00000000" w:csb0="003F01FF" w:csb1="00000000"/>
  </w:font>
  <w:font w:name="Arial">
    <w:panose1 w:val="020B0604020202020204"/>
    <w:charset w:val="00"/>
    <w:family w:val="auto"/>
    <w:pitch w:val="default"/>
    <w:sig w:usb0="E0002EFF" w:usb1="C000785B" w:usb2="00000009" w:usb3="00000000" w:csb0="400001FF" w:csb1="FFFF0000"/>
  </w:font>
  <w:font w:name="Helvetica">
    <w:panose1 w:val="020B0604020202020204"/>
    <w:charset w:val="00"/>
    <w:family w:val="auto"/>
    <w:pitch w:val="default"/>
    <w:sig w:usb0="00000000" w:usb1="00000000" w:usb2="00000000" w:usb3="00000000" w:csb0="00000000" w:csb1="00000000"/>
  </w:font>
  <w:font w:name="方正书宋简体">
    <w:altName w:val="宋体"/>
    <w:panose1 w:val="020B0604020202020204"/>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rPr>
        <w:rFonts w:ascii="宋体" w:hAnsi="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2"/>
      </w:rPr>
    </w:pPr>
    <w:r>
      <w:fldChar w:fldCharType="begin"/>
    </w:r>
    <w:r>
      <w:rPr>
        <w:rStyle w:val="42"/>
      </w:rPr>
      <w:instrText xml:space="preserve">PAGE  </w:instrText>
    </w:r>
    <w:r>
      <w:fldChar w:fldCharType="separate"/>
    </w:r>
    <w:r>
      <w:rPr>
        <w:rStyle w:val="42"/>
      </w:rPr>
      <w:t>1</w:t>
    </w:r>
    <w:r>
      <w:fldChar w:fldCharType="end"/>
    </w:r>
  </w:p>
  <w:p>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5"/>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7116"/>
        <w:tab w:val="clear" w:pos="4153"/>
      </w:tabs>
      <w:rPr>
        <w:kern w:val="0"/>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62</w:t>
                    </w:r>
                    <w:r>
                      <w:fldChar w:fldCharType="end"/>
                    </w:r>
                  </w:p>
                </w:txbxContent>
              </v:textbox>
            </v:shape>
          </w:pict>
        </mc:Fallback>
      </mc:AlternateContent>
    </w:r>
    <w:r>
      <w:rPr>
        <w:rFonts w:hint="eastAsia"/>
        <w:kern w:val="0"/>
      </w:rPr>
      <w:tab/>
    </w:r>
  </w:p>
  <w:p>
    <w:pPr>
      <w:pStyle w:val="25"/>
      <w:rPr>
        <w:kern w:val="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right"/>
    </w:pPr>
    <w:r>
      <w:rPr>
        <w:rFonts w:hint="eastAsia"/>
      </w:rPr>
      <w:t>城市地下市政基础设施普查公开招标采购文件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jc w:val="right"/>
      <w:rPr>
        <w:b/>
        <w:color w:val="808080"/>
        <w:w w:val="66"/>
        <w:sz w:val="18"/>
        <w:szCs w:val="18"/>
        <w:u w:val="single"/>
      </w:rPr>
    </w:pPr>
    <w:r>
      <w:rPr>
        <w:rFonts w:hint="eastAsia"/>
        <w:sz w:val="18"/>
        <w:szCs w:val="18"/>
      </w:rPr>
      <w:t>城市地下市政基础设施普查公开招标采购文件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p>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E9E37C"/>
    <w:multiLevelType w:val="singleLevel"/>
    <w:tmpl w:val="F1E9E37C"/>
    <w:lvl w:ilvl="0" w:tentative="0">
      <w:start w:val="1"/>
      <w:numFmt w:val="decimal"/>
      <w:suff w:val="nothing"/>
      <w:lvlText w:val="（%1）"/>
      <w:lvlJc w:val="left"/>
    </w:lvl>
  </w:abstractNum>
  <w:abstractNum w:abstractNumId="1">
    <w:nsid w:val="00000002"/>
    <w:multiLevelType w:val="singleLevel"/>
    <w:tmpl w:val="00000002"/>
    <w:lvl w:ilvl="0" w:tentative="0">
      <w:start w:val="1"/>
      <w:numFmt w:val="decimal"/>
      <w:suff w:val="nothing"/>
      <w:lvlText w:val="%1、"/>
      <w:lvlJc w:val="left"/>
      <w:pPr>
        <w:ind w:left="0"/>
      </w:pPr>
    </w:lvl>
  </w:abstractNum>
  <w:abstractNum w:abstractNumId="2">
    <w:nsid w:val="067A88DC"/>
    <w:multiLevelType w:val="singleLevel"/>
    <w:tmpl w:val="067A88DC"/>
    <w:lvl w:ilvl="0" w:tentative="0">
      <w:start w:val="1"/>
      <w:numFmt w:val="decimalEnclosedCircleChinese"/>
      <w:suff w:val="nothing"/>
      <w:lvlText w:val="%1　"/>
      <w:lvlJc w:val="left"/>
      <w:pPr>
        <w:ind w:left="0" w:firstLine="400"/>
      </w:pPr>
      <w:rPr>
        <w:rFonts w:hint="eastAsia"/>
      </w:rPr>
    </w:lvl>
  </w:abstractNum>
  <w:abstractNum w:abstractNumId="3">
    <w:nsid w:val="1BE00460"/>
    <w:multiLevelType w:val="multilevel"/>
    <w:tmpl w:val="1BE00460"/>
    <w:lvl w:ilvl="0" w:tentative="0">
      <w:start w:val="6"/>
      <w:numFmt w:val="japaneseCounting"/>
      <w:lvlText w:val="%1、"/>
      <w:lvlJc w:val="left"/>
      <w:pPr>
        <w:ind w:left="920" w:hanging="72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4">
    <w:nsid w:val="204416CA"/>
    <w:multiLevelType w:val="multilevel"/>
    <w:tmpl w:val="204416CA"/>
    <w:lvl w:ilvl="0" w:tentative="0">
      <w:start w:val="1"/>
      <w:numFmt w:val="japaneseCounting"/>
      <w:lvlText w:val="（%1）"/>
      <w:lvlJc w:val="left"/>
      <w:pPr>
        <w:ind w:left="864" w:hanging="864"/>
      </w:pPr>
      <w:rPr>
        <w:rFonts w:hint="default"/>
      </w:rPr>
    </w:lvl>
    <w:lvl w:ilvl="1" w:tentative="0">
      <w:start w:val="2"/>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2047B8F"/>
    <w:multiLevelType w:val="multilevel"/>
    <w:tmpl w:val="32047B8F"/>
    <w:lvl w:ilvl="0" w:tentative="0">
      <w:start w:val="1"/>
      <w:numFmt w:val="chineseCountingThousand"/>
      <w:pStyle w:val="116"/>
      <w:suff w:val="nothing"/>
      <w:lvlText w:val="(%1)"/>
      <w:lvlJc w:val="left"/>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6">
    <w:nsid w:val="4FE842D0"/>
    <w:multiLevelType w:val="multilevel"/>
    <w:tmpl w:val="4FE842D0"/>
    <w:lvl w:ilvl="0" w:tentative="0">
      <w:start w:val="1"/>
      <w:numFmt w:val="decimal"/>
      <w:suff w:val="nothing"/>
      <w:lvlText w:val="（%1）"/>
      <w:lvlJc w:val="left"/>
      <w:pPr>
        <w:ind w:left="0" w:firstLine="482"/>
      </w:pPr>
      <w:rPr>
        <w:rFonts w:hint="default" w:ascii="宋体" w:hAnsi="宋体" w:eastAsia="宋体" w:cs="宋体"/>
        <w:b w:val="0"/>
        <w:bCs w:val="0"/>
        <w:i w:val="0"/>
        <w:iCs w:val="0"/>
        <w:spacing w:val="-2"/>
        <w:w w:val="99"/>
        <w:sz w:val="30"/>
        <w:szCs w:val="30"/>
        <w:lang w:val="en-US" w:eastAsia="zh-CN" w:bidi="ar-SA"/>
      </w:rPr>
    </w:lvl>
    <w:lvl w:ilvl="1" w:tentative="0">
      <w:start w:val="1"/>
      <w:numFmt w:val="lowerLetter"/>
      <w:lvlText w:val="%2)"/>
      <w:lvlJc w:val="left"/>
      <w:pPr>
        <w:ind w:left="1519" w:hanging="420"/>
      </w:pPr>
    </w:lvl>
    <w:lvl w:ilvl="2" w:tentative="0">
      <w:start w:val="1"/>
      <w:numFmt w:val="lowerRoman"/>
      <w:lvlText w:val="%3."/>
      <w:lvlJc w:val="right"/>
      <w:pPr>
        <w:ind w:left="1939" w:hanging="420"/>
      </w:pPr>
    </w:lvl>
    <w:lvl w:ilvl="3" w:tentative="0">
      <w:start w:val="1"/>
      <w:numFmt w:val="decimal"/>
      <w:lvlText w:val="%4."/>
      <w:lvlJc w:val="left"/>
      <w:pPr>
        <w:ind w:left="2359" w:hanging="420"/>
      </w:pPr>
    </w:lvl>
    <w:lvl w:ilvl="4" w:tentative="0">
      <w:start w:val="1"/>
      <w:numFmt w:val="lowerLetter"/>
      <w:lvlText w:val="%5)"/>
      <w:lvlJc w:val="left"/>
      <w:pPr>
        <w:ind w:left="2779" w:hanging="420"/>
      </w:pPr>
    </w:lvl>
    <w:lvl w:ilvl="5" w:tentative="0">
      <w:start w:val="1"/>
      <w:numFmt w:val="lowerRoman"/>
      <w:lvlText w:val="%6."/>
      <w:lvlJc w:val="right"/>
      <w:pPr>
        <w:ind w:left="3199" w:hanging="420"/>
      </w:pPr>
    </w:lvl>
    <w:lvl w:ilvl="6" w:tentative="0">
      <w:start w:val="1"/>
      <w:numFmt w:val="decimal"/>
      <w:lvlText w:val="%7."/>
      <w:lvlJc w:val="left"/>
      <w:pPr>
        <w:ind w:left="3619" w:hanging="420"/>
      </w:pPr>
    </w:lvl>
    <w:lvl w:ilvl="7" w:tentative="0">
      <w:start w:val="1"/>
      <w:numFmt w:val="lowerLetter"/>
      <w:lvlText w:val="%8)"/>
      <w:lvlJc w:val="left"/>
      <w:pPr>
        <w:ind w:left="4039" w:hanging="420"/>
      </w:pPr>
    </w:lvl>
    <w:lvl w:ilvl="8" w:tentative="0">
      <w:start w:val="1"/>
      <w:numFmt w:val="lowerRoman"/>
      <w:lvlText w:val="%9."/>
      <w:lvlJc w:val="right"/>
      <w:pPr>
        <w:ind w:left="4459" w:hanging="420"/>
      </w:pPr>
    </w:lvl>
  </w:abstractNum>
  <w:abstractNum w:abstractNumId="7">
    <w:nsid w:val="53F985B4"/>
    <w:multiLevelType w:val="singleLevel"/>
    <w:tmpl w:val="53F985B4"/>
    <w:lvl w:ilvl="0" w:tentative="0">
      <w:start w:val="1"/>
      <w:numFmt w:val="decimal"/>
      <w:lvlText w:val="%1."/>
      <w:lvlJc w:val="left"/>
      <w:pPr>
        <w:tabs>
          <w:tab w:val="left" w:pos="312"/>
        </w:tabs>
      </w:pPr>
    </w:lvl>
  </w:abstractNum>
  <w:abstractNum w:abstractNumId="8">
    <w:nsid w:val="56B4DD29"/>
    <w:multiLevelType w:val="singleLevel"/>
    <w:tmpl w:val="56B4DD29"/>
    <w:lvl w:ilvl="0" w:tentative="0">
      <w:start w:val="1"/>
      <w:numFmt w:val="chineseCounting"/>
      <w:suff w:val="space"/>
      <w:lvlText w:val="第%1条"/>
      <w:lvlJc w:val="left"/>
      <w:rPr>
        <w:rFonts w:hint="eastAsia"/>
      </w:rPr>
    </w:lvl>
  </w:abstractNum>
  <w:abstractNum w:abstractNumId="9">
    <w:nsid w:val="5BE338C7"/>
    <w:multiLevelType w:val="singleLevel"/>
    <w:tmpl w:val="5BE338C7"/>
    <w:lvl w:ilvl="0" w:tentative="0">
      <w:start w:val="1"/>
      <w:numFmt w:val="decimal"/>
      <w:lvlText w:val="%1."/>
      <w:lvlJc w:val="left"/>
      <w:pPr>
        <w:ind w:left="425" w:hanging="425"/>
      </w:pPr>
      <w:rPr>
        <w:rFonts w:hint="default"/>
      </w:rPr>
    </w:lvl>
  </w:abstractNum>
  <w:abstractNum w:abstractNumId="10">
    <w:nsid w:val="613B5FE8"/>
    <w:multiLevelType w:val="multilevel"/>
    <w:tmpl w:val="613B5FE8"/>
    <w:lvl w:ilvl="0" w:tentative="0">
      <w:start w:val="1"/>
      <w:numFmt w:val="decimal"/>
      <w:suff w:val="nothing"/>
      <w:lvlText w:val="（%1）"/>
      <w:lvlJc w:val="left"/>
      <w:pPr>
        <w:ind w:left="0" w:firstLine="482"/>
      </w:pPr>
      <w:rPr>
        <w:rFonts w:hint="default" w:ascii="宋体" w:hAnsi="宋体" w:eastAsia="宋体" w:cs="宋体"/>
        <w:b w:val="0"/>
        <w:bCs w:val="0"/>
        <w:i w:val="0"/>
        <w:iCs w:val="0"/>
        <w:spacing w:val="-2"/>
        <w:w w:val="99"/>
        <w:sz w:val="30"/>
        <w:szCs w:val="30"/>
        <w:lang w:val="en-US" w:eastAsia="zh-CN" w:bidi="ar-SA"/>
      </w:rPr>
    </w:lvl>
    <w:lvl w:ilvl="1" w:tentative="0">
      <w:start w:val="1"/>
      <w:numFmt w:val="lowerLetter"/>
      <w:lvlText w:val="%2)"/>
      <w:lvlJc w:val="left"/>
      <w:pPr>
        <w:ind w:left="1519" w:hanging="420"/>
      </w:pPr>
    </w:lvl>
    <w:lvl w:ilvl="2" w:tentative="0">
      <w:start w:val="1"/>
      <w:numFmt w:val="lowerRoman"/>
      <w:lvlText w:val="%3."/>
      <w:lvlJc w:val="right"/>
      <w:pPr>
        <w:ind w:left="1939" w:hanging="420"/>
      </w:pPr>
    </w:lvl>
    <w:lvl w:ilvl="3" w:tentative="0">
      <w:start w:val="1"/>
      <w:numFmt w:val="decimal"/>
      <w:lvlText w:val="%4."/>
      <w:lvlJc w:val="left"/>
      <w:pPr>
        <w:ind w:left="2359" w:hanging="420"/>
      </w:pPr>
    </w:lvl>
    <w:lvl w:ilvl="4" w:tentative="0">
      <w:start w:val="1"/>
      <w:numFmt w:val="lowerLetter"/>
      <w:lvlText w:val="%5)"/>
      <w:lvlJc w:val="left"/>
      <w:pPr>
        <w:ind w:left="2779" w:hanging="420"/>
      </w:pPr>
    </w:lvl>
    <w:lvl w:ilvl="5" w:tentative="0">
      <w:start w:val="1"/>
      <w:numFmt w:val="lowerRoman"/>
      <w:lvlText w:val="%6."/>
      <w:lvlJc w:val="right"/>
      <w:pPr>
        <w:ind w:left="3199" w:hanging="420"/>
      </w:pPr>
    </w:lvl>
    <w:lvl w:ilvl="6" w:tentative="0">
      <w:start w:val="1"/>
      <w:numFmt w:val="decimal"/>
      <w:lvlText w:val="%7."/>
      <w:lvlJc w:val="left"/>
      <w:pPr>
        <w:ind w:left="3619" w:hanging="420"/>
      </w:pPr>
    </w:lvl>
    <w:lvl w:ilvl="7" w:tentative="0">
      <w:start w:val="1"/>
      <w:numFmt w:val="lowerLetter"/>
      <w:lvlText w:val="%8)"/>
      <w:lvlJc w:val="left"/>
      <w:pPr>
        <w:ind w:left="4039" w:hanging="420"/>
      </w:pPr>
    </w:lvl>
    <w:lvl w:ilvl="8" w:tentative="0">
      <w:start w:val="1"/>
      <w:numFmt w:val="lowerRoman"/>
      <w:lvlText w:val="%9."/>
      <w:lvlJc w:val="right"/>
      <w:pPr>
        <w:ind w:left="4459" w:hanging="420"/>
      </w:pPr>
    </w:lvl>
  </w:abstractNum>
  <w:abstractNum w:abstractNumId="11">
    <w:nsid w:val="73E141F6"/>
    <w:multiLevelType w:val="multilevel"/>
    <w:tmpl w:val="73E141F6"/>
    <w:lvl w:ilvl="0" w:tentative="0">
      <w:start w:val="1"/>
      <w:numFmt w:val="decimal"/>
      <w:suff w:val="nothing"/>
      <w:lvlText w:val="（%1）"/>
      <w:lvlJc w:val="left"/>
      <w:pPr>
        <w:ind w:left="0" w:firstLine="482"/>
      </w:pPr>
      <w:rPr>
        <w:rFonts w:hint="default" w:ascii="宋体" w:hAnsi="宋体" w:eastAsia="宋体" w:cs="宋体"/>
        <w:b w:val="0"/>
        <w:bCs w:val="0"/>
        <w:i w:val="0"/>
        <w:iCs w:val="0"/>
        <w:spacing w:val="-2"/>
        <w:w w:val="99"/>
        <w:sz w:val="30"/>
        <w:szCs w:val="30"/>
        <w:lang w:val="en-US" w:eastAsia="zh-CN" w:bidi="ar-SA"/>
      </w:rPr>
    </w:lvl>
    <w:lvl w:ilvl="1" w:tentative="0">
      <w:start w:val="1"/>
      <w:numFmt w:val="lowerLetter"/>
      <w:lvlText w:val="%2)"/>
      <w:lvlJc w:val="left"/>
      <w:pPr>
        <w:ind w:left="1519" w:hanging="420"/>
      </w:pPr>
    </w:lvl>
    <w:lvl w:ilvl="2" w:tentative="0">
      <w:start w:val="1"/>
      <w:numFmt w:val="lowerRoman"/>
      <w:lvlText w:val="%3."/>
      <w:lvlJc w:val="right"/>
      <w:pPr>
        <w:ind w:left="1939" w:hanging="420"/>
      </w:pPr>
    </w:lvl>
    <w:lvl w:ilvl="3" w:tentative="0">
      <w:start w:val="1"/>
      <w:numFmt w:val="decimal"/>
      <w:lvlText w:val="%4."/>
      <w:lvlJc w:val="left"/>
      <w:pPr>
        <w:ind w:left="2359" w:hanging="420"/>
      </w:pPr>
    </w:lvl>
    <w:lvl w:ilvl="4" w:tentative="0">
      <w:start w:val="1"/>
      <w:numFmt w:val="lowerLetter"/>
      <w:lvlText w:val="%5)"/>
      <w:lvlJc w:val="left"/>
      <w:pPr>
        <w:ind w:left="2779" w:hanging="420"/>
      </w:pPr>
    </w:lvl>
    <w:lvl w:ilvl="5" w:tentative="0">
      <w:start w:val="1"/>
      <w:numFmt w:val="lowerRoman"/>
      <w:lvlText w:val="%6."/>
      <w:lvlJc w:val="right"/>
      <w:pPr>
        <w:ind w:left="3199" w:hanging="420"/>
      </w:pPr>
    </w:lvl>
    <w:lvl w:ilvl="6" w:tentative="0">
      <w:start w:val="1"/>
      <w:numFmt w:val="decimal"/>
      <w:lvlText w:val="%7."/>
      <w:lvlJc w:val="left"/>
      <w:pPr>
        <w:ind w:left="3619" w:hanging="420"/>
      </w:pPr>
    </w:lvl>
    <w:lvl w:ilvl="7" w:tentative="0">
      <w:start w:val="1"/>
      <w:numFmt w:val="lowerLetter"/>
      <w:lvlText w:val="%8)"/>
      <w:lvlJc w:val="left"/>
      <w:pPr>
        <w:ind w:left="4039" w:hanging="420"/>
      </w:pPr>
    </w:lvl>
    <w:lvl w:ilvl="8" w:tentative="0">
      <w:start w:val="1"/>
      <w:numFmt w:val="lowerRoman"/>
      <w:lvlText w:val="%9."/>
      <w:lvlJc w:val="right"/>
      <w:pPr>
        <w:ind w:left="4459" w:hanging="420"/>
      </w:pPr>
    </w:lvl>
  </w:abstractNum>
  <w:num w:numId="1">
    <w:abstractNumId w:val="5"/>
  </w:num>
  <w:num w:numId="2">
    <w:abstractNumId w:val="11"/>
  </w:num>
  <w:num w:numId="3">
    <w:abstractNumId w:val="4"/>
  </w:num>
  <w:num w:numId="4">
    <w:abstractNumId w:val="10"/>
  </w:num>
  <w:num w:numId="5">
    <w:abstractNumId w:val="6"/>
  </w:num>
  <w:num w:numId="6">
    <w:abstractNumId w:val="3"/>
  </w:num>
  <w:num w:numId="7">
    <w:abstractNumId w:val="2"/>
  </w:num>
  <w:num w:numId="8">
    <w:abstractNumId w:val="1"/>
  </w:num>
  <w:num w:numId="9">
    <w:abstractNumId w:val="0"/>
  </w:num>
  <w:num w:numId="10">
    <w:abstractNumId w:val="8"/>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revisionView w:markup="0"/>
  <w:trackRevisions w:val="1"/>
  <w:documentProtection w:enforcement="0"/>
  <w:defaultTabStop w:val="420"/>
  <w:drawingGridHorizontalSpacing w:val="140"/>
  <w:drawingGridVerticalSpacing w:val="38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4C"/>
    <w:rsid w:val="0000113A"/>
    <w:rsid w:val="00001A62"/>
    <w:rsid w:val="000025E8"/>
    <w:rsid w:val="00002763"/>
    <w:rsid w:val="000038F5"/>
    <w:rsid w:val="00003AFC"/>
    <w:rsid w:val="000045AB"/>
    <w:rsid w:val="0000567C"/>
    <w:rsid w:val="00005C2B"/>
    <w:rsid w:val="000062D6"/>
    <w:rsid w:val="00006418"/>
    <w:rsid w:val="0000678E"/>
    <w:rsid w:val="000075B3"/>
    <w:rsid w:val="00007962"/>
    <w:rsid w:val="00010786"/>
    <w:rsid w:val="000121E9"/>
    <w:rsid w:val="000142AF"/>
    <w:rsid w:val="000143B7"/>
    <w:rsid w:val="0001441A"/>
    <w:rsid w:val="0001568D"/>
    <w:rsid w:val="00015B99"/>
    <w:rsid w:val="000161E3"/>
    <w:rsid w:val="000167FE"/>
    <w:rsid w:val="00016EAC"/>
    <w:rsid w:val="00021204"/>
    <w:rsid w:val="000212CE"/>
    <w:rsid w:val="000214F5"/>
    <w:rsid w:val="00023349"/>
    <w:rsid w:val="0002410C"/>
    <w:rsid w:val="00025EE3"/>
    <w:rsid w:val="00026F23"/>
    <w:rsid w:val="000312BF"/>
    <w:rsid w:val="00032197"/>
    <w:rsid w:val="00035176"/>
    <w:rsid w:val="0003531E"/>
    <w:rsid w:val="000358CD"/>
    <w:rsid w:val="00035EC0"/>
    <w:rsid w:val="00035F52"/>
    <w:rsid w:val="000367DC"/>
    <w:rsid w:val="00036813"/>
    <w:rsid w:val="000373E7"/>
    <w:rsid w:val="00040590"/>
    <w:rsid w:val="000407FE"/>
    <w:rsid w:val="00040F4B"/>
    <w:rsid w:val="0004133A"/>
    <w:rsid w:val="0004148F"/>
    <w:rsid w:val="000418A6"/>
    <w:rsid w:val="00041A5A"/>
    <w:rsid w:val="00042046"/>
    <w:rsid w:val="0004332C"/>
    <w:rsid w:val="0004343B"/>
    <w:rsid w:val="00044B76"/>
    <w:rsid w:val="0004658A"/>
    <w:rsid w:val="00046ED4"/>
    <w:rsid w:val="000475BF"/>
    <w:rsid w:val="000504C8"/>
    <w:rsid w:val="000508C8"/>
    <w:rsid w:val="000518FD"/>
    <w:rsid w:val="00052563"/>
    <w:rsid w:val="00053171"/>
    <w:rsid w:val="00053B42"/>
    <w:rsid w:val="00053C32"/>
    <w:rsid w:val="000551B1"/>
    <w:rsid w:val="00055216"/>
    <w:rsid w:val="00055BD1"/>
    <w:rsid w:val="0005648A"/>
    <w:rsid w:val="00057B2B"/>
    <w:rsid w:val="00057E55"/>
    <w:rsid w:val="00061C13"/>
    <w:rsid w:val="00062B14"/>
    <w:rsid w:val="00062D1D"/>
    <w:rsid w:val="0006523C"/>
    <w:rsid w:val="0006533F"/>
    <w:rsid w:val="00066A63"/>
    <w:rsid w:val="000714A2"/>
    <w:rsid w:val="000731B6"/>
    <w:rsid w:val="0007380A"/>
    <w:rsid w:val="0007387A"/>
    <w:rsid w:val="000743DF"/>
    <w:rsid w:val="000743FE"/>
    <w:rsid w:val="00074766"/>
    <w:rsid w:val="00074BB9"/>
    <w:rsid w:val="00074D1B"/>
    <w:rsid w:val="0007563E"/>
    <w:rsid w:val="000757FF"/>
    <w:rsid w:val="00076511"/>
    <w:rsid w:val="00076B66"/>
    <w:rsid w:val="00080343"/>
    <w:rsid w:val="00081F4C"/>
    <w:rsid w:val="00082F7A"/>
    <w:rsid w:val="00083406"/>
    <w:rsid w:val="0008414C"/>
    <w:rsid w:val="000849A6"/>
    <w:rsid w:val="000850FC"/>
    <w:rsid w:val="000855BE"/>
    <w:rsid w:val="00090CA9"/>
    <w:rsid w:val="000918E3"/>
    <w:rsid w:val="00091AA9"/>
    <w:rsid w:val="00093F98"/>
    <w:rsid w:val="00093FAF"/>
    <w:rsid w:val="00094929"/>
    <w:rsid w:val="00094BE4"/>
    <w:rsid w:val="00094C5E"/>
    <w:rsid w:val="00096A8A"/>
    <w:rsid w:val="00097D71"/>
    <w:rsid w:val="000A0EC9"/>
    <w:rsid w:val="000A177A"/>
    <w:rsid w:val="000A2E50"/>
    <w:rsid w:val="000A2FE8"/>
    <w:rsid w:val="000A36BA"/>
    <w:rsid w:val="000A4519"/>
    <w:rsid w:val="000A5430"/>
    <w:rsid w:val="000A67EA"/>
    <w:rsid w:val="000A6F43"/>
    <w:rsid w:val="000A6FE0"/>
    <w:rsid w:val="000A71BC"/>
    <w:rsid w:val="000A7849"/>
    <w:rsid w:val="000B014A"/>
    <w:rsid w:val="000B110F"/>
    <w:rsid w:val="000B1D40"/>
    <w:rsid w:val="000B2944"/>
    <w:rsid w:val="000B2DF9"/>
    <w:rsid w:val="000B3020"/>
    <w:rsid w:val="000B3776"/>
    <w:rsid w:val="000B399B"/>
    <w:rsid w:val="000B39B3"/>
    <w:rsid w:val="000B4FDC"/>
    <w:rsid w:val="000B5117"/>
    <w:rsid w:val="000B57BF"/>
    <w:rsid w:val="000B6D5A"/>
    <w:rsid w:val="000B7333"/>
    <w:rsid w:val="000C0416"/>
    <w:rsid w:val="000C22E9"/>
    <w:rsid w:val="000C255C"/>
    <w:rsid w:val="000C3C97"/>
    <w:rsid w:val="000C4918"/>
    <w:rsid w:val="000C4B62"/>
    <w:rsid w:val="000C5428"/>
    <w:rsid w:val="000C7277"/>
    <w:rsid w:val="000C741B"/>
    <w:rsid w:val="000C74BC"/>
    <w:rsid w:val="000D0152"/>
    <w:rsid w:val="000D0466"/>
    <w:rsid w:val="000D09A8"/>
    <w:rsid w:val="000D1143"/>
    <w:rsid w:val="000D17CB"/>
    <w:rsid w:val="000D25C6"/>
    <w:rsid w:val="000D270E"/>
    <w:rsid w:val="000D2C0B"/>
    <w:rsid w:val="000D394A"/>
    <w:rsid w:val="000D3AC1"/>
    <w:rsid w:val="000D3D20"/>
    <w:rsid w:val="000D3E17"/>
    <w:rsid w:val="000D5447"/>
    <w:rsid w:val="000D6614"/>
    <w:rsid w:val="000D694C"/>
    <w:rsid w:val="000D6958"/>
    <w:rsid w:val="000D76C9"/>
    <w:rsid w:val="000E1EBE"/>
    <w:rsid w:val="000E3129"/>
    <w:rsid w:val="000E31F5"/>
    <w:rsid w:val="000E4CBB"/>
    <w:rsid w:val="000E5B35"/>
    <w:rsid w:val="000E6401"/>
    <w:rsid w:val="000E645B"/>
    <w:rsid w:val="000E694A"/>
    <w:rsid w:val="000F0421"/>
    <w:rsid w:val="000F0A1E"/>
    <w:rsid w:val="000F233E"/>
    <w:rsid w:val="000F364F"/>
    <w:rsid w:val="000F36C7"/>
    <w:rsid w:val="000F39C9"/>
    <w:rsid w:val="000F49D5"/>
    <w:rsid w:val="000F4CED"/>
    <w:rsid w:val="000F679E"/>
    <w:rsid w:val="000F6B72"/>
    <w:rsid w:val="001010C5"/>
    <w:rsid w:val="00101BC7"/>
    <w:rsid w:val="00101C39"/>
    <w:rsid w:val="001025FE"/>
    <w:rsid w:val="001028B9"/>
    <w:rsid w:val="00102DC7"/>
    <w:rsid w:val="00104347"/>
    <w:rsid w:val="001059B3"/>
    <w:rsid w:val="00107100"/>
    <w:rsid w:val="00110431"/>
    <w:rsid w:val="00110E07"/>
    <w:rsid w:val="001110AB"/>
    <w:rsid w:val="00111297"/>
    <w:rsid w:val="001116CA"/>
    <w:rsid w:val="001127DB"/>
    <w:rsid w:val="00112E09"/>
    <w:rsid w:val="00115A23"/>
    <w:rsid w:val="00116A8B"/>
    <w:rsid w:val="00116AC6"/>
    <w:rsid w:val="001177EE"/>
    <w:rsid w:val="001212A5"/>
    <w:rsid w:val="001212F4"/>
    <w:rsid w:val="00121E27"/>
    <w:rsid w:val="00122592"/>
    <w:rsid w:val="0012314B"/>
    <w:rsid w:val="0012330C"/>
    <w:rsid w:val="00123D2D"/>
    <w:rsid w:val="001240BD"/>
    <w:rsid w:val="001249F2"/>
    <w:rsid w:val="00125B2C"/>
    <w:rsid w:val="00130680"/>
    <w:rsid w:val="00131856"/>
    <w:rsid w:val="00131ADF"/>
    <w:rsid w:val="00131E55"/>
    <w:rsid w:val="00131FF8"/>
    <w:rsid w:val="00132A0D"/>
    <w:rsid w:val="00132C01"/>
    <w:rsid w:val="00132EC2"/>
    <w:rsid w:val="00133116"/>
    <w:rsid w:val="001342FB"/>
    <w:rsid w:val="00136018"/>
    <w:rsid w:val="00137AC8"/>
    <w:rsid w:val="00137B24"/>
    <w:rsid w:val="00137B8E"/>
    <w:rsid w:val="001406C6"/>
    <w:rsid w:val="00141735"/>
    <w:rsid w:val="00142D2E"/>
    <w:rsid w:val="00142DF3"/>
    <w:rsid w:val="001444CA"/>
    <w:rsid w:val="00144795"/>
    <w:rsid w:val="00145694"/>
    <w:rsid w:val="0014617C"/>
    <w:rsid w:val="00146710"/>
    <w:rsid w:val="00146779"/>
    <w:rsid w:val="001478F5"/>
    <w:rsid w:val="00150533"/>
    <w:rsid w:val="00151628"/>
    <w:rsid w:val="0015206B"/>
    <w:rsid w:val="00152693"/>
    <w:rsid w:val="00153FE4"/>
    <w:rsid w:val="00154FF6"/>
    <w:rsid w:val="00155DC2"/>
    <w:rsid w:val="001566EE"/>
    <w:rsid w:val="00156912"/>
    <w:rsid w:val="00156D2F"/>
    <w:rsid w:val="0015703D"/>
    <w:rsid w:val="00157AA4"/>
    <w:rsid w:val="00160923"/>
    <w:rsid w:val="00161F65"/>
    <w:rsid w:val="001634EA"/>
    <w:rsid w:val="00165249"/>
    <w:rsid w:val="0016547A"/>
    <w:rsid w:val="00165665"/>
    <w:rsid w:val="001666A3"/>
    <w:rsid w:val="00167450"/>
    <w:rsid w:val="00167574"/>
    <w:rsid w:val="00167936"/>
    <w:rsid w:val="00167BA3"/>
    <w:rsid w:val="001701BD"/>
    <w:rsid w:val="00170D55"/>
    <w:rsid w:val="0017117D"/>
    <w:rsid w:val="00172A27"/>
    <w:rsid w:val="001735E4"/>
    <w:rsid w:val="00173E61"/>
    <w:rsid w:val="001741A7"/>
    <w:rsid w:val="001751A9"/>
    <w:rsid w:val="00175D24"/>
    <w:rsid w:val="0017672C"/>
    <w:rsid w:val="00176E80"/>
    <w:rsid w:val="00176FBF"/>
    <w:rsid w:val="00177171"/>
    <w:rsid w:val="00181917"/>
    <w:rsid w:val="00181990"/>
    <w:rsid w:val="00182399"/>
    <w:rsid w:val="0018285C"/>
    <w:rsid w:val="00182F61"/>
    <w:rsid w:val="0018352A"/>
    <w:rsid w:val="00183CD2"/>
    <w:rsid w:val="00185079"/>
    <w:rsid w:val="0018556A"/>
    <w:rsid w:val="001869DB"/>
    <w:rsid w:val="00186A82"/>
    <w:rsid w:val="00187707"/>
    <w:rsid w:val="00187732"/>
    <w:rsid w:val="001906A0"/>
    <w:rsid w:val="001918E7"/>
    <w:rsid w:val="001922AD"/>
    <w:rsid w:val="001932C0"/>
    <w:rsid w:val="001932E2"/>
    <w:rsid w:val="0019488B"/>
    <w:rsid w:val="001952D0"/>
    <w:rsid w:val="0019597A"/>
    <w:rsid w:val="001A016A"/>
    <w:rsid w:val="001A0318"/>
    <w:rsid w:val="001A2147"/>
    <w:rsid w:val="001A48D0"/>
    <w:rsid w:val="001A4A92"/>
    <w:rsid w:val="001A506F"/>
    <w:rsid w:val="001A5E89"/>
    <w:rsid w:val="001A645F"/>
    <w:rsid w:val="001A71E1"/>
    <w:rsid w:val="001A7D47"/>
    <w:rsid w:val="001B0033"/>
    <w:rsid w:val="001B18DA"/>
    <w:rsid w:val="001B3BE7"/>
    <w:rsid w:val="001B3E56"/>
    <w:rsid w:val="001B537B"/>
    <w:rsid w:val="001B5F43"/>
    <w:rsid w:val="001B661C"/>
    <w:rsid w:val="001B6F58"/>
    <w:rsid w:val="001B7523"/>
    <w:rsid w:val="001C0C95"/>
    <w:rsid w:val="001C150E"/>
    <w:rsid w:val="001C1799"/>
    <w:rsid w:val="001C1A66"/>
    <w:rsid w:val="001C2A1B"/>
    <w:rsid w:val="001C6CD3"/>
    <w:rsid w:val="001C7123"/>
    <w:rsid w:val="001C73F9"/>
    <w:rsid w:val="001D0B98"/>
    <w:rsid w:val="001D259D"/>
    <w:rsid w:val="001D3ECD"/>
    <w:rsid w:val="001D49E5"/>
    <w:rsid w:val="001D4F2E"/>
    <w:rsid w:val="001D51A6"/>
    <w:rsid w:val="001D56C0"/>
    <w:rsid w:val="001D5A1C"/>
    <w:rsid w:val="001D65E5"/>
    <w:rsid w:val="001D7B59"/>
    <w:rsid w:val="001D7DA7"/>
    <w:rsid w:val="001E0E07"/>
    <w:rsid w:val="001E138A"/>
    <w:rsid w:val="001E2C58"/>
    <w:rsid w:val="001E4369"/>
    <w:rsid w:val="001E4D2C"/>
    <w:rsid w:val="001E4DEB"/>
    <w:rsid w:val="001E545A"/>
    <w:rsid w:val="001E5CAB"/>
    <w:rsid w:val="001E72F1"/>
    <w:rsid w:val="001E736E"/>
    <w:rsid w:val="001E745A"/>
    <w:rsid w:val="001E7AF1"/>
    <w:rsid w:val="001F2BF9"/>
    <w:rsid w:val="001F4345"/>
    <w:rsid w:val="001F63E5"/>
    <w:rsid w:val="001F6A4A"/>
    <w:rsid w:val="001F7655"/>
    <w:rsid w:val="00201047"/>
    <w:rsid w:val="002010BB"/>
    <w:rsid w:val="00201546"/>
    <w:rsid w:val="0020204C"/>
    <w:rsid w:val="0020209A"/>
    <w:rsid w:val="00203655"/>
    <w:rsid w:val="00203C02"/>
    <w:rsid w:val="00203FAA"/>
    <w:rsid w:val="002040EA"/>
    <w:rsid w:val="00204B95"/>
    <w:rsid w:val="00205767"/>
    <w:rsid w:val="002063E8"/>
    <w:rsid w:val="00207010"/>
    <w:rsid w:val="00207DBB"/>
    <w:rsid w:val="002127FA"/>
    <w:rsid w:val="00212FEA"/>
    <w:rsid w:val="002157EB"/>
    <w:rsid w:val="002169EE"/>
    <w:rsid w:val="002170F9"/>
    <w:rsid w:val="002206B7"/>
    <w:rsid w:val="00221097"/>
    <w:rsid w:val="00221922"/>
    <w:rsid w:val="00221FF4"/>
    <w:rsid w:val="00223A82"/>
    <w:rsid w:val="00223BC1"/>
    <w:rsid w:val="00224355"/>
    <w:rsid w:val="002244F4"/>
    <w:rsid w:val="00226A22"/>
    <w:rsid w:val="00226D3E"/>
    <w:rsid w:val="0022758F"/>
    <w:rsid w:val="002307E7"/>
    <w:rsid w:val="00231475"/>
    <w:rsid w:val="00232E66"/>
    <w:rsid w:val="00233262"/>
    <w:rsid w:val="0023345E"/>
    <w:rsid w:val="00233537"/>
    <w:rsid w:val="00233D21"/>
    <w:rsid w:val="0023536C"/>
    <w:rsid w:val="00235AA4"/>
    <w:rsid w:val="002364F0"/>
    <w:rsid w:val="002367BF"/>
    <w:rsid w:val="00237E67"/>
    <w:rsid w:val="00240EFE"/>
    <w:rsid w:val="002419F2"/>
    <w:rsid w:val="00242628"/>
    <w:rsid w:val="00242F89"/>
    <w:rsid w:val="00243674"/>
    <w:rsid w:val="002447D0"/>
    <w:rsid w:val="002455C3"/>
    <w:rsid w:val="00250723"/>
    <w:rsid w:val="002513F1"/>
    <w:rsid w:val="00252AAF"/>
    <w:rsid w:val="002530A7"/>
    <w:rsid w:val="00253ADA"/>
    <w:rsid w:val="00254191"/>
    <w:rsid w:val="00254A2F"/>
    <w:rsid w:val="002557C9"/>
    <w:rsid w:val="00256407"/>
    <w:rsid w:val="00257D71"/>
    <w:rsid w:val="00260476"/>
    <w:rsid w:val="0026069B"/>
    <w:rsid w:val="00260A21"/>
    <w:rsid w:val="00261603"/>
    <w:rsid w:val="00261B3A"/>
    <w:rsid w:val="00262099"/>
    <w:rsid w:val="00263321"/>
    <w:rsid w:val="002636CA"/>
    <w:rsid w:val="00263E94"/>
    <w:rsid w:val="002651E0"/>
    <w:rsid w:val="00265F4F"/>
    <w:rsid w:val="002663D3"/>
    <w:rsid w:val="0027015F"/>
    <w:rsid w:val="00270B40"/>
    <w:rsid w:val="00270E92"/>
    <w:rsid w:val="002712DF"/>
    <w:rsid w:val="00271594"/>
    <w:rsid w:val="00272A58"/>
    <w:rsid w:val="00272E02"/>
    <w:rsid w:val="00273364"/>
    <w:rsid w:val="00274DE1"/>
    <w:rsid w:val="00275502"/>
    <w:rsid w:val="0027562F"/>
    <w:rsid w:val="00275AB8"/>
    <w:rsid w:val="00276045"/>
    <w:rsid w:val="00276190"/>
    <w:rsid w:val="0027621C"/>
    <w:rsid w:val="00276678"/>
    <w:rsid w:val="00277A2C"/>
    <w:rsid w:val="00281326"/>
    <w:rsid w:val="00281913"/>
    <w:rsid w:val="00282290"/>
    <w:rsid w:val="00282680"/>
    <w:rsid w:val="00282EEB"/>
    <w:rsid w:val="00282F6F"/>
    <w:rsid w:val="00283C5D"/>
    <w:rsid w:val="0028467F"/>
    <w:rsid w:val="00285932"/>
    <w:rsid w:val="00285989"/>
    <w:rsid w:val="002862EC"/>
    <w:rsid w:val="00286331"/>
    <w:rsid w:val="00286CD4"/>
    <w:rsid w:val="002870EA"/>
    <w:rsid w:val="00287352"/>
    <w:rsid w:val="00290CCD"/>
    <w:rsid w:val="0029158D"/>
    <w:rsid w:val="00291DA2"/>
    <w:rsid w:val="0029202D"/>
    <w:rsid w:val="00292B0C"/>
    <w:rsid w:val="00292F49"/>
    <w:rsid w:val="00294182"/>
    <w:rsid w:val="00294F30"/>
    <w:rsid w:val="00296426"/>
    <w:rsid w:val="002970AD"/>
    <w:rsid w:val="00297BCD"/>
    <w:rsid w:val="00297FE1"/>
    <w:rsid w:val="002A020D"/>
    <w:rsid w:val="002A0956"/>
    <w:rsid w:val="002A12AB"/>
    <w:rsid w:val="002A1F0B"/>
    <w:rsid w:val="002A2462"/>
    <w:rsid w:val="002A278C"/>
    <w:rsid w:val="002A4F23"/>
    <w:rsid w:val="002A4F5F"/>
    <w:rsid w:val="002A5A45"/>
    <w:rsid w:val="002A6EF6"/>
    <w:rsid w:val="002A7D65"/>
    <w:rsid w:val="002B0F78"/>
    <w:rsid w:val="002B1905"/>
    <w:rsid w:val="002B1ED7"/>
    <w:rsid w:val="002B3363"/>
    <w:rsid w:val="002B3519"/>
    <w:rsid w:val="002B3BF2"/>
    <w:rsid w:val="002B4B48"/>
    <w:rsid w:val="002B71FD"/>
    <w:rsid w:val="002B75C7"/>
    <w:rsid w:val="002C1912"/>
    <w:rsid w:val="002C2C9E"/>
    <w:rsid w:val="002C32C5"/>
    <w:rsid w:val="002C3A64"/>
    <w:rsid w:val="002C3CDD"/>
    <w:rsid w:val="002C4BCC"/>
    <w:rsid w:val="002C4C1B"/>
    <w:rsid w:val="002C58E1"/>
    <w:rsid w:val="002C63A2"/>
    <w:rsid w:val="002C72B8"/>
    <w:rsid w:val="002D02DD"/>
    <w:rsid w:val="002D0796"/>
    <w:rsid w:val="002D113A"/>
    <w:rsid w:val="002D187E"/>
    <w:rsid w:val="002D2F04"/>
    <w:rsid w:val="002D2F81"/>
    <w:rsid w:val="002D375E"/>
    <w:rsid w:val="002D4007"/>
    <w:rsid w:val="002D537E"/>
    <w:rsid w:val="002D5869"/>
    <w:rsid w:val="002D622B"/>
    <w:rsid w:val="002E123B"/>
    <w:rsid w:val="002E2C7E"/>
    <w:rsid w:val="002E3126"/>
    <w:rsid w:val="002E3634"/>
    <w:rsid w:val="002E40A2"/>
    <w:rsid w:val="002E4903"/>
    <w:rsid w:val="002E4AC5"/>
    <w:rsid w:val="002E526E"/>
    <w:rsid w:val="002E580A"/>
    <w:rsid w:val="002E7683"/>
    <w:rsid w:val="002E7FDB"/>
    <w:rsid w:val="002F02F5"/>
    <w:rsid w:val="002F09A5"/>
    <w:rsid w:val="002F0B97"/>
    <w:rsid w:val="002F1CBC"/>
    <w:rsid w:val="002F2E05"/>
    <w:rsid w:val="002F3416"/>
    <w:rsid w:val="002F5C67"/>
    <w:rsid w:val="002F659A"/>
    <w:rsid w:val="002F68B9"/>
    <w:rsid w:val="002F7754"/>
    <w:rsid w:val="003003B7"/>
    <w:rsid w:val="00301565"/>
    <w:rsid w:val="00301A6C"/>
    <w:rsid w:val="00301FDD"/>
    <w:rsid w:val="00302585"/>
    <w:rsid w:val="0030259E"/>
    <w:rsid w:val="0030296F"/>
    <w:rsid w:val="00303229"/>
    <w:rsid w:val="003035C0"/>
    <w:rsid w:val="003042CB"/>
    <w:rsid w:val="00305386"/>
    <w:rsid w:val="003058CE"/>
    <w:rsid w:val="00305EFE"/>
    <w:rsid w:val="00310B1F"/>
    <w:rsid w:val="00310D4C"/>
    <w:rsid w:val="003113C0"/>
    <w:rsid w:val="003115C7"/>
    <w:rsid w:val="00312D6E"/>
    <w:rsid w:val="003151B5"/>
    <w:rsid w:val="00316631"/>
    <w:rsid w:val="00316EE6"/>
    <w:rsid w:val="0031709E"/>
    <w:rsid w:val="00320D12"/>
    <w:rsid w:val="003221C5"/>
    <w:rsid w:val="00322300"/>
    <w:rsid w:val="0032268C"/>
    <w:rsid w:val="00325797"/>
    <w:rsid w:val="00325A56"/>
    <w:rsid w:val="00325C77"/>
    <w:rsid w:val="00326636"/>
    <w:rsid w:val="0032679E"/>
    <w:rsid w:val="00326B20"/>
    <w:rsid w:val="00327034"/>
    <w:rsid w:val="003271A7"/>
    <w:rsid w:val="003311B7"/>
    <w:rsid w:val="00332464"/>
    <w:rsid w:val="0033255E"/>
    <w:rsid w:val="00332FC8"/>
    <w:rsid w:val="00333174"/>
    <w:rsid w:val="003334F4"/>
    <w:rsid w:val="0033483A"/>
    <w:rsid w:val="00335B37"/>
    <w:rsid w:val="00336A7A"/>
    <w:rsid w:val="00336C0D"/>
    <w:rsid w:val="00337078"/>
    <w:rsid w:val="00337ACF"/>
    <w:rsid w:val="0034065B"/>
    <w:rsid w:val="00341050"/>
    <w:rsid w:val="00341C09"/>
    <w:rsid w:val="003428A8"/>
    <w:rsid w:val="003428B3"/>
    <w:rsid w:val="00342916"/>
    <w:rsid w:val="00342FDD"/>
    <w:rsid w:val="00343C10"/>
    <w:rsid w:val="00344967"/>
    <w:rsid w:val="00344D35"/>
    <w:rsid w:val="003454C3"/>
    <w:rsid w:val="00345DFB"/>
    <w:rsid w:val="00345F40"/>
    <w:rsid w:val="003479BD"/>
    <w:rsid w:val="003500DE"/>
    <w:rsid w:val="00350BD5"/>
    <w:rsid w:val="0035196B"/>
    <w:rsid w:val="003519F8"/>
    <w:rsid w:val="00351F40"/>
    <w:rsid w:val="003521C4"/>
    <w:rsid w:val="00352909"/>
    <w:rsid w:val="003536B3"/>
    <w:rsid w:val="00353965"/>
    <w:rsid w:val="00353F6A"/>
    <w:rsid w:val="003540FD"/>
    <w:rsid w:val="00354B19"/>
    <w:rsid w:val="0035517E"/>
    <w:rsid w:val="0035604A"/>
    <w:rsid w:val="0035617B"/>
    <w:rsid w:val="003565B7"/>
    <w:rsid w:val="00356D66"/>
    <w:rsid w:val="00357878"/>
    <w:rsid w:val="003579CD"/>
    <w:rsid w:val="003603D1"/>
    <w:rsid w:val="00360793"/>
    <w:rsid w:val="00361A29"/>
    <w:rsid w:val="00361B21"/>
    <w:rsid w:val="0036386C"/>
    <w:rsid w:val="003649CD"/>
    <w:rsid w:val="00364E31"/>
    <w:rsid w:val="0036634A"/>
    <w:rsid w:val="0036635A"/>
    <w:rsid w:val="00366452"/>
    <w:rsid w:val="00366714"/>
    <w:rsid w:val="003667E9"/>
    <w:rsid w:val="00366B58"/>
    <w:rsid w:val="00366C20"/>
    <w:rsid w:val="003711DD"/>
    <w:rsid w:val="00371A3E"/>
    <w:rsid w:val="00372C96"/>
    <w:rsid w:val="0037303F"/>
    <w:rsid w:val="003733D0"/>
    <w:rsid w:val="00374234"/>
    <w:rsid w:val="00374C2F"/>
    <w:rsid w:val="003764D2"/>
    <w:rsid w:val="00381D5F"/>
    <w:rsid w:val="003821B3"/>
    <w:rsid w:val="00382A0A"/>
    <w:rsid w:val="003849B4"/>
    <w:rsid w:val="00386CB1"/>
    <w:rsid w:val="003877EA"/>
    <w:rsid w:val="0038783D"/>
    <w:rsid w:val="00387F9C"/>
    <w:rsid w:val="00392511"/>
    <w:rsid w:val="00392A1E"/>
    <w:rsid w:val="00394823"/>
    <w:rsid w:val="00394B00"/>
    <w:rsid w:val="00394FC9"/>
    <w:rsid w:val="0039570A"/>
    <w:rsid w:val="003A4A68"/>
    <w:rsid w:val="003A5FA6"/>
    <w:rsid w:val="003A776E"/>
    <w:rsid w:val="003B043C"/>
    <w:rsid w:val="003B0E6A"/>
    <w:rsid w:val="003B1615"/>
    <w:rsid w:val="003B3D08"/>
    <w:rsid w:val="003B4EC9"/>
    <w:rsid w:val="003B5A21"/>
    <w:rsid w:val="003B60D0"/>
    <w:rsid w:val="003B6450"/>
    <w:rsid w:val="003B662C"/>
    <w:rsid w:val="003B6736"/>
    <w:rsid w:val="003B696B"/>
    <w:rsid w:val="003B6B3F"/>
    <w:rsid w:val="003B6E91"/>
    <w:rsid w:val="003B79EC"/>
    <w:rsid w:val="003C0041"/>
    <w:rsid w:val="003C0344"/>
    <w:rsid w:val="003C1067"/>
    <w:rsid w:val="003C1A75"/>
    <w:rsid w:val="003C3885"/>
    <w:rsid w:val="003C5DBC"/>
    <w:rsid w:val="003C6393"/>
    <w:rsid w:val="003C795B"/>
    <w:rsid w:val="003D0178"/>
    <w:rsid w:val="003D08A9"/>
    <w:rsid w:val="003D0BDC"/>
    <w:rsid w:val="003D1915"/>
    <w:rsid w:val="003D3C5F"/>
    <w:rsid w:val="003D4AF0"/>
    <w:rsid w:val="003D4C27"/>
    <w:rsid w:val="003D6624"/>
    <w:rsid w:val="003D6F3E"/>
    <w:rsid w:val="003D7443"/>
    <w:rsid w:val="003D7920"/>
    <w:rsid w:val="003E167B"/>
    <w:rsid w:val="003E2860"/>
    <w:rsid w:val="003E309F"/>
    <w:rsid w:val="003E4530"/>
    <w:rsid w:val="003E473D"/>
    <w:rsid w:val="003E5907"/>
    <w:rsid w:val="003E61CD"/>
    <w:rsid w:val="003E63BA"/>
    <w:rsid w:val="003E7145"/>
    <w:rsid w:val="003E794D"/>
    <w:rsid w:val="003F1AAC"/>
    <w:rsid w:val="003F2AED"/>
    <w:rsid w:val="003F38D2"/>
    <w:rsid w:val="003F396E"/>
    <w:rsid w:val="003F3BAF"/>
    <w:rsid w:val="003F505B"/>
    <w:rsid w:val="003F5485"/>
    <w:rsid w:val="003F57C2"/>
    <w:rsid w:val="003F62B4"/>
    <w:rsid w:val="003F6440"/>
    <w:rsid w:val="003F6747"/>
    <w:rsid w:val="003F6ED1"/>
    <w:rsid w:val="003F7544"/>
    <w:rsid w:val="003F7976"/>
    <w:rsid w:val="003F7E17"/>
    <w:rsid w:val="00400694"/>
    <w:rsid w:val="004008B9"/>
    <w:rsid w:val="0040120F"/>
    <w:rsid w:val="00402130"/>
    <w:rsid w:val="00402CE8"/>
    <w:rsid w:val="00402DD3"/>
    <w:rsid w:val="00403A51"/>
    <w:rsid w:val="00403B14"/>
    <w:rsid w:val="00404A74"/>
    <w:rsid w:val="00404B96"/>
    <w:rsid w:val="00405754"/>
    <w:rsid w:val="00405CE2"/>
    <w:rsid w:val="00405E3F"/>
    <w:rsid w:val="00406E6A"/>
    <w:rsid w:val="00407404"/>
    <w:rsid w:val="00407560"/>
    <w:rsid w:val="00407598"/>
    <w:rsid w:val="004100A9"/>
    <w:rsid w:val="0041060C"/>
    <w:rsid w:val="0041151B"/>
    <w:rsid w:val="004115BC"/>
    <w:rsid w:val="004124B4"/>
    <w:rsid w:val="00412EA6"/>
    <w:rsid w:val="00413497"/>
    <w:rsid w:val="00414564"/>
    <w:rsid w:val="004147FD"/>
    <w:rsid w:val="00414932"/>
    <w:rsid w:val="004156F1"/>
    <w:rsid w:val="0041640A"/>
    <w:rsid w:val="00416AA1"/>
    <w:rsid w:val="00416B52"/>
    <w:rsid w:val="00416BE1"/>
    <w:rsid w:val="0041740B"/>
    <w:rsid w:val="00417547"/>
    <w:rsid w:val="00421327"/>
    <w:rsid w:val="00421540"/>
    <w:rsid w:val="00421807"/>
    <w:rsid w:val="00422689"/>
    <w:rsid w:val="00422CDA"/>
    <w:rsid w:val="00423701"/>
    <w:rsid w:val="0042480A"/>
    <w:rsid w:val="00425311"/>
    <w:rsid w:val="004273E5"/>
    <w:rsid w:val="00427AAE"/>
    <w:rsid w:val="00427C70"/>
    <w:rsid w:val="0043032A"/>
    <w:rsid w:val="00430AD2"/>
    <w:rsid w:val="00431BC8"/>
    <w:rsid w:val="00432104"/>
    <w:rsid w:val="00433821"/>
    <w:rsid w:val="004343EC"/>
    <w:rsid w:val="00436018"/>
    <w:rsid w:val="00436119"/>
    <w:rsid w:val="00437041"/>
    <w:rsid w:val="004377A1"/>
    <w:rsid w:val="00441FF9"/>
    <w:rsid w:val="004440FB"/>
    <w:rsid w:val="004445E9"/>
    <w:rsid w:val="004460C8"/>
    <w:rsid w:val="0044639A"/>
    <w:rsid w:val="004467BE"/>
    <w:rsid w:val="00446880"/>
    <w:rsid w:val="00447423"/>
    <w:rsid w:val="00447A2B"/>
    <w:rsid w:val="00447A6F"/>
    <w:rsid w:val="0045063D"/>
    <w:rsid w:val="00450B07"/>
    <w:rsid w:val="00450EE0"/>
    <w:rsid w:val="00451143"/>
    <w:rsid w:val="004526CE"/>
    <w:rsid w:val="0045293A"/>
    <w:rsid w:val="00452D00"/>
    <w:rsid w:val="00453084"/>
    <w:rsid w:val="004530BA"/>
    <w:rsid w:val="00453A78"/>
    <w:rsid w:val="00454920"/>
    <w:rsid w:val="00454FDB"/>
    <w:rsid w:val="004560F4"/>
    <w:rsid w:val="004562A3"/>
    <w:rsid w:val="00460642"/>
    <w:rsid w:val="00460BD7"/>
    <w:rsid w:val="0046127E"/>
    <w:rsid w:val="00461AAF"/>
    <w:rsid w:val="00461D30"/>
    <w:rsid w:val="00462386"/>
    <w:rsid w:val="0046264A"/>
    <w:rsid w:val="00462BB9"/>
    <w:rsid w:val="00462CAD"/>
    <w:rsid w:val="004631BF"/>
    <w:rsid w:val="004631EE"/>
    <w:rsid w:val="00463D37"/>
    <w:rsid w:val="00464326"/>
    <w:rsid w:val="00464B7B"/>
    <w:rsid w:val="0046580C"/>
    <w:rsid w:val="00465ACA"/>
    <w:rsid w:val="00465CED"/>
    <w:rsid w:val="004665AB"/>
    <w:rsid w:val="00466C28"/>
    <w:rsid w:val="004672FF"/>
    <w:rsid w:val="00467B1D"/>
    <w:rsid w:val="00470268"/>
    <w:rsid w:val="00470FF3"/>
    <w:rsid w:val="00472167"/>
    <w:rsid w:val="004721F0"/>
    <w:rsid w:val="00472527"/>
    <w:rsid w:val="004737A9"/>
    <w:rsid w:val="00473E86"/>
    <w:rsid w:val="00474741"/>
    <w:rsid w:val="00474B23"/>
    <w:rsid w:val="00474F8A"/>
    <w:rsid w:val="004751F2"/>
    <w:rsid w:val="00476E46"/>
    <w:rsid w:val="0047763F"/>
    <w:rsid w:val="00480FD6"/>
    <w:rsid w:val="00481512"/>
    <w:rsid w:val="00481A95"/>
    <w:rsid w:val="00481B90"/>
    <w:rsid w:val="00482356"/>
    <w:rsid w:val="00482925"/>
    <w:rsid w:val="00482AFB"/>
    <w:rsid w:val="00482DC0"/>
    <w:rsid w:val="00482F93"/>
    <w:rsid w:val="00483B68"/>
    <w:rsid w:val="00484391"/>
    <w:rsid w:val="004845BA"/>
    <w:rsid w:val="004859BD"/>
    <w:rsid w:val="004906BD"/>
    <w:rsid w:val="0049170A"/>
    <w:rsid w:val="004921A4"/>
    <w:rsid w:val="004928C9"/>
    <w:rsid w:val="00493122"/>
    <w:rsid w:val="0049334A"/>
    <w:rsid w:val="00493E43"/>
    <w:rsid w:val="00494347"/>
    <w:rsid w:val="00494814"/>
    <w:rsid w:val="00494FE1"/>
    <w:rsid w:val="004959CE"/>
    <w:rsid w:val="00495C4E"/>
    <w:rsid w:val="00495DCE"/>
    <w:rsid w:val="00495FCC"/>
    <w:rsid w:val="00496090"/>
    <w:rsid w:val="0049681F"/>
    <w:rsid w:val="0049738C"/>
    <w:rsid w:val="00497E88"/>
    <w:rsid w:val="004A050D"/>
    <w:rsid w:val="004A104E"/>
    <w:rsid w:val="004A146B"/>
    <w:rsid w:val="004A16CE"/>
    <w:rsid w:val="004A1723"/>
    <w:rsid w:val="004A182D"/>
    <w:rsid w:val="004A1E4C"/>
    <w:rsid w:val="004A2234"/>
    <w:rsid w:val="004A22EE"/>
    <w:rsid w:val="004A25A3"/>
    <w:rsid w:val="004A2C03"/>
    <w:rsid w:val="004A3031"/>
    <w:rsid w:val="004A3243"/>
    <w:rsid w:val="004A5960"/>
    <w:rsid w:val="004A5DA9"/>
    <w:rsid w:val="004A66F0"/>
    <w:rsid w:val="004A7260"/>
    <w:rsid w:val="004B1082"/>
    <w:rsid w:val="004B108E"/>
    <w:rsid w:val="004B111A"/>
    <w:rsid w:val="004B2FA9"/>
    <w:rsid w:val="004B4169"/>
    <w:rsid w:val="004B41AC"/>
    <w:rsid w:val="004B4CEA"/>
    <w:rsid w:val="004B6297"/>
    <w:rsid w:val="004C0896"/>
    <w:rsid w:val="004C1E7A"/>
    <w:rsid w:val="004C20A0"/>
    <w:rsid w:val="004C21BD"/>
    <w:rsid w:val="004C3EB0"/>
    <w:rsid w:val="004C483B"/>
    <w:rsid w:val="004C5B3F"/>
    <w:rsid w:val="004C5FD8"/>
    <w:rsid w:val="004C63B1"/>
    <w:rsid w:val="004D054B"/>
    <w:rsid w:val="004D180E"/>
    <w:rsid w:val="004D1CA9"/>
    <w:rsid w:val="004D23CD"/>
    <w:rsid w:val="004D3B9A"/>
    <w:rsid w:val="004D6427"/>
    <w:rsid w:val="004D6BD3"/>
    <w:rsid w:val="004E0269"/>
    <w:rsid w:val="004E0581"/>
    <w:rsid w:val="004E0B40"/>
    <w:rsid w:val="004E1F80"/>
    <w:rsid w:val="004E2425"/>
    <w:rsid w:val="004E31B0"/>
    <w:rsid w:val="004E3BC7"/>
    <w:rsid w:val="004E445D"/>
    <w:rsid w:val="004E4D2C"/>
    <w:rsid w:val="004E5AAE"/>
    <w:rsid w:val="004E6161"/>
    <w:rsid w:val="004E6B2E"/>
    <w:rsid w:val="004F0191"/>
    <w:rsid w:val="004F09FA"/>
    <w:rsid w:val="004F1035"/>
    <w:rsid w:val="004F1E28"/>
    <w:rsid w:val="004F3561"/>
    <w:rsid w:val="004F3573"/>
    <w:rsid w:val="004F4779"/>
    <w:rsid w:val="004F4FD9"/>
    <w:rsid w:val="004F5674"/>
    <w:rsid w:val="004F5999"/>
    <w:rsid w:val="004F62C9"/>
    <w:rsid w:val="004F7196"/>
    <w:rsid w:val="00500505"/>
    <w:rsid w:val="00501255"/>
    <w:rsid w:val="005018E2"/>
    <w:rsid w:val="005023E2"/>
    <w:rsid w:val="005023E5"/>
    <w:rsid w:val="00503807"/>
    <w:rsid w:val="00504DA6"/>
    <w:rsid w:val="00504F9C"/>
    <w:rsid w:val="0050551C"/>
    <w:rsid w:val="0050619B"/>
    <w:rsid w:val="005062EC"/>
    <w:rsid w:val="00506587"/>
    <w:rsid w:val="00506E4E"/>
    <w:rsid w:val="0050750C"/>
    <w:rsid w:val="00510799"/>
    <w:rsid w:val="00510C8D"/>
    <w:rsid w:val="00512D71"/>
    <w:rsid w:val="0051355D"/>
    <w:rsid w:val="00513EB6"/>
    <w:rsid w:val="00513FD3"/>
    <w:rsid w:val="0051419A"/>
    <w:rsid w:val="00514556"/>
    <w:rsid w:val="005154FB"/>
    <w:rsid w:val="005157D8"/>
    <w:rsid w:val="00516A43"/>
    <w:rsid w:val="00516D30"/>
    <w:rsid w:val="00517263"/>
    <w:rsid w:val="00517642"/>
    <w:rsid w:val="00517BE8"/>
    <w:rsid w:val="00517CB4"/>
    <w:rsid w:val="005213CB"/>
    <w:rsid w:val="0052294B"/>
    <w:rsid w:val="005233E0"/>
    <w:rsid w:val="005234A5"/>
    <w:rsid w:val="00523862"/>
    <w:rsid w:val="005255D7"/>
    <w:rsid w:val="005258F8"/>
    <w:rsid w:val="00526054"/>
    <w:rsid w:val="00526874"/>
    <w:rsid w:val="00526C2D"/>
    <w:rsid w:val="0052705A"/>
    <w:rsid w:val="00527BD2"/>
    <w:rsid w:val="0053094A"/>
    <w:rsid w:val="005314FC"/>
    <w:rsid w:val="0053320B"/>
    <w:rsid w:val="005332F6"/>
    <w:rsid w:val="00533565"/>
    <w:rsid w:val="005340FD"/>
    <w:rsid w:val="00534930"/>
    <w:rsid w:val="00536932"/>
    <w:rsid w:val="0054046A"/>
    <w:rsid w:val="0054109B"/>
    <w:rsid w:val="005410A1"/>
    <w:rsid w:val="00541549"/>
    <w:rsid w:val="00541F42"/>
    <w:rsid w:val="00542708"/>
    <w:rsid w:val="00542B4F"/>
    <w:rsid w:val="00543151"/>
    <w:rsid w:val="005440E8"/>
    <w:rsid w:val="00544831"/>
    <w:rsid w:val="00544AD1"/>
    <w:rsid w:val="00544B60"/>
    <w:rsid w:val="005455FA"/>
    <w:rsid w:val="00545984"/>
    <w:rsid w:val="005464CF"/>
    <w:rsid w:val="005479CF"/>
    <w:rsid w:val="00551DDF"/>
    <w:rsid w:val="00551ED7"/>
    <w:rsid w:val="005529B2"/>
    <w:rsid w:val="00552F49"/>
    <w:rsid w:val="00553167"/>
    <w:rsid w:val="00554B1B"/>
    <w:rsid w:val="0055520B"/>
    <w:rsid w:val="00555310"/>
    <w:rsid w:val="00555450"/>
    <w:rsid w:val="00556F85"/>
    <w:rsid w:val="0055707A"/>
    <w:rsid w:val="005570B3"/>
    <w:rsid w:val="00557DBF"/>
    <w:rsid w:val="005604FC"/>
    <w:rsid w:val="00560661"/>
    <w:rsid w:val="005606E2"/>
    <w:rsid w:val="005607B2"/>
    <w:rsid w:val="00560B59"/>
    <w:rsid w:val="00560DA4"/>
    <w:rsid w:val="00560FEB"/>
    <w:rsid w:val="005610BF"/>
    <w:rsid w:val="00562774"/>
    <w:rsid w:val="005637C9"/>
    <w:rsid w:val="00565FD5"/>
    <w:rsid w:val="00566241"/>
    <w:rsid w:val="005704BD"/>
    <w:rsid w:val="005721E8"/>
    <w:rsid w:val="005729EB"/>
    <w:rsid w:val="00573023"/>
    <w:rsid w:val="00573BDB"/>
    <w:rsid w:val="005740C0"/>
    <w:rsid w:val="005745CA"/>
    <w:rsid w:val="00574AA3"/>
    <w:rsid w:val="005751E3"/>
    <w:rsid w:val="00576103"/>
    <w:rsid w:val="0057729A"/>
    <w:rsid w:val="00580F04"/>
    <w:rsid w:val="0058280E"/>
    <w:rsid w:val="005844BE"/>
    <w:rsid w:val="00584B90"/>
    <w:rsid w:val="00584C85"/>
    <w:rsid w:val="0058554B"/>
    <w:rsid w:val="0058566D"/>
    <w:rsid w:val="0058571D"/>
    <w:rsid w:val="005863BD"/>
    <w:rsid w:val="00586F23"/>
    <w:rsid w:val="00587246"/>
    <w:rsid w:val="00587B0C"/>
    <w:rsid w:val="00587F53"/>
    <w:rsid w:val="0059126F"/>
    <w:rsid w:val="00591D00"/>
    <w:rsid w:val="00596A53"/>
    <w:rsid w:val="00597492"/>
    <w:rsid w:val="00597D16"/>
    <w:rsid w:val="005A19B7"/>
    <w:rsid w:val="005A2058"/>
    <w:rsid w:val="005A20C9"/>
    <w:rsid w:val="005A336F"/>
    <w:rsid w:val="005A47D8"/>
    <w:rsid w:val="005A556F"/>
    <w:rsid w:val="005A57B3"/>
    <w:rsid w:val="005A5C21"/>
    <w:rsid w:val="005A617C"/>
    <w:rsid w:val="005A6DA3"/>
    <w:rsid w:val="005A75E5"/>
    <w:rsid w:val="005B0923"/>
    <w:rsid w:val="005B21E5"/>
    <w:rsid w:val="005B2726"/>
    <w:rsid w:val="005B2B14"/>
    <w:rsid w:val="005B3430"/>
    <w:rsid w:val="005B3727"/>
    <w:rsid w:val="005B43F7"/>
    <w:rsid w:val="005B64E2"/>
    <w:rsid w:val="005B7EB0"/>
    <w:rsid w:val="005C0A66"/>
    <w:rsid w:val="005C153D"/>
    <w:rsid w:val="005C1F6A"/>
    <w:rsid w:val="005C2BEC"/>
    <w:rsid w:val="005C302A"/>
    <w:rsid w:val="005C3CEA"/>
    <w:rsid w:val="005C4D2E"/>
    <w:rsid w:val="005C4F22"/>
    <w:rsid w:val="005C513A"/>
    <w:rsid w:val="005C5616"/>
    <w:rsid w:val="005C5B8D"/>
    <w:rsid w:val="005C6AC8"/>
    <w:rsid w:val="005D0823"/>
    <w:rsid w:val="005D1123"/>
    <w:rsid w:val="005D173E"/>
    <w:rsid w:val="005D252E"/>
    <w:rsid w:val="005D3361"/>
    <w:rsid w:val="005D3841"/>
    <w:rsid w:val="005D3E67"/>
    <w:rsid w:val="005D5505"/>
    <w:rsid w:val="005D5740"/>
    <w:rsid w:val="005D580A"/>
    <w:rsid w:val="005D5CA3"/>
    <w:rsid w:val="005D5FC8"/>
    <w:rsid w:val="005E0024"/>
    <w:rsid w:val="005E15F8"/>
    <w:rsid w:val="005E2579"/>
    <w:rsid w:val="005E2871"/>
    <w:rsid w:val="005E2FFE"/>
    <w:rsid w:val="005E45B1"/>
    <w:rsid w:val="005E4FD7"/>
    <w:rsid w:val="005E5313"/>
    <w:rsid w:val="005E5629"/>
    <w:rsid w:val="005E5AA1"/>
    <w:rsid w:val="005E70C8"/>
    <w:rsid w:val="005E7376"/>
    <w:rsid w:val="005F1924"/>
    <w:rsid w:val="005F1EB0"/>
    <w:rsid w:val="005F2A3A"/>
    <w:rsid w:val="005F307A"/>
    <w:rsid w:val="005F324E"/>
    <w:rsid w:val="005F3351"/>
    <w:rsid w:val="005F3BEF"/>
    <w:rsid w:val="005F4318"/>
    <w:rsid w:val="005F6369"/>
    <w:rsid w:val="005F6572"/>
    <w:rsid w:val="005F697D"/>
    <w:rsid w:val="005F7123"/>
    <w:rsid w:val="00601369"/>
    <w:rsid w:val="006026A5"/>
    <w:rsid w:val="0060377D"/>
    <w:rsid w:val="006039ED"/>
    <w:rsid w:val="00604360"/>
    <w:rsid w:val="006047D3"/>
    <w:rsid w:val="00604900"/>
    <w:rsid w:val="0060494C"/>
    <w:rsid w:val="00604E7A"/>
    <w:rsid w:val="00604FE4"/>
    <w:rsid w:val="00605029"/>
    <w:rsid w:val="00606A17"/>
    <w:rsid w:val="0061090E"/>
    <w:rsid w:val="00611387"/>
    <w:rsid w:val="006117F1"/>
    <w:rsid w:val="00611819"/>
    <w:rsid w:val="0061258F"/>
    <w:rsid w:val="006157BA"/>
    <w:rsid w:val="006167B7"/>
    <w:rsid w:val="006167D9"/>
    <w:rsid w:val="00616ACB"/>
    <w:rsid w:val="00616C46"/>
    <w:rsid w:val="0061753A"/>
    <w:rsid w:val="00617B0F"/>
    <w:rsid w:val="00617B75"/>
    <w:rsid w:val="006201F3"/>
    <w:rsid w:val="00621098"/>
    <w:rsid w:val="006223AC"/>
    <w:rsid w:val="00622A19"/>
    <w:rsid w:val="00623CD5"/>
    <w:rsid w:val="0062488E"/>
    <w:rsid w:val="006264F1"/>
    <w:rsid w:val="0062700D"/>
    <w:rsid w:val="0063038A"/>
    <w:rsid w:val="00630FD3"/>
    <w:rsid w:val="0063155E"/>
    <w:rsid w:val="0063172B"/>
    <w:rsid w:val="0063177F"/>
    <w:rsid w:val="006332DF"/>
    <w:rsid w:val="00633CCF"/>
    <w:rsid w:val="006348EE"/>
    <w:rsid w:val="006356B7"/>
    <w:rsid w:val="00635881"/>
    <w:rsid w:val="006358C9"/>
    <w:rsid w:val="0063591C"/>
    <w:rsid w:val="00637225"/>
    <w:rsid w:val="00637B9E"/>
    <w:rsid w:val="00637F9C"/>
    <w:rsid w:val="006407FF"/>
    <w:rsid w:val="006418FA"/>
    <w:rsid w:val="00641CB2"/>
    <w:rsid w:val="006423C7"/>
    <w:rsid w:val="00642A3A"/>
    <w:rsid w:val="00642DF5"/>
    <w:rsid w:val="006443C1"/>
    <w:rsid w:val="00644B80"/>
    <w:rsid w:val="00645096"/>
    <w:rsid w:val="006454EF"/>
    <w:rsid w:val="00645A8D"/>
    <w:rsid w:val="00645BAF"/>
    <w:rsid w:val="0064656B"/>
    <w:rsid w:val="00646832"/>
    <w:rsid w:val="006478C6"/>
    <w:rsid w:val="006503D6"/>
    <w:rsid w:val="00650847"/>
    <w:rsid w:val="0065225F"/>
    <w:rsid w:val="00654BDD"/>
    <w:rsid w:val="00655666"/>
    <w:rsid w:val="006557D4"/>
    <w:rsid w:val="00656EA0"/>
    <w:rsid w:val="00656EBC"/>
    <w:rsid w:val="006570FC"/>
    <w:rsid w:val="00657DCC"/>
    <w:rsid w:val="006609B0"/>
    <w:rsid w:val="006609B3"/>
    <w:rsid w:val="0066204B"/>
    <w:rsid w:val="00662094"/>
    <w:rsid w:val="00662A4F"/>
    <w:rsid w:val="00662C9A"/>
    <w:rsid w:val="00662F6C"/>
    <w:rsid w:val="00663817"/>
    <w:rsid w:val="00663F52"/>
    <w:rsid w:val="006652C8"/>
    <w:rsid w:val="00665C1F"/>
    <w:rsid w:val="006670E5"/>
    <w:rsid w:val="00667379"/>
    <w:rsid w:val="006676D3"/>
    <w:rsid w:val="006706E5"/>
    <w:rsid w:val="00670F0B"/>
    <w:rsid w:val="0067132A"/>
    <w:rsid w:val="0067279F"/>
    <w:rsid w:val="006759D7"/>
    <w:rsid w:val="00675CE6"/>
    <w:rsid w:val="006766C0"/>
    <w:rsid w:val="00677E86"/>
    <w:rsid w:val="00680C05"/>
    <w:rsid w:val="0068161F"/>
    <w:rsid w:val="00681BA9"/>
    <w:rsid w:val="006828D2"/>
    <w:rsid w:val="00683111"/>
    <w:rsid w:val="00683C98"/>
    <w:rsid w:val="006842B9"/>
    <w:rsid w:val="0068452E"/>
    <w:rsid w:val="00684B5A"/>
    <w:rsid w:val="00685F0B"/>
    <w:rsid w:val="00686A75"/>
    <w:rsid w:val="00686B7A"/>
    <w:rsid w:val="00687D5D"/>
    <w:rsid w:val="00690546"/>
    <w:rsid w:val="006912BD"/>
    <w:rsid w:val="00691F92"/>
    <w:rsid w:val="00692589"/>
    <w:rsid w:val="00692825"/>
    <w:rsid w:val="00692A85"/>
    <w:rsid w:val="006936ED"/>
    <w:rsid w:val="00693775"/>
    <w:rsid w:val="00693E34"/>
    <w:rsid w:val="00694878"/>
    <w:rsid w:val="00694960"/>
    <w:rsid w:val="006951E1"/>
    <w:rsid w:val="006957BA"/>
    <w:rsid w:val="006959C4"/>
    <w:rsid w:val="006961E6"/>
    <w:rsid w:val="0069626C"/>
    <w:rsid w:val="006977CC"/>
    <w:rsid w:val="00697B5B"/>
    <w:rsid w:val="006A1160"/>
    <w:rsid w:val="006A205B"/>
    <w:rsid w:val="006A25E3"/>
    <w:rsid w:val="006A2A6B"/>
    <w:rsid w:val="006A3004"/>
    <w:rsid w:val="006A309E"/>
    <w:rsid w:val="006A3FE3"/>
    <w:rsid w:val="006A40BC"/>
    <w:rsid w:val="006A420B"/>
    <w:rsid w:val="006A4349"/>
    <w:rsid w:val="006A51D9"/>
    <w:rsid w:val="006A7306"/>
    <w:rsid w:val="006A7E66"/>
    <w:rsid w:val="006B0425"/>
    <w:rsid w:val="006B0CCC"/>
    <w:rsid w:val="006B16CE"/>
    <w:rsid w:val="006B180A"/>
    <w:rsid w:val="006B1979"/>
    <w:rsid w:val="006B1E82"/>
    <w:rsid w:val="006B3076"/>
    <w:rsid w:val="006B3221"/>
    <w:rsid w:val="006B39A1"/>
    <w:rsid w:val="006B3CD0"/>
    <w:rsid w:val="006B3FA7"/>
    <w:rsid w:val="006B48D1"/>
    <w:rsid w:val="006B500F"/>
    <w:rsid w:val="006B5A13"/>
    <w:rsid w:val="006B79A5"/>
    <w:rsid w:val="006C0469"/>
    <w:rsid w:val="006C0A50"/>
    <w:rsid w:val="006C0B0B"/>
    <w:rsid w:val="006C0D1A"/>
    <w:rsid w:val="006C13E5"/>
    <w:rsid w:val="006C28B3"/>
    <w:rsid w:val="006C373B"/>
    <w:rsid w:val="006C418A"/>
    <w:rsid w:val="006C5533"/>
    <w:rsid w:val="006C60FC"/>
    <w:rsid w:val="006C648E"/>
    <w:rsid w:val="006C6FFA"/>
    <w:rsid w:val="006C754C"/>
    <w:rsid w:val="006C7797"/>
    <w:rsid w:val="006D035D"/>
    <w:rsid w:val="006D15A9"/>
    <w:rsid w:val="006D176A"/>
    <w:rsid w:val="006D2D3D"/>
    <w:rsid w:val="006D3BD1"/>
    <w:rsid w:val="006D3E93"/>
    <w:rsid w:val="006D42AE"/>
    <w:rsid w:val="006D47A5"/>
    <w:rsid w:val="006D4AFF"/>
    <w:rsid w:val="006D4C74"/>
    <w:rsid w:val="006D50D0"/>
    <w:rsid w:val="006D58FD"/>
    <w:rsid w:val="006D5A4A"/>
    <w:rsid w:val="006D7507"/>
    <w:rsid w:val="006D7C10"/>
    <w:rsid w:val="006E049F"/>
    <w:rsid w:val="006E1E3B"/>
    <w:rsid w:val="006E27E4"/>
    <w:rsid w:val="006E3B15"/>
    <w:rsid w:val="006E5609"/>
    <w:rsid w:val="006E60C7"/>
    <w:rsid w:val="006E6814"/>
    <w:rsid w:val="006E6F09"/>
    <w:rsid w:val="006E7FF1"/>
    <w:rsid w:val="006F157E"/>
    <w:rsid w:val="006F23B1"/>
    <w:rsid w:val="006F2698"/>
    <w:rsid w:val="006F2E9F"/>
    <w:rsid w:val="006F30E5"/>
    <w:rsid w:val="006F37C7"/>
    <w:rsid w:val="006F601C"/>
    <w:rsid w:val="006F6BC9"/>
    <w:rsid w:val="006F6DFF"/>
    <w:rsid w:val="006F716F"/>
    <w:rsid w:val="006F72E3"/>
    <w:rsid w:val="006F7470"/>
    <w:rsid w:val="006F77AE"/>
    <w:rsid w:val="00700509"/>
    <w:rsid w:val="00700D65"/>
    <w:rsid w:val="00701070"/>
    <w:rsid w:val="007019AD"/>
    <w:rsid w:val="00701C8C"/>
    <w:rsid w:val="0070290A"/>
    <w:rsid w:val="00702968"/>
    <w:rsid w:val="007056D7"/>
    <w:rsid w:val="00705A53"/>
    <w:rsid w:val="00705A6F"/>
    <w:rsid w:val="007064AF"/>
    <w:rsid w:val="00706B23"/>
    <w:rsid w:val="0070740D"/>
    <w:rsid w:val="00707AE5"/>
    <w:rsid w:val="00707EAE"/>
    <w:rsid w:val="00707F6D"/>
    <w:rsid w:val="007107EF"/>
    <w:rsid w:val="00711279"/>
    <w:rsid w:val="00711901"/>
    <w:rsid w:val="007119FD"/>
    <w:rsid w:val="007129EC"/>
    <w:rsid w:val="007138E6"/>
    <w:rsid w:val="00713E14"/>
    <w:rsid w:val="00714139"/>
    <w:rsid w:val="00715FDA"/>
    <w:rsid w:val="007174AA"/>
    <w:rsid w:val="007174AB"/>
    <w:rsid w:val="007200AB"/>
    <w:rsid w:val="007202EB"/>
    <w:rsid w:val="007211A8"/>
    <w:rsid w:val="00721D23"/>
    <w:rsid w:val="0072281B"/>
    <w:rsid w:val="00722BCC"/>
    <w:rsid w:val="00722EFB"/>
    <w:rsid w:val="007241A5"/>
    <w:rsid w:val="007246B3"/>
    <w:rsid w:val="007252D2"/>
    <w:rsid w:val="007255A2"/>
    <w:rsid w:val="00725B9B"/>
    <w:rsid w:val="007260C4"/>
    <w:rsid w:val="0073076E"/>
    <w:rsid w:val="00730F6F"/>
    <w:rsid w:val="007330CF"/>
    <w:rsid w:val="007349E0"/>
    <w:rsid w:val="007357FA"/>
    <w:rsid w:val="0073596F"/>
    <w:rsid w:val="00736927"/>
    <w:rsid w:val="00736ED5"/>
    <w:rsid w:val="0073744D"/>
    <w:rsid w:val="00737F91"/>
    <w:rsid w:val="0074003F"/>
    <w:rsid w:val="00740312"/>
    <w:rsid w:val="0074076D"/>
    <w:rsid w:val="007409B3"/>
    <w:rsid w:val="00740B92"/>
    <w:rsid w:val="00740CEA"/>
    <w:rsid w:val="00741623"/>
    <w:rsid w:val="00741EED"/>
    <w:rsid w:val="007422C9"/>
    <w:rsid w:val="007432BB"/>
    <w:rsid w:val="00743349"/>
    <w:rsid w:val="00743385"/>
    <w:rsid w:val="00744021"/>
    <w:rsid w:val="00745110"/>
    <w:rsid w:val="00745801"/>
    <w:rsid w:val="00745F72"/>
    <w:rsid w:val="00746462"/>
    <w:rsid w:val="007466D4"/>
    <w:rsid w:val="00746DFE"/>
    <w:rsid w:val="00746FB5"/>
    <w:rsid w:val="007476EE"/>
    <w:rsid w:val="00747F06"/>
    <w:rsid w:val="00750D8C"/>
    <w:rsid w:val="00751E58"/>
    <w:rsid w:val="00752548"/>
    <w:rsid w:val="00753FDC"/>
    <w:rsid w:val="007549BE"/>
    <w:rsid w:val="0075502E"/>
    <w:rsid w:val="00755933"/>
    <w:rsid w:val="00755D17"/>
    <w:rsid w:val="0075667E"/>
    <w:rsid w:val="0075694B"/>
    <w:rsid w:val="00760616"/>
    <w:rsid w:val="00760E04"/>
    <w:rsid w:val="0076161D"/>
    <w:rsid w:val="00762A9B"/>
    <w:rsid w:val="00763082"/>
    <w:rsid w:val="007637EB"/>
    <w:rsid w:val="00763C4A"/>
    <w:rsid w:val="00764075"/>
    <w:rsid w:val="007652F2"/>
    <w:rsid w:val="00766DB7"/>
    <w:rsid w:val="00770F65"/>
    <w:rsid w:val="007725EF"/>
    <w:rsid w:val="00772B7D"/>
    <w:rsid w:val="00773089"/>
    <w:rsid w:val="00775500"/>
    <w:rsid w:val="00775B09"/>
    <w:rsid w:val="00775DDD"/>
    <w:rsid w:val="00780FEC"/>
    <w:rsid w:val="00781121"/>
    <w:rsid w:val="00781D2F"/>
    <w:rsid w:val="00783533"/>
    <w:rsid w:val="00783731"/>
    <w:rsid w:val="007850B6"/>
    <w:rsid w:val="007852F7"/>
    <w:rsid w:val="007853D5"/>
    <w:rsid w:val="00787607"/>
    <w:rsid w:val="00787A35"/>
    <w:rsid w:val="00790EF9"/>
    <w:rsid w:val="00792D21"/>
    <w:rsid w:val="00792F64"/>
    <w:rsid w:val="007940B9"/>
    <w:rsid w:val="007941C3"/>
    <w:rsid w:val="0079425F"/>
    <w:rsid w:val="00794B67"/>
    <w:rsid w:val="00795159"/>
    <w:rsid w:val="00796707"/>
    <w:rsid w:val="00796BFA"/>
    <w:rsid w:val="00797AE5"/>
    <w:rsid w:val="007A12E8"/>
    <w:rsid w:val="007A1618"/>
    <w:rsid w:val="007A357A"/>
    <w:rsid w:val="007A375B"/>
    <w:rsid w:val="007A5C49"/>
    <w:rsid w:val="007A62D2"/>
    <w:rsid w:val="007A7AAF"/>
    <w:rsid w:val="007B16E8"/>
    <w:rsid w:val="007B1D90"/>
    <w:rsid w:val="007B214E"/>
    <w:rsid w:val="007B2249"/>
    <w:rsid w:val="007B2671"/>
    <w:rsid w:val="007B31DA"/>
    <w:rsid w:val="007B323C"/>
    <w:rsid w:val="007B35DF"/>
    <w:rsid w:val="007B38BA"/>
    <w:rsid w:val="007B3A7F"/>
    <w:rsid w:val="007B3CD4"/>
    <w:rsid w:val="007B46EF"/>
    <w:rsid w:val="007B69DA"/>
    <w:rsid w:val="007B74F4"/>
    <w:rsid w:val="007B7930"/>
    <w:rsid w:val="007C1D75"/>
    <w:rsid w:val="007C26AF"/>
    <w:rsid w:val="007C2F12"/>
    <w:rsid w:val="007C382B"/>
    <w:rsid w:val="007C4781"/>
    <w:rsid w:val="007C4E02"/>
    <w:rsid w:val="007C51EF"/>
    <w:rsid w:val="007C5740"/>
    <w:rsid w:val="007C67C3"/>
    <w:rsid w:val="007D04D5"/>
    <w:rsid w:val="007D240C"/>
    <w:rsid w:val="007D2844"/>
    <w:rsid w:val="007D4A1F"/>
    <w:rsid w:val="007D5A96"/>
    <w:rsid w:val="007D6272"/>
    <w:rsid w:val="007D6C6A"/>
    <w:rsid w:val="007D71B2"/>
    <w:rsid w:val="007D7D2D"/>
    <w:rsid w:val="007E0097"/>
    <w:rsid w:val="007E0EF3"/>
    <w:rsid w:val="007E1699"/>
    <w:rsid w:val="007E2ACC"/>
    <w:rsid w:val="007E2CE7"/>
    <w:rsid w:val="007E324E"/>
    <w:rsid w:val="007E3335"/>
    <w:rsid w:val="007E34F0"/>
    <w:rsid w:val="007E4F1E"/>
    <w:rsid w:val="007E52CF"/>
    <w:rsid w:val="007E60CB"/>
    <w:rsid w:val="007E66A3"/>
    <w:rsid w:val="007E7391"/>
    <w:rsid w:val="007E7F56"/>
    <w:rsid w:val="007F073E"/>
    <w:rsid w:val="007F0B73"/>
    <w:rsid w:val="007F13EF"/>
    <w:rsid w:val="007F1AF7"/>
    <w:rsid w:val="007F22D3"/>
    <w:rsid w:val="007F3587"/>
    <w:rsid w:val="007F3C02"/>
    <w:rsid w:val="007F3F2B"/>
    <w:rsid w:val="007F52E6"/>
    <w:rsid w:val="007F55AC"/>
    <w:rsid w:val="007F5B23"/>
    <w:rsid w:val="007F6024"/>
    <w:rsid w:val="007F6297"/>
    <w:rsid w:val="007F63DA"/>
    <w:rsid w:val="007F72E3"/>
    <w:rsid w:val="00800308"/>
    <w:rsid w:val="00800F87"/>
    <w:rsid w:val="00802421"/>
    <w:rsid w:val="008024FC"/>
    <w:rsid w:val="00802F1F"/>
    <w:rsid w:val="00803621"/>
    <w:rsid w:val="008039D1"/>
    <w:rsid w:val="00804350"/>
    <w:rsid w:val="00804CC3"/>
    <w:rsid w:val="0081100F"/>
    <w:rsid w:val="00811EF0"/>
    <w:rsid w:val="0081270B"/>
    <w:rsid w:val="00812B75"/>
    <w:rsid w:val="0081330B"/>
    <w:rsid w:val="008138A0"/>
    <w:rsid w:val="00813E3B"/>
    <w:rsid w:val="00813EC8"/>
    <w:rsid w:val="00815662"/>
    <w:rsid w:val="00815ACF"/>
    <w:rsid w:val="0081618F"/>
    <w:rsid w:val="0081675B"/>
    <w:rsid w:val="00816B57"/>
    <w:rsid w:val="00816CCE"/>
    <w:rsid w:val="00816D63"/>
    <w:rsid w:val="0081766C"/>
    <w:rsid w:val="0082083F"/>
    <w:rsid w:val="00821933"/>
    <w:rsid w:val="00821C84"/>
    <w:rsid w:val="00822760"/>
    <w:rsid w:val="00822D43"/>
    <w:rsid w:val="00823D56"/>
    <w:rsid w:val="00825874"/>
    <w:rsid w:val="00825D4D"/>
    <w:rsid w:val="00826073"/>
    <w:rsid w:val="00826BF8"/>
    <w:rsid w:val="00827E50"/>
    <w:rsid w:val="00827F47"/>
    <w:rsid w:val="00830E8A"/>
    <w:rsid w:val="00831C21"/>
    <w:rsid w:val="008328FA"/>
    <w:rsid w:val="00832C7A"/>
    <w:rsid w:val="008334E8"/>
    <w:rsid w:val="00833580"/>
    <w:rsid w:val="008335D4"/>
    <w:rsid w:val="00833EB4"/>
    <w:rsid w:val="0083487C"/>
    <w:rsid w:val="008349B7"/>
    <w:rsid w:val="00834E9B"/>
    <w:rsid w:val="00834FF1"/>
    <w:rsid w:val="008361FD"/>
    <w:rsid w:val="008362A7"/>
    <w:rsid w:val="0083656F"/>
    <w:rsid w:val="008367C3"/>
    <w:rsid w:val="00840008"/>
    <w:rsid w:val="008405BA"/>
    <w:rsid w:val="0084064F"/>
    <w:rsid w:val="00840B36"/>
    <w:rsid w:val="00840DB6"/>
    <w:rsid w:val="00841E72"/>
    <w:rsid w:val="00842205"/>
    <w:rsid w:val="008426B6"/>
    <w:rsid w:val="00842D4F"/>
    <w:rsid w:val="0084307B"/>
    <w:rsid w:val="00843579"/>
    <w:rsid w:val="00843C32"/>
    <w:rsid w:val="00844581"/>
    <w:rsid w:val="008446E5"/>
    <w:rsid w:val="00844905"/>
    <w:rsid w:val="0084494D"/>
    <w:rsid w:val="00844F92"/>
    <w:rsid w:val="00845ACD"/>
    <w:rsid w:val="00846C38"/>
    <w:rsid w:val="0084709D"/>
    <w:rsid w:val="008474F4"/>
    <w:rsid w:val="00847F7B"/>
    <w:rsid w:val="00850933"/>
    <w:rsid w:val="008521A3"/>
    <w:rsid w:val="008522F7"/>
    <w:rsid w:val="0085243A"/>
    <w:rsid w:val="00855EB1"/>
    <w:rsid w:val="00857BCF"/>
    <w:rsid w:val="00860E13"/>
    <w:rsid w:val="008615D5"/>
    <w:rsid w:val="008632EF"/>
    <w:rsid w:val="00863507"/>
    <w:rsid w:val="0086396B"/>
    <w:rsid w:val="00865366"/>
    <w:rsid w:val="00866D9D"/>
    <w:rsid w:val="00867494"/>
    <w:rsid w:val="00867F01"/>
    <w:rsid w:val="008701F8"/>
    <w:rsid w:val="008704FF"/>
    <w:rsid w:val="00870663"/>
    <w:rsid w:val="00870CF2"/>
    <w:rsid w:val="00871672"/>
    <w:rsid w:val="00871767"/>
    <w:rsid w:val="0087178D"/>
    <w:rsid w:val="00871F74"/>
    <w:rsid w:val="00872936"/>
    <w:rsid w:val="00872C5E"/>
    <w:rsid w:val="00872E6F"/>
    <w:rsid w:val="008769F7"/>
    <w:rsid w:val="00876F62"/>
    <w:rsid w:val="008773A5"/>
    <w:rsid w:val="008773DF"/>
    <w:rsid w:val="00877B21"/>
    <w:rsid w:val="00877B9B"/>
    <w:rsid w:val="00877EAD"/>
    <w:rsid w:val="008813F6"/>
    <w:rsid w:val="0088336D"/>
    <w:rsid w:val="00883791"/>
    <w:rsid w:val="00884A32"/>
    <w:rsid w:val="00884A92"/>
    <w:rsid w:val="00885049"/>
    <w:rsid w:val="008854B9"/>
    <w:rsid w:val="00886C00"/>
    <w:rsid w:val="00886E72"/>
    <w:rsid w:val="00890059"/>
    <w:rsid w:val="00890C29"/>
    <w:rsid w:val="00890DB3"/>
    <w:rsid w:val="00890DE1"/>
    <w:rsid w:val="00892242"/>
    <w:rsid w:val="008930F2"/>
    <w:rsid w:val="0089334C"/>
    <w:rsid w:val="00893795"/>
    <w:rsid w:val="00894082"/>
    <w:rsid w:val="008945FA"/>
    <w:rsid w:val="0089667C"/>
    <w:rsid w:val="00897B49"/>
    <w:rsid w:val="008A06B4"/>
    <w:rsid w:val="008A0C97"/>
    <w:rsid w:val="008A0E64"/>
    <w:rsid w:val="008A0F71"/>
    <w:rsid w:val="008A2FBC"/>
    <w:rsid w:val="008A397A"/>
    <w:rsid w:val="008A5088"/>
    <w:rsid w:val="008A5CE5"/>
    <w:rsid w:val="008A5E9F"/>
    <w:rsid w:val="008A7763"/>
    <w:rsid w:val="008A7A30"/>
    <w:rsid w:val="008B0B13"/>
    <w:rsid w:val="008B0BE5"/>
    <w:rsid w:val="008B0D47"/>
    <w:rsid w:val="008B3497"/>
    <w:rsid w:val="008B58B0"/>
    <w:rsid w:val="008B64CD"/>
    <w:rsid w:val="008B6675"/>
    <w:rsid w:val="008B7F2F"/>
    <w:rsid w:val="008C160F"/>
    <w:rsid w:val="008C1FF2"/>
    <w:rsid w:val="008C4297"/>
    <w:rsid w:val="008C4975"/>
    <w:rsid w:val="008C5C63"/>
    <w:rsid w:val="008C5EC0"/>
    <w:rsid w:val="008C6EB8"/>
    <w:rsid w:val="008D3131"/>
    <w:rsid w:val="008D35EB"/>
    <w:rsid w:val="008D4002"/>
    <w:rsid w:val="008D4435"/>
    <w:rsid w:val="008D61BC"/>
    <w:rsid w:val="008D64D7"/>
    <w:rsid w:val="008D677A"/>
    <w:rsid w:val="008D6913"/>
    <w:rsid w:val="008D6A81"/>
    <w:rsid w:val="008D6D09"/>
    <w:rsid w:val="008D78C8"/>
    <w:rsid w:val="008D7C03"/>
    <w:rsid w:val="008E037D"/>
    <w:rsid w:val="008E0AC7"/>
    <w:rsid w:val="008E0FD0"/>
    <w:rsid w:val="008E2CA0"/>
    <w:rsid w:val="008E532F"/>
    <w:rsid w:val="008E5CAE"/>
    <w:rsid w:val="008E6165"/>
    <w:rsid w:val="008E6761"/>
    <w:rsid w:val="008E6F0F"/>
    <w:rsid w:val="008E767D"/>
    <w:rsid w:val="008E7EFD"/>
    <w:rsid w:val="008E7FE0"/>
    <w:rsid w:val="008F08A9"/>
    <w:rsid w:val="008F0C5F"/>
    <w:rsid w:val="008F24FF"/>
    <w:rsid w:val="008F274D"/>
    <w:rsid w:val="008F2B49"/>
    <w:rsid w:val="008F2C1E"/>
    <w:rsid w:val="008F3BEA"/>
    <w:rsid w:val="008F49CE"/>
    <w:rsid w:val="008F5439"/>
    <w:rsid w:val="008F5769"/>
    <w:rsid w:val="008F5EE6"/>
    <w:rsid w:val="008F64F2"/>
    <w:rsid w:val="00900BFC"/>
    <w:rsid w:val="009021D7"/>
    <w:rsid w:val="00902601"/>
    <w:rsid w:val="009029C7"/>
    <w:rsid w:val="00903060"/>
    <w:rsid w:val="00903199"/>
    <w:rsid w:val="00903408"/>
    <w:rsid w:val="00904CCF"/>
    <w:rsid w:val="00905295"/>
    <w:rsid w:val="0090557F"/>
    <w:rsid w:val="00905CCE"/>
    <w:rsid w:val="0090682E"/>
    <w:rsid w:val="00907235"/>
    <w:rsid w:val="00907BA5"/>
    <w:rsid w:val="0091017C"/>
    <w:rsid w:val="00912B53"/>
    <w:rsid w:val="00912CB4"/>
    <w:rsid w:val="00912F4E"/>
    <w:rsid w:val="0091337D"/>
    <w:rsid w:val="009137B2"/>
    <w:rsid w:val="00913E5D"/>
    <w:rsid w:val="00913FFA"/>
    <w:rsid w:val="0091450C"/>
    <w:rsid w:val="0091569B"/>
    <w:rsid w:val="00917299"/>
    <w:rsid w:val="00917BDB"/>
    <w:rsid w:val="0092005B"/>
    <w:rsid w:val="009202E3"/>
    <w:rsid w:val="0092044D"/>
    <w:rsid w:val="00920453"/>
    <w:rsid w:val="00920D8B"/>
    <w:rsid w:val="00920DA8"/>
    <w:rsid w:val="00920F3E"/>
    <w:rsid w:val="0092166A"/>
    <w:rsid w:val="00922D15"/>
    <w:rsid w:val="00925247"/>
    <w:rsid w:val="00925CD5"/>
    <w:rsid w:val="00925ED6"/>
    <w:rsid w:val="00926E70"/>
    <w:rsid w:val="009275D0"/>
    <w:rsid w:val="00927B57"/>
    <w:rsid w:val="00927C22"/>
    <w:rsid w:val="00927E7B"/>
    <w:rsid w:val="00931BE4"/>
    <w:rsid w:val="00931D38"/>
    <w:rsid w:val="00932005"/>
    <w:rsid w:val="00932554"/>
    <w:rsid w:val="00932638"/>
    <w:rsid w:val="00933DB6"/>
    <w:rsid w:val="00934C32"/>
    <w:rsid w:val="009354D4"/>
    <w:rsid w:val="00935642"/>
    <w:rsid w:val="00936EF2"/>
    <w:rsid w:val="00940528"/>
    <w:rsid w:val="00940FB0"/>
    <w:rsid w:val="00942703"/>
    <w:rsid w:val="0094280A"/>
    <w:rsid w:val="009428DE"/>
    <w:rsid w:val="00943701"/>
    <w:rsid w:val="009437EC"/>
    <w:rsid w:val="00943F2E"/>
    <w:rsid w:val="00944657"/>
    <w:rsid w:val="00944DF0"/>
    <w:rsid w:val="0094552D"/>
    <w:rsid w:val="00945937"/>
    <w:rsid w:val="0095182F"/>
    <w:rsid w:val="00952B74"/>
    <w:rsid w:val="00953397"/>
    <w:rsid w:val="00953D49"/>
    <w:rsid w:val="00954F7E"/>
    <w:rsid w:val="0095509F"/>
    <w:rsid w:val="009567F1"/>
    <w:rsid w:val="00956DF5"/>
    <w:rsid w:val="00956E1E"/>
    <w:rsid w:val="00956F0E"/>
    <w:rsid w:val="009603D9"/>
    <w:rsid w:val="00960553"/>
    <w:rsid w:val="0096176D"/>
    <w:rsid w:val="00961788"/>
    <w:rsid w:val="009619BB"/>
    <w:rsid w:val="00962A07"/>
    <w:rsid w:val="00962BFA"/>
    <w:rsid w:val="00962CB5"/>
    <w:rsid w:val="00963585"/>
    <w:rsid w:val="00963864"/>
    <w:rsid w:val="009643C8"/>
    <w:rsid w:val="00966D4F"/>
    <w:rsid w:val="009670C2"/>
    <w:rsid w:val="0096718F"/>
    <w:rsid w:val="0097094E"/>
    <w:rsid w:val="00970FFB"/>
    <w:rsid w:val="00971C8A"/>
    <w:rsid w:val="009726AD"/>
    <w:rsid w:val="00973321"/>
    <w:rsid w:val="00973950"/>
    <w:rsid w:val="00974C35"/>
    <w:rsid w:val="009752D6"/>
    <w:rsid w:val="00975B0C"/>
    <w:rsid w:val="009762CE"/>
    <w:rsid w:val="00976EFC"/>
    <w:rsid w:val="00977883"/>
    <w:rsid w:val="00977D1B"/>
    <w:rsid w:val="0098131D"/>
    <w:rsid w:val="009813B3"/>
    <w:rsid w:val="00981478"/>
    <w:rsid w:val="00982E5A"/>
    <w:rsid w:val="00982EA5"/>
    <w:rsid w:val="009833B6"/>
    <w:rsid w:val="00985CFE"/>
    <w:rsid w:val="00985E8B"/>
    <w:rsid w:val="009862B0"/>
    <w:rsid w:val="00987584"/>
    <w:rsid w:val="009877A2"/>
    <w:rsid w:val="0099002A"/>
    <w:rsid w:val="00991A31"/>
    <w:rsid w:val="0099269E"/>
    <w:rsid w:val="00992AFC"/>
    <w:rsid w:val="00993707"/>
    <w:rsid w:val="00993FF2"/>
    <w:rsid w:val="00995472"/>
    <w:rsid w:val="00995AA1"/>
    <w:rsid w:val="00997928"/>
    <w:rsid w:val="009A011D"/>
    <w:rsid w:val="009A0304"/>
    <w:rsid w:val="009A12AA"/>
    <w:rsid w:val="009A2555"/>
    <w:rsid w:val="009A25E2"/>
    <w:rsid w:val="009A2F42"/>
    <w:rsid w:val="009A3201"/>
    <w:rsid w:val="009A35AF"/>
    <w:rsid w:val="009A37E2"/>
    <w:rsid w:val="009A3860"/>
    <w:rsid w:val="009A3BB4"/>
    <w:rsid w:val="009A3EDF"/>
    <w:rsid w:val="009A423E"/>
    <w:rsid w:val="009A4569"/>
    <w:rsid w:val="009A53BA"/>
    <w:rsid w:val="009A562A"/>
    <w:rsid w:val="009A5CF1"/>
    <w:rsid w:val="009A74B9"/>
    <w:rsid w:val="009A7504"/>
    <w:rsid w:val="009A7DC7"/>
    <w:rsid w:val="009B165E"/>
    <w:rsid w:val="009B18D3"/>
    <w:rsid w:val="009B2224"/>
    <w:rsid w:val="009B292B"/>
    <w:rsid w:val="009B302B"/>
    <w:rsid w:val="009B3A7E"/>
    <w:rsid w:val="009B410F"/>
    <w:rsid w:val="009B4270"/>
    <w:rsid w:val="009B46B9"/>
    <w:rsid w:val="009B57D5"/>
    <w:rsid w:val="009B5DBE"/>
    <w:rsid w:val="009B61B6"/>
    <w:rsid w:val="009B6578"/>
    <w:rsid w:val="009B7F03"/>
    <w:rsid w:val="009B7F1E"/>
    <w:rsid w:val="009C15D2"/>
    <w:rsid w:val="009C1979"/>
    <w:rsid w:val="009C22A0"/>
    <w:rsid w:val="009C29A1"/>
    <w:rsid w:val="009C307A"/>
    <w:rsid w:val="009C3834"/>
    <w:rsid w:val="009C3871"/>
    <w:rsid w:val="009C458E"/>
    <w:rsid w:val="009C565F"/>
    <w:rsid w:val="009C589D"/>
    <w:rsid w:val="009C6C30"/>
    <w:rsid w:val="009C6EC1"/>
    <w:rsid w:val="009C793D"/>
    <w:rsid w:val="009C7B17"/>
    <w:rsid w:val="009C7ED1"/>
    <w:rsid w:val="009D0430"/>
    <w:rsid w:val="009D0EED"/>
    <w:rsid w:val="009D0F55"/>
    <w:rsid w:val="009D161E"/>
    <w:rsid w:val="009D1DD5"/>
    <w:rsid w:val="009D1FD7"/>
    <w:rsid w:val="009D232B"/>
    <w:rsid w:val="009D2415"/>
    <w:rsid w:val="009D2621"/>
    <w:rsid w:val="009D31CD"/>
    <w:rsid w:val="009D3743"/>
    <w:rsid w:val="009D4EE3"/>
    <w:rsid w:val="009D54BC"/>
    <w:rsid w:val="009D568A"/>
    <w:rsid w:val="009D715B"/>
    <w:rsid w:val="009D7E58"/>
    <w:rsid w:val="009E0D11"/>
    <w:rsid w:val="009E1442"/>
    <w:rsid w:val="009E1706"/>
    <w:rsid w:val="009E1739"/>
    <w:rsid w:val="009E2719"/>
    <w:rsid w:val="009E2B21"/>
    <w:rsid w:val="009E3A38"/>
    <w:rsid w:val="009E4500"/>
    <w:rsid w:val="009E591A"/>
    <w:rsid w:val="009E5A4B"/>
    <w:rsid w:val="009E5B72"/>
    <w:rsid w:val="009E5B7B"/>
    <w:rsid w:val="009E63E9"/>
    <w:rsid w:val="009E6F0B"/>
    <w:rsid w:val="009F278A"/>
    <w:rsid w:val="009F4265"/>
    <w:rsid w:val="009F460E"/>
    <w:rsid w:val="009F4CC9"/>
    <w:rsid w:val="009F5E53"/>
    <w:rsid w:val="009F5ED5"/>
    <w:rsid w:val="009F62BA"/>
    <w:rsid w:val="009F671C"/>
    <w:rsid w:val="009F6AA6"/>
    <w:rsid w:val="009F7108"/>
    <w:rsid w:val="009F74F0"/>
    <w:rsid w:val="00A00DBD"/>
    <w:rsid w:val="00A02BB4"/>
    <w:rsid w:val="00A0371D"/>
    <w:rsid w:val="00A03C75"/>
    <w:rsid w:val="00A03FBB"/>
    <w:rsid w:val="00A05499"/>
    <w:rsid w:val="00A12084"/>
    <w:rsid w:val="00A122D5"/>
    <w:rsid w:val="00A12D28"/>
    <w:rsid w:val="00A12DD1"/>
    <w:rsid w:val="00A155B4"/>
    <w:rsid w:val="00A15670"/>
    <w:rsid w:val="00A17212"/>
    <w:rsid w:val="00A173B9"/>
    <w:rsid w:val="00A206BE"/>
    <w:rsid w:val="00A21272"/>
    <w:rsid w:val="00A212D5"/>
    <w:rsid w:val="00A213E6"/>
    <w:rsid w:val="00A21C2D"/>
    <w:rsid w:val="00A22681"/>
    <w:rsid w:val="00A23D79"/>
    <w:rsid w:val="00A24A4C"/>
    <w:rsid w:val="00A24B43"/>
    <w:rsid w:val="00A25073"/>
    <w:rsid w:val="00A2552E"/>
    <w:rsid w:val="00A2588F"/>
    <w:rsid w:val="00A259F4"/>
    <w:rsid w:val="00A2685E"/>
    <w:rsid w:val="00A304F2"/>
    <w:rsid w:val="00A30CFD"/>
    <w:rsid w:val="00A31355"/>
    <w:rsid w:val="00A31999"/>
    <w:rsid w:val="00A32429"/>
    <w:rsid w:val="00A329CA"/>
    <w:rsid w:val="00A32AE4"/>
    <w:rsid w:val="00A32C1C"/>
    <w:rsid w:val="00A3305E"/>
    <w:rsid w:val="00A34F54"/>
    <w:rsid w:val="00A358C8"/>
    <w:rsid w:val="00A3607F"/>
    <w:rsid w:val="00A36B12"/>
    <w:rsid w:val="00A36B84"/>
    <w:rsid w:val="00A40127"/>
    <w:rsid w:val="00A40A39"/>
    <w:rsid w:val="00A41730"/>
    <w:rsid w:val="00A438E7"/>
    <w:rsid w:val="00A43C30"/>
    <w:rsid w:val="00A43C85"/>
    <w:rsid w:val="00A4436F"/>
    <w:rsid w:val="00A44792"/>
    <w:rsid w:val="00A45A08"/>
    <w:rsid w:val="00A46B75"/>
    <w:rsid w:val="00A509C9"/>
    <w:rsid w:val="00A532EC"/>
    <w:rsid w:val="00A53601"/>
    <w:rsid w:val="00A53BE4"/>
    <w:rsid w:val="00A53C60"/>
    <w:rsid w:val="00A5590C"/>
    <w:rsid w:val="00A56386"/>
    <w:rsid w:val="00A57A1F"/>
    <w:rsid w:val="00A6001D"/>
    <w:rsid w:val="00A60900"/>
    <w:rsid w:val="00A60F4C"/>
    <w:rsid w:val="00A628B2"/>
    <w:rsid w:val="00A63346"/>
    <w:rsid w:val="00A640D4"/>
    <w:rsid w:val="00A6434D"/>
    <w:rsid w:val="00A64DA4"/>
    <w:rsid w:val="00A6509D"/>
    <w:rsid w:val="00A65154"/>
    <w:rsid w:val="00A66252"/>
    <w:rsid w:val="00A6682E"/>
    <w:rsid w:val="00A66F17"/>
    <w:rsid w:val="00A67DAE"/>
    <w:rsid w:val="00A70D8E"/>
    <w:rsid w:val="00A714D1"/>
    <w:rsid w:val="00A71531"/>
    <w:rsid w:val="00A7162B"/>
    <w:rsid w:val="00A71A4C"/>
    <w:rsid w:val="00A71E8E"/>
    <w:rsid w:val="00A71FBA"/>
    <w:rsid w:val="00A739E2"/>
    <w:rsid w:val="00A7463F"/>
    <w:rsid w:val="00A763AE"/>
    <w:rsid w:val="00A775C7"/>
    <w:rsid w:val="00A77823"/>
    <w:rsid w:val="00A778C6"/>
    <w:rsid w:val="00A801A5"/>
    <w:rsid w:val="00A803E7"/>
    <w:rsid w:val="00A816C5"/>
    <w:rsid w:val="00A82C17"/>
    <w:rsid w:val="00A83951"/>
    <w:rsid w:val="00A873BD"/>
    <w:rsid w:val="00A87A69"/>
    <w:rsid w:val="00A9016B"/>
    <w:rsid w:val="00A90FAF"/>
    <w:rsid w:val="00A92AF1"/>
    <w:rsid w:val="00A92B9C"/>
    <w:rsid w:val="00A9381C"/>
    <w:rsid w:val="00A94D96"/>
    <w:rsid w:val="00A95FB6"/>
    <w:rsid w:val="00A963E3"/>
    <w:rsid w:val="00A96758"/>
    <w:rsid w:val="00AA0F1D"/>
    <w:rsid w:val="00AA12D2"/>
    <w:rsid w:val="00AA20B4"/>
    <w:rsid w:val="00AA4DA0"/>
    <w:rsid w:val="00AA5264"/>
    <w:rsid w:val="00AA549B"/>
    <w:rsid w:val="00AA5BE8"/>
    <w:rsid w:val="00AA64A9"/>
    <w:rsid w:val="00AA7331"/>
    <w:rsid w:val="00AA736D"/>
    <w:rsid w:val="00AB0040"/>
    <w:rsid w:val="00AB01A7"/>
    <w:rsid w:val="00AB0DFC"/>
    <w:rsid w:val="00AB10EF"/>
    <w:rsid w:val="00AB22FB"/>
    <w:rsid w:val="00AB2D4B"/>
    <w:rsid w:val="00AB39EC"/>
    <w:rsid w:val="00AB3AEA"/>
    <w:rsid w:val="00AB3CB5"/>
    <w:rsid w:val="00AB4DD6"/>
    <w:rsid w:val="00AB52C9"/>
    <w:rsid w:val="00AB6CE6"/>
    <w:rsid w:val="00AB70BD"/>
    <w:rsid w:val="00AB72E0"/>
    <w:rsid w:val="00AB7917"/>
    <w:rsid w:val="00AC097C"/>
    <w:rsid w:val="00AC1390"/>
    <w:rsid w:val="00AC27CB"/>
    <w:rsid w:val="00AC2DA3"/>
    <w:rsid w:val="00AC3DA8"/>
    <w:rsid w:val="00AC547F"/>
    <w:rsid w:val="00AC67F7"/>
    <w:rsid w:val="00AC6DBF"/>
    <w:rsid w:val="00AD01E3"/>
    <w:rsid w:val="00AD1F5C"/>
    <w:rsid w:val="00AD25EC"/>
    <w:rsid w:val="00AD355B"/>
    <w:rsid w:val="00AD36BF"/>
    <w:rsid w:val="00AD4506"/>
    <w:rsid w:val="00AD4A15"/>
    <w:rsid w:val="00AD4B94"/>
    <w:rsid w:val="00AD4E32"/>
    <w:rsid w:val="00AD4EEA"/>
    <w:rsid w:val="00AD52BF"/>
    <w:rsid w:val="00AD627C"/>
    <w:rsid w:val="00AD6762"/>
    <w:rsid w:val="00AD747A"/>
    <w:rsid w:val="00AD7696"/>
    <w:rsid w:val="00AE0410"/>
    <w:rsid w:val="00AE10D6"/>
    <w:rsid w:val="00AE116F"/>
    <w:rsid w:val="00AE1F78"/>
    <w:rsid w:val="00AE29FC"/>
    <w:rsid w:val="00AE3CE5"/>
    <w:rsid w:val="00AE3F68"/>
    <w:rsid w:val="00AE580C"/>
    <w:rsid w:val="00AE63AA"/>
    <w:rsid w:val="00AE746B"/>
    <w:rsid w:val="00AE777D"/>
    <w:rsid w:val="00AE7B27"/>
    <w:rsid w:val="00AE7D6E"/>
    <w:rsid w:val="00AF0504"/>
    <w:rsid w:val="00AF1658"/>
    <w:rsid w:val="00AF19CB"/>
    <w:rsid w:val="00AF1C20"/>
    <w:rsid w:val="00AF2402"/>
    <w:rsid w:val="00AF3FDB"/>
    <w:rsid w:val="00AF47FA"/>
    <w:rsid w:val="00AF582D"/>
    <w:rsid w:val="00AF606C"/>
    <w:rsid w:val="00AF7007"/>
    <w:rsid w:val="00AF7593"/>
    <w:rsid w:val="00AF7D99"/>
    <w:rsid w:val="00B016BE"/>
    <w:rsid w:val="00B019B8"/>
    <w:rsid w:val="00B01C85"/>
    <w:rsid w:val="00B02358"/>
    <w:rsid w:val="00B0292A"/>
    <w:rsid w:val="00B02EF2"/>
    <w:rsid w:val="00B02F7C"/>
    <w:rsid w:val="00B03349"/>
    <w:rsid w:val="00B03BC6"/>
    <w:rsid w:val="00B04036"/>
    <w:rsid w:val="00B04AD0"/>
    <w:rsid w:val="00B06A72"/>
    <w:rsid w:val="00B104E0"/>
    <w:rsid w:val="00B10A97"/>
    <w:rsid w:val="00B10CF4"/>
    <w:rsid w:val="00B10DC5"/>
    <w:rsid w:val="00B122E2"/>
    <w:rsid w:val="00B12774"/>
    <w:rsid w:val="00B133CD"/>
    <w:rsid w:val="00B136BD"/>
    <w:rsid w:val="00B13F97"/>
    <w:rsid w:val="00B1440F"/>
    <w:rsid w:val="00B14BBA"/>
    <w:rsid w:val="00B156B0"/>
    <w:rsid w:val="00B16327"/>
    <w:rsid w:val="00B16719"/>
    <w:rsid w:val="00B17897"/>
    <w:rsid w:val="00B20289"/>
    <w:rsid w:val="00B20324"/>
    <w:rsid w:val="00B20D50"/>
    <w:rsid w:val="00B20DEA"/>
    <w:rsid w:val="00B218D2"/>
    <w:rsid w:val="00B21921"/>
    <w:rsid w:val="00B219F4"/>
    <w:rsid w:val="00B21B42"/>
    <w:rsid w:val="00B21B89"/>
    <w:rsid w:val="00B225BD"/>
    <w:rsid w:val="00B22FD3"/>
    <w:rsid w:val="00B2416D"/>
    <w:rsid w:val="00B26A1D"/>
    <w:rsid w:val="00B31071"/>
    <w:rsid w:val="00B313D8"/>
    <w:rsid w:val="00B34396"/>
    <w:rsid w:val="00B34808"/>
    <w:rsid w:val="00B35E3A"/>
    <w:rsid w:val="00B367CD"/>
    <w:rsid w:val="00B37341"/>
    <w:rsid w:val="00B37807"/>
    <w:rsid w:val="00B41B25"/>
    <w:rsid w:val="00B41C1E"/>
    <w:rsid w:val="00B42DDB"/>
    <w:rsid w:val="00B42DF9"/>
    <w:rsid w:val="00B430FF"/>
    <w:rsid w:val="00B43B31"/>
    <w:rsid w:val="00B44B1C"/>
    <w:rsid w:val="00B44E7D"/>
    <w:rsid w:val="00B450D5"/>
    <w:rsid w:val="00B45914"/>
    <w:rsid w:val="00B4592F"/>
    <w:rsid w:val="00B47FF4"/>
    <w:rsid w:val="00B50A05"/>
    <w:rsid w:val="00B5391A"/>
    <w:rsid w:val="00B53E5E"/>
    <w:rsid w:val="00B54305"/>
    <w:rsid w:val="00B543DB"/>
    <w:rsid w:val="00B55104"/>
    <w:rsid w:val="00B554C9"/>
    <w:rsid w:val="00B55900"/>
    <w:rsid w:val="00B5599B"/>
    <w:rsid w:val="00B55B67"/>
    <w:rsid w:val="00B5678A"/>
    <w:rsid w:val="00B57098"/>
    <w:rsid w:val="00B57140"/>
    <w:rsid w:val="00B57192"/>
    <w:rsid w:val="00B6051D"/>
    <w:rsid w:val="00B60F68"/>
    <w:rsid w:val="00B611AF"/>
    <w:rsid w:val="00B614B3"/>
    <w:rsid w:val="00B61CE8"/>
    <w:rsid w:val="00B62315"/>
    <w:rsid w:val="00B63376"/>
    <w:rsid w:val="00B63A2E"/>
    <w:rsid w:val="00B63D6A"/>
    <w:rsid w:val="00B64082"/>
    <w:rsid w:val="00B6481C"/>
    <w:rsid w:val="00B64F90"/>
    <w:rsid w:val="00B65BA6"/>
    <w:rsid w:val="00B6780E"/>
    <w:rsid w:val="00B707CB"/>
    <w:rsid w:val="00B714F8"/>
    <w:rsid w:val="00B7273E"/>
    <w:rsid w:val="00B72A86"/>
    <w:rsid w:val="00B72AB8"/>
    <w:rsid w:val="00B72F88"/>
    <w:rsid w:val="00B7326C"/>
    <w:rsid w:val="00B7336D"/>
    <w:rsid w:val="00B73926"/>
    <w:rsid w:val="00B73B47"/>
    <w:rsid w:val="00B75AA1"/>
    <w:rsid w:val="00B75B3B"/>
    <w:rsid w:val="00B76A5A"/>
    <w:rsid w:val="00B77725"/>
    <w:rsid w:val="00B80C6E"/>
    <w:rsid w:val="00B81006"/>
    <w:rsid w:val="00B81E69"/>
    <w:rsid w:val="00B82866"/>
    <w:rsid w:val="00B83E3A"/>
    <w:rsid w:val="00B8428D"/>
    <w:rsid w:val="00B85153"/>
    <w:rsid w:val="00B86709"/>
    <w:rsid w:val="00B86AF7"/>
    <w:rsid w:val="00B86E04"/>
    <w:rsid w:val="00B91B86"/>
    <w:rsid w:val="00B92A91"/>
    <w:rsid w:val="00B94184"/>
    <w:rsid w:val="00B9425E"/>
    <w:rsid w:val="00B94D3C"/>
    <w:rsid w:val="00B95A98"/>
    <w:rsid w:val="00B9634C"/>
    <w:rsid w:val="00B970EC"/>
    <w:rsid w:val="00B971AD"/>
    <w:rsid w:val="00B976ED"/>
    <w:rsid w:val="00BA0010"/>
    <w:rsid w:val="00BA0E93"/>
    <w:rsid w:val="00BA1AAA"/>
    <w:rsid w:val="00BA1F5F"/>
    <w:rsid w:val="00BA2FF6"/>
    <w:rsid w:val="00BA3A9A"/>
    <w:rsid w:val="00BA44DC"/>
    <w:rsid w:val="00BA4B7F"/>
    <w:rsid w:val="00BA507E"/>
    <w:rsid w:val="00BA55F6"/>
    <w:rsid w:val="00BA63DA"/>
    <w:rsid w:val="00BA66DB"/>
    <w:rsid w:val="00BA6B4B"/>
    <w:rsid w:val="00BA6E9E"/>
    <w:rsid w:val="00BA763A"/>
    <w:rsid w:val="00BA7D65"/>
    <w:rsid w:val="00BB3185"/>
    <w:rsid w:val="00BB3BD0"/>
    <w:rsid w:val="00BB491F"/>
    <w:rsid w:val="00BB5C48"/>
    <w:rsid w:val="00BB691A"/>
    <w:rsid w:val="00BB79C7"/>
    <w:rsid w:val="00BB7F32"/>
    <w:rsid w:val="00BC1812"/>
    <w:rsid w:val="00BC354D"/>
    <w:rsid w:val="00BC44BC"/>
    <w:rsid w:val="00BC5DF8"/>
    <w:rsid w:val="00BC6E23"/>
    <w:rsid w:val="00BC7ACA"/>
    <w:rsid w:val="00BD24F9"/>
    <w:rsid w:val="00BD504F"/>
    <w:rsid w:val="00BD5365"/>
    <w:rsid w:val="00BD53EB"/>
    <w:rsid w:val="00BD55D0"/>
    <w:rsid w:val="00BD57EA"/>
    <w:rsid w:val="00BD6811"/>
    <w:rsid w:val="00BD6CBD"/>
    <w:rsid w:val="00BD6E23"/>
    <w:rsid w:val="00BD7130"/>
    <w:rsid w:val="00BE0C0E"/>
    <w:rsid w:val="00BE0D5E"/>
    <w:rsid w:val="00BE118F"/>
    <w:rsid w:val="00BE1378"/>
    <w:rsid w:val="00BE2160"/>
    <w:rsid w:val="00BE22FF"/>
    <w:rsid w:val="00BE2F5A"/>
    <w:rsid w:val="00BE33E6"/>
    <w:rsid w:val="00BE35EE"/>
    <w:rsid w:val="00BE3CA8"/>
    <w:rsid w:val="00BE4100"/>
    <w:rsid w:val="00BE46AD"/>
    <w:rsid w:val="00BE4C65"/>
    <w:rsid w:val="00BE6DBE"/>
    <w:rsid w:val="00BE6ECF"/>
    <w:rsid w:val="00BE722F"/>
    <w:rsid w:val="00BF072E"/>
    <w:rsid w:val="00BF0B6E"/>
    <w:rsid w:val="00BF2A8B"/>
    <w:rsid w:val="00BF2F73"/>
    <w:rsid w:val="00BF3CEF"/>
    <w:rsid w:val="00BF40F8"/>
    <w:rsid w:val="00BF425B"/>
    <w:rsid w:val="00BF47A0"/>
    <w:rsid w:val="00BF48FF"/>
    <w:rsid w:val="00BF7BFB"/>
    <w:rsid w:val="00BF7CA6"/>
    <w:rsid w:val="00BF7FAB"/>
    <w:rsid w:val="00C00092"/>
    <w:rsid w:val="00C000D4"/>
    <w:rsid w:val="00C01642"/>
    <w:rsid w:val="00C01CD6"/>
    <w:rsid w:val="00C01D4F"/>
    <w:rsid w:val="00C0279A"/>
    <w:rsid w:val="00C02A78"/>
    <w:rsid w:val="00C0431B"/>
    <w:rsid w:val="00C04749"/>
    <w:rsid w:val="00C04B49"/>
    <w:rsid w:val="00C04FC5"/>
    <w:rsid w:val="00C068AF"/>
    <w:rsid w:val="00C068B4"/>
    <w:rsid w:val="00C07A60"/>
    <w:rsid w:val="00C1040B"/>
    <w:rsid w:val="00C10477"/>
    <w:rsid w:val="00C10AA6"/>
    <w:rsid w:val="00C11144"/>
    <w:rsid w:val="00C11BEB"/>
    <w:rsid w:val="00C12136"/>
    <w:rsid w:val="00C12E2E"/>
    <w:rsid w:val="00C1377D"/>
    <w:rsid w:val="00C13D94"/>
    <w:rsid w:val="00C14130"/>
    <w:rsid w:val="00C151AF"/>
    <w:rsid w:val="00C2103A"/>
    <w:rsid w:val="00C2110A"/>
    <w:rsid w:val="00C21D49"/>
    <w:rsid w:val="00C24B3C"/>
    <w:rsid w:val="00C25781"/>
    <w:rsid w:val="00C263CD"/>
    <w:rsid w:val="00C26C0B"/>
    <w:rsid w:val="00C33FA2"/>
    <w:rsid w:val="00C345CF"/>
    <w:rsid w:val="00C36BE4"/>
    <w:rsid w:val="00C40979"/>
    <w:rsid w:val="00C41F89"/>
    <w:rsid w:val="00C420BD"/>
    <w:rsid w:val="00C4244E"/>
    <w:rsid w:val="00C42E57"/>
    <w:rsid w:val="00C43177"/>
    <w:rsid w:val="00C44449"/>
    <w:rsid w:val="00C469D4"/>
    <w:rsid w:val="00C50188"/>
    <w:rsid w:val="00C505B3"/>
    <w:rsid w:val="00C50B2C"/>
    <w:rsid w:val="00C50F56"/>
    <w:rsid w:val="00C51073"/>
    <w:rsid w:val="00C51CA5"/>
    <w:rsid w:val="00C521D6"/>
    <w:rsid w:val="00C52E4D"/>
    <w:rsid w:val="00C53281"/>
    <w:rsid w:val="00C5416D"/>
    <w:rsid w:val="00C544B1"/>
    <w:rsid w:val="00C54739"/>
    <w:rsid w:val="00C56723"/>
    <w:rsid w:val="00C56805"/>
    <w:rsid w:val="00C56A7D"/>
    <w:rsid w:val="00C57C87"/>
    <w:rsid w:val="00C60756"/>
    <w:rsid w:val="00C61FFF"/>
    <w:rsid w:val="00C62162"/>
    <w:rsid w:val="00C63454"/>
    <w:rsid w:val="00C63B69"/>
    <w:rsid w:val="00C63BF7"/>
    <w:rsid w:val="00C63EC0"/>
    <w:rsid w:val="00C655B7"/>
    <w:rsid w:val="00C66E25"/>
    <w:rsid w:val="00C709D6"/>
    <w:rsid w:val="00C72267"/>
    <w:rsid w:val="00C7253A"/>
    <w:rsid w:val="00C72745"/>
    <w:rsid w:val="00C749AD"/>
    <w:rsid w:val="00C74CFD"/>
    <w:rsid w:val="00C77C9B"/>
    <w:rsid w:val="00C8265D"/>
    <w:rsid w:val="00C8460A"/>
    <w:rsid w:val="00C86060"/>
    <w:rsid w:val="00C86EBF"/>
    <w:rsid w:val="00C87524"/>
    <w:rsid w:val="00C9024A"/>
    <w:rsid w:val="00C90CB5"/>
    <w:rsid w:val="00C91108"/>
    <w:rsid w:val="00C924DA"/>
    <w:rsid w:val="00C93E85"/>
    <w:rsid w:val="00C93EA7"/>
    <w:rsid w:val="00C94677"/>
    <w:rsid w:val="00C9621B"/>
    <w:rsid w:val="00C96D73"/>
    <w:rsid w:val="00C9791C"/>
    <w:rsid w:val="00CA00F4"/>
    <w:rsid w:val="00CA046A"/>
    <w:rsid w:val="00CA0AB3"/>
    <w:rsid w:val="00CA0B32"/>
    <w:rsid w:val="00CA0BC7"/>
    <w:rsid w:val="00CA1745"/>
    <w:rsid w:val="00CA1C53"/>
    <w:rsid w:val="00CA25AC"/>
    <w:rsid w:val="00CA423C"/>
    <w:rsid w:val="00CA5046"/>
    <w:rsid w:val="00CA562A"/>
    <w:rsid w:val="00CA64BF"/>
    <w:rsid w:val="00CA666E"/>
    <w:rsid w:val="00CA6DCC"/>
    <w:rsid w:val="00CA7384"/>
    <w:rsid w:val="00CA7AE3"/>
    <w:rsid w:val="00CA7FC1"/>
    <w:rsid w:val="00CB1A8E"/>
    <w:rsid w:val="00CB3A03"/>
    <w:rsid w:val="00CB3C05"/>
    <w:rsid w:val="00CB6331"/>
    <w:rsid w:val="00CC0591"/>
    <w:rsid w:val="00CC0F7A"/>
    <w:rsid w:val="00CC1108"/>
    <w:rsid w:val="00CC3486"/>
    <w:rsid w:val="00CC43C5"/>
    <w:rsid w:val="00CC47C2"/>
    <w:rsid w:val="00CC6FC2"/>
    <w:rsid w:val="00CD06D1"/>
    <w:rsid w:val="00CD07EA"/>
    <w:rsid w:val="00CD0AE3"/>
    <w:rsid w:val="00CD0FFB"/>
    <w:rsid w:val="00CD194A"/>
    <w:rsid w:val="00CD19C3"/>
    <w:rsid w:val="00CD1A46"/>
    <w:rsid w:val="00CD212C"/>
    <w:rsid w:val="00CD307E"/>
    <w:rsid w:val="00CD339F"/>
    <w:rsid w:val="00CD3E85"/>
    <w:rsid w:val="00CD439A"/>
    <w:rsid w:val="00CD4E78"/>
    <w:rsid w:val="00CD58EE"/>
    <w:rsid w:val="00CD67A6"/>
    <w:rsid w:val="00CD6910"/>
    <w:rsid w:val="00CD71D6"/>
    <w:rsid w:val="00CD751D"/>
    <w:rsid w:val="00CE0362"/>
    <w:rsid w:val="00CE205D"/>
    <w:rsid w:val="00CE3418"/>
    <w:rsid w:val="00CE39CE"/>
    <w:rsid w:val="00CE3A1B"/>
    <w:rsid w:val="00CE4427"/>
    <w:rsid w:val="00CE66B6"/>
    <w:rsid w:val="00CE67C0"/>
    <w:rsid w:val="00CE74F5"/>
    <w:rsid w:val="00CE754D"/>
    <w:rsid w:val="00CF0AED"/>
    <w:rsid w:val="00CF1D1E"/>
    <w:rsid w:val="00CF25B7"/>
    <w:rsid w:val="00CF2F12"/>
    <w:rsid w:val="00CF5941"/>
    <w:rsid w:val="00CF5A32"/>
    <w:rsid w:val="00CF5B44"/>
    <w:rsid w:val="00CF6618"/>
    <w:rsid w:val="00CF6F20"/>
    <w:rsid w:val="00CF7246"/>
    <w:rsid w:val="00CF747F"/>
    <w:rsid w:val="00CF7A31"/>
    <w:rsid w:val="00D00285"/>
    <w:rsid w:val="00D00B3B"/>
    <w:rsid w:val="00D00EE0"/>
    <w:rsid w:val="00D01949"/>
    <w:rsid w:val="00D01CDD"/>
    <w:rsid w:val="00D023F4"/>
    <w:rsid w:val="00D05498"/>
    <w:rsid w:val="00D05BB6"/>
    <w:rsid w:val="00D05EE9"/>
    <w:rsid w:val="00D067C7"/>
    <w:rsid w:val="00D07961"/>
    <w:rsid w:val="00D10AA1"/>
    <w:rsid w:val="00D10D2F"/>
    <w:rsid w:val="00D112C0"/>
    <w:rsid w:val="00D138B0"/>
    <w:rsid w:val="00D14656"/>
    <w:rsid w:val="00D15272"/>
    <w:rsid w:val="00D159DF"/>
    <w:rsid w:val="00D15A31"/>
    <w:rsid w:val="00D160AB"/>
    <w:rsid w:val="00D1675F"/>
    <w:rsid w:val="00D170E8"/>
    <w:rsid w:val="00D171C8"/>
    <w:rsid w:val="00D172EE"/>
    <w:rsid w:val="00D17707"/>
    <w:rsid w:val="00D2024E"/>
    <w:rsid w:val="00D213E0"/>
    <w:rsid w:val="00D21A40"/>
    <w:rsid w:val="00D21BDA"/>
    <w:rsid w:val="00D21EA8"/>
    <w:rsid w:val="00D23745"/>
    <w:rsid w:val="00D25CD7"/>
    <w:rsid w:val="00D25D37"/>
    <w:rsid w:val="00D26307"/>
    <w:rsid w:val="00D26A08"/>
    <w:rsid w:val="00D30408"/>
    <w:rsid w:val="00D30827"/>
    <w:rsid w:val="00D31E27"/>
    <w:rsid w:val="00D32A1E"/>
    <w:rsid w:val="00D333CD"/>
    <w:rsid w:val="00D33D35"/>
    <w:rsid w:val="00D3537D"/>
    <w:rsid w:val="00D367B4"/>
    <w:rsid w:val="00D37245"/>
    <w:rsid w:val="00D40A82"/>
    <w:rsid w:val="00D4249E"/>
    <w:rsid w:val="00D42D55"/>
    <w:rsid w:val="00D42D57"/>
    <w:rsid w:val="00D42F2E"/>
    <w:rsid w:val="00D45D92"/>
    <w:rsid w:val="00D462C6"/>
    <w:rsid w:val="00D46D96"/>
    <w:rsid w:val="00D47780"/>
    <w:rsid w:val="00D47A0E"/>
    <w:rsid w:val="00D511F5"/>
    <w:rsid w:val="00D51218"/>
    <w:rsid w:val="00D52F70"/>
    <w:rsid w:val="00D5431B"/>
    <w:rsid w:val="00D5468A"/>
    <w:rsid w:val="00D60948"/>
    <w:rsid w:val="00D6099D"/>
    <w:rsid w:val="00D6143A"/>
    <w:rsid w:val="00D617ED"/>
    <w:rsid w:val="00D623FC"/>
    <w:rsid w:val="00D625D8"/>
    <w:rsid w:val="00D6294C"/>
    <w:rsid w:val="00D62DDB"/>
    <w:rsid w:val="00D63D4C"/>
    <w:rsid w:val="00D64E43"/>
    <w:rsid w:val="00D67BC5"/>
    <w:rsid w:val="00D67E0F"/>
    <w:rsid w:val="00D71BC9"/>
    <w:rsid w:val="00D724F9"/>
    <w:rsid w:val="00D72E92"/>
    <w:rsid w:val="00D7350C"/>
    <w:rsid w:val="00D73D14"/>
    <w:rsid w:val="00D743DD"/>
    <w:rsid w:val="00D7497A"/>
    <w:rsid w:val="00D75C9D"/>
    <w:rsid w:val="00D75ECD"/>
    <w:rsid w:val="00D7607E"/>
    <w:rsid w:val="00D76970"/>
    <w:rsid w:val="00D77359"/>
    <w:rsid w:val="00D776A8"/>
    <w:rsid w:val="00D77B9A"/>
    <w:rsid w:val="00D8175C"/>
    <w:rsid w:val="00D82593"/>
    <w:rsid w:val="00D83112"/>
    <w:rsid w:val="00D84090"/>
    <w:rsid w:val="00D84C97"/>
    <w:rsid w:val="00D8565B"/>
    <w:rsid w:val="00D86353"/>
    <w:rsid w:val="00D87A89"/>
    <w:rsid w:val="00D87C3E"/>
    <w:rsid w:val="00D90120"/>
    <w:rsid w:val="00D90990"/>
    <w:rsid w:val="00D90E6B"/>
    <w:rsid w:val="00D9351A"/>
    <w:rsid w:val="00D9377A"/>
    <w:rsid w:val="00D952C6"/>
    <w:rsid w:val="00D95948"/>
    <w:rsid w:val="00D95C75"/>
    <w:rsid w:val="00D967C7"/>
    <w:rsid w:val="00D96919"/>
    <w:rsid w:val="00D9723D"/>
    <w:rsid w:val="00D97CF2"/>
    <w:rsid w:val="00DA0535"/>
    <w:rsid w:val="00DA0A5B"/>
    <w:rsid w:val="00DA0C3F"/>
    <w:rsid w:val="00DA151C"/>
    <w:rsid w:val="00DA2182"/>
    <w:rsid w:val="00DA302C"/>
    <w:rsid w:val="00DA3C3E"/>
    <w:rsid w:val="00DA4A6B"/>
    <w:rsid w:val="00DA53FE"/>
    <w:rsid w:val="00DA5983"/>
    <w:rsid w:val="00DA5D11"/>
    <w:rsid w:val="00DA5F32"/>
    <w:rsid w:val="00DA79F7"/>
    <w:rsid w:val="00DB002A"/>
    <w:rsid w:val="00DB0786"/>
    <w:rsid w:val="00DB0D92"/>
    <w:rsid w:val="00DB122A"/>
    <w:rsid w:val="00DB1C91"/>
    <w:rsid w:val="00DB2567"/>
    <w:rsid w:val="00DB2B34"/>
    <w:rsid w:val="00DB3286"/>
    <w:rsid w:val="00DB4E10"/>
    <w:rsid w:val="00DB526D"/>
    <w:rsid w:val="00DB60B4"/>
    <w:rsid w:val="00DB635D"/>
    <w:rsid w:val="00DB6799"/>
    <w:rsid w:val="00DB6902"/>
    <w:rsid w:val="00DB76D1"/>
    <w:rsid w:val="00DB7843"/>
    <w:rsid w:val="00DB7C4E"/>
    <w:rsid w:val="00DC120D"/>
    <w:rsid w:val="00DC1D90"/>
    <w:rsid w:val="00DC23D1"/>
    <w:rsid w:val="00DC2ED0"/>
    <w:rsid w:val="00DC389E"/>
    <w:rsid w:val="00DC4447"/>
    <w:rsid w:val="00DC47CE"/>
    <w:rsid w:val="00DC5A85"/>
    <w:rsid w:val="00DC5D44"/>
    <w:rsid w:val="00DC7146"/>
    <w:rsid w:val="00DC79C7"/>
    <w:rsid w:val="00DD0169"/>
    <w:rsid w:val="00DD058E"/>
    <w:rsid w:val="00DD06F8"/>
    <w:rsid w:val="00DD087B"/>
    <w:rsid w:val="00DD0D17"/>
    <w:rsid w:val="00DD0F36"/>
    <w:rsid w:val="00DD303E"/>
    <w:rsid w:val="00DD40A5"/>
    <w:rsid w:val="00DD5178"/>
    <w:rsid w:val="00DD5AC4"/>
    <w:rsid w:val="00DD5AEE"/>
    <w:rsid w:val="00DD5FA5"/>
    <w:rsid w:val="00DE0267"/>
    <w:rsid w:val="00DE29BE"/>
    <w:rsid w:val="00DE339C"/>
    <w:rsid w:val="00DE4E12"/>
    <w:rsid w:val="00DE57E6"/>
    <w:rsid w:val="00DE5FD1"/>
    <w:rsid w:val="00DE7054"/>
    <w:rsid w:val="00DE74D5"/>
    <w:rsid w:val="00DE7990"/>
    <w:rsid w:val="00DF331D"/>
    <w:rsid w:val="00DF3E2E"/>
    <w:rsid w:val="00DF4ECE"/>
    <w:rsid w:val="00DF4F6C"/>
    <w:rsid w:val="00DF5785"/>
    <w:rsid w:val="00DF60E9"/>
    <w:rsid w:val="00DF6FB4"/>
    <w:rsid w:val="00E01A72"/>
    <w:rsid w:val="00E02673"/>
    <w:rsid w:val="00E02839"/>
    <w:rsid w:val="00E03814"/>
    <w:rsid w:val="00E03B3E"/>
    <w:rsid w:val="00E03D05"/>
    <w:rsid w:val="00E04352"/>
    <w:rsid w:val="00E0498D"/>
    <w:rsid w:val="00E05653"/>
    <w:rsid w:val="00E05C0F"/>
    <w:rsid w:val="00E0642A"/>
    <w:rsid w:val="00E10586"/>
    <w:rsid w:val="00E1185A"/>
    <w:rsid w:val="00E121FD"/>
    <w:rsid w:val="00E12794"/>
    <w:rsid w:val="00E13A18"/>
    <w:rsid w:val="00E13AC2"/>
    <w:rsid w:val="00E150C4"/>
    <w:rsid w:val="00E15BAA"/>
    <w:rsid w:val="00E1655D"/>
    <w:rsid w:val="00E165EA"/>
    <w:rsid w:val="00E16ECF"/>
    <w:rsid w:val="00E17037"/>
    <w:rsid w:val="00E2091A"/>
    <w:rsid w:val="00E24B4B"/>
    <w:rsid w:val="00E24CB4"/>
    <w:rsid w:val="00E25E18"/>
    <w:rsid w:val="00E2603F"/>
    <w:rsid w:val="00E2614B"/>
    <w:rsid w:val="00E27867"/>
    <w:rsid w:val="00E310E1"/>
    <w:rsid w:val="00E31692"/>
    <w:rsid w:val="00E31D5F"/>
    <w:rsid w:val="00E321BD"/>
    <w:rsid w:val="00E324BA"/>
    <w:rsid w:val="00E32552"/>
    <w:rsid w:val="00E3256D"/>
    <w:rsid w:val="00E338F7"/>
    <w:rsid w:val="00E339E5"/>
    <w:rsid w:val="00E34B6F"/>
    <w:rsid w:val="00E35D2B"/>
    <w:rsid w:val="00E41023"/>
    <w:rsid w:val="00E410AD"/>
    <w:rsid w:val="00E41694"/>
    <w:rsid w:val="00E419E3"/>
    <w:rsid w:val="00E421A3"/>
    <w:rsid w:val="00E42B41"/>
    <w:rsid w:val="00E434D3"/>
    <w:rsid w:val="00E44B99"/>
    <w:rsid w:val="00E462C1"/>
    <w:rsid w:val="00E46DA7"/>
    <w:rsid w:val="00E50602"/>
    <w:rsid w:val="00E50B29"/>
    <w:rsid w:val="00E51B40"/>
    <w:rsid w:val="00E521F9"/>
    <w:rsid w:val="00E5245A"/>
    <w:rsid w:val="00E53FD9"/>
    <w:rsid w:val="00E555CF"/>
    <w:rsid w:val="00E56939"/>
    <w:rsid w:val="00E604CA"/>
    <w:rsid w:val="00E61C18"/>
    <w:rsid w:val="00E62E5C"/>
    <w:rsid w:val="00E63031"/>
    <w:rsid w:val="00E63959"/>
    <w:rsid w:val="00E6397B"/>
    <w:rsid w:val="00E65F55"/>
    <w:rsid w:val="00E6670B"/>
    <w:rsid w:val="00E7092A"/>
    <w:rsid w:val="00E727DC"/>
    <w:rsid w:val="00E73543"/>
    <w:rsid w:val="00E81154"/>
    <w:rsid w:val="00E81CD9"/>
    <w:rsid w:val="00E82E1D"/>
    <w:rsid w:val="00E83543"/>
    <w:rsid w:val="00E83AD9"/>
    <w:rsid w:val="00E84934"/>
    <w:rsid w:val="00E84A09"/>
    <w:rsid w:val="00E84CA1"/>
    <w:rsid w:val="00E85163"/>
    <w:rsid w:val="00E85F3A"/>
    <w:rsid w:val="00E8742A"/>
    <w:rsid w:val="00E87911"/>
    <w:rsid w:val="00E87CA9"/>
    <w:rsid w:val="00E9119A"/>
    <w:rsid w:val="00E914F8"/>
    <w:rsid w:val="00E91B79"/>
    <w:rsid w:val="00E921FA"/>
    <w:rsid w:val="00E92893"/>
    <w:rsid w:val="00E928E6"/>
    <w:rsid w:val="00E92B22"/>
    <w:rsid w:val="00E92D9F"/>
    <w:rsid w:val="00E9348C"/>
    <w:rsid w:val="00E93897"/>
    <w:rsid w:val="00E938B2"/>
    <w:rsid w:val="00E93E7C"/>
    <w:rsid w:val="00E95342"/>
    <w:rsid w:val="00E959D4"/>
    <w:rsid w:val="00E95B33"/>
    <w:rsid w:val="00E960BE"/>
    <w:rsid w:val="00E96258"/>
    <w:rsid w:val="00E96766"/>
    <w:rsid w:val="00EA0088"/>
    <w:rsid w:val="00EA0460"/>
    <w:rsid w:val="00EA0942"/>
    <w:rsid w:val="00EA0D0E"/>
    <w:rsid w:val="00EA16F5"/>
    <w:rsid w:val="00EA191E"/>
    <w:rsid w:val="00EA1E37"/>
    <w:rsid w:val="00EA2019"/>
    <w:rsid w:val="00EA20B2"/>
    <w:rsid w:val="00EA2904"/>
    <w:rsid w:val="00EA2F00"/>
    <w:rsid w:val="00EA3249"/>
    <w:rsid w:val="00EA32CC"/>
    <w:rsid w:val="00EA3DA1"/>
    <w:rsid w:val="00EA4723"/>
    <w:rsid w:val="00EA4BA3"/>
    <w:rsid w:val="00EA56A0"/>
    <w:rsid w:val="00EA6A8F"/>
    <w:rsid w:val="00EA6E73"/>
    <w:rsid w:val="00EA73FE"/>
    <w:rsid w:val="00EA7B95"/>
    <w:rsid w:val="00EB19DD"/>
    <w:rsid w:val="00EB20AE"/>
    <w:rsid w:val="00EB5D6E"/>
    <w:rsid w:val="00EB5E60"/>
    <w:rsid w:val="00EB6FDA"/>
    <w:rsid w:val="00EC01BA"/>
    <w:rsid w:val="00EC06DC"/>
    <w:rsid w:val="00EC0AA8"/>
    <w:rsid w:val="00EC115C"/>
    <w:rsid w:val="00EC1921"/>
    <w:rsid w:val="00EC199F"/>
    <w:rsid w:val="00EC2538"/>
    <w:rsid w:val="00EC2CD9"/>
    <w:rsid w:val="00EC2ED9"/>
    <w:rsid w:val="00EC2EFC"/>
    <w:rsid w:val="00EC378F"/>
    <w:rsid w:val="00EC4A11"/>
    <w:rsid w:val="00EC4B8D"/>
    <w:rsid w:val="00EC587D"/>
    <w:rsid w:val="00EC7F9C"/>
    <w:rsid w:val="00ED0424"/>
    <w:rsid w:val="00ED0608"/>
    <w:rsid w:val="00ED08CB"/>
    <w:rsid w:val="00ED1119"/>
    <w:rsid w:val="00ED1717"/>
    <w:rsid w:val="00ED1749"/>
    <w:rsid w:val="00ED259F"/>
    <w:rsid w:val="00ED33A8"/>
    <w:rsid w:val="00ED5157"/>
    <w:rsid w:val="00ED5934"/>
    <w:rsid w:val="00ED5B0A"/>
    <w:rsid w:val="00ED75A2"/>
    <w:rsid w:val="00ED7A48"/>
    <w:rsid w:val="00EE00EB"/>
    <w:rsid w:val="00EE09B0"/>
    <w:rsid w:val="00EE0AAA"/>
    <w:rsid w:val="00EE0CF0"/>
    <w:rsid w:val="00EE101B"/>
    <w:rsid w:val="00EE1899"/>
    <w:rsid w:val="00EE24A3"/>
    <w:rsid w:val="00EE33A4"/>
    <w:rsid w:val="00EE3EB0"/>
    <w:rsid w:val="00EE460F"/>
    <w:rsid w:val="00EE534B"/>
    <w:rsid w:val="00EE642B"/>
    <w:rsid w:val="00EE6530"/>
    <w:rsid w:val="00EE7990"/>
    <w:rsid w:val="00EE7FE6"/>
    <w:rsid w:val="00EF0CD3"/>
    <w:rsid w:val="00EF14C3"/>
    <w:rsid w:val="00EF1ADF"/>
    <w:rsid w:val="00EF2431"/>
    <w:rsid w:val="00EF4124"/>
    <w:rsid w:val="00EF51BB"/>
    <w:rsid w:val="00EF5981"/>
    <w:rsid w:val="00EF5CC3"/>
    <w:rsid w:val="00EF62D6"/>
    <w:rsid w:val="00EF6638"/>
    <w:rsid w:val="00EF6722"/>
    <w:rsid w:val="00EF74B6"/>
    <w:rsid w:val="00F0029F"/>
    <w:rsid w:val="00F0171B"/>
    <w:rsid w:val="00F017B3"/>
    <w:rsid w:val="00F01B87"/>
    <w:rsid w:val="00F02182"/>
    <w:rsid w:val="00F02B5E"/>
    <w:rsid w:val="00F04445"/>
    <w:rsid w:val="00F05ADF"/>
    <w:rsid w:val="00F05D1C"/>
    <w:rsid w:val="00F07BE4"/>
    <w:rsid w:val="00F07C7D"/>
    <w:rsid w:val="00F10048"/>
    <w:rsid w:val="00F101E5"/>
    <w:rsid w:val="00F10FFF"/>
    <w:rsid w:val="00F12401"/>
    <w:rsid w:val="00F12946"/>
    <w:rsid w:val="00F138F8"/>
    <w:rsid w:val="00F13ACB"/>
    <w:rsid w:val="00F152E6"/>
    <w:rsid w:val="00F16195"/>
    <w:rsid w:val="00F16842"/>
    <w:rsid w:val="00F17AAA"/>
    <w:rsid w:val="00F17ED9"/>
    <w:rsid w:val="00F21418"/>
    <w:rsid w:val="00F21F75"/>
    <w:rsid w:val="00F24564"/>
    <w:rsid w:val="00F25291"/>
    <w:rsid w:val="00F25CC6"/>
    <w:rsid w:val="00F2669F"/>
    <w:rsid w:val="00F27B2E"/>
    <w:rsid w:val="00F3035A"/>
    <w:rsid w:val="00F30F9C"/>
    <w:rsid w:val="00F31EB1"/>
    <w:rsid w:val="00F32024"/>
    <w:rsid w:val="00F3205B"/>
    <w:rsid w:val="00F327E6"/>
    <w:rsid w:val="00F32D03"/>
    <w:rsid w:val="00F3376D"/>
    <w:rsid w:val="00F33937"/>
    <w:rsid w:val="00F33B68"/>
    <w:rsid w:val="00F36A1D"/>
    <w:rsid w:val="00F40C8A"/>
    <w:rsid w:val="00F4124B"/>
    <w:rsid w:val="00F412F0"/>
    <w:rsid w:val="00F41AFD"/>
    <w:rsid w:val="00F43808"/>
    <w:rsid w:val="00F43997"/>
    <w:rsid w:val="00F44974"/>
    <w:rsid w:val="00F452FD"/>
    <w:rsid w:val="00F4544A"/>
    <w:rsid w:val="00F46A5B"/>
    <w:rsid w:val="00F46BB5"/>
    <w:rsid w:val="00F477E8"/>
    <w:rsid w:val="00F50A1F"/>
    <w:rsid w:val="00F5181A"/>
    <w:rsid w:val="00F51D9F"/>
    <w:rsid w:val="00F52674"/>
    <w:rsid w:val="00F52C93"/>
    <w:rsid w:val="00F5457B"/>
    <w:rsid w:val="00F54DE5"/>
    <w:rsid w:val="00F55645"/>
    <w:rsid w:val="00F55CBA"/>
    <w:rsid w:val="00F55EE3"/>
    <w:rsid w:val="00F56575"/>
    <w:rsid w:val="00F572AC"/>
    <w:rsid w:val="00F5769C"/>
    <w:rsid w:val="00F57AB7"/>
    <w:rsid w:val="00F57C5D"/>
    <w:rsid w:val="00F604D1"/>
    <w:rsid w:val="00F60713"/>
    <w:rsid w:val="00F609B7"/>
    <w:rsid w:val="00F61219"/>
    <w:rsid w:val="00F6270F"/>
    <w:rsid w:val="00F632E9"/>
    <w:rsid w:val="00F6359A"/>
    <w:rsid w:val="00F6391C"/>
    <w:rsid w:val="00F64A06"/>
    <w:rsid w:val="00F65165"/>
    <w:rsid w:val="00F66634"/>
    <w:rsid w:val="00F66779"/>
    <w:rsid w:val="00F67740"/>
    <w:rsid w:val="00F67B5D"/>
    <w:rsid w:val="00F731A7"/>
    <w:rsid w:val="00F73511"/>
    <w:rsid w:val="00F73517"/>
    <w:rsid w:val="00F7378F"/>
    <w:rsid w:val="00F7393B"/>
    <w:rsid w:val="00F73DF9"/>
    <w:rsid w:val="00F751E8"/>
    <w:rsid w:val="00F75A4D"/>
    <w:rsid w:val="00F764AE"/>
    <w:rsid w:val="00F767F3"/>
    <w:rsid w:val="00F76870"/>
    <w:rsid w:val="00F777F9"/>
    <w:rsid w:val="00F778AF"/>
    <w:rsid w:val="00F77CF3"/>
    <w:rsid w:val="00F81773"/>
    <w:rsid w:val="00F81AF2"/>
    <w:rsid w:val="00F81B0A"/>
    <w:rsid w:val="00F8431D"/>
    <w:rsid w:val="00F84844"/>
    <w:rsid w:val="00F849B9"/>
    <w:rsid w:val="00F849E9"/>
    <w:rsid w:val="00F86C4B"/>
    <w:rsid w:val="00F878A9"/>
    <w:rsid w:val="00F90156"/>
    <w:rsid w:val="00F903B8"/>
    <w:rsid w:val="00F90918"/>
    <w:rsid w:val="00F90978"/>
    <w:rsid w:val="00F912D5"/>
    <w:rsid w:val="00F92241"/>
    <w:rsid w:val="00F93783"/>
    <w:rsid w:val="00F93791"/>
    <w:rsid w:val="00F939D3"/>
    <w:rsid w:val="00F94599"/>
    <w:rsid w:val="00F95C43"/>
    <w:rsid w:val="00F96516"/>
    <w:rsid w:val="00F97F33"/>
    <w:rsid w:val="00FA078F"/>
    <w:rsid w:val="00FA0BD4"/>
    <w:rsid w:val="00FA0CD5"/>
    <w:rsid w:val="00FA0FD8"/>
    <w:rsid w:val="00FA1B40"/>
    <w:rsid w:val="00FA2B3B"/>
    <w:rsid w:val="00FA2C1A"/>
    <w:rsid w:val="00FA3156"/>
    <w:rsid w:val="00FA36EC"/>
    <w:rsid w:val="00FA58FA"/>
    <w:rsid w:val="00FA5B34"/>
    <w:rsid w:val="00FA65ED"/>
    <w:rsid w:val="00FA703D"/>
    <w:rsid w:val="00FA73D6"/>
    <w:rsid w:val="00FA7514"/>
    <w:rsid w:val="00FA7D11"/>
    <w:rsid w:val="00FB08C9"/>
    <w:rsid w:val="00FB0B0A"/>
    <w:rsid w:val="00FB0B80"/>
    <w:rsid w:val="00FB545B"/>
    <w:rsid w:val="00FB5BFF"/>
    <w:rsid w:val="00FB7F08"/>
    <w:rsid w:val="00FC15BF"/>
    <w:rsid w:val="00FC3632"/>
    <w:rsid w:val="00FC4814"/>
    <w:rsid w:val="00FC5DD0"/>
    <w:rsid w:val="00FC6209"/>
    <w:rsid w:val="00FC6628"/>
    <w:rsid w:val="00FD1185"/>
    <w:rsid w:val="00FD14DA"/>
    <w:rsid w:val="00FD27E7"/>
    <w:rsid w:val="00FD40A4"/>
    <w:rsid w:val="00FD50CD"/>
    <w:rsid w:val="00FD5759"/>
    <w:rsid w:val="00FD5858"/>
    <w:rsid w:val="00FD63B1"/>
    <w:rsid w:val="00FD6E2A"/>
    <w:rsid w:val="00FD758B"/>
    <w:rsid w:val="00FD7788"/>
    <w:rsid w:val="00FD7B73"/>
    <w:rsid w:val="00FD7EBB"/>
    <w:rsid w:val="00FE0153"/>
    <w:rsid w:val="00FE07DC"/>
    <w:rsid w:val="00FE0F57"/>
    <w:rsid w:val="00FE10C9"/>
    <w:rsid w:val="00FE1216"/>
    <w:rsid w:val="00FE15FF"/>
    <w:rsid w:val="00FE1A22"/>
    <w:rsid w:val="00FE3205"/>
    <w:rsid w:val="00FE3353"/>
    <w:rsid w:val="00FE38AE"/>
    <w:rsid w:val="00FE5E44"/>
    <w:rsid w:val="00FE6130"/>
    <w:rsid w:val="00FE629A"/>
    <w:rsid w:val="00FE73C2"/>
    <w:rsid w:val="00FF09D1"/>
    <w:rsid w:val="00FF1959"/>
    <w:rsid w:val="00FF475D"/>
    <w:rsid w:val="00FF5878"/>
    <w:rsid w:val="00FF593B"/>
    <w:rsid w:val="00FF6216"/>
    <w:rsid w:val="00FF75B7"/>
    <w:rsid w:val="00FF78E8"/>
    <w:rsid w:val="00FF7A7E"/>
    <w:rsid w:val="01217958"/>
    <w:rsid w:val="012B2028"/>
    <w:rsid w:val="013B32CC"/>
    <w:rsid w:val="01715EC7"/>
    <w:rsid w:val="01D32307"/>
    <w:rsid w:val="01E722A7"/>
    <w:rsid w:val="021A0D4F"/>
    <w:rsid w:val="022D653C"/>
    <w:rsid w:val="023926C5"/>
    <w:rsid w:val="024D6296"/>
    <w:rsid w:val="025D03D8"/>
    <w:rsid w:val="02772F62"/>
    <w:rsid w:val="027A0F13"/>
    <w:rsid w:val="028D4319"/>
    <w:rsid w:val="02C26764"/>
    <w:rsid w:val="03015265"/>
    <w:rsid w:val="0310470D"/>
    <w:rsid w:val="03A11E52"/>
    <w:rsid w:val="03D5421C"/>
    <w:rsid w:val="03E63083"/>
    <w:rsid w:val="03EF410F"/>
    <w:rsid w:val="0426314B"/>
    <w:rsid w:val="045819F0"/>
    <w:rsid w:val="04645233"/>
    <w:rsid w:val="046D202D"/>
    <w:rsid w:val="047522B7"/>
    <w:rsid w:val="04895B67"/>
    <w:rsid w:val="049921ED"/>
    <w:rsid w:val="049F389C"/>
    <w:rsid w:val="04B62695"/>
    <w:rsid w:val="051E1E23"/>
    <w:rsid w:val="05252F28"/>
    <w:rsid w:val="052C6C54"/>
    <w:rsid w:val="05347B96"/>
    <w:rsid w:val="056D178C"/>
    <w:rsid w:val="05D22340"/>
    <w:rsid w:val="05DC0A0A"/>
    <w:rsid w:val="05F11AE4"/>
    <w:rsid w:val="06565FDD"/>
    <w:rsid w:val="06661F23"/>
    <w:rsid w:val="068454F8"/>
    <w:rsid w:val="06A738B6"/>
    <w:rsid w:val="06B33BC2"/>
    <w:rsid w:val="06E937C4"/>
    <w:rsid w:val="06F33C91"/>
    <w:rsid w:val="07077C03"/>
    <w:rsid w:val="072B7F2A"/>
    <w:rsid w:val="07485295"/>
    <w:rsid w:val="076F684E"/>
    <w:rsid w:val="0835530F"/>
    <w:rsid w:val="0875488F"/>
    <w:rsid w:val="08BE51A9"/>
    <w:rsid w:val="08C75E0C"/>
    <w:rsid w:val="08E66515"/>
    <w:rsid w:val="092D4A6B"/>
    <w:rsid w:val="0949088A"/>
    <w:rsid w:val="096A05FA"/>
    <w:rsid w:val="09E23607"/>
    <w:rsid w:val="0A1647BB"/>
    <w:rsid w:val="0A4B4438"/>
    <w:rsid w:val="0A5C16A7"/>
    <w:rsid w:val="0A852515"/>
    <w:rsid w:val="0AB43B74"/>
    <w:rsid w:val="0ABD0B04"/>
    <w:rsid w:val="0B0A2763"/>
    <w:rsid w:val="0B15705B"/>
    <w:rsid w:val="0B1F3E15"/>
    <w:rsid w:val="0B2E529D"/>
    <w:rsid w:val="0B340A19"/>
    <w:rsid w:val="0B717F6F"/>
    <w:rsid w:val="0B754E73"/>
    <w:rsid w:val="0B803E00"/>
    <w:rsid w:val="0B807393"/>
    <w:rsid w:val="0B827613"/>
    <w:rsid w:val="0BD03D35"/>
    <w:rsid w:val="0BF066E4"/>
    <w:rsid w:val="0C016D3D"/>
    <w:rsid w:val="0C22047E"/>
    <w:rsid w:val="0C4417AC"/>
    <w:rsid w:val="0C452C2D"/>
    <w:rsid w:val="0C59246E"/>
    <w:rsid w:val="0C6352C5"/>
    <w:rsid w:val="0C762E2A"/>
    <w:rsid w:val="0CC70616"/>
    <w:rsid w:val="0CD72292"/>
    <w:rsid w:val="0CF70FC1"/>
    <w:rsid w:val="0D1A766B"/>
    <w:rsid w:val="0D65490F"/>
    <w:rsid w:val="0D8C4D66"/>
    <w:rsid w:val="0DAB36E0"/>
    <w:rsid w:val="0DC44126"/>
    <w:rsid w:val="0DE71C28"/>
    <w:rsid w:val="0E2B113B"/>
    <w:rsid w:val="0E351DED"/>
    <w:rsid w:val="0E535C95"/>
    <w:rsid w:val="0E761999"/>
    <w:rsid w:val="0E991FD2"/>
    <w:rsid w:val="0EB86D2F"/>
    <w:rsid w:val="0EEC4A58"/>
    <w:rsid w:val="0F05087E"/>
    <w:rsid w:val="0F0A11A8"/>
    <w:rsid w:val="0F191B06"/>
    <w:rsid w:val="0F3A1C19"/>
    <w:rsid w:val="0F8519BF"/>
    <w:rsid w:val="0F902878"/>
    <w:rsid w:val="0F902CAE"/>
    <w:rsid w:val="0F9166CB"/>
    <w:rsid w:val="0FAF543B"/>
    <w:rsid w:val="10000315"/>
    <w:rsid w:val="10263975"/>
    <w:rsid w:val="102F4DE2"/>
    <w:rsid w:val="104A13A0"/>
    <w:rsid w:val="10840812"/>
    <w:rsid w:val="10A43239"/>
    <w:rsid w:val="10B460D9"/>
    <w:rsid w:val="10CC30B5"/>
    <w:rsid w:val="10E727A8"/>
    <w:rsid w:val="10EC1831"/>
    <w:rsid w:val="10F703EE"/>
    <w:rsid w:val="111437EA"/>
    <w:rsid w:val="116A2514"/>
    <w:rsid w:val="1178608E"/>
    <w:rsid w:val="11AD010B"/>
    <w:rsid w:val="11B63BEC"/>
    <w:rsid w:val="11CD11CE"/>
    <w:rsid w:val="11E22983"/>
    <w:rsid w:val="11EA636F"/>
    <w:rsid w:val="12091798"/>
    <w:rsid w:val="121E7DA1"/>
    <w:rsid w:val="123B05E9"/>
    <w:rsid w:val="12656328"/>
    <w:rsid w:val="126B0F86"/>
    <w:rsid w:val="12741488"/>
    <w:rsid w:val="12A0196C"/>
    <w:rsid w:val="12AF70DD"/>
    <w:rsid w:val="12B565EF"/>
    <w:rsid w:val="12E61919"/>
    <w:rsid w:val="12F94F48"/>
    <w:rsid w:val="13702BE7"/>
    <w:rsid w:val="137C3424"/>
    <w:rsid w:val="13B2213A"/>
    <w:rsid w:val="13C97910"/>
    <w:rsid w:val="13DA593E"/>
    <w:rsid w:val="13E93037"/>
    <w:rsid w:val="13ED7E54"/>
    <w:rsid w:val="13EF5E1E"/>
    <w:rsid w:val="140B7B7F"/>
    <w:rsid w:val="140C2C1C"/>
    <w:rsid w:val="14364A8F"/>
    <w:rsid w:val="144B721A"/>
    <w:rsid w:val="149A4538"/>
    <w:rsid w:val="149E09DA"/>
    <w:rsid w:val="14A25C12"/>
    <w:rsid w:val="14AE3B87"/>
    <w:rsid w:val="14BD5B4C"/>
    <w:rsid w:val="14EB0208"/>
    <w:rsid w:val="152425ED"/>
    <w:rsid w:val="15452127"/>
    <w:rsid w:val="15A23798"/>
    <w:rsid w:val="15C81CE7"/>
    <w:rsid w:val="15D7006F"/>
    <w:rsid w:val="15DC3767"/>
    <w:rsid w:val="1642055F"/>
    <w:rsid w:val="16692E1D"/>
    <w:rsid w:val="166D1B5C"/>
    <w:rsid w:val="166F531E"/>
    <w:rsid w:val="169C60B6"/>
    <w:rsid w:val="16AB42EB"/>
    <w:rsid w:val="16DA6C27"/>
    <w:rsid w:val="16FF62EE"/>
    <w:rsid w:val="17BA7039"/>
    <w:rsid w:val="17BD1B19"/>
    <w:rsid w:val="17BD7D07"/>
    <w:rsid w:val="17CD18B1"/>
    <w:rsid w:val="17E8471A"/>
    <w:rsid w:val="17E96260"/>
    <w:rsid w:val="17F513E6"/>
    <w:rsid w:val="17FD677F"/>
    <w:rsid w:val="183774E4"/>
    <w:rsid w:val="184E4C34"/>
    <w:rsid w:val="187223BB"/>
    <w:rsid w:val="18794241"/>
    <w:rsid w:val="1888583E"/>
    <w:rsid w:val="18D565E8"/>
    <w:rsid w:val="18E95A5F"/>
    <w:rsid w:val="18EC682A"/>
    <w:rsid w:val="190B0AF9"/>
    <w:rsid w:val="192823D8"/>
    <w:rsid w:val="19430D23"/>
    <w:rsid w:val="195C065B"/>
    <w:rsid w:val="197D72E1"/>
    <w:rsid w:val="19814669"/>
    <w:rsid w:val="1985311D"/>
    <w:rsid w:val="198F3908"/>
    <w:rsid w:val="19C23611"/>
    <w:rsid w:val="19DD3D84"/>
    <w:rsid w:val="19E014A5"/>
    <w:rsid w:val="19F118FB"/>
    <w:rsid w:val="1A517B56"/>
    <w:rsid w:val="1A5F5899"/>
    <w:rsid w:val="1A6250AB"/>
    <w:rsid w:val="1A7735AA"/>
    <w:rsid w:val="1A9D7F39"/>
    <w:rsid w:val="1AA90435"/>
    <w:rsid w:val="1B107785"/>
    <w:rsid w:val="1B1D634E"/>
    <w:rsid w:val="1B48645D"/>
    <w:rsid w:val="1B8B1E4D"/>
    <w:rsid w:val="1B9610FC"/>
    <w:rsid w:val="1BC33853"/>
    <w:rsid w:val="1BC47942"/>
    <w:rsid w:val="1C3F340C"/>
    <w:rsid w:val="1C6E3261"/>
    <w:rsid w:val="1C7C20D2"/>
    <w:rsid w:val="1C88083E"/>
    <w:rsid w:val="1CA405C6"/>
    <w:rsid w:val="1CB0172F"/>
    <w:rsid w:val="1CCB7A25"/>
    <w:rsid w:val="1CEB7D61"/>
    <w:rsid w:val="1CED207F"/>
    <w:rsid w:val="1D1038FB"/>
    <w:rsid w:val="1D481934"/>
    <w:rsid w:val="1D555A7F"/>
    <w:rsid w:val="1D641502"/>
    <w:rsid w:val="1D712E88"/>
    <w:rsid w:val="1D8B6A06"/>
    <w:rsid w:val="1D9C22EB"/>
    <w:rsid w:val="1DA65FB2"/>
    <w:rsid w:val="1DC52437"/>
    <w:rsid w:val="1DDC3A78"/>
    <w:rsid w:val="1DE93C74"/>
    <w:rsid w:val="1DF52D8D"/>
    <w:rsid w:val="1E1F5FBF"/>
    <w:rsid w:val="1E451514"/>
    <w:rsid w:val="1E4748E3"/>
    <w:rsid w:val="1E872B9C"/>
    <w:rsid w:val="1E891E81"/>
    <w:rsid w:val="1E9124A3"/>
    <w:rsid w:val="1E9D1868"/>
    <w:rsid w:val="1EDD1082"/>
    <w:rsid w:val="1EE473F2"/>
    <w:rsid w:val="1EF12781"/>
    <w:rsid w:val="1EF93D10"/>
    <w:rsid w:val="1F302AFA"/>
    <w:rsid w:val="1F310E8C"/>
    <w:rsid w:val="1F345BBF"/>
    <w:rsid w:val="1F3C1070"/>
    <w:rsid w:val="1F656780"/>
    <w:rsid w:val="1F6E3313"/>
    <w:rsid w:val="1F8830A2"/>
    <w:rsid w:val="1F94721C"/>
    <w:rsid w:val="1FD47C39"/>
    <w:rsid w:val="1FD55D8B"/>
    <w:rsid w:val="1FEE338D"/>
    <w:rsid w:val="1FFA77B9"/>
    <w:rsid w:val="201104B5"/>
    <w:rsid w:val="20896BE6"/>
    <w:rsid w:val="20CB670D"/>
    <w:rsid w:val="20EC72BA"/>
    <w:rsid w:val="2113675B"/>
    <w:rsid w:val="21717BB1"/>
    <w:rsid w:val="21770D5A"/>
    <w:rsid w:val="21900F12"/>
    <w:rsid w:val="21C9298E"/>
    <w:rsid w:val="21FD4856"/>
    <w:rsid w:val="21FF3D1F"/>
    <w:rsid w:val="22413A4A"/>
    <w:rsid w:val="22684875"/>
    <w:rsid w:val="22696A88"/>
    <w:rsid w:val="22864868"/>
    <w:rsid w:val="22B36434"/>
    <w:rsid w:val="22C823F7"/>
    <w:rsid w:val="22D74CC9"/>
    <w:rsid w:val="233108CE"/>
    <w:rsid w:val="233B6182"/>
    <w:rsid w:val="233F3D27"/>
    <w:rsid w:val="236C4678"/>
    <w:rsid w:val="23907D72"/>
    <w:rsid w:val="23A47E05"/>
    <w:rsid w:val="23B36914"/>
    <w:rsid w:val="2427761C"/>
    <w:rsid w:val="24464C0C"/>
    <w:rsid w:val="244B6221"/>
    <w:rsid w:val="2461150A"/>
    <w:rsid w:val="249B669A"/>
    <w:rsid w:val="249D6A6E"/>
    <w:rsid w:val="24C44F46"/>
    <w:rsid w:val="24CD1CD7"/>
    <w:rsid w:val="250C2BFC"/>
    <w:rsid w:val="25165313"/>
    <w:rsid w:val="25290FD7"/>
    <w:rsid w:val="25516E7F"/>
    <w:rsid w:val="258456B4"/>
    <w:rsid w:val="258A4634"/>
    <w:rsid w:val="25970914"/>
    <w:rsid w:val="25E4294C"/>
    <w:rsid w:val="25F16D7B"/>
    <w:rsid w:val="26813A06"/>
    <w:rsid w:val="26901181"/>
    <w:rsid w:val="2720349B"/>
    <w:rsid w:val="274A5D26"/>
    <w:rsid w:val="27557D2D"/>
    <w:rsid w:val="27B802EB"/>
    <w:rsid w:val="27DD6DEF"/>
    <w:rsid w:val="28095587"/>
    <w:rsid w:val="28453C39"/>
    <w:rsid w:val="2862363D"/>
    <w:rsid w:val="28AF19F8"/>
    <w:rsid w:val="28C2515E"/>
    <w:rsid w:val="291E265E"/>
    <w:rsid w:val="29280DAC"/>
    <w:rsid w:val="294D24D1"/>
    <w:rsid w:val="29561A8E"/>
    <w:rsid w:val="295C4FF9"/>
    <w:rsid w:val="29652769"/>
    <w:rsid w:val="297B45CD"/>
    <w:rsid w:val="29B8129C"/>
    <w:rsid w:val="29D70693"/>
    <w:rsid w:val="29FA2ED4"/>
    <w:rsid w:val="29FC5C50"/>
    <w:rsid w:val="2A152ADC"/>
    <w:rsid w:val="2A231A52"/>
    <w:rsid w:val="2A651183"/>
    <w:rsid w:val="2A774EC8"/>
    <w:rsid w:val="2A7A7BBF"/>
    <w:rsid w:val="2ABC38C7"/>
    <w:rsid w:val="2ABE3005"/>
    <w:rsid w:val="2AF13FD3"/>
    <w:rsid w:val="2AF14848"/>
    <w:rsid w:val="2B19015D"/>
    <w:rsid w:val="2B1E01A3"/>
    <w:rsid w:val="2B57519B"/>
    <w:rsid w:val="2B626CBE"/>
    <w:rsid w:val="2B7665D4"/>
    <w:rsid w:val="2BC41661"/>
    <w:rsid w:val="2BDA36F3"/>
    <w:rsid w:val="2BDF04BE"/>
    <w:rsid w:val="2C1B6E84"/>
    <w:rsid w:val="2C1C547A"/>
    <w:rsid w:val="2C1D4D7E"/>
    <w:rsid w:val="2C261D37"/>
    <w:rsid w:val="2C3432A1"/>
    <w:rsid w:val="2C736F55"/>
    <w:rsid w:val="2C823176"/>
    <w:rsid w:val="2C9C35FE"/>
    <w:rsid w:val="2D054B16"/>
    <w:rsid w:val="2D484E52"/>
    <w:rsid w:val="2D8447B4"/>
    <w:rsid w:val="2D8633C3"/>
    <w:rsid w:val="2D8A1F63"/>
    <w:rsid w:val="2D9052C4"/>
    <w:rsid w:val="2DA47214"/>
    <w:rsid w:val="2DAA4989"/>
    <w:rsid w:val="2DC24E7D"/>
    <w:rsid w:val="2DC754F4"/>
    <w:rsid w:val="2DCA6F6B"/>
    <w:rsid w:val="2DE32812"/>
    <w:rsid w:val="2DEA1671"/>
    <w:rsid w:val="2DEF79F1"/>
    <w:rsid w:val="2DF439B1"/>
    <w:rsid w:val="2DFF2F48"/>
    <w:rsid w:val="2E14149D"/>
    <w:rsid w:val="2E356B30"/>
    <w:rsid w:val="2E931D4A"/>
    <w:rsid w:val="2E9566A5"/>
    <w:rsid w:val="2ED92F98"/>
    <w:rsid w:val="2EDD50BE"/>
    <w:rsid w:val="2EF0322C"/>
    <w:rsid w:val="2F0629F2"/>
    <w:rsid w:val="2F150CB7"/>
    <w:rsid w:val="2F6E6EEE"/>
    <w:rsid w:val="2FAD7AD1"/>
    <w:rsid w:val="2FDE3495"/>
    <w:rsid w:val="2FDF0C2C"/>
    <w:rsid w:val="2FE34C42"/>
    <w:rsid w:val="30105F9B"/>
    <w:rsid w:val="30204B81"/>
    <w:rsid w:val="30664656"/>
    <w:rsid w:val="309B641A"/>
    <w:rsid w:val="30C42210"/>
    <w:rsid w:val="30D217B5"/>
    <w:rsid w:val="30F0394C"/>
    <w:rsid w:val="31074338"/>
    <w:rsid w:val="312E2A25"/>
    <w:rsid w:val="31556970"/>
    <w:rsid w:val="315A1365"/>
    <w:rsid w:val="317061B7"/>
    <w:rsid w:val="317F5EFB"/>
    <w:rsid w:val="3182736F"/>
    <w:rsid w:val="31967455"/>
    <w:rsid w:val="31C7431B"/>
    <w:rsid w:val="31EC70D7"/>
    <w:rsid w:val="32053477"/>
    <w:rsid w:val="32247F72"/>
    <w:rsid w:val="32553EF4"/>
    <w:rsid w:val="325B49D4"/>
    <w:rsid w:val="32BB7567"/>
    <w:rsid w:val="32BD2721"/>
    <w:rsid w:val="32C77E8A"/>
    <w:rsid w:val="32C81E4C"/>
    <w:rsid w:val="32CE032D"/>
    <w:rsid w:val="32D73F7A"/>
    <w:rsid w:val="33216491"/>
    <w:rsid w:val="333360C7"/>
    <w:rsid w:val="33573AD9"/>
    <w:rsid w:val="33723DD1"/>
    <w:rsid w:val="33B340B6"/>
    <w:rsid w:val="33FE4038"/>
    <w:rsid w:val="342E41C9"/>
    <w:rsid w:val="34547D19"/>
    <w:rsid w:val="345F0986"/>
    <w:rsid w:val="346B7679"/>
    <w:rsid w:val="347C0454"/>
    <w:rsid w:val="348225B9"/>
    <w:rsid w:val="348C58E7"/>
    <w:rsid w:val="34947551"/>
    <w:rsid w:val="34973D8A"/>
    <w:rsid w:val="34C6500A"/>
    <w:rsid w:val="34D73279"/>
    <w:rsid w:val="34DB2D3C"/>
    <w:rsid w:val="34EC7730"/>
    <w:rsid w:val="355E24D6"/>
    <w:rsid w:val="35733BBB"/>
    <w:rsid w:val="359B460C"/>
    <w:rsid w:val="35C03DDA"/>
    <w:rsid w:val="360526F2"/>
    <w:rsid w:val="360C528B"/>
    <w:rsid w:val="360E712B"/>
    <w:rsid w:val="362A50BC"/>
    <w:rsid w:val="366D6CD7"/>
    <w:rsid w:val="36811A25"/>
    <w:rsid w:val="36A17F00"/>
    <w:rsid w:val="36AD7056"/>
    <w:rsid w:val="36C15A92"/>
    <w:rsid w:val="36C21281"/>
    <w:rsid w:val="36C8377C"/>
    <w:rsid w:val="36CF6ABE"/>
    <w:rsid w:val="36D554E4"/>
    <w:rsid w:val="370201AC"/>
    <w:rsid w:val="370B1720"/>
    <w:rsid w:val="370E1E58"/>
    <w:rsid w:val="373E0D6A"/>
    <w:rsid w:val="375F3428"/>
    <w:rsid w:val="376B4EAF"/>
    <w:rsid w:val="3773F964"/>
    <w:rsid w:val="37926534"/>
    <w:rsid w:val="380D66FD"/>
    <w:rsid w:val="380F213C"/>
    <w:rsid w:val="384112B3"/>
    <w:rsid w:val="38590722"/>
    <w:rsid w:val="38966596"/>
    <w:rsid w:val="38B203D5"/>
    <w:rsid w:val="38C775CC"/>
    <w:rsid w:val="38CA2BC1"/>
    <w:rsid w:val="38D51313"/>
    <w:rsid w:val="38E92216"/>
    <w:rsid w:val="38ED56BE"/>
    <w:rsid w:val="38F329BE"/>
    <w:rsid w:val="390834E6"/>
    <w:rsid w:val="391629FE"/>
    <w:rsid w:val="392E5BCF"/>
    <w:rsid w:val="39317BEF"/>
    <w:rsid w:val="3955341E"/>
    <w:rsid w:val="39595B70"/>
    <w:rsid w:val="39925C80"/>
    <w:rsid w:val="399F0AC2"/>
    <w:rsid w:val="39A031C0"/>
    <w:rsid w:val="39C87203"/>
    <w:rsid w:val="39E80879"/>
    <w:rsid w:val="39E925C3"/>
    <w:rsid w:val="3A0D7DC5"/>
    <w:rsid w:val="3A1A16F3"/>
    <w:rsid w:val="3A3127AC"/>
    <w:rsid w:val="3A3E6BCB"/>
    <w:rsid w:val="3A5810A7"/>
    <w:rsid w:val="3A5B1572"/>
    <w:rsid w:val="3A762064"/>
    <w:rsid w:val="3A7F713C"/>
    <w:rsid w:val="3A9C44AF"/>
    <w:rsid w:val="3AA2292D"/>
    <w:rsid w:val="3ACA25F0"/>
    <w:rsid w:val="3AF11A46"/>
    <w:rsid w:val="3B0822C8"/>
    <w:rsid w:val="3B085F05"/>
    <w:rsid w:val="3B1456B8"/>
    <w:rsid w:val="3B287BE1"/>
    <w:rsid w:val="3B443AD5"/>
    <w:rsid w:val="3B5D7B1C"/>
    <w:rsid w:val="3B7B4D69"/>
    <w:rsid w:val="3B8135A4"/>
    <w:rsid w:val="3B970549"/>
    <w:rsid w:val="3B994BFD"/>
    <w:rsid w:val="3BBD4832"/>
    <w:rsid w:val="3BCF5A5E"/>
    <w:rsid w:val="3BD239EC"/>
    <w:rsid w:val="3C122A8A"/>
    <w:rsid w:val="3C3E5EE4"/>
    <w:rsid w:val="3C6F0F7B"/>
    <w:rsid w:val="3C7418E7"/>
    <w:rsid w:val="3CDD147C"/>
    <w:rsid w:val="3D104BE1"/>
    <w:rsid w:val="3D5C000A"/>
    <w:rsid w:val="3D8C41D7"/>
    <w:rsid w:val="3DA35A29"/>
    <w:rsid w:val="3DA73EAF"/>
    <w:rsid w:val="3DF42249"/>
    <w:rsid w:val="3E2B6DF5"/>
    <w:rsid w:val="3E3C4B2F"/>
    <w:rsid w:val="3E4B6146"/>
    <w:rsid w:val="3E657AED"/>
    <w:rsid w:val="3E7F0EBF"/>
    <w:rsid w:val="3E9903A8"/>
    <w:rsid w:val="3EB2768F"/>
    <w:rsid w:val="3F19586A"/>
    <w:rsid w:val="3FC349C2"/>
    <w:rsid w:val="3FC556D6"/>
    <w:rsid w:val="3FE44DB8"/>
    <w:rsid w:val="3FEC0AE1"/>
    <w:rsid w:val="40094E74"/>
    <w:rsid w:val="40374811"/>
    <w:rsid w:val="40A85FAB"/>
    <w:rsid w:val="40E258C5"/>
    <w:rsid w:val="40E55BE0"/>
    <w:rsid w:val="41230D04"/>
    <w:rsid w:val="417E6EBF"/>
    <w:rsid w:val="41913A46"/>
    <w:rsid w:val="41B00F87"/>
    <w:rsid w:val="41B02784"/>
    <w:rsid w:val="41BC60B1"/>
    <w:rsid w:val="41FB46B8"/>
    <w:rsid w:val="420D56C6"/>
    <w:rsid w:val="42173735"/>
    <w:rsid w:val="42250392"/>
    <w:rsid w:val="43097D0E"/>
    <w:rsid w:val="432223E2"/>
    <w:rsid w:val="43424788"/>
    <w:rsid w:val="43562F36"/>
    <w:rsid w:val="43904532"/>
    <w:rsid w:val="43B33259"/>
    <w:rsid w:val="43B41434"/>
    <w:rsid w:val="43C20985"/>
    <w:rsid w:val="43CD56BF"/>
    <w:rsid w:val="43D22E51"/>
    <w:rsid w:val="43F3080C"/>
    <w:rsid w:val="4415422A"/>
    <w:rsid w:val="444F7B9C"/>
    <w:rsid w:val="44F05B7E"/>
    <w:rsid w:val="44FE7E68"/>
    <w:rsid w:val="45137700"/>
    <w:rsid w:val="45144AC5"/>
    <w:rsid w:val="45271399"/>
    <w:rsid w:val="45443E07"/>
    <w:rsid w:val="4551515E"/>
    <w:rsid w:val="456125ED"/>
    <w:rsid w:val="45737CDE"/>
    <w:rsid w:val="457B3BCD"/>
    <w:rsid w:val="45855E61"/>
    <w:rsid w:val="45DF73AF"/>
    <w:rsid w:val="45F20DEB"/>
    <w:rsid w:val="45FA56C4"/>
    <w:rsid w:val="462A6398"/>
    <w:rsid w:val="462C343C"/>
    <w:rsid w:val="46943AA5"/>
    <w:rsid w:val="46A817A6"/>
    <w:rsid w:val="46AE1FD1"/>
    <w:rsid w:val="46B029BB"/>
    <w:rsid w:val="47017063"/>
    <w:rsid w:val="472A7855"/>
    <w:rsid w:val="47474047"/>
    <w:rsid w:val="47864C99"/>
    <w:rsid w:val="47BB5CFC"/>
    <w:rsid w:val="47CA372B"/>
    <w:rsid w:val="47F3112F"/>
    <w:rsid w:val="47FB6EBF"/>
    <w:rsid w:val="48053314"/>
    <w:rsid w:val="48067EEE"/>
    <w:rsid w:val="484C5A22"/>
    <w:rsid w:val="488B4FFC"/>
    <w:rsid w:val="489D1A03"/>
    <w:rsid w:val="48C058ED"/>
    <w:rsid w:val="48C91A4A"/>
    <w:rsid w:val="48E54EC0"/>
    <w:rsid w:val="48EE180D"/>
    <w:rsid w:val="494D545C"/>
    <w:rsid w:val="4960645D"/>
    <w:rsid w:val="496103A3"/>
    <w:rsid w:val="49AB0F30"/>
    <w:rsid w:val="49BB29A4"/>
    <w:rsid w:val="4A031A76"/>
    <w:rsid w:val="4A151C89"/>
    <w:rsid w:val="4A744044"/>
    <w:rsid w:val="4A8B6E09"/>
    <w:rsid w:val="4ACC4740"/>
    <w:rsid w:val="4ACE10D2"/>
    <w:rsid w:val="4AE03817"/>
    <w:rsid w:val="4B0B3C04"/>
    <w:rsid w:val="4B213E9D"/>
    <w:rsid w:val="4B607EE9"/>
    <w:rsid w:val="4BA361D7"/>
    <w:rsid w:val="4BB22189"/>
    <w:rsid w:val="4BC22F09"/>
    <w:rsid w:val="4BED480C"/>
    <w:rsid w:val="4BFD5E70"/>
    <w:rsid w:val="4C0D00D7"/>
    <w:rsid w:val="4C7B6FCD"/>
    <w:rsid w:val="4C884A5A"/>
    <w:rsid w:val="4CC72D89"/>
    <w:rsid w:val="4CC84C71"/>
    <w:rsid w:val="4D117C8A"/>
    <w:rsid w:val="4D1505B0"/>
    <w:rsid w:val="4D225ECF"/>
    <w:rsid w:val="4D967234"/>
    <w:rsid w:val="4DA423C7"/>
    <w:rsid w:val="4DDEDC03"/>
    <w:rsid w:val="4DDF585B"/>
    <w:rsid w:val="4E020D27"/>
    <w:rsid w:val="4E477AB1"/>
    <w:rsid w:val="4E5B735E"/>
    <w:rsid w:val="4E5E31B8"/>
    <w:rsid w:val="4E621340"/>
    <w:rsid w:val="4E870104"/>
    <w:rsid w:val="4ECC2F0C"/>
    <w:rsid w:val="4F1B520E"/>
    <w:rsid w:val="4F2B6A41"/>
    <w:rsid w:val="4F362CC2"/>
    <w:rsid w:val="4F4E07DE"/>
    <w:rsid w:val="4F59666D"/>
    <w:rsid w:val="4FDD6336"/>
    <w:rsid w:val="4FF107DF"/>
    <w:rsid w:val="50192ACC"/>
    <w:rsid w:val="50434517"/>
    <w:rsid w:val="50694B58"/>
    <w:rsid w:val="50973DBE"/>
    <w:rsid w:val="50FD137E"/>
    <w:rsid w:val="510C1095"/>
    <w:rsid w:val="518F5BD9"/>
    <w:rsid w:val="521F3F3D"/>
    <w:rsid w:val="5227297D"/>
    <w:rsid w:val="522959F4"/>
    <w:rsid w:val="5244343B"/>
    <w:rsid w:val="525A4745"/>
    <w:rsid w:val="525E10C0"/>
    <w:rsid w:val="52B6144E"/>
    <w:rsid w:val="52D77EB6"/>
    <w:rsid w:val="52E563B6"/>
    <w:rsid w:val="52EA2DD6"/>
    <w:rsid w:val="52EF47F1"/>
    <w:rsid w:val="52F43E2F"/>
    <w:rsid w:val="53185788"/>
    <w:rsid w:val="532507DC"/>
    <w:rsid w:val="532C2074"/>
    <w:rsid w:val="533303B3"/>
    <w:rsid w:val="534248DD"/>
    <w:rsid w:val="535348CC"/>
    <w:rsid w:val="53972C82"/>
    <w:rsid w:val="53B7A554"/>
    <w:rsid w:val="53BF3FD4"/>
    <w:rsid w:val="53E7288E"/>
    <w:rsid w:val="53F1011E"/>
    <w:rsid w:val="5432404E"/>
    <w:rsid w:val="5436328B"/>
    <w:rsid w:val="54AB1268"/>
    <w:rsid w:val="54C81EBE"/>
    <w:rsid w:val="54CA494A"/>
    <w:rsid w:val="54D91E6C"/>
    <w:rsid w:val="54EE3B71"/>
    <w:rsid w:val="54F832D0"/>
    <w:rsid w:val="54FD77D1"/>
    <w:rsid w:val="551E7DED"/>
    <w:rsid w:val="55350A2C"/>
    <w:rsid w:val="55495799"/>
    <w:rsid w:val="55556F44"/>
    <w:rsid w:val="556B53E2"/>
    <w:rsid w:val="559144FE"/>
    <w:rsid w:val="55A328A6"/>
    <w:rsid w:val="55AF0817"/>
    <w:rsid w:val="55CC36D2"/>
    <w:rsid w:val="55E6158E"/>
    <w:rsid w:val="55EB0278"/>
    <w:rsid w:val="55FE3AC6"/>
    <w:rsid w:val="56083F31"/>
    <w:rsid w:val="560E30DB"/>
    <w:rsid w:val="563B12F2"/>
    <w:rsid w:val="563D71B0"/>
    <w:rsid w:val="565374FE"/>
    <w:rsid w:val="565F755B"/>
    <w:rsid w:val="567E5F9A"/>
    <w:rsid w:val="56C404A1"/>
    <w:rsid w:val="56ED1797"/>
    <w:rsid w:val="570E1B6B"/>
    <w:rsid w:val="57365E12"/>
    <w:rsid w:val="573E5A96"/>
    <w:rsid w:val="576B45AD"/>
    <w:rsid w:val="577560B7"/>
    <w:rsid w:val="577C776F"/>
    <w:rsid w:val="577D68EC"/>
    <w:rsid w:val="5783613F"/>
    <w:rsid w:val="57B43108"/>
    <w:rsid w:val="57D34A42"/>
    <w:rsid w:val="57F02B43"/>
    <w:rsid w:val="57F65DE1"/>
    <w:rsid w:val="57FE4951"/>
    <w:rsid w:val="582334FD"/>
    <w:rsid w:val="582702A8"/>
    <w:rsid w:val="584619D1"/>
    <w:rsid w:val="58945FE7"/>
    <w:rsid w:val="589A7BAE"/>
    <w:rsid w:val="58A12B8D"/>
    <w:rsid w:val="58A77FED"/>
    <w:rsid w:val="58AF5A11"/>
    <w:rsid w:val="58FF29F8"/>
    <w:rsid w:val="5922116F"/>
    <w:rsid w:val="59320E4D"/>
    <w:rsid w:val="594B55C2"/>
    <w:rsid w:val="594B7983"/>
    <w:rsid w:val="59756D2D"/>
    <w:rsid w:val="5999104F"/>
    <w:rsid w:val="59A04917"/>
    <w:rsid w:val="59CB44CA"/>
    <w:rsid w:val="59FC3E42"/>
    <w:rsid w:val="5A0B7E7C"/>
    <w:rsid w:val="5A1D10B8"/>
    <w:rsid w:val="5A6B11AF"/>
    <w:rsid w:val="5ABA3287"/>
    <w:rsid w:val="5ACE7A7B"/>
    <w:rsid w:val="5AD63563"/>
    <w:rsid w:val="5B63400B"/>
    <w:rsid w:val="5B821644"/>
    <w:rsid w:val="5B835724"/>
    <w:rsid w:val="5BBE5961"/>
    <w:rsid w:val="5C20124A"/>
    <w:rsid w:val="5C2F0F6F"/>
    <w:rsid w:val="5C6752D7"/>
    <w:rsid w:val="5C7C3512"/>
    <w:rsid w:val="5C7C7023"/>
    <w:rsid w:val="5CA07C8F"/>
    <w:rsid w:val="5CA51D5E"/>
    <w:rsid w:val="5CB477B7"/>
    <w:rsid w:val="5CB53974"/>
    <w:rsid w:val="5CBA0C60"/>
    <w:rsid w:val="5CC22A8E"/>
    <w:rsid w:val="5CD71340"/>
    <w:rsid w:val="5D165963"/>
    <w:rsid w:val="5D312660"/>
    <w:rsid w:val="5D597A24"/>
    <w:rsid w:val="5D5E0F00"/>
    <w:rsid w:val="5D672FD9"/>
    <w:rsid w:val="5DA1310D"/>
    <w:rsid w:val="5DAB58DE"/>
    <w:rsid w:val="5DAF5FE1"/>
    <w:rsid w:val="5E6B0C35"/>
    <w:rsid w:val="5E846932"/>
    <w:rsid w:val="5EA6367E"/>
    <w:rsid w:val="5EA9493E"/>
    <w:rsid w:val="5EC7421E"/>
    <w:rsid w:val="5EDE68CC"/>
    <w:rsid w:val="5EED40FD"/>
    <w:rsid w:val="5EFF4A8F"/>
    <w:rsid w:val="5F1068FE"/>
    <w:rsid w:val="5F371598"/>
    <w:rsid w:val="5F465883"/>
    <w:rsid w:val="5F7F181A"/>
    <w:rsid w:val="5FB53ECB"/>
    <w:rsid w:val="5FBA0B75"/>
    <w:rsid w:val="5FF163FF"/>
    <w:rsid w:val="5FF27DC1"/>
    <w:rsid w:val="5FFFC44F"/>
    <w:rsid w:val="600E06F5"/>
    <w:rsid w:val="60322A25"/>
    <w:rsid w:val="606114DC"/>
    <w:rsid w:val="60733444"/>
    <w:rsid w:val="60A22BDF"/>
    <w:rsid w:val="60A54419"/>
    <w:rsid w:val="60B14230"/>
    <w:rsid w:val="60DF7841"/>
    <w:rsid w:val="6125322A"/>
    <w:rsid w:val="61594D81"/>
    <w:rsid w:val="6182240B"/>
    <w:rsid w:val="618F7BFA"/>
    <w:rsid w:val="61A84853"/>
    <w:rsid w:val="61AD69EC"/>
    <w:rsid w:val="61ED09B4"/>
    <w:rsid w:val="61FD60D8"/>
    <w:rsid w:val="61FE7B3E"/>
    <w:rsid w:val="62163B73"/>
    <w:rsid w:val="62252EC8"/>
    <w:rsid w:val="623126B4"/>
    <w:rsid w:val="623540B7"/>
    <w:rsid w:val="62452D07"/>
    <w:rsid w:val="62525A89"/>
    <w:rsid w:val="627534BA"/>
    <w:rsid w:val="62CC5834"/>
    <w:rsid w:val="62D766FE"/>
    <w:rsid w:val="62ED793C"/>
    <w:rsid w:val="62FB665C"/>
    <w:rsid w:val="637F6AD2"/>
    <w:rsid w:val="638F2C57"/>
    <w:rsid w:val="63953C13"/>
    <w:rsid w:val="63DF257F"/>
    <w:rsid w:val="63E537F3"/>
    <w:rsid w:val="64077C54"/>
    <w:rsid w:val="64B729A0"/>
    <w:rsid w:val="64E331DF"/>
    <w:rsid w:val="64EE6278"/>
    <w:rsid w:val="64EF43CA"/>
    <w:rsid w:val="65030467"/>
    <w:rsid w:val="651B5FF9"/>
    <w:rsid w:val="6522799B"/>
    <w:rsid w:val="652D7214"/>
    <w:rsid w:val="655FC5EF"/>
    <w:rsid w:val="65864ACE"/>
    <w:rsid w:val="65A97FB1"/>
    <w:rsid w:val="65E014E9"/>
    <w:rsid w:val="65E03FC2"/>
    <w:rsid w:val="66081495"/>
    <w:rsid w:val="66121C84"/>
    <w:rsid w:val="662B3A9C"/>
    <w:rsid w:val="66475E07"/>
    <w:rsid w:val="6651212D"/>
    <w:rsid w:val="66D97A1F"/>
    <w:rsid w:val="67293352"/>
    <w:rsid w:val="67312870"/>
    <w:rsid w:val="673169F4"/>
    <w:rsid w:val="6740199B"/>
    <w:rsid w:val="674A68B4"/>
    <w:rsid w:val="67666047"/>
    <w:rsid w:val="67895524"/>
    <w:rsid w:val="6796515B"/>
    <w:rsid w:val="67D01668"/>
    <w:rsid w:val="67DD66E0"/>
    <w:rsid w:val="67DEAB99"/>
    <w:rsid w:val="67FE2CA2"/>
    <w:rsid w:val="68353A27"/>
    <w:rsid w:val="684B18E2"/>
    <w:rsid w:val="68523303"/>
    <w:rsid w:val="68527C8F"/>
    <w:rsid w:val="685E28B6"/>
    <w:rsid w:val="688E1F83"/>
    <w:rsid w:val="68A015B4"/>
    <w:rsid w:val="68C12344"/>
    <w:rsid w:val="68CA4FE5"/>
    <w:rsid w:val="68D02714"/>
    <w:rsid w:val="68D81828"/>
    <w:rsid w:val="68F10600"/>
    <w:rsid w:val="690875F2"/>
    <w:rsid w:val="693E73CC"/>
    <w:rsid w:val="695C77CD"/>
    <w:rsid w:val="69633930"/>
    <w:rsid w:val="69677F4C"/>
    <w:rsid w:val="698626B7"/>
    <w:rsid w:val="69BF5A7B"/>
    <w:rsid w:val="69C22B16"/>
    <w:rsid w:val="69D85F6E"/>
    <w:rsid w:val="6A0C3186"/>
    <w:rsid w:val="6A0C7949"/>
    <w:rsid w:val="6A113B6C"/>
    <w:rsid w:val="6A5B4467"/>
    <w:rsid w:val="6AE77A4A"/>
    <w:rsid w:val="6B0F7DC4"/>
    <w:rsid w:val="6B4E2E45"/>
    <w:rsid w:val="6BF9386D"/>
    <w:rsid w:val="6C14566C"/>
    <w:rsid w:val="6C2031BA"/>
    <w:rsid w:val="6CA82F0E"/>
    <w:rsid w:val="6CBD5AE4"/>
    <w:rsid w:val="6CF91CFA"/>
    <w:rsid w:val="6D005E91"/>
    <w:rsid w:val="6D096488"/>
    <w:rsid w:val="6D8D1CE7"/>
    <w:rsid w:val="6DB50C05"/>
    <w:rsid w:val="6DC84AA6"/>
    <w:rsid w:val="6DF238E5"/>
    <w:rsid w:val="6DF60D0C"/>
    <w:rsid w:val="6E191EE8"/>
    <w:rsid w:val="6E2D7604"/>
    <w:rsid w:val="6E3564E8"/>
    <w:rsid w:val="6E5268BF"/>
    <w:rsid w:val="6E6474FC"/>
    <w:rsid w:val="6E79140D"/>
    <w:rsid w:val="6E7B59BE"/>
    <w:rsid w:val="6EAE05E1"/>
    <w:rsid w:val="6EBE0F7B"/>
    <w:rsid w:val="6EC86EA5"/>
    <w:rsid w:val="6EF06A69"/>
    <w:rsid w:val="6EFF4507"/>
    <w:rsid w:val="6F434EA2"/>
    <w:rsid w:val="6F55197C"/>
    <w:rsid w:val="6F5862FB"/>
    <w:rsid w:val="6F6A283B"/>
    <w:rsid w:val="6F810123"/>
    <w:rsid w:val="6FA62C9A"/>
    <w:rsid w:val="6FF7017E"/>
    <w:rsid w:val="6FF81B04"/>
    <w:rsid w:val="700E0316"/>
    <w:rsid w:val="701708AA"/>
    <w:rsid w:val="70341F4B"/>
    <w:rsid w:val="704D2B9E"/>
    <w:rsid w:val="70754D8D"/>
    <w:rsid w:val="708134FA"/>
    <w:rsid w:val="709C214D"/>
    <w:rsid w:val="70A63B0B"/>
    <w:rsid w:val="70BF79E5"/>
    <w:rsid w:val="70CF3EE8"/>
    <w:rsid w:val="70EA1F13"/>
    <w:rsid w:val="70FC05D1"/>
    <w:rsid w:val="710B47ED"/>
    <w:rsid w:val="71195C6D"/>
    <w:rsid w:val="715130AE"/>
    <w:rsid w:val="71784029"/>
    <w:rsid w:val="71832834"/>
    <w:rsid w:val="718D1EEB"/>
    <w:rsid w:val="71B95FA2"/>
    <w:rsid w:val="71BF3D2E"/>
    <w:rsid w:val="71CE6ADC"/>
    <w:rsid w:val="71DE0B86"/>
    <w:rsid w:val="71FE418F"/>
    <w:rsid w:val="721F6B5C"/>
    <w:rsid w:val="722146F2"/>
    <w:rsid w:val="724530A5"/>
    <w:rsid w:val="72E53EEC"/>
    <w:rsid w:val="72FA6890"/>
    <w:rsid w:val="72FB7C89"/>
    <w:rsid w:val="733B0885"/>
    <w:rsid w:val="733C0CA5"/>
    <w:rsid w:val="73655822"/>
    <w:rsid w:val="737077A5"/>
    <w:rsid w:val="73AB5845"/>
    <w:rsid w:val="73BE45CF"/>
    <w:rsid w:val="73CA55CA"/>
    <w:rsid w:val="74032E3B"/>
    <w:rsid w:val="743877E2"/>
    <w:rsid w:val="743A32A7"/>
    <w:rsid w:val="748E2655"/>
    <w:rsid w:val="74AD2984"/>
    <w:rsid w:val="74BC6B74"/>
    <w:rsid w:val="75055A90"/>
    <w:rsid w:val="75183B68"/>
    <w:rsid w:val="751F6487"/>
    <w:rsid w:val="75473D87"/>
    <w:rsid w:val="75502E69"/>
    <w:rsid w:val="75584156"/>
    <w:rsid w:val="755C337B"/>
    <w:rsid w:val="75727DA1"/>
    <w:rsid w:val="759E8AA8"/>
    <w:rsid w:val="75B474C1"/>
    <w:rsid w:val="75F05814"/>
    <w:rsid w:val="7619747B"/>
    <w:rsid w:val="76930597"/>
    <w:rsid w:val="769A5974"/>
    <w:rsid w:val="76A203BE"/>
    <w:rsid w:val="76B1695E"/>
    <w:rsid w:val="76C237F0"/>
    <w:rsid w:val="76D04AC7"/>
    <w:rsid w:val="76DD5EFB"/>
    <w:rsid w:val="76F70F89"/>
    <w:rsid w:val="770B0E0B"/>
    <w:rsid w:val="77104D12"/>
    <w:rsid w:val="77187814"/>
    <w:rsid w:val="772C26A6"/>
    <w:rsid w:val="772F17FB"/>
    <w:rsid w:val="7773712E"/>
    <w:rsid w:val="77761D32"/>
    <w:rsid w:val="778C7B8F"/>
    <w:rsid w:val="77A54F0A"/>
    <w:rsid w:val="77B56497"/>
    <w:rsid w:val="77FA5911"/>
    <w:rsid w:val="77FDEB90"/>
    <w:rsid w:val="78012C24"/>
    <w:rsid w:val="78150F56"/>
    <w:rsid w:val="783C5C5B"/>
    <w:rsid w:val="787F2D7C"/>
    <w:rsid w:val="789B3599"/>
    <w:rsid w:val="793A002E"/>
    <w:rsid w:val="79633CBF"/>
    <w:rsid w:val="79A92B12"/>
    <w:rsid w:val="79F958DE"/>
    <w:rsid w:val="79FB70D5"/>
    <w:rsid w:val="7A0422BC"/>
    <w:rsid w:val="7A1968EB"/>
    <w:rsid w:val="7A3A5DE4"/>
    <w:rsid w:val="7A4C6B52"/>
    <w:rsid w:val="7A5878BC"/>
    <w:rsid w:val="7A8B159B"/>
    <w:rsid w:val="7AA2462A"/>
    <w:rsid w:val="7ACE7B99"/>
    <w:rsid w:val="7AD134A9"/>
    <w:rsid w:val="7B011B65"/>
    <w:rsid w:val="7B1D3181"/>
    <w:rsid w:val="7B2368BD"/>
    <w:rsid w:val="7B45181B"/>
    <w:rsid w:val="7BAC5173"/>
    <w:rsid w:val="7BAF2F8E"/>
    <w:rsid w:val="7C615CA4"/>
    <w:rsid w:val="7C6447CD"/>
    <w:rsid w:val="7C9F056F"/>
    <w:rsid w:val="7CA358BE"/>
    <w:rsid w:val="7CB11288"/>
    <w:rsid w:val="7D077933"/>
    <w:rsid w:val="7D226B43"/>
    <w:rsid w:val="7D55A9A8"/>
    <w:rsid w:val="7D7B6617"/>
    <w:rsid w:val="7D7DBDFC"/>
    <w:rsid w:val="7D811617"/>
    <w:rsid w:val="7D9D088D"/>
    <w:rsid w:val="7DF01CAC"/>
    <w:rsid w:val="7E2C77AC"/>
    <w:rsid w:val="7E35388B"/>
    <w:rsid w:val="7E590686"/>
    <w:rsid w:val="7E5B29FA"/>
    <w:rsid w:val="7E6926CD"/>
    <w:rsid w:val="7E7FFEE7"/>
    <w:rsid w:val="7E8A06E0"/>
    <w:rsid w:val="7E8B36DE"/>
    <w:rsid w:val="7EA52FE7"/>
    <w:rsid w:val="7EBB69FC"/>
    <w:rsid w:val="7EC677B9"/>
    <w:rsid w:val="7EFB930F"/>
    <w:rsid w:val="7EFF0EC6"/>
    <w:rsid w:val="7F1C5EDD"/>
    <w:rsid w:val="7F530F9A"/>
    <w:rsid w:val="7F6C7526"/>
    <w:rsid w:val="7F994A47"/>
    <w:rsid w:val="7FA627C3"/>
    <w:rsid w:val="7FAB4F73"/>
    <w:rsid w:val="7FBB284A"/>
    <w:rsid w:val="7FBFED3C"/>
    <w:rsid w:val="7FEA48D2"/>
    <w:rsid w:val="7FEC7F4A"/>
    <w:rsid w:val="7FFD8F85"/>
    <w:rsid w:val="8BDF1F60"/>
    <w:rsid w:val="9AE7BF84"/>
    <w:rsid w:val="9F793739"/>
    <w:rsid w:val="BA9DA454"/>
    <w:rsid w:val="BDB65377"/>
    <w:rsid w:val="BE9FEDDE"/>
    <w:rsid w:val="BFB37408"/>
    <w:rsid w:val="C6D39AC8"/>
    <w:rsid w:val="D5DDDA21"/>
    <w:rsid w:val="DCDFCF5B"/>
    <w:rsid w:val="DDFA9E1A"/>
    <w:rsid w:val="DE4BDAC1"/>
    <w:rsid w:val="EAFFBC6A"/>
    <w:rsid w:val="ED7FF851"/>
    <w:rsid w:val="EF9FF6B9"/>
    <w:rsid w:val="F2FA5F1D"/>
    <w:rsid w:val="F7FD0F9F"/>
    <w:rsid w:val="FBD32283"/>
    <w:rsid w:val="FBD5B39C"/>
    <w:rsid w:val="FC9F6B02"/>
    <w:rsid w:val="FD9FA183"/>
    <w:rsid w:val="FDBBDDD3"/>
    <w:rsid w:val="FEF58669"/>
    <w:rsid w:val="FEF7FE6D"/>
    <w:rsid w:val="FF7E42ED"/>
    <w:rsid w:val="FFFF570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qFormat="1" w:uiPriority="39"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3">
    <w:name w:val="heading 1"/>
    <w:basedOn w:val="1"/>
    <w:next w:val="1"/>
    <w:link w:val="5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link w:val="58"/>
    <w:qFormat/>
    <w:uiPriority w:val="0"/>
    <w:pPr>
      <w:keepNext/>
      <w:keepLines/>
      <w:spacing w:before="260" w:after="260" w:line="416" w:lineRule="auto"/>
      <w:outlineLvl w:val="2"/>
    </w:pPr>
    <w:rPr>
      <w:b/>
      <w:bCs/>
      <w:sz w:val="32"/>
      <w:szCs w:val="32"/>
    </w:rPr>
  </w:style>
  <w:style w:type="paragraph" w:styleId="6">
    <w:name w:val="heading 4"/>
    <w:basedOn w:val="1"/>
    <w:next w:val="1"/>
    <w:link w:val="62"/>
    <w:qFormat/>
    <w:uiPriority w:val="0"/>
    <w:pPr>
      <w:keepNext/>
      <w:keepLines/>
      <w:spacing w:before="280" w:after="290" w:line="376" w:lineRule="auto"/>
      <w:outlineLvl w:val="3"/>
    </w:pPr>
    <w:rPr>
      <w:rFonts w:ascii="Cambria" w:hAnsi="Cambria"/>
      <w:b/>
      <w:bCs/>
      <w:szCs w:val="28"/>
    </w:rPr>
  </w:style>
  <w:style w:type="paragraph" w:styleId="7">
    <w:name w:val="heading 5"/>
    <w:basedOn w:val="1"/>
    <w:next w:val="1"/>
    <w:link w:val="60"/>
    <w:qFormat/>
    <w:uiPriority w:val="0"/>
    <w:pPr>
      <w:keepNext/>
      <w:keepLines/>
      <w:spacing w:before="280" w:after="290" w:line="376" w:lineRule="auto"/>
      <w:outlineLvl w:val="4"/>
    </w:pPr>
    <w:rPr>
      <w:b/>
      <w:bCs/>
      <w:szCs w:val="28"/>
    </w:rPr>
  </w:style>
  <w:style w:type="paragraph" w:styleId="8">
    <w:name w:val="heading 6"/>
    <w:basedOn w:val="1"/>
    <w:next w:val="1"/>
    <w:link w:val="64"/>
    <w:qFormat/>
    <w:uiPriority w:val="0"/>
    <w:pPr>
      <w:keepNext/>
      <w:keepLines/>
      <w:spacing w:before="240" w:after="64" w:line="320" w:lineRule="auto"/>
      <w:outlineLvl w:val="5"/>
    </w:pPr>
    <w:rPr>
      <w:rFonts w:ascii="Cambria" w:hAnsi="Cambria"/>
      <w:b/>
      <w:bCs/>
      <w:sz w:val="24"/>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customStyle="1" w:styleId="2">
    <w:name w:val="4、正文"/>
    <w:basedOn w:val="1"/>
    <w:qFormat/>
    <w:uiPriority w:val="0"/>
    <w:pPr>
      <w:ind w:firstLine="200" w:firstLineChars="200"/>
    </w:pPr>
    <w:rPr>
      <w:rFonts w:ascii="宋体"/>
      <w:sz w:val="24"/>
      <w:szCs w:val="28"/>
    </w:rPr>
  </w:style>
  <w:style w:type="paragraph" w:styleId="9">
    <w:name w:val="List Number"/>
    <w:basedOn w:val="1"/>
    <w:qFormat/>
    <w:uiPriority w:val="0"/>
    <w:pPr>
      <w:widowControl/>
      <w:tabs>
        <w:tab w:val="left" w:pos="454"/>
        <w:tab w:val="left" w:pos="720"/>
        <w:tab w:val="left" w:pos="900"/>
      </w:tabs>
      <w:spacing w:afterLines="50"/>
      <w:ind w:left="454" w:hanging="284"/>
      <w:jc w:val="left"/>
    </w:pPr>
    <w:rPr>
      <w:kern w:val="0"/>
      <w:sz w:val="24"/>
      <w:szCs w:val="20"/>
    </w:rPr>
  </w:style>
  <w:style w:type="paragraph" w:styleId="10">
    <w:name w:val="Normal Indent"/>
    <w:basedOn w:val="1"/>
    <w:next w:val="1"/>
    <w:qFormat/>
    <w:uiPriority w:val="0"/>
    <w:pPr>
      <w:ind w:firstLine="420"/>
    </w:pPr>
    <w:rPr>
      <w:sz w:val="21"/>
      <w:szCs w:val="20"/>
    </w:r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Document Map"/>
    <w:basedOn w:val="1"/>
    <w:link w:val="109"/>
    <w:qFormat/>
    <w:uiPriority w:val="0"/>
    <w:rPr>
      <w:rFonts w:ascii="宋体"/>
      <w:sz w:val="18"/>
      <w:szCs w:val="18"/>
    </w:rPr>
  </w:style>
  <w:style w:type="paragraph" w:styleId="13">
    <w:name w:val="annotation text"/>
    <w:basedOn w:val="1"/>
    <w:link w:val="67"/>
    <w:qFormat/>
    <w:uiPriority w:val="0"/>
    <w:rPr>
      <w:sz w:val="20"/>
      <w:szCs w:val="20"/>
    </w:rPr>
  </w:style>
  <w:style w:type="paragraph" w:styleId="14">
    <w:name w:val="Body Text 3"/>
    <w:basedOn w:val="1"/>
    <w:qFormat/>
    <w:uiPriority w:val="0"/>
    <w:pPr>
      <w:snapToGrid w:val="0"/>
      <w:spacing w:before="50" w:after="50"/>
    </w:pPr>
    <w:rPr>
      <w:rFonts w:hAnsi="宋体" w:eastAsia="仿宋_GB2312"/>
      <w:b/>
      <w:bCs/>
      <w:sz w:val="24"/>
      <w:szCs w:val="20"/>
    </w:rPr>
  </w:style>
  <w:style w:type="paragraph" w:styleId="15">
    <w:name w:val="Body Text"/>
    <w:basedOn w:val="1"/>
    <w:next w:val="16"/>
    <w:qFormat/>
    <w:uiPriority w:val="0"/>
    <w:pPr>
      <w:spacing w:after="120"/>
    </w:pPr>
  </w:style>
  <w:style w:type="paragraph" w:styleId="16">
    <w:name w:val="Body Text First Indent"/>
    <w:basedOn w:val="15"/>
    <w:next w:val="15"/>
    <w:qFormat/>
    <w:uiPriority w:val="0"/>
    <w:pPr>
      <w:ind w:firstLine="420" w:firstLineChars="100"/>
    </w:pPr>
    <w:rPr>
      <w:rFonts w:ascii="Calibri" w:hAnsi="Calibri"/>
      <w:sz w:val="21"/>
    </w:rPr>
  </w:style>
  <w:style w:type="paragraph" w:styleId="17">
    <w:name w:val="Body Text Indent"/>
    <w:basedOn w:val="1"/>
    <w:next w:val="1"/>
    <w:link w:val="63"/>
    <w:qFormat/>
    <w:uiPriority w:val="0"/>
    <w:pPr>
      <w:spacing w:line="200" w:lineRule="atLeast"/>
      <w:ind w:firstLine="301"/>
    </w:pPr>
    <w:rPr>
      <w:rFonts w:ascii="宋体" w:hAnsi="Courier New"/>
      <w:spacing w:val="-4"/>
      <w:sz w:val="18"/>
      <w:szCs w:val="20"/>
    </w:rPr>
  </w:style>
  <w:style w:type="paragraph" w:styleId="18">
    <w:name w:val="List Number 3"/>
    <w:basedOn w:val="1"/>
    <w:qFormat/>
    <w:uiPriority w:val="0"/>
    <w:pPr>
      <w:tabs>
        <w:tab w:val="left" w:pos="1200"/>
      </w:tabs>
      <w:ind w:left="720" w:hanging="420"/>
    </w:pPr>
    <w:rPr>
      <w:sz w:val="21"/>
    </w:rPr>
  </w:style>
  <w:style w:type="paragraph" w:styleId="19">
    <w:name w:val="List 2"/>
    <w:basedOn w:val="1"/>
    <w:qFormat/>
    <w:uiPriority w:val="0"/>
    <w:pPr>
      <w:ind w:left="200" w:leftChars="200" w:hanging="200" w:hangingChars="200"/>
    </w:pPr>
  </w:style>
  <w:style w:type="paragraph" w:styleId="20">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color w:val="000000"/>
      <w:kern w:val="0"/>
      <w:sz w:val="24"/>
    </w:rPr>
  </w:style>
  <w:style w:type="paragraph" w:styleId="21">
    <w:name w:val="Plain Text"/>
    <w:basedOn w:val="1"/>
    <w:next w:val="22"/>
    <w:link w:val="68"/>
    <w:qFormat/>
    <w:uiPriority w:val="0"/>
    <w:pPr>
      <w:spacing w:beforeLines="50" w:afterLines="50" w:line="400" w:lineRule="atLeast"/>
    </w:pPr>
    <w:rPr>
      <w:rFonts w:ascii="宋体" w:hAnsi="Courier New"/>
      <w:sz w:val="24"/>
    </w:rPr>
  </w:style>
  <w:style w:type="paragraph" w:styleId="22">
    <w:name w:val="Date"/>
    <w:basedOn w:val="1"/>
    <w:next w:val="1"/>
    <w:link w:val="70"/>
    <w:qFormat/>
    <w:uiPriority w:val="99"/>
    <w:pPr>
      <w:ind w:left="2500" w:leftChars="2500"/>
    </w:pPr>
    <w:rPr>
      <w:rFonts w:eastAsia="楷体_GB2312"/>
      <w:sz w:val="32"/>
      <w:szCs w:val="20"/>
    </w:rPr>
  </w:style>
  <w:style w:type="paragraph" w:styleId="23">
    <w:name w:val="Body Text Indent 2"/>
    <w:basedOn w:val="1"/>
    <w:link w:val="49"/>
    <w:qFormat/>
    <w:uiPriority w:val="0"/>
    <w:pPr>
      <w:snapToGrid w:val="0"/>
      <w:ind w:firstLine="542" w:firstLineChars="225"/>
    </w:pPr>
    <w:rPr>
      <w:rFonts w:ascii="仿宋_GB2312" w:hAnsi="宋体"/>
      <w:b/>
      <w:bCs/>
      <w:color w:val="000000"/>
      <w:sz w:val="24"/>
    </w:rPr>
  </w:style>
  <w:style w:type="paragraph" w:styleId="24">
    <w:name w:val="Balloon Text"/>
    <w:basedOn w:val="1"/>
    <w:link w:val="59"/>
    <w:qFormat/>
    <w:uiPriority w:val="0"/>
    <w:rPr>
      <w:sz w:val="18"/>
      <w:szCs w:val="18"/>
    </w:rPr>
  </w:style>
  <w:style w:type="paragraph" w:styleId="25">
    <w:name w:val="footer"/>
    <w:basedOn w:val="1"/>
    <w:link w:val="61"/>
    <w:qFormat/>
    <w:uiPriority w:val="0"/>
    <w:pPr>
      <w:tabs>
        <w:tab w:val="center" w:pos="4153"/>
        <w:tab w:val="right" w:pos="8306"/>
      </w:tabs>
      <w:snapToGrid w:val="0"/>
      <w:jc w:val="left"/>
    </w:pPr>
    <w:rPr>
      <w:sz w:val="18"/>
      <w:szCs w:val="18"/>
    </w:rPr>
  </w:style>
  <w:style w:type="paragraph" w:styleId="26">
    <w:name w:val="header"/>
    <w:basedOn w:val="1"/>
    <w:link w:val="52"/>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0"/>
    <w:rPr>
      <w:sz w:val="21"/>
    </w:rPr>
  </w:style>
  <w:style w:type="paragraph" w:styleId="28">
    <w:name w:val="List"/>
    <w:basedOn w:val="1"/>
    <w:qFormat/>
    <w:uiPriority w:val="0"/>
    <w:pPr>
      <w:ind w:left="200" w:hanging="200" w:hangingChars="200"/>
    </w:pPr>
  </w:style>
  <w:style w:type="paragraph" w:styleId="29">
    <w:name w:val="footnote text"/>
    <w:basedOn w:val="1"/>
    <w:qFormat/>
    <w:uiPriority w:val="0"/>
    <w:pPr>
      <w:snapToGrid w:val="0"/>
      <w:jc w:val="left"/>
    </w:pPr>
    <w:rPr>
      <w:rFonts w:eastAsia="仿宋_GB2312"/>
      <w:sz w:val="18"/>
      <w:szCs w:val="20"/>
    </w:rPr>
  </w:style>
  <w:style w:type="paragraph" w:styleId="30">
    <w:name w:val="toc 6"/>
    <w:basedOn w:val="1"/>
    <w:next w:val="1"/>
    <w:semiHidden/>
    <w:unhideWhenUsed/>
    <w:qFormat/>
    <w:uiPriority w:val="39"/>
    <w:pPr>
      <w:ind w:left="2100" w:leftChars="1000"/>
    </w:pPr>
  </w:style>
  <w:style w:type="paragraph" w:styleId="31">
    <w:name w:val="Body Text Indent 3"/>
    <w:basedOn w:val="1"/>
    <w:qFormat/>
    <w:uiPriority w:val="0"/>
    <w:pPr>
      <w:spacing w:after="120"/>
      <w:ind w:left="420" w:leftChars="200"/>
    </w:pPr>
    <w:rPr>
      <w:sz w:val="16"/>
      <w:szCs w:val="16"/>
    </w:rPr>
  </w:style>
  <w:style w:type="paragraph" w:styleId="32">
    <w:name w:val="Body Text 2"/>
    <w:basedOn w:val="1"/>
    <w:qFormat/>
    <w:uiPriority w:val="0"/>
    <w:pPr>
      <w:widowControl/>
      <w:snapToGrid w:val="0"/>
      <w:spacing w:before="50" w:afterLines="50" w:line="400" w:lineRule="atLeast"/>
      <w:jc w:val="left"/>
    </w:pPr>
    <w:rPr>
      <w:rFonts w:hint="eastAsia" w:ascii="宋体" w:hAnsi="宋体"/>
      <w:color w:val="000000"/>
      <w:sz w:val="24"/>
    </w:rPr>
  </w:style>
  <w:style w:type="paragraph" w:styleId="33">
    <w:name w:val="HTML Preformatted"/>
    <w:basedOn w:val="1"/>
    <w:link w:val="6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4">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35">
    <w:name w:val="Title"/>
    <w:basedOn w:val="1"/>
    <w:next w:val="1"/>
    <w:link w:val="73"/>
    <w:qFormat/>
    <w:uiPriority w:val="0"/>
    <w:pPr>
      <w:spacing w:before="240" w:after="60"/>
      <w:jc w:val="center"/>
      <w:outlineLvl w:val="0"/>
    </w:pPr>
    <w:rPr>
      <w:rFonts w:ascii="Arial" w:hAnsi="Arial" w:cs="Arial"/>
      <w:b/>
      <w:bCs/>
      <w:sz w:val="32"/>
      <w:szCs w:val="32"/>
    </w:rPr>
  </w:style>
  <w:style w:type="paragraph" w:styleId="36">
    <w:name w:val="annotation subject"/>
    <w:basedOn w:val="13"/>
    <w:next w:val="13"/>
    <w:link w:val="53"/>
    <w:qFormat/>
    <w:uiPriority w:val="0"/>
    <w:rPr>
      <w:b/>
      <w:bCs/>
    </w:rPr>
  </w:style>
  <w:style w:type="paragraph" w:styleId="37">
    <w:name w:val="Body Text First Indent 2"/>
    <w:basedOn w:val="17"/>
    <w:link w:val="72"/>
    <w:qFormat/>
    <w:uiPriority w:val="0"/>
    <w:pPr>
      <w:spacing w:after="120" w:line="240" w:lineRule="auto"/>
      <w:ind w:left="420" w:leftChars="200" w:firstLine="420" w:firstLineChars="200"/>
    </w:pPr>
    <w:rPr>
      <w:rFonts w:ascii="Times New Roman" w:hAnsi="Times New Roman"/>
      <w:sz w:val="28"/>
      <w:szCs w:val="24"/>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rFonts w:ascii="Times New Roman" w:hAnsi="Times New Roman" w:eastAsia="宋体" w:cs="Times New Roman"/>
      <w:b/>
      <w:bCs/>
    </w:rPr>
  </w:style>
  <w:style w:type="character" w:styleId="42">
    <w:name w:val="page number"/>
    <w:qFormat/>
    <w:uiPriority w:val="0"/>
    <w:rPr>
      <w:rFonts w:ascii="Times New Roman" w:hAnsi="Times New Roman" w:eastAsia="宋体" w:cs="Times New Roman"/>
    </w:rPr>
  </w:style>
  <w:style w:type="character" w:styleId="43">
    <w:name w:val="FollowedHyperlink"/>
    <w:qFormat/>
    <w:uiPriority w:val="0"/>
    <w:rPr>
      <w:rFonts w:ascii="Times New Roman" w:hAnsi="Times New Roman" w:eastAsia="宋体" w:cs="Times New Roman"/>
      <w:color w:val="800080"/>
      <w:u w:val="single"/>
    </w:rPr>
  </w:style>
  <w:style w:type="character" w:styleId="44">
    <w:name w:val="Hyperlink"/>
    <w:qFormat/>
    <w:uiPriority w:val="0"/>
    <w:rPr>
      <w:rFonts w:ascii="Times New Roman" w:hAnsi="Times New Roman" w:eastAsia="宋体" w:cs="Times New Roman"/>
      <w:color w:val="0000FF"/>
      <w:u w:val="single"/>
    </w:rPr>
  </w:style>
  <w:style w:type="character" w:styleId="45">
    <w:name w:val="annotation reference"/>
    <w:qFormat/>
    <w:uiPriority w:val="0"/>
    <w:rPr>
      <w:rFonts w:ascii="Times New Roman" w:hAnsi="Times New Roman" w:eastAsia="宋体" w:cs="Times New Roman"/>
      <w:sz w:val="16"/>
      <w:szCs w:val="16"/>
    </w:rPr>
  </w:style>
  <w:style w:type="character" w:styleId="46">
    <w:name w:val="footnote reference"/>
    <w:qFormat/>
    <w:uiPriority w:val="0"/>
    <w:rPr>
      <w:rFonts w:ascii="Times New Roman" w:hAnsi="Times New Roman" w:eastAsia="宋体" w:cs="Times New Roman"/>
      <w:vertAlign w:val="superscript"/>
    </w:rPr>
  </w:style>
  <w:style w:type="paragraph" w:customStyle="1" w:styleId="47">
    <w:name w:val="表格文字"/>
    <w:basedOn w:val="1"/>
    <w:next w:val="15"/>
    <w:qFormat/>
    <w:uiPriority w:val="0"/>
    <w:pPr>
      <w:adjustRightInd w:val="0"/>
      <w:spacing w:line="420" w:lineRule="atLeast"/>
      <w:jc w:val="left"/>
      <w:textAlignment w:val="baseline"/>
    </w:pPr>
    <w:rPr>
      <w:kern w:val="0"/>
      <w:szCs w:val="20"/>
    </w:rPr>
  </w:style>
  <w:style w:type="character" w:customStyle="1" w:styleId="48">
    <w:name w:val="NormalCharacter"/>
    <w:qFormat/>
    <w:uiPriority w:val="0"/>
  </w:style>
  <w:style w:type="character" w:customStyle="1" w:styleId="49">
    <w:name w:val="正文文本缩进 2 字符"/>
    <w:link w:val="23"/>
    <w:qFormat/>
    <w:uiPriority w:val="0"/>
    <w:rPr>
      <w:rFonts w:ascii="仿宋_GB2312" w:hAnsi="宋体" w:eastAsia="宋体" w:cs="Arial"/>
      <w:b/>
      <w:bCs/>
      <w:color w:val="000000"/>
      <w:kern w:val="2"/>
      <w:sz w:val="24"/>
      <w:szCs w:val="24"/>
    </w:rPr>
  </w:style>
  <w:style w:type="character" w:customStyle="1" w:styleId="50">
    <w:name w:val="标题 1 字符"/>
    <w:link w:val="3"/>
    <w:qFormat/>
    <w:uiPriority w:val="0"/>
    <w:rPr>
      <w:rFonts w:ascii="Times New Roman" w:hAnsi="Times New Roman" w:eastAsia="宋体" w:cs="Times New Roman"/>
      <w:b/>
      <w:bCs/>
      <w:kern w:val="44"/>
      <w:sz w:val="44"/>
      <w:szCs w:val="44"/>
    </w:rPr>
  </w:style>
  <w:style w:type="character" w:customStyle="1" w:styleId="51">
    <w:name w:val="fontstyle01"/>
    <w:qFormat/>
    <w:uiPriority w:val="0"/>
    <w:rPr>
      <w:rFonts w:ascii="新宋体" w:hAnsi="新宋体" w:eastAsia="新宋体" w:cs="新宋体"/>
      <w:color w:val="000000"/>
      <w:sz w:val="22"/>
      <w:szCs w:val="22"/>
    </w:rPr>
  </w:style>
  <w:style w:type="character" w:customStyle="1" w:styleId="52">
    <w:name w:val="页眉 字符"/>
    <w:link w:val="26"/>
    <w:qFormat/>
    <w:uiPriority w:val="0"/>
    <w:rPr>
      <w:rFonts w:ascii="Times New Roman" w:hAnsi="Times New Roman" w:eastAsia="宋体" w:cs="Times New Roman"/>
      <w:kern w:val="2"/>
      <w:sz w:val="18"/>
      <w:szCs w:val="18"/>
    </w:rPr>
  </w:style>
  <w:style w:type="character" w:customStyle="1" w:styleId="53">
    <w:name w:val="批注主题 字符"/>
    <w:link w:val="36"/>
    <w:qFormat/>
    <w:uiPriority w:val="0"/>
    <w:rPr>
      <w:rFonts w:ascii="Times New Roman" w:hAnsi="Times New Roman" w:eastAsia="宋体" w:cs="Times New Roman"/>
      <w:b/>
      <w:bCs/>
      <w:kern w:val="2"/>
      <w:lang w:val="en-US"/>
    </w:rPr>
  </w:style>
  <w:style w:type="character" w:customStyle="1" w:styleId="54">
    <w:name w:val="List Paragraph Char"/>
    <w:link w:val="55"/>
    <w:qFormat/>
    <w:uiPriority w:val="0"/>
    <w:rPr>
      <w:rFonts w:ascii="Times New Roman" w:hAnsi="Times New Roman" w:eastAsia="宋体" w:cs="Times New Roman"/>
      <w:kern w:val="2"/>
      <w:sz w:val="24"/>
      <w:szCs w:val="24"/>
    </w:rPr>
  </w:style>
  <w:style w:type="paragraph" w:customStyle="1" w:styleId="55">
    <w:name w:val="列出段落1"/>
    <w:basedOn w:val="1"/>
    <w:link w:val="54"/>
    <w:qFormat/>
    <w:uiPriority w:val="0"/>
    <w:pPr>
      <w:ind w:firstLine="420" w:firstLineChars="200"/>
    </w:pPr>
    <w:rPr>
      <w:sz w:val="24"/>
    </w:rPr>
  </w:style>
  <w:style w:type="character" w:customStyle="1" w:styleId="56">
    <w:name w:val="标题 2 Char"/>
    <w:qFormat/>
    <w:uiPriority w:val="0"/>
    <w:rPr>
      <w:rFonts w:ascii="Arial" w:hAnsi="Arial" w:eastAsia="黑体" w:cs="Times New Roman"/>
      <w:b/>
      <w:bCs/>
      <w:sz w:val="32"/>
      <w:szCs w:val="32"/>
      <w:lang w:val="en-US" w:eastAsia="zh-CN" w:bidi="ar-SA"/>
    </w:rPr>
  </w:style>
  <w:style w:type="character" w:customStyle="1" w:styleId="57">
    <w:name w:val="fontstyle11"/>
    <w:qFormat/>
    <w:uiPriority w:val="0"/>
    <w:rPr>
      <w:rFonts w:hint="eastAsia" w:ascii="宋体" w:hAnsi="宋体" w:eastAsia="宋体" w:cs="宋体"/>
      <w:color w:val="000000"/>
      <w:sz w:val="22"/>
      <w:szCs w:val="22"/>
    </w:rPr>
  </w:style>
  <w:style w:type="character" w:customStyle="1" w:styleId="58">
    <w:name w:val="标题 3 字符"/>
    <w:link w:val="5"/>
    <w:qFormat/>
    <w:uiPriority w:val="0"/>
    <w:rPr>
      <w:rFonts w:ascii="Times New Roman" w:hAnsi="Times New Roman" w:eastAsia="宋体" w:cs="Times New Roman"/>
      <w:b/>
      <w:bCs/>
      <w:kern w:val="2"/>
      <w:sz w:val="32"/>
      <w:szCs w:val="32"/>
    </w:rPr>
  </w:style>
  <w:style w:type="character" w:customStyle="1" w:styleId="59">
    <w:name w:val="批注框文本 字符"/>
    <w:link w:val="24"/>
    <w:qFormat/>
    <w:uiPriority w:val="0"/>
    <w:rPr>
      <w:rFonts w:ascii="Times New Roman" w:hAnsi="Times New Roman" w:eastAsia="宋体" w:cs="Times New Roman"/>
      <w:kern w:val="2"/>
      <w:sz w:val="18"/>
      <w:szCs w:val="18"/>
    </w:rPr>
  </w:style>
  <w:style w:type="character" w:customStyle="1" w:styleId="60">
    <w:name w:val="标题 5 字符"/>
    <w:link w:val="7"/>
    <w:qFormat/>
    <w:uiPriority w:val="0"/>
    <w:rPr>
      <w:rFonts w:ascii="Times New Roman" w:hAnsi="Times New Roman" w:eastAsia="宋体" w:cs="Times New Roman"/>
      <w:b/>
      <w:bCs/>
      <w:kern w:val="2"/>
      <w:sz w:val="28"/>
      <w:szCs w:val="28"/>
    </w:rPr>
  </w:style>
  <w:style w:type="character" w:customStyle="1" w:styleId="61">
    <w:name w:val="页脚 字符"/>
    <w:link w:val="25"/>
    <w:qFormat/>
    <w:uiPriority w:val="0"/>
    <w:rPr>
      <w:rFonts w:ascii="Times New Roman" w:hAnsi="Times New Roman" w:eastAsia="宋体" w:cs="Times New Roman"/>
      <w:kern w:val="2"/>
      <w:sz w:val="18"/>
      <w:szCs w:val="18"/>
    </w:rPr>
  </w:style>
  <w:style w:type="character" w:customStyle="1" w:styleId="62">
    <w:name w:val="标题 4 字符"/>
    <w:link w:val="6"/>
    <w:qFormat/>
    <w:uiPriority w:val="0"/>
    <w:rPr>
      <w:rFonts w:ascii="Cambria" w:hAnsi="Cambria" w:eastAsia="宋体" w:cs="Times New Roman"/>
      <w:b/>
      <w:bCs/>
      <w:kern w:val="2"/>
      <w:sz w:val="28"/>
      <w:szCs w:val="28"/>
    </w:rPr>
  </w:style>
  <w:style w:type="character" w:customStyle="1" w:styleId="63">
    <w:name w:val="正文文本缩进 字符"/>
    <w:link w:val="17"/>
    <w:qFormat/>
    <w:uiPriority w:val="0"/>
    <w:rPr>
      <w:rFonts w:ascii="宋体" w:hAnsi="Courier New" w:eastAsia="宋体" w:cs="Times New Roman"/>
      <w:spacing w:val="-4"/>
      <w:kern w:val="2"/>
      <w:sz w:val="18"/>
    </w:rPr>
  </w:style>
  <w:style w:type="character" w:customStyle="1" w:styleId="64">
    <w:name w:val="标题 6 字符"/>
    <w:link w:val="8"/>
    <w:qFormat/>
    <w:uiPriority w:val="0"/>
    <w:rPr>
      <w:rFonts w:ascii="Cambria" w:hAnsi="Cambria" w:eastAsia="宋体" w:cs="Times New Roman"/>
      <w:b/>
      <w:bCs/>
      <w:kern w:val="2"/>
      <w:sz w:val="24"/>
      <w:szCs w:val="24"/>
    </w:rPr>
  </w:style>
  <w:style w:type="character" w:customStyle="1" w:styleId="65">
    <w:name w:val="HTML 预设格式 字符"/>
    <w:link w:val="33"/>
    <w:qFormat/>
    <w:uiPriority w:val="0"/>
    <w:rPr>
      <w:rFonts w:ascii="宋体" w:hAnsi="宋体" w:eastAsia="宋体" w:cs="Times New Roman"/>
      <w:sz w:val="24"/>
      <w:szCs w:val="24"/>
    </w:rPr>
  </w:style>
  <w:style w:type="character" w:customStyle="1" w:styleId="66">
    <w:name w:val="纯文本 Char1"/>
    <w:qFormat/>
    <w:uiPriority w:val="0"/>
    <w:rPr>
      <w:rFonts w:ascii="宋体" w:hAnsi="Courier New" w:eastAsia="宋体" w:cs="Times New Roman"/>
      <w:kern w:val="2"/>
      <w:sz w:val="24"/>
      <w:szCs w:val="24"/>
      <w:lang w:val="en-US" w:eastAsia="zh-CN" w:bidi="ar-SA"/>
    </w:rPr>
  </w:style>
  <w:style w:type="character" w:customStyle="1" w:styleId="67">
    <w:name w:val="批注文字 字符"/>
    <w:link w:val="13"/>
    <w:qFormat/>
    <w:uiPriority w:val="0"/>
    <w:rPr>
      <w:rFonts w:ascii="Times New Roman" w:hAnsi="Times New Roman" w:eastAsia="宋体" w:cs="Times New Roman"/>
      <w:kern w:val="2"/>
      <w:lang w:val="en-US"/>
    </w:rPr>
  </w:style>
  <w:style w:type="character" w:customStyle="1" w:styleId="68">
    <w:name w:val="纯文本 字符"/>
    <w:link w:val="21"/>
    <w:qFormat/>
    <w:uiPriority w:val="0"/>
    <w:rPr>
      <w:rFonts w:ascii="宋体" w:hAnsi="Courier New" w:eastAsia="宋体" w:cs="Times New Roman"/>
      <w:kern w:val="2"/>
      <w:sz w:val="24"/>
      <w:szCs w:val="24"/>
      <w:lang w:val="en-US" w:eastAsia="zh-CN" w:bidi="ar-SA"/>
    </w:rPr>
  </w:style>
  <w:style w:type="character" w:customStyle="1" w:styleId="69">
    <w:name w:val="标题 2 字符"/>
    <w:link w:val="4"/>
    <w:qFormat/>
    <w:uiPriority w:val="0"/>
    <w:rPr>
      <w:rFonts w:ascii="Arial" w:hAnsi="Arial" w:eastAsia="黑体" w:cs="Times New Roman"/>
      <w:b/>
      <w:bCs/>
      <w:kern w:val="2"/>
      <w:sz w:val="32"/>
      <w:szCs w:val="32"/>
    </w:rPr>
  </w:style>
  <w:style w:type="character" w:customStyle="1" w:styleId="70">
    <w:name w:val="日期 字符"/>
    <w:link w:val="22"/>
    <w:qFormat/>
    <w:uiPriority w:val="99"/>
    <w:rPr>
      <w:rFonts w:ascii="Times New Roman" w:hAnsi="Times New Roman" w:eastAsia="楷体_GB2312" w:cs="Times New Roman"/>
      <w:kern w:val="2"/>
      <w:sz w:val="32"/>
    </w:rPr>
  </w:style>
  <w:style w:type="character" w:customStyle="1" w:styleId="71">
    <w:name w:val="标题 1 Char Char"/>
    <w:qFormat/>
    <w:uiPriority w:val="0"/>
    <w:rPr>
      <w:rFonts w:ascii="Times New Roman" w:hAnsi="Times New Roman" w:eastAsia="宋体" w:cs="Times New Roman"/>
      <w:b/>
      <w:spacing w:val="-2"/>
      <w:sz w:val="24"/>
      <w:lang w:val="en-US" w:eastAsia="zh-CN" w:bidi="ar-SA"/>
    </w:rPr>
  </w:style>
  <w:style w:type="character" w:customStyle="1" w:styleId="72">
    <w:name w:val="正文文本首行缩进 2 字符"/>
    <w:link w:val="37"/>
    <w:qFormat/>
    <w:uiPriority w:val="0"/>
    <w:rPr>
      <w:rFonts w:ascii="宋体" w:hAnsi="Courier New" w:eastAsia="宋体" w:cs="Times New Roman"/>
      <w:spacing w:val="-4"/>
      <w:kern w:val="2"/>
      <w:sz w:val="28"/>
      <w:szCs w:val="24"/>
    </w:rPr>
  </w:style>
  <w:style w:type="character" w:customStyle="1" w:styleId="73">
    <w:name w:val="标题 字符"/>
    <w:link w:val="35"/>
    <w:qFormat/>
    <w:uiPriority w:val="0"/>
    <w:rPr>
      <w:rFonts w:ascii="Arial" w:hAnsi="Arial" w:eastAsia="宋体" w:cs="Arial"/>
      <w:b/>
      <w:bCs/>
      <w:kern w:val="2"/>
      <w:sz w:val="32"/>
      <w:szCs w:val="32"/>
      <w:lang w:val="en-US" w:eastAsia="zh-CN" w:bidi="ar-SA"/>
    </w:rPr>
  </w:style>
  <w:style w:type="paragraph" w:customStyle="1" w:styleId="74">
    <w:name w:val="默认段落字体 Para Char Char Char Char Char Char Char Char Char1 Char Char Char Char"/>
    <w:basedOn w:val="1"/>
    <w:qFormat/>
    <w:uiPriority w:val="0"/>
    <w:rPr>
      <w:rFonts w:ascii="Tahoma" w:hAnsi="Tahoma"/>
      <w:sz w:val="24"/>
      <w:szCs w:val="20"/>
    </w:rPr>
  </w:style>
  <w:style w:type="paragraph" w:customStyle="1" w:styleId="75">
    <w:name w:val="_Style 2"/>
    <w:qFormat/>
    <w:uiPriority w:val="0"/>
    <w:pPr>
      <w:adjustRightInd w:val="0"/>
      <w:snapToGrid w:val="0"/>
    </w:pPr>
    <w:rPr>
      <w:rFonts w:ascii="Tahoma" w:hAnsi="Tahoma" w:eastAsia="微软雅黑" w:cs="Tahoma"/>
      <w:sz w:val="22"/>
      <w:szCs w:val="22"/>
      <w:lang w:val="en-US" w:eastAsia="zh-CN" w:bidi="ar-SA"/>
    </w:rPr>
  </w:style>
  <w:style w:type="paragraph" w:customStyle="1" w:styleId="7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7">
    <w:name w:val="正文1"/>
    <w:qFormat/>
    <w:uiPriority w:val="0"/>
    <w:pPr>
      <w:widowControl w:val="0"/>
      <w:jc w:val="both"/>
    </w:pPr>
    <w:rPr>
      <w:rFonts w:hint="eastAsia" w:ascii="Calibri" w:hAnsi="Calibri" w:eastAsia="宋体" w:cs="Times New Roman"/>
      <w:kern w:val="2"/>
      <w:sz w:val="21"/>
      <w:lang w:val="en-US" w:eastAsia="zh-CN" w:bidi="ar-SA"/>
    </w:rPr>
  </w:style>
  <w:style w:type="paragraph" w:customStyle="1" w:styleId="78">
    <w:name w:val="修订1"/>
    <w:qFormat/>
    <w:uiPriority w:val="0"/>
    <w:rPr>
      <w:rFonts w:ascii="Times New Roman" w:hAnsi="Times New Roman" w:eastAsia="宋体" w:cs="Times New Roman"/>
      <w:kern w:val="2"/>
      <w:sz w:val="28"/>
      <w:szCs w:val="24"/>
      <w:lang w:val="en-US" w:eastAsia="zh-CN" w:bidi="ar-SA"/>
    </w:rPr>
  </w:style>
  <w:style w:type="paragraph" w:customStyle="1" w:styleId="79">
    <w:name w:val="Char2"/>
    <w:basedOn w:val="1"/>
    <w:next w:val="1"/>
    <w:qFormat/>
    <w:uiPriority w:val="0"/>
    <w:pPr>
      <w:spacing w:before="120" w:line="360" w:lineRule="auto"/>
      <w:ind w:firstLine="425"/>
    </w:pPr>
    <w:rPr>
      <w:sz w:val="24"/>
    </w:rPr>
  </w:style>
  <w:style w:type="paragraph" w:customStyle="1" w:styleId="80">
    <w:name w:val="正文段"/>
    <w:basedOn w:val="1"/>
    <w:qFormat/>
    <w:uiPriority w:val="0"/>
    <w:pPr>
      <w:widowControl/>
      <w:snapToGrid w:val="0"/>
      <w:spacing w:afterLines="50"/>
      <w:ind w:firstLine="200" w:firstLineChars="200"/>
    </w:pPr>
    <w:rPr>
      <w:kern w:val="0"/>
      <w:sz w:val="24"/>
      <w:szCs w:val="20"/>
    </w:rPr>
  </w:style>
  <w:style w:type="paragraph" w:customStyle="1" w:styleId="81">
    <w:name w:val="msolistparagraph"/>
    <w:basedOn w:val="1"/>
    <w:qFormat/>
    <w:uiPriority w:val="0"/>
    <w:pPr>
      <w:ind w:firstLine="420" w:firstLineChars="200"/>
    </w:pPr>
    <w:rPr>
      <w:rFonts w:ascii="Calibri" w:hAnsi="Calibri"/>
      <w:szCs w:val="28"/>
    </w:rPr>
  </w:style>
  <w:style w:type="paragraph" w:customStyle="1" w:styleId="82">
    <w:name w:val="Char"/>
    <w:basedOn w:val="1"/>
    <w:qFormat/>
    <w:uiPriority w:val="0"/>
    <w:rPr>
      <w:sz w:val="21"/>
    </w:rPr>
  </w:style>
  <w:style w:type="paragraph" w:customStyle="1" w:styleId="83">
    <w:name w:val="正文缩进1"/>
    <w:basedOn w:val="1"/>
    <w:qFormat/>
    <w:uiPriority w:val="0"/>
    <w:pPr>
      <w:adjustRightInd w:val="0"/>
      <w:snapToGrid w:val="0"/>
      <w:spacing w:line="360" w:lineRule="auto"/>
      <w:ind w:firstLine="420" w:firstLineChars="200"/>
    </w:pPr>
    <w:rPr>
      <w:sz w:val="24"/>
      <w:szCs w:val="22"/>
    </w:rPr>
  </w:style>
  <w:style w:type="paragraph" w:customStyle="1" w:styleId="84">
    <w:name w:val="Proposals body"/>
    <w:basedOn w:val="1"/>
    <w:next w:val="1"/>
    <w:qFormat/>
    <w:uiPriority w:val="0"/>
    <w:pPr>
      <w:widowControl/>
      <w:spacing w:line="360" w:lineRule="auto"/>
      <w:jc w:val="left"/>
    </w:pPr>
    <w:rPr>
      <w:rFonts w:ascii="宋体"/>
      <w:snapToGrid w:val="0"/>
      <w:color w:val="000000"/>
      <w:kern w:val="0"/>
      <w:sz w:val="24"/>
      <w:szCs w:val="20"/>
    </w:rPr>
  </w:style>
  <w:style w:type="paragraph" w:customStyle="1" w:styleId="85">
    <w:name w:val="标准正文"/>
    <w:basedOn w:val="1"/>
    <w:qFormat/>
    <w:uiPriority w:val="0"/>
    <w:pPr>
      <w:spacing w:afterLines="50"/>
      <w:ind w:firstLine="200" w:firstLineChars="200"/>
    </w:pPr>
    <w:rPr>
      <w:sz w:val="24"/>
      <w:szCs w:val="21"/>
    </w:rPr>
  </w:style>
  <w:style w:type="paragraph" w:customStyle="1" w:styleId="86">
    <w:name w:val="正文首行缩进2字符"/>
    <w:basedOn w:val="1"/>
    <w:qFormat/>
    <w:uiPriority w:val="0"/>
    <w:pPr>
      <w:spacing w:line="360" w:lineRule="auto"/>
      <w:ind w:firstLine="200" w:firstLineChars="200"/>
    </w:pPr>
    <w:rPr>
      <w:sz w:val="24"/>
      <w:szCs w:val="20"/>
    </w:rPr>
  </w:style>
  <w:style w:type="paragraph" w:customStyle="1" w:styleId="87">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88">
    <w:name w:val="Char Char Char1"/>
    <w:basedOn w:val="1"/>
    <w:qFormat/>
    <w:uiPriority w:val="0"/>
    <w:rPr>
      <w:sz w:val="21"/>
    </w:rPr>
  </w:style>
  <w:style w:type="paragraph" w:customStyle="1" w:styleId="89">
    <w:name w:val="列表段落1"/>
    <w:basedOn w:val="1"/>
    <w:qFormat/>
    <w:uiPriority w:val="0"/>
    <w:pPr>
      <w:ind w:firstLine="420" w:firstLineChars="200"/>
    </w:pPr>
    <w:rPr>
      <w:sz w:val="21"/>
    </w:rPr>
  </w:style>
  <w:style w:type="paragraph" w:customStyle="1" w:styleId="90">
    <w:name w:val="列出段落2"/>
    <w:basedOn w:val="1"/>
    <w:qFormat/>
    <w:uiPriority w:val="0"/>
    <w:pPr>
      <w:spacing w:before="100" w:line="500" w:lineRule="exact"/>
      <w:ind w:firstLine="420" w:firstLineChars="200"/>
    </w:pPr>
    <w:rPr>
      <w:rFonts w:ascii="宋体" w:hAnsi="宋体"/>
      <w:kern w:val="0"/>
      <w:sz w:val="20"/>
      <w:szCs w:val="20"/>
    </w:rPr>
  </w:style>
  <w:style w:type="paragraph" w:customStyle="1" w:styleId="91">
    <w:name w:val="默认"/>
    <w:qFormat/>
    <w:uiPriority w:val="0"/>
    <w:rPr>
      <w:rFonts w:hint="eastAsia" w:ascii="Arial Unicode MS" w:hAnsi="Arial Unicode MS" w:eastAsia="Helvetica" w:cs="Arial Unicode MS"/>
      <w:color w:val="000000"/>
      <w:sz w:val="22"/>
      <w:szCs w:val="22"/>
      <w:lang w:val="zh-CN" w:eastAsia="zh-CN" w:bidi="ar-SA"/>
    </w:rPr>
  </w:style>
  <w:style w:type="paragraph" w:customStyle="1" w:styleId="92">
    <w:name w:val="Normal (Web)1"/>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正文2"/>
    <w:basedOn w:val="1"/>
    <w:qFormat/>
    <w:uiPriority w:val="0"/>
    <w:pPr>
      <w:spacing w:before="156" w:line="360" w:lineRule="auto"/>
      <w:ind w:firstLine="510" w:firstLineChars="200"/>
    </w:pPr>
    <w:rPr>
      <w:sz w:val="24"/>
      <w:szCs w:val="20"/>
    </w:rPr>
  </w:style>
  <w:style w:type="paragraph" w:customStyle="1" w:styleId="95">
    <w:name w:val="zw"/>
    <w:basedOn w:val="1"/>
    <w:qFormat/>
    <w:uiPriority w:val="0"/>
    <w:pPr>
      <w:widowControl/>
      <w:spacing w:before="30"/>
      <w:ind w:left="100" w:right="100"/>
    </w:pPr>
    <w:rPr>
      <w:rFonts w:ascii="方正书宋简体" w:hAnsi="宋体" w:eastAsia="方正书宋简体"/>
      <w:color w:val="000000"/>
      <w:kern w:val="0"/>
      <w:sz w:val="21"/>
      <w:szCs w:val="21"/>
    </w:rPr>
  </w:style>
  <w:style w:type="paragraph" w:customStyle="1" w:styleId="96">
    <w:name w:val="样式 标题 2 + Times New Roman 四号 非加粗 段前: 5 磅 段后: 0 磅 行距: 固定值 20..."/>
    <w:basedOn w:val="4"/>
    <w:qFormat/>
    <w:uiPriority w:val="0"/>
    <w:pPr>
      <w:spacing w:before="100" w:after="0" w:line="400" w:lineRule="exact"/>
    </w:pPr>
    <w:rPr>
      <w:rFonts w:ascii="Times New Roman" w:hAnsi="Times New Roman" w:eastAsia="宋体" w:cs="宋体"/>
      <w:b w:val="0"/>
      <w:bCs w:val="0"/>
      <w:sz w:val="28"/>
      <w:szCs w:val="20"/>
    </w:rPr>
  </w:style>
  <w:style w:type="paragraph" w:customStyle="1" w:styleId="97">
    <w:name w:val="p15"/>
    <w:basedOn w:val="1"/>
    <w:qFormat/>
    <w:uiPriority w:val="0"/>
    <w:pPr>
      <w:widowControl/>
      <w:spacing w:line="360" w:lineRule="auto"/>
      <w:ind w:firstLine="403"/>
    </w:pPr>
    <w:rPr>
      <w:rFonts w:ascii="仿宋_GB2312" w:hAnsi="宋体" w:eastAsia="仿宋_GB2312" w:cs="宋体"/>
      <w:kern w:val="0"/>
      <w:szCs w:val="28"/>
    </w:rPr>
  </w:style>
  <w:style w:type="paragraph" w:customStyle="1" w:styleId="98">
    <w:name w:val="Char11"/>
    <w:basedOn w:val="1"/>
    <w:qFormat/>
    <w:uiPriority w:val="0"/>
    <w:rPr>
      <w:sz w:val="24"/>
    </w:rPr>
  </w:style>
  <w:style w:type="paragraph" w:customStyle="1" w:styleId="99">
    <w:name w:val="正文表格内容（居中）"/>
    <w:basedOn w:val="1"/>
    <w:qFormat/>
    <w:uiPriority w:val="0"/>
    <w:pPr>
      <w:widowControl/>
      <w:jc w:val="center"/>
    </w:pPr>
    <w:rPr>
      <w:rFonts w:ascii="Arial" w:hAnsi="Arial" w:cs="Arial"/>
      <w:kern w:val="0"/>
      <w:sz w:val="21"/>
      <w:szCs w:val="18"/>
    </w:rPr>
  </w:style>
  <w:style w:type="paragraph" w:customStyle="1" w:styleId="10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01">
    <w:name w:val="纯文本1"/>
    <w:basedOn w:val="77"/>
    <w:qFormat/>
    <w:uiPriority w:val="0"/>
    <w:rPr>
      <w:rFonts w:ascii="宋体" w:hAnsi="Courier New"/>
    </w:rPr>
  </w:style>
  <w:style w:type="paragraph" w:customStyle="1" w:styleId="102">
    <w:name w:val="无间隔1"/>
    <w:basedOn w:val="1"/>
    <w:qFormat/>
    <w:uiPriority w:val="0"/>
    <w:pPr>
      <w:spacing w:line="400" w:lineRule="exact"/>
    </w:pPr>
    <w:rPr>
      <w:sz w:val="24"/>
    </w:rPr>
  </w:style>
  <w:style w:type="paragraph" w:customStyle="1" w:styleId="103">
    <w:name w:val="列出段落3"/>
    <w:basedOn w:val="1"/>
    <w:qFormat/>
    <w:uiPriority w:val="0"/>
    <w:pPr>
      <w:ind w:firstLine="420" w:firstLineChars="200"/>
    </w:pPr>
    <w:rPr>
      <w:szCs w:val="22"/>
    </w:rPr>
  </w:style>
  <w:style w:type="paragraph" w:customStyle="1" w:styleId="104">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5">
    <w:name w:val="列出段落4"/>
    <w:basedOn w:val="1"/>
    <w:qFormat/>
    <w:uiPriority w:val="0"/>
    <w:pPr>
      <w:ind w:firstLine="420" w:firstLineChars="200"/>
    </w:pPr>
    <w:rPr>
      <w:sz w:val="21"/>
    </w:rPr>
  </w:style>
  <w:style w:type="paragraph" w:styleId="106">
    <w:name w:val="List Paragraph"/>
    <w:basedOn w:val="1"/>
    <w:qFormat/>
    <w:uiPriority w:val="34"/>
    <w:pPr>
      <w:ind w:firstLine="420" w:firstLineChars="200"/>
    </w:pPr>
    <w:rPr>
      <w:rFonts w:ascii="Calibri" w:hAnsi="Calibri"/>
      <w:szCs w:val="22"/>
    </w:rPr>
  </w:style>
  <w:style w:type="paragraph" w:customStyle="1" w:styleId="107">
    <w:name w:val="Char1"/>
    <w:basedOn w:val="1"/>
    <w:qFormat/>
    <w:uiPriority w:val="0"/>
    <w:pPr>
      <w:jc w:val="center"/>
    </w:pPr>
    <w:rPr>
      <w:rFonts w:ascii="仿宋_GB2312" w:eastAsia="仿宋_GB2312"/>
      <w:b/>
      <w:kern w:val="0"/>
      <w:sz w:val="32"/>
      <w:szCs w:val="32"/>
      <w:lang w:val="en-GB"/>
    </w:rPr>
  </w:style>
  <w:style w:type="paragraph" w:customStyle="1" w:styleId="108">
    <w:name w:val="BodyText"/>
    <w:basedOn w:val="1"/>
    <w:qFormat/>
    <w:uiPriority w:val="0"/>
    <w:pPr>
      <w:spacing w:after="120"/>
    </w:pPr>
    <w:rPr>
      <w:sz w:val="24"/>
    </w:rPr>
  </w:style>
  <w:style w:type="character" w:customStyle="1" w:styleId="109">
    <w:name w:val="文档结构图 字符"/>
    <w:basedOn w:val="40"/>
    <w:link w:val="12"/>
    <w:qFormat/>
    <w:uiPriority w:val="0"/>
    <w:rPr>
      <w:rFonts w:ascii="宋体"/>
      <w:kern w:val="2"/>
      <w:sz w:val="18"/>
      <w:szCs w:val="18"/>
    </w:rPr>
  </w:style>
  <w:style w:type="paragraph" w:customStyle="1" w:styleId="11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table" w:customStyle="1" w:styleId="111">
    <w:name w:val="Table Normal"/>
    <w:semiHidden/>
    <w:unhideWhenUsed/>
    <w:qFormat/>
    <w:uiPriority w:val="0"/>
    <w:tblPr>
      <w:tblCellMar>
        <w:top w:w="0" w:type="dxa"/>
        <w:left w:w="0" w:type="dxa"/>
        <w:bottom w:w="0" w:type="dxa"/>
        <w:right w:w="0" w:type="dxa"/>
      </w:tblCellMar>
    </w:tblPr>
  </w:style>
  <w:style w:type="paragraph" w:customStyle="1" w:styleId="112">
    <w:name w:val="修订2"/>
    <w:hidden/>
    <w:unhideWhenUsed/>
    <w:qFormat/>
    <w:uiPriority w:val="99"/>
    <w:rPr>
      <w:rFonts w:ascii="Times New Roman" w:hAnsi="Times New Roman" w:eastAsia="宋体" w:cs="Times New Roman"/>
      <w:kern w:val="2"/>
      <w:sz w:val="28"/>
      <w:szCs w:val="24"/>
      <w:lang w:val="en-US" w:eastAsia="zh-CN" w:bidi="ar-SA"/>
    </w:rPr>
  </w:style>
  <w:style w:type="paragraph" w:customStyle="1" w:styleId="113">
    <w:name w:val="修订3"/>
    <w:hidden/>
    <w:semiHidden/>
    <w:qFormat/>
    <w:uiPriority w:val="99"/>
    <w:rPr>
      <w:rFonts w:ascii="Times New Roman" w:hAnsi="Times New Roman" w:eastAsia="宋体" w:cs="Times New Roman"/>
      <w:kern w:val="2"/>
      <w:sz w:val="28"/>
      <w:szCs w:val="24"/>
      <w:lang w:val="en-US" w:eastAsia="zh-CN" w:bidi="ar-SA"/>
    </w:rPr>
  </w:style>
  <w:style w:type="paragraph" w:customStyle="1" w:styleId="114">
    <w:name w:val="修订4"/>
    <w:hidden/>
    <w:semiHidden/>
    <w:qFormat/>
    <w:uiPriority w:val="99"/>
    <w:rPr>
      <w:rFonts w:ascii="Times New Roman" w:hAnsi="Times New Roman" w:eastAsia="宋体" w:cs="Times New Roman"/>
      <w:kern w:val="2"/>
      <w:sz w:val="28"/>
      <w:szCs w:val="24"/>
      <w:lang w:val="en-US" w:eastAsia="zh-CN" w:bidi="ar-SA"/>
    </w:rPr>
  </w:style>
  <w:style w:type="character" w:customStyle="1" w:styleId="115">
    <w:name w:val="标题2 字符"/>
    <w:basedOn w:val="40"/>
    <w:link w:val="116"/>
    <w:qFormat/>
    <w:uiPriority w:val="0"/>
    <w:rPr>
      <w:rFonts w:ascii="宋体" w:hAnsi="宋体" w:cs="宋体"/>
      <w:b/>
      <w:w w:val="95"/>
      <w:kern w:val="0"/>
      <w:sz w:val="30"/>
      <w:szCs w:val="32"/>
    </w:rPr>
  </w:style>
  <w:style w:type="paragraph" w:customStyle="1" w:styleId="116">
    <w:name w:val="标题2"/>
    <w:basedOn w:val="1"/>
    <w:next w:val="1"/>
    <w:link w:val="115"/>
    <w:qFormat/>
    <w:uiPriority w:val="0"/>
    <w:pPr>
      <w:numPr>
        <w:ilvl w:val="0"/>
        <w:numId w:val="1"/>
      </w:numPr>
      <w:spacing w:line="360" w:lineRule="auto"/>
      <w:outlineLvl w:val="1"/>
    </w:pPr>
    <w:rPr>
      <w:rFonts w:ascii="宋体" w:hAnsi="宋体" w:cs="宋体"/>
      <w:b/>
      <w:w w:val="95"/>
      <w:kern w:val="0"/>
      <w:sz w:val="30"/>
      <w:szCs w:val="32"/>
    </w:rPr>
  </w:style>
  <w:style w:type="paragraph" w:customStyle="1" w:styleId="117">
    <w:name w:val="章正文"/>
    <w:basedOn w:val="1"/>
    <w:qFormat/>
    <w:uiPriority w:val="0"/>
    <w:pPr>
      <w:spacing w:beforeLines="50" w:after="120" w:line="300" w:lineRule="auto"/>
      <w:ind w:firstLine="480"/>
    </w:pPr>
    <w:rPr>
      <w:rFonts w:ascii="Helvetica" w:hAnsi="Helvetica"/>
      <w:kern w:val="0"/>
    </w:rPr>
  </w:style>
  <w:style w:type="character" w:customStyle="1" w:styleId="118">
    <w:name w:val="htd0"/>
    <w:qFormat/>
    <w:uiPriority w:val="0"/>
  </w:style>
  <w:style w:type="character" w:customStyle="1" w:styleId="119">
    <w:name w:val="未处理的提及1"/>
    <w:basedOn w:val="40"/>
    <w:semiHidden/>
    <w:unhideWhenUsed/>
    <w:qFormat/>
    <w:uiPriority w:val="99"/>
    <w:rPr>
      <w:color w:val="605E5C"/>
      <w:shd w:val="clear" w:color="auto" w:fill="E1DFDD"/>
    </w:rPr>
  </w:style>
  <w:style w:type="paragraph" w:customStyle="1" w:styleId="12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1">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2">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3">
    <w:name w:val="正文_5"/>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71</Pages>
  <Words>34732</Words>
  <Characters>36858</Characters>
  <Lines>278</Lines>
  <Paragraphs>78</Paragraphs>
  <TotalTime>1</TotalTime>
  <ScaleCrop>false</ScaleCrop>
  <LinksUpToDate>false</LinksUpToDate>
  <CharactersWithSpaces>38188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2022-04-07T01:34:00Z</dcterms:created>
  <dc:creator>费国炎</dc:creator>
  <cp:lastModifiedBy>建设咨询</cp:lastModifiedBy>
  <cp:lastPrinted>2022-04-13T06:38:00Z</cp:lastPrinted>
  <dcterms:modified xsi:type="dcterms:W3CDTF">2022-04-13T08:14:22Z</dcterms:modified>
  <dc:title>浙江省政府采购招标文件（范本）</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0B182477DC6B4C21B63A9DDC3B792AAB</vt:lpwstr>
  </property>
  <property fmtid="{D5CDD505-2E9C-101B-9397-08002B2CF9AE}" pid="4" name="_DocHome">
    <vt:i4>-906506896</vt:i4>
  </property>
</Properties>
</file>