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229870</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政府采购招标文件</w:t>
      </w:r>
    </w:p>
    <w:p>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tzya2023-lq06</w:t>
      </w:r>
      <w:r>
        <w:rPr>
          <w:rFonts w:hint="eastAsia" w:ascii="宋体" w:hAnsi="宋体" w:eastAsia="宋体" w:cs="宋体"/>
          <w:color w:val="auto"/>
          <w:kern w:val="0"/>
          <w:sz w:val="28"/>
          <w:szCs w:val="28"/>
          <w:highlight w:val="none"/>
          <w:u w:val="single"/>
          <w:lang w:val="en-US" w:eastAsia="zh-CN"/>
        </w:rPr>
        <w:t xml:space="preserve"> </w:t>
      </w:r>
    </w:p>
    <w:p>
      <w:pPr>
        <w:pStyle w:val="7"/>
        <w:jc w:val="center"/>
        <w:rPr>
          <w:rFonts w:hint="eastAsia" w:ascii="宋体" w:hAnsi="宋体" w:eastAsia="宋体" w:cs="宋体"/>
          <w:color w:val="auto"/>
          <w:highlight w:val="none"/>
        </w:rPr>
      </w:pPr>
    </w:p>
    <w:p>
      <w:pPr>
        <w:pStyle w:val="7"/>
        <w:jc w:val="both"/>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2023年路桥区建设用地规划条件咨询论证项目</w:t>
      </w:r>
    </w:p>
    <w:p>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eastAsia="zh-CN"/>
        </w:rPr>
        <w:t>台州市自然资源和规划局路桥分局</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pPr>
        <w:pStyle w:val="7"/>
        <w:rPr>
          <w:rFonts w:hint="eastAsia" w:ascii="宋体" w:hAnsi="宋体" w:eastAsia="宋体" w:cs="宋体"/>
          <w:color w:val="auto"/>
          <w:highlight w:val="none"/>
        </w:rPr>
      </w:pPr>
    </w:p>
    <w:p>
      <w:pPr>
        <w:pStyle w:val="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lang w:val="en-US" w:eastAsia="zh-CN" w:bidi="ar-SA"/>
        </w:rPr>
        <w:t>二○二三年二月</w:t>
      </w:r>
    </w:p>
    <w:p>
      <w:pPr>
        <w:pStyle w:val="7"/>
        <w:jc w:val="center"/>
        <w:rPr>
          <w:rFonts w:hint="eastAsia" w:ascii="宋体" w:hAnsi="宋体" w:eastAsia="宋体" w:cs="宋体"/>
          <w:color w:val="auto"/>
          <w:kern w:val="0"/>
          <w:szCs w:val="21"/>
          <w:highlight w:val="none"/>
        </w:rPr>
      </w:pPr>
    </w:p>
    <w:p>
      <w:pPr>
        <w:pStyle w:val="7"/>
        <w:jc w:val="both"/>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pPr>
        <w:spacing w:line="360" w:lineRule="auto"/>
        <w:rPr>
          <w:rFonts w:hint="eastAsia" w:ascii="宋体" w:hAnsi="宋体" w:eastAsia="宋体" w:cs="宋体"/>
          <w:color w:val="auto"/>
          <w:sz w:val="28"/>
          <w:szCs w:val="28"/>
          <w:highlight w:val="none"/>
        </w:rPr>
      </w:pP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pPr>
        <w:numPr>
          <w:ilvl w:val="0"/>
          <w:numId w:val="1"/>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center"/>
        <w:rPr>
          <w:rFonts w:hint="eastAsia" w:ascii="宋体" w:hAnsi="宋体" w:eastAsia="宋体" w:cs="宋体"/>
          <w:color w:val="auto"/>
          <w:highlight w:val="none"/>
        </w:rPr>
      </w:pPr>
    </w:p>
    <w:p>
      <w:pPr>
        <w:pStyle w:val="7"/>
        <w:jc w:val="both"/>
        <w:rPr>
          <w:rFonts w:hint="eastAsia" w:ascii="宋体" w:hAnsi="宋体" w:eastAsia="宋体" w:cs="宋体"/>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eastAsia="宋体" w:cs="宋体"/>
          <w:b/>
          <w:bCs/>
          <w:color w:val="auto"/>
          <w:sz w:val="21"/>
          <w:szCs w:val="21"/>
          <w:highlight w:val="none"/>
          <w:lang w:eastAsia="zh-CN"/>
        </w:rPr>
        <w:t>台州市自然资源和规划局路桥分局</w:t>
      </w:r>
      <w:r>
        <w:rPr>
          <w:rFonts w:hint="eastAsia" w:ascii="宋体" w:hAnsi="宋体" w:eastAsia="宋体" w:cs="宋体"/>
          <w:color w:val="auto"/>
          <w:sz w:val="21"/>
          <w:szCs w:val="21"/>
          <w:highlight w:val="none"/>
        </w:rPr>
        <w:t>委托，现就其</w:t>
      </w:r>
      <w:r>
        <w:rPr>
          <w:rFonts w:hint="eastAsia" w:ascii="宋体" w:hAnsi="宋体" w:eastAsia="宋体" w:cs="宋体"/>
          <w:b/>
          <w:bCs/>
          <w:color w:val="auto"/>
          <w:sz w:val="21"/>
          <w:szCs w:val="21"/>
          <w:highlight w:val="none"/>
          <w:lang w:eastAsia="zh-CN"/>
        </w:rPr>
        <w:t>2023年路桥区建设用地规划条件咨询论证项目</w:t>
      </w:r>
      <w:r>
        <w:rPr>
          <w:rFonts w:hint="eastAsia" w:ascii="宋体" w:hAnsi="宋体" w:eastAsia="宋体" w:cs="宋体"/>
          <w:color w:val="auto"/>
          <w:sz w:val="21"/>
          <w:szCs w:val="21"/>
          <w:highlight w:val="none"/>
        </w:rPr>
        <w:t>进行公开招标采购，欢迎合格供应商前来投标。</w:t>
      </w:r>
    </w:p>
    <w:p>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eastAsia="宋体" w:cs="宋体"/>
          <w:b/>
          <w:bCs/>
          <w:color w:val="auto"/>
          <w:sz w:val="21"/>
          <w:szCs w:val="21"/>
          <w:highlight w:val="none"/>
          <w:lang w:val="en-US" w:eastAsia="zh-CN"/>
        </w:rPr>
        <w:t>tzya2023-lq06</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1"/>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126"/>
        <w:gridCol w:w="1532"/>
        <w:gridCol w:w="718"/>
        <w:gridCol w:w="750"/>
        <w:gridCol w:w="166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43"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2126" w:type="dxa"/>
            <w:vAlign w:val="center"/>
          </w:tcPr>
          <w:p>
            <w:pPr>
              <w:tabs>
                <w:tab w:val="left" w:pos="8280"/>
              </w:tabs>
              <w:autoSpaceDE w:val="0"/>
              <w:autoSpaceDN w:val="0"/>
              <w:adjustRightInd w:val="0"/>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32"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18"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50"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60"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395" w:type="dxa"/>
            <w:vAlign w:val="center"/>
          </w:tcPr>
          <w:p>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3"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126" w:type="dxa"/>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2023年路桥区建设用地规划条件咨询论证项目</w:t>
            </w:r>
          </w:p>
        </w:tc>
        <w:tc>
          <w:tcPr>
            <w:tcW w:w="1532"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718"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50"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660" w:type="dxa"/>
            <w:vAlign w:val="center"/>
          </w:tcPr>
          <w:p>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c>
          <w:tcPr>
            <w:tcW w:w="1395" w:type="dxa"/>
            <w:vAlign w:val="center"/>
          </w:tcPr>
          <w:p>
            <w:pPr>
              <w:tabs>
                <w:tab w:val="left" w:pos="8280"/>
              </w:tabs>
              <w:autoSpaceDE w:val="0"/>
              <w:autoSpaceDN w:val="0"/>
              <w:adjustRightInd w:val="0"/>
              <w:ind w:right="25"/>
              <w:jc w:val="both"/>
              <w:rPr>
                <w:rFonts w:hint="eastAsia" w:ascii="宋体" w:hAnsi="宋体" w:eastAsia="宋体" w:cs="宋体"/>
                <w:color w:val="auto"/>
                <w:sz w:val="21"/>
                <w:szCs w:val="21"/>
                <w:highlight w:val="none"/>
              </w:rPr>
            </w:pPr>
          </w:p>
        </w:tc>
      </w:tr>
    </w:tbl>
    <w:p>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4"/>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pPr>
        <w:keepNext w:val="0"/>
        <w:keepLines w:val="0"/>
        <w:pageBreakBefore w:val="0"/>
        <w:kinsoku/>
        <w:topLinePunct w:val="0"/>
        <w:bidi w:val="0"/>
        <w:spacing w:beforeAutospacing="0" w:afterAutospacing="0" w:line="360" w:lineRule="auto"/>
        <w:ind w:firstLine="422" w:firstLineChars="200"/>
        <w:rPr>
          <w:rStyle w:val="24"/>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4"/>
          <w:rFonts w:hint="eastAsia" w:ascii="宋体" w:hAnsi="宋体" w:eastAsia="宋体" w:cs="宋体"/>
          <w:i w:val="0"/>
          <w:caps w:val="0"/>
          <w:color w:val="auto"/>
          <w:spacing w:val="0"/>
          <w:sz w:val="21"/>
          <w:szCs w:val="21"/>
          <w:highlight w:val="none"/>
        </w:rPr>
        <w:t>方式：潜在供应商登陆</w:t>
      </w:r>
      <w:r>
        <w:rPr>
          <w:rStyle w:val="24"/>
          <w:rFonts w:hint="eastAsia" w:ascii="宋体" w:hAnsi="宋体" w:eastAsia="宋体" w:cs="宋体"/>
          <w:i w:val="0"/>
          <w:caps w:val="0"/>
          <w:color w:val="auto"/>
          <w:spacing w:val="0"/>
          <w:sz w:val="21"/>
          <w:szCs w:val="21"/>
          <w:highlight w:val="none"/>
          <w:lang w:val="en-US" w:eastAsia="zh-CN"/>
        </w:rPr>
        <w:t>政府采购</w:t>
      </w:r>
      <w:r>
        <w:rPr>
          <w:rStyle w:val="24"/>
          <w:rFonts w:hint="eastAsia" w:ascii="宋体" w:hAnsi="宋体" w:eastAsia="宋体" w:cs="宋体"/>
          <w:i w:val="0"/>
          <w:caps w:val="0"/>
          <w:color w:val="auto"/>
          <w:spacing w:val="0"/>
          <w:sz w:val="21"/>
          <w:szCs w:val="21"/>
          <w:highlight w:val="none"/>
        </w:rPr>
        <w:t>云平台，在线申请获取招标文件</w:t>
      </w:r>
      <w:r>
        <w:rPr>
          <w:rStyle w:val="24"/>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4"/>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4"/>
          <w:rFonts w:hint="eastAsia" w:ascii="宋体" w:hAnsi="宋体" w:eastAsia="宋体" w:cs="宋体"/>
          <w:b w:val="0"/>
          <w:bCs/>
          <w:i w:val="0"/>
          <w:caps w:val="0"/>
          <w:color w:val="auto"/>
          <w:spacing w:val="0"/>
          <w:sz w:val="21"/>
          <w:szCs w:val="21"/>
          <w:highlight w:val="none"/>
        </w:rPr>
        <w:t>）；</w:t>
      </w:r>
    </w:p>
    <w:p>
      <w:pPr>
        <w:spacing w:line="360" w:lineRule="auto"/>
        <w:ind w:firstLine="422" w:firstLineChars="200"/>
        <w:rPr>
          <w:rFonts w:hint="eastAsia" w:ascii="宋体" w:hAnsi="宋体" w:eastAsia="宋体" w:cs="宋体"/>
          <w:color w:val="auto"/>
          <w:sz w:val="21"/>
          <w:szCs w:val="21"/>
          <w:highlight w:val="none"/>
          <w:lang w:eastAsia="zh-CN"/>
        </w:rPr>
      </w:pPr>
      <w:r>
        <w:rPr>
          <w:rStyle w:val="24"/>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4"/>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4"/>
          <w:rFonts w:hint="eastAsia" w:ascii="宋体" w:hAnsi="宋体" w:eastAsia="宋体" w:cs="宋体"/>
          <w:b w:val="0"/>
          <w:bCs w:val="0"/>
          <w:i w:val="0"/>
          <w:caps w:val="0"/>
          <w:color w:val="auto"/>
          <w:spacing w:val="0"/>
          <w:sz w:val="21"/>
          <w:szCs w:val="21"/>
          <w:highlight w:val="none"/>
          <w:lang w:val="en-US" w:eastAsia="zh-CN"/>
        </w:rPr>
        <w:t>5</w:t>
      </w:r>
      <w:r>
        <w:rPr>
          <w:rStyle w:val="24"/>
          <w:rFonts w:hint="eastAsia" w:ascii="宋体" w:hAnsi="宋体" w:eastAsia="宋体" w:cs="宋体"/>
          <w:b w:val="0"/>
          <w:bCs w:val="0"/>
          <w:i w:val="0"/>
          <w:caps w:val="0"/>
          <w:color w:val="auto"/>
          <w:spacing w:val="0"/>
          <w:sz w:val="21"/>
          <w:szCs w:val="21"/>
          <w:highlight w:val="none"/>
        </w:rPr>
        <w:t>、供应商获取招标文件时须提交的文件资料：无；</w:t>
      </w:r>
    </w:p>
    <w:p>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lang w:val="en-US" w:eastAsia="zh-CN"/>
        </w:rPr>
        <w:t>6</w:t>
      </w:r>
      <w:r>
        <w:rPr>
          <w:rStyle w:val="24"/>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4"/>
          <w:rFonts w:hint="eastAsia" w:ascii="宋体" w:hAnsi="宋体" w:eastAsia="宋体" w:cs="宋体"/>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rPr>
        <w:t>注：请供应商按上述要求获取招标文件，如未在“</w:t>
      </w:r>
      <w:r>
        <w:rPr>
          <w:rStyle w:val="24"/>
          <w:rFonts w:hint="eastAsia" w:ascii="宋体" w:hAnsi="宋体" w:eastAsia="宋体" w:cs="宋体"/>
          <w:i w:val="0"/>
          <w:caps w:val="0"/>
          <w:color w:val="auto"/>
          <w:spacing w:val="0"/>
          <w:sz w:val="21"/>
          <w:szCs w:val="21"/>
          <w:highlight w:val="none"/>
          <w:lang w:val="en-US" w:eastAsia="zh-CN"/>
        </w:rPr>
        <w:t>政府采购云平台</w:t>
      </w:r>
      <w:r>
        <w:rPr>
          <w:rStyle w:val="24"/>
          <w:rFonts w:hint="eastAsia" w:ascii="宋体" w:hAnsi="宋体" w:eastAsia="宋体" w:cs="宋体"/>
          <w:i w:val="0"/>
          <w:caps w:val="0"/>
          <w:color w:val="auto"/>
          <w:spacing w:val="0"/>
          <w:sz w:val="21"/>
          <w:szCs w:val="21"/>
          <w:highlight w:val="none"/>
        </w:rPr>
        <w:t>”系统内完成相关流程，引起的投标无效责任自负。</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2023年3月2日上午09:30</w:t>
      </w:r>
      <w:r>
        <w:rPr>
          <w:rFonts w:hint="eastAsia" w:ascii="宋体" w:hAnsi="宋体" w:eastAsia="宋体" w:cs="宋体"/>
          <w:color w:val="auto"/>
          <w:sz w:val="21"/>
          <w:szCs w:val="21"/>
          <w:highlight w:val="none"/>
          <w:lang w:eastAsia="zh-CN"/>
        </w:rPr>
        <w:t xml:space="preserve">整，地点：通过“政府采购云平台（www.zcygov.cn）”实行在线投标响应   </w:t>
      </w:r>
    </w:p>
    <w:p>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2023年3月2日上午09:30</w:t>
      </w:r>
      <w:r>
        <w:rPr>
          <w:rFonts w:hint="eastAsia" w:ascii="宋体" w:hAnsi="宋体" w:eastAsia="宋体" w:cs="宋体"/>
          <w:color w:val="auto"/>
          <w:sz w:val="21"/>
          <w:szCs w:val="21"/>
          <w:highlight w:val="none"/>
          <w:lang w:eastAsia="zh-CN"/>
        </w:rPr>
        <w:t>整，地点：通过“政府采购云平台（www.zcygov.cn）”实行在线投标响应</w:t>
      </w:r>
    </w:p>
    <w:p>
      <w:pPr>
        <w:pStyle w:val="51"/>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2023年3月2日上午</w:t>
      </w:r>
      <w:bookmarkStart w:id="1" w:name="_GoBack"/>
      <w:bookmarkEnd w:id="1"/>
      <w:r>
        <w:rPr>
          <w:rFonts w:hint="eastAsia" w:ascii="宋体" w:hAnsi="宋体" w:cs="宋体"/>
          <w:color w:val="auto"/>
          <w:sz w:val="21"/>
          <w:szCs w:val="21"/>
          <w:highlight w:val="none"/>
          <w:lang w:val="en-US" w:eastAsia="zh-CN"/>
        </w:rPr>
        <w:t>10:00</w:t>
      </w:r>
      <w:r>
        <w:rPr>
          <w:rFonts w:hint="eastAsia" w:ascii="宋体" w:hAnsi="宋体" w:eastAsia="宋体" w:cs="宋体"/>
          <w:color w:val="auto"/>
          <w:sz w:val="21"/>
          <w:szCs w:val="21"/>
          <w:highlight w:val="none"/>
          <w:lang w:eastAsia="zh-CN"/>
        </w:rPr>
        <w:t>整</w:t>
      </w:r>
    </w:p>
    <w:p>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pPr>
        <w:pStyle w:val="51"/>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"http://www.zjzfcg.gov.cn/bidClientTemplate/2019-05-27/12946.html"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http://zfcg.czt.zj.gov.cn/bidClientTemplate/2019-05-27/12946.html</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），电子投标具体流程文档详见网址：https://help.zcygov.cn/web/site_2/2018/12-28/2573.html。</w:t>
      </w:r>
    </w:p>
    <w:p>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pPr>
        <w:pStyle w:val="11"/>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eastAsia="宋体" w:cs="宋体"/>
          <w:color w:val="auto"/>
          <w:szCs w:val="21"/>
          <w:highlight w:val="none"/>
        </w:rPr>
        <w:t>（包括</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过程、采购结果等环节）</w:t>
      </w:r>
      <w:r>
        <w:rPr>
          <w:rFonts w:hint="eastAsia" w:ascii="宋体" w:hAnsi="宋体" w:eastAsia="宋体" w:cs="宋体"/>
          <w:color w:val="auto"/>
          <w:sz w:val="21"/>
          <w:szCs w:val="21"/>
          <w:highlight w:val="none"/>
        </w:rPr>
        <w:t>的质疑</w:t>
      </w:r>
      <w:r>
        <w:rPr>
          <w:rFonts w:hint="eastAsia" w:ascii="宋体" w:hAnsi="宋体" w:eastAsia="宋体" w:cs="宋体"/>
          <w:color w:val="auto"/>
          <w:sz w:val="21"/>
          <w:szCs w:val="21"/>
          <w:highlight w:val="none"/>
          <w:lang w:eastAsia="zh-CN"/>
        </w:rPr>
        <w:t>，以供应商提供质疑函原件的时间为提起质疑的时间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、根据《浙江省政府采购供应商注册及诚信管理暂行办法》浙财采监【2009】28号文件，请各投标供应商及时办理浙江政府采购网“政府采购供应商注册”手续。</w:t>
      </w:r>
    </w:p>
    <w:p>
      <w:pPr>
        <w:pStyle w:val="7"/>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参与政府采购项目的注册供应商，需登录浙江政府采购网（http://zfcg.czt.zj.gov.cn）进行网上获取文件；尚未注册的供应商应当先在浙江政府采购网上申请注册，注册终审通过后再进行网上获取文件。</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本项目所有公告发布网站：“</w:t>
      </w:r>
      <w:r>
        <w:rPr>
          <w:rFonts w:hint="eastAsia" w:ascii="宋体" w:hAnsi="宋体" w:eastAsia="宋体" w:cs="宋体"/>
          <w:color w:val="auto"/>
          <w:sz w:val="21"/>
          <w:szCs w:val="21"/>
          <w:highlight w:val="none"/>
          <w:lang w:eastAsia="zh-CN"/>
        </w:rPr>
        <w:t>浙江政府采购网</w:t>
      </w:r>
      <w:r>
        <w:rPr>
          <w:rFonts w:hint="eastAsia" w:ascii="宋体" w:hAnsi="宋体" w:eastAsia="宋体" w:cs="宋体"/>
          <w:color w:val="auto"/>
          <w:sz w:val="21"/>
          <w:szCs w:val="21"/>
          <w:highlight w:val="none"/>
        </w:rPr>
        <w:t xml:space="preserve">”（http://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Style w:val="26"/>
          <w:rFonts w:hint="eastAsia" w:ascii="宋体" w:hAnsi="宋体" w:eastAsia="宋体" w:cs="宋体"/>
          <w:color w:val="auto"/>
          <w:sz w:val="21"/>
          <w:szCs w:val="21"/>
          <w:highlight w:val="none"/>
        </w:rPr>
        <w:t>www.zjzfcg.gov.cn）。</w:t>
      </w:r>
      <w:r>
        <w:rPr>
          <w:rStyle w:val="26"/>
          <w:rFonts w:hint="eastAsia" w:ascii="宋体" w:hAnsi="宋体" w:eastAsia="宋体" w:cs="宋体"/>
          <w:color w:val="auto"/>
          <w:sz w:val="21"/>
          <w:szCs w:val="21"/>
          <w:highlight w:val="none"/>
        </w:rPr>
        <w:fldChar w:fldCharType="end"/>
      </w:r>
    </w:p>
    <w:p>
      <w:pPr>
        <w:pStyle w:val="7"/>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台州市自然资</w:t>
      </w:r>
      <w:r>
        <w:rPr>
          <w:rFonts w:hint="eastAsia" w:ascii="宋体" w:hAnsi="宋体" w:eastAsia="宋体" w:cs="宋体"/>
          <w:color w:val="auto"/>
          <w:sz w:val="21"/>
          <w:szCs w:val="21"/>
          <w:highlight w:val="none"/>
          <w:lang w:val="en-US" w:eastAsia="zh-CN"/>
        </w:rPr>
        <w:t>源和规划局路桥分局</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联系人：项女士</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联系电话：0576-82441980</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采购人地址：台州市路桥区商海北街19号</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联系人：吴女士</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pPr>
        <w:pStyle w:val="8"/>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（1）合同履</w:t>
      </w:r>
      <w:r>
        <w:rPr>
          <w:rFonts w:hint="eastAsia" w:ascii="宋体" w:hAnsi="宋体" w:eastAsia="宋体" w:cs="宋体"/>
          <w:b w:val="0"/>
          <w:bCs w:val="0"/>
          <w:color w:val="auto"/>
          <w:sz w:val="21"/>
          <w:szCs w:val="21"/>
          <w:highlight w:val="none"/>
        </w:rPr>
        <w:t>约保函联系方式</w:t>
      </w:r>
    </w:p>
    <w:tbl>
      <w:tblPr>
        <w:tblStyle w:val="22"/>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pPr>
        <w:jc w:val="both"/>
        <w:rPr>
          <w:rFonts w:hint="eastAsia" w:ascii="宋体" w:hAnsi="宋体" w:eastAsia="宋体" w:cs="宋体"/>
          <w:b/>
          <w:bCs/>
          <w:color w:val="auto"/>
          <w:sz w:val="21"/>
          <w:szCs w:val="21"/>
          <w:highlight w:val="none"/>
        </w:rPr>
      </w:pPr>
    </w:p>
    <w:p>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2"/>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pPr>
        <w:pStyle w:val="28"/>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1"/>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pPr>
        <w:spacing w:line="360" w:lineRule="auto"/>
        <w:rPr>
          <w:rFonts w:hint="eastAsia" w:ascii="宋体" w:hAnsi="宋体" w:eastAsia="宋体" w:cs="宋体"/>
          <w:color w:val="auto"/>
          <w:szCs w:val="21"/>
          <w:highlight w:val="none"/>
        </w:rPr>
      </w:pPr>
    </w:p>
    <w:p>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6"/>
          <w:rFonts w:hint="eastAsia" w:ascii="宋体" w:hAnsi="宋体" w:eastAsia="宋体" w:cs="宋体"/>
          <w:color w:val="auto"/>
          <w:szCs w:val="21"/>
          <w:highlight w:val="none"/>
        </w:rPr>
        <w:t>http://zfcg.czt.zj.gov.cn</w:t>
      </w:r>
      <w:r>
        <w:rPr>
          <w:rStyle w:val="26"/>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pPr>
        <w:pStyle w:val="7"/>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eastAsia="宋体" w:cs="宋体"/>
          <w:color w:val="auto"/>
          <w:sz w:val="21"/>
          <w:szCs w:val="21"/>
          <w:highlight w:val="none"/>
          <w:lang w:eastAsia="zh-CN"/>
        </w:rPr>
        <w:t>二○二三年二月</w:t>
      </w:r>
    </w:p>
    <w:p>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1"/>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84"/>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38"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84"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176" w:type="dxa"/>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8" w:type="dxa"/>
            <w:vAlign w:val="center"/>
          </w:tcPr>
          <w:p>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38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176"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38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176"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38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176"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38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176" w:type="dxa"/>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指通过“政采云电子交易客户端”完成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384"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176"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384" w:type="dxa"/>
            <w:vAlign w:val="center"/>
          </w:tcPr>
          <w:p>
            <w:pPr>
              <w:pStyle w:val="7"/>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176" w:type="dxa"/>
            <w:vAlign w:val="center"/>
          </w:tcPr>
          <w:p>
            <w:pPr>
              <w:keepNext w:val="0"/>
              <w:keepLines w:val="0"/>
              <w:pageBreakBefore w:val="0"/>
              <w:kinsoku/>
              <w:wordWrap/>
              <w:overflowPunct/>
              <w:topLinePunct w:val="0"/>
              <w:bidi w:val="0"/>
              <w:spacing w:line="36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2023年3月2日上午09:30</w:t>
            </w:r>
            <w:r>
              <w:rPr>
                <w:rFonts w:hint="eastAsia" w:ascii="宋体" w:hAnsi="宋体" w:eastAsia="宋体" w:cs="宋体"/>
                <w:b/>
                <w:bCs/>
                <w:color w:val="auto"/>
                <w:kern w:val="2"/>
                <w:sz w:val="21"/>
                <w:szCs w:val="21"/>
                <w:highlight w:val="none"/>
                <w:u w:val="single"/>
                <w:lang w:val="en-US" w:eastAsia="zh-CN" w:bidi="ar-SA"/>
              </w:rPr>
              <w:t>整</w:t>
            </w:r>
          </w:p>
          <w:p>
            <w:pPr>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84"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176" w:type="dxa"/>
            <w:vAlign w:val="center"/>
          </w:tcPr>
          <w:p>
            <w:pPr>
              <w:pStyle w:val="51"/>
              <w:snapToGrid w:val="0"/>
              <w:spacing w:line="300" w:lineRule="exact"/>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或未按要求密封将被拒收。如投标人未在投标截止时间前完成电子投标文件的传输递交，其备份投标文件也将为无效投标文件。</w:t>
            </w:r>
          </w:p>
          <w:p>
            <w:pPr>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2023年3月2日上午09:30</w:t>
            </w:r>
            <w:r>
              <w:rPr>
                <w:rFonts w:hint="eastAsia" w:ascii="宋体" w:hAnsi="宋体" w:eastAsia="宋体" w:cs="宋体"/>
                <w:b/>
                <w:bCs/>
                <w:color w:val="auto"/>
                <w:kern w:val="2"/>
                <w:sz w:val="21"/>
                <w:szCs w:val="21"/>
                <w:highlight w:val="none"/>
                <w:u w:val="single"/>
                <w:lang w:val="en-US" w:eastAsia="zh-CN" w:bidi="ar-SA"/>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384"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176" w:type="dxa"/>
            <w:vAlign w:val="center"/>
          </w:tcPr>
          <w:p>
            <w:pPr>
              <w:pStyle w:val="18"/>
              <w:keepNext w:val="0"/>
              <w:keepLines w:val="0"/>
              <w:pageBreakBefore w:val="0"/>
              <w:numPr>
                <w:ilvl w:val="0"/>
                <w:numId w:val="0"/>
              </w:numPr>
              <w:kinsoku/>
              <w:wordWrap/>
              <w:overflowPunct/>
              <w:topLinePunct w:val="0"/>
              <w:bidi w:val="0"/>
              <w:spacing w:before="0" w:beforeAutospacing="0" w:after="0" w:afterAutospacing="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pPr>
              <w:keepNext w:val="0"/>
              <w:keepLines w:val="0"/>
              <w:pageBreakBefore w:val="0"/>
              <w:kinsoku/>
              <w:wordWrap/>
              <w:overflowPunct/>
              <w:topLinePunct w:val="0"/>
              <w:bidi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未按上述要求密封及加写标记，采购代理机构对投标文件的误投和提前启封不负责任。</w:t>
            </w:r>
          </w:p>
          <w:p>
            <w:pPr>
              <w:keepNext w:val="0"/>
              <w:keepLines w:val="0"/>
              <w:pageBreakBefore w:val="0"/>
              <w:kinsoku/>
              <w:wordWrap/>
              <w:overflowPunct/>
              <w:topLinePunct w:val="0"/>
              <w:bidi w:val="0"/>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384"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176" w:type="dxa"/>
            <w:vAlign w:val="center"/>
          </w:tcPr>
          <w:p>
            <w:pPr>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2023年3月2日上午09:30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10:00</w:t>
            </w:r>
            <w:r>
              <w:rPr>
                <w:rFonts w:hint="eastAsia" w:ascii="宋体" w:hAnsi="宋体" w:eastAsia="宋体" w:cs="宋体"/>
                <w:color w:val="auto"/>
                <w:sz w:val="21"/>
                <w:szCs w:val="21"/>
                <w:highlight w:val="none"/>
              </w:rPr>
              <w:t>（北京时间）</w:t>
            </w:r>
          </w:p>
          <w:p>
            <w:pPr>
              <w:pStyle w:val="5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738"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384"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176" w:type="dxa"/>
            <w:vAlign w:val="center"/>
          </w:tcPr>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pPr>
              <w:pStyle w:val="5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2、节能环保：符合国家相关法律法规；</w:t>
            </w:r>
          </w:p>
          <w:p>
            <w:pPr>
              <w:pStyle w:val="5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3、样品：无要求；</w:t>
            </w:r>
          </w:p>
          <w:p>
            <w:pPr>
              <w:pStyle w:val="5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4、现场演示：无要求</w:t>
            </w:r>
            <w:r>
              <w:rPr>
                <w:rFonts w:hint="eastAsia" w:ascii="宋体" w:hAnsi="宋体" w:eastAsia="宋体" w:cs="宋体"/>
                <w:color w:val="auto"/>
                <w:sz w:val="21"/>
                <w:szCs w:val="21"/>
                <w:highlight w:val="none"/>
                <w:lang w:eastAsia="zh-CN"/>
              </w:rPr>
              <w:t>；</w:t>
            </w:r>
          </w:p>
          <w:p>
            <w:pPr>
              <w:pStyle w:val="5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5、本项目无需提供履约保证金</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738"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384" w:type="dxa"/>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176" w:type="dxa"/>
            <w:vAlign w:val="center"/>
          </w:tcPr>
          <w:p>
            <w:pPr>
              <w:pStyle w:val="50"/>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pPr>
              <w:pStyle w:val="50"/>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38"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384" w:type="dxa"/>
            <w:vAlign w:val="center"/>
          </w:tcPr>
          <w:p>
            <w:pPr>
              <w:spacing w:line="36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176" w:type="dxa"/>
            <w:vAlign w:val="center"/>
          </w:tcPr>
          <w:p>
            <w:pPr>
              <w:spacing w:line="36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8"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1384"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176" w:type="dxa"/>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台州永安工程咨询有限公司和采购人</w:t>
            </w:r>
          </w:p>
        </w:tc>
      </w:tr>
    </w:tbl>
    <w:p>
      <w:pPr>
        <w:spacing w:line="360" w:lineRule="auto"/>
        <w:rPr>
          <w:rFonts w:hint="eastAsia" w:ascii="宋体" w:hAnsi="宋体" w:eastAsia="宋体" w:cs="宋体"/>
          <w:b/>
          <w:bCs/>
          <w:color w:val="auto"/>
          <w:sz w:val="21"/>
          <w:szCs w:val="21"/>
          <w:highlight w:val="none"/>
        </w:rPr>
      </w:pP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云平台供应商项目采购-电子招投标操作指南（网址：https://help.zcygov.cn/web/site_2/2018/12-28/2573.html）及本招标文件要求制作、加密并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提供采购公告中符合供应商特定条件的有效资质证书复印件（投标供应商特定条件中有要求的必须提供），以及需要说明的其他资料；</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pPr>
        <w:spacing w:line="41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pPr>
        <w:spacing w:line="41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（1）报价文件由开标一览表，以及投标人认为其他需要说明的内容组成。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（2）此报价为投标人一次性报出唯一的最终价格，包含其它一切所要涉及到的费用，有选择的报价将被拒绝。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Cs w:val="21"/>
          <w:highlight w:val="none"/>
        </w:rPr>
        <w:t>投标报价为完成本项目的所有费用，包含所有人员的人工费、交通费、住宿费、伙食费、办公设施费、管理费、利润、税金及成果鉴定验收会议发生的费用等一切费用，全部费用已包含在开标一览表的投标总报价中</w:t>
      </w:r>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投标文件不得涂改，若有修改错漏处，须加盖单位公章或者</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签字或盖章。投标文件因字迹潦草或表达不清所引起的后果由投标人负责。</w:t>
      </w:r>
    </w:p>
    <w:p>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（4）投标计量单位，招标文件已有明确规定的，使用招标文件规定的计量单位；招标文件没有规定的，应采用中华人民共和国法定计量单位（货币单位：人民币元）。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pPr>
        <w:pStyle w:val="5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需打印或用不</w:t>
      </w:r>
      <w:r>
        <w:rPr>
          <w:rFonts w:hint="eastAsia" w:ascii="宋体" w:hAnsi="宋体" w:eastAsia="宋体" w:cs="宋体"/>
          <w:color w:val="auto"/>
          <w:sz w:val="21"/>
          <w:szCs w:val="21"/>
          <w:highlight w:val="none"/>
          <w:lang w:val="en-US" w:eastAsia="zh-CN"/>
        </w:rPr>
        <w:t>褪</w:t>
      </w:r>
      <w:r>
        <w:rPr>
          <w:rFonts w:hint="eastAsia" w:ascii="宋体" w:hAnsi="宋体" w:eastAsia="宋体" w:cs="宋体"/>
          <w:color w:val="auto"/>
          <w:sz w:val="21"/>
          <w:szCs w:val="21"/>
          <w:highlight w:val="none"/>
        </w:rPr>
        <w:t>色的墨水填写，并注明“正本”字样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印章或签字。封皮上写明项目编号、标项、招标项目名称、投标人名称，并注明“投标文件名称”、“开标时启封”字样，未按上述要求密封及加写标记，采购代理机构对投标文件的误投和提前启封不负责任。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w:t>
      </w:r>
      <w:r>
        <w:rPr>
          <w:rFonts w:hint="eastAsia" w:ascii="宋体" w:hAnsi="宋体" w:eastAsia="宋体" w:cs="宋体"/>
          <w:color w:val="auto"/>
          <w:szCs w:val="21"/>
          <w:highlight w:val="none"/>
        </w:rPr>
        <w:t>递交备份投标文件的，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szCs w:val="21"/>
          <w:highlight w:val="none"/>
          <w:lang w:val="en-US" w:eastAsia="zh-CN"/>
        </w:rPr>
        <w:t>建议</w:t>
      </w:r>
      <w:r>
        <w:rPr>
          <w:rFonts w:hint="eastAsia" w:ascii="宋体" w:hAnsi="宋体" w:eastAsia="宋体" w:cs="宋体"/>
          <w:color w:val="auto"/>
          <w:szCs w:val="21"/>
          <w:highlight w:val="none"/>
        </w:rPr>
        <w:t>顺丰邮寄</w:t>
      </w:r>
      <w:r>
        <w:rPr>
          <w:rFonts w:hint="eastAsia" w:ascii="宋体" w:hAnsi="宋体" w:eastAsia="宋体" w:cs="宋体"/>
          <w:color w:val="auto"/>
          <w:szCs w:val="21"/>
          <w:highlight w:val="none"/>
          <w:lang w:val="en-US" w:eastAsia="zh-CN"/>
        </w:rPr>
        <w:t>或直接送达</w:t>
      </w:r>
      <w:r>
        <w:rPr>
          <w:rFonts w:hint="eastAsia" w:ascii="宋体" w:hAnsi="宋体" w:eastAsia="宋体" w:cs="宋体"/>
          <w:color w:val="auto"/>
          <w:szCs w:val="21"/>
          <w:highlight w:val="none"/>
        </w:rPr>
        <w:t>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供应商进行电子投标应安装客户端软件，并按照采购文件和电子交易平台的要求编制并加密投标文件。供应商未按规定加密的投标文件，电子交易平台将拒收。</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pPr>
        <w:pStyle w:val="56"/>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56"/>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pPr>
        <w:pStyle w:val="56"/>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2、在符合相关法律法规规定的情况下，</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3、中标人的投标文件自开标之日起至合同履行完毕均应保持有效。</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四、开标</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采购组织机构按照采购文件规定的时间通过电子交易平台组织开标、开启投标文件，所有供应商均应当准时在线参加。</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开标时，电子交易平台自动提取所有投标文件，提示采购组织机构和供应商按采购文件规定的方式和时间在线解密。</w:t>
      </w:r>
      <w:r>
        <w:rPr>
          <w:rFonts w:hint="eastAsia" w:ascii="宋体" w:hAnsi="宋体" w:eastAsia="宋体" w:cs="宋体"/>
          <w:b/>
          <w:bCs/>
          <w:color w:val="auto"/>
          <w:kern w:val="2"/>
          <w:sz w:val="21"/>
          <w:szCs w:val="21"/>
          <w:highlight w:val="none"/>
          <w:lang w:val="en-US" w:eastAsia="zh-CN" w:bidi="ar-SA"/>
        </w:rPr>
        <w:t>给予供应商在线解密的时间为截止投标后30分钟。</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采购组织机构在“招标公告”规定的时间和地点公开开标，投标人的法定代表人或其授权代表无需现场参加开标会并签到。</w:t>
      </w:r>
      <w:r>
        <w:rPr>
          <w:rFonts w:hint="eastAsia" w:ascii="宋体" w:hAnsi="宋体" w:eastAsia="宋体" w:cs="宋体"/>
          <w:color w:val="auto"/>
          <w:sz w:val="21"/>
          <w:szCs w:val="21"/>
          <w:highlight w:val="none"/>
        </w:rPr>
        <w:t>评标委员会成员不得参加开标活动。（本次招标采用先评审商务资格和技术服务方案，后公开并评审商务报价的办法实施）。</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5、采购组织机构点击【开启标书信息】，进入资格审查及符合性审查环节。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、完成综合比较与评价后，开启报价响应文件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采购代理机构成功开启报价响应文件后，方可查看各供应商报价情况。</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、报价文件评审；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、在完成评标后，宣布评标结果，开标会议结束。</w:t>
      </w: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签字，并不得超出投标文件的范围或者改变投标文件的实质性内容。</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的，其投标无效。</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（五）投标人存在下列情况之一的，投标无效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报价超过招标文件中规定的预算价/最高限(单)价。</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（六）有下列情况之一的，本次招标作为废标处理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2、评标办法。具体评标内容及评分标准等详见《第三章：评标方法及评分标准》。</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pPr>
        <w:pStyle w:val="18"/>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Cs w:val="21"/>
          <w:highlight w:val="none"/>
        </w:rPr>
        <w:t>《国家发展改革委关于进一步放开建设项目专业服务价格的通知》(发改价格2015 299号)规定的标准，按照中标通知书确定的中标金额，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 w:hRule="atLeast"/>
        </w:trPr>
        <w:tc>
          <w:tcPr>
            <w:tcW w:w="2556" w:type="dxa"/>
          </w:tcPr>
          <w:p>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4384;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3360;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c>
          <w:tcPr>
            <w:tcW w:w="2067"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c>
          <w:tcPr>
            <w:tcW w:w="2067"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eastAsia="宋体" w:cs="宋体"/>
          <w:color w:val="auto"/>
          <w:sz w:val="21"/>
          <w:szCs w:val="21"/>
          <w:highlight w:val="none"/>
        </w:rPr>
        <w:t>80</w:t>
      </w:r>
      <w:r>
        <w:rPr>
          <w:rFonts w:hint="eastAsia" w:ascii="宋体" w:hAnsi="宋体" w:eastAsia="宋体" w:cs="宋体"/>
          <w:color w:val="auto"/>
          <w:sz w:val="21"/>
          <w:szCs w:val="21"/>
          <w:highlight w:val="none"/>
          <w:lang w:val="zh-CN"/>
        </w:rPr>
        <w:t>分，投标报价分值</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w:t>
      </w:r>
      <w:r>
        <w:rPr>
          <w:rFonts w:hint="eastAsia" w:ascii="宋体" w:hAnsi="宋体" w:eastAsia="宋体" w:cs="宋体"/>
          <w:color w:val="auto"/>
          <w:sz w:val="21"/>
          <w:szCs w:val="21"/>
          <w:highlight w:val="none"/>
        </w:rPr>
        <w:t>资格及</w:t>
      </w:r>
      <w:r>
        <w:rPr>
          <w:rFonts w:hint="eastAsia" w:ascii="宋体" w:hAnsi="宋体" w:eastAsia="宋体" w:cs="宋体"/>
          <w:color w:val="auto"/>
          <w:sz w:val="21"/>
          <w:szCs w:val="21"/>
          <w:highlight w:val="none"/>
          <w:lang w:val="zh-CN"/>
        </w:rPr>
        <w:t>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w:t>
      </w:r>
      <w:r>
        <w:rPr>
          <w:rFonts w:hint="eastAsia" w:ascii="宋体" w:hAnsi="宋体" w:eastAsia="宋体" w:cs="宋体"/>
          <w:color w:val="auto"/>
          <w:sz w:val="21"/>
          <w:szCs w:val="21"/>
          <w:highlight w:val="none"/>
        </w:rPr>
        <w:t>资格及</w:t>
      </w:r>
      <w:r>
        <w:rPr>
          <w:rFonts w:hint="eastAsia" w:ascii="宋体" w:hAnsi="宋体" w:eastAsia="宋体" w:cs="宋体"/>
          <w:color w:val="auto"/>
          <w:sz w:val="21"/>
          <w:szCs w:val="21"/>
          <w:highlight w:val="none"/>
          <w:lang w:val="zh-CN"/>
        </w:rPr>
        <w:t>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val="zh-CN"/>
        </w:rPr>
        <w:t>，计算公式为：</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资格及</w:t>
      </w: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投标报价得分=(评标基准价／投标报价)×20%×100 。</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（四）投标人综合得分＝资格及商务技术文件得分＋投标报价得分。</w:t>
      </w:r>
    </w:p>
    <w:p>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rPr>
        <w:t>为</w:t>
      </w:r>
      <w:r>
        <w:rPr>
          <w:rFonts w:hint="eastAsia" w:ascii="宋体" w:hAnsi="宋体" w:eastAsia="宋体" w:cs="宋体"/>
          <w:color w:val="auto"/>
          <w:sz w:val="21"/>
          <w:szCs w:val="21"/>
          <w:highlight w:val="none"/>
          <w:lang w:val="en-US" w:eastAsia="zh-CN"/>
        </w:rPr>
        <w:t>中标候选人</w:t>
      </w:r>
      <w:r>
        <w:rPr>
          <w:rFonts w:hint="eastAsia" w:ascii="宋体" w:hAnsi="宋体" w:eastAsia="宋体" w:cs="宋体"/>
          <w:color w:val="auto"/>
          <w:sz w:val="21"/>
          <w:szCs w:val="21"/>
          <w:highlight w:val="none"/>
          <w:lang w:val="zh-CN"/>
        </w:rPr>
        <w:t>。</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lang w:val="zh-CN"/>
        </w:rPr>
        <w:t>得分较高者为先。</w:t>
      </w:r>
    </w:p>
    <w:p>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六、</w:t>
      </w:r>
      <w:r>
        <w:rPr>
          <w:rFonts w:hint="eastAsia" w:ascii="宋体" w:hAnsi="宋体" w:eastAsia="宋体" w:cs="宋体"/>
          <w:color w:val="auto"/>
          <w:sz w:val="21"/>
          <w:szCs w:val="21"/>
          <w:highlight w:val="none"/>
          <w:lang w:val="zh-CN"/>
        </w:rPr>
        <w:t>本次评分具体分值细化条款如下表：</w:t>
      </w:r>
    </w:p>
    <w:p>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1"/>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3"/>
        <w:gridCol w:w="1105"/>
        <w:gridCol w:w="674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9" w:hRule="atLeast"/>
          <w:jc w:val="center"/>
        </w:trPr>
        <w:tc>
          <w:tcPr>
            <w:tcW w:w="1928" w:type="dxa"/>
            <w:gridSpan w:val="2"/>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6743"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07"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0" w:hRule="atLeast"/>
          <w:jc w:val="center"/>
        </w:trPr>
        <w:tc>
          <w:tcPr>
            <w:tcW w:w="823" w:type="dxa"/>
            <w:vMerge w:val="restart"/>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p>
        </w:tc>
        <w:tc>
          <w:tcPr>
            <w:tcW w:w="1105"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承接经验</w:t>
            </w:r>
          </w:p>
        </w:tc>
        <w:tc>
          <w:tcPr>
            <w:tcW w:w="6743" w:type="dxa"/>
            <w:vAlign w:val="center"/>
          </w:tcPr>
          <w:p>
            <w:pPr>
              <w:pStyle w:val="2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beforeAutospacing="0" w:after="0" w:afterAutospacing="0" w:line="240" w:lineRule="auto"/>
              <w:ind w:left="0" w:leftChars="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年1月1日以来（以合同签订时间为准）承接过类似项目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，每提供1个合同得1分，最高得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2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beforeAutospacing="0" w:after="0" w:afterAutospacing="0"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707"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4" w:hRule="atLeast"/>
          <w:jc w:val="center"/>
        </w:trPr>
        <w:tc>
          <w:tcPr>
            <w:tcW w:w="823"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1105" w:type="dxa"/>
            <w:vMerge w:val="restart"/>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项目组成员情况</w:t>
            </w:r>
          </w:p>
        </w:tc>
        <w:tc>
          <w:tcPr>
            <w:tcW w:w="6743" w:type="dxa"/>
            <w:vAlign w:val="center"/>
          </w:tcPr>
          <w:p>
            <w:pPr>
              <w:keepNext w:val="0"/>
              <w:keepLines w:val="0"/>
              <w:pageBreakBefore w:val="0"/>
              <w:widowControl/>
              <w:kinsoku/>
              <w:wordWrap/>
              <w:overflowPunct/>
              <w:topLinePunct w:val="0"/>
              <w:bidi w:val="0"/>
              <w:spacing w:beforeAutospacing="0" w:afterAutospacing="0" w:line="24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拟派本</w:t>
            </w:r>
            <w:r>
              <w:rPr>
                <w:rFonts w:hint="eastAsia" w:ascii="宋体" w:hAnsi="宋体" w:eastAsia="宋体" w:cs="宋体"/>
                <w:color w:val="auto"/>
                <w:sz w:val="21"/>
                <w:szCs w:val="21"/>
                <w:highlight w:val="none"/>
              </w:rPr>
              <w:t>项目负责人具有城乡规划高级职称或建筑高级职称的得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分，中级职称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不满足要求的不得分。</w:t>
            </w:r>
          </w:p>
          <w:p>
            <w:pPr>
              <w:keepNext w:val="0"/>
              <w:keepLines w:val="0"/>
              <w:pageBreakBefore w:val="0"/>
              <w:widowControl/>
              <w:kinsoku/>
              <w:wordWrap/>
              <w:overflowPunct/>
              <w:topLinePunct w:val="0"/>
              <w:bidi w:val="0"/>
              <w:spacing w:beforeAutospacing="0" w:afterAutospacing="0"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在有效期内的职称证书</w:t>
            </w:r>
            <w:r>
              <w:rPr>
                <w:rFonts w:hint="eastAsia" w:ascii="宋体" w:hAnsi="宋体" w:eastAsia="宋体" w:cs="宋体"/>
                <w:b/>
                <w:bCs/>
                <w:color w:val="auto"/>
                <w:sz w:val="21"/>
                <w:szCs w:val="21"/>
                <w:highlight w:val="none"/>
              </w:rPr>
              <w:t>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707"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34" w:hRule="atLeast"/>
          <w:jc w:val="center"/>
        </w:trPr>
        <w:tc>
          <w:tcPr>
            <w:tcW w:w="823"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bCs/>
                <w:color w:val="auto"/>
                <w:sz w:val="21"/>
                <w:szCs w:val="21"/>
                <w:highlight w:val="none"/>
              </w:rPr>
            </w:pPr>
          </w:p>
        </w:tc>
        <w:tc>
          <w:tcPr>
            <w:tcW w:w="1105" w:type="dxa"/>
            <w:vMerge w:val="continue"/>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rPr>
            </w:pPr>
          </w:p>
        </w:tc>
        <w:tc>
          <w:tcPr>
            <w:tcW w:w="6743" w:type="dxa"/>
            <w:vAlign w:val="center"/>
          </w:tcPr>
          <w:p>
            <w:pPr>
              <w:keepNext w:val="0"/>
              <w:keepLines w:val="0"/>
              <w:pageBreakBefore w:val="0"/>
              <w:kinsoku/>
              <w:wordWrap/>
              <w:overflowPunct/>
              <w:topLinePunct w:val="0"/>
              <w:bidi w:val="0"/>
              <w:adjustRightInd w:val="0"/>
              <w:snapToGrid w:val="0"/>
              <w:spacing w:beforeAutospacing="0" w:afterAutospacing="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拟派本项目的项目组成员（项目负责人除外）具有城乡规划或建筑高级职称的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每提供一个得</w:t>
            </w:r>
            <w:r>
              <w:rPr>
                <w:rFonts w:hint="eastAsia" w:ascii="宋体" w:hAnsi="宋体" w:eastAsia="宋体" w:cs="宋体"/>
                <w:color w:val="auto"/>
                <w:sz w:val="21"/>
                <w:szCs w:val="21"/>
                <w:highlight w:val="none"/>
              </w:rPr>
              <w:t>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中级职称的</w:t>
            </w:r>
            <w:r>
              <w:rPr>
                <w:rFonts w:hint="eastAsia" w:ascii="宋体" w:hAnsi="宋体" w:eastAsia="宋体" w:cs="宋体"/>
                <w:color w:val="auto"/>
                <w:sz w:val="21"/>
                <w:szCs w:val="21"/>
                <w:highlight w:val="none"/>
                <w:lang w:val="en-US" w:eastAsia="zh-CN"/>
              </w:rPr>
              <w:t>每提供一个得</w:t>
            </w:r>
            <w:r>
              <w:rPr>
                <w:rFonts w:hint="eastAsia" w:ascii="宋体" w:hAnsi="宋体" w:eastAsia="宋体" w:cs="宋体"/>
                <w:color w:val="auto"/>
                <w:sz w:val="21"/>
                <w:szCs w:val="21"/>
                <w:highlight w:val="none"/>
              </w:rPr>
              <w:t>0.5分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不满足要求的不得分。</w:t>
            </w:r>
          </w:p>
          <w:p>
            <w:pPr>
              <w:keepNext w:val="0"/>
              <w:keepLines w:val="0"/>
              <w:pageBreakBefore w:val="0"/>
              <w:kinsoku/>
              <w:wordWrap/>
              <w:overflowPunct/>
              <w:topLinePunct w:val="0"/>
              <w:bidi w:val="0"/>
              <w:adjustRightInd w:val="0"/>
              <w:snapToGrid w:val="0"/>
              <w:spacing w:beforeAutospacing="0" w:afterAutospacing="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本项最高得2分。</w:t>
            </w:r>
          </w:p>
          <w:p>
            <w:pPr>
              <w:keepNext w:val="0"/>
              <w:keepLines w:val="0"/>
              <w:pageBreakBefore w:val="0"/>
              <w:kinsoku/>
              <w:wordWrap/>
              <w:overflowPunct/>
              <w:topLinePunct w:val="0"/>
              <w:bidi w:val="0"/>
              <w:adjustRightInd w:val="0"/>
              <w:snapToGrid w:val="0"/>
              <w:spacing w:beforeAutospacing="0" w:afterAutospacing="0"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在有效期内的职称证书</w:t>
            </w:r>
            <w:r>
              <w:rPr>
                <w:rFonts w:hint="eastAsia" w:ascii="宋体" w:hAnsi="宋体" w:eastAsia="宋体" w:cs="宋体"/>
                <w:b/>
                <w:bCs/>
                <w:color w:val="auto"/>
                <w:sz w:val="21"/>
                <w:szCs w:val="21"/>
                <w:highlight w:val="none"/>
              </w:rPr>
              <w:t>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707" w:type="dxa"/>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8" w:hRule="atLeast"/>
          <w:jc w:val="center"/>
        </w:trPr>
        <w:tc>
          <w:tcPr>
            <w:tcW w:w="823"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1105" w:type="dxa"/>
            <w:vMerge w:val="continue"/>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6743" w:type="dxa"/>
            <w:vAlign w:val="center"/>
          </w:tcPr>
          <w:p>
            <w:pPr>
              <w:keepNext w:val="0"/>
              <w:keepLines w:val="0"/>
              <w:pageBreakBefore w:val="0"/>
              <w:kinsoku/>
              <w:wordWrap/>
              <w:overflowPunct/>
              <w:topLinePunct w:val="0"/>
              <w:bidi w:val="0"/>
              <w:adjustRightInd w:val="0"/>
              <w:snapToGrid w:val="0"/>
              <w:spacing w:beforeAutospacing="0" w:afterAutospacing="0"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拟派本项目的项目组成员</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城乡规划相关领域获奖的，每提供1个奖项得2分，最高得4分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beforeAutospacing="0" w:afterAutospacing="0"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获奖</w:t>
            </w:r>
            <w:r>
              <w:rPr>
                <w:rFonts w:hint="eastAsia" w:ascii="宋体" w:hAnsi="宋体" w:eastAsia="宋体" w:cs="宋体"/>
                <w:b/>
                <w:bCs/>
                <w:color w:val="auto"/>
                <w:sz w:val="21"/>
                <w:szCs w:val="21"/>
                <w:highlight w:val="none"/>
              </w:rPr>
              <w:t>证书扫描件及投标截止时间前近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707" w:type="dxa"/>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6" w:hRule="atLeast"/>
          <w:jc w:val="center"/>
        </w:trPr>
        <w:tc>
          <w:tcPr>
            <w:tcW w:w="823" w:type="dxa"/>
            <w:vMerge w:val="restart"/>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67</w:t>
            </w:r>
            <w:r>
              <w:rPr>
                <w:rFonts w:hint="eastAsia" w:ascii="宋体" w:hAnsi="宋体" w:eastAsia="宋体" w:cs="宋体"/>
                <w:color w:val="auto"/>
                <w:sz w:val="21"/>
                <w:szCs w:val="21"/>
                <w:highlight w:val="none"/>
              </w:rPr>
              <w:t>分）</w:t>
            </w:r>
          </w:p>
        </w:tc>
        <w:tc>
          <w:tcPr>
            <w:tcW w:w="1105"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项目理解</w:t>
            </w:r>
          </w:p>
        </w:tc>
        <w:tc>
          <w:tcPr>
            <w:tcW w:w="6743" w:type="dxa"/>
            <w:vAlign w:val="center"/>
          </w:tcPr>
          <w:p>
            <w:pPr>
              <w:keepNext w:val="0"/>
              <w:keepLines w:val="0"/>
              <w:pageBreakBefore w:val="0"/>
              <w:tabs>
                <w:tab w:val="left" w:pos="2061"/>
              </w:tabs>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根据投标人对</w:t>
            </w:r>
            <w:r>
              <w:rPr>
                <w:rFonts w:hint="eastAsia" w:ascii="宋体" w:hAnsi="宋体" w:eastAsia="宋体" w:cs="宋体"/>
                <w:color w:val="auto"/>
                <w:sz w:val="21"/>
                <w:szCs w:val="21"/>
                <w:highlight w:val="none"/>
                <w:lang w:val="en-US" w:eastAsia="zh-CN"/>
              </w:rPr>
              <w:t>本地区规划条件论证、咨询研究</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en-US" w:eastAsia="zh-CN"/>
              </w:rPr>
              <w:t>工作内容理解，现状分析情况</w:t>
            </w:r>
            <w:r>
              <w:rPr>
                <w:rFonts w:hint="eastAsia" w:ascii="宋体" w:hAnsi="宋体" w:eastAsia="宋体" w:cs="宋体"/>
                <w:color w:val="auto"/>
                <w:sz w:val="21"/>
                <w:szCs w:val="21"/>
                <w:highlight w:val="none"/>
              </w:rPr>
              <w:t>进行打分</w:t>
            </w:r>
            <w:r>
              <w:rPr>
                <w:rFonts w:hint="eastAsia" w:ascii="宋体" w:hAnsi="宋体" w:eastAsia="宋体" w:cs="宋体"/>
                <w:color w:val="auto"/>
                <w:sz w:val="21"/>
                <w:szCs w:val="21"/>
                <w:highlight w:val="none"/>
                <w:lang w:eastAsia="zh-CN"/>
              </w:rPr>
              <w:t>。</w:t>
            </w:r>
          </w:p>
          <w:p>
            <w:pPr>
              <w:keepNext w:val="0"/>
              <w:keepLines w:val="0"/>
              <w:pageBreakBefore w:val="0"/>
              <w:tabs>
                <w:tab w:val="left" w:pos="2061"/>
              </w:tabs>
              <w:kinsoku/>
              <w:wordWrap/>
              <w:overflowPunct/>
              <w:topLinePunct w:val="0"/>
              <w:bidi w:val="0"/>
              <w:spacing w:beforeAutospacing="0" w:afterAutospacing="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调查全面，背景、现状分析有针对性的得</w:t>
            </w:r>
            <w:r>
              <w:rPr>
                <w:rFonts w:hint="eastAsia" w:ascii="宋体" w:hAnsi="宋体" w:eastAsia="宋体" w:cs="宋体"/>
                <w:color w:val="auto"/>
                <w:sz w:val="21"/>
                <w:szCs w:val="21"/>
                <w:highlight w:val="none"/>
                <w:lang w:val="en-US" w:eastAsia="zh-CN"/>
              </w:rPr>
              <w:t>3.0-5.0</w:t>
            </w:r>
            <w:r>
              <w:rPr>
                <w:rFonts w:hint="eastAsia" w:ascii="宋体" w:hAnsi="宋体" w:eastAsia="宋体" w:cs="宋体"/>
                <w:color w:val="auto"/>
                <w:sz w:val="21"/>
                <w:szCs w:val="21"/>
                <w:highlight w:val="none"/>
              </w:rPr>
              <w:t>分；</w:t>
            </w:r>
          </w:p>
          <w:p>
            <w:pPr>
              <w:keepNext w:val="0"/>
              <w:keepLines w:val="0"/>
              <w:pageBreakBefore w:val="0"/>
              <w:tabs>
                <w:tab w:val="left" w:pos="2061"/>
              </w:tabs>
              <w:kinsoku/>
              <w:wordWrap/>
              <w:overflowPunct/>
              <w:topLinePunct w:val="0"/>
              <w:bidi w:val="0"/>
              <w:spacing w:beforeAutospacing="0" w:afterAutospacing="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调查分析片面有欠缺的得</w:t>
            </w:r>
            <w:r>
              <w:rPr>
                <w:rFonts w:hint="eastAsia" w:ascii="宋体" w:hAnsi="宋体" w:eastAsia="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p>
          <w:p>
            <w:pPr>
              <w:keepNext w:val="0"/>
              <w:keepLines w:val="0"/>
              <w:pageBreakBefore w:val="0"/>
              <w:tabs>
                <w:tab w:val="left" w:pos="2061"/>
              </w:tabs>
              <w:kinsoku/>
              <w:wordWrap/>
              <w:overflowPunct/>
              <w:topLinePunct w:val="0"/>
              <w:bidi w:val="0"/>
              <w:spacing w:beforeAutospacing="0" w:afterAutospacing="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7"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5" w:hRule="atLeast"/>
          <w:jc w:val="center"/>
        </w:trPr>
        <w:tc>
          <w:tcPr>
            <w:tcW w:w="823" w:type="dxa"/>
            <w:vMerge w:val="continue"/>
            <w:vAlign w:val="center"/>
          </w:tcPr>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rPr>
            </w:pPr>
          </w:p>
        </w:tc>
        <w:tc>
          <w:tcPr>
            <w:tcW w:w="1105" w:type="dxa"/>
            <w:vMerge w:val="restart"/>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项目方案</w:t>
            </w:r>
          </w:p>
        </w:tc>
        <w:tc>
          <w:tcPr>
            <w:tcW w:w="6743" w:type="dxa"/>
            <w:vAlign w:val="center"/>
          </w:tcPr>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工作思路和技术方案：</w:t>
            </w:r>
          </w:p>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color w:val="auto"/>
                <w:sz w:val="21"/>
                <w:szCs w:val="21"/>
                <w:highlight w:val="none"/>
              </w:rPr>
              <w:t>投标人针对</w:t>
            </w:r>
            <w:r>
              <w:rPr>
                <w:rFonts w:hint="eastAsia" w:ascii="宋体" w:hAnsi="宋体" w:eastAsia="宋体" w:cs="宋体"/>
                <w:b w:val="0"/>
                <w:color w:val="auto"/>
                <w:sz w:val="21"/>
                <w:szCs w:val="21"/>
                <w:highlight w:val="none"/>
                <w:lang w:val="en-US" w:eastAsia="zh-CN"/>
              </w:rPr>
              <w:t>本次</w:t>
            </w:r>
            <w:r>
              <w:rPr>
                <w:rFonts w:hint="eastAsia" w:ascii="宋体" w:hAnsi="宋体" w:eastAsia="宋体" w:cs="宋体"/>
                <w:color w:val="auto"/>
                <w:szCs w:val="21"/>
                <w:highlight w:val="none"/>
                <w:lang w:val="en-US" w:eastAsia="zh-CN"/>
              </w:rPr>
              <w:t>报告咨询论证</w:t>
            </w:r>
            <w:r>
              <w:rPr>
                <w:rFonts w:hint="eastAsia" w:ascii="宋体" w:hAnsi="宋体" w:eastAsia="宋体" w:cs="宋体"/>
                <w:color w:val="auto"/>
                <w:szCs w:val="21"/>
                <w:highlight w:val="none"/>
              </w:rPr>
              <w:t>的总体思路</w:t>
            </w:r>
            <w:r>
              <w:rPr>
                <w:rFonts w:hint="eastAsia" w:ascii="宋体" w:hAnsi="宋体" w:eastAsia="宋体" w:cs="宋体"/>
                <w:color w:val="auto"/>
                <w:szCs w:val="21"/>
                <w:highlight w:val="none"/>
                <w:lang w:eastAsia="zh-CN"/>
              </w:rPr>
              <w:t>、</w:t>
            </w:r>
            <w:r>
              <w:rPr>
                <w:rFonts w:hint="eastAsia" w:ascii="宋体" w:hAnsi="宋体" w:eastAsia="宋体" w:cs="宋体"/>
                <w:b w:val="0"/>
                <w:color w:val="auto"/>
                <w:sz w:val="21"/>
                <w:szCs w:val="21"/>
                <w:highlight w:val="none"/>
                <w:lang w:val="en-US" w:eastAsia="zh-CN"/>
              </w:rPr>
              <w:t>目标定位、</w:t>
            </w:r>
            <w:r>
              <w:rPr>
                <w:rFonts w:hint="eastAsia" w:ascii="宋体" w:hAnsi="宋体" w:eastAsia="宋体" w:cs="宋体"/>
                <w:b w:val="0"/>
                <w:color w:val="auto"/>
                <w:sz w:val="21"/>
                <w:szCs w:val="21"/>
                <w:highlight w:val="none"/>
              </w:rPr>
              <w:t>工作方法</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以及</w:t>
            </w:r>
            <w:r>
              <w:rPr>
                <w:rFonts w:hint="eastAsia" w:ascii="宋体" w:hAnsi="宋体" w:eastAsia="宋体" w:cs="宋体"/>
                <w:color w:val="auto"/>
                <w:highlight w:val="none"/>
                <w:lang w:val="en-US" w:eastAsia="zh-CN"/>
              </w:rPr>
              <w:t>对</w:t>
            </w:r>
            <w:r>
              <w:rPr>
                <w:rFonts w:hint="eastAsia" w:ascii="宋体" w:hAnsi="宋体" w:eastAsia="宋体" w:cs="宋体"/>
                <w:b w:val="0"/>
                <w:color w:val="auto"/>
                <w:sz w:val="21"/>
                <w:szCs w:val="21"/>
                <w:highlight w:val="none"/>
                <w:lang w:val="en-US" w:eastAsia="zh-CN"/>
              </w:rPr>
              <w:t>具体</w:t>
            </w:r>
            <w:r>
              <w:rPr>
                <w:rFonts w:hint="eastAsia" w:ascii="宋体" w:hAnsi="宋体" w:eastAsia="宋体" w:cs="宋体"/>
                <w:b w:val="0"/>
                <w:color w:val="auto"/>
                <w:sz w:val="21"/>
                <w:szCs w:val="21"/>
                <w:highlight w:val="none"/>
              </w:rPr>
              <w:t>技术</w:t>
            </w:r>
            <w:r>
              <w:rPr>
                <w:rFonts w:hint="eastAsia" w:ascii="宋体" w:hAnsi="宋体" w:eastAsia="宋体" w:cs="宋体"/>
                <w:b w:val="0"/>
                <w:color w:val="auto"/>
                <w:sz w:val="21"/>
                <w:szCs w:val="21"/>
                <w:highlight w:val="none"/>
                <w:lang w:val="en-US" w:eastAsia="zh-CN"/>
              </w:rPr>
              <w:t>方案和技术</w:t>
            </w:r>
            <w:r>
              <w:rPr>
                <w:rFonts w:hint="eastAsia" w:ascii="宋体" w:hAnsi="宋体" w:eastAsia="宋体" w:cs="宋体"/>
                <w:b w:val="0"/>
                <w:color w:val="auto"/>
                <w:sz w:val="21"/>
                <w:szCs w:val="21"/>
                <w:highlight w:val="none"/>
              </w:rPr>
              <w:t>路线</w:t>
            </w:r>
            <w:r>
              <w:rPr>
                <w:rFonts w:hint="eastAsia" w:ascii="宋体" w:hAnsi="宋体" w:eastAsia="宋体" w:cs="宋体"/>
                <w:b w:val="0"/>
                <w:color w:val="auto"/>
                <w:sz w:val="21"/>
                <w:szCs w:val="21"/>
                <w:highlight w:val="none"/>
                <w:lang w:val="en-US" w:eastAsia="zh-CN"/>
              </w:rPr>
              <w:t>的阐述情况进行打分。</w:t>
            </w:r>
          </w:p>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工作方法科学、</w:t>
            </w:r>
            <w:r>
              <w:rPr>
                <w:rFonts w:hint="eastAsia" w:ascii="宋体" w:hAnsi="宋体" w:eastAsia="宋体" w:cs="宋体"/>
                <w:b w:val="0"/>
                <w:bCs w:val="0"/>
                <w:color w:val="auto"/>
                <w:sz w:val="21"/>
                <w:szCs w:val="21"/>
                <w:highlight w:val="none"/>
                <w:lang w:eastAsia="zh-CN"/>
              </w:rPr>
              <w:t>总体思路</w:t>
            </w:r>
            <w:r>
              <w:rPr>
                <w:rFonts w:hint="eastAsia" w:ascii="宋体" w:hAnsi="宋体" w:eastAsia="宋体" w:cs="宋体"/>
                <w:b w:val="0"/>
                <w:bCs w:val="0"/>
                <w:color w:val="auto"/>
                <w:sz w:val="21"/>
                <w:szCs w:val="21"/>
                <w:highlight w:val="none"/>
                <w:lang w:val="en-US" w:eastAsia="zh-CN"/>
              </w:rPr>
              <w:t>明确的</w:t>
            </w:r>
            <w:r>
              <w:rPr>
                <w:rFonts w:hint="eastAsia" w:ascii="宋体" w:hAnsi="宋体" w:eastAsia="宋体" w:cs="宋体"/>
                <w:b w:val="0"/>
                <w:bCs w:val="0"/>
                <w:color w:val="auto"/>
                <w:sz w:val="21"/>
                <w:szCs w:val="21"/>
                <w:highlight w:val="none"/>
                <w:lang w:eastAsia="zh-CN"/>
              </w:rPr>
              <w:t>得</w:t>
            </w:r>
            <w:r>
              <w:rPr>
                <w:rFonts w:hint="eastAsia" w:ascii="宋体" w:hAnsi="宋体" w:eastAsia="宋体" w:cs="宋体"/>
                <w:b w:val="0"/>
                <w:color w:val="auto"/>
                <w:sz w:val="21"/>
                <w:szCs w:val="21"/>
                <w:highlight w:val="none"/>
                <w:lang w:val="en-US" w:eastAsia="zh-CN"/>
              </w:rPr>
              <w:t>3.0-5.0分</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工作方法正确、</w:t>
            </w:r>
            <w:r>
              <w:rPr>
                <w:rFonts w:hint="eastAsia" w:ascii="宋体" w:hAnsi="宋体" w:eastAsia="宋体" w:cs="宋体"/>
                <w:b w:val="0"/>
                <w:bCs w:val="0"/>
                <w:color w:val="auto"/>
                <w:sz w:val="21"/>
                <w:szCs w:val="21"/>
                <w:highlight w:val="none"/>
                <w:lang w:eastAsia="zh-CN"/>
              </w:rPr>
              <w:t>总体思路</w:t>
            </w:r>
            <w:r>
              <w:rPr>
                <w:rFonts w:hint="eastAsia" w:ascii="宋体" w:hAnsi="宋体" w:eastAsia="宋体" w:cs="宋体"/>
                <w:b w:val="0"/>
                <w:bCs w:val="0"/>
                <w:color w:val="auto"/>
                <w:sz w:val="21"/>
                <w:szCs w:val="21"/>
                <w:highlight w:val="none"/>
                <w:lang w:val="en-US" w:eastAsia="zh-CN"/>
              </w:rPr>
              <w:t>缺乏严谨性</w:t>
            </w:r>
            <w:r>
              <w:rPr>
                <w:rFonts w:hint="eastAsia" w:ascii="宋体" w:hAnsi="宋体" w:eastAsia="宋体" w:cs="宋体"/>
                <w:b w:val="0"/>
                <w:bCs w:val="0"/>
                <w:color w:val="auto"/>
                <w:sz w:val="21"/>
                <w:szCs w:val="21"/>
                <w:highlight w:val="none"/>
                <w:lang w:eastAsia="zh-CN"/>
              </w:rPr>
              <w:t>的得</w:t>
            </w:r>
            <w:r>
              <w:rPr>
                <w:rFonts w:hint="eastAsia" w:ascii="宋体" w:hAnsi="宋体" w:eastAsia="宋体" w:cs="宋体"/>
                <w:b w:val="0"/>
                <w:color w:val="auto"/>
                <w:sz w:val="21"/>
                <w:szCs w:val="21"/>
                <w:highlight w:val="none"/>
                <w:lang w:val="en-US" w:eastAsia="zh-CN"/>
              </w:rPr>
              <w:t>0.1-2.9分</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未提及此项不得分。</w:t>
            </w:r>
          </w:p>
        </w:tc>
        <w:tc>
          <w:tcPr>
            <w:tcW w:w="707"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5" w:hRule="atLeast"/>
          <w:jc w:val="center"/>
        </w:trPr>
        <w:tc>
          <w:tcPr>
            <w:tcW w:w="823" w:type="dxa"/>
            <w:vMerge w:val="continue"/>
            <w:vAlign w:val="center"/>
          </w:tcPr>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rPr>
            </w:pPr>
          </w:p>
        </w:tc>
        <w:tc>
          <w:tcPr>
            <w:tcW w:w="1105" w:type="dxa"/>
            <w:vMerge w:val="continue"/>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6743" w:type="dxa"/>
            <w:vAlign w:val="center"/>
          </w:tcPr>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规划衔接方案：</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根据投标人对国土空间总体规划、详细规划、专项规划、城市设计等内容的规划衔接方案进行打分。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方案详细全面，能保障规划衔接顺利进行的得3.0-5.0分；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方案简单片面，基本能满足衔接要求的得0.1-2.9分；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707"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5" w:hRule="atLeast"/>
          <w:jc w:val="center"/>
        </w:trPr>
        <w:tc>
          <w:tcPr>
            <w:tcW w:w="823" w:type="dxa"/>
            <w:vMerge w:val="continue"/>
            <w:vAlign w:val="center"/>
          </w:tcPr>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rPr>
            </w:pPr>
          </w:p>
        </w:tc>
        <w:tc>
          <w:tcPr>
            <w:tcW w:w="1105" w:type="dxa"/>
            <w:vMerge w:val="continue"/>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6743" w:type="dxa"/>
            <w:vAlign w:val="center"/>
          </w:tcPr>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论证方案：</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根据投标人针对本项目提供的论证方案进行打分。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方案详细全面，项目理解准确，内容和深度符合报告编制需求的得3.0-5.0分；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方案简单片面，项目理解基本正确，内容粗略，深度不足的得0.1-2.9分；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707"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6" w:hRule="atLeast"/>
          <w:jc w:val="center"/>
        </w:trPr>
        <w:tc>
          <w:tcPr>
            <w:tcW w:w="823" w:type="dxa"/>
            <w:vMerge w:val="continue"/>
            <w:vAlign w:val="center"/>
          </w:tcPr>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rPr>
            </w:pPr>
          </w:p>
        </w:tc>
        <w:tc>
          <w:tcPr>
            <w:tcW w:w="1105" w:type="dxa"/>
            <w:vMerge w:val="continue"/>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6743" w:type="dxa"/>
            <w:vAlign w:val="center"/>
          </w:tcPr>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建设用地规划条件模拟稿设计方案：</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根据投标人</w:t>
            </w:r>
            <w:r>
              <w:rPr>
                <w:rFonts w:hint="eastAsia" w:ascii="宋体" w:hAnsi="宋体" w:eastAsia="宋体" w:cs="宋体"/>
                <w:color w:val="auto"/>
                <w:sz w:val="21"/>
                <w:szCs w:val="21"/>
                <w:highlight w:val="none"/>
                <w:lang w:val="en-US" w:eastAsia="zh-CN"/>
              </w:rPr>
              <w:t>针对本项目提供</w:t>
            </w:r>
            <w:r>
              <w:rPr>
                <w:rFonts w:hint="eastAsia" w:ascii="宋体" w:hAnsi="宋体" w:eastAsia="宋体" w:cs="宋体"/>
                <w:color w:val="auto"/>
                <w:szCs w:val="28"/>
                <w:highlight w:val="none"/>
                <w:lang w:val="en-US" w:eastAsia="zh-CN"/>
              </w:rPr>
              <w:t>的建设用地规划条件模拟稿设计方案进行打分。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方案详细完善，总体思路明确，对本项目有针对性的得3.0-5.0分；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方案简单，总体思路基本正确，缺乏针对性的得0.1-2.9分；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8"/>
                <w:highlight w:val="none"/>
                <w:lang w:val="en-US" w:eastAsia="zh-CN"/>
              </w:rPr>
              <w:t>未提及此项不得分。</w:t>
            </w:r>
          </w:p>
        </w:tc>
        <w:tc>
          <w:tcPr>
            <w:tcW w:w="707"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6" w:hRule="atLeast"/>
          <w:jc w:val="center"/>
        </w:trPr>
        <w:tc>
          <w:tcPr>
            <w:tcW w:w="823"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1105" w:type="dxa"/>
            <w:vMerge w:val="continue"/>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6743" w:type="dxa"/>
            <w:vAlign w:val="center"/>
          </w:tcPr>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验收方案：</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根据投标人对本项目报告编制、模拟稿设计后的验收方案进行打分。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方案全面合理，对本项目有针对性和可行性的得3.0-5.0分；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方案简单片面，缺乏对本项目的针对性和可行性的得0.1-2.9分；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707"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6" w:hRule="atLeast"/>
          <w:jc w:val="center"/>
        </w:trPr>
        <w:tc>
          <w:tcPr>
            <w:tcW w:w="823"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1105" w:type="dxa"/>
            <w:vMerge w:val="continue"/>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6743" w:type="dxa"/>
            <w:vAlign w:val="center"/>
          </w:tcPr>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后续服务方案：</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根据投标人针对本项目提供的后续服务方案进行打分。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方案全面详细，能保证咨询论证方案出具后，后续调整服务及时到位的得3.0-5.0分；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方案简单片面，基本能维持后续调整服务的得0.1-2.9分；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707"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6" w:hRule="atLeast"/>
          <w:jc w:val="center"/>
        </w:trPr>
        <w:tc>
          <w:tcPr>
            <w:tcW w:w="823"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1105" w:type="dxa"/>
            <w:vAlign w:val="center"/>
          </w:tcPr>
          <w:p>
            <w:pPr>
              <w:keepNext w:val="0"/>
              <w:keepLines w:val="0"/>
              <w:pageBreakBefore w:val="0"/>
              <w:kinsoku/>
              <w:wordWrap/>
              <w:topLinePunct w:val="0"/>
              <w:bidi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质量管控</w:t>
            </w:r>
          </w:p>
        </w:tc>
        <w:tc>
          <w:tcPr>
            <w:tcW w:w="6743" w:type="dxa"/>
            <w:vAlign w:val="center"/>
          </w:tcPr>
          <w:p>
            <w:pPr>
              <w:keepNext w:val="0"/>
              <w:keepLines w:val="0"/>
              <w:pageBreakBefore w:val="0"/>
              <w:tabs>
                <w:tab w:val="left" w:pos="780"/>
              </w:tabs>
              <w:kinsoku/>
              <w:wordWrap/>
              <w:topLinePunct w:val="0"/>
              <w:autoSpaceDE w:val="0"/>
              <w:autoSpaceDN w:val="0"/>
              <w:bidi w:val="0"/>
              <w:adjustRightInd w:val="0"/>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根据投标人</w:t>
            </w:r>
            <w:r>
              <w:rPr>
                <w:rFonts w:hint="eastAsia" w:ascii="宋体" w:hAnsi="宋体" w:eastAsia="宋体" w:cs="宋体"/>
                <w:color w:val="auto"/>
                <w:highlight w:val="none"/>
                <w:lang w:val="en-US" w:eastAsia="zh-CN"/>
              </w:rPr>
              <w:t>对咨询论证工作中的管理规范、内控制度、质量管控</w:t>
            </w:r>
            <w:r>
              <w:rPr>
                <w:rFonts w:hint="eastAsia" w:ascii="宋体" w:hAnsi="宋体" w:eastAsia="宋体" w:cs="宋体"/>
                <w:color w:val="auto"/>
                <w:highlight w:val="none"/>
              </w:rPr>
              <w:t>措施</w:t>
            </w:r>
            <w:r>
              <w:rPr>
                <w:rFonts w:hint="eastAsia" w:ascii="宋体" w:hAnsi="宋体" w:eastAsia="宋体" w:cs="宋体"/>
                <w:color w:val="auto"/>
                <w:highlight w:val="none"/>
                <w:lang w:val="en-US" w:eastAsia="zh-CN"/>
              </w:rPr>
              <w:t>进行打分。</w:t>
            </w:r>
          </w:p>
          <w:p>
            <w:pPr>
              <w:keepNext w:val="0"/>
              <w:keepLines w:val="0"/>
              <w:pageBreakBefore w:val="0"/>
              <w:tabs>
                <w:tab w:val="left" w:pos="780"/>
              </w:tabs>
              <w:kinsoku/>
              <w:wordWrap/>
              <w:topLinePunct w:val="0"/>
              <w:autoSpaceDE w:val="0"/>
              <w:autoSpaceDN w:val="0"/>
              <w:bidi w:val="0"/>
              <w:adjustRightInd w:val="0"/>
              <w:spacing w:line="240" w:lineRule="auto"/>
              <w:jc w:val="left"/>
              <w:textAlignment w:val="auto"/>
              <w:rPr>
                <w:rFonts w:hint="eastAsia" w:ascii="宋体" w:hAnsi="宋体" w:eastAsia="宋体" w:cs="宋体"/>
                <w:b w:val="0"/>
                <w:color w:val="auto"/>
                <w:sz w:val="21"/>
                <w:szCs w:val="20"/>
                <w:highlight w:val="none"/>
              </w:rPr>
            </w:pPr>
            <w:r>
              <w:rPr>
                <w:rFonts w:hint="eastAsia" w:ascii="宋体" w:hAnsi="宋体" w:eastAsia="宋体" w:cs="宋体"/>
                <w:color w:val="auto"/>
                <w:highlight w:val="none"/>
                <w:lang w:val="en-US" w:eastAsia="zh-CN"/>
              </w:rPr>
              <w:t>质控方案全面，合理有保障</w:t>
            </w:r>
            <w:r>
              <w:rPr>
                <w:rFonts w:hint="eastAsia" w:ascii="宋体" w:hAnsi="宋体" w:eastAsia="宋体" w:cs="宋体"/>
                <w:color w:val="auto"/>
                <w:sz w:val="21"/>
                <w:szCs w:val="21"/>
                <w:highlight w:val="none"/>
                <w:lang w:val="en-US" w:eastAsia="zh-CN"/>
              </w:rPr>
              <w:t>的得</w:t>
            </w:r>
            <w:r>
              <w:rPr>
                <w:rFonts w:hint="eastAsia" w:ascii="宋体" w:hAnsi="宋体" w:eastAsia="宋体" w:cs="宋体"/>
                <w:b w:val="0"/>
                <w:color w:val="auto"/>
                <w:sz w:val="21"/>
                <w:szCs w:val="21"/>
                <w:highlight w:val="none"/>
                <w:lang w:val="en-US" w:eastAsia="zh-CN"/>
              </w:rPr>
              <w:t>3.0-5.0分</w:t>
            </w:r>
            <w:r>
              <w:rPr>
                <w:rFonts w:hint="eastAsia" w:ascii="宋体" w:hAnsi="宋体" w:eastAsia="宋体" w:cs="宋体"/>
                <w:b w:val="0"/>
                <w:color w:val="auto"/>
                <w:sz w:val="21"/>
                <w:szCs w:val="20"/>
                <w:highlight w:val="none"/>
              </w:rPr>
              <w:t>；</w:t>
            </w:r>
          </w:p>
          <w:p>
            <w:pPr>
              <w:keepNext w:val="0"/>
              <w:keepLines w:val="0"/>
              <w:pageBreakBefore w:val="0"/>
              <w:tabs>
                <w:tab w:val="left" w:pos="780"/>
              </w:tabs>
              <w:kinsoku/>
              <w:wordWrap/>
              <w:topLinePunct w:val="0"/>
              <w:autoSpaceDE w:val="0"/>
              <w:autoSpaceDN w:val="0"/>
              <w:bidi w:val="0"/>
              <w:adjustRightInd w:val="0"/>
              <w:spacing w:line="240" w:lineRule="auto"/>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0"/>
                <w:highlight w:val="none"/>
                <w:lang w:val="en-US" w:eastAsia="zh-CN"/>
              </w:rPr>
              <w:t>质控措施简单，缺乏有效性和针对性的得0.1-2.9</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780"/>
              </w:tabs>
              <w:kinsoku/>
              <w:wordWrap/>
              <w:topLinePunct w:val="0"/>
              <w:autoSpaceDE w:val="0"/>
              <w:autoSpaceDN w:val="0"/>
              <w:bidi w:val="0"/>
              <w:adjustRightInd w:val="0"/>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707" w:type="dxa"/>
            <w:vAlign w:val="center"/>
          </w:tcPr>
          <w:p>
            <w:pPr>
              <w:keepNext w:val="0"/>
              <w:keepLines w:val="0"/>
              <w:pageBreakBefore w:val="0"/>
              <w:tabs>
                <w:tab w:val="left" w:pos="780"/>
              </w:tabs>
              <w:kinsoku/>
              <w:wordWrap/>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8" w:hRule="atLeast"/>
          <w:jc w:val="center"/>
        </w:trPr>
        <w:tc>
          <w:tcPr>
            <w:tcW w:w="823"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1105"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项目组织职责</w:t>
            </w:r>
          </w:p>
        </w:tc>
        <w:tc>
          <w:tcPr>
            <w:tcW w:w="6743" w:type="dxa"/>
            <w:vAlign w:val="center"/>
          </w:tcPr>
          <w:p>
            <w:pPr>
              <w:keepNext w:val="0"/>
              <w:keepLines w:val="0"/>
              <w:pageBreakBefore w:val="0"/>
              <w:tabs>
                <w:tab w:val="left" w:pos="2061"/>
              </w:tabs>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根据投标人的项目组织职责分配方案进行打分。</w:t>
            </w:r>
          </w:p>
          <w:p>
            <w:pPr>
              <w:keepNext w:val="0"/>
              <w:keepLines w:val="0"/>
              <w:pageBreakBefore w:val="0"/>
              <w:tabs>
                <w:tab w:val="left" w:pos="2061"/>
              </w:tabs>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职责描述和任务划分详尽、明确的得3.0-5.0分；</w:t>
            </w:r>
          </w:p>
          <w:p>
            <w:pPr>
              <w:keepNext w:val="0"/>
              <w:keepLines w:val="0"/>
              <w:pageBreakBefore w:val="0"/>
              <w:tabs>
                <w:tab w:val="left" w:pos="2061"/>
              </w:tabs>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职责描述和任务划分简单模糊的得0.1-2.9分；</w:t>
            </w:r>
          </w:p>
          <w:p>
            <w:pPr>
              <w:keepNext w:val="0"/>
              <w:keepLines w:val="0"/>
              <w:pageBreakBefore w:val="0"/>
              <w:tabs>
                <w:tab w:val="left" w:pos="2061"/>
              </w:tabs>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707"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6" w:hRule="atLeast"/>
          <w:jc w:val="center"/>
        </w:trPr>
        <w:tc>
          <w:tcPr>
            <w:tcW w:w="823"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1105" w:type="dxa"/>
            <w:vAlign w:val="center"/>
          </w:tcPr>
          <w:p>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snapToGrid w:val="0"/>
                <w:color w:val="auto"/>
                <w:kern w:val="0"/>
                <w:sz w:val="21"/>
                <w:szCs w:val="21"/>
                <w:highlight w:val="none"/>
                <w:lang w:val="en-US" w:eastAsia="zh-CN"/>
              </w:rPr>
              <w:t>编制方案</w:t>
            </w:r>
          </w:p>
        </w:tc>
        <w:tc>
          <w:tcPr>
            <w:tcW w:w="6743" w:type="dxa"/>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snapToGrid w:val="0"/>
                <w:color w:val="auto"/>
                <w:kern w:val="0"/>
                <w:sz w:val="21"/>
                <w:szCs w:val="21"/>
                <w:highlight w:val="none"/>
                <w:lang w:val="en-US" w:eastAsia="zh-CN"/>
              </w:rPr>
              <w:t>根据投标人提供的项目成果</w:t>
            </w:r>
            <w:r>
              <w:rPr>
                <w:rFonts w:hint="eastAsia" w:ascii="宋体" w:hAnsi="宋体" w:eastAsia="宋体" w:cs="宋体"/>
                <w:color w:val="auto"/>
                <w:sz w:val="21"/>
                <w:szCs w:val="21"/>
                <w:highlight w:val="none"/>
                <w:lang w:val="en-US" w:eastAsia="zh-CN"/>
              </w:rPr>
              <w:t>编制方案进行打分。</w:t>
            </w:r>
          </w:p>
          <w:p>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编制方案科学合理，框架清晰，且对本项目有针对性的得3.0-5.0分；</w:t>
            </w:r>
          </w:p>
          <w:p>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编制方案缺乏科学性和合理性，缺乏对本项目的针对性的得0.1-2.9分；</w:t>
            </w:r>
          </w:p>
          <w:p>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707" w:type="dxa"/>
            <w:vAlign w:val="center"/>
          </w:tcPr>
          <w:p>
            <w:pPr>
              <w:pStyle w:val="3"/>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6" w:hRule="atLeast"/>
          <w:jc w:val="center"/>
        </w:trPr>
        <w:tc>
          <w:tcPr>
            <w:tcW w:w="823"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1105" w:type="dxa"/>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保密措施</w:t>
            </w:r>
          </w:p>
        </w:tc>
        <w:tc>
          <w:tcPr>
            <w:tcW w:w="6743" w:type="dxa"/>
            <w:vAlign w:val="center"/>
          </w:tcPr>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根据投标人</w:t>
            </w:r>
            <w:r>
              <w:rPr>
                <w:rFonts w:hint="eastAsia" w:ascii="宋体" w:hAnsi="宋体" w:eastAsia="宋体" w:cs="宋体"/>
                <w:color w:val="auto"/>
                <w:highlight w:val="none"/>
                <w:lang w:val="en-US" w:eastAsia="zh-CN"/>
              </w:rPr>
              <w:t>在方案编制过程中形成的资料、数据、材料、报告等的信息安全、资料保密，以及后续服务等环节的保密措施进行打分。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保密措施科学合理，</w:t>
            </w:r>
            <w:r>
              <w:rPr>
                <w:rFonts w:hint="eastAsia" w:ascii="宋体" w:hAnsi="宋体" w:eastAsia="宋体" w:cs="宋体"/>
                <w:color w:val="auto"/>
                <w:szCs w:val="21"/>
                <w:highlight w:val="none"/>
              </w:rPr>
              <w:t>方案详尽</w:t>
            </w:r>
            <w:r>
              <w:rPr>
                <w:rFonts w:hint="eastAsia" w:ascii="宋体" w:hAnsi="宋体" w:eastAsia="宋体" w:cs="宋体"/>
                <w:color w:val="auto"/>
                <w:highlight w:val="none"/>
                <w:lang w:val="en-US" w:eastAsia="zh-CN"/>
              </w:rPr>
              <w:t>的</w:t>
            </w:r>
            <w:r>
              <w:rPr>
                <w:rFonts w:hint="eastAsia" w:ascii="宋体" w:hAnsi="宋体" w:eastAsia="宋体" w:cs="宋体"/>
                <w:color w:val="auto"/>
                <w:spacing w:val="-4"/>
                <w:sz w:val="21"/>
                <w:szCs w:val="21"/>
                <w:highlight w:val="none"/>
                <w:lang w:val="en-US" w:eastAsia="zh-CN"/>
              </w:rPr>
              <w:t>得3.0-5.0</w:t>
            </w:r>
            <w:r>
              <w:rPr>
                <w:rFonts w:hint="eastAsia" w:ascii="宋体" w:hAnsi="宋体" w:eastAsia="宋体" w:cs="宋体"/>
                <w:color w:val="auto"/>
                <w:highlight w:val="none"/>
                <w:lang w:val="en-US" w:eastAsia="zh-CN"/>
              </w:rPr>
              <w:t>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保密措施粗糙、不合理的得0.1-2.9分；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未提及此项不得分。</w:t>
            </w:r>
          </w:p>
        </w:tc>
        <w:tc>
          <w:tcPr>
            <w:tcW w:w="707" w:type="dxa"/>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6" w:hRule="atLeast"/>
          <w:jc w:val="center"/>
        </w:trPr>
        <w:tc>
          <w:tcPr>
            <w:tcW w:w="823"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1105" w:type="dxa"/>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应急预案</w:t>
            </w:r>
          </w:p>
        </w:tc>
        <w:tc>
          <w:tcPr>
            <w:tcW w:w="6743" w:type="dxa"/>
            <w:vAlign w:val="center"/>
          </w:tcPr>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rPr>
              <w:t>针对后续实际项目实施中可能遇到的紧急事件、异常处理等应急预案和对应的解决措施情况</w:t>
            </w:r>
            <w:r>
              <w:rPr>
                <w:rFonts w:hint="eastAsia" w:ascii="宋体" w:hAnsi="宋体" w:eastAsia="宋体" w:cs="宋体"/>
                <w:color w:val="auto"/>
                <w:spacing w:val="-4"/>
                <w:sz w:val="21"/>
                <w:szCs w:val="21"/>
                <w:highlight w:val="none"/>
                <w:lang w:eastAsia="zh-CN"/>
              </w:rPr>
              <w:t>进行打分。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提出的应急措施科学</w:t>
            </w:r>
            <w:r>
              <w:rPr>
                <w:rFonts w:hint="eastAsia" w:ascii="宋体" w:hAnsi="宋体" w:eastAsia="宋体" w:cs="宋体"/>
                <w:color w:val="auto"/>
                <w:sz w:val="21"/>
                <w:szCs w:val="21"/>
                <w:highlight w:val="none"/>
              </w:rPr>
              <w:t>可行的得</w:t>
            </w:r>
            <w:r>
              <w:rPr>
                <w:rFonts w:hint="eastAsia" w:ascii="宋体" w:hAnsi="宋体" w:eastAsia="宋体" w:cs="宋体"/>
                <w:color w:val="auto"/>
                <w:sz w:val="21"/>
                <w:szCs w:val="21"/>
                <w:highlight w:val="none"/>
                <w:lang w:val="en-US" w:eastAsia="zh-CN"/>
              </w:rPr>
              <w:t>3.0-5.0</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rPr>
              <w:t>提出的应急措施</w:t>
            </w:r>
            <w:r>
              <w:rPr>
                <w:rFonts w:hint="eastAsia" w:ascii="宋体" w:hAnsi="宋体" w:eastAsia="宋体" w:cs="宋体"/>
                <w:color w:val="auto"/>
                <w:sz w:val="21"/>
                <w:szCs w:val="21"/>
                <w:highlight w:val="none"/>
              </w:rPr>
              <w:t>缺乏针对性和有效性的得</w:t>
            </w:r>
            <w:r>
              <w:rPr>
                <w:rFonts w:hint="eastAsia" w:ascii="宋体" w:hAnsi="宋体" w:eastAsia="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未提及此项不得分。</w:t>
            </w:r>
          </w:p>
        </w:tc>
        <w:tc>
          <w:tcPr>
            <w:tcW w:w="707" w:type="dxa"/>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6" w:hRule="atLeast"/>
          <w:jc w:val="center"/>
        </w:trPr>
        <w:tc>
          <w:tcPr>
            <w:tcW w:w="823"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1105"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合理化建议</w:t>
            </w:r>
          </w:p>
        </w:tc>
        <w:tc>
          <w:tcPr>
            <w:tcW w:w="6743" w:type="dxa"/>
            <w:vAlign w:val="center"/>
          </w:tcPr>
          <w:p>
            <w:pPr>
              <w:keepNext w:val="0"/>
              <w:keepLines w:val="0"/>
              <w:pageBreakBefore w:val="0"/>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根据投标人依据本项目服务要求、实际作业需求提出的合理化建议</w:t>
            </w:r>
            <w:r>
              <w:rPr>
                <w:rFonts w:hint="eastAsia" w:ascii="宋体" w:hAnsi="宋体" w:eastAsia="宋体" w:cs="宋体"/>
                <w:b w:val="0"/>
                <w:bCs w:val="0"/>
                <w:color w:val="auto"/>
                <w:sz w:val="21"/>
                <w:szCs w:val="21"/>
                <w:highlight w:val="none"/>
                <w:lang w:val="en-US" w:eastAsia="zh-CN"/>
              </w:rPr>
              <w:t>进行打分。</w:t>
            </w:r>
          </w:p>
          <w:p>
            <w:pPr>
              <w:keepNext w:val="0"/>
              <w:keepLines w:val="0"/>
              <w:pageBreakBefore w:val="0"/>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bCs w:val="0"/>
                <w:color w:val="auto"/>
                <w:sz w:val="21"/>
                <w:szCs w:val="21"/>
                <w:highlight w:val="none"/>
                <w:lang w:val="en-US" w:eastAsia="zh-CN"/>
              </w:rPr>
              <w:t>有实质性意义且对项目改进</w:t>
            </w:r>
            <w:r>
              <w:rPr>
                <w:rFonts w:hint="eastAsia" w:ascii="宋体" w:hAnsi="宋体" w:eastAsia="宋体" w:cs="宋体"/>
                <w:b w:val="0"/>
                <w:bCs w:val="0"/>
                <w:color w:val="auto"/>
                <w:sz w:val="21"/>
                <w:szCs w:val="21"/>
                <w:highlight w:val="none"/>
              </w:rPr>
              <w:t>有所帮助</w:t>
            </w:r>
            <w:r>
              <w:rPr>
                <w:rFonts w:hint="eastAsia" w:ascii="宋体" w:hAnsi="宋体" w:eastAsia="宋体" w:cs="宋体"/>
                <w:color w:val="auto"/>
                <w:sz w:val="21"/>
                <w:szCs w:val="21"/>
                <w:highlight w:val="none"/>
                <w:lang w:val="en-US" w:eastAsia="zh-CN"/>
              </w:rPr>
              <w:t>的得3.0-5.0</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b w:val="0"/>
                <w:color w:val="auto"/>
                <w:sz w:val="21"/>
                <w:szCs w:val="21"/>
                <w:highlight w:val="none"/>
              </w:rPr>
              <w:t>；</w:t>
            </w:r>
          </w:p>
          <w:p>
            <w:pPr>
              <w:keepNext w:val="0"/>
              <w:keepLines w:val="0"/>
              <w:pageBreakBefore w:val="0"/>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val="0"/>
                <w:color w:val="auto"/>
                <w:sz w:val="21"/>
                <w:szCs w:val="21"/>
                <w:highlight w:val="none"/>
              </w:rPr>
              <w:t>可实现性</w:t>
            </w:r>
            <w:r>
              <w:rPr>
                <w:rFonts w:hint="eastAsia" w:ascii="宋体" w:hAnsi="宋体" w:eastAsia="宋体" w:cs="宋体"/>
                <w:b w:val="0"/>
                <w:bCs w:val="0"/>
                <w:color w:val="auto"/>
                <w:sz w:val="21"/>
                <w:szCs w:val="21"/>
                <w:highlight w:val="none"/>
                <w:lang w:val="en-US" w:eastAsia="zh-CN"/>
              </w:rPr>
              <w:t>较差和几乎</w:t>
            </w:r>
            <w:r>
              <w:rPr>
                <w:rFonts w:hint="eastAsia" w:ascii="宋体" w:hAnsi="宋体" w:eastAsia="宋体" w:cs="宋体"/>
                <w:b w:val="0"/>
                <w:bCs w:val="0"/>
                <w:color w:val="auto"/>
                <w:sz w:val="21"/>
                <w:szCs w:val="21"/>
                <w:highlight w:val="none"/>
              </w:rPr>
              <w:t>对本项目的开展</w:t>
            </w:r>
            <w:r>
              <w:rPr>
                <w:rFonts w:hint="eastAsia" w:ascii="宋体" w:hAnsi="宋体" w:eastAsia="宋体" w:cs="宋体"/>
                <w:b w:val="0"/>
                <w:bCs w:val="0"/>
                <w:color w:val="auto"/>
                <w:sz w:val="21"/>
                <w:szCs w:val="21"/>
                <w:highlight w:val="none"/>
                <w:lang w:val="en-US" w:eastAsia="zh-CN"/>
              </w:rPr>
              <w:t>无帮助</w:t>
            </w:r>
            <w:r>
              <w:rPr>
                <w:rFonts w:hint="eastAsia" w:ascii="宋体" w:hAnsi="宋体" w:eastAsia="宋体" w:cs="宋体"/>
                <w:color w:val="auto"/>
                <w:sz w:val="21"/>
                <w:szCs w:val="21"/>
                <w:highlight w:val="none"/>
                <w:lang w:val="en-US" w:eastAsia="zh-CN"/>
              </w:rPr>
              <w:t>的</w:t>
            </w:r>
            <w:r>
              <w:rPr>
                <w:rFonts w:hint="eastAsia" w:ascii="宋体" w:hAnsi="宋体" w:eastAsia="宋体" w:cs="宋体"/>
                <w:b w:val="0"/>
                <w:color w:val="auto"/>
                <w:sz w:val="21"/>
                <w:szCs w:val="21"/>
                <w:highlight w:val="none"/>
                <w:lang w:val="en-US" w:eastAsia="zh-CN"/>
              </w:rPr>
              <w:t>得0.1-2.9分；</w:t>
            </w:r>
          </w:p>
          <w:p>
            <w:pPr>
              <w:keepNext w:val="0"/>
              <w:keepLines w:val="0"/>
              <w:pageBreakBefore w:val="0"/>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707"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8" w:hRule="atLeast"/>
          <w:jc w:val="center"/>
        </w:trPr>
        <w:tc>
          <w:tcPr>
            <w:tcW w:w="823" w:type="dxa"/>
            <w:vMerge w:val="continue"/>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rPr>
            </w:pPr>
          </w:p>
        </w:tc>
        <w:tc>
          <w:tcPr>
            <w:tcW w:w="1105" w:type="dxa"/>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响应时间</w:t>
            </w:r>
          </w:p>
        </w:tc>
        <w:tc>
          <w:tcPr>
            <w:tcW w:w="6743" w:type="dxa"/>
            <w:vAlign w:val="center"/>
          </w:tcPr>
          <w:p>
            <w:pPr>
              <w:keepNext w:val="0"/>
              <w:keepLines w:val="0"/>
              <w:pageBreakBefore w:val="0"/>
              <w:kinsoku/>
              <w:wordWrap/>
              <w:overflowPunct/>
              <w:topLinePunct w:val="0"/>
              <w:bidi w:val="0"/>
              <w:adjustRightInd w:val="0"/>
              <w:snapToGrid w:val="0"/>
              <w:spacing w:beforeAutospacing="0" w:afterAutospacing="0"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根据投标人对本项目</w:t>
            </w:r>
            <w:r>
              <w:rPr>
                <w:rFonts w:hint="eastAsia" w:ascii="宋体" w:hAnsi="宋体" w:eastAsia="宋体" w:cs="宋体"/>
                <w:color w:val="auto"/>
                <w:sz w:val="21"/>
                <w:szCs w:val="21"/>
                <w:highlight w:val="none"/>
                <w:lang w:val="en-US" w:eastAsia="zh-CN"/>
              </w:rPr>
              <w:t>实施期间响应情况</w:t>
            </w:r>
            <w:r>
              <w:rPr>
                <w:rFonts w:hint="eastAsia" w:ascii="宋体" w:hAnsi="宋体" w:eastAsia="宋体" w:cs="宋体"/>
                <w:color w:val="auto"/>
                <w:sz w:val="21"/>
                <w:szCs w:val="21"/>
                <w:highlight w:val="none"/>
                <w:lang w:eastAsia="zh-CN"/>
              </w:rPr>
              <w:t>进行打分。</w:t>
            </w:r>
          </w:p>
          <w:p>
            <w:pPr>
              <w:keepNext w:val="0"/>
              <w:keepLines w:val="0"/>
              <w:pageBreakBefore w:val="0"/>
              <w:kinsoku/>
              <w:wordWrap/>
              <w:overflowPunct/>
              <w:topLinePunct w:val="0"/>
              <w:bidi w:val="0"/>
              <w:adjustRightInd w:val="0"/>
              <w:snapToGrid w:val="0"/>
              <w:spacing w:beforeAutospacing="0" w:afterAutospacing="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承诺在24小时内响应的得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bidi w:val="0"/>
              <w:adjustRightInd w:val="0"/>
              <w:snapToGrid w:val="0"/>
              <w:spacing w:beforeAutospacing="0" w:afterAutospacing="0"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在48小时及以上响应的得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beforeAutospacing="0" w:afterAutospacing="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707"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6" w:hRule="atLeast"/>
          <w:jc w:val="center"/>
        </w:trPr>
        <w:tc>
          <w:tcPr>
            <w:tcW w:w="1928" w:type="dxa"/>
            <w:gridSpan w:val="2"/>
            <w:vAlign w:val="center"/>
          </w:tcPr>
          <w:p>
            <w:pPr>
              <w:keepLines w:val="0"/>
              <w:pageBreakBefore w:val="0"/>
              <w:kinsoku/>
              <w:wordWrap/>
              <w:overflowPunct/>
              <w:topLinePunct w:val="0"/>
              <w:bidi w:val="0"/>
              <w:spacing w:beforeAutospacing="0" w:afterAutospacing="0" w:line="240" w:lineRule="auto"/>
              <w:ind w:left="0"/>
              <w:jc w:val="center"/>
              <w:textAlignment w:val="auto"/>
              <w:rPr>
                <w:rStyle w:val="55"/>
                <w:rFonts w:hint="eastAsia" w:ascii="宋体" w:hAnsi="宋体" w:eastAsia="宋体" w:cs="宋体"/>
                <w:color w:val="auto"/>
                <w:kern w:val="0"/>
                <w:sz w:val="21"/>
                <w:szCs w:val="21"/>
                <w:highlight w:val="none"/>
              </w:rPr>
            </w:pPr>
            <w:r>
              <w:rPr>
                <w:rStyle w:val="55"/>
                <w:rFonts w:hint="eastAsia" w:ascii="宋体" w:hAnsi="宋体" w:eastAsia="宋体" w:cs="宋体"/>
                <w:color w:val="auto"/>
                <w:kern w:val="0"/>
                <w:sz w:val="21"/>
                <w:szCs w:val="21"/>
                <w:highlight w:val="none"/>
              </w:rPr>
              <w:t>价格</w:t>
            </w:r>
          </w:p>
          <w:p>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Style w:val="55"/>
                <w:rFonts w:hint="eastAsia" w:ascii="宋体" w:hAnsi="宋体" w:eastAsia="宋体" w:cs="宋体"/>
                <w:color w:val="auto"/>
                <w:kern w:val="0"/>
                <w:sz w:val="21"/>
                <w:szCs w:val="21"/>
                <w:highlight w:val="none"/>
              </w:rPr>
              <w:t>（</w:t>
            </w:r>
            <w:r>
              <w:rPr>
                <w:rStyle w:val="55"/>
                <w:rFonts w:hint="eastAsia" w:ascii="宋体" w:hAnsi="宋体" w:eastAsia="宋体" w:cs="宋体"/>
                <w:color w:val="auto"/>
                <w:kern w:val="0"/>
                <w:sz w:val="21"/>
                <w:szCs w:val="21"/>
                <w:highlight w:val="none"/>
                <w:lang w:val="en-US" w:eastAsia="zh-CN"/>
              </w:rPr>
              <w:t>20</w:t>
            </w:r>
            <w:r>
              <w:rPr>
                <w:rStyle w:val="55"/>
                <w:rFonts w:hint="eastAsia" w:ascii="宋体" w:hAnsi="宋体" w:eastAsia="宋体" w:cs="宋体"/>
                <w:color w:val="auto"/>
                <w:kern w:val="0"/>
                <w:sz w:val="21"/>
                <w:szCs w:val="21"/>
                <w:highlight w:val="none"/>
              </w:rPr>
              <w:t>分）</w:t>
            </w:r>
          </w:p>
        </w:tc>
        <w:tc>
          <w:tcPr>
            <w:tcW w:w="6743" w:type="dxa"/>
            <w:vAlign w:val="center"/>
          </w:tcPr>
          <w:p>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pPr>
              <w:keepLines w:val="0"/>
              <w:pageBreakBefore w:val="0"/>
              <w:kinsoku/>
              <w:wordWrap/>
              <w:overflowPunct/>
              <w:topLinePunct w:val="0"/>
              <w:bidi w:val="0"/>
              <w:spacing w:beforeAutospacing="0" w:afterAutospacing="0" w:line="240" w:lineRule="auto"/>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707" w:type="dxa"/>
            <w:vAlign w:val="center"/>
          </w:tcPr>
          <w:p>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r>
    </w:tbl>
    <w:p>
      <w:pPr>
        <w:spacing w:line="360" w:lineRule="auto"/>
        <w:ind w:firstLine="420" w:firstLineChars="200"/>
        <w:rPr>
          <w:rFonts w:hint="eastAsia" w:ascii="宋体" w:hAnsi="宋体" w:eastAsia="宋体" w:cs="宋体"/>
          <w:color w:val="auto"/>
          <w:sz w:val="21"/>
          <w:szCs w:val="21"/>
          <w:highlight w:val="none"/>
          <w:lang w:val="zh-CN"/>
        </w:rPr>
      </w:pPr>
    </w:p>
    <w:p>
      <w:pPr>
        <w:spacing w:line="360" w:lineRule="auto"/>
        <w:jc w:val="center"/>
        <w:rPr>
          <w:rFonts w:hint="eastAsia" w:ascii="宋体" w:hAnsi="宋体" w:eastAsia="宋体" w:cs="宋体"/>
          <w:b/>
          <w:color w:val="auto"/>
          <w:szCs w:val="21"/>
          <w:highlight w:val="none"/>
          <w:lang w:val="en-US" w:eastAsia="zh-CN"/>
        </w:rPr>
      </w:pPr>
    </w:p>
    <w:p>
      <w:pPr>
        <w:spacing w:line="360" w:lineRule="auto"/>
        <w:jc w:val="center"/>
        <w:outlineLvl w:val="0"/>
        <w:rPr>
          <w:rFonts w:hint="eastAsia" w:ascii="宋体" w:hAnsi="宋体" w:eastAsia="宋体" w:cs="宋体"/>
          <w:b/>
          <w:color w:val="auto"/>
          <w:sz w:val="36"/>
          <w:szCs w:val="36"/>
          <w:highlight w:val="none"/>
        </w:rPr>
        <w:sectPr>
          <w:headerReference r:id="rId5" w:type="first"/>
          <w:footerReference r:id="rId6" w:type="first"/>
          <w:pgSz w:w="11906" w:h="16838"/>
          <w:pgMar w:top="1440" w:right="1440" w:bottom="1440" w:left="1701" w:header="851" w:footer="992" w:gutter="0"/>
          <w:pgNumType w:fmt="decimal"/>
          <w:cols w:space="720" w:num="1"/>
          <w:docGrid w:linePitch="312" w:charSpace="0"/>
        </w:sectPr>
      </w:pP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szCs w:val="28"/>
          <w:highlight w:val="none"/>
          <w:lang w:val="en-US" w:eastAsia="zh-CN"/>
        </w:rPr>
      </w:pPr>
      <w:bookmarkStart w:id="0" w:name="_Toc98821986"/>
      <w:r>
        <w:rPr>
          <w:rFonts w:hint="eastAsia" w:ascii="宋体" w:hAnsi="宋体" w:eastAsia="宋体" w:cs="宋体"/>
          <w:b/>
          <w:bCs/>
          <w:color w:val="auto"/>
          <w:szCs w:val="28"/>
          <w:highlight w:val="none"/>
          <w:lang w:val="en-US" w:eastAsia="zh-CN"/>
        </w:rPr>
        <w:t>一、论证要求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建设用地规划条件咨询论证应当符合国家法律法规、政策、技术规范等要求，强化底线约束，充分考虑公共安全、公共利益的需要，有利于节约集约用地、完善城市功能，提升城市品质。具体论证工作应满足下列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1、规划符合性：严格落实国土空间总体规划、详细规划、专项规划、城市设计等对地块的规划要求。用地性质应按照控制性详细规划规定的主导属性来确定，并尽量明确至小类。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2、指标合理性：根据上位规划要求并结合实际，结合编制的模拟布局方案，科学确定各项技术经济指标，确保具有可操作性。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（1）研究论证容积率、建筑规模（明确至分项建设规模）、建筑密度、建筑高度、绿地率等技术经济指标。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（2）合理确定建筑后退用地边线距离、围墙后退用地边线距离、建筑间距、四线控制、室外地坪标高等。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（3）研究论证地下空间规划控制要求，明确地下空间用地性质、使用层数、地下商业面积（如有）、地下空间后退距离及地下空间利用引导。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（4）高层、超高层建筑及对周边居住、文教、卫生建筑可能产生影响的，需进行日照分析，满足国家规范要求。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 xml:space="preserve">3、交通可达性：明确道路交通组织要求，地块出入口布置、停车泊位配置要求等，并对停车泊位进行模拟布局。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4、配套完善性：根据控制性详细规划、专项规划及相关文件规定，明确公共设施、市政设施、公共文化体育设施等配套的位置和面积，并和有关部门做好沟通衔接，明确产权归属、移交模式等事宜。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5、风貌协调性：根据城市空间形态、景观风貌要求，结合对区块（研究范围包含地块及周边300米或以上）现状、天际轮廓线、视线通廊等的分析，对建筑色彩、材质、形态（面宽、屋顶等）、风格、附属设施（空调机位、防护栏杆等）提出控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6、专项完备性：明确环保、人防、消防、电力、市政、绿色建筑、海绵城市、绿化环艺、地质灾害防治等专项要求。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szCs w:val="28"/>
          <w:highlight w:val="none"/>
          <w:lang w:val="en-US" w:eastAsia="zh-CN"/>
        </w:rPr>
      </w:pPr>
      <w:r>
        <w:rPr>
          <w:rFonts w:hint="eastAsia" w:ascii="宋体" w:hAnsi="宋体" w:eastAsia="宋体" w:cs="宋体"/>
          <w:b/>
          <w:bCs/>
          <w:color w:val="auto"/>
          <w:szCs w:val="28"/>
          <w:highlight w:val="none"/>
          <w:lang w:val="en-US" w:eastAsia="zh-CN"/>
        </w:rPr>
        <w:t>二、论证成果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建设用地规划条件咨询论证报告编制应严格执行各项法律、法规、技术规范及技术标准，确保咨询论证报告的客观性、真实性。一般应包括以下内容：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1、项目概况：区位位置图、场地现状图、土地权属图、用地红线图、区块发展需求及周边现状情况等。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2、规划衔接：对国土空间总体规划、详细规划、专项规划、城市设计等的落实情况。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3、论证方案：总平面图、效果图（三维模型分析图）、立面图、模拟户型、地下空间布置图、交通组织分析图、配套设施分布图、建筑风貌导引图、日照分析等。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4、实施建议：根据建设成熟度、外部交通组织、公共配套完善度、市场平稳度等提出开发建议。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5、论证结论：明确用地面积、用地性质、土地开发强度（容积率、建筑规模、建筑密度、建筑高度、绿地率）、道路交通要求、四线控制、公共设施配置、室外地坪标高、地下空间规划控制、城市景观风貌和建筑控制、市政设施配套、公共文化体育设施、专项建设等，提出开发实施建议及规划条件应当明确的其他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6、附件：建设用地规划条件模拟稿、咨询论证会议组织情况。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szCs w:val="28"/>
          <w:highlight w:val="none"/>
          <w:lang w:val="en-US" w:eastAsia="zh-CN"/>
        </w:rPr>
      </w:pPr>
      <w:r>
        <w:rPr>
          <w:rFonts w:hint="eastAsia" w:ascii="宋体" w:hAnsi="宋体" w:eastAsia="宋体" w:cs="宋体"/>
          <w:b/>
          <w:bCs/>
          <w:color w:val="auto"/>
          <w:szCs w:val="28"/>
          <w:highlight w:val="none"/>
          <w:lang w:val="en-US" w:eastAsia="zh-CN"/>
        </w:rPr>
        <w:t>三、组织方式及工作程序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1、委托编制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建设用地规划条件咨询论证报告应委托具有相应资质的设计单位编制。编制咨询论证报告时，设计人员应当赴现场踏勘，充分了解地块及周边区块现状，重点关注地块现状建（构）筑物是否已拆迁完成；是否存在需要保留的现状沟、渠、河流等水域；是否存在（地下）管道、（高压）电线等市政管线穿越地块；校核地形资料与现状是否相符；调查明确与地块相邻的现状建筑属性信息（经建设工程规划许可证确定的房屋用途、层数、建筑高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2、咨询论证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建设用地规划条件咨询论证会由采购人组织召开。视工程项目情况，邀请发改、经信、教育、民政、生态环境、建设、交通运输、水利、文广旅游体育、卫生健康、综合行政执法、电力、交警、人防、街道办事处、铁塔公司等部门参加会议，并可邀请相关专家一同参加会议。如有需要，多个建设项目的咨询论证会可以合并召开。编制单位根据咨询论证会议意见及时深化完善，形成咨询论证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3、审核出具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Cs w:val="28"/>
          <w:highlight w:val="none"/>
          <w:lang w:val="en-US" w:eastAsia="zh-CN"/>
        </w:rPr>
      </w:pPr>
      <w:r>
        <w:rPr>
          <w:rFonts w:hint="eastAsia" w:ascii="宋体" w:hAnsi="宋体" w:eastAsia="宋体" w:cs="宋体"/>
          <w:b w:val="0"/>
          <w:bCs w:val="0"/>
          <w:color w:val="auto"/>
          <w:szCs w:val="28"/>
          <w:highlight w:val="none"/>
          <w:lang w:val="en-US" w:eastAsia="zh-CN"/>
        </w:rPr>
        <w:t>建设用地规划条件咨询论证报告应根据《台州市自然资源和规划局关于进一步明确台州市区规划管理权限划分和联审会议有关事项的通知》（台自然资规发〔2020〕23号）要求，上报市局（分局）规划联审通过后出具建设用地规划条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szCs w:val="28"/>
          <w:highlight w:val="none"/>
          <w:lang w:val="en-US" w:eastAsia="zh-CN"/>
        </w:rPr>
      </w:pPr>
      <w:r>
        <w:rPr>
          <w:rFonts w:hint="eastAsia" w:ascii="宋体" w:hAnsi="宋体" w:eastAsia="宋体" w:cs="宋体"/>
          <w:b/>
          <w:bCs/>
          <w:color w:val="auto"/>
          <w:szCs w:val="28"/>
          <w:highlight w:val="none"/>
          <w:lang w:val="en-US" w:eastAsia="zh-CN"/>
        </w:rPr>
        <w:t>四、工作要求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乙方应严格国家法律法规、政策、技术规范等要求，强化底线约束，充分考虑公共安全、公共利益的需要落实咨询论证服务，所形成的全部资料和成果所有权归甲方。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乙方收到甲方委托后，在限定时间内开展建设用地规划条件咨询论证，并按期将论证成果提交给甲方。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甲方组织咨询论证时，如有需要，多个建设项目的咨询论证会可以合并召开。并可要求乙方派代表参加，乙方根据咨询论证会议意见及时深化完善，形成咨询论证报告。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szCs w:val="28"/>
          <w:highlight w:val="none"/>
          <w:lang w:val="en-US" w:eastAsia="zh-CN"/>
        </w:rPr>
      </w:pPr>
      <w:r>
        <w:rPr>
          <w:rFonts w:hint="eastAsia" w:ascii="宋体" w:hAnsi="宋体" w:eastAsia="宋体" w:cs="宋体"/>
          <w:b/>
          <w:bCs/>
          <w:color w:val="auto"/>
          <w:szCs w:val="28"/>
          <w:highlight w:val="none"/>
          <w:lang w:val="en-US" w:eastAsia="zh-CN"/>
        </w:rPr>
        <w:t>五、其他要求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8"/>
          <w:highlight w:val="none"/>
          <w:lang w:val="en-US" w:eastAsia="zh-CN"/>
        </w:rPr>
      </w:pPr>
      <w:r>
        <w:rPr>
          <w:rFonts w:hint="eastAsia" w:ascii="宋体" w:hAnsi="宋体" w:eastAsia="宋体" w:cs="宋体"/>
          <w:b/>
          <w:bCs/>
          <w:color w:val="auto"/>
          <w:szCs w:val="28"/>
          <w:highlight w:val="none"/>
          <w:lang w:val="en-US" w:eastAsia="zh-CN"/>
        </w:rPr>
        <w:t>1、服务期限：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（1）咨询论证报告服务期：自合同签订之日起一年。一般地段的论证报告应在20个工作日内完成成果提交相关部门审查，重点区块的项目，应在30个工作日内完成成果提交相关部门审查。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（2）在所有地块出具咨询论证报告后的2年内，继续承担后续的修改调整服务。</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8"/>
          <w:highlight w:val="none"/>
          <w:lang w:val="en-US" w:eastAsia="zh-CN"/>
        </w:rPr>
      </w:pPr>
      <w:r>
        <w:rPr>
          <w:rFonts w:hint="eastAsia" w:ascii="宋体" w:hAnsi="宋体" w:eastAsia="宋体" w:cs="宋体"/>
          <w:b/>
          <w:bCs/>
          <w:color w:val="auto"/>
          <w:szCs w:val="28"/>
          <w:highlight w:val="none"/>
          <w:lang w:val="en-US" w:eastAsia="zh-CN"/>
        </w:rPr>
        <w:t>2、价格确定：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（1）论证方案价格6公顷以内为每宗7万元，宗地面积每增加1公顷增加1万元（未达到1公顷按1公顷计算），最高不超过10万元。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（2）本项目报价以投标折扣率进行优惠。具体计算方法：费用金额=实际论证方案面积×单价×报价折扣率。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8"/>
          <w:highlight w:val="none"/>
          <w:lang w:eastAsia="zh-CN"/>
        </w:rPr>
      </w:pPr>
      <w:r>
        <w:rPr>
          <w:rFonts w:hint="eastAsia" w:ascii="宋体" w:hAnsi="宋体" w:eastAsia="宋体" w:cs="宋体"/>
          <w:b/>
          <w:bCs/>
          <w:color w:val="auto"/>
          <w:szCs w:val="28"/>
          <w:highlight w:val="none"/>
          <w:lang w:val="en-US" w:eastAsia="zh-CN"/>
        </w:rPr>
        <w:t>3、</w:t>
      </w:r>
      <w:r>
        <w:rPr>
          <w:rFonts w:hint="eastAsia" w:ascii="宋体" w:hAnsi="宋体" w:eastAsia="宋体" w:cs="宋体"/>
          <w:b/>
          <w:bCs/>
          <w:color w:val="auto"/>
          <w:szCs w:val="28"/>
          <w:highlight w:val="none"/>
          <w:lang w:eastAsia="zh-CN"/>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eastAsia="zh-CN"/>
        </w:rPr>
      </w:pPr>
      <w:r>
        <w:rPr>
          <w:rFonts w:hint="eastAsia" w:ascii="宋体" w:hAnsi="宋体" w:eastAsia="宋体" w:cs="宋体"/>
          <w:color w:val="auto"/>
          <w:sz w:val="21"/>
          <w:szCs w:val="21"/>
          <w:highlight w:val="none"/>
          <w:lang w:val="en-US" w:eastAsia="zh-CN" w:bidi="ar"/>
        </w:rPr>
        <w:t>签订合同后，在合同生效以及具备实施条件后7个工作日内支付合同金额的20%作为预付款，</w:t>
      </w:r>
      <w:r>
        <w:rPr>
          <w:rFonts w:hint="eastAsia" w:ascii="宋体" w:hAnsi="宋体" w:eastAsia="宋体" w:cs="宋体"/>
          <w:color w:val="auto"/>
          <w:highlight w:val="none"/>
          <w:lang w:val="en-US" w:eastAsia="zh-CN"/>
        </w:rPr>
        <w:t>后续款项</w:t>
      </w:r>
      <w:r>
        <w:rPr>
          <w:rFonts w:hint="eastAsia" w:ascii="宋体" w:hAnsi="宋体" w:eastAsia="宋体" w:cs="宋体"/>
          <w:color w:val="auto"/>
          <w:szCs w:val="28"/>
          <w:highlight w:val="none"/>
          <w:lang w:eastAsia="zh-CN"/>
        </w:rPr>
        <w:t>六个月一结算，</w:t>
      </w:r>
      <w:r>
        <w:rPr>
          <w:rFonts w:hint="eastAsia" w:ascii="宋体" w:hAnsi="宋体" w:eastAsia="宋体" w:cs="宋体"/>
          <w:color w:val="auto"/>
          <w:szCs w:val="28"/>
          <w:highlight w:val="none"/>
          <w:lang w:val="en-US" w:eastAsia="zh-CN"/>
        </w:rPr>
        <w:t>根据已完成地块按实结算，</w:t>
      </w:r>
      <w:r>
        <w:rPr>
          <w:rFonts w:hint="eastAsia" w:ascii="宋体" w:hAnsi="宋体" w:eastAsia="宋体" w:cs="宋体"/>
          <w:color w:val="auto"/>
          <w:szCs w:val="28"/>
          <w:highlight w:val="none"/>
          <w:lang w:eastAsia="zh-CN"/>
        </w:rPr>
        <w:t>每宗地块如已正式出具规划条件的，支付单笔金额的100%；如仅出具咨询论证报告的支付单笔金额的80%，待规划条件正式出具后支付该宗地块剩余尾款。（</w:t>
      </w:r>
      <w:r>
        <w:rPr>
          <w:rFonts w:hint="eastAsia" w:ascii="宋体" w:hAnsi="宋体" w:eastAsia="宋体" w:cs="宋体"/>
          <w:color w:val="auto"/>
          <w:szCs w:val="28"/>
          <w:highlight w:val="none"/>
          <w:lang w:val="en-US" w:eastAsia="zh-CN"/>
        </w:rPr>
        <w:t>前期结算金额若未达到合同金额的20%，</w:t>
      </w:r>
      <w:r>
        <w:rPr>
          <w:rFonts w:hint="eastAsia" w:ascii="宋体" w:hAnsi="宋体" w:cs="宋体"/>
          <w:color w:val="auto"/>
          <w:szCs w:val="28"/>
          <w:highlight w:val="none"/>
          <w:lang w:val="en-US" w:eastAsia="zh-CN"/>
        </w:rPr>
        <w:t>该</w:t>
      </w:r>
      <w:r>
        <w:rPr>
          <w:rFonts w:hint="eastAsia" w:ascii="宋体" w:hAnsi="宋体" w:eastAsia="宋体" w:cs="宋体"/>
          <w:color w:val="auto"/>
          <w:szCs w:val="28"/>
          <w:highlight w:val="none"/>
          <w:lang w:val="en-US" w:eastAsia="zh-CN"/>
        </w:rPr>
        <w:t>款项不再另行结算</w:t>
      </w:r>
      <w:r>
        <w:rPr>
          <w:rFonts w:hint="eastAsia" w:ascii="宋体" w:hAnsi="宋体" w:eastAsia="宋体" w:cs="宋体"/>
          <w:color w:val="auto"/>
          <w:szCs w:val="28"/>
          <w:highlight w:val="none"/>
          <w:lang w:eastAsia="zh-CN"/>
        </w:rPr>
        <w:t>）</w:t>
      </w:r>
    </w:p>
    <w:p>
      <w:pPr>
        <w:adjustRightInd w:val="0"/>
        <w:snapToGrid w:val="0"/>
        <w:spacing w:line="360" w:lineRule="auto"/>
        <w:rPr>
          <w:rFonts w:hint="eastAsia" w:ascii="宋体" w:hAnsi="宋体" w:eastAsia="宋体" w:cs="宋体"/>
          <w:b/>
          <w:color w:val="auto"/>
          <w:szCs w:val="21"/>
          <w:highlight w:val="none"/>
          <w:lang w:val="en-US" w:eastAsia="zh-CN"/>
        </w:rPr>
      </w:pPr>
    </w:p>
    <w:p>
      <w:pPr>
        <w:adjustRightInd w:val="0"/>
        <w:snapToGrid w:val="0"/>
        <w:spacing w:line="360" w:lineRule="auto"/>
        <w:rPr>
          <w:rFonts w:hint="eastAsia" w:ascii="宋体" w:hAnsi="宋体" w:eastAsia="宋体" w:cs="宋体"/>
          <w:b/>
          <w:color w:val="auto"/>
          <w:szCs w:val="21"/>
          <w:highlight w:val="none"/>
          <w:lang w:eastAsia="zh-CN"/>
        </w:rPr>
        <w:sectPr>
          <w:pgSz w:w="11906" w:h="16838"/>
          <w:pgMar w:top="1440" w:right="1440" w:bottom="1440" w:left="1701" w:header="851" w:footer="992" w:gutter="0"/>
          <w:pgNumType w:fmt="decimal"/>
          <w:cols w:space="720" w:num="1"/>
          <w:docGrid w:linePitch="312" w:charSpace="0"/>
        </w:sectPr>
      </w:pP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bookmarkEnd w:id="0"/>
      <w:r>
        <w:rPr>
          <w:rFonts w:hint="eastAsia" w:ascii="宋体" w:hAnsi="宋体" w:eastAsia="宋体" w:cs="宋体"/>
          <w:b/>
          <w:color w:val="auto"/>
          <w:szCs w:val="21"/>
          <w:highlight w:val="none"/>
          <w:lang w:eastAsia="zh-CN"/>
        </w:rPr>
        <w:t>。</w:t>
      </w:r>
    </w:p>
    <w:p>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pPr>
        <w:pStyle w:val="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pPr>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eastAsia="宋体" w:cs="宋体"/>
          <w:color w:val="auto"/>
          <w:sz w:val="21"/>
          <w:szCs w:val="21"/>
          <w:highlight w:val="none"/>
          <w:lang w:eastAsia="zh-CN"/>
        </w:rPr>
        <w:t>台州市自然资源和规划局路桥分局</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pPr>
        <w:pStyle w:val="11"/>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招标编号：</w:t>
      </w:r>
    </w:p>
    <w:p>
      <w:pPr>
        <w:pStyle w:val="11"/>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pPr>
        <w:pStyle w:val="11"/>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pPr>
        <w:pStyle w:val="11"/>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ascii="宋体" w:hAnsi="宋体" w:eastAsia="宋体" w:cs="宋体"/>
          <w:color w:val="auto"/>
          <w:sz w:val="21"/>
          <w:szCs w:val="21"/>
          <w:highlight w:val="none"/>
          <w:u w:val="single"/>
          <w:lang w:eastAsia="zh-CN"/>
        </w:rPr>
        <w:t>2023年路桥区建设用地规划条件咨询论证项目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Cs w:val="28"/>
          <w:highlight w:val="none"/>
          <w:lang w:val="en-US" w:eastAsia="zh-CN"/>
        </w:rPr>
      </w:pPr>
      <w:r>
        <w:rPr>
          <w:rFonts w:hint="eastAsia" w:ascii="宋体" w:hAnsi="宋体" w:eastAsia="宋体" w:cs="宋体"/>
          <w:b/>
          <w:bCs/>
          <w:color w:val="auto"/>
          <w:szCs w:val="28"/>
          <w:highlight w:val="none"/>
          <w:lang w:val="en-US" w:eastAsia="zh-CN"/>
        </w:rPr>
        <w:t>一、服务内容及需求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8"/>
          <w:highlight w:val="none"/>
          <w:lang w:val="en-US" w:eastAsia="zh-CN"/>
        </w:rPr>
      </w:pPr>
      <w:r>
        <w:rPr>
          <w:rFonts w:hint="eastAsia" w:ascii="宋体" w:hAnsi="宋体" w:eastAsia="宋体" w:cs="宋体"/>
          <w:b/>
          <w:bCs/>
          <w:color w:val="auto"/>
          <w:szCs w:val="28"/>
          <w:highlight w:val="none"/>
          <w:lang w:val="en-US" w:eastAsia="zh-CN"/>
        </w:rPr>
        <w:t>（一）论证要求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建设用地规划条件咨询论证应当符合国家法律法规、政策、技术规范等要求，强化底线约束，充分考虑公共安全、公共利益的需要，有利于节约集约用地、完善城市功能，提升城市品质。具体论证工作应满足下列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1、规划符合性：严格落实国土空间总体规划、详细规划、专项规划、城市设计等对地块的规划要求。用地性质应按照控制性详细规划规定的主导属性来确定，并尽量明确至小类。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2、指标合理性：根据上位规划要求并结合实际，结合编制的模拟布局方案，科学确定各项技术经济指标，确保具有可操作性。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（1）研究论证容积率、建筑规模（明确至分项建设规模）、建筑密度、建筑高度、绿地率等技术经济指标。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（2）合理确定建筑后退用地边线距离、围墙后退用地边线距离、建筑间距、四线控制、室外地坪标高等。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（3）研究论证地下空间规划控制要求，明确地下空间用地性质、使用层数、地下商业面积（如有）、地下空间后退距离及地下空间利用引导。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（4）高层、超高层建筑及对周边居住、文教、卫生建筑可能产生影响的，需进行日照分析，满足国家规范要求。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 xml:space="preserve">3、交通可达性：明确道路交通组织要求，地块出入口布置、停车泊位配置要求等，并对停车泊位进行模拟布局。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4、配套完善性：根据控制性详细规划、专项规划及相关文件规定，明确公共设施、市政设施、公共文化体育设施等配套的位置和面积，并和有关部门做好沟通衔接，明确产权归属、移交模式等事宜。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5、风貌协调性：根据城市空间形态、景观风貌要求，结合对区块（研究范围包含地块及周边300米或以上）现状、天际轮廓线、视线通廊等的分析，对建筑色彩、材质、形态（面宽、屋顶等）、风格、附属设施（空调机位、防护栏杆等）提出控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6、专项完备性：明确环保、人防、消防、电力、市政、绿色建筑、海绵城市、绿化环艺、地质灾害防治等专项要求。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8"/>
          <w:highlight w:val="none"/>
          <w:lang w:val="en-US" w:eastAsia="zh-CN"/>
        </w:rPr>
      </w:pPr>
      <w:r>
        <w:rPr>
          <w:rFonts w:hint="eastAsia" w:ascii="宋体" w:hAnsi="宋体" w:eastAsia="宋体" w:cs="宋体"/>
          <w:b/>
          <w:bCs/>
          <w:color w:val="auto"/>
          <w:szCs w:val="28"/>
          <w:highlight w:val="none"/>
          <w:lang w:val="en-US" w:eastAsia="zh-CN"/>
        </w:rPr>
        <w:t>（二）论证成果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建设用地规划条件咨询论证报告编制应严格执行各项法律、法规、技术规范及技术标准，确保咨询论证报告的客观性、真实性。一般应包括以下内容：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1、项目概况：区位位置图、场地现状图、土地权属图、用地红线图、区块发展需求及周边现状情况等。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2、规划衔接：对国土空间总体规划、详细规划、专项规划、城市设计等的落实情况。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3、论证方案：总平面图、效果图（三维模型分析图）、立面图、模拟户型、地下空间布置图、交通组织分析图、配套设施分布图、建筑风貌导引图、日照分析等。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4、实施建议：根据建设成熟度、外部交通组织、公共配套完善度、市场平稳度等提出开发建议。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5、论证结论：明确用地面积、用地性质、土地开发强度（容积率、建筑规模、建筑密度、建筑高度、绿地率）、道路交通要求、四线控制、公共设施配置、室外地坪标高、地下空间规划控制、城市景观风貌和建筑控制、市政设施配套、公共文化体育设施、专项建设等，提出开发实施建议及规划条件应当明确的其他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6、附件：建设用地规划条件模拟稿、咨询论证会议组织情况。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Cs w:val="28"/>
          <w:highlight w:val="none"/>
          <w:lang w:val="en-US" w:eastAsia="zh-CN"/>
        </w:rPr>
      </w:pPr>
      <w:r>
        <w:rPr>
          <w:rFonts w:hint="eastAsia" w:ascii="宋体" w:hAnsi="宋体" w:eastAsia="宋体" w:cs="宋体"/>
          <w:b/>
          <w:bCs/>
          <w:color w:val="auto"/>
          <w:szCs w:val="28"/>
          <w:highlight w:val="none"/>
          <w:lang w:val="en-US" w:eastAsia="zh-CN"/>
        </w:rPr>
        <w:t>（三）组织方式及工作程序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1、委托编制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建设用地规划条件咨询论证报告应委托具有相应资质的设计单位编制。编制咨询论证报告时，设计人员应当赴现场踏勘，充分了解地块及周边区块现状，重点关注地块现状建（构）筑物是否已拆迁完成；是否存在需要保留的现状沟、渠、河流等水域；是否存在（地下）管道、（高压）电线等市政管线穿越地块；校核地形资料与现状是否相符；调查明确与地块相邻的现状建筑属性信息（经建设工程规划许可证确定的房屋用途、层数、建筑高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2、咨询论证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建设用地规划条件咨询论证会由采购人组织召开。视工程项目情况，邀请发改、经信、教育、民政、生态环境、建设、交通运输、水利、文广旅游体育、卫生健康、综合行政执法、电力、交警、人防、街道办事处、铁塔公司等部门参加会议，并可邀请相关专家一同参加会议。如有需要，多个建设项目的咨询论证会可以合并召开。编制单位根据咨询论证会议意见及时深化完善，形成咨询论证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3、审核出具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建设用地规划条件咨询论证报告应根据《台州市自然资源和规划局关于进一步明确台州市区规划管理权限划分和联审会议有关事项的通知》（台自然资规发〔2020〕23号）要求，上报市局（分局）规划联审通过后出具建设用地规划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（四）详见本项目招标文件第四部分《公开招标需求》。</w:t>
      </w:r>
    </w:p>
    <w:p>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二、合同金额</w:t>
      </w:r>
    </w:p>
    <w:p>
      <w:pPr>
        <w:pStyle w:val="11"/>
        <w:keepNext w:val="0"/>
        <w:keepLines w:val="0"/>
        <w:pageBreakBefore w:val="0"/>
        <w:kinsoku/>
        <w:wordWrap/>
        <w:overflowPunct/>
        <w:topLinePunct w:val="0"/>
        <w:autoSpaceDE/>
        <w:autoSpaceDN/>
        <w:bidi w:val="0"/>
        <w:snapToGrid w:val="0"/>
        <w:spacing w:line="360" w:lineRule="auto"/>
        <w:ind w:firstLine="420" w:firstLineChars="200"/>
        <w:outlineLvl w:val="9"/>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本项目合同金额为（大写）：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元（小写：￥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元）人民币。</w:t>
      </w:r>
      <w:r>
        <w:rPr>
          <w:rFonts w:hint="eastAsia" w:ascii="宋体" w:hAnsi="宋体" w:eastAsia="宋体" w:cs="宋体"/>
          <w:color w:val="auto"/>
          <w:szCs w:val="21"/>
          <w:highlight w:val="none"/>
          <w:lang w:val="en-US" w:eastAsia="zh-CN"/>
        </w:rPr>
        <w:t>折扣率为</w:t>
      </w:r>
      <w:r>
        <w:rPr>
          <w:rFonts w:hint="eastAsia" w:ascii="宋体" w:hAnsi="宋体" w:eastAsia="宋体" w:cs="宋体"/>
          <w:color w:val="auto"/>
          <w:szCs w:val="21"/>
          <w:highlight w:val="none"/>
          <w:u w:val="single"/>
          <w:lang w:val="en-US" w:eastAsia="zh-CN"/>
        </w:rPr>
        <w:t xml:space="preserve">            %。</w:t>
      </w:r>
    </w:p>
    <w:p>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三、服务期限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1、咨询论证报告服务期：自合同签订之日起一年。一般地段的论证报告应在20个工作日内完成成果提交相关部门审查，重点区块的项目，应在30个工作日内完成成果提交相关部门审查。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2、在所有地块出具咨询论证报告后的2年内，继续承担后续的修改调整服务。</w:t>
      </w:r>
    </w:p>
    <w:p>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四、工作要求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lang w:val="en-US" w:eastAsia="zh-CN"/>
        </w:rPr>
        <w:t>乙方应严格国家法律法规、政策、技术规范等要求，强化底线约束，充分考虑公共安全、公共利益的需要落实咨询论证服务，所形成的全部资料和成果所有权归甲方。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lang w:val="en-US" w:eastAsia="zh-CN"/>
        </w:rPr>
        <w:t>乙方收到甲方委托后，在限定时间内开展建设用地规划条件咨询论证，并按期将论证成果提交给甲方。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val="en-US" w:eastAsia="zh-CN"/>
        </w:rPr>
      </w:pP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lang w:val="en-US" w:eastAsia="zh-CN"/>
        </w:rPr>
        <w:t>甲方组织咨询论证时，如有需要，多个建设项目的咨询论证会可以合并召开。并可要求乙方派代表参加，乙方根据咨询论证会议意见及时深化完善，形成咨询论证报告。</w:t>
      </w:r>
    </w:p>
    <w:p>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五</w:t>
      </w:r>
      <w:r>
        <w:rPr>
          <w:rFonts w:hint="eastAsia" w:ascii="宋体" w:hAnsi="宋体" w:eastAsia="宋体" w:cs="宋体"/>
          <w:b/>
          <w:color w:val="auto"/>
          <w:szCs w:val="21"/>
          <w:highlight w:val="none"/>
        </w:rPr>
        <w:t>、技术资料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Cs w:val="28"/>
          <w:highlight w:val="none"/>
          <w:lang w:val="en-US" w:eastAsia="zh-CN"/>
        </w:rPr>
      </w:pPr>
      <w:r>
        <w:rPr>
          <w:rFonts w:hint="eastAsia" w:ascii="宋体" w:hAnsi="宋体" w:cs="宋体"/>
          <w:color w:val="auto"/>
          <w:szCs w:val="28"/>
          <w:highlight w:val="none"/>
          <w:lang w:val="en-US" w:eastAsia="zh-CN"/>
        </w:rPr>
        <w:t>1、乙方应按招标文件规定的时间向甲方提供有关技术资料。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Cs w:val="28"/>
          <w:highlight w:val="none"/>
          <w:lang w:val="en-US" w:eastAsia="zh-CN"/>
        </w:rPr>
      </w:pPr>
      <w:r>
        <w:rPr>
          <w:rFonts w:hint="eastAsia" w:ascii="宋体" w:hAnsi="宋体" w:cs="宋体"/>
          <w:color w:val="auto"/>
          <w:szCs w:val="28"/>
          <w:highlight w:val="none"/>
          <w:lang w:val="en-US"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、知识产权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Cs w:val="28"/>
          <w:highlight w:val="none"/>
          <w:lang w:val="en-US" w:eastAsia="zh-CN"/>
        </w:rPr>
      </w:pPr>
      <w:r>
        <w:rPr>
          <w:rFonts w:hint="eastAsia" w:ascii="宋体" w:hAnsi="宋体" w:cs="宋体"/>
          <w:color w:val="auto"/>
          <w:szCs w:val="28"/>
          <w:highlight w:val="none"/>
          <w:lang w:val="en-US" w:eastAsia="zh-CN"/>
        </w:rPr>
        <w:t>1、乙方应保证提供服务过程中不会侵犯任何第三方的知识产权。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Cs w:val="28"/>
          <w:highlight w:val="none"/>
          <w:lang w:val="en-US" w:eastAsia="zh-CN"/>
        </w:rPr>
      </w:pPr>
      <w:r>
        <w:rPr>
          <w:rFonts w:hint="eastAsia" w:ascii="宋体" w:hAnsi="宋体" w:cs="宋体"/>
          <w:color w:val="auto"/>
          <w:szCs w:val="28"/>
          <w:highlight w:val="none"/>
          <w:lang w:val="en-US" w:eastAsia="zh-CN"/>
        </w:rPr>
        <w:t>2、本项目所有成果的版权属甲方所有，乙方不得以任何形式向第三方提供，否则，按国家法律和有关规定追究乙方的一切责任。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Cs w:val="28"/>
          <w:highlight w:val="none"/>
          <w:lang w:val="en-US" w:eastAsia="zh-CN"/>
        </w:rPr>
      </w:pPr>
      <w:r>
        <w:rPr>
          <w:rFonts w:hint="eastAsia" w:ascii="宋体" w:hAnsi="宋体" w:cs="宋体"/>
          <w:color w:val="auto"/>
          <w:szCs w:val="28"/>
          <w:highlight w:val="none"/>
          <w:lang w:val="en-US" w:eastAsia="zh-CN"/>
        </w:rPr>
        <w:t>3、本项目作业过程中提供的或涉及的所有数据属甲方拥有，乙方无权在技术要求规定之外自行处置数据，不得自行删除、复制、调整完善、转移数据，不得以任何形式向第三方提供。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Cs w:val="28"/>
          <w:highlight w:val="none"/>
          <w:lang w:val="en-US" w:eastAsia="zh-CN"/>
        </w:rPr>
      </w:pPr>
      <w:r>
        <w:rPr>
          <w:rFonts w:hint="eastAsia" w:ascii="宋体" w:hAnsi="宋体" w:cs="宋体"/>
          <w:color w:val="auto"/>
          <w:szCs w:val="28"/>
          <w:highlight w:val="none"/>
          <w:lang w:val="en-US" w:eastAsia="zh-CN"/>
        </w:rPr>
        <w:t>4、若侵犯,由乙方赔偿甲方因此遭受的损失（包括但不限于应对及追偿过程中所支付的律师费、差旅费、诉讼费、保全费、鉴定费、评估费等）。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eastAsia="zh-CN"/>
        </w:rPr>
        <w:t>七</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转包或分包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Cs w:val="28"/>
          <w:highlight w:val="none"/>
          <w:lang w:val="en-US" w:eastAsia="zh-CN"/>
        </w:rPr>
      </w:pPr>
      <w:r>
        <w:rPr>
          <w:rFonts w:hint="eastAsia" w:ascii="宋体" w:hAnsi="宋体" w:cs="宋体"/>
          <w:color w:val="auto"/>
          <w:szCs w:val="28"/>
          <w:highlight w:val="none"/>
          <w:lang w:val="en-US" w:eastAsia="zh-CN"/>
        </w:rPr>
        <w:t>1、本合同范围的服务，应由乙方直接供应，不得转让他人供应；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Cs w:val="28"/>
          <w:highlight w:val="none"/>
          <w:lang w:val="en-US" w:eastAsia="zh-CN"/>
        </w:rPr>
      </w:pPr>
      <w:r>
        <w:rPr>
          <w:rFonts w:hint="eastAsia" w:ascii="宋体" w:hAnsi="宋体" w:cs="宋体"/>
          <w:color w:val="auto"/>
          <w:szCs w:val="28"/>
          <w:highlight w:val="none"/>
          <w:lang w:val="en-US" w:eastAsia="zh-CN"/>
        </w:rPr>
        <w:t>2、如有转让和未经甲方同意的分包行为，甲方有权解除合同，并追究乙方的违约责任。</w:t>
      </w:r>
    </w:p>
    <w:p>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lang w:val="en-US" w:eastAsia="zh-CN"/>
        </w:rPr>
        <w:t>八</w:t>
      </w:r>
      <w:r>
        <w:rPr>
          <w:rFonts w:hint="eastAsia" w:ascii="宋体" w:hAnsi="宋体" w:eastAsia="宋体" w:cs="宋体"/>
          <w:b/>
          <w:bCs/>
          <w:snapToGrid w:val="0"/>
          <w:color w:val="auto"/>
          <w:szCs w:val="21"/>
          <w:highlight w:val="none"/>
        </w:rPr>
        <w:t>、付款方式</w:t>
      </w:r>
    </w:p>
    <w:p>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2" w:firstLineChars="200"/>
        <w:textAlignment w:val="auto"/>
        <w:outlineLvl w:val="9"/>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1、价格确定：</w:t>
      </w:r>
    </w:p>
    <w:p>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（1）论证方案价格6公顷以内为每宗7万元，宗地面积每增加1公顷增加1万元（未达到1公顷按1公顷计算），最高不超过10万元，折扣率为</w:t>
      </w:r>
      <w:r>
        <w:rPr>
          <w:rFonts w:hint="eastAsia" w:ascii="宋体" w:hAnsi="宋体" w:eastAsia="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lang w:val="en-US" w:eastAsia="zh-CN" w:bidi="ar"/>
        </w:rPr>
        <w:t>（以乙方投标报价为准）</w:t>
      </w:r>
    </w:p>
    <w:p>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（2）本项目报价以投标折扣率进行优惠。具体计算方法：费用金额=实际论证方案面积×单价×报价折扣率。</w:t>
      </w:r>
    </w:p>
    <w:p>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2" w:firstLineChars="200"/>
        <w:textAlignment w:val="auto"/>
        <w:outlineLvl w:val="9"/>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2、付款方式：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8"/>
          <w:highlight w:val="none"/>
          <w:lang w:eastAsia="zh-CN"/>
        </w:rPr>
      </w:pPr>
      <w:r>
        <w:rPr>
          <w:rFonts w:hint="eastAsia" w:ascii="宋体" w:hAnsi="宋体" w:eastAsia="宋体" w:cs="宋体"/>
          <w:color w:val="auto"/>
          <w:sz w:val="21"/>
          <w:szCs w:val="21"/>
          <w:highlight w:val="none"/>
          <w:lang w:val="en-US" w:eastAsia="zh-CN" w:bidi="ar"/>
        </w:rPr>
        <w:t>签订合同后，在合同生效以及具备实施条件后7个工作日内支付合同金额的20%作为预付款，</w:t>
      </w:r>
      <w:r>
        <w:rPr>
          <w:rFonts w:hint="eastAsia" w:ascii="宋体" w:hAnsi="宋体" w:eastAsia="宋体" w:cs="宋体"/>
          <w:color w:val="auto"/>
          <w:highlight w:val="none"/>
          <w:lang w:val="en-US" w:eastAsia="zh-CN"/>
        </w:rPr>
        <w:t>后续款项</w:t>
      </w:r>
      <w:r>
        <w:rPr>
          <w:rFonts w:hint="eastAsia" w:ascii="宋体" w:hAnsi="宋体" w:eastAsia="宋体" w:cs="宋体"/>
          <w:color w:val="auto"/>
          <w:szCs w:val="28"/>
          <w:highlight w:val="none"/>
          <w:lang w:eastAsia="zh-CN"/>
        </w:rPr>
        <w:t>六个月一结算，</w:t>
      </w:r>
      <w:r>
        <w:rPr>
          <w:rFonts w:hint="eastAsia" w:ascii="宋体" w:hAnsi="宋体" w:eastAsia="宋体" w:cs="宋体"/>
          <w:color w:val="auto"/>
          <w:szCs w:val="28"/>
          <w:highlight w:val="none"/>
          <w:lang w:val="en-US" w:eastAsia="zh-CN"/>
        </w:rPr>
        <w:t>根据已完成地块按实结算，</w:t>
      </w:r>
      <w:r>
        <w:rPr>
          <w:rFonts w:hint="eastAsia" w:ascii="宋体" w:hAnsi="宋体" w:eastAsia="宋体" w:cs="宋体"/>
          <w:color w:val="auto"/>
          <w:szCs w:val="28"/>
          <w:highlight w:val="none"/>
          <w:lang w:eastAsia="zh-CN"/>
        </w:rPr>
        <w:t>每宗地块如已正式出具规划条件的，支付单笔金额的100%；如仅出具咨询论证报告的支付单笔金额的80%，待规划条件正式出具后支付该宗地块剩余尾款。（</w:t>
      </w:r>
      <w:r>
        <w:rPr>
          <w:rFonts w:hint="eastAsia" w:ascii="宋体" w:hAnsi="宋体" w:eastAsia="宋体" w:cs="宋体"/>
          <w:color w:val="auto"/>
          <w:szCs w:val="28"/>
          <w:highlight w:val="none"/>
          <w:lang w:val="en-US" w:eastAsia="zh-CN"/>
        </w:rPr>
        <w:t>前期结算金额若未达到合同金额的20%，</w:t>
      </w:r>
      <w:r>
        <w:rPr>
          <w:rFonts w:hint="eastAsia" w:ascii="宋体" w:hAnsi="宋体" w:cs="宋体"/>
          <w:color w:val="auto"/>
          <w:szCs w:val="28"/>
          <w:highlight w:val="none"/>
          <w:lang w:val="en-US" w:eastAsia="zh-CN"/>
        </w:rPr>
        <w:t>该</w:t>
      </w:r>
      <w:r>
        <w:rPr>
          <w:rFonts w:hint="eastAsia" w:ascii="宋体" w:hAnsi="宋体" w:eastAsia="宋体" w:cs="宋体"/>
          <w:color w:val="auto"/>
          <w:szCs w:val="28"/>
          <w:highlight w:val="none"/>
          <w:lang w:val="en-US" w:eastAsia="zh-CN"/>
        </w:rPr>
        <w:t>款项不再另行结算</w:t>
      </w:r>
      <w:r>
        <w:rPr>
          <w:rFonts w:hint="eastAsia" w:ascii="宋体" w:hAnsi="宋体" w:eastAsia="宋体" w:cs="宋体"/>
          <w:color w:val="auto"/>
          <w:szCs w:val="28"/>
          <w:highlight w:val="none"/>
          <w:lang w:eastAsia="zh-CN"/>
        </w:rPr>
        <w:t>）</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、税费</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本合同执行中相关的一切税费均由乙方负担。</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十、双方的权利义务</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1、甲方有权检查监督乙方工作，对乙方不符合合同规定的服务内容，有权要求乙方限时改正。</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2、乙方应安排具有符合行业标准的专业资质和专业技能的执业人员为甲方提供服务。如甲方发现服务人员工作能力和表现不符合合同约定和甲方要求的，有权要求乙方更换。</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3、合同期间，乙方及其工作人员在服务过程中发生的一切开支自理，甲方仅按合同约定支付费用。</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4、乙方按合同要求提供服务后，甲方应按合同约定及时向乙方结算费用。</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5、因乙方服务不符合合同约定或法律法规而导致甲方遭受的损失，乙方应负责赔偿。</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6、未经甲方书面同意，乙方不得将本合同项下的工作全部或部分转委托给第三方。</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7、乙方在本项目中标后须在台州市区范围内具备常驻办公地点，方便双方及时沟通。</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十一、乙方的承诺与保证</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乙方做出如下承诺与保证，且如下承诺与保证在本协议有效期内始终有效：</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1、乙方为依法设立、具备合法经营资质的独立法人。</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2、乙方遵循客观、合理、审慎的原则提供服务，以其专业技能独立完成成果，不能接受外界任何干扰，并对评估结果的合法性、真实性、有效性负责。</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3、项目实施过程中项目组负责人及项目组人员发生变动，需提前通知甲方并获同意才能更换，更换后的负责人或技术人员的专业素质、技术能力及经验等情况不能低于原先水准。</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4、本项目成果的知识产权归属甲方，未经甲方同意，乙方不得擅自将成果以自己的名义发表或进行其他学术活动。</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5、乙方在本项目实施周期内向甲方提供与本项目相关的技术咨询服务。</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6、乙方应根据项目各相关内容及时完成报告，提交甲方，并参加甲方组织的咨询论证会议，根据咨询论证会议意见或上级的审查意见（如有）对成果进行修改完善，形成最终成果，并对提交的成果文件的质量负责。</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十二、保密原则</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甲、乙双方在业务往来中均应做好保密工作，妥善保管相关信息、资料，自觉地遵守国家、省及行业的相关保密原则。但双方另有约定或根据法律、法规要求及有权机构指令进行披露的除外。</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0" w:firstLineChars="0"/>
        <w:outlineLvl w:val="9"/>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十三</w:t>
      </w:r>
      <w:r>
        <w:rPr>
          <w:rFonts w:hint="eastAsia" w:ascii="宋体" w:hAnsi="宋体" w:eastAsia="宋体" w:cs="宋体"/>
          <w:b/>
          <w:color w:val="auto"/>
          <w:highlight w:val="none"/>
        </w:rPr>
        <w:t>、违约责任</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2、甲方无故逾期验收和办理款项支付手续的，甲方应按逾期付款总额向乙方支付每日万分之五违约金。</w:t>
      </w:r>
    </w:p>
    <w:p>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3、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 </w:t>
      </w:r>
    </w:p>
    <w:p>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十</w:t>
      </w:r>
      <w:r>
        <w:rPr>
          <w:rFonts w:hint="eastAsia" w:ascii="宋体" w:hAnsi="宋体" w:eastAsia="宋体" w:cs="宋体"/>
          <w:b/>
          <w:bCs/>
          <w:snapToGrid w:val="0"/>
          <w:color w:val="auto"/>
          <w:szCs w:val="21"/>
          <w:highlight w:val="none"/>
          <w:lang w:val="en-US" w:eastAsia="zh-CN"/>
        </w:rPr>
        <w:t>四</w:t>
      </w:r>
      <w:r>
        <w:rPr>
          <w:rFonts w:hint="eastAsia" w:ascii="宋体" w:hAnsi="宋体" w:eastAsia="宋体" w:cs="宋体"/>
          <w:b/>
          <w:bCs/>
          <w:snapToGrid w:val="0"/>
          <w:color w:val="auto"/>
          <w:szCs w:val="21"/>
          <w:highlight w:val="none"/>
        </w:rPr>
        <w:t>、不可抗力事件处理</w:t>
      </w:r>
    </w:p>
    <w:p>
      <w:pPr>
        <w:pStyle w:val="11"/>
        <w:keepNext w:val="0"/>
        <w:keepLines w:val="0"/>
        <w:pageBreakBefore w:val="0"/>
        <w:kinsoku/>
        <w:wordWrap/>
        <w:overflowPunct/>
        <w:topLinePunct w:val="0"/>
        <w:autoSpaceDE/>
        <w:autoSpaceDN/>
        <w:bidi w:val="0"/>
        <w:snapToGrid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pPr>
        <w:pStyle w:val="11"/>
        <w:keepNext w:val="0"/>
        <w:keepLines w:val="0"/>
        <w:pageBreakBefore w:val="0"/>
        <w:kinsoku/>
        <w:wordWrap/>
        <w:overflowPunct/>
        <w:topLinePunct w:val="0"/>
        <w:autoSpaceDE/>
        <w:autoSpaceDN/>
        <w:bidi w:val="0"/>
        <w:snapToGrid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pPr>
        <w:pStyle w:val="11"/>
        <w:keepNext w:val="0"/>
        <w:keepLines w:val="0"/>
        <w:pageBreakBefore w:val="0"/>
        <w:kinsoku/>
        <w:wordWrap/>
        <w:overflowPunct/>
        <w:topLinePunct w:val="0"/>
        <w:autoSpaceDE/>
        <w:autoSpaceDN/>
        <w:bidi w:val="0"/>
        <w:snapToGrid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十</w:t>
      </w:r>
      <w:r>
        <w:rPr>
          <w:rFonts w:hint="eastAsia" w:ascii="宋体" w:hAnsi="宋体" w:eastAsia="宋体" w:cs="宋体"/>
          <w:b/>
          <w:bCs/>
          <w:snapToGrid w:val="0"/>
          <w:color w:val="auto"/>
          <w:szCs w:val="21"/>
          <w:highlight w:val="none"/>
          <w:lang w:val="en-US" w:eastAsia="zh-CN"/>
        </w:rPr>
        <w:t>五</w:t>
      </w:r>
      <w:r>
        <w:rPr>
          <w:rFonts w:hint="eastAsia" w:ascii="宋体" w:hAnsi="宋体" w:eastAsia="宋体" w:cs="宋体"/>
          <w:b/>
          <w:bCs/>
          <w:snapToGrid w:val="0"/>
          <w:color w:val="auto"/>
          <w:szCs w:val="21"/>
          <w:highlight w:val="none"/>
        </w:rPr>
        <w:t>、诉讼</w:t>
      </w:r>
    </w:p>
    <w:p>
      <w:pPr>
        <w:pStyle w:val="11"/>
        <w:keepNext w:val="0"/>
        <w:keepLines w:val="0"/>
        <w:pageBreakBefore w:val="0"/>
        <w:kinsoku/>
        <w:wordWrap/>
        <w:overflowPunct/>
        <w:topLinePunct w:val="0"/>
        <w:autoSpaceDE/>
        <w:autoSpaceDN/>
        <w:bidi w:val="0"/>
        <w:snapToGrid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w:t>
      </w:r>
      <w:r>
        <w:rPr>
          <w:rFonts w:hint="eastAsia" w:ascii="宋体" w:hAnsi="宋体" w:eastAsia="宋体" w:cs="宋体"/>
          <w:color w:val="auto"/>
          <w:kern w:val="0"/>
          <w:szCs w:val="21"/>
          <w:highlight w:val="none"/>
        </w:rPr>
        <w:t>提交</w:t>
      </w:r>
      <w:r>
        <w:rPr>
          <w:rFonts w:hint="eastAsia" w:ascii="宋体" w:hAnsi="宋体" w:eastAsia="宋体" w:cs="宋体"/>
          <w:color w:val="auto"/>
          <w:szCs w:val="21"/>
          <w:highlight w:val="none"/>
          <w:u w:val="single"/>
        </w:rPr>
        <w:t>台州</w:t>
      </w:r>
      <w:r>
        <w:rPr>
          <w:rFonts w:hint="eastAsia" w:ascii="宋体" w:hAnsi="宋体" w:eastAsia="宋体" w:cs="宋体"/>
          <w:color w:val="auto"/>
          <w:kern w:val="0"/>
          <w:szCs w:val="21"/>
          <w:highlight w:val="none"/>
        </w:rPr>
        <w:t>仲裁委员会仲裁。</w:t>
      </w:r>
      <w:r>
        <w:rPr>
          <w:rFonts w:hint="eastAsia" w:ascii="宋体" w:hAnsi="宋体" w:eastAsia="宋体" w:cs="宋体"/>
          <w:snapToGrid w:val="0"/>
          <w:color w:val="auto"/>
          <w:szCs w:val="21"/>
          <w:highlight w:val="none"/>
        </w:rPr>
        <w:t xml:space="preserve"> </w:t>
      </w:r>
    </w:p>
    <w:p>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十</w:t>
      </w:r>
      <w:r>
        <w:rPr>
          <w:rFonts w:hint="eastAsia" w:ascii="宋体" w:hAnsi="宋体" w:eastAsia="宋体" w:cs="宋体"/>
          <w:b/>
          <w:bCs/>
          <w:snapToGrid w:val="0"/>
          <w:color w:val="auto"/>
          <w:szCs w:val="21"/>
          <w:highlight w:val="none"/>
          <w:lang w:val="en-US" w:eastAsia="zh-CN"/>
        </w:rPr>
        <w:t>六</w:t>
      </w:r>
      <w:r>
        <w:rPr>
          <w:rFonts w:hint="eastAsia" w:ascii="宋体" w:hAnsi="宋体" w:eastAsia="宋体" w:cs="宋体"/>
          <w:b/>
          <w:bCs/>
          <w:snapToGrid w:val="0"/>
          <w:color w:val="auto"/>
          <w:szCs w:val="21"/>
          <w:highlight w:val="none"/>
        </w:rPr>
        <w:t>、合同生效及其它</w:t>
      </w:r>
    </w:p>
    <w:p>
      <w:pPr>
        <w:pStyle w:val="11"/>
        <w:keepNext w:val="0"/>
        <w:keepLines w:val="0"/>
        <w:pageBreakBefore w:val="0"/>
        <w:kinsoku/>
        <w:wordWrap/>
        <w:overflowPunct/>
        <w:topLinePunct w:val="0"/>
        <w:autoSpaceDE/>
        <w:autoSpaceDN/>
        <w:bidi w:val="0"/>
        <w:snapToGrid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pPr>
        <w:pStyle w:val="11"/>
        <w:keepNext w:val="0"/>
        <w:keepLines w:val="0"/>
        <w:pageBreakBefore w:val="0"/>
        <w:kinsoku/>
        <w:wordWrap/>
        <w:overflowPunct/>
        <w:topLinePunct w:val="0"/>
        <w:autoSpaceDE/>
        <w:autoSpaceDN/>
        <w:bidi w:val="0"/>
        <w:snapToGrid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2、合同执行中涉及采购资金和采购内容修改或补充的，须经财政部门审批，并签书面补充协议报政府采购监督管理部门备案，方为生效，届时才作为主合同不可分割的一部分。</w:t>
      </w:r>
    </w:p>
    <w:p>
      <w:pPr>
        <w:pStyle w:val="11"/>
        <w:keepNext w:val="0"/>
        <w:keepLines w:val="0"/>
        <w:pageBreakBefore w:val="0"/>
        <w:kinsoku/>
        <w:wordWrap/>
        <w:overflowPunct/>
        <w:topLinePunct w:val="0"/>
        <w:autoSpaceDE/>
        <w:autoSpaceDN/>
        <w:bidi w:val="0"/>
        <w:snapToGrid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、本合同壹式捌份，甲、乙双方各执叁份、招标代理公司执贰份。本项目未尽事宜以招标文件、投标文件及澄清文件等为准。</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pPr>
        <w:keepNext w:val="0"/>
        <w:keepLines w:val="0"/>
        <w:pageBreakBefore w:val="0"/>
        <w:widowControl/>
        <w:kinsoku/>
        <w:wordWrap/>
        <w:overflowPunct/>
        <w:topLinePunct w:val="0"/>
        <w:bidi w:val="0"/>
        <w:spacing w:line="360" w:lineRule="auto"/>
        <w:ind w:firstLine="315"/>
        <w:outlineLvl w:val="9"/>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bidi w:val="0"/>
        <w:spacing w:line="360" w:lineRule="auto"/>
        <w:ind w:firstLine="315"/>
        <w:outlineLvl w:val="9"/>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bidi w:val="0"/>
        <w:spacing w:line="360" w:lineRule="auto"/>
        <w:ind w:firstLine="315"/>
        <w:outlineLvl w:val="9"/>
        <w:rPr>
          <w:rFonts w:hint="eastAsia" w:ascii="宋体" w:hAnsi="宋体" w:eastAsia="宋体" w:cs="宋体"/>
          <w:color w:val="auto"/>
          <w:kern w:val="0"/>
          <w:szCs w:val="21"/>
          <w:highlight w:val="none"/>
        </w:rPr>
      </w:pPr>
    </w:p>
    <w:p>
      <w:pPr>
        <w:keepNext w:val="0"/>
        <w:keepLines w:val="0"/>
        <w:pageBreakBefore w:val="0"/>
        <w:widowControl/>
        <w:kinsoku/>
        <w:wordWrap/>
        <w:overflowPunct/>
        <w:topLinePunct w:val="0"/>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pPr>
        <w:keepNext w:val="0"/>
        <w:keepLines w:val="0"/>
        <w:pageBreakBefore w:val="0"/>
        <w:widowControl/>
        <w:kinsoku/>
        <w:wordWrap/>
        <w:overflowPunct/>
        <w:topLinePunct w:val="0"/>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cs="宋体"/>
          <w:color w:val="FF0000"/>
          <w:kern w:val="0"/>
          <w:szCs w:val="21"/>
          <w:highlight w:val="none"/>
          <w:lang w:eastAsia="zh-CN"/>
        </w:rPr>
        <w:t>法定代表人或授权委托代理人</w:t>
      </w:r>
      <w:r>
        <w:rPr>
          <w:rFonts w:hint="eastAsia" w:ascii="宋体" w:hAnsi="宋体" w:eastAsia="宋体" w:cs="宋体"/>
          <w:color w:val="FF0000"/>
          <w:kern w:val="0"/>
          <w:szCs w:val="21"/>
          <w:highlight w:val="none"/>
        </w:rPr>
        <w:t xml:space="preserve">：               </w:t>
      </w:r>
      <w:r>
        <w:rPr>
          <w:rFonts w:hint="eastAsia" w:ascii="宋体" w:hAnsi="宋体" w:cs="宋体"/>
          <w:color w:val="FF0000"/>
          <w:kern w:val="0"/>
          <w:szCs w:val="21"/>
          <w:highlight w:val="none"/>
          <w:lang w:eastAsia="zh-CN"/>
        </w:rPr>
        <w:t>法定代表人或授权委托代理人</w:t>
      </w:r>
      <w:r>
        <w:rPr>
          <w:rFonts w:hint="eastAsia" w:ascii="宋体" w:hAnsi="宋体" w:eastAsia="宋体" w:cs="宋体"/>
          <w:color w:val="FF0000"/>
          <w:kern w:val="0"/>
          <w:szCs w:val="21"/>
          <w:highlight w:val="none"/>
        </w:rPr>
        <w:t xml:space="preserve">：  </w:t>
      </w:r>
      <w:r>
        <w:rPr>
          <w:rFonts w:hint="eastAsia" w:ascii="宋体" w:hAnsi="宋体" w:eastAsia="宋体" w:cs="宋体"/>
          <w:color w:val="auto"/>
          <w:kern w:val="0"/>
          <w:szCs w:val="21"/>
          <w:highlight w:val="none"/>
        </w:rPr>
        <w:t xml:space="preserve">       </w:t>
      </w:r>
    </w:p>
    <w:p>
      <w:pPr>
        <w:keepNext w:val="0"/>
        <w:keepLines w:val="0"/>
        <w:pageBreakBefore w:val="0"/>
        <w:widowControl/>
        <w:kinsoku/>
        <w:wordWrap/>
        <w:overflowPunct/>
        <w:topLinePunct w:val="0"/>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pPr>
        <w:keepNext w:val="0"/>
        <w:keepLines w:val="0"/>
        <w:pageBreakBefore w:val="0"/>
        <w:widowControl/>
        <w:kinsoku/>
        <w:wordWrap/>
        <w:overflowPunct/>
        <w:topLinePunct w:val="0"/>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pPr>
        <w:keepNext w:val="0"/>
        <w:keepLines w:val="0"/>
        <w:pageBreakBefore w:val="0"/>
        <w:widowControl/>
        <w:kinsoku/>
        <w:wordWrap/>
        <w:overflowPunct/>
        <w:topLinePunct w:val="0"/>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pPr>
        <w:keepNext w:val="0"/>
        <w:keepLines w:val="0"/>
        <w:pageBreakBefore w:val="0"/>
        <w:kinsoku/>
        <w:wordWrap/>
        <w:overflowPunct/>
        <w:topLinePunct w:val="0"/>
        <w:bidi w:val="0"/>
        <w:spacing w:line="500" w:lineRule="exact"/>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合同鉴证方：</w:t>
      </w:r>
    </w:p>
    <w:p>
      <w:pPr>
        <w:keepNext w:val="0"/>
        <w:keepLines w:val="0"/>
        <w:pageBreakBefore w:val="0"/>
        <w:kinsoku/>
        <w:wordWrap/>
        <w:overflowPunct/>
        <w:topLinePunct w:val="0"/>
        <w:bidi w:val="0"/>
        <w:spacing w:line="500" w:lineRule="exact"/>
        <w:ind w:firstLine="420" w:firstLineChars="200"/>
        <w:textAlignment w:val="baseline"/>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pPr>
        <w:numPr>
          <w:ilvl w:val="0"/>
          <w:numId w:val="0"/>
        </w:numPr>
        <w:spacing w:line="360" w:lineRule="auto"/>
        <w:jc w:val="both"/>
        <w:rPr>
          <w:rFonts w:hint="eastAsia" w:ascii="宋体" w:hAnsi="宋体" w:eastAsia="宋体" w:cs="宋体"/>
          <w:b/>
          <w:color w:val="auto"/>
          <w:sz w:val="30"/>
          <w:szCs w:val="30"/>
          <w:highlight w:val="none"/>
        </w:rPr>
      </w:pPr>
    </w:p>
    <w:p>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pPr>
        <w:pStyle w:val="50"/>
        <w:rPr>
          <w:rFonts w:hint="eastAsia" w:ascii="宋体" w:hAnsi="宋体" w:eastAsia="宋体" w:cs="宋体"/>
          <w:color w:val="auto"/>
          <w:highlight w:val="none"/>
        </w:rPr>
      </w:pP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pPr>
        <w:snapToGrid w:val="0"/>
        <w:spacing w:before="50" w:after="50" w:line="360" w:lineRule="auto"/>
        <w:jc w:val="center"/>
        <w:rPr>
          <w:rFonts w:hint="eastAsia" w:ascii="宋体" w:hAnsi="宋体" w:eastAsia="宋体" w:cs="宋体"/>
          <w:b/>
          <w:bCs/>
          <w:color w:val="auto"/>
          <w:sz w:val="32"/>
          <w:szCs w:val="32"/>
          <w:highlight w:val="none"/>
        </w:rPr>
      </w:pP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3、法人或者其他组织的营业执照等证明文件，自然人的身份证明</w:t>
      </w:r>
    </w:p>
    <w:p>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须提供中小企业声明函等政府优惠政策适用证明材料（附件16）</w:t>
      </w:r>
    </w:p>
    <w:p>
      <w:pPr>
        <w:keepNext w:val="0"/>
        <w:keepLines w:val="0"/>
        <w:pageBreakBefore w:val="0"/>
        <w:kinsoku/>
        <w:wordWrap/>
        <w:overflowPunct/>
        <w:topLinePunct w:val="0"/>
        <w:bidi w:val="0"/>
        <w:snapToGrid w:val="0"/>
        <w:spacing w:line="360" w:lineRule="auto"/>
        <w:ind w:firstLine="562" w:firstLineChars="200"/>
        <w:outlineLvl w:val="9"/>
        <w:rPr>
          <w:rFonts w:hint="eastAsia" w:ascii="宋体" w:hAnsi="宋体" w:eastAsia="宋体" w:cs="宋体"/>
          <w:b/>
          <w:color w:val="auto"/>
          <w:sz w:val="28"/>
          <w:highlight w:val="none"/>
          <w:lang w:eastAsia="zh-CN"/>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台州市自然资源和规划局路桥分局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eastAsia="宋体" w:cs="宋体"/>
          <w:color w:val="auto"/>
          <w:sz w:val="21"/>
          <w:szCs w:val="21"/>
          <w:highlight w:val="none"/>
          <w:u w:val="single"/>
          <w:lang w:eastAsia="zh-CN"/>
        </w:rPr>
        <w:t>2023年路桥区建设用地规划条件咨询论证项目</w:t>
      </w:r>
      <w:r>
        <w:rPr>
          <w:rFonts w:hint="eastAsia" w:ascii="宋体" w:hAnsi="宋体" w:eastAsia="宋体" w:cs="宋体"/>
          <w:color w:val="auto"/>
          <w:sz w:val="21"/>
          <w:szCs w:val="21"/>
          <w:highlight w:val="none"/>
        </w:rPr>
        <w:t>（编号为</w:t>
      </w:r>
      <w:r>
        <w:rPr>
          <w:rFonts w:hint="eastAsia" w:ascii="宋体" w:hAnsi="宋体" w:eastAsia="宋体" w:cs="宋体"/>
          <w:color w:val="auto"/>
          <w:sz w:val="21"/>
          <w:szCs w:val="21"/>
          <w:highlight w:val="none"/>
          <w:u w:val="single"/>
          <w:lang w:val="en-US" w:eastAsia="zh-CN"/>
        </w:rPr>
        <w:t>tzya2023-lq06</w:t>
      </w:r>
      <w:r>
        <w:rPr>
          <w:rFonts w:hint="eastAsia" w:ascii="宋体" w:hAnsi="宋体" w:eastAsia="宋体" w:cs="宋体"/>
          <w:color w:val="auto"/>
          <w:sz w:val="21"/>
          <w:szCs w:val="21"/>
          <w:highlight w:val="none"/>
        </w:rPr>
        <w:t>）的投标，为此，我公司就本次投标有关事项郑重声明如下：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pPr>
        <w:spacing w:line="360" w:lineRule="auto"/>
        <w:ind w:firstLine="420" w:firstLineChars="200"/>
        <w:rPr>
          <w:rFonts w:hint="eastAsia" w:ascii="宋体" w:hAnsi="宋体" w:eastAsia="宋体" w:cs="宋体"/>
          <w:color w:val="auto"/>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lang w:val="af-ZA"/>
        </w:rPr>
        <w:t>采购人在中华人民共和国境内使用</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af-ZA"/>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除在投标文件中明确拒绝之外，均接受招标文件中的全部条件，</w:t>
      </w:r>
      <w:r>
        <w:rPr>
          <w:rFonts w:hint="eastAsia" w:ascii="宋体" w:hAnsi="宋体" w:eastAsia="宋体" w:cs="宋体"/>
          <w:color w:val="auto"/>
          <w:sz w:val="21"/>
          <w:szCs w:val="21"/>
          <w:highlight w:val="none"/>
          <w:lang w:val="af-ZA"/>
        </w:rPr>
        <w:t>不降低合同约定的产品质量和服务，不擅自变更、中止、终止合同，或拒绝履行合同义务；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本单位若违反以上承诺，将无条件接受项目主管部门和有关监督管理部门的调查，并愿意承担取消中标资格及限制在本地区参与投标等一切法律责任。</w:t>
      </w:r>
    </w:p>
    <w:p>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pPr>
        <w:spacing w:line="360" w:lineRule="auto"/>
        <w:ind w:firstLine="3360" w:firstLineChars="16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法定代表人或授权委托代理人（签字）：</w:t>
      </w:r>
    </w:p>
    <w:p>
      <w:pPr>
        <w:spacing w:line="360" w:lineRule="auto"/>
        <w:ind w:firstLine="420" w:firstLineChars="200"/>
        <w:jc w:val="center"/>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pPr>
        <w:pStyle w:val="11"/>
        <w:spacing w:line="360" w:lineRule="auto"/>
        <w:ind w:left="24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single"/>
          <w:lang w:eastAsia="zh-CN"/>
        </w:rPr>
        <w:t>台州市自然资源和规划局路桥分局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pPr>
        <w:pStyle w:val="11"/>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ascii="宋体" w:hAnsi="宋体" w:eastAsia="宋体" w:cs="宋体"/>
          <w:color w:val="auto"/>
          <w:kern w:val="0"/>
          <w:sz w:val="21"/>
          <w:szCs w:val="21"/>
          <w:highlight w:val="none"/>
          <w:u w:val="single"/>
          <w:lang w:eastAsia="zh-CN"/>
        </w:rPr>
        <w:t>2023年路桥区建设用地规划条件咨询论证项目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pPr>
        <w:pStyle w:val="11"/>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pPr>
        <w:pStyle w:val="11"/>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投标人全称（公章）：日期：</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eastAsia" w:ascii="宋体" w:hAnsi="宋体" w:eastAsia="宋体" w:cs="宋体"/>
                <w:b/>
                <w:color w:val="auto"/>
                <w:sz w:val="24"/>
                <w:highlight w:val="none"/>
              </w:rPr>
            </w:pPr>
          </w:p>
          <w:p>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pPr>
        <w:spacing w:line="360" w:lineRule="auto"/>
        <w:rPr>
          <w:rFonts w:hint="eastAsia" w:ascii="宋体" w:hAnsi="宋体" w:eastAsia="宋体" w:cs="宋体"/>
          <w:b/>
          <w:color w:val="auto"/>
          <w:sz w:val="21"/>
          <w:szCs w:val="21"/>
          <w:highlight w:val="none"/>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eastAsia" w:ascii="宋体" w:hAnsi="宋体" w:eastAsia="宋体" w:cs="宋体"/>
                <w:b/>
                <w:color w:val="auto"/>
                <w:sz w:val="21"/>
                <w:szCs w:val="21"/>
                <w:highlight w:val="none"/>
              </w:rPr>
            </w:pPr>
          </w:p>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身份证复印件粘帖处</w:t>
            </w: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pPr>
        <w:pStyle w:val="53"/>
        <w:widowControl w:val="0"/>
        <w:snapToGrid w:val="0"/>
        <w:spacing w:line="360" w:lineRule="auto"/>
        <w:jc w:val="both"/>
        <w:rPr>
          <w:rFonts w:hint="eastAsia" w:ascii="宋体" w:hAnsi="宋体" w:eastAsia="宋体" w:cs="宋体"/>
          <w:b/>
          <w:color w:val="auto"/>
          <w:kern w:val="2"/>
          <w:sz w:val="32"/>
          <w:szCs w:val="32"/>
          <w:highlight w:val="none"/>
          <w:lang w:val="en-US" w:eastAsia="zh-CN" w:bidi="ar-SA"/>
        </w:rPr>
      </w:pPr>
    </w:p>
    <w:p>
      <w:pPr>
        <w:pStyle w:val="53"/>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pPr>
        <w:pStyle w:val="53"/>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pPr>
        <w:pStyle w:val="53"/>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ascii="宋体" w:hAnsi="宋体" w:eastAsia="宋体" w:cs="宋体"/>
          <w:color w:val="auto"/>
          <w:kern w:val="0"/>
          <w:sz w:val="21"/>
          <w:szCs w:val="21"/>
          <w:highlight w:val="none"/>
          <w:u w:val="single"/>
          <w:lang w:eastAsia="zh-CN"/>
        </w:rPr>
        <w:t>2023年路桥区建设用地规划条件咨询论证项目</w:t>
      </w:r>
      <w:r>
        <w:rPr>
          <w:rFonts w:hint="eastAsia" w:ascii="宋体" w:hAnsi="宋体" w:eastAsia="宋体" w:cs="宋体"/>
          <w:color w:val="auto"/>
          <w:spacing w:val="6"/>
          <w:sz w:val="21"/>
          <w:szCs w:val="21"/>
          <w:highlight w:val="none"/>
        </w:rPr>
        <w:t>（编号：</w:t>
      </w:r>
      <w:r>
        <w:rPr>
          <w:rFonts w:hint="eastAsia" w:ascii="宋体" w:hAnsi="宋体" w:eastAsia="宋体" w:cs="宋体"/>
          <w:color w:val="auto"/>
          <w:sz w:val="21"/>
          <w:szCs w:val="21"/>
          <w:highlight w:val="none"/>
          <w:u w:val="single"/>
          <w:lang w:val="en-US" w:eastAsia="zh-CN"/>
        </w:rPr>
        <w:t>tzya2023-lq06</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50"/>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pPr>
        <w:pStyle w:val="50"/>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pPr>
        <w:pStyle w:val="50"/>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53"/>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53"/>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pPr>
        <w:pStyle w:val="50"/>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pPr>
        <w:pStyle w:val="50"/>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pPr>
        <w:pStyle w:val="5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（供应商代表签名）</w:t>
      </w:r>
    </w:p>
    <w:p>
      <w:pPr>
        <w:pStyle w:val="53"/>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pPr>
        <w:spacing w:line="360" w:lineRule="auto"/>
        <w:ind w:right="-110"/>
        <w:jc w:val="both"/>
        <w:outlineLvl w:val="9"/>
        <w:rPr>
          <w:rFonts w:hint="eastAsia" w:ascii="宋体" w:hAnsi="宋体" w:eastAsia="宋体" w:cs="宋体"/>
          <w:b/>
          <w:color w:val="auto"/>
          <w:sz w:val="28"/>
          <w:highlight w:val="none"/>
        </w:rPr>
      </w:pPr>
    </w:p>
    <w:p>
      <w:pPr>
        <w:spacing w:line="360" w:lineRule="auto"/>
        <w:ind w:right="-110"/>
        <w:jc w:val="both"/>
        <w:outlineLvl w:val="9"/>
        <w:rPr>
          <w:rFonts w:hint="eastAsia" w:ascii="宋体" w:hAnsi="宋体" w:eastAsia="宋体" w:cs="宋体"/>
          <w:b/>
          <w:color w:val="auto"/>
          <w:sz w:val="28"/>
          <w:highlight w:val="none"/>
        </w:rPr>
      </w:pPr>
    </w:p>
    <w:p>
      <w:pPr>
        <w:spacing w:line="360" w:lineRule="auto"/>
        <w:ind w:right="-110"/>
        <w:jc w:val="both"/>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 xml:space="preserve">4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pPr>
        <w:spacing w:line="360" w:lineRule="auto"/>
        <w:ind w:right="532" w:firstLine="720" w:firstLineChars="200"/>
        <w:rPr>
          <w:rFonts w:hint="eastAsia" w:ascii="宋体" w:hAnsi="宋体" w:eastAsia="宋体" w:cs="宋体"/>
          <w:color w:val="auto"/>
          <w:sz w:val="36"/>
          <w:szCs w:val="36"/>
          <w:highlight w:val="none"/>
        </w:rPr>
      </w:pPr>
    </w:p>
    <w:p>
      <w:pPr>
        <w:snapToGrid w:val="0"/>
        <w:spacing w:before="50" w:after="50" w:line="360" w:lineRule="auto"/>
        <w:jc w:val="center"/>
        <w:rPr>
          <w:rFonts w:hint="eastAsia" w:ascii="宋体" w:hAnsi="宋体" w:eastAsia="宋体" w:cs="宋体"/>
          <w:b/>
          <w:bCs/>
          <w:color w:val="auto"/>
          <w:sz w:val="32"/>
          <w:szCs w:val="32"/>
          <w:highlight w:val="none"/>
          <w:lang w:val="zh-CN"/>
        </w:rPr>
      </w:pPr>
    </w:p>
    <w:p>
      <w:pPr>
        <w:snapToGrid w:val="0"/>
        <w:spacing w:before="50" w:after="50" w:line="360" w:lineRule="auto"/>
        <w:jc w:val="both"/>
        <w:rPr>
          <w:rFonts w:hint="eastAsia" w:ascii="宋体" w:hAnsi="宋体" w:eastAsia="宋体" w:cs="宋体"/>
          <w:b/>
          <w:bCs/>
          <w:color w:val="auto"/>
          <w:sz w:val="32"/>
          <w:szCs w:val="32"/>
          <w:highlight w:val="none"/>
          <w:lang w:val="zh-CN"/>
        </w:rPr>
      </w:pPr>
    </w:p>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pPr>
        <w:keepNext w:val="0"/>
        <w:keepLines w:val="0"/>
        <w:pageBreakBefore w:val="0"/>
        <w:numPr>
          <w:ilvl w:val="0"/>
          <w:numId w:val="2"/>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pPr>
        <w:pStyle w:val="7"/>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1、投标人情况介绍（附件</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2、项目需求的理解与分析；</w:t>
      </w:r>
    </w:p>
    <w:p>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3、项目组织实施方案； </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5、项目负责人资格情况表(附件</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4、售后服务情况表（附件1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pPr>
        <w:pStyle w:val="38"/>
        <w:shd w:val="clear" w:color="auto" w:fill="FFFFFF"/>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38"/>
        <w:shd w:val="clear" w:color="auto" w:fill="FFFFFF"/>
        <w:spacing w:before="0" w:beforeAutospacing="0" w:after="0" w:afterAutospacing="0" w:line="24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lang w:val="en-US" w:eastAsia="zh-CN"/>
        </w:rPr>
        <w:t>评标索引：自评表</w:t>
      </w:r>
    </w:p>
    <w:tbl>
      <w:tblPr>
        <w:tblStyle w:val="2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4"/>
        <w:gridCol w:w="973"/>
        <w:gridCol w:w="5935"/>
        <w:gridCol w:w="622"/>
        <w:gridCol w:w="622"/>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2" w:hRule="atLeast"/>
          <w:jc w:val="center"/>
        </w:trPr>
        <w:tc>
          <w:tcPr>
            <w:tcW w:w="1697" w:type="dxa"/>
            <w:gridSpan w:val="2"/>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5935"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6" w:hRule="atLeast"/>
          <w:jc w:val="center"/>
        </w:trPr>
        <w:tc>
          <w:tcPr>
            <w:tcW w:w="724" w:type="dxa"/>
            <w:vMerge w:val="restart"/>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p>
        </w:tc>
        <w:tc>
          <w:tcPr>
            <w:tcW w:w="973"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承接经验</w:t>
            </w:r>
          </w:p>
        </w:tc>
        <w:tc>
          <w:tcPr>
            <w:tcW w:w="5935" w:type="dxa"/>
            <w:vAlign w:val="center"/>
          </w:tcPr>
          <w:p>
            <w:pPr>
              <w:pStyle w:val="2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beforeAutospacing="0" w:after="0" w:afterAutospacing="0" w:line="240" w:lineRule="auto"/>
              <w:ind w:left="0" w:leftChars="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年1月1日以来（以合同签订时间为准）承接过类似项目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，每提供1个合同得1分，最高得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2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beforeAutospacing="0" w:after="0" w:afterAutospacing="0"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lang w:val="en-US" w:eastAsia="zh-CN"/>
              </w:rPr>
            </w:pP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5" w:hRule="atLeast"/>
          <w:jc w:val="center"/>
        </w:trPr>
        <w:tc>
          <w:tcPr>
            <w:tcW w:w="724"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973" w:type="dxa"/>
            <w:vMerge w:val="restart"/>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项目组成员情况</w:t>
            </w:r>
          </w:p>
        </w:tc>
        <w:tc>
          <w:tcPr>
            <w:tcW w:w="5935" w:type="dxa"/>
            <w:vAlign w:val="center"/>
          </w:tcPr>
          <w:p>
            <w:pPr>
              <w:keepNext w:val="0"/>
              <w:keepLines w:val="0"/>
              <w:pageBreakBefore w:val="0"/>
              <w:widowControl/>
              <w:kinsoku/>
              <w:wordWrap/>
              <w:overflowPunct/>
              <w:topLinePunct w:val="0"/>
              <w:bidi w:val="0"/>
              <w:spacing w:beforeAutospacing="0" w:afterAutospacing="0" w:line="24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拟派本</w:t>
            </w:r>
            <w:r>
              <w:rPr>
                <w:rFonts w:hint="eastAsia" w:ascii="宋体" w:hAnsi="宋体" w:eastAsia="宋体" w:cs="宋体"/>
                <w:color w:val="auto"/>
                <w:sz w:val="21"/>
                <w:szCs w:val="21"/>
                <w:highlight w:val="none"/>
              </w:rPr>
              <w:t>项目负责人具有城乡规划高级职称或建筑高级职称的得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分，中级职称</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不满足要求的不得分。</w:t>
            </w:r>
          </w:p>
          <w:p>
            <w:pPr>
              <w:keepNext w:val="0"/>
              <w:keepLines w:val="0"/>
              <w:pageBreakBefore w:val="0"/>
              <w:widowControl/>
              <w:kinsoku/>
              <w:wordWrap/>
              <w:overflowPunct/>
              <w:topLinePunct w:val="0"/>
              <w:bidi w:val="0"/>
              <w:spacing w:beforeAutospacing="0" w:afterAutospacing="0"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在有效期内的职称证书</w:t>
            </w:r>
            <w:r>
              <w:rPr>
                <w:rFonts w:hint="eastAsia" w:ascii="宋体" w:hAnsi="宋体" w:eastAsia="宋体" w:cs="宋体"/>
                <w:b/>
                <w:bCs/>
                <w:color w:val="auto"/>
                <w:sz w:val="21"/>
                <w:szCs w:val="21"/>
                <w:highlight w:val="none"/>
              </w:rPr>
              <w:t>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lang w:val="en-US" w:eastAsia="zh-CN"/>
              </w:rPr>
            </w:pP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1" w:hRule="atLeast"/>
          <w:jc w:val="center"/>
        </w:trPr>
        <w:tc>
          <w:tcPr>
            <w:tcW w:w="724"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bCs/>
                <w:color w:val="auto"/>
                <w:sz w:val="21"/>
                <w:szCs w:val="21"/>
                <w:highlight w:val="none"/>
              </w:rPr>
            </w:pPr>
          </w:p>
        </w:tc>
        <w:tc>
          <w:tcPr>
            <w:tcW w:w="973" w:type="dxa"/>
            <w:vMerge w:val="continue"/>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rPr>
            </w:pPr>
          </w:p>
        </w:tc>
        <w:tc>
          <w:tcPr>
            <w:tcW w:w="5935" w:type="dxa"/>
            <w:vAlign w:val="center"/>
          </w:tcPr>
          <w:p>
            <w:pPr>
              <w:keepNext w:val="0"/>
              <w:keepLines w:val="0"/>
              <w:pageBreakBefore w:val="0"/>
              <w:kinsoku/>
              <w:wordWrap/>
              <w:overflowPunct/>
              <w:topLinePunct w:val="0"/>
              <w:bidi w:val="0"/>
              <w:adjustRightInd w:val="0"/>
              <w:snapToGrid w:val="0"/>
              <w:spacing w:beforeAutospacing="0" w:afterAutospacing="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拟派本项目的项目组成员（项目负责人除外）具有城乡规划或建筑高级职称的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每提供一个得</w:t>
            </w:r>
            <w:r>
              <w:rPr>
                <w:rFonts w:hint="eastAsia" w:ascii="宋体" w:hAnsi="宋体" w:eastAsia="宋体" w:cs="宋体"/>
                <w:color w:val="auto"/>
                <w:sz w:val="21"/>
                <w:szCs w:val="21"/>
                <w:highlight w:val="none"/>
              </w:rPr>
              <w:t>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中级职称的</w:t>
            </w:r>
            <w:r>
              <w:rPr>
                <w:rFonts w:hint="eastAsia" w:ascii="宋体" w:hAnsi="宋体" w:eastAsia="宋体" w:cs="宋体"/>
                <w:color w:val="auto"/>
                <w:sz w:val="21"/>
                <w:szCs w:val="21"/>
                <w:highlight w:val="none"/>
                <w:lang w:val="en-US" w:eastAsia="zh-CN"/>
              </w:rPr>
              <w:t>每提供一个得</w:t>
            </w:r>
            <w:r>
              <w:rPr>
                <w:rFonts w:hint="eastAsia" w:ascii="宋体" w:hAnsi="宋体" w:eastAsia="宋体" w:cs="宋体"/>
                <w:color w:val="auto"/>
                <w:sz w:val="21"/>
                <w:szCs w:val="21"/>
                <w:highlight w:val="none"/>
              </w:rPr>
              <w:t>0.5分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不满足要求的不得分。</w:t>
            </w:r>
          </w:p>
          <w:p>
            <w:pPr>
              <w:keepNext w:val="0"/>
              <w:keepLines w:val="0"/>
              <w:pageBreakBefore w:val="0"/>
              <w:kinsoku/>
              <w:wordWrap/>
              <w:overflowPunct/>
              <w:topLinePunct w:val="0"/>
              <w:bidi w:val="0"/>
              <w:adjustRightInd w:val="0"/>
              <w:snapToGrid w:val="0"/>
              <w:spacing w:beforeAutospacing="0" w:afterAutospacing="0"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本项最高得2分。</w:t>
            </w:r>
          </w:p>
          <w:p>
            <w:pPr>
              <w:keepNext w:val="0"/>
              <w:keepLines w:val="0"/>
              <w:pageBreakBefore w:val="0"/>
              <w:kinsoku/>
              <w:wordWrap/>
              <w:overflowPunct/>
              <w:topLinePunct w:val="0"/>
              <w:bidi w:val="0"/>
              <w:adjustRightInd w:val="0"/>
              <w:snapToGrid w:val="0"/>
              <w:spacing w:beforeAutospacing="0" w:afterAutospacing="0"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在有效期内的职称证书</w:t>
            </w:r>
            <w:r>
              <w:rPr>
                <w:rFonts w:hint="eastAsia" w:ascii="宋体" w:hAnsi="宋体" w:eastAsia="宋体" w:cs="宋体"/>
                <w:b/>
                <w:bCs/>
                <w:color w:val="auto"/>
                <w:sz w:val="21"/>
                <w:szCs w:val="21"/>
                <w:highlight w:val="none"/>
              </w:rPr>
              <w:t>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22" w:type="dxa"/>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622" w:type="dxa"/>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rPr>
                <w:rFonts w:hint="eastAsia" w:ascii="宋体" w:hAnsi="宋体" w:eastAsia="宋体" w:cs="宋体"/>
                <w:color w:val="auto"/>
                <w:kern w:val="0"/>
                <w:sz w:val="21"/>
                <w:szCs w:val="21"/>
                <w:highlight w:val="none"/>
                <w:lang w:val="en-US" w:eastAsia="zh-CN"/>
              </w:rPr>
            </w:pPr>
          </w:p>
        </w:tc>
        <w:tc>
          <w:tcPr>
            <w:tcW w:w="622" w:type="dxa"/>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1" w:hRule="atLeast"/>
          <w:jc w:val="center"/>
        </w:trPr>
        <w:tc>
          <w:tcPr>
            <w:tcW w:w="724"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973" w:type="dxa"/>
            <w:vMerge w:val="continue"/>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5935" w:type="dxa"/>
            <w:vAlign w:val="center"/>
          </w:tcPr>
          <w:p>
            <w:pPr>
              <w:keepNext w:val="0"/>
              <w:keepLines w:val="0"/>
              <w:pageBreakBefore w:val="0"/>
              <w:kinsoku/>
              <w:wordWrap/>
              <w:overflowPunct/>
              <w:topLinePunct w:val="0"/>
              <w:bidi w:val="0"/>
              <w:adjustRightInd w:val="0"/>
              <w:snapToGrid w:val="0"/>
              <w:spacing w:beforeAutospacing="0" w:afterAutospacing="0"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拟派本项目的项目组成员</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城乡规划相关领域获奖的，每提供1个奖项得2分，最高得4分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beforeAutospacing="0" w:afterAutospacing="0"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获奖</w:t>
            </w:r>
            <w:r>
              <w:rPr>
                <w:rFonts w:hint="eastAsia" w:ascii="宋体" w:hAnsi="宋体" w:eastAsia="宋体" w:cs="宋体"/>
                <w:b/>
                <w:bCs/>
                <w:color w:val="auto"/>
                <w:sz w:val="21"/>
                <w:szCs w:val="21"/>
                <w:highlight w:val="none"/>
              </w:rPr>
              <w:t>证书扫描件及投标截止时间前近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22" w:type="dxa"/>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622" w:type="dxa"/>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rPr>
                <w:rFonts w:hint="eastAsia" w:ascii="宋体" w:hAnsi="宋体" w:eastAsia="宋体" w:cs="宋体"/>
                <w:color w:val="auto"/>
                <w:kern w:val="0"/>
                <w:sz w:val="21"/>
                <w:szCs w:val="21"/>
                <w:highlight w:val="none"/>
                <w:lang w:val="en-US" w:eastAsia="zh-CN"/>
              </w:rPr>
            </w:pPr>
          </w:p>
        </w:tc>
        <w:tc>
          <w:tcPr>
            <w:tcW w:w="622" w:type="dxa"/>
            <w:vAlign w:val="center"/>
          </w:tcPr>
          <w:p>
            <w:pPr>
              <w:keepNext w:val="0"/>
              <w:keepLines w:val="0"/>
              <w:pageBreakBefore w:val="0"/>
              <w:kinsoku/>
              <w:wordWrap/>
              <w:overflowPunct/>
              <w:topLinePunct w:val="0"/>
              <w:bidi w:val="0"/>
              <w:adjustRightInd w:val="0"/>
              <w:snapToGrid w:val="0"/>
              <w:spacing w:beforeAutospacing="0" w:afterAutospacing="0" w:line="24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5" w:hRule="atLeast"/>
          <w:jc w:val="center"/>
        </w:trPr>
        <w:tc>
          <w:tcPr>
            <w:tcW w:w="724" w:type="dxa"/>
            <w:vMerge w:val="restart"/>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67</w:t>
            </w:r>
            <w:r>
              <w:rPr>
                <w:rFonts w:hint="eastAsia" w:ascii="宋体" w:hAnsi="宋体" w:eastAsia="宋体" w:cs="宋体"/>
                <w:color w:val="auto"/>
                <w:sz w:val="21"/>
                <w:szCs w:val="21"/>
                <w:highlight w:val="none"/>
              </w:rPr>
              <w:t>分）</w:t>
            </w:r>
          </w:p>
        </w:tc>
        <w:tc>
          <w:tcPr>
            <w:tcW w:w="97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项目理解</w:t>
            </w:r>
          </w:p>
        </w:tc>
        <w:tc>
          <w:tcPr>
            <w:tcW w:w="5935" w:type="dxa"/>
            <w:vAlign w:val="center"/>
          </w:tcPr>
          <w:p>
            <w:pPr>
              <w:keepNext w:val="0"/>
              <w:keepLines w:val="0"/>
              <w:pageBreakBefore w:val="0"/>
              <w:tabs>
                <w:tab w:val="left" w:pos="2061"/>
              </w:tabs>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根据投标人对</w:t>
            </w:r>
            <w:r>
              <w:rPr>
                <w:rFonts w:hint="eastAsia" w:ascii="宋体" w:hAnsi="宋体" w:eastAsia="宋体" w:cs="宋体"/>
                <w:color w:val="auto"/>
                <w:sz w:val="21"/>
                <w:szCs w:val="21"/>
                <w:highlight w:val="none"/>
                <w:lang w:val="en-US" w:eastAsia="zh-CN"/>
              </w:rPr>
              <w:t>本地区规划条件论证、咨询研究</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en-US" w:eastAsia="zh-CN"/>
              </w:rPr>
              <w:t>工作内容理解，现状分析情况</w:t>
            </w:r>
            <w:r>
              <w:rPr>
                <w:rFonts w:hint="eastAsia" w:ascii="宋体" w:hAnsi="宋体" w:eastAsia="宋体" w:cs="宋体"/>
                <w:color w:val="auto"/>
                <w:sz w:val="21"/>
                <w:szCs w:val="21"/>
                <w:highlight w:val="none"/>
              </w:rPr>
              <w:t>进行打分</w:t>
            </w:r>
            <w:r>
              <w:rPr>
                <w:rFonts w:hint="eastAsia" w:ascii="宋体" w:hAnsi="宋体" w:eastAsia="宋体" w:cs="宋体"/>
                <w:color w:val="auto"/>
                <w:sz w:val="21"/>
                <w:szCs w:val="21"/>
                <w:highlight w:val="none"/>
                <w:lang w:eastAsia="zh-CN"/>
              </w:rPr>
              <w:t>。</w:t>
            </w:r>
          </w:p>
          <w:p>
            <w:pPr>
              <w:keepNext w:val="0"/>
              <w:keepLines w:val="0"/>
              <w:pageBreakBefore w:val="0"/>
              <w:tabs>
                <w:tab w:val="left" w:pos="2061"/>
              </w:tabs>
              <w:kinsoku/>
              <w:wordWrap/>
              <w:overflowPunct/>
              <w:topLinePunct w:val="0"/>
              <w:bidi w:val="0"/>
              <w:spacing w:beforeAutospacing="0" w:afterAutospacing="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调查全面，背景、现状分析有针对性的得</w:t>
            </w:r>
            <w:r>
              <w:rPr>
                <w:rFonts w:hint="eastAsia" w:ascii="宋体" w:hAnsi="宋体" w:eastAsia="宋体" w:cs="宋体"/>
                <w:color w:val="auto"/>
                <w:sz w:val="21"/>
                <w:szCs w:val="21"/>
                <w:highlight w:val="none"/>
                <w:lang w:val="en-US" w:eastAsia="zh-CN"/>
              </w:rPr>
              <w:t>3.0-5.0</w:t>
            </w:r>
            <w:r>
              <w:rPr>
                <w:rFonts w:hint="eastAsia" w:ascii="宋体" w:hAnsi="宋体" w:eastAsia="宋体" w:cs="宋体"/>
                <w:color w:val="auto"/>
                <w:sz w:val="21"/>
                <w:szCs w:val="21"/>
                <w:highlight w:val="none"/>
              </w:rPr>
              <w:t>分；</w:t>
            </w:r>
          </w:p>
          <w:p>
            <w:pPr>
              <w:keepNext w:val="0"/>
              <w:keepLines w:val="0"/>
              <w:pageBreakBefore w:val="0"/>
              <w:tabs>
                <w:tab w:val="left" w:pos="2061"/>
              </w:tabs>
              <w:kinsoku/>
              <w:wordWrap/>
              <w:overflowPunct/>
              <w:topLinePunct w:val="0"/>
              <w:bidi w:val="0"/>
              <w:spacing w:beforeAutospacing="0" w:afterAutospacing="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调查分析片面有欠缺的得</w:t>
            </w:r>
            <w:r>
              <w:rPr>
                <w:rFonts w:hint="eastAsia" w:ascii="宋体" w:hAnsi="宋体" w:eastAsia="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p>
          <w:p>
            <w:pPr>
              <w:keepNext w:val="0"/>
              <w:keepLines w:val="0"/>
              <w:pageBreakBefore w:val="0"/>
              <w:tabs>
                <w:tab w:val="left" w:pos="2061"/>
              </w:tabs>
              <w:kinsoku/>
              <w:wordWrap/>
              <w:overflowPunct/>
              <w:topLinePunct w:val="0"/>
              <w:bidi w:val="0"/>
              <w:spacing w:beforeAutospacing="0" w:afterAutospacing="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22"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22"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jc w:val="center"/>
              <w:rPr>
                <w:rFonts w:hint="eastAsia" w:ascii="宋体" w:hAnsi="宋体" w:eastAsia="宋体" w:cs="宋体"/>
                <w:color w:val="auto"/>
                <w:sz w:val="21"/>
                <w:szCs w:val="21"/>
                <w:highlight w:val="none"/>
                <w:lang w:val="en-US" w:eastAsia="zh-CN"/>
              </w:rPr>
            </w:pPr>
          </w:p>
        </w:tc>
        <w:tc>
          <w:tcPr>
            <w:tcW w:w="622"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66" w:hRule="atLeast"/>
          <w:jc w:val="center"/>
        </w:trPr>
        <w:tc>
          <w:tcPr>
            <w:tcW w:w="724" w:type="dxa"/>
            <w:vMerge w:val="continue"/>
            <w:vAlign w:val="center"/>
          </w:tcPr>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rPr>
            </w:pPr>
          </w:p>
        </w:tc>
        <w:tc>
          <w:tcPr>
            <w:tcW w:w="973" w:type="dxa"/>
            <w:vMerge w:val="restart"/>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项目方案</w:t>
            </w:r>
          </w:p>
        </w:tc>
        <w:tc>
          <w:tcPr>
            <w:tcW w:w="5935" w:type="dxa"/>
            <w:vAlign w:val="center"/>
          </w:tcPr>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工作思路和技术方案：</w:t>
            </w:r>
          </w:p>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color w:val="auto"/>
                <w:sz w:val="21"/>
                <w:szCs w:val="21"/>
                <w:highlight w:val="none"/>
              </w:rPr>
              <w:t>投标人针对</w:t>
            </w:r>
            <w:r>
              <w:rPr>
                <w:rFonts w:hint="eastAsia" w:ascii="宋体" w:hAnsi="宋体" w:eastAsia="宋体" w:cs="宋体"/>
                <w:b w:val="0"/>
                <w:color w:val="auto"/>
                <w:sz w:val="21"/>
                <w:szCs w:val="21"/>
                <w:highlight w:val="none"/>
                <w:lang w:val="en-US" w:eastAsia="zh-CN"/>
              </w:rPr>
              <w:t>本次</w:t>
            </w:r>
            <w:r>
              <w:rPr>
                <w:rFonts w:hint="eastAsia" w:ascii="宋体" w:hAnsi="宋体" w:eastAsia="宋体" w:cs="宋体"/>
                <w:color w:val="auto"/>
                <w:szCs w:val="21"/>
                <w:highlight w:val="none"/>
                <w:lang w:val="en-US" w:eastAsia="zh-CN"/>
              </w:rPr>
              <w:t>报告咨询论证</w:t>
            </w:r>
            <w:r>
              <w:rPr>
                <w:rFonts w:hint="eastAsia" w:ascii="宋体" w:hAnsi="宋体" w:eastAsia="宋体" w:cs="宋体"/>
                <w:color w:val="auto"/>
                <w:szCs w:val="21"/>
                <w:highlight w:val="none"/>
              </w:rPr>
              <w:t>的总体思路</w:t>
            </w:r>
            <w:r>
              <w:rPr>
                <w:rFonts w:hint="eastAsia" w:ascii="宋体" w:hAnsi="宋体" w:eastAsia="宋体" w:cs="宋体"/>
                <w:color w:val="auto"/>
                <w:szCs w:val="21"/>
                <w:highlight w:val="none"/>
                <w:lang w:eastAsia="zh-CN"/>
              </w:rPr>
              <w:t>、</w:t>
            </w:r>
            <w:r>
              <w:rPr>
                <w:rFonts w:hint="eastAsia" w:ascii="宋体" w:hAnsi="宋体" w:eastAsia="宋体" w:cs="宋体"/>
                <w:b w:val="0"/>
                <w:color w:val="auto"/>
                <w:sz w:val="21"/>
                <w:szCs w:val="21"/>
                <w:highlight w:val="none"/>
                <w:lang w:val="en-US" w:eastAsia="zh-CN"/>
              </w:rPr>
              <w:t>目标定位、</w:t>
            </w:r>
            <w:r>
              <w:rPr>
                <w:rFonts w:hint="eastAsia" w:ascii="宋体" w:hAnsi="宋体" w:eastAsia="宋体" w:cs="宋体"/>
                <w:b w:val="0"/>
                <w:color w:val="auto"/>
                <w:sz w:val="21"/>
                <w:szCs w:val="21"/>
                <w:highlight w:val="none"/>
              </w:rPr>
              <w:t>工作方法</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以及</w:t>
            </w:r>
            <w:r>
              <w:rPr>
                <w:rFonts w:hint="eastAsia" w:ascii="宋体" w:hAnsi="宋体" w:eastAsia="宋体" w:cs="宋体"/>
                <w:color w:val="auto"/>
                <w:highlight w:val="none"/>
                <w:lang w:val="en-US" w:eastAsia="zh-CN"/>
              </w:rPr>
              <w:t>对</w:t>
            </w:r>
            <w:r>
              <w:rPr>
                <w:rFonts w:hint="eastAsia" w:ascii="宋体" w:hAnsi="宋体" w:eastAsia="宋体" w:cs="宋体"/>
                <w:b w:val="0"/>
                <w:color w:val="auto"/>
                <w:sz w:val="21"/>
                <w:szCs w:val="21"/>
                <w:highlight w:val="none"/>
                <w:lang w:val="en-US" w:eastAsia="zh-CN"/>
              </w:rPr>
              <w:t>具体</w:t>
            </w:r>
            <w:r>
              <w:rPr>
                <w:rFonts w:hint="eastAsia" w:ascii="宋体" w:hAnsi="宋体" w:eastAsia="宋体" w:cs="宋体"/>
                <w:b w:val="0"/>
                <w:color w:val="auto"/>
                <w:sz w:val="21"/>
                <w:szCs w:val="21"/>
                <w:highlight w:val="none"/>
              </w:rPr>
              <w:t>技术</w:t>
            </w:r>
            <w:r>
              <w:rPr>
                <w:rFonts w:hint="eastAsia" w:ascii="宋体" w:hAnsi="宋体" w:eastAsia="宋体" w:cs="宋体"/>
                <w:b w:val="0"/>
                <w:color w:val="auto"/>
                <w:sz w:val="21"/>
                <w:szCs w:val="21"/>
                <w:highlight w:val="none"/>
                <w:lang w:val="en-US" w:eastAsia="zh-CN"/>
              </w:rPr>
              <w:t>方案和技术</w:t>
            </w:r>
            <w:r>
              <w:rPr>
                <w:rFonts w:hint="eastAsia" w:ascii="宋体" w:hAnsi="宋体" w:eastAsia="宋体" w:cs="宋体"/>
                <w:b w:val="0"/>
                <w:color w:val="auto"/>
                <w:sz w:val="21"/>
                <w:szCs w:val="21"/>
                <w:highlight w:val="none"/>
              </w:rPr>
              <w:t>路线</w:t>
            </w:r>
            <w:r>
              <w:rPr>
                <w:rFonts w:hint="eastAsia" w:ascii="宋体" w:hAnsi="宋体" w:eastAsia="宋体" w:cs="宋体"/>
                <w:b w:val="0"/>
                <w:color w:val="auto"/>
                <w:sz w:val="21"/>
                <w:szCs w:val="21"/>
                <w:highlight w:val="none"/>
                <w:lang w:val="en-US" w:eastAsia="zh-CN"/>
              </w:rPr>
              <w:t>的阐述情况进行打分。</w:t>
            </w:r>
          </w:p>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工作方法科学、</w:t>
            </w:r>
            <w:r>
              <w:rPr>
                <w:rFonts w:hint="eastAsia" w:ascii="宋体" w:hAnsi="宋体" w:eastAsia="宋体" w:cs="宋体"/>
                <w:b w:val="0"/>
                <w:bCs w:val="0"/>
                <w:color w:val="auto"/>
                <w:sz w:val="21"/>
                <w:szCs w:val="21"/>
                <w:highlight w:val="none"/>
                <w:lang w:eastAsia="zh-CN"/>
              </w:rPr>
              <w:t>总体思路</w:t>
            </w:r>
            <w:r>
              <w:rPr>
                <w:rFonts w:hint="eastAsia" w:ascii="宋体" w:hAnsi="宋体" w:eastAsia="宋体" w:cs="宋体"/>
                <w:b w:val="0"/>
                <w:bCs w:val="0"/>
                <w:color w:val="auto"/>
                <w:sz w:val="21"/>
                <w:szCs w:val="21"/>
                <w:highlight w:val="none"/>
                <w:lang w:val="en-US" w:eastAsia="zh-CN"/>
              </w:rPr>
              <w:t>明确的</w:t>
            </w:r>
            <w:r>
              <w:rPr>
                <w:rFonts w:hint="eastAsia" w:ascii="宋体" w:hAnsi="宋体" w:eastAsia="宋体" w:cs="宋体"/>
                <w:b w:val="0"/>
                <w:bCs w:val="0"/>
                <w:color w:val="auto"/>
                <w:sz w:val="21"/>
                <w:szCs w:val="21"/>
                <w:highlight w:val="none"/>
                <w:lang w:eastAsia="zh-CN"/>
              </w:rPr>
              <w:t>得</w:t>
            </w:r>
            <w:r>
              <w:rPr>
                <w:rFonts w:hint="eastAsia" w:ascii="宋体" w:hAnsi="宋体" w:eastAsia="宋体" w:cs="宋体"/>
                <w:b w:val="0"/>
                <w:color w:val="auto"/>
                <w:sz w:val="21"/>
                <w:szCs w:val="21"/>
                <w:highlight w:val="none"/>
                <w:lang w:val="en-US" w:eastAsia="zh-CN"/>
              </w:rPr>
              <w:t>3.0-5.0分</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工作方法正确、</w:t>
            </w:r>
            <w:r>
              <w:rPr>
                <w:rFonts w:hint="eastAsia" w:ascii="宋体" w:hAnsi="宋体" w:eastAsia="宋体" w:cs="宋体"/>
                <w:b w:val="0"/>
                <w:bCs w:val="0"/>
                <w:color w:val="auto"/>
                <w:sz w:val="21"/>
                <w:szCs w:val="21"/>
                <w:highlight w:val="none"/>
                <w:lang w:eastAsia="zh-CN"/>
              </w:rPr>
              <w:t>总体思路</w:t>
            </w:r>
            <w:r>
              <w:rPr>
                <w:rFonts w:hint="eastAsia" w:ascii="宋体" w:hAnsi="宋体" w:eastAsia="宋体" w:cs="宋体"/>
                <w:b w:val="0"/>
                <w:bCs w:val="0"/>
                <w:color w:val="auto"/>
                <w:sz w:val="21"/>
                <w:szCs w:val="21"/>
                <w:highlight w:val="none"/>
                <w:lang w:val="en-US" w:eastAsia="zh-CN"/>
              </w:rPr>
              <w:t>缺乏严谨性</w:t>
            </w:r>
            <w:r>
              <w:rPr>
                <w:rFonts w:hint="eastAsia" w:ascii="宋体" w:hAnsi="宋体" w:eastAsia="宋体" w:cs="宋体"/>
                <w:b w:val="0"/>
                <w:bCs w:val="0"/>
                <w:color w:val="auto"/>
                <w:sz w:val="21"/>
                <w:szCs w:val="21"/>
                <w:highlight w:val="none"/>
                <w:lang w:eastAsia="zh-CN"/>
              </w:rPr>
              <w:t>的得</w:t>
            </w:r>
            <w:r>
              <w:rPr>
                <w:rFonts w:hint="eastAsia" w:ascii="宋体" w:hAnsi="宋体" w:eastAsia="宋体" w:cs="宋体"/>
                <w:b w:val="0"/>
                <w:color w:val="auto"/>
                <w:sz w:val="21"/>
                <w:szCs w:val="21"/>
                <w:highlight w:val="none"/>
                <w:lang w:val="en-US" w:eastAsia="zh-CN"/>
              </w:rPr>
              <w:t>0.1-2.9分</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未提及此项不得分。</w:t>
            </w:r>
          </w:p>
        </w:tc>
        <w:tc>
          <w:tcPr>
            <w:tcW w:w="622"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622"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622" w:type="dxa"/>
            <w:vAlign w:val="center"/>
          </w:tcPr>
          <w:p>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66" w:hRule="atLeast"/>
          <w:jc w:val="center"/>
        </w:trPr>
        <w:tc>
          <w:tcPr>
            <w:tcW w:w="724" w:type="dxa"/>
            <w:vMerge w:val="continue"/>
            <w:vAlign w:val="center"/>
          </w:tcPr>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rPr>
            </w:pPr>
          </w:p>
        </w:tc>
        <w:tc>
          <w:tcPr>
            <w:tcW w:w="973" w:type="dxa"/>
            <w:vMerge w:val="continue"/>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5935" w:type="dxa"/>
            <w:vAlign w:val="center"/>
          </w:tcPr>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规划衔接方案：</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根据投标人对国土空间总体规划、详细规划、专项规划、城市设计等内容的规划衔接方案进行打分。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方案详细全面，能保障规划衔接顺利进行的得3.0-5.0分；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方案简单片面，基本能满足衔接要求的得0.1-2.9分；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66" w:hRule="atLeast"/>
          <w:jc w:val="center"/>
        </w:trPr>
        <w:tc>
          <w:tcPr>
            <w:tcW w:w="724" w:type="dxa"/>
            <w:vMerge w:val="continue"/>
            <w:vAlign w:val="center"/>
          </w:tcPr>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rPr>
            </w:pPr>
          </w:p>
        </w:tc>
        <w:tc>
          <w:tcPr>
            <w:tcW w:w="973" w:type="dxa"/>
            <w:vMerge w:val="continue"/>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5935" w:type="dxa"/>
            <w:vAlign w:val="center"/>
          </w:tcPr>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论证方案：</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根据投标人针对本项目提供的论证方案进行打分。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方案详细全面，项目理解准确，内容和深度符合报告编制需求的得3.0-5.0分；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方案简单片面，项目理解基本正确，内容粗略，深度不足的得0.1-2.9分；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66" w:hRule="atLeast"/>
          <w:jc w:val="center"/>
        </w:trPr>
        <w:tc>
          <w:tcPr>
            <w:tcW w:w="724" w:type="dxa"/>
            <w:vMerge w:val="continue"/>
            <w:vAlign w:val="center"/>
          </w:tcPr>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rPr>
            </w:pPr>
          </w:p>
        </w:tc>
        <w:tc>
          <w:tcPr>
            <w:tcW w:w="973" w:type="dxa"/>
            <w:vMerge w:val="continue"/>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5935" w:type="dxa"/>
            <w:vAlign w:val="center"/>
          </w:tcPr>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建设用地规划条件模拟稿设计方案：</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根据投标人</w:t>
            </w:r>
            <w:r>
              <w:rPr>
                <w:rFonts w:hint="eastAsia" w:ascii="宋体" w:hAnsi="宋体" w:eastAsia="宋体" w:cs="宋体"/>
                <w:color w:val="auto"/>
                <w:sz w:val="21"/>
                <w:szCs w:val="21"/>
                <w:highlight w:val="none"/>
                <w:lang w:val="en-US" w:eastAsia="zh-CN"/>
              </w:rPr>
              <w:t>针对本项目提供</w:t>
            </w:r>
            <w:r>
              <w:rPr>
                <w:rFonts w:hint="eastAsia" w:ascii="宋体" w:hAnsi="宋体" w:eastAsia="宋体" w:cs="宋体"/>
                <w:color w:val="auto"/>
                <w:szCs w:val="28"/>
                <w:highlight w:val="none"/>
                <w:lang w:val="en-US" w:eastAsia="zh-CN"/>
              </w:rPr>
              <w:t>的建设用地规划条件模拟稿设计方案进行打分。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方案详细完善，总体思路明确，对本项目有针对性的得3.0-5.0分；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lang w:val="en-US" w:eastAsia="zh-CN"/>
              </w:rPr>
              <w:t>方案简单，总体思路基本正确，缺乏针对性的得0.1-2.9分；</w:t>
            </w:r>
          </w:p>
          <w:p>
            <w:pPr>
              <w:keepNext w:val="0"/>
              <w:keepLines w:val="0"/>
              <w:pageBreakBefore w:val="0"/>
              <w:widowControl/>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8"/>
                <w:highlight w:val="none"/>
                <w:lang w:val="en-US" w:eastAsia="zh-CN"/>
              </w:rPr>
              <w:t>未提及此项不得分。</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5" w:hRule="atLeast"/>
          <w:jc w:val="center"/>
        </w:trPr>
        <w:tc>
          <w:tcPr>
            <w:tcW w:w="724"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973" w:type="dxa"/>
            <w:vMerge w:val="continue"/>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5935" w:type="dxa"/>
            <w:vAlign w:val="center"/>
          </w:tcPr>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验收方案：</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根据投标人对本项目报告编制、模拟稿设计后的验收方案进行打分。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方案全面合理，对本项目有针对性和可行性的得3.0-5.0分；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方案简单片面，缺乏对本项目的针对性和可行性的得0.1-2.9分；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66" w:hRule="atLeast"/>
          <w:jc w:val="center"/>
        </w:trPr>
        <w:tc>
          <w:tcPr>
            <w:tcW w:w="724"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973" w:type="dxa"/>
            <w:vMerge w:val="continue"/>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5935" w:type="dxa"/>
            <w:vAlign w:val="center"/>
          </w:tcPr>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后续服务方案：</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根据投标人针对本项目提供的后续服务方案进行打分。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方案全面详细，能保证咨询论证方案出具后，后续调整服务及时到位的得3.0-5.0分；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方案简单片面，基本能维持后续调整服务的得0.1-2.9分；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5" w:hRule="atLeast"/>
          <w:jc w:val="center"/>
        </w:trPr>
        <w:tc>
          <w:tcPr>
            <w:tcW w:w="724"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973" w:type="dxa"/>
            <w:vAlign w:val="center"/>
          </w:tcPr>
          <w:p>
            <w:pPr>
              <w:keepNext w:val="0"/>
              <w:keepLines w:val="0"/>
              <w:pageBreakBefore w:val="0"/>
              <w:kinsoku/>
              <w:wordWrap/>
              <w:topLinePunct w:val="0"/>
              <w:bidi w:val="0"/>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质量管控</w:t>
            </w:r>
          </w:p>
        </w:tc>
        <w:tc>
          <w:tcPr>
            <w:tcW w:w="5935" w:type="dxa"/>
            <w:vAlign w:val="center"/>
          </w:tcPr>
          <w:p>
            <w:pPr>
              <w:keepNext w:val="0"/>
              <w:keepLines w:val="0"/>
              <w:pageBreakBefore w:val="0"/>
              <w:tabs>
                <w:tab w:val="left" w:pos="780"/>
              </w:tabs>
              <w:kinsoku/>
              <w:wordWrap/>
              <w:topLinePunct w:val="0"/>
              <w:autoSpaceDE w:val="0"/>
              <w:autoSpaceDN w:val="0"/>
              <w:bidi w:val="0"/>
              <w:adjustRightInd w:val="0"/>
              <w:spacing w:line="24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根据投标人</w:t>
            </w:r>
            <w:r>
              <w:rPr>
                <w:rFonts w:hint="eastAsia" w:ascii="宋体" w:hAnsi="宋体" w:eastAsia="宋体" w:cs="宋体"/>
                <w:color w:val="auto"/>
                <w:highlight w:val="none"/>
                <w:lang w:val="en-US" w:eastAsia="zh-CN"/>
              </w:rPr>
              <w:t>对咨询论证工作中的管理规范、内控制度、质量管控</w:t>
            </w:r>
            <w:r>
              <w:rPr>
                <w:rFonts w:hint="eastAsia" w:ascii="宋体" w:hAnsi="宋体" w:eastAsia="宋体" w:cs="宋体"/>
                <w:color w:val="auto"/>
                <w:highlight w:val="none"/>
              </w:rPr>
              <w:t>措施</w:t>
            </w:r>
            <w:r>
              <w:rPr>
                <w:rFonts w:hint="eastAsia" w:ascii="宋体" w:hAnsi="宋体" w:eastAsia="宋体" w:cs="宋体"/>
                <w:color w:val="auto"/>
                <w:highlight w:val="none"/>
                <w:lang w:val="en-US" w:eastAsia="zh-CN"/>
              </w:rPr>
              <w:t>进行打分。</w:t>
            </w:r>
          </w:p>
          <w:p>
            <w:pPr>
              <w:keepNext w:val="0"/>
              <w:keepLines w:val="0"/>
              <w:pageBreakBefore w:val="0"/>
              <w:tabs>
                <w:tab w:val="left" w:pos="780"/>
              </w:tabs>
              <w:kinsoku/>
              <w:wordWrap/>
              <w:topLinePunct w:val="0"/>
              <w:autoSpaceDE w:val="0"/>
              <w:autoSpaceDN w:val="0"/>
              <w:bidi w:val="0"/>
              <w:adjustRightInd w:val="0"/>
              <w:spacing w:line="240" w:lineRule="auto"/>
              <w:jc w:val="left"/>
              <w:textAlignment w:val="auto"/>
              <w:rPr>
                <w:rFonts w:hint="eastAsia" w:ascii="宋体" w:hAnsi="宋体" w:eastAsia="宋体" w:cs="宋体"/>
                <w:b w:val="0"/>
                <w:color w:val="auto"/>
                <w:sz w:val="21"/>
                <w:szCs w:val="20"/>
                <w:highlight w:val="none"/>
              </w:rPr>
            </w:pPr>
            <w:r>
              <w:rPr>
                <w:rFonts w:hint="eastAsia" w:ascii="宋体" w:hAnsi="宋体" w:eastAsia="宋体" w:cs="宋体"/>
                <w:color w:val="auto"/>
                <w:highlight w:val="none"/>
                <w:lang w:val="en-US" w:eastAsia="zh-CN"/>
              </w:rPr>
              <w:t>质控方案全面，合理有保障</w:t>
            </w:r>
            <w:r>
              <w:rPr>
                <w:rFonts w:hint="eastAsia" w:ascii="宋体" w:hAnsi="宋体" w:eastAsia="宋体" w:cs="宋体"/>
                <w:color w:val="auto"/>
                <w:sz w:val="21"/>
                <w:szCs w:val="21"/>
                <w:highlight w:val="none"/>
                <w:lang w:val="en-US" w:eastAsia="zh-CN"/>
              </w:rPr>
              <w:t>的得</w:t>
            </w:r>
            <w:r>
              <w:rPr>
                <w:rFonts w:hint="eastAsia" w:ascii="宋体" w:hAnsi="宋体" w:eastAsia="宋体" w:cs="宋体"/>
                <w:b w:val="0"/>
                <w:color w:val="auto"/>
                <w:sz w:val="21"/>
                <w:szCs w:val="21"/>
                <w:highlight w:val="none"/>
                <w:lang w:val="en-US" w:eastAsia="zh-CN"/>
              </w:rPr>
              <w:t>3.0-5.0分</w:t>
            </w:r>
            <w:r>
              <w:rPr>
                <w:rFonts w:hint="eastAsia" w:ascii="宋体" w:hAnsi="宋体" w:eastAsia="宋体" w:cs="宋体"/>
                <w:b w:val="0"/>
                <w:color w:val="auto"/>
                <w:sz w:val="21"/>
                <w:szCs w:val="20"/>
                <w:highlight w:val="none"/>
              </w:rPr>
              <w:t>；</w:t>
            </w:r>
          </w:p>
          <w:p>
            <w:pPr>
              <w:keepNext w:val="0"/>
              <w:keepLines w:val="0"/>
              <w:pageBreakBefore w:val="0"/>
              <w:tabs>
                <w:tab w:val="left" w:pos="780"/>
              </w:tabs>
              <w:kinsoku/>
              <w:wordWrap/>
              <w:topLinePunct w:val="0"/>
              <w:autoSpaceDE w:val="0"/>
              <w:autoSpaceDN w:val="0"/>
              <w:bidi w:val="0"/>
              <w:adjustRightInd w:val="0"/>
              <w:spacing w:line="240" w:lineRule="auto"/>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0"/>
                <w:highlight w:val="none"/>
                <w:lang w:val="en-US" w:eastAsia="zh-CN"/>
              </w:rPr>
              <w:t>质控措施简单，缺乏有效性和针对性的得0.1-2.9</w:t>
            </w:r>
            <w:r>
              <w:rPr>
                <w:rFonts w:hint="eastAsia" w:ascii="宋体" w:hAnsi="宋体" w:eastAsia="宋体" w:cs="宋体"/>
                <w:b w:val="0"/>
                <w:color w:val="auto"/>
                <w:sz w:val="21"/>
                <w:szCs w:val="21"/>
                <w:highlight w:val="none"/>
                <w:lang w:val="en-US" w:eastAsia="zh-CN"/>
              </w:rPr>
              <w:t>分；</w:t>
            </w:r>
          </w:p>
          <w:p>
            <w:pPr>
              <w:keepNext w:val="0"/>
              <w:keepLines w:val="0"/>
              <w:pageBreakBefore w:val="0"/>
              <w:tabs>
                <w:tab w:val="left" w:pos="780"/>
              </w:tabs>
              <w:kinsoku/>
              <w:wordWrap/>
              <w:topLinePunct w:val="0"/>
              <w:autoSpaceDE w:val="0"/>
              <w:autoSpaceDN w:val="0"/>
              <w:bidi w:val="0"/>
              <w:adjustRightInd w:val="0"/>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622" w:type="dxa"/>
            <w:vAlign w:val="center"/>
          </w:tcPr>
          <w:p>
            <w:pPr>
              <w:keepNext w:val="0"/>
              <w:keepLines w:val="0"/>
              <w:pageBreakBefore w:val="0"/>
              <w:tabs>
                <w:tab w:val="left" w:pos="780"/>
              </w:tabs>
              <w:kinsoku/>
              <w:wordWrap/>
              <w:topLinePunct w:val="0"/>
              <w:autoSpaceDE w:val="0"/>
              <w:autoSpaceDN w:val="0"/>
              <w:bidi w:val="0"/>
              <w:adjustRightIn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c>
          <w:tcPr>
            <w:tcW w:w="622" w:type="dxa"/>
            <w:vAlign w:val="center"/>
          </w:tcPr>
          <w:p>
            <w:pPr>
              <w:keepNext w:val="0"/>
              <w:keepLines w:val="0"/>
              <w:pageBreakBefore w:val="0"/>
              <w:tabs>
                <w:tab w:val="left" w:pos="780"/>
              </w:tabs>
              <w:kinsoku/>
              <w:wordWrap/>
              <w:topLinePunct w:val="0"/>
              <w:autoSpaceDE w:val="0"/>
              <w:autoSpaceDN w:val="0"/>
              <w:bidi w:val="0"/>
              <w:adjustRightInd w:val="0"/>
              <w:spacing w:line="240" w:lineRule="auto"/>
              <w:jc w:val="center"/>
              <w:textAlignment w:val="auto"/>
              <w:rPr>
                <w:rFonts w:hint="eastAsia" w:ascii="宋体" w:hAnsi="宋体" w:eastAsia="宋体" w:cs="宋体"/>
                <w:b w:val="0"/>
                <w:bCs w:val="0"/>
                <w:color w:val="auto"/>
                <w:sz w:val="21"/>
                <w:szCs w:val="21"/>
                <w:highlight w:val="none"/>
                <w:lang w:val="en-US" w:eastAsia="zh-CN"/>
              </w:rPr>
            </w:pPr>
          </w:p>
        </w:tc>
        <w:tc>
          <w:tcPr>
            <w:tcW w:w="622" w:type="dxa"/>
            <w:vAlign w:val="center"/>
          </w:tcPr>
          <w:p>
            <w:pPr>
              <w:keepNext w:val="0"/>
              <w:keepLines w:val="0"/>
              <w:pageBreakBefore w:val="0"/>
              <w:tabs>
                <w:tab w:val="left" w:pos="780"/>
              </w:tabs>
              <w:kinsoku/>
              <w:wordWrap/>
              <w:topLinePunct w:val="0"/>
              <w:autoSpaceDE w:val="0"/>
              <w:autoSpaceDN w:val="0"/>
              <w:bidi w:val="0"/>
              <w:adjustRightInd w:val="0"/>
              <w:spacing w:line="240" w:lineRule="auto"/>
              <w:jc w:val="center"/>
              <w:textAlignment w:val="auto"/>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4" w:hRule="atLeast"/>
          <w:jc w:val="center"/>
        </w:trPr>
        <w:tc>
          <w:tcPr>
            <w:tcW w:w="724"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97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项目组织职责</w:t>
            </w:r>
          </w:p>
        </w:tc>
        <w:tc>
          <w:tcPr>
            <w:tcW w:w="5935" w:type="dxa"/>
            <w:vAlign w:val="center"/>
          </w:tcPr>
          <w:p>
            <w:pPr>
              <w:keepNext w:val="0"/>
              <w:keepLines w:val="0"/>
              <w:pageBreakBefore w:val="0"/>
              <w:tabs>
                <w:tab w:val="left" w:pos="2061"/>
              </w:tabs>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根据投标人的项目组织职责分配方案进行打分。</w:t>
            </w:r>
          </w:p>
          <w:p>
            <w:pPr>
              <w:keepNext w:val="0"/>
              <w:keepLines w:val="0"/>
              <w:pageBreakBefore w:val="0"/>
              <w:tabs>
                <w:tab w:val="left" w:pos="2061"/>
              </w:tabs>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职责描述和任务划分详尽、明确的得3.0-5.0分；</w:t>
            </w:r>
          </w:p>
          <w:p>
            <w:pPr>
              <w:keepNext w:val="0"/>
              <w:keepLines w:val="0"/>
              <w:pageBreakBefore w:val="0"/>
              <w:tabs>
                <w:tab w:val="left" w:pos="2061"/>
              </w:tabs>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职责描述和任务划分简单模糊的得0.1-2.9分；</w:t>
            </w:r>
          </w:p>
          <w:p>
            <w:pPr>
              <w:keepNext w:val="0"/>
              <w:keepLines w:val="0"/>
              <w:pageBreakBefore w:val="0"/>
              <w:tabs>
                <w:tab w:val="left" w:pos="2061"/>
              </w:tabs>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22"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22"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jc w:val="center"/>
              <w:rPr>
                <w:rFonts w:hint="eastAsia" w:ascii="宋体" w:hAnsi="宋体" w:eastAsia="宋体" w:cs="宋体"/>
                <w:color w:val="auto"/>
                <w:sz w:val="21"/>
                <w:szCs w:val="21"/>
                <w:highlight w:val="none"/>
              </w:rPr>
            </w:pPr>
          </w:p>
        </w:tc>
        <w:tc>
          <w:tcPr>
            <w:tcW w:w="622"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1" w:hRule="atLeast"/>
          <w:jc w:val="center"/>
        </w:trPr>
        <w:tc>
          <w:tcPr>
            <w:tcW w:w="724"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973" w:type="dxa"/>
            <w:vAlign w:val="center"/>
          </w:tcPr>
          <w:p>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snapToGrid w:val="0"/>
                <w:color w:val="auto"/>
                <w:kern w:val="0"/>
                <w:sz w:val="21"/>
                <w:szCs w:val="21"/>
                <w:highlight w:val="none"/>
                <w:lang w:val="en-US" w:eastAsia="zh-CN"/>
              </w:rPr>
              <w:t>编制方案</w:t>
            </w:r>
          </w:p>
        </w:tc>
        <w:tc>
          <w:tcPr>
            <w:tcW w:w="5935" w:type="dxa"/>
            <w:vAlign w:val="center"/>
          </w:tcPr>
          <w:p>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snapToGrid w:val="0"/>
                <w:color w:val="auto"/>
                <w:kern w:val="0"/>
                <w:sz w:val="21"/>
                <w:szCs w:val="21"/>
                <w:highlight w:val="none"/>
                <w:lang w:val="en-US" w:eastAsia="zh-CN"/>
              </w:rPr>
              <w:t>根据投标人提供的项目成果</w:t>
            </w:r>
            <w:r>
              <w:rPr>
                <w:rFonts w:hint="eastAsia" w:ascii="宋体" w:hAnsi="宋体" w:eastAsia="宋体" w:cs="宋体"/>
                <w:color w:val="auto"/>
                <w:sz w:val="21"/>
                <w:szCs w:val="21"/>
                <w:highlight w:val="none"/>
                <w:lang w:val="en-US" w:eastAsia="zh-CN"/>
              </w:rPr>
              <w:t>编制方案进行打分。</w:t>
            </w:r>
          </w:p>
          <w:p>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编制方案科学合理，框架清晰，且对本项目有针对性的得3.0-5.0分；</w:t>
            </w:r>
          </w:p>
          <w:p>
            <w:pPr>
              <w:keepNext w:val="0"/>
              <w:keepLines w:val="0"/>
              <w:pageBreakBefore w:val="0"/>
              <w:kinsoku/>
              <w:wordWrap/>
              <w:overflowPunct/>
              <w:topLinePunct w:val="0"/>
              <w:bidi w:val="0"/>
              <w:adjustRightInd w:val="0"/>
              <w:snapToGrid w:val="0"/>
              <w:spacing w:beforeAutospacing="0" w:afterAutospacing="0" w:line="240" w:lineRule="auto"/>
              <w:ind w:lef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编制方案缺乏科学性和合理性，缺乏对本项目的针对性的得0.1-2.9分；</w:t>
            </w:r>
          </w:p>
          <w:p>
            <w:pPr>
              <w:keepNext w:val="0"/>
              <w:keepLines w:val="0"/>
              <w:pageBreakBefore w:val="0"/>
              <w:kinsoku/>
              <w:wordWrap/>
              <w:overflowPunct/>
              <w:topLinePunct w:val="0"/>
              <w:bidi w:val="0"/>
              <w:adjustRightInd w:val="0"/>
              <w:snapToGri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622" w:type="dxa"/>
            <w:vAlign w:val="center"/>
          </w:tcPr>
          <w:p>
            <w:pPr>
              <w:pStyle w:val="3"/>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5</w:t>
            </w:r>
          </w:p>
        </w:tc>
        <w:tc>
          <w:tcPr>
            <w:tcW w:w="622" w:type="dxa"/>
            <w:vAlign w:val="center"/>
          </w:tcPr>
          <w:p>
            <w:pPr>
              <w:pStyle w:val="3"/>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color w:val="auto"/>
                <w:sz w:val="21"/>
                <w:szCs w:val="21"/>
                <w:highlight w:val="none"/>
                <w:lang w:val="en-US" w:eastAsia="zh-CN"/>
              </w:rPr>
            </w:pPr>
          </w:p>
        </w:tc>
        <w:tc>
          <w:tcPr>
            <w:tcW w:w="622" w:type="dxa"/>
            <w:vAlign w:val="center"/>
          </w:tcPr>
          <w:p>
            <w:pPr>
              <w:pStyle w:val="3"/>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5" w:hRule="atLeast"/>
          <w:jc w:val="center"/>
        </w:trPr>
        <w:tc>
          <w:tcPr>
            <w:tcW w:w="724"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973" w:type="dxa"/>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保密措施</w:t>
            </w:r>
          </w:p>
        </w:tc>
        <w:tc>
          <w:tcPr>
            <w:tcW w:w="5935" w:type="dxa"/>
            <w:vAlign w:val="center"/>
          </w:tcPr>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根据投标人</w:t>
            </w:r>
            <w:r>
              <w:rPr>
                <w:rFonts w:hint="eastAsia" w:ascii="宋体" w:hAnsi="宋体" w:eastAsia="宋体" w:cs="宋体"/>
                <w:color w:val="auto"/>
                <w:highlight w:val="none"/>
                <w:lang w:val="en-US" w:eastAsia="zh-CN"/>
              </w:rPr>
              <w:t>在方案编制过程中形成的资料、数据、材料、报告等的信息安全、资料保密，以及后续服务等环节的保密措施进行打分。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保密措施科学合理，</w:t>
            </w:r>
            <w:r>
              <w:rPr>
                <w:rFonts w:hint="eastAsia" w:ascii="宋体" w:hAnsi="宋体" w:eastAsia="宋体" w:cs="宋体"/>
                <w:color w:val="auto"/>
                <w:szCs w:val="21"/>
                <w:highlight w:val="none"/>
              </w:rPr>
              <w:t>方案详尽</w:t>
            </w:r>
            <w:r>
              <w:rPr>
                <w:rFonts w:hint="eastAsia" w:ascii="宋体" w:hAnsi="宋体" w:eastAsia="宋体" w:cs="宋体"/>
                <w:color w:val="auto"/>
                <w:highlight w:val="none"/>
                <w:lang w:val="en-US" w:eastAsia="zh-CN"/>
              </w:rPr>
              <w:t>的</w:t>
            </w:r>
            <w:r>
              <w:rPr>
                <w:rFonts w:hint="eastAsia" w:ascii="宋体" w:hAnsi="宋体" w:eastAsia="宋体" w:cs="宋体"/>
                <w:color w:val="auto"/>
                <w:spacing w:val="-4"/>
                <w:sz w:val="21"/>
                <w:szCs w:val="21"/>
                <w:highlight w:val="none"/>
                <w:lang w:val="en-US" w:eastAsia="zh-CN"/>
              </w:rPr>
              <w:t>得3.0-5.0</w:t>
            </w:r>
            <w:r>
              <w:rPr>
                <w:rFonts w:hint="eastAsia" w:ascii="宋体" w:hAnsi="宋体" w:eastAsia="宋体" w:cs="宋体"/>
                <w:color w:val="auto"/>
                <w:highlight w:val="none"/>
                <w:lang w:val="en-US" w:eastAsia="zh-CN"/>
              </w:rPr>
              <w:t>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保密措施粗糙、不合理的得0.1-2.9分；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未提及此项不得分。</w:t>
            </w:r>
          </w:p>
        </w:tc>
        <w:tc>
          <w:tcPr>
            <w:tcW w:w="622" w:type="dxa"/>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622" w:type="dxa"/>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rPr>
            </w:pPr>
          </w:p>
        </w:tc>
        <w:tc>
          <w:tcPr>
            <w:tcW w:w="622" w:type="dxa"/>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5" w:hRule="atLeast"/>
          <w:jc w:val="center"/>
        </w:trPr>
        <w:tc>
          <w:tcPr>
            <w:tcW w:w="724"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973" w:type="dxa"/>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应急预案</w:t>
            </w:r>
          </w:p>
        </w:tc>
        <w:tc>
          <w:tcPr>
            <w:tcW w:w="5935" w:type="dxa"/>
            <w:vAlign w:val="center"/>
          </w:tcPr>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rPr>
              <w:t>针对后续实际项目实施中可能遇到的紧急事件、异常处理等应急预案和对应的解决措施情况</w:t>
            </w:r>
            <w:r>
              <w:rPr>
                <w:rFonts w:hint="eastAsia" w:ascii="宋体" w:hAnsi="宋体" w:eastAsia="宋体" w:cs="宋体"/>
                <w:color w:val="auto"/>
                <w:spacing w:val="-4"/>
                <w:sz w:val="21"/>
                <w:szCs w:val="21"/>
                <w:highlight w:val="none"/>
                <w:lang w:eastAsia="zh-CN"/>
              </w:rPr>
              <w:t>进行打分。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提出的应急措施科学</w:t>
            </w:r>
            <w:r>
              <w:rPr>
                <w:rFonts w:hint="eastAsia" w:ascii="宋体" w:hAnsi="宋体" w:eastAsia="宋体" w:cs="宋体"/>
                <w:color w:val="auto"/>
                <w:sz w:val="21"/>
                <w:szCs w:val="21"/>
                <w:highlight w:val="none"/>
              </w:rPr>
              <w:t>可行的得</w:t>
            </w:r>
            <w:r>
              <w:rPr>
                <w:rFonts w:hint="eastAsia" w:ascii="宋体" w:hAnsi="宋体" w:eastAsia="宋体" w:cs="宋体"/>
                <w:color w:val="auto"/>
                <w:sz w:val="21"/>
                <w:szCs w:val="21"/>
                <w:highlight w:val="none"/>
                <w:lang w:val="en-US" w:eastAsia="zh-CN"/>
              </w:rPr>
              <w:t>3.0-5.0</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rPr>
              <w:t>提出的应急措施</w:t>
            </w:r>
            <w:r>
              <w:rPr>
                <w:rFonts w:hint="eastAsia" w:ascii="宋体" w:hAnsi="宋体" w:eastAsia="宋体" w:cs="宋体"/>
                <w:color w:val="auto"/>
                <w:sz w:val="21"/>
                <w:szCs w:val="21"/>
                <w:highlight w:val="none"/>
              </w:rPr>
              <w:t>缺乏针对性和有效性的得</w:t>
            </w:r>
            <w:r>
              <w:rPr>
                <w:rFonts w:hint="eastAsia" w:ascii="宋体" w:hAnsi="宋体" w:eastAsia="宋体" w:cs="宋体"/>
                <w:color w:val="auto"/>
                <w:sz w:val="21"/>
                <w:szCs w:val="21"/>
                <w:highlight w:val="none"/>
                <w:lang w:val="en-US" w:eastAsia="zh-CN"/>
              </w:rPr>
              <w:t>0.1-2.9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spacing w:beforeAutospacing="0" w:afterAutospacing="0" w:line="240" w:lineRule="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rPr>
              <w:t>未提及此项不得分。</w:t>
            </w:r>
          </w:p>
        </w:tc>
        <w:tc>
          <w:tcPr>
            <w:tcW w:w="622" w:type="dxa"/>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5</w:t>
            </w:r>
          </w:p>
        </w:tc>
        <w:tc>
          <w:tcPr>
            <w:tcW w:w="622" w:type="dxa"/>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pacing w:val="-4"/>
                <w:sz w:val="21"/>
                <w:szCs w:val="21"/>
                <w:highlight w:val="none"/>
              </w:rPr>
            </w:pPr>
          </w:p>
        </w:tc>
        <w:tc>
          <w:tcPr>
            <w:tcW w:w="622" w:type="dxa"/>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pacing w:val="-4"/>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5" w:hRule="atLeast"/>
          <w:jc w:val="center"/>
        </w:trPr>
        <w:tc>
          <w:tcPr>
            <w:tcW w:w="724" w:type="dxa"/>
            <w:vMerge w:val="continue"/>
            <w:vAlign w:val="center"/>
          </w:tcPr>
          <w:p>
            <w:pPr>
              <w:keepNext w:val="0"/>
              <w:keepLines w:val="0"/>
              <w:pageBreakBefore w:val="0"/>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rPr>
            </w:pPr>
          </w:p>
        </w:tc>
        <w:tc>
          <w:tcPr>
            <w:tcW w:w="973"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合理化建议</w:t>
            </w:r>
          </w:p>
        </w:tc>
        <w:tc>
          <w:tcPr>
            <w:tcW w:w="5935" w:type="dxa"/>
            <w:vAlign w:val="center"/>
          </w:tcPr>
          <w:p>
            <w:pPr>
              <w:keepNext w:val="0"/>
              <w:keepLines w:val="0"/>
              <w:pageBreakBefore w:val="0"/>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根据投标人依据本项目服务要求、实际作业需求提出的合理化建议</w:t>
            </w:r>
            <w:r>
              <w:rPr>
                <w:rFonts w:hint="eastAsia" w:ascii="宋体" w:hAnsi="宋体" w:eastAsia="宋体" w:cs="宋体"/>
                <w:b w:val="0"/>
                <w:bCs w:val="0"/>
                <w:color w:val="auto"/>
                <w:sz w:val="21"/>
                <w:szCs w:val="21"/>
                <w:highlight w:val="none"/>
                <w:lang w:val="en-US" w:eastAsia="zh-CN"/>
              </w:rPr>
              <w:t>进行打分。</w:t>
            </w:r>
          </w:p>
          <w:p>
            <w:pPr>
              <w:keepNext w:val="0"/>
              <w:keepLines w:val="0"/>
              <w:pageBreakBefore w:val="0"/>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bCs w:val="0"/>
                <w:color w:val="auto"/>
                <w:sz w:val="21"/>
                <w:szCs w:val="21"/>
                <w:highlight w:val="none"/>
                <w:lang w:val="en-US" w:eastAsia="zh-CN"/>
              </w:rPr>
              <w:t>有实质性意义且对项目改进</w:t>
            </w:r>
            <w:r>
              <w:rPr>
                <w:rFonts w:hint="eastAsia" w:ascii="宋体" w:hAnsi="宋体" w:eastAsia="宋体" w:cs="宋体"/>
                <w:b w:val="0"/>
                <w:bCs w:val="0"/>
                <w:color w:val="auto"/>
                <w:sz w:val="21"/>
                <w:szCs w:val="21"/>
                <w:highlight w:val="none"/>
              </w:rPr>
              <w:t>有所帮助</w:t>
            </w:r>
            <w:r>
              <w:rPr>
                <w:rFonts w:hint="eastAsia" w:ascii="宋体" w:hAnsi="宋体" w:eastAsia="宋体" w:cs="宋体"/>
                <w:color w:val="auto"/>
                <w:sz w:val="21"/>
                <w:szCs w:val="21"/>
                <w:highlight w:val="none"/>
                <w:lang w:val="en-US" w:eastAsia="zh-CN"/>
              </w:rPr>
              <w:t>的得3.0-5.0</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b w:val="0"/>
                <w:color w:val="auto"/>
                <w:sz w:val="21"/>
                <w:szCs w:val="21"/>
                <w:highlight w:val="none"/>
              </w:rPr>
              <w:t>；</w:t>
            </w:r>
          </w:p>
          <w:p>
            <w:pPr>
              <w:keepNext w:val="0"/>
              <w:keepLines w:val="0"/>
              <w:pageBreakBefore w:val="0"/>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val="0"/>
                <w:color w:val="auto"/>
                <w:sz w:val="21"/>
                <w:szCs w:val="21"/>
                <w:highlight w:val="none"/>
              </w:rPr>
              <w:t>可实现性</w:t>
            </w:r>
            <w:r>
              <w:rPr>
                <w:rFonts w:hint="eastAsia" w:ascii="宋体" w:hAnsi="宋体" w:eastAsia="宋体" w:cs="宋体"/>
                <w:b w:val="0"/>
                <w:bCs w:val="0"/>
                <w:color w:val="auto"/>
                <w:sz w:val="21"/>
                <w:szCs w:val="21"/>
                <w:highlight w:val="none"/>
                <w:lang w:val="en-US" w:eastAsia="zh-CN"/>
              </w:rPr>
              <w:t>较差和几乎</w:t>
            </w:r>
            <w:r>
              <w:rPr>
                <w:rFonts w:hint="eastAsia" w:ascii="宋体" w:hAnsi="宋体" w:eastAsia="宋体" w:cs="宋体"/>
                <w:b w:val="0"/>
                <w:bCs w:val="0"/>
                <w:color w:val="auto"/>
                <w:sz w:val="21"/>
                <w:szCs w:val="21"/>
                <w:highlight w:val="none"/>
              </w:rPr>
              <w:t>对本项目的开展</w:t>
            </w:r>
            <w:r>
              <w:rPr>
                <w:rFonts w:hint="eastAsia" w:ascii="宋体" w:hAnsi="宋体" w:eastAsia="宋体" w:cs="宋体"/>
                <w:b w:val="0"/>
                <w:bCs w:val="0"/>
                <w:color w:val="auto"/>
                <w:sz w:val="21"/>
                <w:szCs w:val="21"/>
                <w:highlight w:val="none"/>
                <w:lang w:val="en-US" w:eastAsia="zh-CN"/>
              </w:rPr>
              <w:t>无帮助</w:t>
            </w:r>
            <w:r>
              <w:rPr>
                <w:rFonts w:hint="eastAsia" w:ascii="宋体" w:hAnsi="宋体" w:eastAsia="宋体" w:cs="宋体"/>
                <w:color w:val="auto"/>
                <w:sz w:val="21"/>
                <w:szCs w:val="21"/>
                <w:highlight w:val="none"/>
                <w:lang w:val="en-US" w:eastAsia="zh-CN"/>
              </w:rPr>
              <w:t>的</w:t>
            </w:r>
            <w:r>
              <w:rPr>
                <w:rFonts w:hint="eastAsia" w:ascii="宋体" w:hAnsi="宋体" w:eastAsia="宋体" w:cs="宋体"/>
                <w:b w:val="0"/>
                <w:color w:val="auto"/>
                <w:sz w:val="21"/>
                <w:szCs w:val="21"/>
                <w:highlight w:val="none"/>
                <w:lang w:val="en-US" w:eastAsia="zh-CN"/>
              </w:rPr>
              <w:t>得0.1-2.9分；</w:t>
            </w:r>
          </w:p>
          <w:p>
            <w:pPr>
              <w:keepNext w:val="0"/>
              <w:keepLines w:val="0"/>
              <w:pageBreakBefore w:val="0"/>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622"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22"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22" w:type="dxa"/>
            <w:vAlign w:val="center"/>
          </w:tcPr>
          <w:p>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1" w:hRule="atLeast"/>
          <w:jc w:val="center"/>
        </w:trPr>
        <w:tc>
          <w:tcPr>
            <w:tcW w:w="724" w:type="dxa"/>
            <w:vMerge w:val="continue"/>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rPr>
            </w:pPr>
          </w:p>
        </w:tc>
        <w:tc>
          <w:tcPr>
            <w:tcW w:w="973" w:type="dxa"/>
            <w:vAlign w:val="center"/>
          </w:tcPr>
          <w:p>
            <w:pPr>
              <w:keepNext w:val="0"/>
              <w:keepLines w:val="0"/>
              <w:pageBreakBefore w:val="0"/>
              <w:kinsoku/>
              <w:wordWrap/>
              <w:overflowPunct/>
              <w:topLinePunct w:val="0"/>
              <w:bidi w:val="0"/>
              <w:spacing w:beforeAutospacing="0" w:afterAutospacing="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响应时间</w:t>
            </w:r>
          </w:p>
        </w:tc>
        <w:tc>
          <w:tcPr>
            <w:tcW w:w="5935" w:type="dxa"/>
            <w:vAlign w:val="center"/>
          </w:tcPr>
          <w:p>
            <w:pPr>
              <w:keepNext w:val="0"/>
              <w:keepLines w:val="0"/>
              <w:pageBreakBefore w:val="0"/>
              <w:kinsoku/>
              <w:wordWrap/>
              <w:overflowPunct/>
              <w:topLinePunct w:val="0"/>
              <w:bidi w:val="0"/>
              <w:adjustRightInd w:val="0"/>
              <w:snapToGrid w:val="0"/>
              <w:spacing w:beforeAutospacing="0" w:afterAutospacing="0"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根据投标人对本项目</w:t>
            </w:r>
            <w:r>
              <w:rPr>
                <w:rFonts w:hint="eastAsia" w:ascii="宋体" w:hAnsi="宋体" w:eastAsia="宋体" w:cs="宋体"/>
                <w:color w:val="auto"/>
                <w:sz w:val="21"/>
                <w:szCs w:val="21"/>
                <w:highlight w:val="none"/>
                <w:lang w:val="en-US" w:eastAsia="zh-CN"/>
              </w:rPr>
              <w:t>实施期间响应情况</w:t>
            </w:r>
            <w:r>
              <w:rPr>
                <w:rFonts w:hint="eastAsia" w:ascii="宋体" w:hAnsi="宋体" w:eastAsia="宋体" w:cs="宋体"/>
                <w:color w:val="auto"/>
                <w:sz w:val="21"/>
                <w:szCs w:val="21"/>
                <w:highlight w:val="none"/>
                <w:lang w:eastAsia="zh-CN"/>
              </w:rPr>
              <w:t>进行打分。</w:t>
            </w:r>
          </w:p>
          <w:p>
            <w:pPr>
              <w:keepNext w:val="0"/>
              <w:keepLines w:val="0"/>
              <w:pageBreakBefore w:val="0"/>
              <w:kinsoku/>
              <w:wordWrap/>
              <w:overflowPunct/>
              <w:topLinePunct w:val="0"/>
              <w:bidi w:val="0"/>
              <w:adjustRightInd w:val="0"/>
              <w:snapToGrid w:val="0"/>
              <w:spacing w:beforeAutospacing="0" w:afterAutospacing="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承诺在24小时内响应的得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bidi w:val="0"/>
              <w:adjustRightInd w:val="0"/>
              <w:snapToGrid w:val="0"/>
              <w:spacing w:beforeAutospacing="0" w:afterAutospacing="0"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在48小时及以上响应的得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beforeAutospacing="0" w:afterAutospacing="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未提及此项不得分。</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lang w:val="en-US" w:eastAsia="zh-CN"/>
              </w:rPr>
            </w:pPr>
          </w:p>
        </w:tc>
        <w:tc>
          <w:tcPr>
            <w:tcW w:w="622" w:type="dxa"/>
            <w:vAlign w:val="center"/>
          </w:tcPr>
          <w:p>
            <w:pPr>
              <w:keepNext w:val="0"/>
              <w:keepLines w:val="0"/>
              <w:pageBreakBefore w:val="0"/>
              <w:widowControl/>
              <w:kinsoku/>
              <w:wordWrap/>
              <w:overflowPunct/>
              <w:topLinePunct w:val="0"/>
              <w:bidi w:val="0"/>
              <w:spacing w:beforeAutospacing="0" w:afterAutospacing="0" w:line="240" w:lineRule="auto"/>
              <w:jc w:val="center"/>
              <w:textAlignment w:val="center"/>
              <w:rPr>
                <w:rFonts w:hint="eastAsia" w:ascii="宋体" w:hAnsi="宋体" w:eastAsia="宋体" w:cs="宋体"/>
                <w:color w:val="auto"/>
                <w:sz w:val="21"/>
                <w:szCs w:val="21"/>
                <w:highlight w:val="none"/>
                <w:lang w:val="en-US" w:eastAsia="zh-CN"/>
              </w:rPr>
            </w:pPr>
          </w:p>
        </w:tc>
      </w:tr>
    </w:tbl>
    <w:p>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8"/>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附件6</w:t>
      </w:r>
    </w:p>
    <w:p>
      <w:pPr>
        <w:pStyle w:val="38"/>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1"/>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pPr>
              <w:pStyle w:val="38"/>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pPr>
              <w:pStyle w:val="38"/>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pPr>
              <w:pStyle w:val="38"/>
              <w:shd w:val="clear" w:color="auto" w:fill="FFFFFF"/>
              <w:spacing w:line="240" w:lineRule="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pPr>
              <w:pStyle w:val="38"/>
              <w:shd w:val="clear" w:color="auto" w:fill="FFFFFF"/>
              <w:spacing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pPr>
              <w:widowControl/>
              <w:spacing w:line="240" w:lineRule="auto"/>
              <w:jc w:val="left"/>
              <w:rPr>
                <w:rFonts w:hint="eastAsia" w:ascii="宋体" w:hAnsi="宋体" w:eastAsia="宋体" w:cs="宋体"/>
                <w:bCs/>
                <w:color w:val="auto"/>
                <w:spacing w:val="16"/>
                <w:kern w:val="0"/>
                <w:sz w:val="21"/>
                <w:szCs w:val="21"/>
                <w:highlight w:val="none"/>
              </w:rPr>
            </w:pPr>
          </w:p>
          <w:p>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pPr>
              <w:widowControl/>
              <w:spacing w:line="240" w:lineRule="auto"/>
              <w:jc w:val="left"/>
              <w:rPr>
                <w:rFonts w:hint="eastAsia" w:ascii="宋体" w:hAnsi="宋体" w:eastAsia="宋体" w:cs="宋体"/>
                <w:bCs/>
                <w:color w:val="auto"/>
                <w:spacing w:val="16"/>
                <w:kern w:val="0"/>
                <w:sz w:val="21"/>
                <w:szCs w:val="21"/>
                <w:highlight w:val="none"/>
              </w:rPr>
            </w:pPr>
          </w:p>
          <w:p>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pPr>
              <w:pStyle w:val="38"/>
              <w:shd w:val="clear" w:color="auto" w:fill="FFFFFF"/>
              <w:spacing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pPr>
              <w:pStyle w:val="38"/>
              <w:shd w:val="clear" w:color="auto" w:fill="FFFFFF"/>
              <w:spacing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pPr>
              <w:pStyle w:val="38"/>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pPr>
              <w:widowControl/>
              <w:spacing w:line="240" w:lineRule="auto"/>
              <w:jc w:val="left"/>
              <w:rPr>
                <w:rFonts w:hint="eastAsia" w:ascii="宋体" w:hAnsi="宋体" w:eastAsia="宋体" w:cs="宋体"/>
                <w:bCs/>
                <w:color w:val="auto"/>
                <w:spacing w:val="16"/>
                <w:kern w:val="0"/>
                <w:sz w:val="21"/>
                <w:szCs w:val="21"/>
                <w:highlight w:val="none"/>
              </w:rPr>
            </w:pPr>
          </w:p>
          <w:p>
            <w:pPr>
              <w:widowControl/>
              <w:spacing w:line="240" w:lineRule="auto"/>
              <w:jc w:val="left"/>
              <w:rPr>
                <w:rFonts w:hint="eastAsia" w:ascii="宋体" w:hAnsi="宋体" w:eastAsia="宋体" w:cs="宋体"/>
                <w:bCs/>
                <w:color w:val="auto"/>
                <w:spacing w:val="16"/>
                <w:kern w:val="0"/>
                <w:sz w:val="21"/>
                <w:szCs w:val="21"/>
                <w:highlight w:val="none"/>
              </w:rPr>
            </w:pPr>
          </w:p>
          <w:p>
            <w:pPr>
              <w:pStyle w:val="38"/>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pPr>
              <w:widowControl/>
              <w:spacing w:line="240" w:lineRule="auto"/>
              <w:jc w:val="left"/>
              <w:rPr>
                <w:rFonts w:hint="eastAsia" w:ascii="宋体" w:hAnsi="宋体" w:eastAsia="宋体" w:cs="宋体"/>
                <w:bCs/>
                <w:color w:val="auto"/>
                <w:spacing w:val="16"/>
                <w:kern w:val="0"/>
                <w:sz w:val="21"/>
                <w:szCs w:val="21"/>
                <w:highlight w:val="none"/>
              </w:rPr>
            </w:pPr>
          </w:p>
          <w:p>
            <w:pPr>
              <w:pStyle w:val="38"/>
              <w:shd w:val="clear" w:color="auto" w:fill="FFFFFF"/>
              <w:spacing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pPr>
              <w:pStyle w:val="38"/>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pPr>
              <w:pStyle w:val="38"/>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pPr>
              <w:pStyle w:val="38"/>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pPr>
              <w:pStyle w:val="38"/>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pPr>
              <w:widowControl/>
              <w:spacing w:line="240" w:lineRule="auto"/>
              <w:jc w:val="left"/>
              <w:rPr>
                <w:rFonts w:hint="eastAsia" w:ascii="宋体" w:hAnsi="宋体" w:eastAsia="宋体" w:cs="宋体"/>
                <w:bCs/>
                <w:color w:val="auto"/>
                <w:kern w:val="0"/>
                <w:sz w:val="21"/>
                <w:szCs w:val="21"/>
                <w:highlight w:val="none"/>
              </w:rPr>
            </w:pPr>
          </w:p>
          <w:p>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pPr>
              <w:pStyle w:val="38"/>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pPr>
              <w:pStyle w:val="38"/>
              <w:shd w:val="clear" w:color="auto" w:fill="FFFFFF"/>
              <w:spacing w:line="240" w:lineRule="auto"/>
              <w:ind w:left="107"/>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pPr>
              <w:pStyle w:val="38"/>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pPr>
              <w:pStyle w:val="38"/>
              <w:shd w:val="clear" w:color="auto" w:fill="FFFFFF"/>
              <w:spacing w:line="240" w:lineRule="auto"/>
              <w:ind w:left="107"/>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pPr>
              <w:pStyle w:val="38"/>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pPr>
              <w:pStyle w:val="38"/>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pPr>
              <w:pStyle w:val="38"/>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pPr>
              <w:pStyle w:val="38"/>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pPr>
              <w:pStyle w:val="38"/>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pPr>
              <w:pStyle w:val="38"/>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pPr>
              <w:pStyle w:val="38"/>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pPr>
              <w:pStyle w:val="38"/>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pPr>
              <w:pStyle w:val="38"/>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pPr>
              <w:pStyle w:val="38"/>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pPr>
              <w:pStyle w:val="38"/>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pPr>
              <w:pStyle w:val="38"/>
              <w:shd w:val="clear" w:color="auto" w:fill="FFFFFF"/>
              <w:spacing w:line="240" w:lineRule="auto"/>
              <w:rPr>
                <w:rFonts w:hint="eastAsia" w:ascii="宋体" w:hAnsi="宋体" w:eastAsia="宋体" w:cs="宋体"/>
                <w:bCs/>
                <w:color w:val="auto"/>
                <w:sz w:val="21"/>
                <w:szCs w:val="21"/>
                <w:highlight w:val="none"/>
              </w:rPr>
            </w:pPr>
          </w:p>
        </w:tc>
        <w:tc>
          <w:tcPr>
            <w:tcW w:w="1276" w:type="dxa"/>
          </w:tcPr>
          <w:p>
            <w:pPr>
              <w:pStyle w:val="38"/>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pPr>
              <w:pStyle w:val="38"/>
              <w:shd w:val="clear" w:color="auto" w:fill="FFFFFF"/>
              <w:spacing w:line="240" w:lineRule="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pPr>
              <w:pStyle w:val="38"/>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pPr>
              <w:pStyle w:val="38"/>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pPr>
              <w:pStyle w:val="38"/>
              <w:shd w:val="clear" w:color="auto" w:fill="FFFFFF"/>
              <w:spacing w:line="240" w:lineRule="auto"/>
              <w:rPr>
                <w:rFonts w:hint="eastAsia" w:ascii="宋体" w:hAnsi="宋体" w:eastAsia="宋体" w:cs="宋体"/>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pPr>
              <w:pStyle w:val="38"/>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pPr>
              <w:pStyle w:val="38"/>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pPr>
              <w:pStyle w:val="38"/>
              <w:shd w:val="clear" w:color="auto" w:fill="FFFFFF"/>
              <w:spacing w:line="240" w:lineRule="auto"/>
              <w:rPr>
                <w:rFonts w:hint="eastAsia" w:ascii="宋体" w:hAnsi="宋体" w:eastAsia="宋体" w:cs="宋体"/>
                <w:bCs/>
                <w:color w:val="auto"/>
                <w:spacing w:val="16"/>
                <w:sz w:val="21"/>
                <w:szCs w:val="21"/>
                <w:highlight w:val="none"/>
              </w:rPr>
            </w:pPr>
          </w:p>
        </w:tc>
      </w:tr>
    </w:tbl>
    <w:p>
      <w:pPr>
        <w:pStyle w:val="38"/>
        <w:shd w:val="clear" w:color="auto" w:fill="FFFFFF"/>
        <w:spacing w:before="0" w:beforeAutospacing="0" w:after="0" w:afterAutospacing="0" w:line="360" w:lineRule="auto"/>
        <w:rPr>
          <w:rFonts w:hint="eastAsia" w:ascii="宋体" w:hAnsi="宋体" w:eastAsia="宋体" w:cs="宋体"/>
          <w:color w:val="auto"/>
          <w:highlight w:val="none"/>
        </w:rPr>
      </w:pPr>
    </w:p>
    <w:p>
      <w:pPr>
        <w:pStyle w:val="38"/>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pPr>
        <w:pStyle w:val="38"/>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pStyle w:val="38"/>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8"/>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pPr>
        <w:pStyle w:val="38"/>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38"/>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1"/>
        <w:tblW w:w="9176"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879"/>
        <w:gridCol w:w="868"/>
        <w:gridCol w:w="921"/>
        <w:gridCol w:w="1500"/>
        <w:gridCol w:w="1296"/>
        <w:gridCol w:w="1415"/>
        <w:gridCol w:w="15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6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8" w:type="dxa"/>
            <w:tcBorders>
              <w:top w:val="single" w:color="auto" w:sz="4" w:space="0"/>
              <w:left w:val="single" w:color="auto" w:sz="4" w:space="0"/>
              <w:bottom w:val="single" w:color="auto" w:sz="4" w:space="0"/>
            </w:tcBorders>
            <w:vAlign w:val="center"/>
          </w:tcPr>
          <w:p>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pStyle w:val="12"/>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pStyle w:val="12"/>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hint="eastAsia" w:ascii="宋体" w:hAnsi="宋体" w:eastAsia="宋体" w:cs="宋体"/>
                <w:color w:val="auto"/>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9"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1"/>
                <w:szCs w:val="21"/>
                <w:highlight w:val="none"/>
              </w:rPr>
            </w:pPr>
          </w:p>
        </w:tc>
        <w:tc>
          <w:tcPr>
            <w:tcW w:w="879"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86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29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41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c>
          <w:tcPr>
            <w:tcW w:w="1558"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1"/>
                <w:szCs w:val="21"/>
                <w:highlight w:val="none"/>
              </w:rPr>
            </w:pPr>
          </w:p>
        </w:tc>
      </w:tr>
    </w:tbl>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pPr>
        <w:pStyle w:val="39"/>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line="360" w:lineRule="auto"/>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rPr>
      </w:pPr>
    </w:p>
    <w:p>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21"/>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rPr>
      </w:pPr>
    </w:p>
    <w:p>
      <w:pPr>
        <w:snapToGrid w:val="0"/>
        <w:spacing w:before="50" w:after="50"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pPr>
        <w:spacing w:line="360" w:lineRule="auto"/>
        <w:rPr>
          <w:rFonts w:hint="eastAsia" w:ascii="宋体" w:hAnsi="宋体" w:eastAsia="宋体" w:cs="宋体"/>
          <w:color w:val="auto"/>
          <w:sz w:val="21"/>
          <w:szCs w:val="21"/>
          <w:highlight w:val="none"/>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85" w:type="dxa"/>
            <w:vAlign w:val="center"/>
          </w:tcPr>
          <w:p>
            <w:pPr>
              <w:spacing w:line="360" w:lineRule="auto"/>
              <w:ind w:left="13" w:leftChars="6"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449" w:type="dxa"/>
            <w:vAlign w:val="center"/>
          </w:tcPr>
          <w:p>
            <w:pPr>
              <w:spacing w:line="360" w:lineRule="auto"/>
              <w:ind w:left="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1560" w:type="dxa"/>
            <w:vAlign w:val="center"/>
          </w:tcPr>
          <w:p>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401" w:type="dxa"/>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365" w:type="dxa"/>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1785" w:type="dxa"/>
            <w:vAlign w:val="center"/>
          </w:tcPr>
          <w:p>
            <w:pPr>
              <w:spacing w:line="360" w:lineRule="auto"/>
              <w:rPr>
                <w:rFonts w:hint="eastAsia" w:ascii="宋体" w:hAnsi="宋体" w:eastAsia="宋体" w:cs="宋体"/>
                <w:color w:val="auto"/>
                <w:sz w:val="21"/>
                <w:szCs w:val="21"/>
                <w:highlight w:val="none"/>
              </w:rPr>
            </w:pPr>
          </w:p>
        </w:tc>
        <w:tc>
          <w:tcPr>
            <w:tcW w:w="1449" w:type="dxa"/>
            <w:vAlign w:val="center"/>
          </w:tcPr>
          <w:p>
            <w:pPr>
              <w:spacing w:line="360" w:lineRule="auto"/>
              <w:rPr>
                <w:rFonts w:hint="eastAsia" w:ascii="宋体" w:hAnsi="宋体" w:eastAsia="宋体" w:cs="宋体"/>
                <w:color w:val="auto"/>
                <w:sz w:val="21"/>
                <w:szCs w:val="21"/>
                <w:highlight w:val="none"/>
              </w:rPr>
            </w:pPr>
          </w:p>
        </w:tc>
        <w:tc>
          <w:tcPr>
            <w:tcW w:w="1560" w:type="dxa"/>
            <w:vAlign w:val="center"/>
          </w:tcPr>
          <w:p>
            <w:pPr>
              <w:spacing w:line="360" w:lineRule="auto"/>
              <w:rPr>
                <w:rFonts w:hint="eastAsia" w:ascii="宋体" w:hAnsi="宋体" w:eastAsia="宋体" w:cs="宋体"/>
                <w:color w:val="auto"/>
                <w:sz w:val="21"/>
                <w:szCs w:val="21"/>
                <w:highlight w:val="none"/>
              </w:rPr>
            </w:pPr>
          </w:p>
        </w:tc>
        <w:tc>
          <w:tcPr>
            <w:tcW w:w="140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1785" w:type="dxa"/>
            <w:vAlign w:val="center"/>
          </w:tcPr>
          <w:p>
            <w:pPr>
              <w:spacing w:line="360" w:lineRule="auto"/>
              <w:rPr>
                <w:rFonts w:hint="eastAsia" w:ascii="宋体" w:hAnsi="宋体" w:eastAsia="宋体" w:cs="宋体"/>
                <w:color w:val="auto"/>
                <w:sz w:val="21"/>
                <w:szCs w:val="21"/>
                <w:highlight w:val="none"/>
              </w:rPr>
            </w:pPr>
          </w:p>
        </w:tc>
        <w:tc>
          <w:tcPr>
            <w:tcW w:w="1449" w:type="dxa"/>
            <w:vAlign w:val="center"/>
          </w:tcPr>
          <w:p>
            <w:pPr>
              <w:spacing w:line="360" w:lineRule="auto"/>
              <w:rPr>
                <w:rFonts w:hint="eastAsia" w:ascii="宋体" w:hAnsi="宋体" w:eastAsia="宋体" w:cs="宋体"/>
                <w:color w:val="auto"/>
                <w:sz w:val="21"/>
                <w:szCs w:val="21"/>
                <w:highlight w:val="none"/>
              </w:rPr>
            </w:pPr>
          </w:p>
        </w:tc>
        <w:tc>
          <w:tcPr>
            <w:tcW w:w="1560" w:type="dxa"/>
            <w:vAlign w:val="center"/>
          </w:tcPr>
          <w:p>
            <w:pPr>
              <w:spacing w:line="360" w:lineRule="auto"/>
              <w:rPr>
                <w:rFonts w:hint="eastAsia" w:ascii="宋体" w:hAnsi="宋体" w:eastAsia="宋体" w:cs="宋体"/>
                <w:color w:val="auto"/>
                <w:sz w:val="21"/>
                <w:szCs w:val="21"/>
                <w:highlight w:val="none"/>
              </w:rPr>
            </w:pPr>
          </w:p>
        </w:tc>
        <w:tc>
          <w:tcPr>
            <w:tcW w:w="140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1785" w:type="dxa"/>
            <w:vAlign w:val="center"/>
          </w:tcPr>
          <w:p>
            <w:pPr>
              <w:spacing w:line="360" w:lineRule="auto"/>
              <w:rPr>
                <w:rFonts w:hint="eastAsia" w:ascii="宋体" w:hAnsi="宋体" w:eastAsia="宋体" w:cs="宋体"/>
                <w:color w:val="auto"/>
                <w:sz w:val="21"/>
                <w:szCs w:val="21"/>
                <w:highlight w:val="none"/>
              </w:rPr>
            </w:pPr>
          </w:p>
        </w:tc>
        <w:tc>
          <w:tcPr>
            <w:tcW w:w="1449" w:type="dxa"/>
            <w:vAlign w:val="center"/>
          </w:tcPr>
          <w:p>
            <w:pPr>
              <w:spacing w:line="360" w:lineRule="auto"/>
              <w:rPr>
                <w:rFonts w:hint="eastAsia" w:ascii="宋体" w:hAnsi="宋体" w:eastAsia="宋体" w:cs="宋体"/>
                <w:color w:val="auto"/>
                <w:sz w:val="21"/>
                <w:szCs w:val="21"/>
                <w:highlight w:val="none"/>
              </w:rPr>
            </w:pPr>
          </w:p>
        </w:tc>
        <w:tc>
          <w:tcPr>
            <w:tcW w:w="1560" w:type="dxa"/>
            <w:vAlign w:val="center"/>
          </w:tcPr>
          <w:p>
            <w:pPr>
              <w:spacing w:line="360" w:lineRule="auto"/>
              <w:rPr>
                <w:rFonts w:hint="eastAsia" w:ascii="宋体" w:hAnsi="宋体" w:eastAsia="宋体" w:cs="宋体"/>
                <w:color w:val="auto"/>
                <w:sz w:val="21"/>
                <w:szCs w:val="21"/>
                <w:highlight w:val="none"/>
              </w:rPr>
            </w:pPr>
          </w:p>
        </w:tc>
        <w:tc>
          <w:tcPr>
            <w:tcW w:w="140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1785" w:type="dxa"/>
            <w:vAlign w:val="center"/>
          </w:tcPr>
          <w:p>
            <w:pPr>
              <w:spacing w:line="360" w:lineRule="auto"/>
              <w:rPr>
                <w:rFonts w:hint="eastAsia" w:ascii="宋体" w:hAnsi="宋体" w:eastAsia="宋体" w:cs="宋体"/>
                <w:color w:val="auto"/>
                <w:sz w:val="21"/>
                <w:szCs w:val="21"/>
                <w:highlight w:val="none"/>
              </w:rPr>
            </w:pPr>
          </w:p>
        </w:tc>
        <w:tc>
          <w:tcPr>
            <w:tcW w:w="1449" w:type="dxa"/>
            <w:vAlign w:val="center"/>
          </w:tcPr>
          <w:p>
            <w:pPr>
              <w:spacing w:line="360" w:lineRule="auto"/>
              <w:rPr>
                <w:rFonts w:hint="eastAsia" w:ascii="宋体" w:hAnsi="宋体" w:eastAsia="宋体" w:cs="宋体"/>
                <w:color w:val="auto"/>
                <w:sz w:val="21"/>
                <w:szCs w:val="21"/>
                <w:highlight w:val="none"/>
              </w:rPr>
            </w:pPr>
          </w:p>
        </w:tc>
        <w:tc>
          <w:tcPr>
            <w:tcW w:w="1560" w:type="dxa"/>
            <w:vAlign w:val="center"/>
          </w:tcPr>
          <w:p>
            <w:pPr>
              <w:spacing w:line="360" w:lineRule="auto"/>
              <w:rPr>
                <w:rFonts w:hint="eastAsia" w:ascii="宋体" w:hAnsi="宋体" w:eastAsia="宋体" w:cs="宋体"/>
                <w:color w:val="auto"/>
                <w:sz w:val="21"/>
                <w:szCs w:val="21"/>
                <w:highlight w:val="none"/>
              </w:rPr>
            </w:pPr>
          </w:p>
        </w:tc>
        <w:tc>
          <w:tcPr>
            <w:tcW w:w="140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1785" w:type="dxa"/>
            <w:vAlign w:val="center"/>
          </w:tcPr>
          <w:p>
            <w:pPr>
              <w:spacing w:line="360" w:lineRule="auto"/>
              <w:rPr>
                <w:rFonts w:hint="eastAsia" w:ascii="宋体" w:hAnsi="宋体" w:eastAsia="宋体" w:cs="宋体"/>
                <w:color w:val="auto"/>
                <w:sz w:val="21"/>
                <w:szCs w:val="21"/>
                <w:highlight w:val="none"/>
              </w:rPr>
            </w:pPr>
          </w:p>
        </w:tc>
        <w:tc>
          <w:tcPr>
            <w:tcW w:w="1449" w:type="dxa"/>
            <w:vAlign w:val="center"/>
          </w:tcPr>
          <w:p>
            <w:pPr>
              <w:spacing w:line="360" w:lineRule="auto"/>
              <w:rPr>
                <w:rFonts w:hint="eastAsia" w:ascii="宋体" w:hAnsi="宋体" w:eastAsia="宋体" w:cs="宋体"/>
                <w:color w:val="auto"/>
                <w:sz w:val="21"/>
                <w:szCs w:val="21"/>
                <w:highlight w:val="none"/>
              </w:rPr>
            </w:pPr>
          </w:p>
        </w:tc>
        <w:tc>
          <w:tcPr>
            <w:tcW w:w="1560" w:type="dxa"/>
            <w:vAlign w:val="center"/>
          </w:tcPr>
          <w:p>
            <w:pPr>
              <w:spacing w:line="360" w:lineRule="auto"/>
              <w:rPr>
                <w:rFonts w:hint="eastAsia" w:ascii="宋体" w:hAnsi="宋体" w:eastAsia="宋体" w:cs="宋体"/>
                <w:color w:val="auto"/>
                <w:sz w:val="21"/>
                <w:szCs w:val="21"/>
                <w:highlight w:val="none"/>
              </w:rPr>
            </w:pPr>
          </w:p>
        </w:tc>
        <w:tc>
          <w:tcPr>
            <w:tcW w:w="140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1785" w:type="dxa"/>
            <w:vAlign w:val="center"/>
          </w:tcPr>
          <w:p>
            <w:pPr>
              <w:spacing w:line="360" w:lineRule="auto"/>
              <w:rPr>
                <w:rFonts w:hint="eastAsia" w:ascii="宋体" w:hAnsi="宋体" w:eastAsia="宋体" w:cs="宋体"/>
                <w:color w:val="auto"/>
                <w:sz w:val="21"/>
                <w:szCs w:val="21"/>
                <w:highlight w:val="none"/>
              </w:rPr>
            </w:pPr>
          </w:p>
        </w:tc>
        <w:tc>
          <w:tcPr>
            <w:tcW w:w="1449" w:type="dxa"/>
            <w:vAlign w:val="center"/>
          </w:tcPr>
          <w:p>
            <w:pPr>
              <w:spacing w:line="360" w:lineRule="auto"/>
              <w:rPr>
                <w:rFonts w:hint="eastAsia" w:ascii="宋体" w:hAnsi="宋体" w:eastAsia="宋体" w:cs="宋体"/>
                <w:color w:val="auto"/>
                <w:sz w:val="21"/>
                <w:szCs w:val="21"/>
                <w:highlight w:val="none"/>
              </w:rPr>
            </w:pPr>
          </w:p>
        </w:tc>
        <w:tc>
          <w:tcPr>
            <w:tcW w:w="1560" w:type="dxa"/>
            <w:vAlign w:val="center"/>
          </w:tcPr>
          <w:p>
            <w:pPr>
              <w:spacing w:line="360" w:lineRule="auto"/>
              <w:rPr>
                <w:rFonts w:hint="eastAsia" w:ascii="宋体" w:hAnsi="宋体" w:eastAsia="宋体" w:cs="宋体"/>
                <w:color w:val="auto"/>
                <w:sz w:val="21"/>
                <w:szCs w:val="21"/>
                <w:highlight w:val="none"/>
              </w:rPr>
            </w:pPr>
          </w:p>
        </w:tc>
        <w:tc>
          <w:tcPr>
            <w:tcW w:w="140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1785" w:type="dxa"/>
            <w:vAlign w:val="center"/>
          </w:tcPr>
          <w:p>
            <w:pPr>
              <w:spacing w:line="360" w:lineRule="auto"/>
              <w:rPr>
                <w:rFonts w:hint="eastAsia" w:ascii="宋体" w:hAnsi="宋体" w:eastAsia="宋体" w:cs="宋体"/>
                <w:color w:val="auto"/>
                <w:sz w:val="21"/>
                <w:szCs w:val="21"/>
                <w:highlight w:val="none"/>
              </w:rPr>
            </w:pPr>
          </w:p>
        </w:tc>
        <w:tc>
          <w:tcPr>
            <w:tcW w:w="1449" w:type="dxa"/>
            <w:vAlign w:val="center"/>
          </w:tcPr>
          <w:p>
            <w:pPr>
              <w:spacing w:line="360" w:lineRule="auto"/>
              <w:rPr>
                <w:rFonts w:hint="eastAsia" w:ascii="宋体" w:hAnsi="宋体" w:eastAsia="宋体" w:cs="宋体"/>
                <w:color w:val="auto"/>
                <w:sz w:val="21"/>
                <w:szCs w:val="21"/>
                <w:highlight w:val="none"/>
              </w:rPr>
            </w:pPr>
          </w:p>
        </w:tc>
        <w:tc>
          <w:tcPr>
            <w:tcW w:w="1560" w:type="dxa"/>
            <w:vAlign w:val="center"/>
          </w:tcPr>
          <w:p>
            <w:pPr>
              <w:spacing w:line="360" w:lineRule="auto"/>
              <w:rPr>
                <w:rFonts w:hint="eastAsia" w:ascii="宋体" w:hAnsi="宋体" w:eastAsia="宋体" w:cs="宋体"/>
                <w:color w:val="auto"/>
                <w:sz w:val="21"/>
                <w:szCs w:val="21"/>
                <w:highlight w:val="none"/>
              </w:rPr>
            </w:pPr>
          </w:p>
        </w:tc>
        <w:tc>
          <w:tcPr>
            <w:tcW w:w="140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pStyle w:val="41"/>
        <w:spacing w:line="360" w:lineRule="auto"/>
        <w:jc w:val="left"/>
        <w:rPr>
          <w:rFonts w:hint="eastAsia" w:ascii="宋体" w:hAnsi="宋体" w:eastAsia="宋体" w:cs="宋体"/>
          <w:b/>
          <w:color w:val="auto"/>
          <w:sz w:val="28"/>
          <w:highlight w:val="none"/>
        </w:rPr>
      </w:pPr>
    </w:p>
    <w:p>
      <w:pPr>
        <w:pStyle w:val="41"/>
        <w:spacing w:line="360" w:lineRule="auto"/>
        <w:jc w:val="left"/>
        <w:outlineLvl w:val="9"/>
        <w:rPr>
          <w:rFonts w:hint="eastAsia" w:ascii="宋体" w:hAnsi="宋体" w:eastAsia="宋体" w:cs="宋体"/>
          <w:b/>
          <w:color w:val="auto"/>
          <w:sz w:val="28"/>
          <w:highlight w:val="none"/>
        </w:rPr>
      </w:pPr>
    </w:p>
    <w:p>
      <w:pPr>
        <w:pStyle w:val="41"/>
        <w:spacing w:line="360" w:lineRule="auto"/>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pStyle w:val="41"/>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10</w:t>
      </w:r>
    </w:p>
    <w:p>
      <w:pPr>
        <w:pStyle w:val="42"/>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pPr>
        <w:pStyle w:val="42"/>
        <w:spacing w:line="360" w:lineRule="auto"/>
        <w:jc w:val="center"/>
        <w:rPr>
          <w:rFonts w:hint="eastAsia" w:ascii="宋体" w:hAnsi="宋体" w:eastAsia="宋体" w:cs="宋体"/>
          <w:color w:val="auto"/>
          <w:sz w:val="24"/>
          <w:highlight w:val="none"/>
        </w:rPr>
      </w:pPr>
    </w:p>
    <w:tbl>
      <w:tblPr>
        <w:tblStyle w:val="2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hint="eastAsia" w:ascii="宋体" w:hAnsi="宋体" w:eastAsia="宋体" w:cs="宋体"/>
                <w:color w:val="auto"/>
                <w:sz w:val="21"/>
                <w:szCs w:val="21"/>
                <w:highlight w:val="none"/>
              </w:rPr>
            </w:pPr>
          </w:p>
        </w:tc>
        <w:tc>
          <w:tcPr>
            <w:tcW w:w="2258" w:type="dxa"/>
          </w:tcPr>
          <w:p>
            <w:pPr>
              <w:pStyle w:val="42"/>
              <w:spacing w:line="360" w:lineRule="auto"/>
              <w:jc w:val="center"/>
              <w:rPr>
                <w:rFonts w:hint="eastAsia" w:ascii="宋体" w:hAnsi="宋体" w:eastAsia="宋体" w:cs="宋体"/>
                <w:color w:val="auto"/>
                <w:sz w:val="21"/>
                <w:szCs w:val="21"/>
                <w:highlight w:val="none"/>
              </w:rPr>
            </w:pPr>
          </w:p>
        </w:tc>
        <w:tc>
          <w:tcPr>
            <w:tcW w:w="2260" w:type="dxa"/>
          </w:tcPr>
          <w:p>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2"/>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hint="eastAsia" w:ascii="宋体" w:hAnsi="宋体" w:eastAsia="宋体" w:cs="宋体"/>
                <w:color w:val="auto"/>
                <w:sz w:val="21"/>
                <w:szCs w:val="21"/>
                <w:highlight w:val="none"/>
              </w:rPr>
            </w:pPr>
          </w:p>
        </w:tc>
        <w:tc>
          <w:tcPr>
            <w:tcW w:w="2258" w:type="dxa"/>
          </w:tcPr>
          <w:p>
            <w:pPr>
              <w:pStyle w:val="42"/>
              <w:spacing w:line="360" w:lineRule="auto"/>
              <w:jc w:val="center"/>
              <w:rPr>
                <w:rFonts w:hint="eastAsia" w:ascii="宋体" w:hAnsi="宋体" w:eastAsia="宋体" w:cs="宋体"/>
                <w:color w:val="auto"/>
                <w:sz w:val="21"/>
                <w:szCs w:val="21"/>
                <w:highlight w:val="none"/>
              </w:rPr>
            </w:pPr>
          </w:p>
        </w:tc>
        <w:tc>
          <w:tcPr>
            <w:tcW w:w="2260" w:type="dxa"/>
          </w:tcPr>
          <w:p>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2"/>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hint="eastAsia" w:ascii="宋体" w:hAnsi="宋体" w:eastAsia="宋体" w:cs="宋体"/>
                <w:color w:val="auto"/>
                <w:sz w:val="21"/>
                <w:szCs w:val="21"/>
                <w:highlight w:val="none"/>
              </w:rPr>
            </w:pPr>
          </w:p>
        </w:tc>
        <w:tc>
          <w:tcPr>
            <w:tcW w:w="2258" w:type="dxa"/>
          </w:tcPr>
          <w:p>
            <w:pPr>
              <w:pStyle w:val="42"/>
              <w:spacing w:line="360" w:lineRule="auto"/>
              <w:jc w:val="center"/>
              <w:rPr>
                <w:rFonts w:hint="eastAsia" w:ascii="宋体" w:hAnsi="宋体" w:eastAsia="宋体" w:cs="宋体"/>
                <w:color w:val="auto"/>
                <w:sz w:val="21"/>
                <w:szCs w:val="21"/>
                <w:highlight w:val="none"/>
              </w:rPr>
            </w:pPr>
          </w:p>
        </w:tc>
        <w:tc>
          <w:tcPr>
            <w:tcW w:w="2260" w:type="dxa"/>
          </w:tcPr>
          <w:p>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2"/>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hint="eastAsia" w:ascii="宋体" w:hAnsi="宋体" w:eastAsia="宋体" w:cs="宋体"/>
                <w:color w:val="auto"/>
                <w:sz w:val="21"/>
                <w:szCs w:val="21"/>
                <w:highlight w:val="none"/>
              </w:rPr>
            </w:pPr>
          </w:p>
        </w:tc>
        <w:tc>
          <w:tcPr>
            <w:tcW w:w="2258" w:type="dxa"/>
          </w:tcPr>
          <w:p>
            <w:pPr>
              <w:pStyle w:val="42"/>
              <w:spacing w:line="360" w:lineRule="auto"/>
              <w:jc w:val="center"/>
              <w:rPr>
                <w:rFonts w:hint="eastAsia" w:ascii="宋体" w:hAnsi="宋体" w:eastAsia="宋体" w:cs="宋体"/>
                <w:color w:val="auto"/>
                <w:sz w:val="21"/>
                <w:szCs w:val="21"/>
                <w:highlight w:val="none"/>
              </w:rPr>
            </w:pPr>
          </w:p>
        </w:tc>
        <w:tc>
          <w:tcPr>
            <w:tcW w:w="2260" w:type="dxa"/>
          </w:tcPr>
          <w:p>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2"/>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hint="eastAsia" w:ascii="宋体" w:hAnsi="宋体" w:eastAsia="宋体" w:cs="宋体"/>
                <w:color w:val="auto"/>
                <w:sz w:val="21"/>
                <w:szCs w:val="21"/>
                <w:highlight w:val="none"/>
              </w:rPr>
            </w:pPr>
          </w:p>
        </w:tc>
        <w:tc>
          <w:tcPr>
            <w:tcW w:w="2258" w:type="dxa"/>
          </w:tcPr>
          <w:p>
            <w:pPr>
              <w:pStyle w:val="42"/>
              <w:spacing w:line="360" w:lineRule="auto"/>
              <w:jc w:val="center"/>
              <w:rPr>
                <w:rFonts w:hint="eastAsia" w:ascii="宋体" w:hAnsi="宋体" w:eastAsia="宋体" w:cs="宋体"/>
                <w:color w:val="auto"/>
                <w:sz w:val="21"/>
                <w:szCs w:val="21"/>
                <w:highlight w:val="none"/>
              </w:rPr>
            </w:pPr>
          </w:p>
        </w:tc>
        <w:tc>
          <w:tcPr>
            <w:tcW w:w="2260" w:type="dxa"/>
          </w:tcPr>
          <w:p>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2"/>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2"/>
              <w:spacing w:line="360" w:lineRule="auto"/>
              <w:jc w:val="center"/>
              <w:rPr>
                <w:rFonts w:hint="eastAsia" w:ascii="宋体" w:hAnsi="宋体" w:eastAsia="宋体" w:cs="宋体"/>
                <w:color w:val="auto"/>
                <w:sz w:val="21"/>
                <w:szCs w:val="21"/>
                <w:highlight w:val="none"/>
              </w:rPr>
            </w:pPr>
          </w:p>
        </w:tc>
        <w:tc>
          <w:tcPr>
            <w:tcW w:w="2258" w:type="dxa"/>
          </w:tcPr>
          <w:p>
            <w:pPr>
              <w:pStyle w:val="42"/>
              <w:spacing w:line="360" w:lineRule="auto"/>
              <w:jc w:val="center"/>
              <w:rPr>
                <w:rFonts w:hint="eastAsia" w:ascii="宋体" w:hAnsi="宋体" w:eastAsia="宋体" w:cs="宋体"/>
                <w:color w:val="auto"/>
                <w:sz w:val="21"/>
                <w:szCs w:val="21"/>
                <w:highlight w:val="none"/>
              </w:rPr>
            </w:pPr>
          </w:p>
        </w:tc>
        <w:tc>
          <w:tcPr>
            <w:tcW w:w="2260" w:type="dxa"/>
          </w:tcPr>
          <w:p>
            <w:pPr>
              <w:pStyle w:val="42"/>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pPr>
              <w:pStyle w:val="42"/>
              <w:spacing w:line="360" w:lineRule="auto"/>
              <w:jc w:val="center"/>
              <w:rPr>
                <w:rFonts w:hint="eastAsia" w:ascii="宋体" w:hAnsi="宋体" w:eastAsia="宋体" w:cs="宋体"/>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42"/>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pPr>
              <w:pStyle w:val="42"/>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pPr>
              <w:pStyle w:val="42"/>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pPr>
              <w:pStyle w:val="42"/>
              <w:spacing w:line="360" w:lineRule="auto"/>
              <w:jc w:val="center"/>
              <w:rPr>
                <w:rFonts w:hint="eastAsia" w:ascii="宋体" w:hAnsi="宋体" w:eastAsia="宋体" w:cs="宋体"/>
                <w:color w:val="auto"/>
                <w:sz w:val="21"/>
                <w:szCs w:val="21"/>
                <w:highlight w:val="none"/>
              </w:rPr>
            </w:pPr>
          </w:p>
        </w:tc>
      </w:tr>
    </w:tbl>
    <w:p>
      <w:pPr>
        <w:pStyle w:val="42"/>
        <w:tabs>
          <w:tab w:val="left" w:pos="1050"/>
        </w:tabs>
        <w:spacing w:line="360" w:lineRule="auto"/>
        <w:rPr>
          <w:rFonts w:hint="eastAsia" w:ascii="宋体" w:hAnsi="宋体" w:eastAsia="宋体" w:cs="宋体"/>
          <w:color w:val="auto"/>
          <w:sz w:val="24"/>
          <w:highlight w:val="none"/>
        </w:rPr>
      </w:pPr>
    </w:p>
    <w:p>
      <w:pPr>
        <w:pStyle w:val="42"/>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pPr>
        <w:pStyle w:val="42"/>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pPr>
        <w:pStyle w:val="42"/>
        <w:tabs>
          <w:tab w:val="left" w:pos="1050"/>
        </w:tabs>
        <w:spacing w:line="360" w:lineRule="auto"/>
        <w:ind w:firstLine="630" w:firstLineChars="300"/>
        <w:rPr>
          <w:rFonts w:hint="eastAsia" w:ascii="宋体" w:hAnsi="宋体" w:eastAsia="宋体" w:cs="宋体"/>
          <w:color w:val="auto"/>
          <w:sz w:val="21"/>
          <w:szCs w:val="21"/>
          <w:highlight w:val="none"/>
        </w:rPr>
      </w:pPr>
    </w:p>
    <w:p>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pStyle w:val="38"/>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pPr>
        <w:pStyle w:val="4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pPr>
        <w:pStyle w:val="41"/>
        <w:spacing w:line="360" w:lineRule="auto"/>
        <w:jc w:val="center"/>
        <w:rPr>
          <w:rFonts w:hint="eastAsia" w:ascii="宋体" w:hAnsi="宋体" w:eastAsia="宋体" w:cs="宋体"/>
          <w:b/>
          <w:color w:val="auto"/>
          <w:sz w:val="24"/>
          <w:highlight w:val="none"/>
        </w:rPr>
      </w:pPr>
    </w:p>
    <w:tbl>
      <w:tblPr>
        <w:tblStyle w:val="2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1"/>
              <w:spacing w:line="360" w:lineRule="auto"/>
              <w:rPr>
                <w:rFonts w:hint="eastAsia" w:ascii="宋体" w:hAnsi="宋体" w:eastAsia="宋体" w:cs="宋体"/>
                <w:color w:val="auto"/>
                <w:sz w:val="21"/>
                <w:szCs w:val="21"/>
                <w:highlight w:val="none"/>
              </w:rPr>
            </w:pPr>
          </w:p>
        </w:tc>
      </w:tr>
    </w:tbl>
    <w:p>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line="360" w:lineRule="auto"/>
        <w:jc w:val="center"/>
        <w:rPr>
          <w:rFonts w:hint="eastAsia" w:ascii="宋体" w:hAnsi="宋体" w:eastAsia="宋体" w:cs="宋体"/>
          <w:snapToGrid w:val="0"/>
          <w:color w:val="auto"/>
          <w:kern w:val="0"/>
          <w:sz w:val="21"/>
          <w:szCs w:val="21"/>
          <w:highlight w:val="none"/>
        </w:rPr>
      </w:pPr>
    </w:p>
    <w:p>
      <w:pPr>
        <w:pStyle w:val="42"/>
        <w:tabs>
          <w:tab w:val="left" w:pos="1050"/>
        </w:tabs>
        <w:spacing w:line="360" w:lineRule="auto"/>
        <w:rPr>
          <w:rFonts w:hint="eastAsia" w:ascii="宋体" w:hAnsi="宋体" w:eastAsia="宋体" w:cs="宋体"/>
          <w:b/>
          <w:color w:val="auto"/>
          <w:sz w:val="28"/>
          <w:highlight w:val="none"/>
        </w:rPr>
      </w:pPr>
    </w:p>
    <w:p>
      <w:pPr>
        <w:pStyle w:val="42"/>
        <w:tabs>
          <w:tab w:val="left" w:pos="1050"/>
        </w:tabs>
        <w:spacing w:line="360" w:lineRule="auto"/>
        <w:rPr>
          <w:rFonts w:hint="eastAsia" w:ascii="宋体" w:hAnsi="宋体" w:eastAsia="宋体" w:cs="宋体"/>
          <w:b/>
          <w:color w:val="auto"/>
          <w:sz w:val="28"/>
          <w:highlight w:val="none"/>
        </w:rPr>
      </w:pPr>
    </w:p>
    <w:p>
      <w:pPr>
        <w:pStyle w:val="42"/>
        <w:tabs>
          <w:tab w:val="left" w:pos="1050"/>
        </w:tabs>
        <w:spacing w:line="360"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p>
    <w:p>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Cs w:val="21"/>
                <w:highlight w:val="none"/>
              </w:rPr>
              <w:t>内容</w:t>
            </w:r>
          </w:p>
        </w:tc>
        <w:tc>
          <w:tcPr>
            <w:tcW w:w="1541" w:type="dxa"/>
            <w:vAlign w:val="center"/>
          </w:tcPr>
          <w:p>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服务期</w:t>
            </w: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付款方式</w:t>
            </w: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center"/>
          </w:tcPr>
          <w:p>
            <w:pPr>
              <w:keepNext w:val="0"/>
              <w:keepLines w:val="0"/>
              <w:pageBreakBefore w:val="0"/>
              <w:kinsoku/>
              <w:wordWrap/>
              <w:overflowPunct/>
              <w:topLinePunct w:val="0"/>
              <w:bidi w:val="0"/>
              <w:jc w:val="center"/>
              <w:outlineLvl w:val="9"/>
              <w:rPr>
                <w:rFonts w:hint="eastAsia" w:ascii="宋体" w:hAnsi="宋体" w:eastAsia="宋体" w:cs="宋体"/>
                <w:color w:val="auto"/>
                <w:sz w:val="21"/>
                <w:szCs w:val="21"/>
                <w:highlight w:val="none"/>
              </w:rPr>
            </w:pP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top"/>
          </w:tcPr>
          <w:p>
            <w:pPr>
              <w:keepNext w:val="0"/>
              <w:keepLines w:val="0"/>
              <w:pageBreakBefore w:val="0"/>
              <w:kinsoku/>
              <w:wordWrap/>
              <w:overflowPunct/>
              <w:topLinePunct w:val="0"/>
              <w:bidi w:val="0"/>
              <w:snapToGrid w:val="0"/>
              <w:outlineLvl w:val="9"/>
              <w:rPr>
                <w:rFonts w:hint="eastAsia" w:ascii="宋体" w:hAnsi="宋体" w:eastAsia="宋体" w:cs="宋体"/>
                <w:color w:val="auto"/>
                <w:sz w:val="21"/>
                <w:szCs w:val="21"/>
                <w:highlight w:val="none"/>
              </w:rPr>
            </w:pP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hint="eastAsia" w:ascii="宋体" w:hAnsi="宋体" w:eastAsia="宋体" w:cs="宋体"/>
                <w:color w:val="auto"/>
                <w:sz w:val="21"/>
                <w:szCs w:val="21"/>
                <w:highlight w:val="none"/>
              </w:rPr>
            </w:pPr>
          </w:p>
        </w:tc>
        <w:tc>
          <w:tcPr>
            <w:tcW w:w="2029" w:type="dxa"/>
            <w:vAlign w:val="top"/>
          </w:tcPr>
          <w:p>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p>
        </w:tc>
        <w:tc>
          <w:tcPr>
            <w:tcW w:w="1541" w:type="dxa"/>
            <w:vAlign w:val="center"/>
          </w:tcPr>
          <w:p>
            <w:pPr>
              <w:spacing w:line="360" w:lineRule="auto"/>
              <w:rPr>
                <w:rFonts w:hint="eastAsia" w:ascii="宋体" w:hAnsi="宋体" w:eastAsia="宋体" w:cs="宋体"/>
                <w:color w:val="auto"/>
                <w:sz w:val="21"/>
                <w:szCs w:val="21"/>
                <w:highlight w:val="none"/>
              </w:rPr>
            </w:pPr>
          </w:p>
        </w:tc>
        <w:tc>
          <w:tcPr>
            <w:tcW w:w="1365" w:type="dxa"/>
            <w:vAlign w:val="center"/>
          </w:tcPr>
          <w:p>
            <w:pPr>
              <w:spacing w:line="360" w:lineRule="auto"/>
              <w:rPr>
                <w:rFonts w:hint="eastAsia" w:ascii="宋体" w:hAnsi="宋体" w:eastAsia="宋体" w:cs="宋体"/>
                <w:color w:val="auto"/>
                <w:sz w:val="21"/>
                <w:szCs w:val="21"/>
                <w:highlight w:val="none"/>
              </w:rPr>
            </w:pPr>
          </w:p>
        </w:tc>
        <w:tc>
          <w:tcPr>
            <w:tcW w:w="2625" w:type="dxa"/>
            <w:vAlign w:val="center"/>
          </w:tcPr>
          <w:p>
            <w:pPr>
              <w:spacing w:line="360" w:lineRule="auto"/>
              <w:rPr>
                <w:rFonts w:hint="eastAsia" w:ascii="宋体" w:hAnsi="宋体" w:eastAsia="宋体" w:cs="宋体"/>
                <w:color w:val="auto"/>
                <w:sz w:val="21"/>
                <w:szCs w:val="21"/>
                <w:highlight w:val="none"/>
              </w:rPr>
            </w:pPr>
          </w:p>
        </w:tc>
      </w:tr>
    </w:tbl>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ind w:firstLine="435"/>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pPr>
        <w:tabs>
          <w:tab w:val="left" w:pos="2460"/>
        </w:tabs>
        <w:spacing w:line="360" w:lineRule="auto"/>
        <w:ind w:firstLine="435"/>
        <w:rPr>
          <w:rFonts w:hint="eastAsia" w:ascii="宋体" w:hAnsi="宋体" w:eastAsia="宋体" w:cs="宋体"/>
          <w:b/>
          <w:color w:val="auto"/>
          <w:sz w:val="28"/>
          <w:highlight w:val="none"/>
        </w:rPr>
      </w:pPr>
    </w:p>
    <w:p>
      <w:pPr>
        <w:tabs>
          <w:tab w:val="left" w:pos="2460"/>
        </w:tabs>
        <w:spacing w:line="360" w:lineRule="auto"/>
        <w:ind w:firstLine="435"/>
        <w:rPr>
          <w:rFonts w:hint="eastAsia" w:ascii="宋体" w:hAnsi="宋体" w:eastAsia="宋体" w:cs="宋体"/>
          <w:b/>
          <w:color w:val="auto"/>
          <w:sz w:val="28"/>
          <w:highlight w:val="none"/>
        </w:rPr>
      </w:pPr>
    </w:p>
    <w:p>
      <w:pPr>
        <w:tabs>
          <w:tab w:val="left" w:pos="2460"/>
        </w:tabs>
        <w:spacing w:line="360" w:lineRule="auto"/>
        <w:ind w:firstLine="435"/>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pStyle w:val="7"/>
        <w:rPr>
          <w:rFonts w:hint="eastAsia" w:ascii="宋体" w:hAnsi="宋体" w:eastAsia="宋体" w:cs="宋体"/>
          <w:b/>
          <w:color w:val="auto"/>
          <w:sz w:val="28"/>
          <w:highlight w:val="none"/>
        </w:rPr>
      </w:pPr>
    </w:p>
    <w:p>
      <w:pPr>
        <w:tabs>
          <w:tab w:val="left" w:pos="2460"/>
        </w:tabs>
        <w:spacing w:line="360" w:lineRule="auto"/>
        <w:rPr>
          <w:rFonts w:hint="eastAsia" w:ascii="宋体" w:hAnsi="宋体" w:eastAsia="宋体" w:cs="宋体"/>
          <w:b/>
          <w:color w:val="auto"/>
          <w:sz w:val="28"/>
          <w:highlight w:val="none"/>
        </w:rPr>
      </w:pPr>
    </w:p>
    <w:p>
      <w:pPr>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3</w:t>
      </w:r>
      <w:r>
        <w:rPr>
          <w:rFonts w:hint="eastAsia" w:ascii="宋体" w:hAnsi="宋体" w:eastAsia="宋体" w:cs="宋体"/>
          <w:b/>
          <w:color w:val="auto"/>
          <w:sz w:val="28"/>
          <w:highlight w:val="none"/>
        </w:rPr>
        <w:tab/>
      </w:r>
    </w:p>
    <w:p>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pPr>
        <w:spacing w:line="360" w:lineRule="auto"/>
        <w:ind w:firstLine="435"/>
        <w:jc w:val="center"/>
        <w:rPr>
          <w:rFonts w:hint="eastAsia" w:ascii="宋体" w:hAnsi="宋体" w:eastAsia="宋体" w:cs="宋体"/>
          <w:b/>
          <w:color w:val="auto"/>
          <w:sz w:val="36"/>
          <w:szCs w:val="36"/>
          <w:highlight w:val="none"/>
        </w:rPr>
      </w:pPr>
    </w:p>
    <w:tbl>
      <w:tblPr>
        <w:tblStyle w:val="2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pPr>
              <w:pStyle w:val="43"/>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pPr>
              <w:pStyle w:val="43"/>
              <w:spacing w:line="360" w:lineRule="auto"/>
              <w:rPr>
                <w:rFonts w:hint="eastAsia" w:ascii="宋体" w:hAnsi="宋体" w:eastAsia="宋体" w:cs="宋体"/>
                <w:bCs/>
                <w:color w:val="auto"/>
                <w:sz w:val="21"/>
                <w:szCs w:val="21"/>
                <w:highlight w:val="none"/>
              </w:rPr>
            </w:pPr>
          </w:p>
        </w:tc>
        <w:tc>
          <w:tcPr>
            <w:tcW w:w="1373" w:type="dxa"/>
          </w:tcPr>
          <w:p>
            <w:pPr>
              <w:pStyle w:val="43"/>
              <w:spacing w:line="360" w:lineRule="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80" w:hRule="exact"/>
          <w:jc w:val="center"/>
        </w:trPr>
        <w:tc>
          <w:tcPr>
            <w:tcW w:w="739" w:type="dxa"/>
            <w:vAlign w:val="center"/>
          </w:tcPr>
          <w:p>
            <w:pPr>
              <w:pStyle w:val="43"/>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pPr>
              <w:pStyle w:val="43"/>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服务期满后</w:t>
            </w:r>
            <w:r>
              <w:rPr>
                <w:rFonts w:hint="eastAsia" w:ascii="宋体" w:hAnsi="宋体" w:eastAsia="宋体" w:cs="宋体"/>
                <w:bCs/>
                <w:color w:val="auto"/>
                <w:sz w:val="21"/>
                <w:szCs w:val="21"/>
                <w:highlight w:val="none"/>
              </w:rPr>
              <w:t>售后服务</w:t>
            </w:r>
          </w:p>
        </w:tc>
        <w:tc>
          <w:tcPr>
            <w:tcW w:w="4061" w:type="dxa"/>
          </w:tcPr>
          <w:p>
            <w:pPr>
              <w:pStyle w:val="43"/>
              <w:widowControl/>
              <w:spacing w:line="360" w:lineRule="auto"/>
              <w:jc w:val="left"/>
              <w:rPr>
                <w:rFonts w:hint="eastAsia" w:ascii="宋体" w:hAnsi="宋体" w:eastAsia="宋体" w:cs="宋体"/>
                <w:bCs/>
                <w:color w:val="auto"/>
                <w:sz w:val="21"/>
                <w:szCs w:val="21"/>
                <w:highlight w:val="none"/>
              </w:rPr>
            </w:pPr>
          </w:p>
          <w:p>
            <w:pPr>
              <w:pStyle w:val="43"/>
              <w:widowControl/>
              <w:spacing w:line="360" w:lineRule="auto"/>
              <w:jc w:val="left"/>
              <w:rPr>
                <w:rFonts w:hint="eastAsia" w:ascii="宋体" w:hAnsi="宋体" w:eastAsia="宋体" w:cs="宋体"/>
                <w:bCs/>
                <w:color w:val="auto"/>
                <w:sz w:val="21"/>
                <w:szCs w:val="21"/>
                <w:highlight w:val="none"/>
              </w:rPr>
            </w:pPr>
          </w:p>
          <w:p>
            <w:pPr>
              <w:pStyle w:val="43"/>
              <w:spacing w:line="360" w:lineRule="auto"/>
              <w:rPr>
                <w:rFonts w:hint="eastAsia" w:ascii="宋体" w:hAnsi="宋体" w:eastAsia="宋体" w:cs="宋体"/>
                <w:bCs/>
                <w:color w:val="auto"/>
                <w:sz w:val="21"/>
                <w:szCs w:val="21"/>
                <w:highlight w:val="none"/>
              </w:rPr>
            </w:pPr>
          </w:p>
        </w:tc>
        <w:tc>
          <w:tcPr>
            <w:tcW w:w="1373" w:type="dxa"/>
          </w:tcPr>
          <w:p>
            <w:pPr>
              <w:pStyle w:val="43"/>
              <w:widowControl/>
              <w:spacing w:line="360" w:lineRule="auto"/>
              <w:jc w:val="left"/>
              <w:rPr>
                <w:rFonts w:hint="eastAsia" w:ascii="宋体" w:hAnsi="宋体" w:eastAsia="宋体" w:cs="宋体"/>
                <w:bCs/>
                <w:color w:val="auto"/>
                <w:sz w:val="21"/>
                <w:szCs w:val="21"/>
                <w:highlight w:val="none"/>
              </w:rPr>
            </w:pPr>
          </w:p>
          <w:p>
            <w:pPr>
              <w:pStyle w:val="43"/>
              <w:widowControl/>
              <w:spacing w:line="360" w:lineRule="auto"/>
              <w:jc w:val="left"/>
              <w:rPr>
                <w:rFonts w:hint="eastAsia" w:ascii="宋体" w:hAnsi="宋体" w:eastAsia="宋体" w:cs="宋体"/>
                <w:bCs/>
                <w:color w:val="auto"/>
                <w:sz w:val="21"/>
                <w:szCs w:val="21"/>
                <w:highlight w:val="none"/>
              </w:rPr>
            </w:pPr>
          </w:p>
          <w:p>
            <w:pPr>
              <w:pStyle w:val="43"/>
              <w:spacing w:line="360" w:lineRule="auto"/>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3"/>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vAlign w:val="center"/>
          </w:tcPr>
          <w:p>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pPr>
              <w:pStyle w:val="43"/>
              <w:widowControl/>
              <w:spacing w:line="360" w:lineRule="auto"/>
              <w:jc w:val="left"/>
              <w:rPr>
                <w:rFonts w:hint="eastAsia" w:ascii="宋体" w:hAnsi="宋体" w:eastAsia="宋体" w:cs="宋体"/>
                <w:bCs/>
                <w:i/>
                <w:color w:val="auto"/>
                <w:sz w:val="21"/>
                <w:szCs w:val="21"/>
                <w:highlight w:val="none"/>
              </w:rPr>
            </w:pPr>
          </w:p>
          <w:p>
            <w:pPr>
              <w:pStyle w:val="43"/>
              <w:widowControl/>
              <w:spacing w:line="360" w:lineRule="auto"/>
              <w:jc w:val="left"/>
              <w:rPr>
                <w:rFonts w:hint="eastAsia" w:ascii="宋体" w:hAnsi="宋体" w:eastAsia="宋体" w:cs="宋体"/>
                <w:bCs/>
                <w:i/>
                <w:color w:val="auto"/>
                <w:sz w:val="21"/>
                <w:szCs w:val="21"/>
                <w:highlight w:val="none"/>
              </w:rPr>
            </w:pPr>
          </w:p>
        </w:tc>
        <w:tc>
          <w:tcPr>
            <w:tcW w:w="1373" w:type="dxa"/>
          </w:tcPr>
          <w:p>
            <w:pPr>
              <w:pStyle w:val="43"/>
              <w:widowControl/>
              <w:spacing w:line="360" w:lineRule="auto"/>
              <w:jc w:val="left"/>
              <w:rPr>
                <w:rFonts w:hint="eastAsia" w:ascii="宋体" w:hAnsi="宋体" w:eastAsia="宋体" w:cs="宋体"/>
                <w:bCs/>
                <w:i/>
                <w:color w:val="auto"/>
                <w:sz w:val="21"/>
                <w:szCs w:val="21"/>
                <w:highlight w:val="none"/>
              </w:rPr>
            </w:pPr>
          </w:p>
          <w:p>
            <w:pPr>
              <w:pStyle w:val="43"/>
              <w:widowControl/>
              <w:spacing w:line="360" w:lineRule="auto"/>
              <w:jc w:val="left"/>
              <w:rPr>
                <w:rFonts w:hint="eastAsia" w:ascii="宋体" w:hAnsi="宋体" w:eastAsia="宋体" w:cs="宋体"/>
                <w:bCs/>
                <w:i/>
                <w:color w:val="auto"/>
                <w:sz w:val="21"/>
                <w:szCs w:val="21"/>
                <w:highlight w:val="none"/>
              </w:rPr>
            </w:pPr>
          </w:p>
          <w:p>
            <w:pPr>
              <w:pStyle w:val="43"/>
              <w:widowControl/>
              <w:spacing w:line="360" w:lineRule="auto"/>
              <w:jc w:val="left"/>
              <w:rPr>
                <w:rFonts w:hint="eastAsia" w:ascii="宋体" w:hAnsi="宋体" w:eastAsia="宋体" w:cs="宋体"/>
                <w:bCs/>
                <w:i/>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pPr>
              <w:pStyle w:val="43"/>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pPr>
              <w:pStyle w:val="43"/>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pPr>
              <w:pStyle w:val="43"/>
              <w:widowControl/>
              <w:spacing w:line="360" w:lineRule="auto"/>
              <w:jc w:val="left"/>
              <w:rPr>
                <w:rFonts w:hint="eastAsia" w:ascii="宋体" w:hAnsi="宋体" w:eastAsia="宋体" w:cs="宋体"/>
                <w:bCs/>
                <w:color w:val="auto"/>
                <w:sz w:val="21"/>
                <w:szCs w:val="21"/>
                <w:highlight w:val="none"/>
              </w:rPr>
            </w:pPr>
          </w:p>
        </w:tc>
      </w:tr>
    </w:tbl>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pPr>
        <w:spacing w:line="360" w:lineRule="auto"/>
        <w:ind w:firstLine="435"/>
        <w:rPr>
          <w:rFonts w:hint="eastAsia" w:ascii="宋体" w:hAnsi="宋体" w:eastAsia="宋体" w:cs="宋体"/>
          <w:color w:val="auto"/>
          <w:sz w:val="24"/>
          <w:highlight w:val="none"/>
          <w:u w:val="single"/>
        </w:rPr>
      </w:pPr>
    </w:p>
    <w:p>
      <w:pPr>
        <w:pStyle w:val="44"/>
        <w:spacing w:line="360" w:lineRule="auto"/>
        <w:rPr>
          <w:rFonts w:hint="eastAsia" w:ascii="宋体" w:hAnsi="宋体" w:eastAsia="宋体" w:cs="宋体"/>
          <w:b/>
          <w:color w:val="auto"/>
          <w:sz w:val="28"/>
          <w:szCs w:val="28"/>
          <w:highlight w:val="none"/>
        </w:rPr>
      </w:pPr>
    </w:p>
    <w:p>
      <w:pPr>
        <w:spacing w:line="360" w:lineRule="auto"/>
        <w:ind w:right="-110"/>
        <w:jc w:val="left"/>
        <w:rPr>
          <w:rFonts w:hint="eastAsia" w:ascii="宋体" w:hAnsi="宋体" w:eastAsia="宋体" w:cs="宋体"/>
          <w:b/>
          <w:color w:val="auto"/>
          <w:sz w:val="28"/>
          <w:highlight w:val="none"/>
        </w:rPr>
      </w:pPr>
    </w:p>
    <w:p>
      <w:pPr>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 xml:space="preserve">4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pacing w:beforeLines="100" w:line="360" w:lineRule="auto"/>
        <w:ind w:right="-108"/>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项目编号：</w:t>
      </w:r>
    </w:p>
    <w:p>
      <w:pPr>
        <w:spacing w:after="100" w:afterAutospacing="1" w:line="360" w:lineRule="auto"/>
        <w:ind w:right="-108"/>
        <w:jc w:val="center"/>
        <w:rPr>
          <w:rFonts w:hint="eastAsia" w:ascii="宋体" w:hAnsi="宋体" w:eastAsia="宋体" w:cs="宋体"/>
          <w:b/>
          <w:color w:val="auto"/>
          <w:spacing w:val="40"/>
          <w:sz w:val="84"/>
          <w:szCs w:val="84"/>
          <w:highlight w:val="none"/>
        </w:rPr>
      </w:pP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pPr>
        <w:spacing w:line="360" w:lineRule="auto"/>
        <w:ind w:right="532"/>
        <w:jc w:val="center"/>
        <w:rPr>
          <w:rFonts w:hint="eastAsia" w:ascii="宋体" w:hAnsi="宋体" w:eastAsia="宋体" w:cs="宋体"/>
          <w:color w:val="auto"/>
          <w:sz w:val="36"/>
          <w:szCs w:val="36"/>
          <w:highlight w:val="none"/>
        </w:rPr>
      </w:pPr>
    </w:p>
    <w:p>
      <w:pPr>
        <w:spacing w:line="360" w:lineRule="auto"/>
        <w:ind w:right="532"/>
        <w:rPr>
          <w:rFonts w:hint="eastAsia" w:ascii="宋体" w:hAnsi="宋体" w:eastAsia="宋体" w:cs="宋体"/>
          <w:color w:val="auto"/>
          <w:sz w:val="36"/>
          <w:szCs w:val="36"/>
          <w:highlight w:val="none"/>
        </w:rPr>
      </w:pPr>
    </w:p>
    <w:p>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pPr>
        <w:spacing w:line="360" w:lineRule="auto"/>
        <w:ind w:right="-108"/>
        <w:jc w:val="center"/>
        <w:rPr>
          <w:rFonts w:hint="eastAsia" w:ascii="宋体" w:hAnsi="宋体" w:eastAsia="宋体" w:cs="宋体"/>
          <w:b/>
          <w:color w:val="auto"/>
          <w:sz w:val="36"/>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p>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2、针对报价投标人认为其他需要说明的；</w:t>
      </w:r>
    </w:p>
    <w:p>
      <w:pPr>
        <w:spacing w:line="360" w:lineRule="auto"/>
        <w:rPr>
          <w:rFonts w:hint="eastAsia" w:ascii="宋体" w:hAnsi="宋体" w:eastAsia="宋体" w:cs="宋体"/>
          <w:b/>
          <w:color w:val="auto"/>
          <w:sz w:val="21"/>
          <w:szCs w:val="21"/>
          <w:highlight w:val="none"/>
        </w:rPr>
      </w:pPr>
    </w:p>
    <w:p>
      <w:pPr>
        <w:spacing w:line="360" w:lineRule="auto"/>
        <w:ind w:left="480"/>
        <w:rPr>
          <w:rFonts w:hint="eastAsia" w:ascii="宋体" w:hAnsi="宋体" w:eastAsia="宋体" w:cs="宋体"/>
          <w:b/>
          <w:color w:val="auto"/>
          <w:sz w:val="21"/>
          <w:szCs w:val="21"/>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pStyle w:val="7"/>
        <w:rPr>
          <w:rFonts w:hint="eastAsia" w:ascii="宋体" w:hAnsi="宋体" w:eastAsia="宋体" w:cs="宋体"/>
          <w:color w:val="auto"/>
          <w:highlight w:val="none"/>
        </w:rPr>
      </w:pPr>
    </w:p>
    <w:p>
      <w:pPr>
        <w:spacing w:line="360" w:lineRule="auto"/>
        <w:ind w:left="480"/>
        <w:rPr>
          <w:rFonts w:hint="eastAsia" w:ascii="宋体" w:hAnsi="宋体" w:eastAsia="宋体" w:cs="宋体"/>
          <w:b/>
          <w:color w:val="auto"/>
          <w:sz w:val="28"/>
          <w:highlight w:val="none"/>
        </w:rPr>
      </w:pPr>
    </w:p>
    <w:p>
      <w:pPr>
        <w:spacing w:line="360" w:lineRule="auto"/>
        <w:ind w:left="480"/>
        <w:rPr>
          <w:rFonts w:hint="eastAsia" w:ascii="宋体" w:hAnsi="宋体" w:eastAsia="宋体" w:cs="宋体"/>
          <w:b/>
          <w:color w:val="auto"/>
          <w:sz w:val="28"/>
          <w:highlight w:val="none"/>
        </w:rPr>
      </w:pPr>
    </w:p>
    <w:p>
      <w:pPr>
        <w:pStyle w:val="7"/>
        <w:rPr>
          <w:rFonts w:hint="eastAsia" w:ascii="宋体" w:hAnsi="宋体" w:eastAsia="宋体" w:cs="宋体"/>
          <w:color w:val="auto"/>
          <w:highlight w:val="none"/>
        </w:rPr>
      </w:pPr>
    </w:p>
    <w:p>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pPr>
        <w:spacing w:line="360" w:lineRule="auto"/>
        <w:ind w:left="-2" w:hanging="2"/>
        <w:jc w:val="center"/>
        <w:rPr>
          <w:rFonts w:hint="eastAsia" w:ascii="宋体" w:hAnsi="宋体" w:eastAsia="宋体" w:cs="宋体"/>
          <w:b/>
          <w:color w:val="auto"/>
          <w:sz w:val="32"/>
          <w:szCs w:val="32"/>
          <w:highlight w:val="none"/>
        </w:rPr>
      </w:pPr>
    </w:p>
    <w:p>
      <w:pPr>
        <w:pStyle w:val="11"/>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pPr>
        <w:pStyle w:val="47"/>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1"/>
        <w:tblW w:w="871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08"/>
        <w:gridCol w:w="1356"/>
        <w:gridCol w:w="465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80" w:hRule="atLeast"/>
          <w:jc w:val="center"/>
        </w:trPr>
        <w:tc>
          <w:tcPr>
            <w:tcW w:w="2708" w:type="dxa"/>
            <w:vMerge w:val="restart"/>
            <w:tcBorders>
              <w:top w:val="single" w:color="auto" w:sz="12"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投标总报价(元)</w:t>
            </w:r>
          </w:p>
        </w:tc>
        <w:tc>
          <w:tcPr>
            <w:tcW w:w="1356"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54" w:type="dxa"/>
            <w:tcBorders>
              <w:top w:val="single" w:color="auto" w:sz="12" w:space="0"/>
              <w:left w:val="single" w:color="auto" w:sz="4" w:space="0"/>
              <w:bottom w:val="single" w:color="auto" w:sz="4" w:space="0"/>
            </w:tcBorders>
            <w:vAlign w:val="center"/>
          </w:tcPr>
          <w:p>
            <w:pPr>
              <w:autoSpaceDE w:val="0"/>
              <w:autoSpaceDN w:val="0"/>
              <w:spacing w:line="360" w:lineRule="auto"/>
              <w:jc w:val="center"/>
              <w:textAlignment w:val="bottom"/>
              <w:rPr>
                <w:rFonts w:hint="default"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28" w:hRule="atLeast"/>
          <w:jc w:val="center"/>
        </w:trPr>
        <w:tc>
          <w:tcPr>
            <w:tcW w:w="2708" w:type="dxa"/>
            <w:vMerge w:val="continue"/>
            <w:tcBorders>
              <w:top w:val="single" w:color="auto" w:sz="12" w:space="0"/>
              <w:bottom w:val="single" w:color="auto" w:sz="12" w:space="0"/>
              <w:right w:val="single" w:color="auto" w:sz="4" w:space="0"/>
            </w:tcBorders>
            <w:vAlign w:val="center"/>
          </w:tcPr>
          <w:p>
            <w:pPr>
              <w:autoSpaceDE w:val="0"/>
              <w:autoSpaceDN w:val="0"/>
              <w:spacing w:line="360" w:lineRule="auto"/>
              <w:jc w:val="center"/>
              <w:textAlignment w:val="bottom"/>
              <w:rPr>
                <w:rFonts w:hint="eastAsia" w:ascii="宋体" w:hAnsi="宋体" w:eastAsia="宋体" w:cs="宋体"/>
                <w:b/>
                <w:bCs/>
                <w:color w:val="auto"/>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54" w:type="dxa"/>
            <w:tcBorders>
              <w:top w:val="single" w:color="auto" w:sz="4" w:space="0"/>
              <w:left w:val="single" w:color="auto" w:sz="4" w:space="0"/>
              <w:bottom w:val="single" w:color="auto" w:sz="4" w:space="0"/>
            </w:tcBorders>
            <w:vAlign w:val="center"/>
          </w:tcPr>
          <w:p>
            <w:pPr>
              <w:autoSpaceDE w:val="0"/>
              <w:autoSpaceDN w:val="0"/>
              <w:spacing w:line="360" w:lineRule="auto"/>
              <w:jc w:val="center"/>
              <w:textAlignment w:val="bottom"/>
              <w:rPr>
                <w:rFonts w:hint="default"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35" w:hRule="atLeast"/>
          <w:jc w:val="center"/>
        </w:trPr>
        <w:tc>
          <w:tcPr>
            <w:tcW w:w="2708" w:type="dxa"/>
            <w:tcBorders>
              <w:top w:val="single" w:color="auto" w:sz="12"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折扣率（%）</w:t>
            </w:r>
          </w:p>
          <w:p>
            <w:pPr>
              <w:autoSpaceDE w:val="0"/>
              <w:autoSpaceDN w:val="0"/>
              <w:spacing w:line="360" w:lineRule="auto"/>
              <w:jc w:val="center"/>
              <w:textAlignment w:val="bottom"/>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（小数点后保留两位）</w:t>
            </w:r>
          </w:p>
        </w:tc>
        <w:tc>
          <w:tcPr>
            <w:tcW w:w="6010" w:type="dxa"/>
            <w:gridSpan w:val="2"/>
            <w:tcBorders>
              <w:top w:val="single" w:color="auto" w:sz="4" w:space="0"/>
              <w:left w:val="single" w:color="auto" w:sz="4" w:space="0"/>
              <w:bottom w:val="single" w:color="auto" w:sz="4" w:space="0"/>
            </w:tcBorders>
            <w:vAlign w:val="center"/>
          </w:tcPr>
          <w:p>
            <w:pPr>
              <w:autoSpaceDE w:val="0"/>
              <w:autoSpaceDN w:val="0"/>
              <w:spacing w:line="360" w:lineRule="auto"/>
              <w:jc w:val="center"/>
              <w:textAlignment w:val="bottom"/>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pPr>
        <w:pStyle w:val="6"/>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投标报价为完成本项目的所有费用，包含所有人员的人工费、交通费、住宿费、伙食费、办公设施费、管理费、利润、税金及成果鉴定验收会议发生的费用等一切费用，全部费用已包含在开标一览表的投标总报价中</w:t>
      </w:r>
      <w:r>
        <w:rPr>
          <w:rFonts w:hint="eastAsia" w:ascii="宋体" w:hAnsi="宋体" w:eastAsia="宋体" w:cs="宋体"/>
          <w:color w:val="auto"/>
          <w:kern w:val="0"/>
          <w:szCs w:val="21"/>
          <w:highlight w:val="none"/>
        </w:rPr>
        <w:t>。</w:t>
      </w:r>
    </w:p>
    <w:p>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pPr>
        <w:spacing w:line="360" w:lineRule="auto"/>
        <w:ind w:left="420"/>
        <w:rPr>
          <w:rFonts w:hint="eastAsia" w:ascii="宋体" w:hAnsi="宋体" w:eastAsia="宋体" w:cs="宋体"/>
          <w:color w:val="auto"/>
          <w:sz w:val="21"/>
          <w:szCs w:val="21"/>
          <w:highlight w:val="none"/>
        </w:rPr>
      </w:pPr>
    </w:p>
    <w:p>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pPr>
        <w:spacing w:line="360" w:lineRule="auto"/>
        <w:ind w:left="420"/>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pPr>
        <w:spacing w:line="360" w:lineRule="auto"/>
        <w:rPr>
          <w:rFonts w:hint="eastAsia" w:ascii="宋体" w:hAnsi="宋体" w:eastAsia="宋体" w:cs="宋体"/>
          <w:color w:val="auto"/>
          <w:sz w:val="21"/>
          <w:szCs w:val="21"/>
          <w:highlight w:val="none"/>
        </w:rPr>
      </w:pPr>
    </w:p>
    <w:p>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6</w:t>
      </w:r>
    </w:p>
    <w:p>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pPr>
        <w:pStyle w:val="7"/>
        <w:spacing w:before="5"/>
        <w:rPr>
          <w:rFonts w:hint="eastAsia" w:ascii="宋体" w:hAnsi="宋体" w:eastAsia="宋体" w:cs="宋体"/>
          <w:b/>
          <w:color w:val="auto"/>
          <w:sz w:val="18"/>
          <w:szCs w:val="18"/>
          <w:highlight w:val="none"/>
        </w:rPr>
      </w:pPr>
    </w:p>
    <w:p>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pPr>
        <w:pStyle w:val="7"/>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pPr>
        <w:pStyle w:val="7"/>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pStyle w:val="7"/>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pPr>
        <w:pStyle w:val="7"/>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pPr>
        <w:pStyle w:val="7"/>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pPr>
        <w:pStyle w:val="7"/>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pPr>
        <w:pStyle w:val="11"/>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pPr>
        <w:pStyle w:val="48"/>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pPr>
        <w:pStyle w:val="11"/>
        <w:spacing w:line="360" w:lineRule="auto"/>
        <w:jc w:val="center"/>
        <w:outlineLvl w:val="9"/>
        <w:rPr>
          <w:rFonts w:hint="eastAsia" w:ascii="宋体" w:hAnsi="宋体" w:eastAsia="宋体" w:cs="宋体"/>
          <w:b/>
          <w:color w:val="auto"/>
          <w:sz w:val="32"/>
          <w:szCs w:val="32"/>
          <w:highlight w:val="none"/>
          <w:lang w:val="en-GB"/>
        </w:rPr>
      </w:pPr>
    </w:p>
    <w:p>
      <w:pPr>
        <w:pStyle w:val="11"/>
        <w:spacing w:line="360" w:lineRule="auto"/>
        <w:jc w:val="center"/>
        <w:outlineLvl w:val="9"/>
        <w:rPr>
          <w:rFonts w:hint="eastAsia" w:ascii="宋体" w:hAnsi="宋体" w:eastAsia="宋体" w:cs="宋体"/>
          <w:b/>
          <w:color w:val="auto"/>
          <w:sz w:val="32"/>
          <w:szCs w:val="32"/>
          <w:highlight w:val="none"/>
          <w:lang w:val="en-GB"/>
        </w:rPr>
      </w:pPr>
    </w:p>
    <w:p>
      <w:pPr>
        <w:pStyle w:val="11"/>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pPr>
        <w:tabs>
          <w:tab w:val="left" w:pos="4860"/>
        </w:tabs>
        <w:spacing w:line="360" w:lineRule="auto"/>
        <w:ind w:right="1560" w:firstLine="420" w:firstLineChars="2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法定代表人（签章）：</w:t>
      </w:r>
    </w:p>
    <w:p>
      <w:pPr>
        <w:tabs>
          <w:tab w:val="left" w:pos="4860"/>
        </w:tabs>
        <w:spacing w:line="360" w:lineRule="auto"/>
        <w:ind w:right="1560" w:firstLine="444"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pPr>
        <w:pStyle w:val="48"/>
        <w:spacing w:line="360" w:lineRule="auto"/>
        <w:rPr>
          <w:rFonts w:hint="eastAsia" w:ascii="宋体" w:hAnsi="宋体" w:eastAsia="宋体" w:cs="宋体"/>
          <w:b/>
          <w:color w:val="auto"/>
          <w:sz w:val="28"/>
          <w:szCs w:val="28"/>
          <w:highlight w:val="none"/>
        </w:rPr>
      </w:pPr>
    </w:p>
    <w:p>
      <w:pPr>
        <w:pStyle w:val="48"/>
        <w:spacing w:line="360" w:lineRule="auto"/>
        <w:rPr>
          <w:rFonts w:hint="eastAsia" w:ascii="宋体" w:hAnsi="宋体" w:eastAsia="宋体" w:cs="宋体"/>
          <w:b/>
          <w:color w:val="auto"/>
          <w:sz w:val="28"/>
          <w:szCs w:val="28"/>
          <w:highlight w:val="none"/>
        </w:rPr>
      </w:pPr>
    </w:p>
    <w:p>
      <w:pPr>
        <w:pStyle w:val="48"/>
        <w:spacing w:line="360" w:lineRule="auto"/>
        <w:rPr>
          <w:rFonts w:hint="eastAsia" w:ascii="宋体" w:hAnsi="宋体" w:eastAsia="宋体" w:cs="宋体"/>
          <w:b/>
          <w:color w:val="auto"/>
          <w:sz w:val="28"/>
          <w:szCs w:val="28"/>
          <w:highlight w:val="none"/>
        </w:rPr>
      </w:pPr>
    </w:p>
    <w:p>
      <w:pPr>
        <w:pStyle w:val="48"/>
        <w:spacing w:line="360" w:lineRule="auto"/>
        <w:rPr>
          <w:rFonts w:hint="eastAsia" w:ascii="宋体" w:hAnsi="宋体" w:eastAsia="宋体" w:cs="宋体"/>
          <w:b/>
          <w:color w:val="auto"/>
          <w:sz w:val="28"/>
          <w:szCs w:val="28"/>
          <w:highlight w:val="none"/>
        </w:rPr>
      </w:pPr>
    </w:p>
    <w:p>
      <w:pPr>
        <w:pStyle w:val="48"/>
        <w:spacing w:line="360" w:lineRule="auto"/>
        <w:rPr>
          <w:rFonts w:hint="eastAsia" w:ascii="宋体" w:hAnsi="宋体" w:eastAsia="宋体" w:cs="宋体"/>
          <w:b/>
          <w:color w:val="auto"/>
          <w:sz w:val="28"/>
          <w:szCs w:val="28"/>
          <w:highlight w:val="none"/>
        </w:rPr>
      </w:pPr>
    </w:p>
    <w:p>
      <w:pPr>
        <w:pStyle w:val="48"/>
        <w:spacing w:line="360" w:lineRule="auto"/>
        <w:rPr>
          <w:rFonts w:hint="eastAsia" w:ascii="宋体" w:hAnsi="宋体" w:eastAsia="宋体" w:cs="宋体"/>
          <w:b/>
          <w:color w:val="auto"/>
          <w:sz w:val="28"/>
          <w:szCs w:val="28"/>
          <w:highlight w:val="none"/>
        </w:rPr>
      </w:pPr>
    </w:p>
    <w:p>
      <w:pPr>
        <w:pStyle w:val="7"/>
        <w:jc w:val="both"/>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21</w:t>
    </w:r>
    <w:r>
      <w:fldChar w:fldCharType="end"/>
    </w:r>
  </w:p>
  <w:p>
    <w:pPr>
      <w:pStyle w:val="14"/>
      <w:ind w:right="720"/>
      <w:rPr>
        <w:rFonts w:hint="eastAsia"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2023年路桥区建设用地规划条件咨询论证项目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hint="eastAs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YzgxY2JmZWNkZDQxM2QwY2NiMTgxNmRkN2U5ZjAifQ=="/>
  </w:docVars>
  <w:rsids>
    <w:rsidRoot w:val="00BE3149"/>
    <w:rsid w:val="0008396C"/>
    <w:rsid w:val="003C6577"/>
    <w:rsid w:val="00532108"/>
    <w:rsid w:val="009C6908"/>
    <w:rsid w:val="009E7B9B"/>
    <w:rsid w:val="00BE3149"/>
    <w:rsid w:val="00D27694"/>
    <w:rsid w:val="00E04ED8"/>
    <w:rsid w:val="00FF74E6"/>
    <w:rsid w:val="01102460"/>
    <w:rsid w:val="014F4893"/>
    <w:rsid w:val="016D4C32"/>
    <w:rsid w:val="017C3457"/>
    <w:rsid w:val="02380D19"/>
    <w:rsid w:val="0263032B"/>
    <w:rsid w:val="02640231"/>
    <w:rsid w:val="02775E4F"/>
    <w:rsid w:val="027C6FB6"/>
    <w:rsid w:val="02936A01"/>
    <w:rsid w:val="02FB2E2F"/>
    <w:rsid w:val="03DB2F69"/>
    <w:rsid w:val="040108ED"/>
    <w:rsid w:val="042C2C6A"/>
    <w:rsid w:val="043F7FC4"/>
    <w:rsid w:val="054715CB"/>
    <w:rsid w:val="066E153A"/>
    <w:rsid w:val="067811B7"/>
    <w:rsid w:val="06BA455D"/>
    <w:rsid w:val="073A3E1D"/>
    <w:rsid w:val="07762B7A"/>
    <w:rsid w:val="07C66759"/>
    <w:rsid w:val="08390248"/>
    <w:rsid w:val="084A3762"/>
    <w:rsid w:val="08822F00"/>
    <w:rsid w:val="09125675"/>
    <w:rsid w:val="094B2DCA"/>
    <w:rsid w:val="09E03F7D"/>
    <w:rsid w:val="09F33DD0"/>
    <w:rsid w:val="09FA67D3"/>
    <w:rsid w:val="0A456833"/>
    <w:rsid w:val="0ADB7197"/>
    <w:rsid w:val="0AF64F0D"/>
    <w:rsid w:val="0C3C5E3F"/>
    <w:rsid w:val="0CA644D6"/>
    <w:rsid w:val="0CAF268A"/>
    <w:rsid w:val="0CE33205"/>
    <w:rsid w:val="0D1F4CD0"/>
    <w:rsid w:val="0D434630"/>
    <w:rsid w:val="0D4A420F"/>
    <w:rsid w:val="0EC71F0D"/>
    <w:rsid w:val="0F7E6199"/>
    <w:rsid w:val="0F9811B3"/>
    <w:rsid w:val="0FE74D1C"/>
    <w:rsid w:val="10156CA8"/>
    <w:rsid w:val="10452B67"/>
    <w:rsid w:val="10667FE4"/>
    <w:rsid w:val="109F2C30"/>
    <w:rsid w:val="11A007F3"/>
    <w:rsid w:val="11FD7F18"/>
    <w:rsid w:val="121665CB"/>
    <w:rsid w:val="1262442D"/>
    <w:rsid w:val="12EC03CE"/>
    <w:rsid w:val="13512CAE"/>
    <w:rsid w:val="13CE5AEB"/>
    <w:rsid w:val="140034B3"/>
    <w:rsid w:val="148836A9"/>
    <w:rsid w:val="14A639E9"/>
    <w:rsid w:val="14B84A16"/>
    <w:rsid w:val="153A0A52"/>
    <w:rsid w:val="15782F5D"/>
    <w:rsid w:val="15AE730C"/>
    <w:rsid w:val="15D11224"/>
    <w:rsid w:val="16403DB7"/>
    <w:rsid w:val="168339D9"/>
    <w:rsid w:val="171D6CDD"/>
    <w:rsid w:val="172D30C4"/>
    <w:rsid w:val="17461D47"/>
    <w:rsid w:val="17B9072C"/>
    <w:rsid w:val="17D2330C"/>
    <w:rsid w:val="18156985"/>
    <w:rsid w:val="18DF42FB"/>
    <w:rsid w:val="194F4FD8"/>
    <w:rsid w:val="19CE3838"/>
    <w:rsid w:val="19E91112"/>
    <w:rsid w:val="1ABD6982"/>
    <w:rsid w:val="1B561DD8"/>
    <w:rsid w:val="1BCC21E4"/>
    <w:rsid w:val="1C1B3898"/>
    <w:rsid w:val="1C6012AB"/>
    <w:rsid w:val="1C6D212E"/>
    <w:rsid w:val="1C7E5C21"/>
    <w:rsid w:val="1CB87339"/>
    <w:rsid w:val="1CC61F19"/>
    <w:rsid w:val="1CCC7197"/>
    <w:rsid w:val="1CE74F29"/>
    <w:rsid w:val="1D465475"/>
    <w:rsid w:val="1D942BD2"/>
    <w:rsid w:val="1E831280"/>
    <w:rsid w:val="1EB63606"/>
    <w:rsid w:val="1EF07297"/>
    <w:rsid w:val="1F02489B"/>
    <w:rsid w:val="1F162724"/>
    <w:rsid w:val="1F323A94"/>
    <w:rsid w:val="1F4D46CF"/>
    <w:rsid w:val="201C7B31"/>
    <w:rsid w:val="20914375"/>
    <w:rsid w:val="20B74641"/>
    <w:rsid w:val="20ED3C16"/>
    <w:rsid w:val="218642E0"/>
    <w:rsid w:val="21AD4952"/>
    <w:rsid w:val="224700DF"/>
    <w:rsid w:val="22500B0D"/>
    <w:rsid w:val="22A21625"/>
    <w:rsid w:val="235C0A1E"/>
    <w:rsid w:val="23700025"/>
    <w:rsid w:val="23D6517B"/>
    <w:rsid w:val="23F20755"/>
    <w:rsid w:val="242B382A"/>
    <w:rsid w:val="244D0DE2"/>
    <w:rsid w:val="246275B1"/>
    <w:rsid w:val="246C63AE"/>
    <w:rsid w:val="24747223"/>
    <w:rsid w:val="25C5310A"/>
    <w:rsid w:val="25F57137"/>
    <w:rsid w:val="260A73EB"/>
    <w:rsid w:val="26151D6C"/>
    <w:rsid w:val="26154EB4"/>
    <w:rsid w:val="261734BA"/>
    <w:rsid w:val="266C3097"/>
    <w:rsid w:val="26F471BF"/>
    <w:rsid w:val="27453C23"/>
    <w:rsid w:val="27700167"/>
    <w:rsid w:val="28224FE0"/>
    <w:rsid w:val="286F025A"/>
    <w:rsid w:val="28DF5DEA"/>
    <w:rsid w:val="29C52829"/>
    <w:rsid w:val="2A5728D1"/>
    <w:rsid w:val="2B2C33CC"/>
    <w:rsid w:val="2BD672B2"/>
    <w:rsid w:val="2BE9306B"/>
    <w:rsid w:val="2C2D62E9"/>
    <w:rsid w:val="2C6771A5"/>
    <w:rsid w:val="2CA376BD"/>
    <w:rsid w:val="2CDD2C0B"/>
    <w:rsid w:val="2D17374A"/>
    <w:rsid w:val="2D574004"/>
    <w:rsid w:val="2D580808"/>
    <w:rsid w:val="2D96734F"/>
    <w:rsid w:val="2ED77AD3"/>
    <w:rsid w:val="2EFA2366"/>
    <w:rsid w:val="2F7B1BB4"/>
    <w:rsid w:val="2FC242FE"/>
    <w:rsid w:val="30EB3632"/>
    <w:rsid w:val="31200E86"/>
    <w:rsid w:val="31F167D5"/>
    <w:rsid w:val="323740AF"/>
    <w:rsid w:val="32BD7223"/>
    <w:rsid w:val="32E75CE4"/>
    <w:rsid w:val="32E94054"/>
    <w:rsid w:val="33012F73"/>
    <w:rsid w:val="33413EC8"/>
    <w:rsid w:val="334C40D6"/>
    <w:rsid w:val="346924F4"/>
    <w:rsid w:val="34772ADD"/>
    <w:rsid w:val="35173E74"/>
    <w:rsid w:val="36365E7F"/>
    <w:rsid w:val="36673390"/>
    <w:rsid w:val="36D706BD"/>
    <w:rsid w:val="3719792A"/>
    <w:rsid w:val="37461371"/>
    <w:rsid w:val="375E3075"/>
    <w:rsid w:val="37D96314"/>
    <w:rsid w:val="37EE586E"/>
    <w:rsid w:val="389654BC"/>
    <w:rsid w:val="389B23EA"/>
    <w:rsid w:val="38E47094"/>
    <w:rsid w:val="390E4110"/>
    <w:rsid w:val="395522EA"/>
    <w:rsid w:val="3A316D41"/>
    <w:rsid w:val="3A666E97"/>
    <w:rsid w:val="3A7A6F1E"/>
    <w:rsid w:val="3ADE5E41"/>
    <w:rsid w:val="3DE73182"/>
    <w:rsid w:val="3E0F771B"/>
    <w:rsid w:val="3E41042A"/>
    <w:rsid w:val="3E6972FC"/>
    <w:rsid w:val="3F1955BD"/>
    <w:rsid w:val="3F95513E"/>
    <w:rsid w:val="4033575D"/>
    <w:rsid w:val="42457BF3"/>
    <w:rsid w:val="42582BBB"/>
    <w:rsid w:val="431E5B9D"/>
    <w:rsid w:val="434C2833"/>
    <w:rsid w:val="4364349F"/>
    <w:rsid w:val="43994F1E"/>
    <w:rsid w:val="44157670"/>
    <w:rsid w:val="45DC44DD"/>
    <w:rsid w:val="46615B41"/>
    <w:rsid w:val="47C11F07"/>
    <w:rsid w:val="47E6400B"/>
    <w:rsid w:val="4957740E"/>
    <w:rsid w:val="496F3A60"/>
    <w:rsid w:val="4A176B9D"/>
    <w:rsid w:val="4A4275CD"/>
    <w:rsid w:val="4B261513"/>
    <w:rsid w:val="4BFD7FF6"/>
    <w:rsid w:val="4C0E0CA0"/>
    <w:rsid w:val="4C5F1AE8"/>
    <w:rsid w:val="4CF72E0A"/>
    <w:rsid w:val="4DFA74A7"/>
    <w:rsid w:val="4E164181"/>
    <w:rsid w:val="4E3623E0"/>
    <w:rsid w:val="4F751FDB"/>
    <w:rsid w:val="4FCF0F45"/>
    <w:rsid w:val="503F7B98"/>
    <w:rsid w:val="50AA7C6B"/>
    <w:rsid w:val="512F48CB"/>
    <w:rsid w:val="51376036"/>
    <w:rsid w:val="51B42C71"/>
    <w:rsid w:val="51F36142"/>
    <w:rsid w:val="51F438E6"/>
    <w:rsid w:val="52103381"/>
    <w:rsid w:val="52505342"/>
    <w:rsid w:val="52E361B6"/>
    <w:rsid w:val="539063B7"/>
    <w:rsid w:val="54206A1C"/>
    <w:rsid w:val="54CF56D2"/>
    <w:rsid w:val="551C2C42"/>
    <w:rsid w:val="55320D2F"/>
    <w:rsid w:val="5542113A"/>
    <w:rsid w:val="55760C1C"/>
    <w:rsid w:val="55BE344A"/>
    <w:rsid w:val="5647442E"/>
    <w:rsid w:val="566A1031"/>
    <w:rsid w:val="567459BC"/>
    <w:rsid w:val="56982E14"/>
    <w:rsid w:val="56C44602"/>
    <w:rsid w:val="576854F7"/>
    <w:rsid w:val="576A2A02"/>
    <w:rsid w:val="5801790F"/>
    <w:rsid w:val="580B08CE"/>
    <w:rsid w:val="59613991"/>
    <w:rsid w:val="597F518E"/>
    <w:rsid w:val="59BD2FCE"/>
    <w:rsid w:val="59C00238"/>
    <w:rsid w:val="5A03762B"/>
    <w:rsid w:val="5A201958"/>
    <w:rsid w:val="5A2118E4"/>
    <w:rsid w:val="5AB04BD0"/>
    <w:rsid w:val="5B191B05"/>
    <w:rsid w:val="5B1C2A1D"/>
    <w:rsid w:val="5BB23588"/>
    <w:rsid w:val="5CC35C70"/>
    <w:rsid w:val="5D431D2B"/>
    <w:rsid w:val="5D437F7D"/>
    <w:rsid w:val="5D634E68"/>
    <w:rsid w:val="5E482992"/>
    <w:rsid w:val="5E802598"/>
    <w:rsid w:val="5EA54320"/>
    <w:rsid w:val="5F350F9E"/>
    <w:rsid w:val="5F4D6E91"/>
    <w:rsid w:val="5FCF5AF8"/>
    <w:rsid w:val="5FE071C5"/>
    <w:rsid w:val="5FEF2237"/>
    <w:rsid w:val="601B6DA8"/>
    <w:rsid w:val="60306A6C"/>
    <w:rsid w:val="60484F6C"/>
    <w:rsid w:val="61C3168D"/>
    <w:rsid w:val="61CC6311"/>
    <w:rsid w:val="62902BCA"/>
    <w:rsid w:val="6394251A"/>
    <w:rsid w:val="63971026"/>
    <w:rsid w:val="64993389"/>
    <w:rsid w:val="64A11290"/>
    <w:rsid w:val="652B6918"/>
    <w:rsid w:val="65EA56BD"/>
    <w:rsid w:val="664E3797"/>
    <w:rsid w:val="668B5E5F"/>
    <w:rsid w:val="66950943"/>
    <w:rsid w:val="66966875"/>
    <w:rsid w:val="669730E8"/>
    <w:rsid w:val="66E62AEE"/>
    <w:rsid w:val="67566AFF"/>
    <w:rsid w:val="6773145F"/>
    <w:rsid w:val="679A4C3E"/>
    <w:rsid w:val="679B7A26"/>
    <w:rsid w:val="67CE326A"/>
    <w:rsid w:val="68A5736D"/>
    <w:rsid w:val="69703D8E"/>
    <w:rsid w:val="697B20D6"/>
    <w:rsid w:val="69DE43E3"/>
    <w:rsid w:val="6A0000E9"/>
    <w:rsid w:val="6A341737"/>
    <w:rsid w:val="6AD211AF"/>
    <w:rsid w:val="6B0242A5"/>
    <w:rsid w:val="6B136E3A"/>
    <w:rsid w:val="6C172D01"/>
    <w:rsid w:val="6C837317"/>
    <w:rsid w:val="6D1A1ED8"/>
    <w:rsid w:val="6D643BB1"/>
    <w:rsid w:val="6D6650BB"/>
    <w:rsid w:val="6DA724FC"/>
    <w:rsid w:val="6DFC2656"/>
    <w:rsid w:val="6E57588E"/>
    <w:rsid w:val="6E9D43F5"/>
    <w:rsid w:val="6F0155A2"/>
    <w:rsid w:val="6F52577A"/>
    <w:rsid w:val="6FA462B1"/>
    <w:rsid w:val="6FB47993"/>
    <w:rsid w:val="70637FAA"/>
    <w:rsid w:val="708C3591"/>
    <w:rsid w:val="70C3769A"/>
    <w:rsid w:val="71641E18"/>
    <w:rsid w:val="71DF5AF3"/>
    <w:rsid w:val="720C7DC2"/>
    <w:rsid w:val="7400407A"/>
    <w:rsid w:val="7412605D"/>
    <w:rsid w:val="742D2858"/>
    <w:rsid w:val="745E47BB"/>
    <w:rsid w:val="748266FC"/>
    <w:rsid w:val="7530098F"/>
    <w:rsid w:val="7537199C"/>
    <w:rsid w:val="75D44605"/>
    <w:rsid w:val="767D593D"/>
    <w:rsid w:val="76E605BF"/>
    <w:rsid w:val="770A7D21"/>
    <w:rsid w:val="77B30B9F"/>
    <w:rsid w:val="78BA7D06"/>
    <w:rsid w:val="78E41C51"/>
    <w:rsid w:val="794B1483"/>
    <w:rsid w:val="79764D83"/>
    <w:rsid w:val="79845717"/>
    <w:rsid w:val="79B969C0"/>
    <w:rsid w:val="79E635AB"/>
    <w:rsid w:val="79FF7AF6"/>
    <w:rsid w:val="7AE5221C"/>
    <w:rsid w:val="7B1D1782"/>
    <w:rsid w:val="7B2F5245"/>
    <w:rsid w:val="7B376CA9"/>
    <w:rsid w:val="7B447CBA"/>
    <w:rsid w:val="7BAA7A6F"/>
    <w:rsid w:val="7BEB0099"/>
    <w:rsid w:val="7C4F57E3"/>
    <w:rsid w:val="7CB7529B"/>
    <w:rsid w:val="7D404558"/>
    <w:rsid w:val="7DBD0412"/>
    <w:rsid w:val="7E2131B9"/>
    <w:rsid w:val="7E4E7602"/>
    <w:rsid w:val="7EE5787B"/>
    <w:rsid w:val="7F40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4、正文"/>
    <w:basedOn w:val="1"/>
    <w:qFormat/>
    <w:uiPriority w:val="0"/>
    <w:pPr>
      <w:ind w:firstLine="200" w:firstLineChars="200"/>
    </w:pPr>
    <w:rPr>
      <w:rFonts w:ascii="宋体"/>
      <w:sz w:val="24"/>
      <w:szCs w:val="28"/>
    </w:rPr>
  </w:style>
  <w:style w:type="paragraph" w:styleId="6">
    <w:name w:val="Normal Indent"/>
    <w:basedOn w:val="1"/>
    <w:qFormat/>
    <w:uiPriority w:val="0"/>
    <w:pPr>
      <w:ind w:firstLine="420"/>
    </w:pPr>
    <w:rPr>
      <w:szCs w:val="20"/>
    </w:rPr>
  </w:style>
  <w:style w:type="paragraph" w:styleId="7">
    <w:name w:val="Body Text"/>
    <w:basedOn w:val="1"/>
    <w:next w:val="8"/>
    <w:link w:val="31"/>
    <w:semiHidden/>
    <w:unhideWhenUsed/>
    <w:qFormat/>
    <w:uiPriority w:val="99"/>
    <w:pPr>
      <w:spacing w:after="120"/>
    </w:pPr>
  </w:style>
  <w:style w:type="paragraph" w:styleId="8">
    <w:name w:val="Body Text First Indent"/>
    <w:basedOn w:val="7"/>
    <w:next w:val="1"/>
    <w:qFormat/>
    <w:uiPriority w:val="0"/>
    <w:pPr>
      <w:ind w:firstLine="420" w:firstLineChars="100"/>
    </w:pPr>
  </w:style>
  <w:style w:type="paragraph" w:styleId="9">
    <w:name w:val="Body Text Indent"/>
    <w:basedOn w:val="1"/>
    <w:next w:val="1"/>
    <w:link w:val="32"/>
    <w:qFormat/>
    <w:uiPriority w:val="99"/>
    <w:pPr>
      <w:spacing w:after="120"/>
      <w:ind w:left="420" w:leftChars="200"/>
    </w:pPr>
  </w:style>
  <w:style w:type="paragraph" w:styleId="10">
    <w:name w:val="Block Text"/>
    <w:basedOn w:val="1"/>
    <w:qFormat/>
    <w:uiPriority w:val="0"/>
    <w:pPr>
      <w:adjustRightInd w:val="0"/>
      <w:snapToGrid w:val="0"/>
      <w:spacing w:line="360" w:lineRule="auto"/>
      <w:ind w:left="567" w:leftChars="270" w:rightChars="-150" w:firstLine="480" w:firstLineChars="200"/>
    </w:pPr>
    <w:rPr>
      <w:rFonts w:ascii="宋体"/>
      <w:sz w:val="24"/>
    </w:r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99"/>
    <w:pPr>
      <w:ind w:left="2500" w:leftChars="2500"/>
    </w:pPr>
    <w:rPr>
      <w:rFonts w:ascii="Calibri" w:hAnsi="Calibri" w:eastAsia="楷体_GB2312"/>
      <w:sz w:val="32"/>
      <w:szCs w:val="22"/>
    </w:rPr>
  </w:style>
  <w:style w:type="paragraph" w:styleId="13">
    <w:name w:val="Balloon Text"/>
    <w:basedOn w:val="1"/>
    <w:link w:val="33"/>
    <w:semiHidden/>
    <w:unhideWhenUsed/>
    <w:qFormat/>
    <w:uiPriority w:val="99"/>
    <w:rPr>
      <w:sz w:val="18"/>
      <w:szCs w:val="18"/>
    </w:rPr>
  </w:style>
  <w:style w:type="paragraph" w:styleId="14">
    <w:name w:val="footer"/>
    <w:basedOn w:val="1"/>
    <w:link w:val="3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qFormat/>
    <w:uiPriority w:val="39"/>
    <w:pPr>
      <w:widowControl/>
      <w:tabs>
        <w:tab w:val="right" w:leader="dot" w:pos="9060"/>
      </w:tabs>
      <w:spacing w:before="120" w:after="120"/>
      <w:jc w:val="left"/>
    </w:pPr>
    <w:rPr>
      <w:b/>
      <w:bCs/>
      <w:caps/>
      <w:kern w:val="0"/>
      <w:sz w:val="24"/>
      <w:szCs w:val="24"/>
      <w:lang w:eastAsia="en-US" w:bidi="en-US"/>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Body Text First Indent 2"/>
    <w:basedOn w:val="9"/>
    <w:qFormat/>
    <w:uiPriority w:val="0"/>
    <w:pPr>
      <w:ind w:firstLine="42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rFonts w:ascii="Tahoma" w:hAnsi="Tahoma" w:cs="Tahoma"/>
      <w:b/>
      <w:sz w:val="24"/>
    </w:rPr>
  </w:style>
  <w:style w:type="character" w:styleId="25">
    <w:name w:val="page number"/>
    <w:basedOn w:val="23"/>
    <w:qFormat/>
    <w:uiPriority w:val="0"/>
  </w:style>
  <w:style w:type="character" w:styleId="26">
    <w:name w:val="Hyperlink"/>
    <w:unhideWhenUsed/>
    <w:qFormat/>
    <w:uiPriority w:val="0"/>
    <w:rPr>
      <w:color w:val="0000FF"/>
      <w:u w:val="single"/>
    </w:rPr>
  </w:style>
  <w:style w:type="paragraph" w:customStyle="1" w:styleId="27">
    <w:name w:val="[Normal]"/>
    <w:qFormat/>
    <w:uiPriority w:val="0"/>
    <w:rPr>
      <w:rFonts w:ascii="宋体" w:hAnsi="宋体" w:eastAsia="宋体" w:cs="Times New Roman"/>
      <w:sz w:val="24"/>
      <w:szCs w:val="22"/>
      <w:lang w:val="zh-CN" w:eastAsia="zh-CN" w:bidi="ar-SA"/>
    </w:rPr>
  </w:style>
  <w:style w:type="paragraph" w:customStyle="1" w:styleId="28">
    <w:name w:val="正文首行缩进1"/>
    <w:basedOn w:val="7"/>
    <w:qFormat/>
    <w:uiPriority w:val="0"/>
    <w:pPr>
      <w:ind w:firstLine="420" w:firstLineChars="100"/>
    </w:pPr>
  </w:style>
  <w:style w:type="character" w:customStyle="1" w:styleId="29">
    <w:name w:val="页眉 Char"/>
    <w:basedOn w:val="23"/>
    <w:link w:val="15"/>
    <w:semiHidden/>
    <w:qFormat/>
    <w:uiPriority w:val="99"/>
    <w:rPr>
      <w:sz w:val="18"/>
      <w:szCs w:val="18"/>
    </w:rPr>
  </w:style>
  <w:style w:type="character" w:customStyle="1" w:styleId="30">
    <w:name w:val="页脚 Char"/>
    <w:basedOn w:val="23"/>
    <w:link w:val="14"/>
    <w:semiHidden/>
    <w:qFormat/>
    <w:uiPriority w:val="99"/>
    <w:rPr>
      <w:sz w:val="18"/>
      <w:szCs w:val="18"/>
    </w:rPr>
  </w:style>
  <w:style w:type="character" w:customStyle="1" w:styleId="31">
    <w:name w:val="正文文本 Char"/>
    <w:basedOn w:val="23"/>
    <w:link w:val="7"/>
    <w:semiHidden/>
    <w:qFormat/>
    <w:uiPriority w:val="99"/>
    <w:rPr>
      <w:rFonts w:ascii="Times New Roman" w:hAnsi="Times New Roman" w:eastAsia="宋体" w:cs="Times New Roman"/>
      <w:szCs w:val="24"/>
    </w:rPr>
  </w:style>
  <w:style w:type="character" w:customStyle="1" w:styleId="32">
    <w:name w:val="正文文本缩进 Char"/>
    <w:basedOn w:val="23"/>
    <w:link w:val="9"/>
    <w:qFormat/>
    <w:uiPriority w:val="99"/>
    <w:rPr>
      <w:rFonts w:ascii="Times New Roman" w:hAnsi="Times New Roman" w:eastAsia="宋体" w:cs="Times New Roman"/>
      <w:szCs w:val="24"/>
    </w:rPr>
  </w:style>
  <w:style w:type="character" w:customStyle="1" w:styleId="33">
    <w:name w:val="批注框文本 Char"/>
    <w:basedOn w:val="23"/>
    <w:link w:val="13"/>
    <w:semiHidden/>
    <w:qFormat/>
    <w:uiPriority w:val="99"/>
    <w:rPr>
      <w:rFonts w:ascii="Times New Roman" w:hAnsi="Times New Roman" w:eastAsia="宋体" w:cs="Times New Roman"/>
      <w:sz w:val="18"/>
      <w:szCs w:val="18"/>
    </w:rPr>
  </w:style>
  <w:style w:type="character" w:customStyle="1" w:styleId="34">
    <w:name w:val="无"/>
    <w:qFormat/>
    <w:uiPriority w:val="99"/>
  </w:style>
  <w:style w:type="paragraph" w:customStyle="1" w:styleId="35">
    <w:name w:val="表格文字"/>
    <w:basedOn w:val="1"/>
    <w:next w:val="7"/>
    <w:qFormat/>
    <w:uiPriority w:val="99"/>
    <w:pPr>
      <w:adjustRightInd w:val="0"/>
      <w:spacing w:line="420" w:lineRule="atLeast"/>
      <w:jc w:val="left"/>
      <w:textAlignment w:val="baseline"/>
    </w:pPr>
    <w:rPr>
      <w:kern w:val="0"/>
    </w:rPr>
  </w:style>
  <w:style w:type="paragraph" w:customStyle="1" w:styleId="36">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99"/>
    <w:rPr>
      <w:rFonts w:ascii="Times New Roman" w:hAnsi="Times New Roman" w:eastAsia="宋体" w:cs="Times New Roman"/>
      <w:sz w:val="21"/>
      <w:szCs w:val="22"/>
      <w:lang w:val="en-US" w:eastAsia="zh-CN" w:bidi="ar-SA"/>
    </w:rPr>
  </w:style>
  <w:style w:type="paragraph" w:customStyle="1" w:styleId="41">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99"/>
    <w:pPr>
      <w:widowControl/>
      <w:jc w:val="left"/>
    </w:pPr>
    <w:rPr>
      <w:rFonts w:ascii="宋体" w:hAnsi="Courier New"/>
      <w:szCs w:val="21"/>
    </w:rPr>
  </w:style>
  <w:style w:type="paragraph" w:customStyle="1" w:styleId="45">
    <w:name w:val="纯文本_0_1"/>
    <w:basedOn w:val="1"/>
    <w:qFormat/>
    <w:uiPriority w:val="99"/>
    <w:pPr>
      <w:widowControl/>
      <w:jc w:val="left"/>
    </w:pPr>
    <w:rPr>
      <w:rFonts w:ascii="宋体" w:hAnsi="Courier New"/>
      <w:szCs w:val="21"/>
    </w:rPr>
  </w:style>
  <w:style w:type="paragraph" w:customStyle="1" w:styleId="46">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1">
    <w:name w:val="p0"/>
    <w:basedOn w:val="1"/>
    <w:qFormat/>
    <w:uiPriority w:val="0"/>
    <w:pPr>
      <w:widowControl/>
    </w:pPr>
    <w:rPr>
      <w:rFonts w:ascii="Calibri" w:hAnsi="Calibri" w:cs="宋体"/>
      <w:kern w:val="0"/>
      <w:szCs w:val="21"/>
    </w:rPr>
  </w:style>
  <w:style w:type="paragraph" w:styleId="52">
    <w:name w:val="List Paragraph"/>
    <w:basedOn w:val="1"/>
    <w:qFormat/>
    <w:uiPriority w:val="0"/>
    <w:pPr>
      <w:ind w:firstLine="420" w:firstLineChars="200"/>
    </w:pPr>
    <w:rPr>
      <w:szCs w:val="24"/>
    </w:rPr>
  </w:style>
  <w:style w:type="paragraph" w:customStyle="1" w:styleId="53">
    <w:name w:val="纯文本1"/>
    <w:basedOn w:val="50"/>
    <w:qFormat/>
    <w:uiPriority w:val="0"/>
    <w:pPr>
      <w:widowControl/>
      <w:jc w:val="left"/>
    </w:pPr>
    <w:rPr>
      <w:rFonts w:ascii="宋体" w:hAnsi="Courier New"/>
      <w:szCs w:val="20"/>
    </w:rPr>
  </w:style>
  <w:style w:type="paragraph" w:customStyle="1" w:styleId="54">
    <w:name w:val="正文（首行缩进2字符）"/>
    <w:basedOn w:val="1"/>
    <w:qFormat/>
    <w:uiPriority w:val="0"/>
    <w:pPr>
      <w:ind w:firstLine="480" w:firstLineChars="200"/>
    </w:pPr>
    <w:rPr>
      <w:sz w:val="24"/>
      <w:szCs w:val="20"/>
    </w:rPr>
  </w:style>
  <w:style w:type="character" w:customStyle="1" w:styleId="55">
    <w:name w:val="NormalCharacter"/>
    <w:semiHidden/>
    <w:qFormat/>
    <w:uiPriority w:val="0"/>
  </w:style>
  <w:style w:type="paragraph" w:customStyle="1" w:styleId="56">
    <w:name w:val="正文2"/>
    <w:basedOn w:val="1"/>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35660</Words>
  <Characters>38466</Characters>
  <Lines>1</Lines>
  <Paragraphs>1</Paragraphs>
  <TotalTime>0</TotalTime>
  <ScaleCrop>false</ScaleCrop>
  <LinksUpToDate>false</LinksUpToDate>
  <CharactersWithSpaces>39741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黄桃蛋挞</cp:lastModifiedBy>
  <dcterms:modified xsi:type="dcterms:W3CDTF">2023-02-10T08:27:02Z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0F64B12D02D64BFB85D112D5CD5D56FB</vt:lpwstr>
  </property>
  <property fmtid="{D5CDD505-2E9C-101B-9397-08002B2CF9AE}" pid="4" name="commondata">
    <vt:lpwstr>eyJoZGlkIjoiNmNiNWQzMTIyZDkyNWQ5MzYxMmQ5MTE1ZmU3YjE0M2QifQ==</vt:lpwstr>
  </property>
</Properties>
</file>