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color w:val="auto"/>
          <w:highlight w:val="none"/>
        </w:rPr>
      </w:pPr>
    </w:p>
    <w:p>
      <w:pPr>
        <w:pStyle w:val="2"/>
        <w:jc w:val="center"/>
        <w:rPr>
          <w:color w:val="auto"/>
          <w:highlight w:val="none"/>
        </w:rPr>
      </w:pPr>
      <w:r>
        <w:rPr>
          <w:color w:val="auto"/>
          <w:highlight w:val="none"/>
        </w:rPr>
        <w:drawing>
          <wp:anchor distT="0" distB="0" distL="0" distR="0" simplePos="0" relativeHeight="251662336"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pPr>
        <w:pStyle w:val="2"/>
        <w:jc w:val="center"/>
        <w:rPr>
          <w:color w:val="auto"/>
          <w:highlight w:val="none"/>
        </w:rPr>
      </w:pPr>
    </w:p>
    <w:p>
      <w:pPr>
        <w:pStyle w:val="2"/>
        <w:jc w:val="center"/>
        <w:rPr>
          <w:color w:val="auto"/>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84"/>
          <w:szCs w:val="84"/>
          <w:highlight w:val="none"/>
        </w:rPr>
      </w:pPr>
      <w:r>
        <w:rPr>
          <w:rFonts w:hint="eastAsia" w:asciiTheme="majorEastAsia" w:hAnsiTheme="majorEastAsia" w:eastAsiaTheme="majorEastAsia"/>
          <w:b/>
          <w:color w:val="auto"/>
          <w:kern w:val="0"/>
          <w:sz w:val="84"/>
          <w:szCs w:val="84"/>
          <w:highlight w:val="none"/>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84"/>
          <w:szCs w:val="84"/>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Theme="majorEastAsia" w:hAnsiTheme="majorEastAsia" w:eastAsiaTheme="majorEastAsia"/>
          <w:b/>
          <w:color w:val="auto"/>
          <w:kern w:val="0"/>
          <w:sz w:val="72"/>
          <w:szCs w:val="72"/>
          <w:highlight w:val="none"/>
        </w:rPr>
      </w:pPr>
      <w:r>
        <w:rPr>
          <w:rFonts w:hint="eastAsia" w:asciiTheme="majorEastAsia" w:hAnsiTheme="majorEastAsia" w:eastAsiaTheme="majorEastAsia"/>
          <w:b/>
          <w:color w:val="auto"/>
          <w:kern w:val="0"/>
          <w:sz w:val="72"/>
          <w:szCs w:val="72"/>
          <w:highlight w:val="none"/>
        </w:rPr>
        <w:t xml:space="preserve">   政府采购招标文件</w:t>
      </w:r>
    </w:p>
    <w:p>
      <w:pPr>
        <w:spacing w:line="360" w:lineRule="auto"/>
        <w:jc w:val="center"/>
        <w:rPr>
          <w:rFonts w:ascii="宋体"/>
          <w:color w:val="auto"/>
          <w:kern w:val="0"/>
          <w:sz w:val="28"/>
          <w:szCs w:val="28"/>
          <w:highlight w:val="none"/>
        </w:rPr>
      </w:pPr>
      <w:r>
        <w:rPr>
          <w:rFonts w:hint="eastAsia" w:ascii="宋体"/>
          <w:b/>
          <w:bCs/>
          <w:color w:val="auto"/>
          <w:kern w:val="0"/>
          <w:sz w:val="32"/>
          <w:szCs w:val="32"/>
          <w:highlight w:val="none"/>
        </w:rPr>
        <w:t>（电子招投标方式）</w:t>
      </w:r>
    </w:p>
    <w:p>
      <w:pPr>
        <w:spacing w:line="360" w:lineRule="auto"/>
        <w:jc w:val="center"/>
        <w:rPr>
          <w:rFonts w:ascii="仿宋" w:hAnsi="仿宋"/>
          <w:b/>
          <w:color w:val="auto"/>
          <w:kern w:val="0"/>
          <w:sz w:val="28"/>
          <w:szCs w:val="28"/>
          <w:highlight w:val="none"/>
        </w:rPr>
      </w:pPr>
      <w:r>
        <w:rPr>
          <w:rFonts w:hint="eastAsia" w:ascii="宋体"/>
          <w:color w:val="auto"/>
          <w:kern w:val="0"/>
          <w:sz w:val="28"/>
          <w:szCs w:val="28"/>
          <w:highlight w:val="none"/>
        </w:rPr>
        <w:t>项目编号：</w:t>
      </w:r>
      <w:r>
        <w:rPr>
          <w:rFonts w:hint="eastAsia" w:ascii="宋体"/>
          <w:color w:val="auto"/>
          <w:kern w:val="0"/>
          <w:sz w:val="28"/>
          <w:szCs w:val="28"/>
          <w:highlight w:val="none"/>
          <w:u w:val="single"/>
        </w:rPr>
        <w:t xml:space="preserve"> tzya2022-lq03 </w:t>
      </w:r>
    </w:p>
    <w:p>
      <w:pPr>
        <w:pStyle w:val="2"/>
        <w:jc w:val="center"/>
        <w:rPr>
          <w:color w:val="auto"/>
          <w:highlight w:val="none"/>
        </w:rPr>
      </w:pPr>
    </w:p>
    <w:p>
      <w:pPr>
        <w:pStyle w:val="2"/>
        <w:jc w:val="center"/>
        <w:rPr>
          <w:color w:val="auto"/>
          <w:highlight w:val="none"/>
        </w:rPr>
      </w:pPr>
    </w:p>
    <w:p>
      <w:pPr>
        <w:spacing w:line="360" w:lineRule="auto"/>
        <w:ind w:left="1405" w:hanging="1405" w:hangingChars="500"/>
        <w:jc w:val="center"/>
        <w:rPr>
          <w:color w:val="auto"/>
          <w:highlight w:val="none"/>
        </w:rPr>
      </w:pPr>
      <w:r>
        <w:rPr>
          <w:rFonts w:hint="eastAsia" w:ascii="宋体"/>
          <w:b/>
          <w:bCs/>
          <w:color w:val="auto"/>
          <w:kern w:val="0"/>
          <w:sz w:val="28"/>
          <w:szCs w:val="28"/>
          <w:highlight w:val="none"/>
        </w:rPr>
        <w:t>采购项目：</w:t>
      </w:r>
      <w:r>
        <w:rPr>
          <w:rFonts w:hint="eastAsia" w:ascii="宋体"/>
          <w:color w:val="auto"/>
          <w:kern w:val="0"/>
          <w:sz w:val="28"/>
          <w:szCs w:val="28"/>
          <w:highlight w:val="none"/>
          <w:u w:val="single"/>
        </w:rPr>
        <w:t xml:space="preserve"> 台州市路桥区中医院医疗服务共同体后勤家政服务项目</w:t>
      </w:r>
    </w:p>
    <w:p>
      <w:pPr>
        <w:spacing w:line="360" w:lineRule="auto"/>
        <w:jc w:val="center"/>
        <w:rPr>
          <w:rFonts w:ascii="宋体"/>
          <w:color w:val="auto"/>
          <w:kern w:val="0"/>
          <w:sz w:val="28"/>
          <w:szCs w:val="28"/>
          <w:highlight w:val="none"/>
          <w:u w:val="single"/>
        </w:rPr>
      </w:pPr>
      <w:r>
        <w:rPr>
          <w:rFonts w:hint="eastAsia" w:ascii="宋体"/>
          <w:b/>
          <w:bCs/>
          <w:color w:val="auto"/>
          <w:kern w:val="0"/>
          <w:sz w:val="28"/>
          <w:szCs w:val="28"/>
          <w:highlight w:val="none"/>
        </w:rPr>
        <w:t>采 购 人：</w:t>
      </w:r>
      <w:r>
        <w:rPr>
          <w:rFonts w:hint="eastAsia" w:ascii="宋体"/>
          <w:color w:val="auto"/>
          <w:kern w:val="0"/>
          <w:sz w:val="28"/>
          <w:szCs w:val="28"/>
          <w:highlight w:val="none"/>
          <w:u w:val="single"/>
        </w:rPr>
        <w:t xml:space="preserve"> 台州市路桥区中医院医疗服务共同体</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1405" w:firstLineChars="500"/>
        <w:rPr>
          <w:rFonts w:ascii="宋体"/>
          <w:color w:val="auto"/>
          <w:kern w:val="0"/>
          <w:sz w:val="28"/>
          <w:szCs w:val="28"/>
          <w:highlight w:val="none"/>
        </w:rPr>
      </w:pPr>
      <w:r>
        <w:rPr>
          <w:rFonts w:hint="eastAsia" w:ascii="宋体"/>
          <w:b/>
          <w:bCs/>
          <w:color w:val="auto"/>
          <w:kern w:val="0"/>
          <w:sz w:val="28"/>
          <w:szCs w:val="28"/>
          <w:highlight w:val="none"/>
        </w:rPr>
        <w:t>采购代理机构：</w:t>
      </w:r>
      <w:r>
        <w:rPr>
          <w:rFonts w:hint="eastAsia" w:ascii="宋体"/>
          <w:color w:val="auto"/>
          <w:kern w:val="0"/>
          <w:sz w:val="28"/>
          <w:szCs w:val="28"/>
          <w:highlight w:val="none"/>
        </w:rPr>
        <w:t>台州永安工程咨询有限公司</w:t>
      </w:r>
    </w:p>
    <w:p>
      <w:pPr>
        <w:pStyle w:val="2"/>
        <w:rPr>
          <w:color w:val="auto"/>
          <w:highlight w:val="none"/>
        </w:rPr>
      </w:pPr>
    </w:p>
    <w:p>
      <w:pPr>
        <w:pStyle w:val="2"/>
        <w:jc w:val="center"/>
        <w:rPr>
          <w:rFonts w:ascii="宋体"/>
          <w:color w:val="auto"/>
          <w:kern w:val="0"/>
          <w:szCs w:val="21"/>
          <w:highlight w:val="none"/>
        </w:rPr>
      </w:pPr>
      <w:r>
        <w:rPr>
          <w:rFonts w:hint="eastAsia" w:ascii="宋体"/>
          <w:color w:val="auto"/>
          <w:kern w:val="0"/>
          <w:sz w:val="28"/>
          <w:szCs w:val="28"/>
          <w:highlight w:val="none"/>
        </w:rPr>
        <w:t>二○二二年三月</w:t>
      </w:r>
    </w:p>
    <w:p>
      <w:pPr>
        <w:pStyle w:val="2"/>
        <w:jc w:val="center"/>
        <w:rPr>
          <w:rFonts w:ascii="宋体"/>
          <w:color w:val="auto"/>
          <w:kern w:val="0"/>
          <w:szCs w:val="21"/>
          <w:highlight w:val="none"/>
        </w:rPr>
      </w:pPr>
    </w:p>
    <w:p>
      <w:pPr>
        <w:pStyle w:val="2"/>
        <w:rPr>
          <w:color w:val="auto"/>
          <w:highlight w:val="none"/>
        </w:rPr>
      </w:pPr>
    </w:p>
    <w:p>
      <w:pPr>
        <w:spacing w:line="360" w:lineRule="auto"/>
        <w:jc w:val="center"/>
        <w:rPr>
          <w:rFonts w:ascii="宋体" w:cs="Arial"/>
          <w:b/>
          <w:bCs/>
          <w:color w:val="auto"/>
          <w:sz w:val="36"/>
          <w:szCs w:val="36"/>
          <w:highlight w:val="none"/>
        </w:rPr>
      </w:pPr>
      <w:r>
        <w:rPr>
          <w:rFonts w:hint="eastAsia" w:ascii="宋体" w:hAnsi="宋体" w:cs="Arial"/>
          <w:b/>
          <w:bCs/>
          <w:color w:val="auto"/>
          <w:sz w:val="36"/>
          <w:szCs w:val="36"/>
          <w:highlight w:val="none"/>
        </w:rPr>
        <w:t>目  录</w:t>
      </w:r>
    </w:p>
    <w:p>
      <w:pPr>
        <w:spacing w:line="360" w:lineRule="auto"/>
        <w:rPr>
          <w:rFonts w:ascii="新宋体" w:hAnsi="新宋体" w:eastAsia="新宋体"/>
          <w:color w:val="auto"/>
          <w:sz w:val="28"/>
          <w:szCs w:val="28"/>
          <w:highlight w:val="none"/>
        </w:rPr>
      </w:pP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公开招标采购公告</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投标人须知</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评标办法及评分标准</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公开招标需求</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政府采购合同主要条款</w:t>
      </w:r>
    </w:p>
    <w:p>
      <w:pPr>
        <w:numPr>
          <w:ilvl w:val="0"/>
          <w:numId w:val="2"/>
        </w:numPr>
        <w:spacing w:line="360" w:lineRule="auto"/>
        <w:rPr>
          <w:rFonts w:ascii="宋体"/>
          <w:b/>
          <w:color w:val="auto"/>
          <w:sz w:val="28"/>
          <w:szCs w:val="28"/>
          <w:highlight w:val="none"/>
        </w:rPr>
      </w:pPr>
      <w:r>
        <w:rPr>
          <w:rFonts w:hint="eastAsia" w:ascii="宋体" w:hAnsi="宋体"/>
          <w:b/>
          <w:color w:val="auto"/>
          <w:sz w:val="28"/>
          <w:szCs w:val="28"/>
          <w:highlight w:val="none"/>
        </w:rPr>
        <w:t>投标文件格式附件</w:t>
      </w: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b/>
          <w:color w:val="auto"/>
          <w:kern w:val="0"/>
          <w:sz w:val="36"/>
          <w:szCs w:val="36"/>
          <w:highlight w:val="none"/>
        </w:rPr>
        <w:sectPr>
          <w:headerReference r:id="rId3" w:type="default"/>
          <w:footerReference r:id="rId4" w:type="default"/>
          <w:pgSz w:w="11906" w:h="16838"/>
          <w:pgMar w:top="1440" w:right="1440" w:bottom="1440" w:left="1803" w:header="851" w:footer="992" w:gutter="0"/>
          <w:cols w:space="0" w:num="1"/>
          <w:docGrid w:type="lines" w:linePitch="325" w:charSpace="0"/>
        </w:sectPr>
      </w:pPr>
    </w:p>
    <w:p>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highlight w:val="none"/>
        </w:rPr>
      </w:pPr>
      <w:r>
        <w:rPr>
          <w:rFonts w:hint="eastAsia" w:ascii="宋体" w:hAnsi="宋体"/>
          <w:b/>
          <w:color w:val="auto"/>
          <w:kern w:val="0"/>
          <w:sz w:val="36"/>
          <w:szCs w:val="36"/>
          <w:highlight w:val="none"/>
        </w:rPr>
        <w:t>第一章 公开</w:t>
      </w:r>
      <w:r>
        <w:rPr>
          <w:rFonts w:hint="eastAsia" w:ascii="宋体" w:hAnsi="宋体"/>
          <w:b/>
          <w:color w:val="auto"/>
          <w:sz w:val="36"/>
          <w:szCs w:val="36"/>
          <w:highlight w:val="none"/>
        </w:rPr>
        <w:t>招标采购公告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Theme="minorEastAsia" w:hAnsiTheme="minorEastAsia" w:eastAsiaTheme="minorEastAsia" w:cstheme="minorEastAsia"/>
          <w:b/>
          <w:bCs/>
          <w:color w:val="auto"/>
          <w:szCs w:val="21"/>
          <w:highlight w:val="none"/>
        </w:rPr>
        <w:t>台州市路桥区中医院医疗服务共同体</w:t>
      </w:r>
      <w:r>
        <w:rPr>
          <w:rFonts w:hint="eastAsia" w:asciiTheme="minorEastAsia" w:hAnsiTheme="minorEastAsia" w:eastAsiaTheme="minorEastAsia" w:cstheme="minorEastAsia"/>
          <w:color w:val="auto"/>
          <w:szCs w:val="21"/>
          <w:highlight w:val="none"/>
        </w:rPr>
        <w:t>委托，现就其</w:t>
      </w:r>
      <w:r>
        <w:rPr>
          <w:rFonts w:hint="eastAsia" w:asciiTheme="minorEastAsia" w:hAnsiTheme="minorEastAsia" w:eastAsiaTheme="minorEastAsia" w:cstheme="minorEastAsia"/>
          <w:b/>
          <w:bCs/>
          <w:color w:val="auto"/>
          <w:szCs w:val="21"/>
          <w:highlight w:val="none"/>
        </w:rPr>
        <w:t>台州市路桥区中医院医疗服务共同体后勤家政服务项目</w:t>
      </w:r>
      <w:r>
        <w:rPr>
          <w:rFonts w:hint="eastAsia" w:asciiTheme="minorEastAsia" w:hAnsiTheme="minorEastAsia" w:eastAsiaTheme="minorEastAsia" w:cstheme="minorEastAsia"/>
          <w:color w:val="auto"/>
          <w:szCs w:val="21"/>
          <w:highlight w:val="none"/>
        </w:rPr>
        <w:t>进行公开招标采购，欢迎合格供应商前来投标。</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一、项目编号：tzya2022-lq03</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二、招标项目概况：</w:t>
      </w:r>
    </w:p>
    <w:tbl>
      <w:tblPr>
        <w:tblStyle w:val="22"/>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30"/>
        <w:gridCol w:w="1290"/>
        <w:gridCol w:w="680"/>
        <w:gridCol w:w="694"/>
        <w:gridCol w:w="118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25" w:type="dxa"/>
            <w:vAlign w:val="center"/>
          </w:tcPr>
          <w:p>
            <w:pPr>
              <w:tabs>
                <w:tab w:val="left" w:pos="8280"/>
              </w:tabs>
              <w:autoSpaceDE w:val="0"/>
              <w:autoSpaceDN w:val="0"/>
              <w:adjustRightInd w:val="0"/>
              <w:ind w:right="25"/>
              <w:jc w:val="center"/>
              <w:rPr>
                <w:rFonts w:ascii="宋体" w:hAnsi="宋体"/>
                <w:b/>
                <w:color w:val="auto"/>
                <w:szCs w:val="21"/>
                <w:highlight w:val="none"/>
              </w:rPr>
            </w:pPr>
            <w:bookmarkStart w:id="0" w:name="EBc3c9f0bc06b6413d849824fe98ba274c"/>
            <w:r>
              <w:rPr>
                <w:rFonts w:hint="eastAsia" w:ascii="宋体" w:hAnsi="宋体"/>
                <w:b/>
                <w:color w:val="auto"/>
                <w:szCs w:val="21"/>
                <w:highlight w:val="none"/>
              </w:rPr>
              <w:t>序号</w:t>
            </w:r>
          </w:p>
        </w:tc>
        <w:tc>
          <w:tcPr>
            <w:tcW w:w="203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项目名称</w:t>
            </w:r>
          </w:p>
        </w:tc>
        <w:tc>
          <w:tcPr>
            <w:tcW w:w="129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cs="宋体"/>
                <w:b/>
                <w:color w:val="auto"/>
                <w:kern w:val="0"/>
                <w:szCs w:val="21"/>
                <w:highlight w:val="none"/>
              </w:rPr>
              <w:t>简要技术要求</w:t>
            </w:r>
          </w:p>
        </w:tc>
        <w:tc>
          <w:tcPr>
            <w:tcW w:w="680"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数量</w:t>
            </w:r>
          </w:p>
        </w:tc>
        <w:tc>
          <w:tcPr>
            <w:tcW w:w="69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单位</w:t>
            </w:r>
          </w:p>
        </w:tc>
        <w:tc>
          <w:tcPr>
            <w:tcW w:w="1184" w:type="dxa"/>
            <w:vAlign w:val="center"/>
          </w:tcPr>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预算</w:t>
            </w:r>
          </w:p>
          <w:p>
            <w:pPr>
              <w:tabs>
                <w:tab w:val="left" w:pos="8280"/>
              </w:tabs>
              <w:autoSpaceDE w:val="0"/>
              <w:autoSpaceDN w:val="0"/>
              <w:adjustRightInd w:val="0"/>
              <w:ind w:right="25"/>
              <w:jc w:val="center"/>
              <w:rPr>
                <w:rFonts w:ascii="宋体" w:hAnsi="宋体"/>
                <w:b/>
                <w:color w:val="auto"/>
                <w:szCs w:val="21"/>
                <w:highlight w:val="none"/>
              </w:rPr>
            </w:pPr>
            <w:r>
              <w:rPr>
                <w:rFonts w:hint="eastAsia" w:ascii="宋体" w:hAnsi="宋体"/>
                <w:b/>
                <w:color w:val="auto"/>
                <w:szCs w:val="21"/>
                <w:highlight w:val="none"/>
              </w:rPr>
              <w:t>（万元）</w:t>
            </w:r>
          </w:p>
        </w:tc>
        <w:tc>
          <w:tcPr>
            <w:tcW w:w="1487" w:type="dxa"/>
            <w:vAlign w:val="center"/>
          </w:tcPr>
          <w:p>
            <w:pPr>
              <w:tabs>
                <w:tab w:val="left" w:pos="8280"/>
              </w:tabs>
              <w:autoSpaceDE w:val="0"/>
              <w:autoSpaceDN w:val="0"/>
              <w:adjustRightInd w:val="0"/>
              <w:ind w:right="25" w:firstLine="240"/>
              <w:jc w:val="center"/>
              <w:rPr>
                <w:rFonts w:ascii="宋体" w:hAnsi="宋体"/>
                <w:b/>
                <w:color w:val="auto"/>
                <w:szCs w:val="21"/>
                <w:highlight w:val="none"/>
              </w:rPr>
            </w:pPr>
            <w:r>
              <w:rPr>
                <w:rFonts w:hint="eastAsia" w:ascii="宋体" w:hAnsi="宋体"/>
                <w:b/>
                <w:color w:val="auto"/>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5"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203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台州市路桥区中医院医疗服务共同体后勤家政服务项目</w:t>
            </w:r>
          </w:p>
        </w:tc>
        <w:tc>
          <w:tcPr>
            <w:tcW w:w="129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详见项目需求</w:t>
            </w:r>
          </w:p>
        </w:tc>
        <w:tc>
          <w:tcPr>
            <w:tcW w:w="680"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1</w:t>
            </w:r>
          </w:p>
        </w:tc>
        <w:tc>
          <w:tcPr>
            <w:tcW w:w="694" w:type="dxa"/>
            <w:vAlign w:val="center"/>
          </w:tcPr>
          <w:p>
            <w:pPr>
              <w:widowControl/>
              <w:jc w:val="center"/>
              <w:rPr>
                <w:rFonts w:ascii="宋体" w:hAnsi="宋体"/>
                <w:color w:val="auto"/>
                <w:szCs w:val="21"/>
                <w:highlight w:val="none"/>
              </w:rPr>
            </w:pPr>
            <w:r>
              <w:rPr>
                <w:rFonts w:hint="eastAsia" w:ascii="宋体" w:hAnsi="宋体"/>
                <w:color w:val="auto"/>
                <w:szCs w:val="21"/>
                <w:highlight w:val="none"/>
              </w:rPr>
              <w:t>项</w:t>
            </w:r>
          </w:p>
        </w:tc>
        <w:tc>
          <w:tcPr>
            <w:tcW w:w="1184"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840</w:t>
            </w:r>
          </w:p>
        </w:tc>
        <w:tc>
          <w:tcPr>
            <w:tcW w:w="1487" w:type="dxa"/>
            <w:vAlign w:val="center"/>
          </w:tcPr>
          <w:p>
            <w:pPr>
              <w:tabs>
                <w:tab w:val="left" w:pos="8280"/>
              </w:tabs>
              <w:autoSpaceDE w:val="0"/>
              <w:autoSpaceDN w:val="0"/>
              <w:adjustRightInd w:val="0"/>
              <w:ind w:right="25"/>
              <w:jc w:val="center"/>
              <w:rPr>
                <w:rFonts w:ascii="宋体" w:hAnsi="宋体"/>
                <w:color w:val="auto"/>
                <w:szCs w:val="21"/>
                <w:highlight w:val="none"/>
              </w:rPr>
            </w:pPr>
            <w:r>
              <w:rPr>
                <w:rFonts w:hint="eastAsia" w:ascii="宋体" w:hAnsi="宋体"/>
                <w:color w:val="auto"/>
                <w:szCs w:val="21"/>
                <w:highlight w:val="none"/>
              </w:rPr>
              <w:t>三年</w:t>
            </w:r>
          </w:p>
        </w:tc>
      </w:tr>
      <w:bookmarkEnd w:id="0"/>
    </w:tbl>
    <w:p>
      <w:pPr>
        <w:widowControl/>
        <w:tabs>
          <w:tab w:val="left" w:pos="0"/>
        </w:tabs>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本项目采用“电子交易”的方式提交投标文件（还可以提供备份投标文件），请各投标人按照要求进行。</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三、合格投标人的资格条件：</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未被“信用中国”（www.creditchina.gov.cn）、中国政府采购网（www.ccgp.gov.cn）列入失信被执行人、重大税收违法案件当事人名单、政府采购严重违法失信行为记录名单。</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（1）本项目不接受联合体投标。</w:t>
      </w:r>
    </w:p>
    <w:p>
      <w:pPr>
        <w:snapToGrid w:val="0"/>
        <w:spacing w:line="360" w:lineRule="auto"/>
        <w:ind w:firstLine="498" w:firstLineChars="236"/>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四、招标文件获取的方式、时间:</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w:t>
      </w:r>
      <w:r>
        <w:rPr>
          <w:rFonts w:hint="eastAsia" w:asciiTheme="minorEastAsia" w:hAnsiTheme="minorEastAsia" w:eastAsiaTheme="minorEastAsia" w:cstheme="minorEastAsia"/>
          <w:b/>
          <w:color w:val="auto"/>
          <w:szCs w:val="21"/>
          <w:highlight w:val="none"/>
        </w:rPr>
        <w:t>本项目招标文件实行“浙江政府采购网”</w:t>
      </w:r>
      <w:r>
        <w:rPr>
          <w:rStyle w:val="25"/>
          <w:rFonts w:hint="eastAsia" w:asciiTheme="minorEastAsia" w:hAnsiTheme="minorEastAsia" w:eastAsiaTheme="minorEastAsia" w:cstheme="minorEastAsia"/>
          <w:color w:val="auto"/>
          <w:sz w:val="21"/>
          <w:szCs w:val="21"/>
          <w:highlight w:val="none"/>
        </w:rPr>
        <w:t>（http://zfcg.czt.zj.gov.cn）</w:t>
      </w:r>
      <w:r>
        <w:rPr>
          <w:rFonts w:hint="eastAsia" w:asciiTheme="minorEastAsia" w:hAnsiTheme="minorEastAsia" w:eastAsiaTheme="minorEastAsia" w:cstheme="minorEastAsia"/>
          <w:b/>
          <w:color w:val="auto"/>
          <w:szCs w:val="21"/>
          <w:highlight w:val="none"/>
        </w:rPr>
        <w:t>在线获取，不提供招标文件纸质版。供应商获取招标文件前应先完成“浙江政府采购网”的账号注册。</w:t>
      </w:r>
    </w:p>
    <w:p>
      <w:pPr>
        <w:spacing w:line="360" w:lineRule="auto"/>
        <w:ind w:firstLine="422" w:firstLineChars="200"/>
        <w:rPr>
          <w:rStyle w:val="25"/>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2、获取</w:t>
      </w:r>
      <w:r>
        <w:rPr>
          <w:rStyle w:val="25"/>
          <w:rFonts w:hint="eastAsia" w:asciiTheme="minorEastAsia" w:hAnsiTheme="minorEastAsia" w:eastAsiaTheme="minorEastAsia" w:cstheme="minorEastAsia"/>
          <w:color w:val="auto"/>
          <w:sz w:val="21"/>
          <w:szCs w:val="21"/>
          <w:highlight w:val="none"/>
        </w:rPr>
        <w:t>方式：潜在供应商登陆政府采购云平台，在线申请获取招标文件</w:t>
      </w:r>
      <w:r>
        <w:rPr>
          <w:rStyle w:val="25"/>
          <w:rFonts w:hint="eastAsia" w:asciiTheme="minorEastAsia" w:hAnsiTheme="minorEastAsia" w:eastAsiaTheme="minorEastAsia" w:cstheme="minorEastAsia"/>
          <w:b w:val="0"/>
          <w:bCs/>
          <w:color w:val="auto"/>
          <w:sz w:val="21"/>
          <w:szCs w:val="21"/>
          <w:highlight w:val="none"/>
        </w:rPr>
        <w:t>（进入“项目采购”应用，在获取招标文件菜单中选择项目，申请获取招标文件，本项目招标文件不收取工本费；</w:t>
      </w:r>
      <w:r>
        <w:rPr>
          <w:rStyle w:val="25"/>
          <w:rFonts w:hint="eastAsia" w:asciiTheme="minorEastAsia" w:hAnsiTheme="minorEastAsia" w:eastAsiaTheme="minorEastAsia" w:cstheme="minorEastAsia"/>
          <w:b w:val="0"/>
          <w:bCs/>
          <w:color w:val="auto"/>
          <w:sz w:val="21"/>
          <w:szCs w:val="21"/>
          <w:highlight w:val="none"/>
          <w:u w:val="single"/>
        </w:rPr>
        <w:t>仅需浏览招标文件的供应商可点击“游客，浏览招标文件”直接下载招标文件浏览</w:t>
      </w:r>
      <w:r>
        <w:rPr>
          <w:rStyle w:val="25"/>
          <w:rFonts w:hint="eastAsia" w:asciiTheme="minorEastAsia" w:hAnsiTheme="minorEastAsia" w:eastAsiaTheme="minorEastAsia" w:cstheme="minorEastAsia"/>
          <w:b w:val="0"/>
          <w:bCs/>
          <w:color w:val="auto"/>
          <w:sz w:val="21"/>
          <w:szCs w:val="21"/>
          <w:highlight w:val="none"/>
        </w:rPr>
        <w:t>）；</w:t>
      </w:r>
    </w:p>
    <w:p>
      <w:pPr>
        <w:spacing w:line="360" w:lineRule="auto"/>
        <w:ind w:firstLine="422" w:firstLineChars="200"/>
        <w:rPr>
          <w:rFonts w:asciiTheme="minorEastAsia" w:hAnsiTheme="minorEastAsia" w:eastAsiaTheme="minorEastAsia" w:cstheme="minorEastAsia"/>
          <w:color w:val="auto"/>
          <w:szCs w:val="21"/>
          <w:highlight w:val="none"/>
        </w:rPr>
      </w:pPr>
      <w:r>
        <w:rPr>
          <w:rStyle w:val="25"/>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b/>
          <w:bCs/>
          <w:color w:val="auto"/>
          <w:szCs w:val="21"/>
          <w:highlight w:val="none"/>
        </w:rPr>
        <w:t>获取（公告）时间</w:t>
      </w:r>
      <w:r>
        <w:rPr>
          <w:rFonts w:hint="eastAsia" w:asciiTheme="minorEastAsia" w:hAnsiTheme="minorEastAsia" w:eastAsiaTheme="minorEastAsia" w:cstheme="minorEastAsia"/>
          <w:color w:val="auto"/>
          <w:szCs w:val="21"/>
          <w:highlight w:val="none"/>
        </w:rPr>
        <w:t>：自本公告发布之日起至投标文件递交截止时间止；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r>
        <w:rPr>
          <w:rStyle w:val="25"/>
          <w:rFonts w:hint="eastAsia" w:asciiTheme="minorEastAsia" w:hAnsiTheme="minorEastAsia" w:eastAsiaTheme="minorEastAsia" w:cstheme="minorEastAsia"/>
          <w:b w:val="0"/>
          <w:color w:val="auto"/>
          <w:sz w:val="21"/>
          <w:szCs w:val="21"/>
          <w:highlight w:val="none"/>
        </w:rPr>
        <w:t>供应商网上报名操作指南：“浙江政府采购网-办事指南-省采中心-网上报名”（http://zfcg.czt.zj.gov.cn/bs_other/2018-03-30/12002.html）。</w:t>
      </w:r>
    </w:p>
    <w:p>
      <w:pPr>
        <w:pStyle w:val="18"/>
        <w:spacing w:before="0" w:beforeAutospacing="0" w:after="0" w:afterAutospacing="0" w:line="360" w:lineRule="auto"/>
        <w:ind w:firstLine="420" w:firstLineChars="200"/>
        <w:rPr>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b w:val="0"/>
          <w:color w:val="auto"/>
          <w:sz w:val="21"/>
          <w:szCs w:val="21"/>
          <w:highlight w:val="none"/>
        </w:rPr>
        <w:t>5、供应商获取招标文件时须提交的文件资料：无；</w:t>
      </w:r>
    </w:p>
    <w:p>
      <w:pPr>
        <w:pStyle w:val="18"/>
        <w:spacing w:before="0" w:beforeAutospacing="0" w:after="0" w:afterAutospacing="0" w:line="360" w:lineRule="auto"/>
        <w:ind w:firstLine="422" w:firstLineChars="200"/>
        <w:rPr>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8"/>
        <w:spacing w:before="0" w:beforeAutospacing="0" w:after="0" w:afterAutospacing="0" w:line="360" w:lineRule="auto"/>
        <w:ind w:firstLine="480"/>
        <w:rPr>
          <w:rStyle w:val="25"/>
          <w:rFonts w:asciiTheme="minorEastAsia" w:hAnsiTheme="minorEastAsia" w:eastAsiaTheme="minorEastAsia" w:cstheme="minorEastAsia"/>
          <w:color w:val="auto"/>
          <w:sz w:val="21"/>
          <w:szCs w:val="21"/>
          <w:highlight w:val="none"/>
        </w:rPr>
      </w:pPr>
      <w:r>
        <w:rPr>
          <w:rStyle w:val="25"/>
          <w:rFonts w:hint="eastAsia" w:asciiTheme="minorEastAsia" w:hAnsiTheme="minorEastAsia" w:eastAsiaTheme="minorEastAsia" w:cstheme="minorEastAsia"/>
          <w:color w:val="auto"/>
          <w:sz w:val="21"/>
          <w:szCs w:val="21"/>
          <w:highlight w:val="none"/>
        </w:rPr>
        <w:t>注：请供应商按上述要求获取招标文件，如未在“政府采购云平台”系统内完成相关流程，引起的投标无效责任自负。</w:t>
      </w:r>
    </w:p>
    <w:p>
      <w:pPr>
        <w:pStyle w:val="18"/>
        <w:spacing w:before="0" w:beforeAutospacing="0" w:after="0" w:afterAutospacing="0" w:line="360" w:lineRule="auto"/>
        <w:ind w:firstLine="420" w:firstLineChars="200"/>
        <w:rPr>
          <w:rFonts w:asciiTheme="minorEastAsia" w:hAnsiTheme="minorEastAsia" w:eastAsiaTheme="minorEastAsia" w:cstheme="minorEastAsia"/>
          <w:b/>
          <w:bCs/>
          <w:color w:val="auto"/>
          <w:sz w:val="21"/>
          <w:szCs w:val="21"/>
          <w:highlight w:val="none"/>
        </w:rPr>
      </w:pPr>
      <w:r>
        <w:rPr>
          <w:rStyle w:val="25"/>
          <w:rFonts w:hint="eastAsia" w:asciiTheme="minorEastAsia" w:hAnsiTheme="minorEastAsia" w:eastAsiaTheme="minorEastAsia" w:cstheme="minorEastAsia"/>
          <w:b w:val="0"/>
          <w:bCs/>
          <w:color w:val="auto"/>
          <w:kern w:val="2"/>
          <w:sz w:val="21"/>
          <w:szCs w:val="21"/>
          <w:highlight w:val="none"/>
        </w:rPr>
        <w:t>7、采购文件发售截止时间之后有潜在供应商提出要求获取采购文件的，采购组织机构应允许其获取，但该供应商如对采购文件有异议应按规定的时间提出，逾期提出的，采购组织机构可不予受理、答复。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五、招标答疑会</w:t>
      </w:r>
    </w:p>
    <w:p>
      <w:pPr>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六、投标须知：</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1、投标截止时间与地点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2022年4月12日下午14：00</w:t>
      </w:r>
      <w:r>
        <w:rPr>
          <w:rFonts w:hint="eastAsia" w:asciiTheme="minorEastAsia" w:hAnsiTheme="minorEastAsia" w:eastAsiaTheme="minorEastAsia" w:cstheme="minorEastAsia"/>
          <w:color w:val="auto"/>
          <w:highlight w:val="none"/>
        </w:rPr>
        <w:t xml:space="preserve">整，地点：通过“政府采购云平台（www.zcygov.cn）”实行在线投标响应   </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2、开标时间及地点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2022年4月12日下午14：00</w:t>
      </w:r>
      <w:r>
        <w:rPr>
          <w:rFonts w:hint="eastAsia" w:asciiTheme="minorEastAsia" w:hAnsiTheme="minorEastAsia" w:eastAsiaTheme="minorEastAsia" w:cstheme="minorEastAsia"/>
          <w:color w:val="auto"/>
          <w:highlight w:val="none"/>
        </w:rPr>
        <w:t>整，地点：</w:t>
      </w:r>
      <w:r>
        <w:rPr>
          <w:rFonts w:hint="eastAsia" w:asciiTheme="minorEastAsia" w:hAnsiTheme="minorEastAsia" w:eastAsiaTheme="minorEastAsia" w:cstheme="minorEastAsia"/>
          <w:color w:val="auto"/>
          <w:kern w:val="2"/>
          <w:szCs w:val="24"/>
          <w:highlight w:val="none"/>
        </w:rPr>
        <w:t>通过“政府采购云平台（</w:t>
      </w:r>
      <w:r>
        <w:rPr>
          <w:rFonts w:asciiTheme="minorEastAsia" w:hAnsiTheme="minorEastAsia" w:eastAsiaTheme="minorEastAsia" w:cstheme="minorEastAsia"/>
          <w:color w:val="auto"/>
          <w:kern w:val="2"/>
          <w:szCs w:val="24"/>
          <w:highlight w:val="none"/>
        </w:rPr>
        <w:t>www.zcygov.cn）”实行在线投标响应</w:t>
      </w:r>
    </w:p>
    <w:p>
      <w:pPr>
        <w:pStyle w:val="52"/>
        <w:snapToGrid w:val="0"/>
        <w:spacing w:line="360" w:lineRule="auto"/>
        <w:ind w:firstLine="373" w:firstLineChars="17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3、解密截止时间</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2022年4月12日</w:t>
      </w:r>
      <w:r>
        <w:rPr>
          <w:rFonts w:hint="eastAsia" w:asciiTheme="minorEastAsia" w:hAnsiTheme="minorEastAsia" w:eastAsiaTheme="minorEastAsia" w:cstheme="minorEastAsia"/>
          <w:color w:val="auto"/>
          <w:highlight w:val="none"/>
        </w:rPr>
        <w:t>下午</w:t>
      </w:r>
      <w:r>
        <w:rPr>
          <w:rFonts w:hint="eastAsia" w:asciiTheme="minorEastAsia" w:hAnsiTheme="minorEastAsia" w:eastAsiaTheme="minorEastAsia" w:cstheme="minorEastAsia"/>
          <w:color w:val="auto"/>
          <w:highlight w:val="none"/>
          <w:lang w:eastAsia="zh-CN"/>
        </w:rPr>
        <w:t>14：30</w:t>
      </w:r>
      <w:r>
        <w:rPr>
          <w:rFonts w:hint="eastAsia" w:asciiTheme="minorEastAsia" w:hAnsiTheme="minorEastAsia" w:eastAsiaTheme="minorEastAsia" w:cstheme="minorEastAsia"/>
          <w:color w:val="auto"/>
          <w:highlight w:val="none"/>
        </w:rPr>
        <w:t>整</w:t>
      </w:r>
    </w:p>
    <w:p>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七、在线投标响应（电子投标）说明</w:t>
      </w:r>
    </w:p>
    <w:p>
      <w:pPr>
        <w:pStyle w:val="12"/>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pStyle w:val="12"/>
        <w:wordWrap w:val="0"/>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pStyle w:val="52"/>
        <w:snapToGrid w:val="0"/>
        <w:spacing w:line="360" w:lineRule="auto"/>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"http://zfcg.czt.zj.gov.cn/bidClientTemplate/2019-05-27/12945.html" \o "CA驱动和申领流程" </w:instrText>
      </w:r>
      <w:r>
        <w:rPr>
          <w:color w:val="auto"/>
          <w:highlight w:val="none"/>
        </w:rPr>
        <w:fldChar w:fldCharType="separate"/>
      </w:r>
      <w:r>
        <w:rPr>
          <w:rFonts w:hint="eastAsia" w:asciiTheme="minorEastAsia" w:hAnsiTheme="minorEastAsia" w:eastAsiaTheme="minorEastAsia" w:cstheme="minorEastAsia"/>
          <w:b/>
          <w:bCs/>
          <w:color w:val="auto"/>
          <w:highlight w:val="none"/>
        </w:rPr>
        <w:t>CA驱动和申领流程</w:t>
      </w:r>
      <w:r>
        <w:rPr>
          <w:rFonts w:hint="eastAsia" w:asciiTheme="minorEastAsia" w:hAnsiTheme="minorEastAsia" w:eastAsiaTheme="minorEastAsia" w:cstheme="minorEastAsia"/>
          <w:b/>
          <w:bCs/>
          <w:color w:val="auto"/>
          <w:highlight w:val="none"/>
        </w:rPr>
        <w:fldChar w:fldCharType="end"/>
      </w:r>
      <w:r>
        <w:rPr>
          <w:rFonts w:hint="eastAsia" w:asciiTheme="minorEastAsia" w:hAnsiTheme="minorEastAsia" w:eastAsiaTheme="minorEastAsia" w:cstheme="minorEastAsia"/>
          <w:b/>
          <w:bCs/>
          <w:color w:val="auto"/>
          <w:highlight w:val="none"/>
        </w:rPr>
        <w:t>”进行查阅；</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3、投标人通过政府采购云平台电子投标工具制作投标文件，电子投标工具请供应商自行前往浙江政府采购网下载并安装，（下载网址：</w:t>
      </w:r>
      <w:r>
        <w:rPr>
          <w:color w:val="auto"/>
          <w:highlight w:val="none"/>
        </w:rPr>
        <w:fldChar w:fldCharType="begin"/>
      </w:r>
      <w:r>
        <w:rPr>
          <w:color w:val="auto"/>
          <w:highlight w:val="none"/>
        </w:rPr>
        <w:instrText xml:space="preserve"> HYPERLINK "http://www.zjzfcg.gov.cn/bidClientTemplate/2019-05-27/12946.html" </w:instrText>
      </w:r>
      <w:r>
        <w:rPr>
          <w:color w:val="auto"/>
          <w:highlight w:val="none"/>
        </w:rPr>
        <w:fldChar w:fldCharType="separate"/>
      </w:r>
      <w:r>
        <w:rPr>
          <w:rFonts w:hint="eastAsia" w:asciiTheme="minorEastAsia" w:hAnsiTheme="minorEastAsia" w:eastAsiaTheme="minorEastAsia" w:cstheme="minorEastAsia"/>
          <w:b/>
          <w:bCs/>
          <w:color w:val="auto"/>
          <w:kern w:val="0"/>
          <w:szCs w:val="21"/>
          <w:highlight w:val="none"/>
        </w:rPr>
        <w:t>http://zfcg.czt.zj.gov.cn/bidClientTemplate/2019-05-27/12946.html</w:t>
      </w:r>
      <w:r>
        <w:rPr>
          <w:rFonts w:hint="eastAsia" w:asciiTheme="minorEastAsia" w:hAnsiTheme="minorEastAsia" w:eastAsiaTheme="minorEastAsia" w:cstheme="minorEastAsia"/>
          <w:b/>
          <w:bCs/>
          <w:color w:val="auto"/>
          <w:kern w:val="0"/>
          <w:szCs w:val="21"/>
          <w:highlight w:val="none"/>
        </w:rPr>
        <w:fldChar w:fldCharType="end"/>
      </w:r>
      <w:r>
        <w:rPr>
          <w:rFonts w:hint="eastAsia" w:asciiTheme="minorEastAsia" w:hAnsiTheme="minorEastAsia" w:eastAsiaTheme="minorEastAsia" w:cstheme="minorEastAsia"/>
          <w:b/>
          <w:bCs/>
          <w:color w:val="auto"/>
          <w:kern w:val="0"/>
          <w:szCs w:val="21"/>
          <w:highlight w:val="none"/>
        </w:rPr>
        <w:t>），电子投标具体流程文档详见网址：https://help.zcygov.cn/web/site_2/2018/12-28/2573.html。</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5、供应商同时还可以提供</w:t>
      </w:r>
      <w:r>
        <w:rPr>
          <w:rFonts w:hint="eastAsia" w:asciiTheme="minorEastAsia" w:hAnsiTheme="minorEastAsia" w:eastAsiaTheme="minorEastAsia" w:cstheme="minorEastAsia"/>
          <w:b/>
          <w:bCs/>
          <w:color w:val="auto"/>
          <w:szCs w:val="21"/>
          <w:highlight w:val="none"/>
        </w:rPr>
        <w:t>以介质（U盘）存储的数据电文形式的备份</w:t>
      </w:r>
      <w:r>
        <w:rPr>
          <w:rFonts w:hint="eastAsia" w:asciiTheme="minorEastAsia" w:hAnsiTheme="minorEastAsia" w:eastAsiaTheme="minorEastAsia" w:cstheme="minorEastAsia"/>
          <w:b/>
          <w:bCs/>
          <w:color w:val="auto"/>
          <w:kern w:val="0"/>
          <w:szCs w:val="21"/>
          <w:highlight w:val="none"/>
        </w:rPr>
        <w:t>投标文件。备份投标文件应当在投标截止时间前按要求密封并</w:t>
      </w:r>
      <w:r>
        <w:rPr>
          <w:rFonts w:hint="eastAsia" w:asciiTheme="minorEastAsia" w:hAnsiTheme="minorEastAsia" w:eastAsiaTheme="minorEastAsia" w:cstheme="minorEastAsia"/>
          <w:b/>
          <w:bCs/>
          <w:color w:val="auto"/>
          <w:szCs w:val="21"/>
          <w:highlight w:val="none"/>
        </w:rPr>
        <w:t>顺丰</w:t>
      </w:r>
      <w:r>
        <w:rPr>
          <w:rFonts w:hint="eastAsia" w:asciiTheme="minorEastAsia" w:hAnsiTheme="minorEastAsia" w:eastAsiaTheme="minorEastAsia" w:cstheme="minorEastAsia"/>
          <w:b/>
          <w:bCs/>
          <w:color w:val="auto"/>
          <w:kern w:val="0"/>
          <w:szCs w:val="21"/>
          <w:highlight w:val="none"/>
        </w:rPr>
        <w:t>邮寄到</w:t>
      </w:r>
      <w:r>
        <w:rPr>
          <w:rFonts w:hint="eastAsia" w:asciiTheme="minorEastAsia" w:hAnsiTheme="minorEastAsia" w:eastAsiaTheme="minorEastAsia" w:cstheme="minorEastAsia"/>
          <w:b/>
          <w:bCs/>
          <w:color w:val="auto"/>
          <w:szCs w:val="21"/>
          <w:highlight w:val="none"/>
        </w:rPr>
        <w:t>台州市椒江区中环世纪6幢801室（交通银行台州分行楼上）</w:t>
      </w:r>
      <w:r>
        <w:rPr>
          <w:rFonts w:hint="eastAsia" w:asciiTheme="minorEastAsia" w:hAnsiTheme="minorEastAsia" w:eastAsiaTheme="minorEastAsia" w:cstheme="minorEastAsia"/>
          <w:b/>
          <w:bCs/>
          <w:color w:val="auto"/>
          <w:kern w:val="0"/>
          <w:szCs w:val="21"/>
          <w:highlight w:val="none"/>
        </w:rPr>
        <w:t>，逾期寄达或未按要求密封将被拒收。</w:t>
      </w:r>
    </w:p>
    <w:p>
      <w:pPr>
        <w:pStyle w:val="12"/>
        <w:adjustRightInd w:val="0"/>
        <w:snapToGri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13"/>
        <w:spacing w:line="360" w:lineRule="auto"/>
        <w:ind w:left="0" w:leftChars="0" w:firstLine="422" w:firstLineChars="200"/>
        <w:rPr>
          <w:rFonts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xml:space="preserve">7、在政府采购活动中，供应商提供的货物、工程或者服务符合下列情形的，享受本办法规定的中小企业扶持政策： </w:t>
      </w:r>
      <w:r>
        <w:rPr>
          <w:rFonts w:asciiTheme="minorEastAsia" w:hAnsiTheme="minorEastAsia" w:eastAsiaTheme="minorEastAsia" w:cstheme="minorEastAsia"/>
          <w:b/>
          <w:bCs/>
          <w:color w:val="auto"/>
          <w:kern w:val="0"/>
          <w:sz w:val="21"/>
          <w:szCs w:val="21"/>
          <w:highlight w:val="none"/>
        </w:rPr>
        <w:t>①</w:t>
      </w:r>
      <w:r>
        <w:rPr>
          <w:rFonts w:hint="eastAsia" w:asciiTheme="minorEastAsia" w:hAnsiTheme="minorEastAsia" w:eastAsiaTheme="minorEastAsia" w:cstheme="minorEastAsia"/>
          <w:b/>
          <w:bCs/>
          <w:color w:val="auto"/>
          <w:kern w:val="0"/>
          <w:sz w:val="21"/>
          <w:szCs w:val="21"/>
          <w:highlight w:val="none"/>
        </w:rPr>
        <w:t xml:space="preserve">在货物采购项目中，货物由中小企业制造，即货物由中小企业生产且使用该中小企业商号或者注册商标； </w:t>
      </w:r>
      <w:r>
        <w:rPr>
          <w:rFonts w:asciiTheme="minorEastAsia" w:hAnsiTheme="minorEastAsia" w:eastAsiaTheme="minorEastAsia" w:cstheme="minorEastAsia"/>
          <w:b/>
          <w:bCs/>
          <w:color w:val="auto"/>
          <w:kern w:val="0"/>
          <w:sz w:val="21"/>
          <w:szCs w:val="21"/>
          <w:highlight w:val="none"/>
        </w:rPr>
        <w:t>②</w:t>
      </w:r>
      <w:r>
        <w:rPr>
          <w:rFonts w:hint="eastAsia" w:asciiTheme="minorEastAsia" w:hAnsiTheme="minorEastAsia" w:eastAsiaTheme="minorEastAsia" w:cstheme="minorEastAsia"/>
          <w:b/>
          <w:bCs/>
          <w:color w:val="auto"/>
          <w:kern w:val="0"/>
          <w:sz w:val="21"/>
          <w:szCs w:val="21"/>
          <w:highlight w:val="none"/>
        </w:rPr>
        <w:t xml:space="preserve">在工程采购项目中，工程由中小企业承建，即工程施工单位为中小企业； </w:t>
      </w:r>
      <w:r>
        <w:rPr>
          <w:rFonts w:asciiTheme="minorEastAsia" w:hAnsiTheme="minorEastAsia" w:eastAsiaTheme="minorEastAsia" w:cstheme="minorEastAsia"/>
          <w:b/>
          <w:bCs/>
          <w:color w:val="auto"/>
          <w:kern w:val="0"/>
          <w:sz w:val="21"/>
          <w:szCs w:val="21"/>
          <w:highlight w:val="none"/>
        </w:rPr>
        <w:t>③</w:t>
      </w:r>
      <w:r>
        <w:rPr>
          <w:rFonts w:hint="eastAsia" w:asciiTheme="minorEastAsia" w:hAnsiTheme="minorEastAsia" w:eastAsiaTheme="minorEastAsia" w:cstheme="minorEastAsia"/>
          <w:b/>
          <w:bCs/>
          <w:color w:val="auto"/>
          <w:kern w:val="0"/>
          <w:sz w:val="21"/>
          <w:szCs w:val="21"/>
          <w:highlight w:val="none"/>
        </w:rPr>
        <w:t>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八、投标人信用信息查询渠道及截止时点、信用信息查询记录和证据留存的具体方式、信用信息的使用规则：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1、查询渠道：“信用中国”（www.creditchina.gov.cn）、“中国政府采购网”（www.ccgp.gov.cn）、“浙江政府采购网（</w:t>
      </w:r>
      <w:r>
        <w:rPr>
          <w:rFonts w:hint="eastAsia" w:asciiTheme="minorEastAsia" w:hAnsiTheme="minorEastAsia" w:eastAsiaTheme="minorEastAsia" w:cstheme="minorEastAsia"/>
          <w:color w:val="auto"/>
          <w:kern w:val="0"/>
          <w:szCs w:val="21"/>
          <w:highlight w:val="none"/>
        </w:rPr>
        <w:t>http://zfcg.czt.zj.gov.cn</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2、信用信息查询的截止时点：开标后评标前。</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3、信用信息查询记录和证据留存的具体方式：由采购代理机构在规定查询时间内打印信用信息查询记录并归入项目档案。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的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九、相关注意事项：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认为采购文件使自己的权益受到损害的，可以自收到采购文件之日（获取截止日之后收到采购文件的，以获取截止日为准）起7个工作日内，以书面形式一次性向采购人和采购代理机构提出同一环节（包括招标过程、采购结果等环节）的质疑，以供应商提供质疑函原件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、根据《浙江省政府采购供应商注册及诚信管理暂行办法》浙财采监【2009】28号文件，请各投标供应商及时办理浙江政府采购网“政府采购供应商注册”手续。</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、本项目所有公告发布网站：“浙江政府采购网”（</w:t>
      </w:r>
      <w:r>
        <w:rPr>
          <w:rFonts w:hint="eastAsia" w:asciiTheme="minorEastAsia" w:hAnsiTheme="minorEastAsia" w:eastAsiaTheme="minorEastAsia" w:cstheme="minorEastAsia"/>
          <w:color w:val="auto"/>
          <w:kern w:val="0"/>
          <w:szCs w:val="21"/>
          <w:highlight w:val="none"/>
        </w:rPr>
        <w:t>http://zfcg.czt.zj.gov.cn）。</w:t>
      </w:r>
    </w:p>
    <w:p>
      <w:pPr>
        <w:pStyle w:val="2"/>
        <w:spacing w:after="0"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十、联系方式：</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采购代理机构名称：台州永安工程咨询有限公司</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 陈女士</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联系电话： 0576-88882270，18267677445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传真：0576-88882270；</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质疑接收人：叶先生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联系电话：13857637980</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地点：台州市椒江区中环世纪6幢801室（交通银行台州分行楼上）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2、采购人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采购人名称：台州市路桥区中医院医疗服务共同体</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联系人：郏女士     联系电话：0576-8905 2323</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采购人地址：台州市路桥区迎宾大道88号</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3、同级政府采购监督管理部门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同级政府采购监督管理部门名称：台州市路桥区财政局</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联系人：吴女士</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监督投诉电话：0576-82517851</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地址：台州市路桥区西路桥大道58号</w:t>
      </w:r>
    </w:p>
    <w:p>
      <w:pPr>
        <w:pStyle w:val="3"/>
        <w:spacing w:line="360" w:lineRule="auto"/>
        <w:ind w:firstLine="0" w:firstLineChars="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4、其余事项</w:t>
      </w:r>
    </w:p>
    <w:p>
      <w:pPr>
        <w:rPr>
          <w:color w:val="auto"/>
          <w:sz w:val="32"/>
          <w:szCs w:val="32"/>
          <w:highlight w:val="none"/>
        </w:rPr>
      </w:pPr>
      <w:r>
        <w:rPr>
          <w:rFonts w:hint="eastAsia"/>
          <w:color w:val="auto"/>
          <w:szCs w:val="21"/>
          <w:highlight w:val="none"/>
        </w:rPr>
        <w:t>（1）合同履约保函联系方式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保险公司名称</w:t>
            </w:r>
          </w:p>
        </w:tc>
        <w:tc>
          <w:tcPr>
            <w:tcW w:w="2288"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保费率</w:t>
            </w:r>
          </w:p>
        </w:tc>
        <w:tc>
          <w:tcPr>
            <w:tcW w:w="1276"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联系人</w:t>
            </w:r>
          </w:p>
        </w:tc>
        <w:tc>
          <w:tcPr>
            <w:tcW w:w="1624"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中国人寿财产保险股份有限公司台州中心支公司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徐凌</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永诚财产保险股份有限公司台州分公司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尹刚强</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华泰财产保险有限公司台州中心支公司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年费率0.5%，最低保费1000元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王灵芳</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中国大地财产保险股份有限公司台州中心支公司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年费率1.5%，最低保费1000元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徐小明</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阳光保险台州中心支公司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林高明</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中华联合财产保险股份有限公司台州中心支公司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年费率2%，最低保费500元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王仙高</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中国人民财产保险股份有限公司台州中心支公司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年费率0.3%，最低保费1000元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王仙春</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永安财产保险股份有限公司台州中心支公司</w:t>
            </w:r>
          </w:p>
        </w:tc>
        <w:tc>
          <w:tcPr>
            <w:tcW w:w="2288"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年费率0.3%，最低保费1000</w:t>
            </w:r>
            <w:r>
              <w:rPr>
                <w:rFonts w:hint="eastAsia" w:asciiTheme="minorEastAsia" w:hAnsiTheme="minorEastAsia" w:cstheme="minorEastAsia"/>
                <w:color w:val="auto"/>
                <w:szCs w:val="21"/>
                <w:highlight w:val="none"/>
              </w:rPr>
              <w:t>元</w:t>
            </w:r>
          </w:p>
        </w:tc>
        <w:tc>
          <w:tcPr>
            <w:tcW w:w="1276"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王春宇</w:t>
            </w:r>
          </w:p>
        </w:tc>
        <w:tc>
          <w:tcPr>
            <w:tcW w:w="162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13676675331</w:t>
            </w:r>
          </w:p>
        </w:tc>
      </w:tr>
    </w:tbl>
    <w:p>
      <w:pPr>
        <w:rPr>
          <w:b/>
          <w:bCs/>
          <w:color w:val="auto"/>
          <w:szCs w:val="21"/>
          <w:highlight w:val="none"/>
        </w:rPr>
      </w:pPr>
    </w:p>
    <w:p>
      <w:pPr>
        <w:rPr>
          <w:color w:val="auto"/>
          <w:szCs w:val="21"/>
          <w:highlight w:val="none"/>
        </w:rPr>
      </w:pPr>
      <w:r>
        <w:rPr>
          <w:rFonts w:hint="eastAsia"/>
          <w:b/>
          <w:bCs/>
          <w:color w:val="auto"/>
          <w:szCs w:val="21"/>
          <w:highlight w:val="none"/>
        </w:rPr>
        <w:t>（</w:t>
      </w:r>
      <w:r>
        <w:rPr>
          <w:rFonts w:hint="eastAsia"/>
          <w:color w:val="auto"/>
          <w:szCs w:val="21"/>
          <w:highlight w:val="none"/>
        </w:rPr>
        <w:t>2）预付款保函联系方式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保险公司名称</w:t>
            </w:r>
          </w:p>
        </w:tc>
        <w:tc>
          <w:tcPr>
            <w:tcW w:w="2288"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保费率</w:t>
            </w:r>
          </w:p>
        </w:tc>
        <w:tc>
          <w:tcPr>
            <w:tcW w:w="1287"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联系人</w:t>
            </w:r>
          </w:p>
        </w:tc>
        <w:tc>
          <w:tcPr>
            <w:tcW w:w="1600" w:type="dxa"/>
            <w:vAlign w:val="center"/>
          </w:tcPr>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中国人寿财产保险股份有限公司台州中心支公司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年费率3%，最低保费500元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徐凌</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阳光保险台州中心支公司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林高明</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天安财产保险股份有限公司台州中心支公司</w:t>
            </w:r>
          </w:p>
        </w:tc>
        <w:tc>
          <w:tcPr>
            <w:tcW w:w="2288" w:type="dxa"/>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年费率1%-2%，最低保费500元</w:t>
            </w:r>
          </w:p>
        </w:tc>
        <w:tc>
          <w:tcPr>
            <w:tcW w:w="1287"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罗赛</w:t>
            </w:r>
          </w:p>
        </w:tc>
        <w:tc>
          <w:tcPr>
            <w:tcW w:w="160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13736605643</w:t>
            </w:r>
          </w:p>
        </w:tc>
      </w:tr>
    </w:tbl>
    <w:p>
      <w:pPr>
        <w:pStyle w:val="64"/>
        <w:spacing w:line="360" w:lineRule="auto"/>
        <w:ind w:firstLine="0" w:firstLineChars="0"/>
        <w:rPr>
          <w:rFonts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b/>
          <w:bCs/>
          <w:color w:val="auto"/>
          <w:szCs w:val="21"/>
          <w:highlight w:val="none"/>
        </w:rPr>
        <w:t>银行（中标项目贷款咨询）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中标供应商如有融资需求，可使用以下银行的政采贷服务。</w:t>
      </w:r>
    </w:p>
    <w:tbl>
      <w:tblPr>
        <w:tblStyle w:val="22"/>
        <w:tblW w:w="9434" w:type="dxa"/>
        <w:jc w:val="center"/>
        <w:tblLayout w:type="fixed"/>
        <w:tblCellMar>
          <w:top w:w="0" w:type="dxa"/>
          <w:left w:w="108" w:type="dxa"/>
          <w:bottom w:w="0" w:type="dxa"/>
          <w:right w:w="108" w:type="dxa"/>
        </w:tblCellMar>
      </w:tblPr>
      <w:tblGrid>
        <w:gridCol w:w="693"/>
        <w:gridCol w:w="4860"/>
        <w:gridCol w:w="1537"/>
        <w:gridCol w:w="911"/>
        <w:gridCol w:w="1433"/>
      </w:tblGrid>
      <w:tr>
        <w:tblPrEx>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联系电话</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15167671223</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15968680259</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13606668045</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13750661198</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13968689000</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17858683988</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13306566969</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15968662111</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13586088395</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18105768199</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13867611023</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13858687790</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15906861025</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13395745558</w:t>
            </w:r>
          </w:p>
        </w:tc>
      </w:tr>
      <w:tr>
        <w:tblPrEx>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13157608788</w:t>
            </w:r>
          </w:p>
        </w:tc>
      </w:tr>
    </w:tbl>
    <w:p>
      <w:pPr>
        <w:spacing w:line="360" w:lineRule="auto"/>
        <w:rPr>
          <w:rFonts w:ascii="宋体" w:hAnsi="宋体"/>
          <w:color w:val="auto"/>
          <w:szCs w:val="21"/>
          <w:highlight w:val="none"/>
        </w:rPr>
      </w:pPr>
      <w:r>
        <w:rPr>
          <w:rFonts w:hint="eastAsia" w:ascii="宋体" w:hAnsi="宋体"/>
          <w:b/>
          <w:color w:val="auto"/>
          <w:szCs w:val="21"/>
          <w:highlight w:val="none"/>
        </w:rPr>
        <w:t>十一、采购（中标）公告发布媒体：</w:t>
      </w:r>
      <w:r>
        <w:rPr>
          <w:rFonts w:hint="eastAsia" w:ascii="宋体" w:hAnsi="宋体"/>
          <w:color w:val="auto"/>
          <w:szCs w:val="21"/>
          <w:highlight w:val="none"/>
        </w:rPr>
        <w:t>浙江政府采购网（</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27"/>
          <w:rFonts w:hint="eastAsia" w:ascii="宋体" w:hAnsi="宋体"/>
          <w:color w:val="auto"/>
          <w:szCs w:val="21"/>
          <w:highlight w:val="none"/>
        </w:rPr>
        <w:t>http://zfcg.czt.zj.gov.cn</w:t>
      </w:r>
      <w:r>
        <w:rPr>
          <w:rStyle w:val="27"/>
          <w:rFonts w:hint="eastAsia" w:ascii="宋体" w:hAnsi="宋体"/>
          <w:color w:val="auto"/>
          <w:szCs w:val="21"/>
          <w:highlight w:val="none"/>
        </w:rPr>
        <w:fldChar w:fldCharType="end"/>
      </w:r>
      <w:r>
        <w:rPr>
          <w:rFonts w:hint="eastAsia" w:ascii="宋体" w:hAnsi="宋体"/>
          <w:color w:val="auto"/>
          <w:szCs w:val="21"/>
          <w:highlight w:val="none"/>
        </w:rPr>
        <w:t>）</w:t>
      </w:r>
    </w:p>
    <w:p>
      <w:pPr>
        <w:spacing w:line="360" w:lineRule="auto"/>
        <w:ind w:right="-252" w:rightChars="-120" w:firstLine="422" w:firstLineChars="200"/>
        <w:rPr>
          <w:rFonts w:ascii="宋体" w:hAnsi="宋体"/>
          <w:b/>
          <w:color w:val="auto"/>
          <w:szCs w:val="21"/>
          <w:highlight w:val="none"/>
        </w:rPr>
      </w:pPr>
      <w:r>
        <w:rPr>
          <w:rFonts w:hint="eastAsia" w:ascii="宋体" w:hAnsi="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pPr>
        <w:jc w:val="right"/>
        <w:rPr>
          <w:rFonts w:asciiTheme="minorEastAsia" w:hAnsiTheme="minorEastAsia" w:eastAsiaTheme="minorEastAsia" w:cstheme="minorEastAsia"/>
          <w:color w:val="auto"/>
          <w:szCs w:val="21"/>
          <w:highlight w:val="none"/>
        </w:rPr>
      </w:pPr>
    </w:p>
    <w:p>
      <w:pPr>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台州永安工程咨询有限公司</w:t>
      </w:r>
    </w:p>
    <w:p>
      <w:pPr>
        <w:pStyle w:val="2"/>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二○二二年三月</w:t>
      </w:r>
    </w:p>
    <w:p>
      <w:pPr>
        <w:numPr>
          <w:ilvl w:val="0"/>
          <w:numId w:val="0"/>
        </w:numPr>
        <w:spacing w:line="360" w:lineRule="auto"/>
        <w:jc w:val="both"/>
        <w:rPr>
          <w:rFonts w:ascii="宋体"/>
          <w:b/>
          <w:color w:val="auto"/>
          <w:sz w:val="36"/>
          <w:szCs w:val="36"/>
          <w:highlight w:val="none"/>
        </w:rPr>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第二章 投标人须知</w:t>
      </w:r>
    </w:p>
    <w:p>
      <w:pPr>
        <w:spacing w:line="360" w:lineRule="auto"/>
        <w:jc w:val="center"/>
        <w:rPr>
          <w:rFonts w:ascii="宋体"/>
          <w:b/>
          <w:color w:val="auto"/>
          <w:sz w:val="28"/>
          <w:szCs w:val="28"/>
          <w:highlight w:val="none"/>
        </w:rPr>
      </w:pPr>
      <w:r>
        <w:rPr>
          <w:rFonts w:hint="eastAsia" w:ascii="宋体" w:hAnsi="宋体"/>
          <w:b/>
          <w:color w:val="auto"/>
          <w:sz w:val="28"/>
          <w:szCs w:val="28"/>
          <w:highlight w:val="none"/>
        </w:rPr>
        <w:t>前  附 表</w:t>
      </w:r>
    </w:p>
    <w:tbl>
      <w:tblPr>
        <w:tblStyle w:val="22"/>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2123"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692"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项目说明</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项目类别：服务类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答疑会或现场踏勘</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r>
              <w:rPr>
                <w:rFonts w:hint="eastAsia" w:asciiTheme="minorEastAsia" w:hAnsiTheme="minorEastAsia" w:eastAsiaTheme="minorEastAsia" w:cstheme="minorEastAsia"/>
                <w:color w:val="auto"/>
                <w:szCs w:val="21"/>
                <w:highlight w:val="none"/>
              </w:rPr>
              <w:t>组成</w:t>
            </w:r>
            <w:r>
              <w:rPr>
                <w:rFonts w:hint="eastAsia" w:ascii="宋体" w:hAnsi="宋体" w:cs="宋体"/>
                <w:color w:val="auto"/>
                <w:szCs w:val="21"/>
                <w:highlight w:val="none"/>
              </w:rPr>
              <w:t>要求</w:t>
            </w:r>
          </w:p>
        </w:tc>
        <w:tc>
          <w:tcPr>
            <w:tcW w:w="6692" w:type="dxa"/>
            <w:vAlign w:val="center"/>
          </w:tcPr>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本项目实行电子投标，供应商应准备电子投标文件、还可以提供以介质（U盘）存储的数据电文形式的备份投标文件。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1、电子投标文件：指通过“政采云电子交易客户端”完成投标文件编制后生成并加密的数据电文形式的电子投标文件。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2、备份投标文件：是指“电子投标文件”同时生成的数据电文形式的电子文件（备份标书），以U盘形式提供。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以上两类投标文件均由资格证明文件、商务技术文件、报价文件三部分组成。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投标文件有效期</w:t>
            </w:r>
          </w:p>
        </w:tc>
        <w:tc>
          <w:tcPr>
            <w:tcW w:w="669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123" w:type="dxa"/>
            <w:vAlign w:val="center"/>
          </w:tcPr>
          <w:p>
            <w:pPr>
              <w:pStyle w:val="2"/>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电子投标文件的传输递交</w:t>
            </w:r>
          </w:p>
        </w:tc>
        <w:tc>
          <w:tcPr>
            <w:tcW w:w="6692" w:type="dxa"/>
            <w:vAlign w:val="center"/>
          </w:tcPr>
          <w:p>
            <w:pPr>
              <w:spacing w:line="300" w:lineRule="exact"/>
              <w:rPr>
                <w:rFonts w:ascii="宋体" w:hAnsi="宋体" w:cs="宋体"/>
                <w:b/>
                <w:bCs/>
                <w:color w:val="auto"/>
                <w:szCs w:val="21"/>
                <w:highlight w:val="none"/>
                <w:u w:val="single"/>
              </w:rPr>
            </w:pPr>
            <w:r>
              <w:rPr>
                <w:rFonts w:hint="eastAsia" w:ascii="宋体" w:hAnsi="宋体" w:cs="宋体"/>
                <w:b/>
                <w:bCs/>
                <w:color w:val="auto"/>
                <w:szCs w:val="21"/>
                <w:highlight w:val="none"/>
              </w:rPr>
              <w:t>截止时间：</w:t>
            </w:r>
            <w:r>
              <w:rPr>
                <w:rFonts w:hint="eastAsia" w:ascii="宋体" w:hAnsi="宋体" w:cs="宋体"/>
                <w:color w:val="auto"/>
                <w:szCs w:val="21"/>
                <w:highlight w:val="none"/>
              </w:rPr>
              <w:t xml:space="preserve"> </w:t>
            </w:r>
            <w:r>
              <w:rPr>
                <w:rFonts w:hint="eastAsia" w:ascii="宋体" w:hAnsi="宋体" w:cs="宋体"/>
                <w:b/>
                <w:bCs/>
                <w:color w:val="auto"/>
                <w:szCs w:val="21"/>
                <w:highlight w:val="none"/>
                <w:u w:val="single"/>
                <w:lang w:eastAsia="zh-CN"/>
              </w:rPr>
              <w:t>2022年4月12日下午14：00</w:t>
            </w:r>
            <w:r>
              <w:rPr>
                <w:rFonts w:hint="eastAsia" w:ascii="宋体" w:hAnsi="宋体" w:cs="宋体"/>
                <w:b/>
                <w:bCs/>
                <w:color w:val="auto"/>
                <w:szCs w:val="21"/>
                <w:highlight w:val="none"/>
                <w:u w:val="single"/>
              </w:rPr>
              <w:t>整</w:t>
            </w:r>
          </w:p>
          <w:p>
            <w:pPr>
              <w:spacing w:line="300" w:lineRule="exact"/>
              <w:rPr>
                <w:rFonts w:ascii="宋体" w:hAnsi="宋体" w:cs="宋体"/>
                <w:color w:val="auto"/>
                <w:szCs w:val="21"/>
                <w:highlight w:val="none"/>
              </w:rPr>
            </w:pPr>
            <w:r>
              <w:rPr>
                <w:rFonts w:hint="eastAsia" w:ascii="宋体" w:hAnsi="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备份投标文件的递交</w:t>
            </w:r>
          </w:p>
        </w:tc>
        <w:tc>
          <w:tcPr>
            <w:tcW w:w="6692" w:type="dxa"/>
            <w:vAlign w:val="center"/>
          </w:tcPr>
          <w:p>
            <w:pPr>
              <w:pStyle w:val="52"/>
              <w:snapToGrid w:val="0"/>
              <w:spacing w:line="300" w:lineRule="exact"/>
              <w:rPr>
                <w:rFonts w:ascii="宋体" w:hAnsi="宋体"/>
                <w:color w:val="auto"/>
                <w:kern w:val="2"/>
                <w:highlight w:val="none"/>
              </w:rPr>
            </w:pPr>
            <w:r>
              <w:rPr>
                <w:rFonts w:hint="eastAsia" w:ascii="宋体" w:hAnsi="宋体"/>
                <w:color w:val="auto"/>
                <w:kern w:val="2"/>
                <w:highlight w:val="none"/>
              </w:rPr>
              <w:t>投标人应当在投标截止时间前将备份投标文件分别按要求密封邮寄到</w:t>
            </w:r>
            <w:r>
              <w:rPr>
                <w:rFonts w:hint="eastAsia" w:ascii="宋体" w:hAnsi="宋体"/>
                <w:b/>
                <w:bCs/>
                <w:color w:val="auto"/>
                <w:highlight w:val="none"/>
              </w:rPr>
              <w:t>台州市椒江区中环世纪6幢801室（交通银行台州分行楼上）</w:t>
            </w:r>
            <w:r>
              <w:rPr>
                <w:rFonts w:hint="eastAsia" w:ascii="宋体" w:hAnsi="宋体"/>
                <w:color w:val="auto"/>
                <w:kern w:val="2"/>
                <w:highlight w:val="none"/>
              </w:rPr>
              <w:t>，逾期寄达或未按要求密封将被拒收。如投标人未在投标截止时间前完成电子投标文件的传输递交，其备份投标文件也将为无效投标文件。</w:t>
            </w:r>
          </w:p>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截止时间：</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2022年4月12日下午14：00</w:t>
            </w:r>
            <w:r>
              <w:rPr>
                <w:rFonts w:hint="eastAsia" w:ascii="宋体" w:hAnsi="宋体" w:cs="宋体"/>
                <w:b/>
                <w:bCs/>
                <w:color w:val="auto"/>
                <w:szCs w:val="21"/>
                <w:highlight w:val="none"/>
                <w:u w:val="singl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备份投标文件份数及密封要求</w:t>
            </w:r>
          </w:p>
        </w:tc>
        <w:tc>
          <w:tcPr>
            <w:tcW w:w="6692" w:type="dxa"/>
            <w:vAlign w:val="center"/>
          </w:tcPr>
          <w:p>
            <w:pPr>
              <w:pStyle w:val="18"/>
              <w:spacing w:before="0" w:beforeAutospacing="0" w:after="0" w:afterAutospacing="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一份，以U盘形式提供。</w:t>
            </w:r>
          </w:p>
          <w:p>
            <w:pPr>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rPr>
                <w:rFonts w:ascii="宋体" w:hAnsi="宋体" w:cs="宋体"/>
                <w:b/>
                <w:bCs/>
                <w:color w:val="auto"/>
                <w:szCs w:val="21"/>
                <w:highlight w:val="none"/>
              </w:rPr>
            </w:pPr>
            <w:r>
              <w:rPr>
                <w:rFonts w:hint="eastAsia" w:ascii="宋体" w:hAnsi="宋体" w:cs="宋体"/>
                <w:color w:val="auto"/>
                <w:szCs w:val="21"/>
                <w:highlight w:val="none"/>
              </w:rPr>
              <w:t>如电子投标文件解密成功，则备份投标文件不再拆封。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123" w:type="dxa"/>
            <w:vAlign w:val="center"/>
          </w:tcPr>
          <w:p>
            <w:pPr>
              <w:spacing w:line="300" w:lineRule="exact"/>
              <w:jc w:val="center"/>
              <w:rPr>
                <w:rFonts w:ascii="宋体" w:hAnsi="宋体" w:cs="宋体"/>
                <w:color w:val="auto"/>
                <w:szCs w:val="21"/>
                <w:highlight w:val="none"/>
              </w:rPr>
            </w:pPr>
            <w:r>
              <w:rPr>
                <w:rFonts w:hint="eastAsia" w:ascii="宋体" w:hAnsi="宋体" w:cs="宋体"/>
                <w:color w:val="auto"/>
                <w:szCs w:val="21"/>
                <w:highlight w:val="none"/>
              </w:rPr>
              <w:t>电子投标文件解密时间及地点</w:t>
            </w:r>
          </w:p>
        </w:tc>
        <w:tc>
          <w:tcPr>
            <w:tcW w:w="6692" w:type="dxa"/>
            <w:vAlign w:val="center"/>
          </w:tcPr>
          <w:p>
            <w:pPr>
              <w:spacing w:line="300" w:lineRule="exact"/>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2022年4月12日下午14：00</w:t>
            </w:r>
            <w:r>
              <w:rPr>
                <w:rFonts w:hint="eastAsia" w:ascii="宋体" w:hAnsi="宋体" w:cs="宋体"/>
                <w:color w:val="auto"/>
                <w:szCs w:val="21"/>
                <w:highlight w:val="none"/>
              </w:rPr>
              <w:t>-</w:t>
            </w:r>
            <w:r>
              <w:rPr>
                <w:rFonts w:hint="eastAsia" w:ascii="宋体" w:hAnsi="宋体" w:cs="宋体"/>
                <w:color w:val="auto"/>
                <w:szCs w:val="21"/>
                <w:highlight w:val="none"/>
                <w:lang w:eastAsia="zh-CN"/>
              </w:rPr>
              <w:t>14：30</w:t>
            </w:r>
            <w:r>
              <w:rPr>
                <w:rFonts w:hint="eastAsia" w:ascii="宋体" w:hAnsi="宋体" w:cs="宋体"/>
                <w:color w:val="auto"/>
                <w:szCs w:val="21"/>
                <w:highlight w:val="none"/>
              </w:rPr>
              <w:t>（北京时间）</w:t>
            </w:r>
          </w:p>
          <w:p>
            <w:pPr>
              <w:pStyle w:val="51"/>
              <w:rPr>
                <w:rFonts w:hAnsi="宋体" w:cs="宋体"/>
                <w:color w:val="auto"/>
                <w:sz w:val="21"/>
                <w:szCs w:val="21"/>
                <w:highlight w:val="none"/>
              </w:rPr>
            </w:pPr>
            <w:r>
              <w:rPr>
                <w:rFonts w:hint="eastAsia" w:hAnsi="宋体" w:cs="宋体"/>
                <w:color w:val="auto"/>
                <w:kern w:val="2"/>
                <w:sz w:val="21"/>
                <w:szCs w:val="21"/>
                <w:highlight w:val="none"/>
              </w:rPr>
              <w:t>地点：政采云平台（http://zfcg.czt.zj.gov.cn）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23" w:type="dxa"/>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692" w:type="dxa"/>
            <w:vAlign w:val="center"/>
          </w:tcPr>
          <w:p>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带“</w:t>
            </w:r>
            <w:r>
              <w:rPr>
                <w:rFonts w:hint="eastAsia" w:ascii="宋体" w:hAnsi="宋体" w:cs="宋体"/>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2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692" w:type="dxa"/>
            <w:vAlign w:val="center"/>
          </w:tcPr>
          <w:p>
            <w:pPr>
              <w:jc w:val="left"/>
              <w:rPr>
                <w:rFonts w:ascii="宋体" w:hAnsi="宋体" w:cs="宋体"/>
                <w:color w:val="auto"/>
                <w:szCs w:val="21"/>
                <w:highlight w:val="none"/>
              </w:rPr>
            </w:pPr>
            <w:r>
              <w:rPr>
                <w:rFonts w:hint="eastAsia" w:hAnsi="宋体"/>
                <w:color w:val="auto"/>
                <w:highlight w:val="none"/>
              </w:rPr>
              <w:t>1、踏勘现场时间及地点</w:t>
            </w:r>
            <w:r>
              <w:rPr>
                <w:color w:val="auto"/>
                <w:highlight w:val="none"/>
              </w:rPr>
              <w:t>：</w:t>
            </w:r>
            <w:r>
              <w:rPr>
                <w:rFonts w:hint="eastAsia" w:hAnsi="宋体"/>
                <w:color w:val="auto"/>
                <w:highlight w:val="none"/>
              </w:rPr>
              <w:t>不组织，各投标单位根据自己需要，自行前往勘察现场和周围环境，所产生的费用由投标单位自理。</w:t>
            </w:r>
            <w:r>
              <w:rPr>
                <w:rFonts w:hint="eastAsia" w:ascii="宋体" w:hAnsi="宋体"/>
                <w:color w:val="auto"/>
                <w:szCs w:val="21"/>
                <w:highlight w:val="none"/>
              </w:rPr>
              <w:t>2、节能产品、环保产品：无要求；3、样品：无要求；4、现场演示：无要求。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23" w:type="dxa"/>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中小企业扶持政策</w:t>
            </w:r>
          </w:p>
        </w:tc>
        <w:tc>
          <w:tcPr>
            <w:tcW w:w="6692" w:type="dxa"/>
            <w:vAlign w:val="center"/>
          </w:tcPr>
          <w:p>
            <w:pPr>
              <w:pStyle w:val="51"/>
              <w:spacing w:line="360" w:lineRule="auto"/>
              <w:rPr>
                <w:rFonts w:hAnsi="宋体" w:cs="宋体"/>
                <w:color w:val="auto"/>
                <w:sz w:val="21"/>
                <w:szCs w:val="21"/>
                <w:highlight w:val="none"/>
                <w:lang w:val="zh-CN"/>
              </w:rPr>
            </w:pPr>
            <w:r>
              <w:rPr>
                <w:rFonts w:hint="eastAsia" w:hAnsi="宋体" w:cs="宋体"/>
                <w:color w:val="auto"/>
                <w:sz w:val="21"/>
                <w:szCs w:val="21"/>
                <w:highlight w:val="none"/>
              </w:rPr>
              <w:t>1、依据《政府采购促进中小企业发展管理办法》（财库【2020】46号）第十二条规定，享受扶持政策获得政府采购合同的，小微企业不得将合同分包给大中型企业，中型企业不得将合同分包给大型企业，否则按违约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212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692"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本招标文件的解释权属于</w:t>
            </w:r>
            <w:r>
              <w:rPr>
                <w:rFonts w:hint="eastAsia" w:ascii="宋体" w:hAnsi="宋体"/>
                <w:b/>
                <w:color w:val="auto"/>
                <w:szCs w:val="21"/>
                <w:highlight w:val="none"/>
              </w:rPr>
              <w:t>台州永安工程咨询有限公司</w:t>
            </w:r>
          </w:p>
        </w:tc>
      </w:tr>
    </w:tbl>
    <w:p>
      <w:pPr>
        <w:spacing w:line="360" w:lineRule="auto"/>
        <w:rPr>
          <w:rFonts w:asciiTheme="minorEastAsia" w:hAnsiTheme="minorEastAsia" w:eastAsiaTheme="minorEastAsia" w:cstheme="minorEastAsia"/>
          <w:b/>
          <w:bCs/>
          <w:color w:val="auto"/>
          <w:szCs w:val="21"/>
          <w:highlight w:val="none"/>
        </w:rPr>
      </w:pP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一、总则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 适用范围</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本招标文件适用于本次项目的招标、投标、评标、定标、验收、合同履约、付款等行为（法律、法规另有规定的，从其规定）。</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（二）定义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“采购组织机构”指采购人委托组织招标的采购代理机构。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2、采购人：是指委托</w:t>
      </w:r>
      <w:r>
        <w:rPr>
          <w:rFonts w:hint="eastAsia" w:asciiTheme="minorEastAsia" w:hAnsiTheme="minorEastAsia" w:eastAsiaTheme="minorEastAsia" w:cstheme="minorEastAsia"/>
          <w:color w:val="auto"/>
          <w:szCs w:val="21"/>
          <w:highlight w:val="none"/>
          <w:lang w:val="zh-CN"/>
        </w:rPr>
        <w:t>采购代理机构</w:t>
      </w:r>
      <w:r>
        <w:rPr>
          <w:rFonts w:hint="eastAsia" w:asciiTheme="minorEastAsia" w:hAnsiTheme="minorEastAsia" w:eastAsiaTheme="minorEastAsia" w:cstheme="minorEastAsia"/>
          <w:color w:val="auto"/>
          <w:szCs w:val="21"/>
          <w:highlight w:val="none"/>
        </w:rPr>
        <w:t>采购本次项目的国家机关、事业单位和团体组织。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4、货物：是指各种形态和种类的物品，包括原材料、燃料、设备、产品等。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5、服务：是指除货物和工程以外的政府采购对象，包括各类专业服务、信息网络开发服务、金融保险服务、运输服务，以及维修与维护服务等。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6、“书面形式”包括信函、传真等。</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7、“▲”系指实质性要求条款。</w:t>
      </w:r>
    </w:p>
    <w:p>
      <w:pPr>
        <w:spacing w:line="360" w:lineRule="auto"/>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（三）投标费用</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不论投标结果如何，投标人均应自行承担所有与投标有关的全部费用（招标文件有相关规定除外）。</w:t>
      </w:r>
    </w:p>
    <w:p>
      <w:pPr>
        <w:spacing w:line="360" w:lineRule="auto"/>
        <w:ind w:firstLine="422" w:firstLineChars="200"/>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（四）特别说明</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1、投标人投标所使用的资格、信誉、荣誉、业绩与企业认证必须为本法人所拥有。投标人投标所使用的采购项目实施人员必须为本法人员工。</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5、为采购项目提供整体设计、规范编制或者项目管理、监理、检测等服务的供应商，不得再参加该采购项目的其他采购活动。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6、投标文件格式中的表格式样可以根据项目差别做适当调整,但应当保持表格样式基本形态不变。</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7、单位负责人为同一人或者存在直接控股、管理关系的不同供应商，不得参加同一合同项下的政府采购活动。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8、本项目不允许分包。</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二、招标文件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（一）招标文件由招标文件总目录所列内容组成。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（二）招标文件的澄清或修改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w:t>
      </w:r>
    </w:p>
    <w:p>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本项目实行电子投标，供应商应准备电子投标文件、还可以提供备份投标文件。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zh-CN"/>
        </w:rPr>
        <w:t>电子投标文件按</w:t>
      </w:r>
      <w:r>
        <w:rPr>
          <w:rFonts w:hint="eastAsia" w:asciiTheme="minorEastAsia" w:hAnsiTheme="minorEastAsia" w:eastAsiaTheme="minorEastAsia" w:cstheme="minorEastAsia"/>
          <w:bCs/>
          <w:color w:val="auto"/>
          <w:szCs w:val="21"/>
          <w:highlight w:val="none"/>
        </w:rPr>
        <w:t>政府采购</w:t>
      </w:r>
      <w:r>
        <w:rPr>
          <w:rFonts w:hint="eastAsia" w:asciiTheme="minorEastAsia" w:hAnsiTheme="minorEastAsia" w:eastAsiaTheme="minorEastAsia" w:cstheme="minorEastAsia"/>
          <w:bCs/>
          <w:color w:val="auto"/>
          <w:szCs w:val="21"/>
          <w:highlight w:val="none"/>
          <w:lang w:val="zh-CN"/>
        </w:rPr>
        <w:t>云平台供应商项目采购</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电子招投标操作指南</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zh-CN"/>
        </w:rPr>
        <w:t>网址</w:t>
      </w:r>
      <w:r>
        <w:rPr>
          <w:rFonts w:hint="eastAsia" w:asciiTheme="minorEastAsia" w:hAnsiTheme="minorEastAsia" w:eastAsiaTheme="minorEastAsia" w:cstheme="minorEastAsia"/>
          <w:bCs/>
          <w:color w:val="auto"/>
          <w:szCs w:val="21"/>
          <w:highlight w:val="none"/>
        </w:rPr>
        <w:t>：https://help.zcygov.cn/web/site_2/2018/12-28/2573.html）</w:t>
      </w:r>
      <w:r>
        <w:rPr>
          <w:rFonts w:hint="eastAsia" w:asciiTheme="minorEastAsia" w:hAnsiTheme="minorEastAsia" w:eastAsiaTheme="minorEastAsia" w:cstheme="minorEastAsia"/>
          <w:bCs/>
          <w:color w:val="auto"/>
          <w:szCs w:val="21"/>
          <w:highlight w:val="none"/>
          <w:lang w:val="zh-CN"/>
        </w:rPr>
        <w:t>及本招标文件要求制作、加密并</w:t>
      </w:r>
      <w:r>
        <w:rPr>
          <w:rFonts w:hint="eastAsia" w:asciiTheme="minorEastAsia" w:hAnsiTheme="minorEastAsia" w:eastAsiaTheme="minorEastAsia" w:cstheme="minorEastAsia"/>
          <w:bCs/>
          <w:color w:val="auto"/>
          <w:szCs w:val="21"/>
          <w:highlight w:val="none"/>
        </w:rPr>
        <w:t>传输</w:t>
      </w:r>
      <w:r>
        <w:rPr>
          <w:rFonts w:hint="eastAsia" w:asciiTheme="minorEastAsia" w:hAnsiTheme="minorEastAsia" w:eastAsiaTheme="minorEastAsia" w:cstheme="minorEastAsia"/>
          <w:bCs/>
          <w:color w:val="auto"/>
          <w:szCs w:val="21"/>
          <w:highlight w:val="none"/>
          <w:lang w:val="zh-CN"/>
        </w:rPr>
        <w:t>递交。</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宋体" w:hAnsi="宋体"/>
          <w:color w:val="auto"/>
          <w:szCs w:val="21"/>
          <w:highlight w:val="none"/>
          <w:lang w:val="zh-CN"/>
        </w:rPr>
        <w:t>备份投标文件是指“电子投标文件”同时生成的数据电文形式的电子文件（备份标书），以U盘形式提供。</w:t>
      </w:r>
    </w:p>
    <w:p>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3、投标文件启用顺序和效力：投标文件的启用，按先后顺位分别为电子投标文件、以介质（U盘）存储的数据电文形式的备份投标文件。如果某位投标人的电子投标文件无法按时解密的，可启用以介质（U盘）存储的数据电文形式的备份投标文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▲未传输递交电子投标文件及未按规定提供相应的备份投标文件的，投标无效。</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zh-CN"/>
        </w:rPr>
        <w:t>（一）</w:t>
      </w:r>
      <w:r>
        <w:rPr>
          <w:rFonts w:hint="eastAsia" w:asciiTheme="minorEastAsia" w:hAnsiTheme="minorEastAsia" w:eastAsiaTheme="minorEastAsia" w:cstheme="minorEastAsia"/>
          <w:b/>
          <w:bCs/>
          <w:color w:val="auto"/>
          <w:szCs w:val="21"/>
          <w:highlight w:val="none"/>
        </w:rPr>
        <w:t>投标文件的组成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投标人接到招标文件后，按照招标文件的要求提供投标文件（包含电子投标文件和备份投标文件）：由资格证明文件、商务与技术文件和报价文件三部分组成。</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1、资格证明文件的组成：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（1）投标声明书；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（2）授权委托书（法定代表人亲自办理投标事宜的，则无需提交)；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（3）法人或者其他组织的营业执照等证明文件，自然人的身份证明；</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（4）提供采购公告中符合供应商特定条件的有效资质证书复印件（投标供应商特定条件中有要求的必须提供），以及需要说明的其他资料；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2、商务与技术文件的组成：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（1）投标人企业情况介绍；</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（2）投标方案描述：</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A.项目需求的理解与分析(投标人对项目现状及需求的理解情况，对项目现状和需求描述的全面性、准确性、针对性，对项目重点、难点的把握，解决方案及合理化建议)。</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B.项目组织实施方案（包括项目工期、确保项目供货的措施或方案、项目实施进度安排、项目实施人员及项目负责人的资质、类似经验及社保证明等）。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C.安装、调试及验收方案（包括项目验收标准和验收方法等）和措施；</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（3）投标产品描述及相关资料：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A.投标项目供货清单</w:t>
      </w:r>
      <w:r>
        <w:rPr>
          <w:rFonts w:hint="eastAsia" w:asciiTheme="minorEastAsia" w:hAnsiTheme="minorEastAsia" w:eastAsiaTheme="minorEastAsia" w:cstheme="minorEastAsia"/>
          <w:b/>
          <w:bCs/>
          <w:color w:val="auto"/>
          <w:szCs w:val="21"/>
          <w:highlight w:val="none"/>
        </w:rPr>
        <w:t>（均不含报价）</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B.产品品牌及型号、技术参数指标、性能特点、图片资料以及所遵循的技术规范、产品质保期、出厂标准、产品质量相关检测报告等内容。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C.商务及技术响应表。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D.投标产品中有节能产品的，应列明投标产品中有列入最新一期财政部、发展改革委公布的“节能产品政府采购清单”明细（提供所投标产品在清单中所处的页码、截图，并以明显标识标注）；投标产品中有环保产品的，应列明投标产品中有列入最新一期财政部、环境保护部公布的“环境标志产品政府采购清单”明细（提供所投标产品在清单中所处的页码、截图，并以明显标识标注）。</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【特别提示：节能和环境标志产品最新一期政府采购清单，可在“中国政府采购网”中查看】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（4）投标人通过的质量管理和质量保证体系、环保体系、自主创新相关证书、软件著作权证等与本项目相关的认证证书或文件；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（5）类似项目的成功案例（投标人类似项目实施情况一览表、合同复印件及其相应的发票、用户验收报告等）；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（6）投标人认为需要提供的其他资料（包括可能影响投标人商务与技术文件评分的各类证明材料）。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（7）售后服务描述及承诺：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A.距采购人最近的服务网点详细介绍（包括地理位置、资质资格、技术力量、工作业绩、服务内容及联系电话等）。</w:t>
      </w:r>
    </w:p>
    <w:p>
      <w:pPr>
        <w:spacing w:line="41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B.针对本项目的售后服务措施及承诺（售后技术服务方案、人员配备、服务响应时间、技术培训方案等）。</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宋体" w:hAnsi="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3、报价文件的组成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（1）报价文件由开标一览表、报价明细表、中小企业声明函，以及投标人认为其他需要说明的内容组成。</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（2）此报价为投标人一次性报出唯一的最终价格，包含其它一切所要涉及到的费用，有选择的报价将被拒绝。</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总报价为完成本项目的所有费用，包括派遣的全职人员及在项目区域内提供保洁、护工运送及其他所有服务所需的一切人员工资、奖金、各种加班费、值班补贴、夜餐费、各种社会保险、食宿与交通、服装、安全、仓储、维修、管理费用、税费、利润、完成合同所需的一切本身和不可或缺的所有工作开支、政策性文件规定计合同包含的所有风险、责任等各项全部费用，全部费用已包含在投标报价中。</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（4）政府采购优惠政策相关资料、产品适用政府采购政策情况表（如有）。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（6）投标报价应按招标文件中相关附表格式填写。</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（二）投标文件的制作、封装及递交要求</w:t>
      </w:r>
    </w:p>
    <w:p>
      <w:pPr>
        <w:snapToGrid w:val="0"/>
        <w:spacing w:before="162"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（3）投标文件不得涂改，若有修改错漏处，须加盖单位公章或者法定代表人或授权委托人签字或盖章。投标文件因字迹潦草或表达不清所引起的后果由投标人负责。</w:t>
      </w:r>
    </w:p>
    <w:p>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2、投标文件的制作</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（1）投标人应按照投标文件组成内容及项目招标需求制作投标文件，不按招标文件要求制作投标文件由此产生的责任由投标人自行承担。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51"/>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（1）投标文件的正本</w:t>
      </w:r>
      <w:r>
        <w:rPr>
          <w:rFonts w:hint="eastAsia" w:asciiTheme="minorEastAsia" w:hAnsiTheme="minorEastAsia" w:eastAsiaTheme="minorEastAsia" w:cstheme="minorEastAsia"/>
          <w:color w:val="auto"/>
          <w:sz w:val="21"/>
          <w:szCs w:val="21"/>
          <w:highlight w:val="none"/>
          <w:lang w:val="zh-CN"/>
        </w:rPr>
        <w:t>封面</w:t>
      </w:r>
      <w:r>
        <w:rPr>
          <w:rFonts w:hint="eastAsia" w:asciiTheme="minorEastAsia" w:hAnsiTheme="minorEastAsia" w:eastAsiaTheme="minorEastAsia" w:cstheme="minorEastAsia"/>
          <w:color w:val="auto"/>
          <w:sz w:val="21"/>
          <w:szCs w:val="21"/>
          <w:highlight w:val="none"/>
        </w:rPr>
        <w:t>需打印或用不褪色的墨水填写，并注明“正本”字样</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除报价文件外其余一律不准出现数字报价。如有不同标项，请按标项号分别编制。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备份投标文件在密封袋的封口处加盖投标人公章、法定代表人代表或授权委托代理人印章或签字。封皮上写明项目编号、标项、招标项目名称、投标人名称，并注明“投标文件名称”、“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（4）项目如分标项，各标项投标文件必须分开编制。</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备份投标文件必须在规定的投标文件递交截止时间前送到（以顺丰邮寄形式）指定的地点（台州市椒江区中环世纪6幢801室（交通银行台州分行楼上））。投标文件在截止时间后提交，采购代理机构将拒绝接收。</w:t>
      </w:r>
    </w:p>
    <w:p>
      <w:pPr>
        <w:tabs>
          <w:tab w:val="left" w:pos="1418"/>
        </w:tabs>
        <w:autoSpaceDE w:val="0"/>
        <w:autoSpaceDN w:val="0"/>
        <w:adjustRightIn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（2）电子投标文件的相关说明</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供应商进行电子投标应安装客户端软件，并按照采购文件和电子交易平台的要求编制并加密投标文件。供应商未按规定加密的投标文件，电子交易平台将拒收。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供应商在电子交易平台传输递交投标文件后，还可以在投标截止时间前提交备份投标文件，若供应商未提交备份投标文件，其后果由供应商自行承担。</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供应商仅提交备份投标文件的，投标无效。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4、投标文件的补充、修改和撤回。</w:t>
      </w:r>
    </w:p>
    <w:p>
      <w:pPr>
        <w:pStyle w:val="66"/>
        <w:ind w:firstLine="420"/>
        <w:rPr>
          <w:rFonts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GB"/>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66"/>
        <w:ind w:firstLine="420"/>
        <w:rPr>
          <w:rFonts w:asciiTheme="minorEastAsia" w:hAnsiTheme="minorEastAsia" w:eastAsiaTheme="minorEastAsia" w:cstheme="minorEastAsia"/>
          <w:color w:val="auto"/>
          <w:sz w:val="21"/>
          <w:szCs w:val="21"/>
          <w:highlight w:val="none"/>
          <w:lang w:val="en-GB"/>
        </w:rPr>
      </w:pPr>
      <w:r>
        <w:rPr>
          <w:rFonts w:hint="eastAsia" w:asciiTheme="minorEastAsia" w:hAnsiTheme="minorEastAsia" w:eastAsiaTheme="minorEastAsia" w:cstheme="minorEastAsia"/>
          <w:color w:val="auto"/>
          <w:sz w:val="21"/>
          <w:szCs w:val="21"/>
          <w:highlight w:val="none"/>
          <w:lang w:val="en-GB"/>
        </w:rPr>
        <w:t>（</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GB"/>
        </w:rPr>
        <w:t>）投标截止时间后，投标供应商不得撤回、修改投标文件。</w:t>
      </w:r>
    </w:p>
    <w:p>
      <w:pPr>
        <w:pStyle w:val="66"/>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GB"/>
        </w:rPr>
        <w:t>在开标后规定的投标有效期内，投标人不能撤销投标文件。</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3、中标人的投标文件自开标之日起至合同履行完毕均应保持有效。</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四、开标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（一）开标事项</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采购组织机构按照采购文件规定的时间通过电子交易平台组织开标、开启投标文件，所有供应商均应当准时在线参加。</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开标时，电子交易平台自动提取所有投标文件，提示采购组织机构和供应商按采购文件规定的方式和时间在线解密。</w:t>
      </w:r>
      <w:r>
        <w:rPr>
          <w:rFonts w:hint="eastAsia" w:asciiTheme="minorEastAsia" w:hAnsiTheme="minorEastAsia" w:eastAsiaTheme="minorEastAsia" w:cstheme="minorEastAsia"/>
          <w:b/>
          <w:bCs/>
          <w:color w:val="auto"/>
          <w:szCs w:val="21"/>
          <w:highlight w:val="none"/>
        </w:rPr>
        <w:t>给予供应商在线解密的时间为截止投标后30分钟。</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投标文件未按时解密，供应商提供了备份投标文件的，以备份投标文件作为依据，否则视为投标文件撤回。投标文件已按时解密的，备份投标文件不再拆封。</w:t>
      </w:r>
    </w:p>
    <w:p>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在“招标公告”规定的时间和地点公开开标，（受疫情期间影响）投标人的法定代表人或其授权代表无需现场参加开标会并签到。评标委员会成员不得参加开标活动。（本次招标采用先评审商务资格和技术服务方案，后公开并评审商务报价的办法实施）。</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 开标程序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2、主持人介绍参加开标会的人员名单；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3、主持人宣布评标期间的有关事项，告知应当回避的情形,提请有关人员回避；</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5、采购组织机构点击【开启标书信息】，进入资格审查及符合性审查环节。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6、完成综合比较与评价后，开启报价响应文件。采购代理机构成功开启报价响应文件后，方可查看各供应商报价情况。</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7、报价文件评审；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8、在完成评标后，宣布评标结果，开标会议结束。</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五、评标</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（一）组建评标委员会</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评标委员会由采购人代表和评审专家组成，成员人数为5人以上单数，其中评审专家不得少于成员总数的三分之二。</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（二）评标程序</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1、资格审查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2、符合性审查</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（3）评标时，评标委员会各成员应当独立对每个投标人的投标文件进行评价，并汇总每个投标人的得分。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4、得分确认及评审报告编写</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5、评价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（三）澄清问题的形式</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投标人的澄清、说明或者补正应当采用书面形式，并加盖公章或者由法定代表人或授权委托代理人签字，并不得超出投标文件的范围或者改变投标文件的实质性内容。</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（四）错误修正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投标文件报价出现前后不一致的，除招标文件另有规定外，按照下列规定修正：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中开标一览表（报价表）内容与投标文件中相应内容不一致的，以开标一览表（报价表）为准。政采云平台开标一览表中填报的价格与上传的报价响应文件中开标一览表的报价不一致的，以上传的报价响应文件中开标一览表的价格为准，修正平台上的投标报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2、大写金额和小写金额不一致的，以大写金额为准；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3、单价金额小数点或者百分比有明显错位的，以开标一览表的总价为准，并修改单价；</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同时出现两种以上不一致的，按照前款规定的顺序修正。修正应当采用书面形式，并加盖公章，或者由法定代表人或授权委托代理人签字。修正后的报价经投标人确认后产生约束力，投标人不确认的，其投标无效。</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（五）投标人存在下列情况之一的，投标无效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1、资格证明文件或商务与技术文件跟报价文件出现混装或在资格证明文件或商务与技术文件中出现投标报价的，或者报价文件中报价的服务跟商务与技术文件中的投标服务出现重大偏差的；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2、不具备招标文件中规定的资格要求的。</w:t>
      </w:r>
      <w:r>
        <w:rPr>
          <w:rFonts w:hint="eastAsia" w:asciiTheme="minorEastAsia" w:hAnsiTheme="minorEastAsia" w:eastAsiaTheme="minorEastAsia" w:cstheme="minorEastAsia"/>
          <w:color w:val="auto"/>
          <w:szCs w:val="21"/>
          <w:highlight w:val="none"/>
        </w:rPr>
        <w:tab/>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3、投标文件含有采购人不能接受的附加条件的。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4、投标人的授权委托代理人未能出具身份证明或与法定代表人授权委托人身份不符的（受疫情影响，投标人的授权委托代理人无须现场参加开标）；</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5、投标人的电子投标文件无法按时解密的。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6、电子投标文件解密失败的，且未在规定时间内提交备份投标文件的；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7、电子投标文件未按规定要求提供电子签章的；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9、报价超过招标文件中规定的最高限价。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10、投标参数未如实填写，完全复制粘贴招标参数的。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11、投标文件提供虚假材料的。 </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12、不符合中华人民共和国财政部令第87号《政府采购货物和服务招标投标管理办法》第三十七条情形之一的，视为投标人串通投标，其投标无效，并移送采购监管部门：</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（3）不同投标人的投标文件载明的项目管理成员或者联系人员为同一人；</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11、不符合法律、法规和招标文件中规定的其他实质性要求的（招标文件中打“▲”内容及被拒绝的条款）。</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（六）有下列情况之一的，本次招标作为废标处理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1、出现影响采购公正的违法、违规行为的；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2、评标委员会发现招标文件存在歧义、重大缺陷导致评标工作无法进行，或者招标文件内容违反国家有关强制性规定的；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3、因重大变故，采购任务取消的；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4、法律、法规和招标文件规定的其他导致评标结果无效的。</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（七）评标原则和评标办法</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2、评标办法。具体评标内容及评分标准等详见《第三章：评标方法及评分标准》。</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（八）评标过程的监控</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六、定标</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3、发出中标通知书。采购组织机构在发布中标结果的同时，向中标人发出中标通知书。</w:t>
      </w:r>
    </w:p>
    <w:p>
      <w:pPr>
        <w:pStyle w:val="18"/>
        <w:spacing w:before="0" w:beforeAutospacing="0" w:after="0" w:afterAutospacing="0" w:line="360" w:lineRule="auto"/>
        <w:ind w:firstLine="420" w:firstLineChars="20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5、招标代理费：根据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299号)规定的标准，按照中标通知书确定的中标金额，按下附表收费标准，向中标单位收取代理服务费。</w:t>
      </w:r>
      <w:r>
        <w:rPr>
          <w:rFonts w:hint="eastAsia" w:asciiTheme="minorEastAsia" w:hAnsiTheme="minorEastAsia" w:eastAsiaTheme="minorEastAsia" w:cstheme="minorEastAsia"/>
          <w:color w:val="auto"/>
          <w:szCs w:val="21"/>
          <w:highlight w:val="none"/>
        </w:rPr>
        <w:t>代理服务费结算不足陆仟元的，按定额陆仟元收取。该费用中标方须在领取中标通知书时一次性付清。（单位名称：台州永安工程咨询有限公司；人民币账号：530125998900015；开户行：台州银行黄岩工业园区支行）</w:t>
      </w:r>
    </w:p>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5408;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4384;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ind w:firstLine="1054" w:firstLineChars="5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ind w:firstLine="1476" w:firstLineChars="7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七、合同签订及公告</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（一）签订合同</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2、采购人不得向中标人提出任何不合理的要求作为签订合同的条件。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3、中标供应商无故拖延、拒签合同的,取消中标资格。</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（二）合同公告及备案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1、采购人应当自政府采购合同签订之日起2个工作日内，在省级以上财政部门指定的政府采购信息发布媒体及相关网站上公告。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2、采购人应当自政府采购合同签订之日起7个工作日内，将政府采购合同副本报同级人民政府财政部门备案以及采购组织机构存档。</w:t>
      </w:r>
    </w:p>
    <w:p>
      <w:pPr>
        <w:spacing w:line="360" w:lineRule="auto"/>
        <w:rPr>
          <w:rFonts w:ascii="宋体" w:hAnsi="宋体"/>
          <w:b/>
          <w:color w:val="auto"/>
          <w:sz w:val="36"/>
          <w:szCs w:val="36"/>
          <w:highlight w:val="none"/>
        </w:rPr>
      </w:pPr>
    </w:p>
    <w:p>
      <w:pPr>
        <w:pStyle w:val="51"/>
        <w:rPr>
          <w:rFonts w:hAnsi="宋体"/>
          <w:b/>
          <w:color w:val="auto"/>
          <w:sz w:val="36"/>
          <w:szCs w:val="36"/>
          <w:highlight w:val="none"/>
        </w:rPr>
      </w:pPr>
    </w:p>
    <w:p>
      <w:pPr>
        <w:pStyle w:val="3"/>
        <w:ind w:firstLine="0" w:firstLineChars="0"/>
        <w:rPr>
          <w:rFonts w:ascii="宋体" w:hAnsi="宋体"/>
          <w:b/>
          <w:color w:val="auto"/>
          <w:sz w:val="36"/>
          <w:szCs w:val="36"/>
          <w:highlight w:val="none"/>
        </w:rPr>
      </w:pPr>
    </w:p>
    <w:p>
      <w:pPr>
        <w:rPr>
          <w:rFonts w:ascii="宋体" w:hAnsi="宋体"/>
          <w:b/>
          <w:color w:val="auto"/>
          <w:sz w:val="36"/>
          <w:szCs w:val="36"/>
          <w:highlight w:val="none"/>
        </w:rPr>
      </w:pPr>
    </w:p>
    <w:p>
      <w:pPr>
        <w:pStyle w:val="2"/>
        <w:rPr>
          <w:rFonts w:ascii="宋体" w:hAnsi="宋体"/>
          <w:b/>
          <w:color w:val="auto"/>
          <w:sz w:val="36"/>
          <w:szCs w:val="36"/>
          <w:highlight w:val="none"/>
        </w:rPr>
      </w:pPr>
    </w:p>
    <w:p>
      <w:pPr>
        <w:pStyle w:val="3"/>
        <w:ind w:firstLine="361"/>
        <w:rPr>
          <w:rFonts w:ascii="宋体" w:hAnsi="宋体"/>
          <w:b/>
          <w:color w:val="auto"/>
          <w:sz w:val="36"/>
          <w:szCs w:val="36"/>
          <w:highlight w:val="none"/>
        </w:rPr>
      </w:pPr>
    </w:p>
    <w:p>
      <w:pPr>
        <w:rPr>
          <w:rFonts w:ascii="宋体" w:hAnsi="宋体"/>
          <w:b/>
          <w:color w:val="auto"/>
          <w:sz w:val="36"/>
          <w:szCs w:val="36"/>
          <w:highlight w:val="none"/>
        </w:rPr>
      </w:pPr>
    </w:p>
    <w:p>
      <w:pPr>
        <w:pStyle w:val="2"/>
        <w:rPr>
          <w:color w:val="auto"/>
          <w:highlight w:val="none"/>
        </w:rPr>
      </w:pPr>
    </w:p>
    <w:p>
      <w:pPr>
        <w:pStyle w:val="21"/>
        <w:rPr>
          <w:color w:val="auto"/>
          <w:highlight w:val="none"/>
        </w:rPr>
      </w:pPr>
    </w:p>
    <w:p>
      <w:pPr>
        <w:spacing w:line="360" w:lineRule="auto"/>
        <w:jc w:val="center"/>
        <w:outlineLvl w:val="0"/>
        <w:rPr>
          <w:rFonts w:ascii="宋体" w:hAnsi="宋体"/>
          <w:b/>
          <w:color w:val="auto"/>
          <w:sz w:val="36"/>
          <w:szCs w:val="36"/>
          <w:highlight w:val="none"/>
        </w:rPr>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第三章 评标办法及评分标准</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一、采购组织机构将组织评标委员会，对投标人提供的投标文件进行综合评审。</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二、本次招标项目的评标方法为综合评分法，总计100分，其中资格及</w:t>
      </w:r>
      <w:r>
        <w:rPr>
          <w:rFonts w:hint="eastAsia" w:asciiTheme="minorEastAsia" w:hAnsiTheme="minorEastAsia" w:eastAsiaTheme="minorEastAsia" w:cstheme="minorEastAsia"/>
          <w:color w:val="auto"/>
          <w:szCs w:val="21"/>
          <w:highlight w:val="none"/>
          <w:lang w:val="zh-CN"/>
        </w:rPr>
        <w:t>商务技术文件分值</w:t>
      </w:r>
      <w:r>
        <w:rPr>
          <w:rFonts w:hint="eastAsia" w:asciiTheme="minorEastAsia" w:hAnsiTheme="minorEastAsia" w:eastAsiaTheme="minorEastAsia" w:cstheme="minorEastAsia"/>
          <w:color w:val="auto"/>
          <w:szCs w:val="21"/>
          <w:highlight w:val="none"/>
        </w:rPr>
        <w:t>80</w:t>
      </w:r>
      <w:r>
        <w:rPr>
          <w:rFonts w:hint="eastAsia" w:asciiTheme="minorEastAsia" w:hAnsiTheme="minorEastAsia" w:eastAsiaTheme="minorEastAsia" w:cstheme="minorEastAsia"/>
          <w:color w:val="auto"/>
          <w:szCs w:val="21"/>
          <w:highlight w:val="none"/>
          <w:lang w:val="zh-CN"/>
        </w:rPr>
        <w:t>分，投标报价分值</w:t>
      </w: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lang w:val="zh-CN"/>
        </w:rPr>
        <w:t>分</w:t>
      </w:r>
      <w:r>
        <w:rPr>
          <w:rFonts w:hint="eastAsia" w:asciiTheme="minorEastAsia" w:hAnsiTheme="minorEastAsia" w:eastAsiaTheme="minorEastAsia" w:cstheme="minorEastAsia"/>
          <w:color w:val="auto"/>
          <w:szCs w:val="21"/>
          <w:highlight w:val="none"/>
        </w:rPr>
        <w:t>。评标标准按评分细化条款及分值进行评审。</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（一）</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商务技术文件中的客观分应由评审小组成员独立评审，</w:t>
      </w:r>
      <w:r>
        <w:rPr>
          <w:rFonts w:hint="eastAsia" w:asciiTheme="minorEastAsia" w:hAnsiTheme="minorEastAsia" w:eastAsiaTheme="minorEastAsia" w:cstheme="minorEastAsia"/>
          <w:color w:val="auto"/>
          <w:szCs w:val="21"/>
          <w:highlight w:val="none"/>
        </w:rPr>
        <w:t>但客观分打分应一致</w:t>
      </w:r>
      <w:r>
        <w:rPr>
          <w:rFonts w:hint="eastAsia" w:asciiTheme="minorEastAsia" w:hAnsiTheme="minorEastAsia" w:eastAsiaTheme="minorEastAsia" w:cstheme="minorEastAsia"/>
          <w:color w:val="auto"/>
          <w:szCs w:val="21"/>
          <w:highlight w:val="none"/>
          <w:lang w:val="zh-CN"/>
        </w:rPr>
        <w:t>；客观分不一致时，由评审委员会复核或书面说明理由，其余在规定的分值内单独评定打分</w:t>
      </w:r>
      <w:r>
        <w:rPr>
          <w:rFonts w:hint="eastAsia" w:asciiTheme="minorEastAsia" w:hAnsiTheme="minorEastAsia" w:eastAsiaTheme="minorEastAsia" w:cstheme="minorEastAsia"/>
          <w:color w:val="auto"/>
          <w:szCs w:val="21"/>
          <w:highlight w:val="none"/>
        </w:rPr>
        <w:t>（小数点后保留1位）</w:t>
      </w:r>
      <w:r>
        <w:rPr>
          <w:rFonts w:hint="eastAsia" w:asciiTheme="minorEastAsia" w:hAnsiTheme="minorEastAsia" w:eastAsiaTheme="minorEastAsia" w:cstheme="minorEastAsia"/>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（二）各投标人</w:t>
      </w: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商务技术文件得分按照评标委员会成员的独立评分结果汇总后的算术平均分计算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，计算公式为：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资格及</w:t>
      </w:r>
      <w:r>
        <w:rPr>
          <w:rFonts w:hint="eastAsia" w:asciiTheme="minorEastAsia" w:hAnsiTheme="minorEastAsia" w:eastAsiaTheme="minorEastAsia" w:cstheme="minorEastAsia"/>
          <w:color w:val="auto"/>
          <w:szCs w:val="21"/>
          <w:highlight w:val="none"/>
          <w:lang w:val="zh-CN"/>
        </w:rPr>
        <w:t>商务技术文件</w:t>
      </w:r>
      <w:r>
        <w:rPr>
          <w:rFonts w:hint="eastAsia" w:asciiTheme="minorEastAsia" w:hAnsiTheme="minorEastAsia" w:eastAsiaTheme="minorEastAsia" w:cstheme="minorEastAsia"/>
          <w:color w:val="auto"/>
          <w:szCs w:val="21"/>
          <w:highlight w:val="none"/>
        </w:rPr>
        <w:t>得分</w:t>
      </w:r>
      <w:r>
        <w:rPr>
          <w:rFonts w:hint="eastAsia" w:asciiTheme="minorEastAsia" w:hAnsiTheme="minorEastAsia" w:eastAsiaTheme="minorEastAsia" w:cstheme="minorEastAsia"/>
          <w:color w:val="auto"/>
          <w:szCs w:val="21"/>
          <w:highlight w:val="none"/>
          <w:lang w:val="zh-CN"/>
        </w:rPr>
        <w:t>=评标委员会所有成员评分合计数/评标委员会组成人员数。</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（三）投标报价得分采用低价优先法计算</w:t>
      </w:r>
      <w:r>
        <w:rPr>
          <w:rFonts w:hint="eastAsia" w:asciiTheme="minorEastAsia" w:hAnsiTheme="minorEastAsia" w:eastAsiaTheme="minorEastAsia" w:cstheme="minorEastAsia"/>
          <w:color w:val="auto"/>
          <w:szCs w:val="21"/>
          <w:highlight w:val="none"/>
        </w:rPr>
        <w:t>（小数点后保留2位）</w:t>
      </w:r>
      <w:r>
        <w:rPr>
          <w:rFonts w:hint="eastAsia" w:asciiTheme="minorEastAsia" w:hAnsiTheme="minorEastAsia" w:eastAsiaTheme="minorEastAsia" w:cstheme="minorEastAsia"/>
          <w:color w:val="auto"/>
          <w:szCs w:val="21"/>
          <w:highlight w:val="none"/>
          <w:lang w:val="zh-CN"/>
        </w:rPr>
        <w:t>，即满足招标文件要求且投标价格最低的投标报价为评标基准价，其报价得满分。其他投标人的投标报价得分按下列公式计算：</w:t>
      </w:r>
    </w:p>
    <w:p>
      <w:pPr>
        <w:spacing w:line="360" w:lineRule="auto"/>
        <w:ind w:firstLine="420" w:firstLineChars="200"/>
        <w:rPr>
          <w:rFonts w:asciiTheme="minorEastAsia" w:hAnsiTheme="minorEastAsia" w:eastAsiaTheme="minorEastAsia" w:cstheme="minorEastAsia"/>
          <w:color w:val="auto"/>
          <w:szCs w:val="21"/>
          <w:highlight w:val="none"/>
          <w:u w:val="single"/>
          <w:lang w:val="zh-CN"/>
        </w:rPr>
      </w:pPr>
      <w:r>
        <w:rPr>
          <w:rFonts w:hint="eastAsia" w:asciiTheme="minorEastAsia" w:hAnsiTheme="minorEastAsia" w:eastAsiaTheme="minorEastAsia" w:cstheme="minorEastAsia"/>
          <w:color w:val="auto"/>
          <w:szCs w:val="21"/>
          <w:highlight w:val="none"/>
          <w:u w:val="single"/>
          <w:lang w:val="zh-CN"/>
        </w:rPr>
        <w:t>投标报价得分=(评标基准价／投标报价)×</w:t>
      </w:r>
      <w:r>
        <w:rPr>
          <w:rFonts w:hint="eastAsia" w:asciiTheme="minorEastAsia" w:hAnsiTheme="minorEastAsia" w:eastAsiaTheme="minorEastAsia" w:cstheme="minorEastAsia"/>
          <w:color w:val="auto"/>
          <w:szCs w:val="21"/>
          <w:highlight w:val="none"/>
          <w:u w:val="single"/>
        </w:rPr>
        <w:t>2</w:t>
      </w:r>
      <w:r>
        <w:rPr>
          <w:rFonts w:hint="eastAsia" w:asciiTheme="minorEastAsia" w:hAnsiTheme="minorEastAsia" w:eastAsiaTheme="minorEastAsia" w:cstheme="minorEastAsia"/>
          <w:color w:val="auto"/>
          <w:szCs w:val="21"/>
          <w:highlight w:val="none"/>
          <w:u w:val="single"/>
          <w:lang w:val="zh-CN"/>
        </w:rPr>
        <w:t>0%×100 。</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（四）投标人综合得分＝资格及商务技术文件得分＋投标报价得分。</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（五）政府采购政策及优惠：</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zh-CN"/>
        </w:rPr>
        <w:t>关于小型、微型企业（简称小微企业）投标：①根据</w:t>
      </w:r>
      <w:r>
        <w:rPr>
          <w:rFonts w:hint="eastAsia" w:asciiTheme="minorEastAsia" w:hAnsiTheme="minorEastAsia" w:eastAsiaTheme="minorEastAsia" w:cstheme="minorEastAsia"/>
          <w:color w:val="auto"/>
          <w:szCs w:val="21"/>
          <w:highlight w:val="none"/>
        </w:rPr>
        <w:t>浙江省财政厅</w:t>
      </w:r>
      <w:r>
        <w:rPr>
          <w:rFonts w:hint="eastAsia" w:asciiTheme="minorEastAsia" w:hAnsiTheme="minorEastAsia" w:eastAsiaTheme="minorEastAsia" w:cstheme="minorEastAsia"/>
          <w:color w:val="auto"/>
          <w:szCs w:val="21"/>
          <w:highlight w:val="none"/>
          <w:lang w:val="zh-CN"/>
        </w:rPr>
        <w:t>发布的《浙江省财政厅关于进一步发挥政府采购政策功能全力推动经济稳进提质的通知》【</w:t>
      </w:r>
      <w:r>
        <w:rPr>
          <w:rFonts w:hint="eastAsia" w:asciiTheme="minorEastAsia" w:hAnsiTheme="minorEastAsia" w:eastAsiaTheme="minorEastAsia" w:cstheme="minorEastAsia"/>
          <w:color w:val="auto"/>
          <w:szCs w:val="21"/>
          <w:highlight w:val="none"/>
        </w:rPr>
        <w:t>浙财采监</w:t>
      </w:r>
      <w:r>
        <w:rPr>
          <w:rFonts w:hint="eastAsia" w:asciiTheme="minorEastAsia" w:hAnsiTheme="minorEastAsia" w:eastAsiaTheme="minorEastAsia" w:cstheme="minorEastAsia"/>
          <w:color w:val="auto"/>
          <w:szCs w:val="21"/>
          <w:highlight w:val="none"/>
          <w:lang w:val="zh-CN"/>
        </w:rPr>
        <w:t>（202</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%的扣除，用扣除后的价格参加评审。</w:t>
      </w:r>
      <w:r>
        <w:rPr>
          <w:rFonts w:asciiTheme="minorEastAsia" w:hAnsiTheme="minorEastAsia" w:eastAsiaTheme="minorEastAsia" w:cstheme="minorEastAsia"/>
          <w:color w:val="auto"/>
          <w:szCs w:val="21"/>
          <w:highlight w:val="none"/>
          <w:lang w:val="zh-CN"/>
        </w:rPr>
        <w:t>②</w:t>
      </w:r>
      <w:r>
        <w:rPr>
          <w:rFonts w:hint="eastAsia" w:asciiTheme="minorEastAsia" w:hAnsiTheme="minorEastAsia" w:eastAsiaTheme="minorEastAsia" w:cstheme="minorEastAsia"/>
          <w:color w:val="auto"/>
          <w:szCs w:val="21"/>
          <w:highlight w:val="none"/>
          <w:lang w:val="zh-CN"/>
        </w:rPr>
        <w:t>小微企业投标是指符合《中小企业划型标准规定》的投标人，通过投标提供本企业制造的货物、承担的工程或者服务，或者提供其他小微企业制造的货物。本项所指货物不包括使用大、中型企业注册商标的货物。</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zh-CN"/>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具体优惠：对于非联合体投标，小型微型企业产品的价格给予</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 xml:space="preserve"> %的扣除，用扣除后的价格计算评标基准价和投标报价。对于联合体投标，小型、微型企业的协议合同金额占到联合体协议合同总金额30%以上的，可给予联合体</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zh-CN"/>
        </w:rPr>
        <w:t>%的价格扣除。联合体各方均为小型、微型企业的，联合体视同为小型、微型企业享受扶持政策，对于小型微型企业产品的价格给予</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 xml:space="preserve"> %的扣除，用扣除后的价格计算评标基准价和响应报价。同一投标人（包括联合体），小微企业、监狱企业、残疾人福利性单位价格扣除优惠只享受一次，不得重复享受。</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注：得分以系统计算为准，保留2位小数。</w:t>
      </w:r>
    </w:p>
    <w:p>
      <w:pPr>
        <w:pStyle w:val="2"/>
        <w:spacing w:line="360" w:lineRule="auto"/>
        <w:ind w:firstLine="562" w:firstLineChars="200"/>
        <w:jc w:val="left"/>
        <w:rPr>
          <w:rFonts w:ascii="Arial" w:hAnsi="Arial" w:cs="Arial"/>
          <w:color w:val="auto"/>
          <w:szCs w:val="21"/>
          <w:highlight w:val="none"/>
          <w:lang w:val="zh-CN"/>
        </w:rPr>
      </w:pPr>
      <w:r>
        <w:rPr>
          <w:rFonts w:hint="eastAsia" w:ascii="Arial" w:hAnsi="Arial" w:cs="Arial"/>
          <w:b/>
          <w:bCs/>
          <w:color w:val="auto"/>
          <w:sz w:val="28"/>
          <w:szCs w:val="28"/>
          <w:highlight w:val="none"/>
          <w:u w:val="single"/>
        </w:rPr>
        <w:t>*</w:t>
      </w:r>
      <w:r>
        <w:rPr>
          <w:rFonts w:hint="eastAsia" w:ascii="Arial" w:hAnsi="Arial" w:cs="Arial"/>
          <w:b/>
          <w:bCs/>
          <w:color w:val="auto"/>
          <w:szCs w:val="21"/>
          <w:highlight w:val="none"/>
          <w:u w:val="single"/>
          <w:lang w:val="zh-CN"/>
        </w:rPr>
        <w:t>以上证明材料不提供或提供不全的视为自动放弃优惠政策。</w:t>
      </w:r>
    </w:p>
    <w:p>
      <w:pPr>
        <w:autoSpaceDE w:val="0"/>
        <w:autoSpaceDN w:val="0"/>
        <w:adjustRightInd w:val="0"/>
        <w:spacing w:line="360" w:lineRule="auto"/>
        <w:ind w:right="85"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三、在最大限度地满足</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文件实质性要求前提下，</w:t>
      </w:r>
      <w:r>
        <w:rPr>
          <w:rFonts w:hint="eastAsia" w:ascii="宋体" w:hAnsi="宋体" w:cs="宋体"/>
          <w:color w:val="auto"/>
          <w:szCs w:val="21"/>
          <w:highlight w:val="none"/>
        </w:rPr>
        <w:t>评标委员会</w:t>
      </w:r>
      <w:r>
        <w:rPr>
          <w:rFonts w:hint="eastAsia" w:ascii="宋体" w:hAnsi="宋体" w:cs="宋体"/>
          <w:color w:val="auto"/>
          <w:szCs w:val="21"/>
          <w:highlight w:val="none"/>
          <w:lang w:val="zh-CN"/>
        </w:rPr>
        <w:t>按照</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文件中规定的各项因素进行综合评审后，以评审总得分最高的</w:t>
      </w:r>
      <w:r>
        <w:rPr>
          <w:rFonts w:hint="eastAsia" w:ascii="宋体" w:hAnsi="宋体" w:cs="宋体"/>
          <w:color w:val="auto"/>
          <w:szCs w:val="21"/>
          <w:highlight w:val="none"/>
        </w:rPr>
        <w:t>投标人</w:t>
      </w:r>
      <w:r>
        <w:rPr>
          <w:rFonts w:hint="eastAsia" w:ascii="宋体" w:hAnsi="宋体" w:cs="宋体"/>
          <w:color w:val="auto"/>
          <w:szCs w:val="21"/>
          <w:highlight w:val="none"/>
          <w:lang w:val="zh-CN"/>
        </w:rPr>
        <w:t>为</w:t>
      </w:r>
      <w:r>
        <w:rPr>
          <w:rFonts w:hint="eastAsia" w:ascii="宋体" w:hAnsi="宋体" w:cs="宋体"/>
          <w:color w:val="auto"/>
          <w:szCs w:val="21"/>
          <w:highlight w:val="none"/>
        </w:rPr>
        <w:t>中标候选人</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szCs w:val="21"/>
          <w:highlight w:val="none"/>
          <w:lang w:val="zh-CN"/>
        </w:rPr>
      </w:pPr>
      <w:r>
        <w:rPr>
          <w:rFonts w:hint="eastAsia" w:asciiTheme="minorEastAsia" w:hAnsiTheme="minorEastAsia" w:eastAsiaTheme="minorEastAsia" w:cstheme="minorEastAsia"/>
          <w:color w:val="auto"/>
          <w:szCs w:val="21"/>
          <w:highlight w:val="none"/>
          <w:lang w:val="zh-CN"/>
        </w:rPr>
        <w:t>四、如综合得分相同，投标报价低者为先；如综合得分且投标报价相同的，</w:t>
      </w:r>
      <w:r>
        <w:rPr>
          <w:rFonts w:hint="eastAsia" w:ascii="宋体" w:hAnsi="宋体" w:cs="宋体"/>
          <w:color w:val="auto"/>
          <w:szCs w:val="21"/>
          <w:highlight w:val="none"/>
          <w:lang w:val="zh-CN"/>
        </w:rPr>
        <w:t>以</w:t>
      </w:r>
      <w:r>
        <w:rPr>
          <w:rFonts w:hint="eastAsia" w:ascii="宋体" w:hAnsi="宋体" w:cs="宋体"/>
          <w:color w:val="auto"/>
          <w:szCs w:val="21"/>
          <w:highlight w:val="none"/>
        </w:rPr>
        <w:t>商务</w:t>
      </w:r>
      <w:r>
        <w:rPr>
          <w:rFonts w:hint="eastAsia" w:ascii="宋体" w:hAnsi="宋体" w:cs="宋体"/>
          <w:color w:val="auto"/>
          <w:szCs w:val="21"/>
          <w:highlight w:val="none"/>
          <w:lang w:val="zh-CN"/>
        </w:rPr>
        <w:t>得分较高者为先。</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宋体" w:hAnsi="宋体"/>
          <w:color w:val="auto"/>
          <w:highlight w:val="none"/>
        </w:rPr>
        <w:t>五、</w:t>
      </w:r>
      <w:r>
        <w:rPr>
          <w:rFonts w:hint="eastAsia" w:asciiTheme="minorEastAsia" w:hAnsiTheme="minorEastAsia" w:eastAsiaTheme="minorEastAsia" w:cstheme="minorEastAsia"/>
          <w:color w:val="auto"/>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20" w:firstLineChars="200"/>
        <w:rPr>
          <w:rFonts w:ascii="宋体" w:hAnsi="宋体"/>
          <w:color w:val="auto"/>
          <w:spacing w:val="10"/>
          <w:szCs w:val="21"/>
          <w:highlight w:val="none"/>
        </w:rPr>
      </w:pPr>
      <w:r>
        <w:rPr>
          <w:rFonts w:hint="eastAsia" w:ascii="宋体" w:hAnsi="宋体"/>
          <w:color w:val="auto"/>
          <w:highlight w:val="none"/>
        </w:rPr>
        <w:t>六、中标候选人</w:t>
      </w:r>
      <w:r>
        <w:rPr>
          <w:rFonts w:hint="eastAsia" w:ascii="宋体" w:hAnsi="宋体"/>
          <w:color w:val="auto"/>
          <w:spacing w:val="10"/>
          <w:szCs w:val="21"/>
          <w:highlight w:val="none"/>
        </w:rPr>
        <w:t>放弃中标、因不可抗力提出不能履行合同，或者招标文件规定应当提交履约保证金而在规定的期限内未能提交的，招标人可以确定排名</w:t>
      </w:r>
      <w:r>
        <w:rPr>
          <w:rFonts w:hint="eastAsia" w:hAnsi="宋体"/>
          <w:color w:val="auto"/>
          <w:spacing w:val="10"/>
          <w:szCs w:val="21"/>
          <w:highlight w:val="none"/>
        </w:rPr>
        <w:t>次之</w:t>
      </w:r>
      <w:r>
        <w:rPr>
          <w:rFonts w:hint="eastAsia" w:ascii="宋体" w:hAnsi="宋体"/>
          <w:color w:val="auto"/>
          <w:spacing w:val="10"/>
          <w:szCs w:val="21"/>
          <w:highlight w:val="none"/>
        </w:rPr>
        <w:t>的中标候选人为</w:t>
      </w:r>
      <w:r>
        <w:rPr>
          <w:rFonts w:hint="eastAsia" w:ascii="宋体" w:hAnsi="宋体"/>
          <w:color w:val="auto"/>
          <w:highlight w:val="none"/>
        </w:rPr>
        <w:t>中标人。 评标办法的解释权归招标人。</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七</w:t>
      </w:r>
      <w:r>
        <w:rPr>
          <w:rFonts w:hint="eastAsia" w:asciiTheme="minorEastAsia" w:hAnsiTheme="minorEastAsia" w:eastAsiaTheme="minorEastAsia" w:cstheme="minorEastAsia"/>
          <w:color w:val="auto"/>
          <w:szCs w:val="21"/>
          <w:highlight w:val="none"/>
          <w:lang w:val="zh-CN"/>
        </w:rPr>
        <w:t>、本次评分具体分值细化条款如下表：</w:t>
      </w:r>
    </w:p>
    <w:p>
      <w:pPr>
        <w:spacing w:line="360" w:lineRule="auto"/>
        <w:jc w:val="center"/>
        <w:rPr>
          <w:rFonts w:asciiTheme="minorEastAsia" w:hAnsiTheme="minorEastAsia" w:eastAsiaTheme="minorEastAsia" w:cstheme="minorEastAsia"/>
          <w:color w:val="auto"/>
          <w:szCs w:val="21"/>
          <w:highlight w:val="none"/>
          <w:lang w:val="zh-CN"/>
        </w:rPr>
      </w:pPr>
      <w:r>
        <w:rPr>
          <w:rFonts w:hint="eastAsia" w:ascii="宋体" w:hAnsi="宋体"/>
          <w:b/>
          <w:color w:val="auto"/>
          <w:szCs w:val="21"/>
          <w:highlight w:val="none"/>
        </w:rPr>
        <w:t>评标打分标准表</w:t>
      </w:r>
      <w:r>
        <w:rPr>
          <w:rFonts w:hint="eastAsia" w:asciiTheme="minorEastAsia" w:hAnsiTheme="minorEastAsia" w:eastAsiaTheme="minorEastAsia" w:cstheme="minorEastAsia"/>
          <w:color w:val="auto"/>
          <w:szCs w:val="21"/>
          <w:highlight w:val="none"/>
          <w:lang w:val="zh-CN"/>
        </w:rPr>
        <w:t xml:space="preserve"> </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6721"/>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56" w:type="dxa"/>
            <w:gridSpan w:val="2"/>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6721"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61"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restart"/>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商务分（12分）</w:t>
            </w:r>
          </w:p>
        </w:tc>
        <w:tc>
          <w:tcPr>
            <w:tcW w:w="1273" w:type="dxa"/>
            <w:vAlign w:val="center"/>
          </w:tcPr>
          <w:p>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6721" w:type="dxa"/>
            <w:vAlign w:val="center"/>
          </w:tcPr>
          <w:p>
            <w:pPr>
              <w:jc w:val="left"/>
              <w:rPr>
                <w:rFonts w:ascii="宋体" w:hAnsi="宋体" w:cs="宋体"/>
                <w:color w:val="auto"/>
                <w:kern w:val="0"/>
                <w:szCs w:val="21"/>
                <w:highlight w:val="none"/>
              </w:rPr>
            </w:pPr>
            <w:r>
              <w:rPr>
                <w:rFonts w:hint="eastAsia" w:ascii="宋体" w:hAnsi="宋体" w:cs="宋体"/>
                <w:color w:val="auto"/>
                <w:szCs w:val="21"/>
                <w:highlight w:val="none"/>
              </w:rPr>
              <w:t>投标人自2018年1月1日以来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承接过类似项目的。每提供1个合同得1分，最高得2分。</w:t>
            </w:r>
          </w:p>
          <w:p>
            <w:pPr>
              <w:jc w:val="left"/>
              <w:rPr>
                <w:rFonts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（须提供有效的合同扫描件加盖投标人公章编入投标文件中，未提供或提供不全不得分）</w:t>
            </w:r>
          </w:p>
        </w:tc>
        <w:tc>
          <w:tcPr>
            <w:tcW w:w="661" w:type="dxa"/>
            <w:vAlign w:val="center"/>
          </w:tcPr>
          <w:p>
            <w:pPr>
              <w:pStyle w:val="12"/>
              <w:snapToGrid w:val="0"/>
              <w:jc w:val="center"/>
              <w:rPr>
                <w:rFonts w:hAnsi="宋体" w:cs="宋体"/>
                <w:color w:val="auto"/>
                <w:szCs w:val="21"/>
                <w:highlight w:val="none"/>
              </w:rPr>
            </w:pPr>
            <w:r>
              <w:rPr>
                <w:rFonts w:hint="eastAsia"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83" w:type="dxa"/>
            <w:vMerge w:val="continue"/>
            <w:vAlign w:val="center"/>
          </w:tcPr>
          <w:p>
            <w:pPr>
              <w:adjustRightInd w:val="0"/>
              <w:snapToGrid w:val="0"/>
              <w:jc w:val="center"/>
              <w:rPr>
                <w:rFonts w:ascii="宋体" w:hAnsi="宋体" w:cs="宋体"/>
                <w:color w:val="auto"/>
                <w:szCs w:val="21"/>
                <w:highlight w:val="none"/>
              </w:rPr>
            </w:pPr>
          </w:p>
        </w:tc>
        <w:tc>
          <w:tcPr>
            <w:tcW w:w="1273" w:type="dxa"/>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pacing w:val="-4"/>
                <w:szCs w:val="21"/>
                <w:highlight w:val="none"/>
              </w:rPr>
              <w:t>项目组成员</w:t>
            </w:r>
          </w:p>
        </w:tc>
        <w:tc>
          <w:tcPr>
            <w:tcW w:w="6721" w:type="dxa"/>
            <w:vAlign w:val="center"/>
          </w:tcPr>
          <w:p>
            <w:pPr>
              <w:adjustRightInd w:val="0"/>
              <w:snapToGrid w:val="0"/>
              <w:jc w:val="left"/>
              <w:rPr>
                <w:rFonts w:ascii="宋体" w:hAnsi="宋体" w:cs="宋体"/>
                <w:color w:val="auto"/>
                <w:szCs w:val="21"/>
                <w:highlight w:val="none"/>
              </w:rPr>
            </w:pPr>
            <w:r>
              <w:rPr>
                <w:rFonts w:hint="eastAsia" w:ascii="宋体" w:hAnsi="宋体"/>
                <w:color w:val="auto"/>
                <w:szCs w:val="21"/>
                <w:highlight w:val="none"/>
              </w:rPr>
              <w:t>根据投标人针对本项目拟投入的管理人员及服务人员配备的合理性、投入本项目的项目经理及相关专业的专职管理和技术人员的履历情况进行打分</w:t>
            </w:r>
            <w:r>
              <w:rPr>
                <w:rFonts w:hint="eastAsia" w:ascii="宋体" w:hAnsi="宋体" w:cs="宋体"/>
                <w:color w:val="auto"/>
                <w:szCs w:val="21"/>
                <w:highlight w:val="none"/>
              </w:rPr>
              <w:t>。</w:t>
            </w:r>
          </w:p>
          <w:p>
            <w:pPr>
              <w:pStyle w:val="56"/>
              <w:rPr>
                <w:rFonts w:cs="宋体"/>
                <w:color w:val="auto"/>
                <w:sz w:val="21"/>
                <w:szCs w:val="21"/>
                <w:highlight w:val="none"/>
                <w:lang w:val="en-US"/>
              </w:rPr>
            </w:pPr>
            <w:r>
              <w:rPr>
                <w:rFonts w:hint="eastAsia" w:cs="宋体"/>
                <w:color w:val="auto"/>
                <w:sz w:val="21"/>
                <w:szCs w:val="21"/>
                <w:highlight w:val="none"/>
                <w:lang w:val="en-US"/>
              </w:rPr>
              <w:t>项目经理具有丰富的工作经验，人员配备合理，相关专业的人员履历介绍详细，能有效保障项目后续实施质量的得3.0-5.0分；</w:t>
            </w:r>
          </w:p>
          <w:p>
            <w:pPr>
              <w:pStyle w:val="56"/>
              <w:rPr>
                <w:rFonts w:cs="宋体"/>
                <w:color w:val="auto"/>
                <w:sz w:val="21"/>
                <w:szCs w:val="21"/>
                <w:highlight w:val="none"/>
                <w:lang w:val="en-US"/>
              </w:rPr>
            </w:pPr>
            <w:r>
              <w:rPr>
                <w:rFonts w:hint="eastAsia" w:cs="宋体"/>
                <w:color w:val="auto"/>
                <w:sz w:val="21"/>
                <w:szCs w:val="21"/>
                <w:highlight w:val="none"/>
                <w:lang w:val="en-US"/>
              </w:rPr>
              <w:t>项目经理工作经验一般，人员安排基本符合要求的得0.1-2.9分；</w:t>
            </w:r>
          </w:p>
          <w:p>
            <w:pPr>
              <w:pStyle w:val="56"/>
              <w:rPr>
                <w:rFonts w:cs="宋体"/>
                <w:color w:val="auto"/>
                <w:kern w:val="2"/>
                <w:sz w:val="21"/>
                <w:szCs w:val="24"/>
                <w:highlight w:val="none"/>
                <w:lang w:val="en-US"/>
              </w:rPr>
            </w:pPr>
            <w:r>
              <w:rPr>
                <w:rFonts w:hint="eastAsia" w:cs="宋体"/>
                <w:color w:val="auto"/>
                <w:sz w:val="21"/>
                <w:szCs w:val="21"/>
                <w:highlight w:val="none"/>
                <w:lang w:val="en-US"/>
              </w:rPr>
              <w:t>未提及此项不得分。</w:t>
            </w:r>
          </w:p>
        </w:tc>
        <w:tc>
          <w:tcPr>
            <w:tcW w:w="66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983" w:type="dxa"/>
            <w:vMerge w:val="continue"/>
            <w:vAlign w:val="center"/>
          </w:tcPr>
          <w:p>
            <w:pPr>
              <w:autoSpaceDE w:val="0"/>
              <w:autoSpaceDN w:val="0"/>
              <w:adjustRightInd w:val="0"/>
              <w:jc w:val="center"/>
              <w:rPr>
                <w:rFonts w:ascii="宋体" w:hAnsi="宋体" w:cs="宋体"/>
                <w:color w:val="auto"/>
                <w:szCs w:val="21"/>
                <w:highlight w:val="none"/>
              </w:rPr>
            </w:pPr>
          </w:p>
        </w:tc>
        <w:tc>
          <w:tcPr>
            <w:tcW w:w="1273" w:type="dxa"/>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拟投入本项目的设备、工具配置</w:t>
            </w:r>
          </w:p>
        </w:tc>
        <w:tc>
          <w:tcPr>
            <w:tcW w:w="6721" w:type="dxa"/>
            <w:vAlign w:val="center"/>
          </w:tcPr>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根据投标人投入本项目的设备设施配置情况进行打分。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配置完善，工具有详细的品牌规格等说明，符合院方控制要求的得3.0-5.0分；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工具配置简单，数量基本符合日常使用要求，缺乏对设备、工具的详细说明，无法有效保障后勤工作的得0.1-2.9分；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6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83" w:type="dxa"/>
            <w:vMerge w:val="restart"/>
            <w:vAlign w:val="center"/>
          </w:tcPr>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pStyle w:val="2"/>
              <w:spacing w:after="0"/>
              <w:jc w:val="center"/>
              <w:rPr>
                <w:rFonts w:ascii="宋体" w:hAnsi="宋体" w:cs="宋体"/>
                <w:color w:val="auto"/>
                <w:szCs w:val="21"/>
                <w:highlight w:val="none"/>
              </w:rPr>
            </w:pPr>
            <w:r>
              <w:rPr>
                <w:rFonts w:hint="eastAsia" w:ascii="宋体" w:hAnsi="宋体" w:cs="宋体"/>
                <w:color w:val="auto"/>
                <w:szCs w:val="21"/>
                <w:highlight w:val="none"/>
              </w:rPr>
              <w:t>技术分（68分）</w:t>
            </w:r>
          </w:p>
          <w:p>
            <w:pPr>
              <w:pStyle w:val="3"/>
              <w:spacing w:after="0"/>
              <w:ind w:firstLine="0" w:firstLineChars="0"/>
              <w:jc w:val="center"/>
              <w:rPr>
                <w:rFonts w:ascii="宋体" w:hAnsi="宋体" w:cs="宋体"/>
                <w:color w:val="auto"/>
                <w:szCs w:val="21"/>
                <w:highlight w:val="none"/>
              </w:rPr>
            </w:pPr>
          </w:p>
        </w:tc>
        <w:tc>
          <w:tcPr>
            <w:tcW w:w="1273" w:type="dxa"/>
            <w:vMerge w:val="restart"/>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服务方案</w:t>
            </w: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color w:val="auto"/>
                <w:szCs w:val="21"/>
                <w:highlight w:val="none"/>
              </w:rPr>
              <w:t>物业管理</w:t>
            </w:r>
            <w:r>
              <w:rPr>
                <w:rFonts w:hint="eastAsia" w:ascii="宋体" w:hAnsi="宋体" w:cs="新宋体"/>
                <w:b/>
                <w:bCs/>
                <w:color w:val="auto"/>
                <w:szCs w:val="21"/>
                <w:highlight w:val="none"/>
              </w:rPr>
              <w:t>方案”，包括运作流程是否合理、全面；是否符合招标人的管理模式和服务现场的需要，是否采用先进的、成熟的、科学的管理手段及其具体方案</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方案阐述详细全面、运作流程及管理手段明确、内容完整、符合项目需求的得3.0-5.0分；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根据投标人提供的</w:t>
            </w:r>
            <w:r>
              <w:rPr>
                <w:rFonts w:hint="eastAsia" w:ascii="宋体" w:hAnsi="宋体"/>
                <w:b/>
                <w:bCs/>
                <w:color w:val="auto"/>
                <w:szCs w:val="21"/>
                <w:highlight w:val="none"/>
              </w:rPr>
              <w:t>管理目标及管理方式阐述说明以及日常管理服务标准、岗位责任</w:t>
            </w:r>
            <w:r>
              <w:rPr>
                <w:rFonts w:hint="eastAsia" w:ascii="宋体" w:hAnsi="宋体"/>
                <w:color w:val="auto"/>
                <w:szCs w:val="21"/>
                <w:highlight w:val="none"/>
              </w:rPr>
              <w:t>等情况</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方案阐述详细全面、服务标准及岗位责任划分明确、内容完整、符合项目需求的得3.0-5.0分；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b/>
                <w:bCs/>
                <w:color w:val="auto"/>
                <w:szCs w:val="21"/>
                <w:highlight w:val="none"/>
              </w:rPr>
              <w:t>详细的PVC、地砖、石材地面、实木地板及其他地面的保养方式、程序</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方案阐述详细全面、对大理石地面的保养阐述明确、程序清晰、符合项目需求的得3.0-5.0分；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方案合理、但具体程序阐述有欠缺、无法保障保养质量的得0.1-2.9分；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b/>
                <w:bCs/>
                <w:color w:val="auto"/>
                <w:szCs w:val="21"/>
                <w:highlight w:val="none"/>
              </w:rPr>
              <w:t>物业档案建立与保存措施</w:t>
            </w:r>
            <w:r>
              <w:rPr>
                <w:rFonts w:hint="eastAsia" w:ascii="宋体" w:hAnsi="宋体" w:cs="新宋体"/>
                <w:color w:val="auto"/>
                <w:szCs w:val="21"/>
                <w:highlight w:val="none"/>
              </w:rPr>
              <w:t>进行打分。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详细阐述具体的保存措施，措施全面可行，能够确保档案资料不丢失、不泄露的得3.0-5.0分；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保存措施简单，缺乏可行性，不能保障服务质量的得0.1-2.9分；</w:t>
            </w:r>
          </w:p>
          <w:p>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r>
              <w:rPr>
                <w:rFonts w:hint="eastAsia" w:ascii="宋体" w:hAnsi="宋体" w:cs="新宋体"/>
                <w:color w:val="auto"/>
                <w:szCs w:val="21"/>
                <w:highlight w:val="none"/>
              </w:rPr>
              <w:t>。</w:t>
            </w:r>
          </w:p>
        </w:tc>
        <w:tc>
          <w:tcPr>
            <w:tcW w:w="661"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rPr>
                <w:rFonts w:ascii="宋体" w:hAnsi="宋体"/>
                <w:color w:val="auto"/>
                <w:szCs w:val="21"/>
                <w:highlight w:val="none"/>
              </w:rPr>
            </w:pPr>
            <w:r>
              <w:rPr>
                <w:rFonts w:hint="eastAsia" w:ascii="宋体" w:hAnsi="宋体"/>
                <w:color w:val="auto"/>
                <w:szCs w:val="21"/>
                <w:highlight w:val="none"/>
              </w:rPr>
              <w:t>根据投标人提供的</w:t>
            </w:r>
            <w:r>
              <w:rPr>
                <w:rFonts w:hint="eastAsia" w:ascii="宋体" w:hAnsi="宋体"/>
                <w:b/>
                <w:bCs/>
                <w:color w:val="auto"/>
                <w:szCs w:val="21"/>
                <w:highlight w:val="none"/>
              </w:rPr>
              <w:t>从业人员技术培训方案</w:t>
            </w:r>
            <w:r>
              <w:rPr>
                <w:rFonts w:hint="eastAsia" w:ascii="宋体" w:hAnsi="宋体"/>
                <w:color w:val="auto"/>
                <w:szCs w:val="21"/>
                <w:highlight w:val="none"/>
              </w:rPr>
              <w:t>，包括是否专业全面、培训计划是否切实可行进行打分。</w:t>
            </w:r>
          </w:p>
          <w:p>
            <w:pP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培训方案全面，安排合理，能有效提升从业人员专业技术能力的得3.0-5.0分；</w:t>
            </w:r>
          </w:p>
          <w:p>
            <w:pP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培训方案简单片面，缺乏合理性，对人员后续工作能力的提升无有效帮助的得0.1-2.9分；</w:t>
            </w:r>
          </w:p>
          <w:p>
            <w:pPr>
              <w:rPr>
                <w:rFonts w:ascii="宋体" w:hAnsi="宋体" w:cs="新宋体"/>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61" w:type="dxa"/>
            <w:vAlign w:val="center"/>
          </w:tcPr>
          <w:p>
            <w:pPr>
              <w:jc w:val="center"/>
              <w:rPr>
                <w:rFonts w:ascii="宋体" w:hAnsi="宋体" w:cs="新宋体"/>
                <w:color w:val="auto"/>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bCs/>
                <w:color w:val="auto"/>
                <w:szCs w:val="21"/>
                <w:highlight w:val="none"/>
              </w:rPr>
              <w:t>保洁公司员工工作手册</w:t>
            </w:r>
            <w:r>
              <w:rPr>
                <w:rFonts w:hint="eastAsia" w:ascii="宋体" w:hAnsi="宋体" w:cs="新宋体"/>
                <w:b/>
                <w:bCs/>
                <w:color w:val="auto"/>
                <w:szCs w:val="21"/>
                <w:highlight w:val="none"/>
              </w:rPr>
              <w:t>”</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工作手册内容完整，具体条款阐述详细，工作要求明确，能起到实质性作用的得3.0-5.0分；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工作手册内容简单，工作要求阐述不明确，无法有效规范后续实际工作的得0.1-2.9分；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bCs/>
                <w:color w:val="auto"/>
                <w:szCs w:val="21"/>
                <w:highlight w:val="none"/>
              </w:rPr>
              <w:t>保洁公司员工管理规定及违规扣款标准</w:t>
            </w:r>
            <w:r>
              <w:rPr>
                <w:rFonts w:hint="eastAsia" w:ascii="宋体" w:hAnsi="宋体" w:cs="新宋体"/>
                <w:b/>
                <w:bCs/>
                <w:color w:val="auto"/>
                <w:szCs w:val="21"/>
                <w:highlight w:val="none"/>
              </w:rPr>
              <w:t>”</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管理规定及违规扣款标准内容完整，具体标准阐述详细，工作要求明确，能起到实质性作用的得3.0-5.0分；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管理规定及违规扣款标准内容简单，具体标准阐述不明确，无法有效规范后续实际工作的得0.1-2.9分；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olor w:val="auto"/>
                <w:szCs w:val="21"/>
                <w:highlight w:val="none"/>
              </w:rPr>
            </w:pPr>
            <w:r>
              <w:rPr>
                <w:rFonts w:hint="eastAsia" w:ascii="宋体" w:hAnsi="宋体"/>
                <w:color w:val="auto"/>
                <w:szCs w:val="21"/>
                <w:highlight w:val="none"/>
              </w:rPr>
              <w:t>根据投标人制定的</w:t>
            </w:r>
            <w:r>
              <w:rPr>
                <w:rFonts w:hint="eastAsia" w:ascii="宋体" w:hAnsi="宋体" w:cs="新宋体"/>
                <w:b/>
                <w:bCs/>
                <w:color w:val="auto"/>
                <w:szCs w:val="21"/>
                <w:highlight w:val="none"/>
              </w:rPr>
              <w:t>“</w:t>
            </w:r>
            <w:r>
              <w:rPr>
                <w:rFonts w:ascii="宋体" w:hAnsi="宋体"/>
                <w:b/>
                <w:bCs/>
                <w:color w:val="auto"/>
                <w:szCs w:val="21"/>
                <w:highlight w:val="none"/>
              </w:rPr>
              <w:t>环境保洁服务具体方案设计</w:t>
            </w:r>
            <w:r>
              <w:rPr>
                <w:rFonts w:hint="eastAsia" w:ascii="宋体" w:hAnsi="宋体" w:cs="新宋体"/>
                <w:b/>
                <w:bCs/>
                <w:color w:val="auto"/>
                <w:szCs w:val="21"/>
                <w:highlight w:val="none"/>
              </w:rPr>
              <w:t>”</w:t>
            </w:r>
            <w:r>
              <w:rPr>
                <w:rFonts w:hint="eastAsia" w:ascii="宋体" w:hAnsi="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方案阐述详细全面、工作方法明确、内容完整、符合项目需求的得3.0-5.0分；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Merge w:val="continue"/>
            <w:vAlign w:val="center"/>
          </w:tcPr>
          <w:p>
            <w:pPr>
              <w:widowControl/>
              <w:jc w:val="center"/>
              <w:rPr>
                <w:rFonts w:ascii="宋体" w:hAnsi="宋体" w:cs="宋体"/>
                <w:color w:val="auto"/>
                <w:szCs w:val="21"/>
                <w:highlight w:val="none"/>
              </w:rPr>
            </w:pPr>
          </w:p>
        </w:tc>
        <w:tc>
          <w:tcPr>
            <w:tcW w:w="6721" w:type="dxa"/>
            <w:vAlign w:val="center"/>
          </w:tcPr>
          <w:p>
            <w:pPr>
              <w:tabs>
                <w:tab w:val="left" w:pos="2061"/>
              </w:tabs>
              <w:rPr>
                <w:rFonts w:ascii="宋体" w:hAnsi="宋体"/>
                <w:color w:val="auto"/>
                <w:szCs w:val="21"/>
                <w:highlight w:val="none"/>
              </w:rPr>
            </w:pPr>
            <w:r>
              <w:rPr>
                <w:rFonts w:hint="eastAsia" w:ascii="宋体" w:hAnsi="宋体"/>
                <w:color w:val="auto"/>
                <w:szCs w:val="21"/>
                <w:highlight w:val="none"/>
              </w:rPr>
              <w:t>根据投标人制定的</w:t>
            </w:r>
            <w:r>
              <w:rPr>
                <w:rFonts w:hint="eastAsia" w:ascii="宋体" w:hAnsi="宋体" w:cs="新宋体"/>
                <w:b/>
                <w:bCs/>
                <w:color w:val="auto"/>
                <w:szCs w:val="21"/>
                <w:highlight w:val="none"/>
              </w:rPr>
              <w:t>“</w:t>
            </w:r>
            <w:r>
              <w:rPr>
                <w:rFonts w:ascii="宋体" w:hAnsi="宋体"/>
                <w:b/>
                <w:bCs/>
                <w:color w:val="auto"/>
                <w:szCs w:val="21"/>
                <w:highlight w:val="none"/>
              </w:rPr>
              <w:t>运送服务具体方案设计</w:t>
            </w:r>
            <w:r>
              <w:rPr>
                <w:rFonts w:hint="eastAsia" w:ascii="宋体" w:hAnsi="宋体" w:cs="新宋体"/>
                <w:b/>
                <w:bCs/>
                <w:color w:val="auto"/>
                <w:szCs w:val="21"/>
                <w:highlight w:val="none"/>
              </w:rPr>
              <w:t>”，包括</w:t>
            </w:r>
            <w:r>
              <w:rPr>
                <w:rFonts w:hint="eastAsia"/>
                <w:b/>
                <w:bCs/>
                <w:color w:val="auto"/>
                <w:szCs w:val="21"/>
                <w:highlight w:val="none"/>
              </w:rPr>
              <w:t>全院服务模式等内容</w:t>
            </w:r>
            <w:r>
              <w:rPr>
                <w:rFonts w:hint="eastAsia" w:ascii="宋体" w:hAnsi="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方案阐述详细全面、工作方法明确、内容完整、符合项目需求的得3.0-5.0分；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工作计划</w:t>
            </w:r>
          </w:p>
        </w:tc>
        <w:tc>
          <w:tcPr>
            <w:tcW w:w="672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根据投标人制定的</w:t>
            </w:r>
            <w:r>
              <w:rPr>
                <w:rFonts w:hint="eastAsia" w:ascii="宋体" w:hAnsi="宋体" w:cs="宋体"/>
                <w:b/>
                <w:bCs/>
                <w:color w:val="auto"/>
                <w:szCs w:val="21"/>
                <w:highlight w:val="none"/>
              </w:rPr>
              <w:t>保洁服务和</w:t>
            </w:r>
            <w:r>
              <w:rPr>
                <w:rFonts w:hint="eastAsia" w:ascii="宋体" w:hAnsi="宋体"/>
                <w:b/>
                <w:bCs/>
                <w:color w:val="auto"/>
                <w:szCs w:val="21"/>
                <w:highlight w:val="none"/>
              </w:rPr>
              <w:t>护工运送</w:t>
            </w:r>
            <w:r>
              <w:rPr>
                <w:rFonts w:hint="eastAsia" w:ascii="宋体" w:hAnsi="宋体" w:cs="宋体"/>
                <w:b/>
                <w:bCs/>
                <w:color w:val="auto"/>
                <w:szCs w:val="21"/>
                <w:highlight w:val="none"/>
              </w:rPr>
              <w:t>服务</w:t>
            </w:r>
            <w:r>
              <w:rPr>
                <w:rFonts w:hint="eastAsia" w:ascii="宋体" w:hAnsi="宋体" w:cs="宋体"/>
                <w:color w:val="auto"/>
                <w:szCs w:val="21"/>
                <w:highlight w:val="none"/>
              </w:rPr>
              <w:t>工作计划安排，包括但不限于人员岗位分工及时间安排等内容进行打分。</w:t>
            </w:r>
          </w:p>
          <w:p>
            <w:pPr>
              <w:jc w:val="left"/>
              <w:rPr>
                <w:rFonts w:ascii="宋体" w:hAnsi="宋体" w:cs="宋体"/>
                <w:color w:val="auto"/>
                <w:szCs w:val="21"/>
                <w:highlight w:val="none"/>
              </w:rPr>
            </w:pPr>
            <w:r>
              <w:rPr>
                <w:rFonts w:hint="eastAsia" w:ascii="宋体" w:hAnsi="宋体" w:cs="宋体"/>
                <w:color w:val="auto"/>
                <w:szCs w:val="21"/>
                <w:highlight w:val="none"/>
              </w:rPr>
              <w:t>人员及工作内容划分、进度控制合理、关键时间节点把握科学准确的得3.0-5.0分；</w:t>
            </w:r>
          </w:p>
          <w:p>
            <w:pPr>
              <w:jc w:val="left"/>
              <w:rPr>
                <w:rFonts w:ascii="宋体" w:hAnsi="宋体" w:cs="宋体"/>
                <w:color w:val="auto"/>
                <w:szCs w:val="21"/>
                <w:highlight w:val="none"/>
              </w:rPr>
            </w:pPr>
            <w:r>
              <w:rPr>
                <w:rFonts w:hint="eastAsia" w:ascii="宋体" w:hAnsi="宋体" w:cs="宋体"/>
                <w:color w:val="auto"/>
                <w:szCs w:val="21"/>
                <w:highlight w:val="none"/>
              </w:rPr>
              <w:t>人员岗位安排合理、但具体工作内容安排有欠缺、无法保障项目完成质量的得0.1-2.9分；</w:t>
            </w:r>
          </w:p>
          <w:p>
            <w:pPr>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考核计划</w:t>
            </w:r>
          </w:p>
        </w:tc>
        <w:tc>
          <w:tcPr>
            <w:tcW w:w="6721"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考核计划，</w:t>
            </w:r>
            <w:r>
              <w:rPr>
                <w:rFonts w:hint="eastAsia" w:ascii="宋体" w:hAnsi="宋体" w:cs="新宋体"/>
                <w:color w:val="auto"/>
                <w:szCs w:val="21"/>
                <w:highlight w:val="none"/>
              </w:rPr>
              <w:t>包括成立考核监督机制、</w:t>
            </w:r>
            <w:r>
              <w:rPr>
                <w:rFonts w:hint="eastAsia" w:ascii="宋体" w:hAnsi="宋体" w:cs="新宋体"/>
                <w:color w:val="auto"/>
                <w:szCs w:val="21"/>
                <w:highlight w:val="none"/>
                <w:lang w:val="zh-CN"/>
              </w:rPr>
              <w:t>进行定期和不定期日常工作监管、</w:t>
            </w:r>
            <w:r>
              <w:rPr>
                <w:rFonts w:hint="eastAsia" w:ascii="宋体" w:hAnsi="宋体" w:cs="新宋体"/>
                <w:color w:val="auto"/>
                <w:szCs w:val="21"/>
                <w:highlight w:val="none"/>
              </w:rPr>
              <w:t>定期举行</w:t>
            </w:r>
            <w:r>
              <w:rPr>
                <w:rFonts w:hint="eastAsia" w:ascii="宋体" w:hAnsi="宋体" w:cs="新宋体"/>
                <w:color w:val="auto"/>
                <w:szCs w:val="21"/>
                <w:highlight w:val="none"/>
                <w:lang w:val="zh-CN"/>
              </w:rPr>
              <w:t>监管责任人会同托管项目管理人员联合检查相关业务开展情况</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考核计划安排详细完整，考核监督机制条款明确，能有效</w:t>
            </w:r>
            <w:r>
              <w:rPr>
                <w:rFonts w:hint="eastAsia" w:ascii="宋体" w:hAnsi="宋体" w:cs="新宋体"/>
                <w:color w:val="auto"/>
                <w:szCs w:val="21"/>
                <w:highlight w:val="none"/>
                <w:lang w:val="zh-CN"/>
              </w:rPr>
              <w:t>确保后勤服务质量不断提升</w:t>
            </w:r>
            <w:r>
              <w:rPr>
                <w:rFonts w:hint="eastAsia" w:ascii="宋体" w:hAnsi="宋体" w:cs="新宋体"/>
                <w:color w:val="auto"/>
                <w:szCs w:val="21"/>
                <w:highlight w:val="none"/>
              </w:rPr>
              <w:t>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考核计划阐述简单，具体安排不明确，无法有效</w:t>
            </w:r>
            <w:r>
              <w:rPr>
                <w:rFonts w:hint="eastAsia" w:ascii="宋体" w:hAnsi="宋体" w:cs="新宋体"/>
                <w:color w:val="auto"/>
                <w:szCs w:val="21"/>
                <w:highlight w:val="none"/>
                <w:lang w:val="zh-CN"/>
              </w:rPr>
              <w:t>确保托管业务规范化运作</w:t>
            </w:r>
            <w:r>
              <w:rPr>
                <w:rFonts w:hint="eastAsia" w:ascii="宋体" w:hAnsi="宋体" w:cs="新宋体"/>
                <w:color w:val="auto"/>
                <w:szCs w:val="21"/>
                <w:highlight w:val="none"/>
              </w:rPr>
              <w:t>的得0.1-2.9分；</w:t>
            </w:r>
          </w:p>
          <w:p>
            <w:pPr>
              <w:jc w:val="left"/>
              <w:rPr>
                <w:rFonts w:ascii="宋体" w:hAnsi="宋体" w:cs="宋体"/>
                <w:color w:val="auto"/>
                <w:szCs w:val="21"/>
                <w:highlight w:val="none"/>
              </w:rPr>
            </w:pPr>
            <w:r>
              <w:rPr>
                <w:rFonts w:hint="eastAsia" w:ascii="宋体" w:hAnsi="宋体" w:cs="新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合理化建议</w:t>
            </w:r>
          </w:p>
        </w:tc>
        <w:tc>
          <w:tcPr>
            <w:tcW w:w="6721"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根据投标人依据本项目服务要求、实际工作需求提出的合理化建议进行打分。</w:t>
            </w:r>
          </w:p>
          <w:p>
            <w:pPr>
              <w:jc w:val="left"/>
              <w:rPr>
                <w:rFonts w:ascii="宋体" w:hAnsi="宋体" w:cs="宋体"/>
                <w:color w:val="auto"/>
                <w:szCs w:val="21"/>
                <w:highlight w:val="none"/>
              </w:rPr>
            </w:pPr>
            <w:r>
              <w:rPr>
                <w:rFonts w:hint="eastAsia" w:ascii="宋体" w:hAnsi="宋体" w:cs="宋体"/>
                <w:color w:val="auto"/>
                <w:szCs w:val="21"/>
                <w:highlight w:val="none"/>
              </w:rPr>
              <w:t>建议合理，可实现性强，具有改进意义的得1.5-3.0分；</w:t>
            </w:r>
          </w:p>
          <w:p>
            <w:pPr>
              <w:jc w:val="left"/>
              <w:rPr>
                <w:rFonts w:ascii="宋体" w:hAnsi="宋体" w:cs="宋体"/>
                <w:color w:val="auto"/>
                <w:szCs w:val="21"/>
                <w:highlight w:val="none"/>
              </w:rPr>
            </w:pPr>
            <w:r>
              <w:rPr>
                <w:rFonts w:hint="eastAsia" w:ascii="宋体" w:hAnsi="宋体" w:cs="宋体"/>
                <w:color w:val="auto"/>
                <w:szCs w:val="21"/>
                <w:highlight w:val="none"/>
              </w:rPr>
              <w:t>建议可实现性较差，几乎没有改进意义的得0.1-1.4分；</w:t>
            </w:r>
          </w:p>
          <w:p>
            <w:pPr>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61"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Align w:val="center"/>
          </w:tcPr>
          <w:p>
            <w:pPr>
              <w:jc w:val="center"/>
              <w:rPr>
                <w:rFonts w:ascii="宋体" w:hAnsi="宋体" w:cs="宋体"/>
                <w:color w:val="auto"/>
                <w:spacing w:val="-4"/>
                <w:szCs w:val="21"/>
                <w:highlight w:val="none"/>
              </w:rPr>
            </w:pPr>
            <w:r>
              <w:rPr>
                <w:rFonts w:hint="eastAsia" w:ascii="宋体" w:hAnsi="宋体" w:cs="宋体"/>
                <w:color w:val="auto"/>
                <w:spacing w:val="-4"/>
                <w:szCs w:val="21"/>
                <w:highlight w:val="none"/>
              </w:rPr>
              <w:t>应急预案</w:t>
            </w:r>
          </w:p>
        </w:tc>
        <w:tc>
          <w:tcPr>
            <w:tcW w:w="6721" w:type="dxa"/>
            <w:vAlign w:val="center"/>
          </w:tcPr>
          <w:p>
            <w:pPr>
              <w:jc w:val="left"/>
              <w:rPr>
                <w:rFonts w:ascii="宋体" w:hAnsi="宋体" w:cs="宋体"/>
                <w:color w:val="auto"/>
                <w:spacing w:val="-4"/>
                <w:szCs w:val="21"/>
                <w:highlight w:val="none"/>
              </w:rPr>
            </w:pPr>
            <w:r>
              <w:rPr>
                <w:rFonts w:hint="eastAsia" w:ascii="宋体" w:hAnsi="宋体" w:cs="宋体"/>
                <w:color w:val="auto"/>
                <w:spacing w:val="-4"/>
                <w:szCs w:val="21"/>
                <w:highlight w:val="none"/>
              </w:rPr>
              <w:t>针对后续实际项目实际工作中可能遇到的紧急事件、异常处理等应急预案和对应的解决措施情况进行打分。</w:t>
            </w:r>
          </w:p>
          <w:p>
            <w:pPr>
              <w:jc w:val="left"/>
              <w:rPr>
                <w:rFonts w:ascii="宋体" w:hAnsi="宋体" w:cs="宋体"/>
                <w:color w:val="auto"/>
                <w:szCs w:val="21"/>
                <w:highlight w:val="none"/>
              </w:rPr>
            </w:pPr>
            <w:r>
              <w:rPr>
                <w:rFonts w:hint="eastAsia" w:ascii="宋体" w:hAnsi="宋体" w:cs="宋体"/>
                <w:color w:val="auto"/>
                <w:spacing w:val="-4"/>
                <w:szCs w:val="21"/>
                <w:highlight w:val="none"/>
              </w:rPr>
              <w:t>提出的应急措施科学</w:t>
            </w:r>
            <w:r>
              <w:rPr>
                <w:rFonts w:hint="eastAsia" w:ascii="宋体" w:hAnsi="宋体" w:cs="宋体"/>
                <w:color w:val="auto"/>
                <w:szCs w:val="21"/>
                <w:highlight w:val="none"/>
              </w:rPr>
              <w:t>可行的3.0-5.0分；</w:t>
            </w:r>
          </w:p>
          <w:p>
            <w:pPr>
              <w:jc w:val="left"/>
              <w:rPr>
                <w:rFonts w:ascii="宋体" w:hAnsi="宋体" w:cs="宋体"/>
                <w:color w:val="auto"/>
                <w:szCs w:val="21"/>
                <w:highlight w:val="none"/>
              </w:rPr>
            </w:pPr>
            <w:r>
              <w:rPr>
                <w:rFonts w:hint="eastAsia" w:ascii="宋体" w:hAnsi="宋体" w:cs="宋体"/>
                <w:color w:val="auto"/>
                <w:spacing w:val="-4"/>
                <w:szCs w:val="21"/>
                <w:highlight w:val="none"/>
              </w:rPr>
              <w:t>提出的应急措施</w:t>
            </w:r>
            <w:r>
              <w:rPr>
                <w:rFonts w:hint="eastAsia" w:ascii="宋体" w:hAnsi="宋体" w:cs="宋体"/>
                <w:color w:val="auto"/>
                <w:szCs w:val="21"/>
                <w:highlight w:val="none"/>
              </w:rPr>
              <w:t>缺乏针对性和有效性的0.1-2.9分；</w:t>
            </w:r>
          </w:p>
          <w:p>
            <w:pPr>
              <w:jc w:val="left"/>
              <w:rPr>
                <w:rFonts w:ascii="宋体" w:hAnsi="宋体" w:cs="宋体"/>
                <w:color w:val="auto"/>
                <w:spacing w:val="-4"/>
                <w:szCs w:val="21"/>
                <w:highlight w:val="none"/>
              </w:rPr>
            </w:pPr>
            <w:r>
              <w:rPr>
                <w:rFonts w:hint="eastAsia" w:ascii="宋体" w:hAnsi="宋体" w:cs="宋体"/>
                <w:color w:val="auto"/>
                <w:szCs w:val="21"/>
                <w:highlight w:val="none"/>
              </w:rPr>
              <w:t>未提及此项不得分。</w:t>
            </w:r>
          </w:p>
        </w:tc>
        <w:tc>
          <w:tcPr>
            <w:tcW w:w="661" w:type="dxa"/>
            <w:vAlign w:val="center"/>
          </w:tcPr>
          <w:p>
            <w:pPr>
              <w:jc w:val="center"/>
              <w:rPr>
                <w:rFonts w:ascii="宋体" w:hAnsi="宋体" w:cs="宋体"/>
                <w:color w:val="auto"/>
                <w:spacing w:val="-4"/>
                <w:szCs w:val="21"/>
                <w:highlight w:val="none"/>
              </w:rPr>
            </w:pPr>
            <w:r>
              <w:rPr>
                <w:rFonts w:hint="eastAsia" w:ascii="宋体" w:hAnsi="宋体" w:cs="宋体"/>
                <w:color w:val="auto"/>
                <w:spacing w:val="-4"/>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pPr>
              <w:pStyle w:val="3"/>
              <w:spacing w:after="0"/>
              <w:ind w:firstLine="0" w:firstLineChars="0"/>
              <w:jc w:val="center"/>
              <w:rPr>
                <w:rFonts w:ascii="宋体" w:hAnsi="宋体" w:cs="宋体"/>
                <w:color w:val="auto"/>
                <w:szCs w:val="21"/>
                <w:highlight w:val="none"/>
              </w:rPr>
            </w:pPr>
          </w:p>
        </w:tc>
        <w:tc>
          <w:tcPr>
            <w:tcW w:w="1273" w:type="dxa"/>
            <w:vAlign w:val="center"/>
          </w:tcPr>
          <w:p>
            <w:pPr>
              <w:jc w:val="center"/>
              <w:rPr>
                <w:rFonts w:ascii="宋体" w:hAnsi="宋体" w:cs="宋体"/>
                <w:color w:val="auto"/>
                <w:spacing w:val="-4"/>
                <w:szCs w:val="21"/>
                <w:highlight w:val="none"/>
              </w:rPr>
            </w:pPr>
            <w:r>
              <w:rPr>
                <w:rFonts w:hint="eastAsia" w:ascii="宋体" w:hAnsi="宋体" w:cs="宋体"/>
                <w:bCs/>
                <w:color w:val="auto"/>
                <w:szCs w:val="21"/>
                <w:highlight w:val="none"/>
              </w:rPr>
              <w:t>疫情防控方案</w:t>
            </w:r>
          </w:p>
        </w:tc>
        <w:tc>
          <w:tcPr>
            <w:tcW w:w="6721" w:type="dxa"/>
            <w:vAlign w:val="center"/>
          </w:tcPr>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根据投标人提供的疫情防控预案的全面及有效程度等情况进行打分。</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pacing w:val="-4"/>
                <w:szCs w:val="21"/>
                <w:highlight w:val="none"/>
              </w:rPr>
              <w:t>提出的疫情防控措施科学</w:t>
            </w:r>
            <w:r>
              <w:rPr>
                <w:rFonts w:hint="eastAsia" w:ascii="宋体" w:hAnsi="宋体" w:cs="宋体"/>
                <w:color w:val="auto"/>
                <w:szCs w:val="21"/>
                <w:highlight w:val="none"/>
              </w:rPr>
              <w:t>可行的3.0-5.0分；</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pacing w:val="-4"/>
                <w:szCs w:val="21"/>
                <w:highlight w:val="none"/>
              </w:rPr>
              <w:t>提出的疫情防控措施</w:t>
            </w:r>
            <w:r>
              <w:rPr>
                <w:rFonts w:hint="eastAsia" w:ascii="宋体" w:hAnsi="宋体" w:cs="宋体"/>
                <w:color w:val="auto"/>
                <w:szCs w:val="21"/>
                <w:highlight w:val="none"/>
              </w:rPr>
              <w:t>缺乏针对性和有效性的0.1-2.9分；</w:t>
            </w:r>
          </w:p>
          <w:p>
            <w:pPr>
              <w:adjustRightInd w:val="0"/>
              <w:snapToGrid w:val="0"/>
              <w:spacing w:line="320" w:lineRule="exact"/>
              <w:rPr>
                <w:rFonts w:ascii="宋体" w:hAnsi="宋体" w:cs="宋体"/>
                <w:color w:val="auto"/>
                <w:spacing w:val="-4"/>
                <w:szCs w:val="21"/>
                <w:highlight w:val="none"/>
              </w:rPr>
            </w:pPr>
            <w:r>
              <w:rPr>
                <w:rFonts w:hint="eastAsia" w:ascii="宋体" w:hAnsi="宋体" w:cs="宋体"/>
                <w:color w:val="auto"/>
                <w:szCs w:val="21"/>
                <w:highlight w:val="none"/>
              </w:rPr>
              <w:t>未提及此项不得分。</w:t>
            </w:r>
          </w:p>
        </w:tc>
        <w:tc>
          <w:tcPr>
            <w:tcW w:w="661" w:type="dxa"/>
            <w:vAlign w:val="center"/>
          </w:tcPr>
          <w:p>
            <w:pPr>
              <w:adjustRightInd w:val="0"/>
              <w:snapToGrid w:val="0"/>
              <w:spacing w:line="320" w:lineRule="exact"/>
              <w:jc w:val="center"/>
              <w:rPr>
                <w:rFonts w:ascii="宋体" w:hAnsi="宋体" w:cs="宋体"/>
                <w:color w:val="auto"/>
                <w:spacing w:val="-4"/>
                <w:szCs w:val="21"/>
                <w:highlight w:val="none"/>
              </w:rPr>
            </w:pPr>
            <w:r>
              <w:rPr>
                <w:rFonts w:hint="eastAsia" w:ascii="宋体" w:hAnsi="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56" w:type="dxa"/>
            <w:gridSpan w:val="2"/>
            <w:vAlign w:val="center"/>
          </w:tcPr>
          <w:p>
            <w:pPr>
              <w:jc w:val="left"/>
              <w:rPr>
                <w:rStyle w:val="57"/>
                <w:rFonts w:ascii="宋体" w:hAnsi="宋体" w:cs="宋体"/>
                <w:color w:val="auto"/>
                <w:kern w:val="0"/>
                <w:szCs w:val="21"/>
                <w:highlight w:val="none"/>
              </w:rPr>
            </w:pPr>
            <w:r>
              <w:rPr>
                <w:rStyle w:val="57"/>
                <w:rFonts w:hint="eastAsia" w:ascii="宋体" w:hAnsi="宋体" w:cs="宋体"/>
                <w:color w:val="auto"/>
                <w:kern w:val="0"/>
                <w:szCs w:val="21"/>
                <w:highlight w:val="none"/>
              </w:rPr>
              <w:t>价格</w:t>
            </w:r>
          </w:p>
          <w:p>
            <w:pPr>
              <w:jc w:val="left"/>
              <w:rPr>
                <w:rFonts w:ascii="宋体" w:hAnsi="宋体" w:cs="宋体"/>
                <w:color w:val="auto"/>
                <w:kern w:val="0"/>
                <w:szCs w:val="21"/>
                <w:highlight w:val="none"/>
              </w:rPr>
            </w:pPr>
            <w:r>
              <w:rPr>
                <w:rStyle w:val="57"/>
                <w:rFonts w:hint="eastAsia" w:ascii="宋体" w:hAnsi="宋体" w:cs="宋体"/>
                <w:color w:val="auto"/>
                <w:kern w:val="0"/>
                <w:szCs w:val="21"/>
                <w:highlight w:val="none"/>
              </w:rPr>
              <w:t>（20分）</w:t>
            </w:r>
          </w:p>
        </w:tc>
        <w:tc>
          <w:tcPr>
            <w:tcW w:w="6721" w:type="dxa"/>
            <w:vAlign w:val="center"/>
          </w:tcPr>
          <w:p>
            <w:pPr>
              <w:jc w:val="left"/>
              <w:rPr>
                <w:rFonts w:ascii="宋体" w:hAnsi="宋体" w:cs="宋体"/>
                <w:color w:val="auto"/>
                <w:szCs w:val="21"/>
                <w:highlight w:val="none"/>
                <w:lang w:val="zh-CN"/>
              </w:rPr>
            </w:pPr>
            <w:r>
              <w:rPr>
                <w:rFonts w:hint="eastAsia" w:ascii="宋体" w:hAnsi="宋体" w:cs="宋体"/>
                <w:color w:val="auto"/>
                <w:szCs w:val="21"/>
                <w:highlight w:val="none"/>
              </w:rPr>
              <w:t>取投标合格供应商的投标最终报价最低价</w:t>
            </w:r>
            <w:r>
              <w:rPr>
                <w:rFonts w:hint="eastAsia" w:ascii="宋体" w:hAnsi="宋体" w:cs="宋体"/>
                <w:color w:val="auto"/>
                <w:szCs w:val="21"/>
                <w:highlight w:val="none"/>
                <w:lang w:val="zh-CN"/>
              </w:rPr>
              <w:t>为评标基准价，</w:t>
            </w:r>
            <w:r>
              <w:rPr>
                <w:rFonts w:hint="eastAsia" w:ascii="宋体" w:hAnsi="宋体" w:cs="宋体"/>
                <w:color w:val="auto"/>
                <w:szCs w:val="21"/>
                <w:highlight w:val="none"/>
              </w:rPr>
              <w:t>基准价为20分</w:t>
            </w:r>
            <w:r>
              <w:rPr>
                <w:rFonts w:hint="eastAsia" w:ascii="宋体" w:hAnsi="宋体" w:cs="宋体"/>
                <w:color w:val="auto"/>
                <w:szCs w:val="21"/>
                <w:highlight w:val="none"/>
                <w:lang w:val="zh-CN"/>
              </w:rPr>
              <w:t>。</w:t>
            </w:r>
          </w:p>
          <w:p>
            <w:pPr>
              <w:jc w:val="left"/>
              <w:rPr>
                <w:rFonts w:ascii="宋体" w:hAnsi="宋体" w:cs="宋体"/>
                <w:color w:val="auto"/>
                <w:spacing w:val="-4"/>
                <w:kern w:val="0"/>
                <w:szCs w:val="21"/>
                <w:highlight w:val="none"/>
              </w:rPr>
            </w:pPr>
            <w:r>
              <w:rPr>
                <w:rFonts w:hint="eastAsia" w:ascii="宋体" w:hAnsi="宋体" w:cs="宋体"/>
                <w:color w:val="auto"/>
                <w:szCs w:val="21"/>
                <w:highlight w:val="none"/>
                <w:lang w:val="zh-CN"/>
              </w:rPr>
              <w:t>投标报价得分=(评标基准价／投标报价)×</w:t>
            </w:r>
            <w:r>
              <w:rPr>
                <w:rFonts w:hint="eastAsia" w:ascii="宋体" w:hAnsi="宋体" w:cs="宋体"/>
                <w:color w:val="auto"/>
                <w:szCs w:val="21"/>
                <w:highlight w:val="none"/>
              </w:rPr>
              <w:t>20</w:t>
            </w:r>
            <w:r>
              <w:rPr>
                <w:rFonts w:hint="eastAsia" w:ascii="宋体" w:hAnsi="宋体" w:cs="宋体"/>
                <w:color w:val="auto"/>
                <w:szCs w:val="21"/>
                <w:highlight w:val="none"/>
                <w:lang w:val="zh-CN"/>
              </w:rPr>
              <w:t>%×100 。（</w:t>
            </w:r>
            <w:r>
              <w:rPr>
                <w:rFonts w:hint="eastAsia" w:ascii="宋体" w:hAnsi="宋体" w:cs="宋体"/>
                <w:color w:val="auto"/>
                <w:szCs w:val="21"/>
                <w:highlight w:val="none"/>
              </w:rPr>
              <w:t>小数点后保留2位小数</w:t>
            </w:r>
            <w:r>
              <w:rPr>
                <w:rFonts w:hint="eastAsia" w:ascii="宋体" w:hAnsi="宋体" w:cs="宋体"/>
                <w:color w:val="auto"/>
                <w:szCs w:val="21"/>
                <w:highlight w:val="none"/>
                <w:lang w:val="zh-CN"/>
              </w:rPr>
              <w:t>）。</w:t>
            </w:r>
          </w:p>
        </w:tc>
        <w:tc>
          <w:tcPr>
            <w:tcW w:w="661"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20</w:t>
            </w:r>
          </w:p>
        </w:tc>
      </w:tr>
    </w:tbl>
    <w:p>
      <w:pPr>
        <w:pStyle w:val="3"/>
        <w:ind w:firstLine="0" w:firstLineChars="0"/>
        <w:rPr>
          <w:color w:val="auto"/>
          <w:highlight w:val="none"/>
        </w:rPr>
        <w:sectPr>
          <w:pgSz w:w="11906" w:h="16838"/>
          <w:pgMar w:top="1440" w:right="1440" w:bottom="1440" w:left="1803" w:header="851" w:footer="992" w:gutter="0"/>
          <w:cols w:space="0" w:num="1"/>
          <w:docGrid w:type="lines" w:linePitch="325" w:charSpace="0"/>
        </w:sectPr>
      </w:pPr>
    </w:p>
    <w:p>
      <w:pPr>
        <w:spacing w:line="360" w:lineRule="auto"/>
        <w:jc w:val="center"/>
        <w:outlineLvl w:val="0"/>
        <w:rPr>
          <w:rFonts w:ascii="宋体"/>
          <w:b/>
          <w:color w:val="auto"/>
          <w:sz w:val="36"/>
          <w:szCs w:val="36"/>
          <w:highlight w:val="none"/>
        </w:rPr>
      </w:pPr>
      <w:r>
        <w:rPr>
          <w:rFonts w:hint="eastAsia" w:ascii="宋体" w:hAnsi="宋体"/>
          <w:b/>
          <w:color w:val="auto"/>
          <w:sz w:val="36"/>
          <w:szCs w:val="36"/>
          <w:highlight w:val="none"/>
        </w:rPr>
        <w:t>第四章 公开招标需求</w:t>
      </w:r>
    </w:p>
    <w:p>
      <w:pPr>
        <w:spacing w:line="360" w:lineRule="auto"/>
        <w:rPr>
          <w:rFonts w:ascii="宋体" w:hAnsi="宋体"/>
          <w:b/>
          <w:color w:val="auto"/>
          <w:szCs w:val="21"/>
          <w:highlight w:val="none"/>
        </w:rPr>
      </w:pPr>
      <w:r>
        <w:rPr>
          <w:rFonts w:hint="eastAsia" w:ascii="宋体" w:hAnsi="宋体"/>
          <w:b/>
          <w:color w:val="auto"/>
          <w:szCs w:val="21"/>
          <w:highlight w:val="none"/>
        </w:rPr>
        <w:t>一、项目情况介绍：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台州市路桥区中医院医疗服务共同体建筑面积34280平方米，</w:t>
      </w:r>
      <w:r>
        <w:rPr>
          <w:rFonts w:ascii="宋体" w:hAnsi="宋体"/>
          <w:color w:val="auto"/>
          <w:szCs w:val="21"/>
          <w:highlight w:val="none"/>
        </w:rPr>
        <w:t>设置病床总数约</w:t>
      </w:r>
      <w:r>
        <w:rPr>
          <w:rFonts w:hint="eastAsia" w:ascii="宋体" w:hAnsi="宋体"/>
          <w:color w:val="auto"/>
          <w:szCs w:val="21"/>
          <w:highlight w:val="none"/>
        </w:rPr>
        <w:t>300</w:t>
      </w:r>
      <w:r>
        <w:rPr>
          <w:rFonts w:ascii="宋体" w:hAnsi="宋体"/>
          <w:color w:val="auto"/>
          <w:szCs w:val="21"/>
          <w:highlight w:val="none"/>
        </w:rPr>
        <w:t>张，</w:t>
      </w:r>
      <w:r>
        <w:rPr>
          <w:rFonts w:hint="eastAsia" w:ascii="宋体" w:hAnsi="宋体"/>
          <w:color w:val="auto"/>
          <w:szCs w:val="21"/>
          <w:highlight w:val="none"/>
        </w:rPr>
        <w:t>本次招标范围为门诊综合楼、住院大楼、食堂楼、门卫、广场、生活医疗垃圾辅助房、发热肠道门诊、老发热门诊、院内核酸采集点、各类仓库、楼顶及楼顶各房间、地下室及地下室全部房间、医院外立面包括玻璃幕墙清洗、pvc清洁打蜡、空调出风口清洗、窗帘及病床隔帘拆装、医院各大门口周围及职工宿舍保洁服务、生活垃圾（医疗垃圾）收集处理、护工运送等。</w:t>
      </w:r>
    </w:p>
    <w:p>
      <w:pPr>
        <w:widowControl/>
        <w:snapToGrid w:val="0"/>
        <w:spacing w:after="50" w:line="360" w:lineRule="auto"/>
        <w:rPr>
          <w:rFonts w:ascii="宋体" w:hAnsi="宋体"/>
          <w:b/>
          <w:color w:val="auto"/>
          <w:kern w:val="0"/>
          <w:szCs w:val="21"/>
          <w:highlight w:val="none"/>
        </w:rPr>
      </w:pPr>
      <w:r>
        <w:rPr>
          <w:rFonts w:hint="eastAsia" w:ascii="宋体" w:hAnsi="宋体"/>
          <w:b/>
          <w:color w:val="auto"/>
          <w:kern w:val="0"/>
          <w:szCs w:val="21"/>
          <w:highlight w:val="none"/>
        </w:rPr>
        <w:t>二、服务项目时间及总体要求</w:t>
      </w:r>
    </w:p>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1、台州市路桥区中医院医疗服务共同体后勤家政服务项目。</w:t>
      </w:r>
    </w:p>
    <w:p>
      <w:pPr>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本项目服务期限为三年，如中标人在合同期内服务标准未达到招标人要求或有重大投诉事件发生，招标人有权终止合同，</w:t>
      </w:r>
      <w:r>
        <w:rPr>
          <w:rFonts w:hint="eastAsia" w:ascii="宋体" w:hAnsi="宋体" w:cs="宋体"/>
          <w:color w:val="auto"/>
          <w:kern w:val="0"/>
          <w:szCs w:val="21"/>
          <w:highlight w:val="none"/>
          <w:lang w:val="zh-CN"/>
        </w:rPr>
        <w:t>并由中标人承担由此引起的所有费用包括重新招标的代理费</w:t>
      </w:r>
      <w:r>
        <w:rPr>
          <w:rFonts w:hint="eastAsia" w:ascii="宋体" w:hAnsi="宋体"/>
          <w:color w:val="auto"/>
          <w:szCs w:val="21"/>
          <w:highlight w:val="none"/>
        </w:rPr>
        <w:t>。</w:t>
      </w:r>
    </w:p>
    <w:p>
      <w:pPr>
        <w:numPr>
          <w:ilvl w:val="0"/>
          <w:numId w:val="3"/>
        </w:numPr>
        <w:spacing w:line="360" w:lineRule="auto"/>
        <w:rPr>
          <w:rFonts w:ascii="宋体" w:hAnsi="宋体"/>
          <w:color w:val="auto"/>
          <w:szCs w:val="21"/>
          <w:highlight w:val="none"/>
        </w:rPr>
      </w:pPr>
      <w:r>
        <w:rPr>
          <w:rFonts w:hint="eastAsia" w:ascii="宋体" w:hAnsi="宋体"/>
          <w:color w:val="auto"/>
          <w:szCs w:val="21"/>
          <w:highlight w:val="none"/>
        </w:rPr>
        <w:t>招标内容：</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1）保洁服务；</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2）护工运送服务；</w:t>
      </w:r>
    </w:p>
    <w:p>
      <w:pPr>
        <w:spacing w:before="156" w:beforeLines="50" w:after="156" w:afterLines="50" w:line="360" w:lineRule="auto"/>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3、人员配置（含1名项目经理，需专职在本项目现场管理；其中运送人员不得少于3人）不得少于52人（该人数为现场实际工作人数，中标公司员工轮休、值班补休、加班补休等国家规定的相关休息，由中标公司另外安排人员补岗。）；</w:t>
      </w:r>
    </w:p>
    <w:p>
      <w:pPr>
        <w:spacing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具体服务人员数要求各响应服务商实地勘测了解，并结合各企业的管理水平和服务人员的能力等在投标文件中做出具体响应，在投标时提供人员岗位工作按排详细情况表， 院方不统一组织现场勘查（除有特殊说明外，投标方在投标书中提供的人数不包括休息补岗人员的人数）。</w:t>
      </w:r>
    </w:p>
    <w:p>
      <w:pPr>
        <w:spacing w:line="360" w:lineRule="auto"/>
        <w:rPr>
          <w:rFonts w:ascii="宋体" w:hAnsi="宋体"/>
          <w:b/>
          <w:color w:val="auto"/>
          <w:szCs w:val="21"/>
          <w:highlight w:val="none"/>
        </w:rPr>
      </w:pPr>
      <w:r>
        <w:rPr>
          <w:rFonts w:hint="eastAsia" w:ascii="宋体" w:hAnsi="宋体"/>
          <w:b/>
          <w:color w:val="auto"/>
          <w:szCs w:val="21"/>
          <w:highlight w:val="none"/>
        </w:rPr>
        <w:t>三、服务项目内容、范围及要求</w:t>
      </w:r>
    </w:p>
    <w:p>
      <w:pPr>
        <w:spacing w:line="360" w:lineRule="auto"/>
        <w:ind w:left="1" w:firstLine="315" w:firstLineChars="150"/>
        <w:rPr>
          <w:rFonts w:ascii="宋体" w:hAnsi="宋体" w:cs="Arial"/>
          <w:bCs/>
          <w:color w:val="auto"/>
          <w:szCs w:val="21"/>
          <w:highlight w:val="none"/>
        </w:rPr>
      </w:pPr>
      <w:r>
        <w:rPr>
          <w:rFonts w:hint="eastAsia" w:ascii="宋体" w:hAnsi="宋体" w:cs="Arial"/>
          <w:bCs/>
          <w:color w:val="auto"/>
          <w:szCs w:val="21"/>
          <w:highlight w:val="none"/>
        </w:rPr>
        <w:t>要求所有的建筑按照三级医院的卫生标准提供室内外清洁服务，并针对特殊情况，制定防止交叉感染和消毒隔离制度、工作标准及流程，操作特种设备的员工应持证上岗，配合医院做好迎接各类检查和突发性公共卫生事件等的应急卫生保洁工作。（保洁标准参照【2016医疗机构环境表面清洁与消毒管理规范】【医疗机构消毒技术规范WS_T367(2012)】）</w:t>
      </w:r>
    </w:p>
    <w:p>
      <w:pPr>
        <w:numPr>
          <w:ilvl w:val="0"/>
          <w:numId w:val="4"/>
        </w:num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xml:space="preserve">服务范围 </w:t>
      </w:r>
    </w:p>
    <w:p>
      <w:pPr>
        <w:spacing w:line="360" w:lineRule="auto"/>
        <w:rPr>
          <w:rFonts w:ascii="宋体" w:hAnsi="宋体" w:cs="Arial"/>
          <w:bCs/>
          <w:color w:val="auto"/>
          <w:szCs w:val="21"/>
          <w:highlight w:val="none"/>
        </w:rPr>
      </w:pPr>
      <w:r>
        <w:rPr>
          <w:rFonts w:hint="eastAsia" w:ascii="宋体" w:hAnsi="宋体" w:cs="Arial"/>
          <w:bCs/>
          <w:color w:val="auto"/>
          <w:szCs w:val="21"/>
          <w:highlight w:val="none"/>
        </w:rPr>
        <w:t xml:space="preserve">⑴公共环境保洁范围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医院院区室内外</w:t>
      </w:r>
      <w:r>
        <w:rPr>
          <w:rFonts w:hint="eastAsia" w:ascii="宋体" w:hAnsi="宋体" w:cs="Arial"/>
          <w:b/>
          <w:bCs/>
          <w:color w:val="auto"/>
          <w:szCs w:val="21"/>
          <w:highlight w:val="none"/>
        </w:rPr>
        <w:t>(包含食堂楼)</w:t>
      </w:r>
      <w:r>
        <w:rPr>
          <w:rFonts w:hint="eastAsia" w:ascii="宋体" w:hAnsi="宋体" w:cs="Arial"/>
          <w:bCs/>
          <w:color w:val="auto"/>
          <w:szCs w:val="21"/>
          <w:highlight w:val="none"/>
        </w:rPr>
        <w:t>的卫生，包括各楼层的各种仓库、车库、地面、楼顶、地下室、下水沟、走廊、花基、大厅、台阶、门窗、天花板、柱面、墙壁、玻璃，各种扶手、宣传栏、候诊椅、自助机、各种风扇、公共厕所、消防栓、电（楼）梯（间），室内外的各种灯饰、垃圾桶、园林绿化内的垃圾落叶以及各通道、车道、下水道、</w:t>
      </w:r>
      <w:r>
        <w:rPr>
          <w:rFonts w:hint="eastAsia" w:ascii="宋体" w:hAnsi="宋体"/>
          <w:color w:val="auto"/>
          <w:szCs w:val="21"/>
          <w:highlight w:val="none"/>
        </w:rPr>
        <w:t>全院外墙墙体及玻璃幕墙（包括食堂楼外立面）、空调进出风口及滤网</w:t>
      </w:r>
      <w:r>
        <w:rPr>
          <w:rFonts w:hint="eastAsia" w:ascii="宋体" w:hAnsi="宋体" w:cs="Arial"/>
          <w:bCs/>
          <w:color w:val="auto"/>
          <w:szCs w:val="21"/>
          <w:highlight w:val="none"/>
        </w:rPr>
        <w:t>等保洁工作。</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⑵ 临床科室（含病区、门急诊、医技、发热肠道门诊）服务范围</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每日二次给患者及工作人员泡开水；</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科室所有的地面、地脚线、门、窗、宣传栏（窗）保洁；</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办公室、护士站、治疗室、值班室等办公区域内桌椅、观片灯箱、各种办公家具、水池保洁；</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风扇、排气扇、空调风口，电梯、楼梯保洁；</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病房的病床、床头柜、设备带、输液架及其它家具，出院病床的终末消毒等；</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开水房、公共洗手间、病室内卫生间、污物间的墙壁、地砖、水池、便器；</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⑶ 其他科室保洁范围</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地面、门窗、地脚线、天花板、各种桌椅、办公家具、各指示牌、 宣传栏、各种风扇、排气扇以及各类卫生设施等。</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2. 物业管理标准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⑴ 大厅、走廊保洁标准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地面：表面洁净、光亮，无积尘、无陈旧污迹、无水迹、无烟头、  无油迹、无垃圾；</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墙面：无积尘、无陈旧污迹，及时清理不当的张贴；</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天花板及照明灯具：无积尘、无蛛网、无污迹；</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电梯门、轿厢及按键面板：光亮洁净、无积尘、无陈旧印迹；</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各房间门、通道门：光亮、无陈旧污迹、手摸无明显的尘迹；</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不锈钢架表面光亮、无陈旧污迹；</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玻璃：洁净、晶莹透亮、无陈旧污渍、无水迹；</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门口地垫：无砂泥、无污渍；</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宣传栏、展示柜及其他设备设施：无陈旧手印、无污渍、无积尘；</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垃圾桶：无垃圾爆满、表面无痰渍、无污渍、按规范消毒。　　</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⑵ 病房保洁标准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床、床头柜、餐板及其它家具、设施设备：无积灰积尘、无污渍油渍；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卫生专用工具、车辆：无积灰积尘、无污渍油渍,车轮无缠绕物；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墙面：无积尘、无陈旧污迹，及时清理不当的张贴；</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地面：无积尘、碎纸、垃圾、烟头、无积水、无污迹，及时清理不当的张贴；</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天花板、顶板：无积尘、无污迹、无蛛网；</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窗户：玻璃明亮、无积灰，窗轨道清洁无杂物。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⑶ 卫生间、污物间：无异味</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地面、墙壁：无积尘、无污迹，无尿迹、无水迹；</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洗手池、水龙头：台面及池壁无污垢、无痰迹及头发等不洁物，无积渍、无污物、按规范消毒；</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镜面：无水点水迹、无尘土、无污迹；</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便器：无尿碱水锈印迹（黄迹）、无污垢、按规范消毒；</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手纸架、不锈钢架：光亮、洁净、无手印；</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纸篓、垃圾桶：污物量不超过2/3，内外表干净；</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隔板：无积尘、无痰迹、无垃圾杂物，扶手无积尘；</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污水池：无砂泥、无污渍；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⑷ 楼梯（电梯）保洁标准：</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地面：无污迹、无陈旧痰迹、无碎纸烟蒂等垃圾杂物、无积水；</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墙面：无积尘、无陈旧污迹，及时清理不当的张贴；</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xml:space="preserve">◇ 天花：无积尘、无污迹、无蛛网； </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电梯门、轿厢：洁净光亮，无积尘、无污迹；</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楼梯扶手：无积尘、立面无积渍；</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 窗户：玻璃明亮、无积灰，窗轨道清洁无杂物；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标识：干净，无不当张贴物；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消防设备等：表面无积尘、按规定摆放。</w:t>
      </w:r>
      <w:r>
        <w:rPr>
          <w:rFonts w:hint="eastAsia" w:ascii="宋体" w:hAnsi="宋体" w:cs="Arial"/>
          <w:bCs/>
          <w:color w:val="auto"/>
          <w:szCs w:val="21"/>
          <w:highlight w:val="none"/>
        </w:rPr>
        <w:br w:type="textWrapping"/>
      </w:r>
      <w:r>
        <w:rPr>
          <w:rFonts w:hint="eastAsia" w:ascii="宋体" w:hAnsi="宋体" w:cs="Arial"/>
          <w:bCs/>
          <w:color w:val="auto"/>
          <w:szCs w:val="21"/>
          <w:highlight w:val="none"/>
        </w:rPr>
        <w:t>⑸ 污物间保洁标准：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地面：无污迹、无陈旧痰迹、无碎纸烟蒂等垃圾杂物，无积水；</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水池：台面及池壁无污垢、无痰迹及头发等不洁物，无积渍、无污物，按规范消毒，地漏完整、无杂物；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xml:space="preserve">◇ 垃圾桶：无垃圾爆满，桶体无痰渍、无污渍； </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其它设施：室内物品按规定摆放整齐，污物柜、拖把桶等干净无污渍，按规范消毒；</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⑹ 办公室保洁标准：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桌面、窗台：洁净无积尘、按规范消毒；</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地面：清洁干净，无碎屑、无污渍；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墙壁、天花：无积尘、无蛛网、无污迹；</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家具、设施设备：无尘灰、无污渍；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垃圾桶：外表干净，无垃圾爆满；</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⑺ 医院院落、道路、绿化带保洁标准：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整体：整洁卫生、无杂物、无积渍；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栏杆、灯柱、标识牌：无积尘、无污渍，及时清理乱贴的宣传品；</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沟渠:无杂物垃圾、无青苔，保持通畅；</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绿化带：无杂物、无垃圾，及时清理枯枝残叶；</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⑻ 生活垃圾暂存处保洁标准：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垃圾袋装化，按规定分类收集、规范消毒，做到无垃圾堆积、日产日清，周边卫生无散放垃圾，无臭味、无油污、无血迹、无积渍；</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⑼ 医疗废物运送标准：</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专人收集、专门路线、密闭运送，不与生活垃圾混运混放；</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做好与固废处置中心的交接登记；</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做好防护，按规定消毒。</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根据国家、省、市要求随时调整。</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3. 保洁工具、服务设备配备：</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为保障管理质量，必须配置如下的主要设备（</w:t>
      </w:r>
      <w:r>
        <w:rPr>
          <w:rFonts w:hint="eastAsia" w:ascii="宋体" w:hAnsi="宋体" w:cs="Arial"/>
          <w:b/>
          <w:bCs/>
          <w:color w:val="auto"/>
          <w:szCs w:val="21"/>
          <w:highlight w:val="none"/>
        </w:rPr>
        <w:t>包含但不限于以下设备，保洁过程中实际用到的所有设备都应由中标方提供</w:t>
      </w:r>
      <w:r>
        <w:rPr>
          <w:rFonts w:hint="eastAsia" w:ascii="宋体" w:hAnsi="宋体" w:cs="Arial"/>
          <w:bCs/>
          <w:color w:val="auto"/>
          <w:szCs w:val="21"/>
          <w:highlight w:val="none"/>
        </w:rPr>
        <w:t>）：</w:t>
      </w:r>
    </w:p>
    <w:p>
      <w:pPr>
        <w:pStyle w:val="53"/>
        <w:numPr>
          <w:ilvl w:val="0"/>
          <w:numId w:val="5"/>
        </w:numPr>
        <w:spacing w:line="360" w:lineRule="auto"/>
        <w:ind w:left="0" w:firstLine="0" w:firstLineChars="0"/>
        <w:jc w:val="left"/>
        <w:rPr>
          <w:b/>
          <w:color w:val="auto"/>
          <w:highlight w:val="none"/>
        </w:rPr>
      </w:pPr>
      <w:r>
        <w:rPr>
          <w:rFonts w:hint="eastAsia" w:ascii="宋体" w:hAnsi="宋体" w:cs="Arial"/>
          <w:bCs/>
          <w:color w:val="auto"/>
          <w:szCs w:val="21"/>
          <w:highlight w:val="none"/>
        </w:rPr>
        <w:t xml:space="preserve"> 保洁设备：</w:t>
      </w:r>
      <w:r>
        <w:rPr>
          <w:rFonts w:hint="eastAsia" w:ascii="宋体" w:hAnsi="宋体"/>
          <w:color w:val="auto"/>
          <w:szCs w:val="21"/>
          <w:highlight w:val="none"/>
        </w:rPr>
        <w:t>多功能保洁车（品牌为新美达）（车上应配齐各种专用清洗剂）、全自动洗地机（进口高美品牌</w:t>
      </w:r>
      <w:r>
        <w:rPr>
          <w:rFonts w:ascii="宋体" w:hAnsi="宋体"/>
          <w:color w:val="auto"/>
          <w:szCs w:val="21"/>
          <w:highlight w:val="none"/>
        </w:rPr>
        <w:t>L85B</w:t>
      </w:r>
      <w:r>
        <w:rPr>
          <w:rFonts w:hint="eastAsia" w:ascii="宋体" w:hAnsi="宋体"/>
          <w:color w:val="auto"/>
          <w:szCs w:val="21"/>
          <w:highlight w:val="none"/>
        </w:rPr>
        <w:t>）、</w:t>
      </w:r>
      <w:r>
        <w:rPr>
          <w:rFonts w:ascii="宋体" w:hAnsi="宋体"/>
          <w:color w:val="auto"/>
          <w:szCs w:val="21"/>
          <w:highlight w:val="none"/>
        </w:rPr>
        <w:t>专用的洗地机、自动洗地吸水机、</w:t>
      </w:r>
      <w:r>
        <w:rPr>
          <w:rFonts w:hint="eastAsia" w:ascii="宋体" w:hAnsi="宋体"/>
          <w:color w:val="auto"/>
          <w:szCs w:val="21"/>
          <w:highlight w:val="none"/>
        </w:rPr>
        <w:t>多功能打蜡抛光机（品牌为</w:t>
      </w:r>
      <w:r>
        <w:rPr>
          <w:rFonts w:ascii="宋体" w:hAnsi="宋体"/>
          <w:color w:val="auto"/>
          <w:szCs w:val="21"/>
          <w:highlight w:val="none"/>
        </w:rPr>
        <w:t>SET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吸水吸尘两用机（品牌为超洁亮</w:t>
      </w:r>
      <w:r>
        <w:rPr>
          <w:rFonts w:ascii="宋体" w:hAnsi="宋体"/>
          <w:color w:val="auto"/>
          <w:szCs w:val="21"/>
          <w:highlight w:val="none"/>
        </w:rPr>
        <w:t>60</w:t>
      </w:r>
      <w:r>
        <w:rPr>
          <w:rFonts w:hint="eastAsia" w:ascii="宋体" w:hAnsi="宋体"/>
          <w:color w:val="auto"/>
          <w:szCs w:val="21"/>
          <w:highlight w:val="none"/>
        </w:rPr>
        <w:t>L）</w:t>
      </w:r>
      <w:r>
        <w:rPr>
          <w:rFonts w:ascii="宋体" w:hAnsi="宋体"/>
          <w:color w:val="auto"/>
          <w:szCs w:val="21"/>
          <w:highlight w:val="none"/>
        </w:rPr>
        <w:t>、地坪/地毯吹干机</w:t>
      </w:r>
      <w:r>
        <w:rPr>
          <w:rFonts w:hint="eastAsia" w:ascii="宋体" w:hAnsi="宋体"/>
          <w:color w:val="auto"/>
          <w:szCs w:val="21"/>
          <w:highlight w:val="none"/>
        </w:rPr>
        <w:t>（需有一台可加热，</w:t>
      </w:r>
      <w:r>
        <w:rPr>
          <w:rFonts w:hint="eastAsia" w:ascii="宋体" w:hAnsi="宋体" w:cs="宋体"/>
          <w:color w:val="auto"/>
          <w:sz w:val="24"/>
          <w:highlight w:val="none"/>
        </w:rPr>
        <w:t>品牌为深海洁</w:t>
      </w:r>
      <w:r>
        <w:rPr>
          <w:rFonts w:hint="eastAsia" w:ascii="宋体" w:hAnsi="宋体"/>
          <w:color w:val="auto"/>
          <w:szCs w:val="21"/>
          <w:highlight w:val="none"/>
        </w:rPr>
        <w:t>）</w:t>
      </w:r>
      <w:r>
        <w:rPr>
          <w:rFonts w:ascii="宋体" w:hAnsi="宋体"/>
          <w:color w:val="auto"/>
          <w:szCs w:val="21"/>
          <w:highlight w:val="none"/>
        </w:rPr>
        <w:t>、真空吸尘机、垃圾车、</w:t>
      </w:r>
      <w:r>
        <w:rPr>
          <w:rFonts w:hint="eastAsia" w:ascii="宋体" w:hAnsi="宋体"/>
          <w:b/>
          <w:color w:val="auto"/>
          <w:szCs w:val="21"/>
          <w:highlight w:val="none"/>
        </w:rPr>
        <w:t>高压清洗机（</w:t>
      </w:r>
      <w:r>
        <w:rPr>
          <w:rFonts w:hint="eastAsia" w:ascii="宋体" w:hAnsi="宋体" w:cs="宋体"/>
          <w:color w:val="auto"/>
          <w:sz w:val="24"/>
          <w:highlight w:val="none"/>
        </w:rPr>
        <w:t>进口</w:t>
      </w:r>
      <w:r>
        <w:rPr>
          <w:rFonts w:ascii="宋体" w:hAnsi="宋体" w:cs="宋体"/>
          <w:color w:val="auto"/>
          <w:sz w:val="24"/>
          <w:highlight w:val="none"/>
        </w:rPr>
        <w:t>MAHA-M16-9</w:t>
      </w:r>
      <w:r>
        <w:rPr>
          <w:rFonts w:hint="eastAsia" w:ascii="宋体" w:hAnsi="宋体"/>
          <w:b/>
          <w:color w:val="auto"/>
          <w:szCs w:val="21"/>
          <w:highlight w:val="none"/>
        </w:rPr>
        <w:t>）</w:t>
      </w:r>
      <w:r>
        <w:rPr>
          <w:rFonts w:ascii="宋体" w:hAnsi="宋体"/>
          <w:color w:val="auto"/>
          <w:szCs w:val="21"/>
          <w:highlight w:val="none"/>
        </w:rPr>
        <w:t>、榨水器</w:t>
      </w:r>
      <w:r>
        <w:rPr>
          <w:rFonts w:hint="eastAsia" w:ascii="宋体" w:hAnsi="宋体"/>
          <w:color w:val="auto"/>
          <w:szCs w:val="21"/>
          <w:highlight w:val="none"/>
        </w:rPr>
        <w:t>（</w:t>
      </w:r>
      <w:r>
        <w:rPr>
          <w:rFonts w:hint="eastAsia" w:ascii="宋体" w:hAnsi="宋体" w:cs="宋体"/>
          <w:color w:val="auto"/>
          <w:szCs w:val="21"/>
          <w:highlight w:val="none"/>
        </w:rPr>
        <w:t>超洁亮品牌</w:t>
      </w:r>
      <w:r>
        <w:rPr>
          <w:rFonts w:ascii="宋体" w:hAnsi="宋体" w:cs="宋体"/>
          <w:color w:val="auto"/>
          <w:szCs w:val="21"/>
          <w:highlight w:val="none"/>
        </w:rPr>
        <w:t>36</w:t>
      </w:r>
      <w:r>
        <w:rPr>
          <w:rFonts w:hint="eastAsia" w:ascii="宋体" w:hAnsi="宋体" w:cs="宋体"/>
          <w:color w:val="auto"/>
          <w:szCs w:val="21"/>
          <w:highlight w:val="none"/>
        </w:rPr>
        <w:t>升</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b/>
          <w:color w:val="auto"/>
          <w:szCs w:val="21"/>
          <w:highlight w:val="none"/>
        </w:rPr>
        <w:t>各种</w:t>
      </w:r>
      <w:r>
        <w:rPr>
          <w:rFonts w:hint="eastAsia" w:ascii="宋体" w:hAnsi="宋体"/>
          <w:color w:val="auto"/>
          <w:szCs w:val="21"/>
          <w:highlight w:val="none"/>
        </w:rPr>
        <w:t>下水道疏通器（</w:t>
      </w:r>
      <w:r>
        <w:rPr>
          <w:rFonts w:hint="eastAsia" w:ascii="宋体" w:hAnsi="宋体" w:cs="宋体"/>
          <w:color w:val="auto"/>
          <w:sz w:val="24"/>
          <w:highlight w:val="none"/>
        </w:rPr>
        <w:t>品牌为上海熊猫</w:t>
      </w:r>
      <w:r>
        <w:rPr>
          <w:rFonts w:hint="eastAsia" w:ascii="宋体" w:hAnsi="宋体"/>
          <w:color w:val="auto"/>
          <w:szCs w:val="21"/>
          <w:highlight w:val="none"/>
        </w:rPr>
        <w:t>）、</w:t>
      </w:r>
      <w:r>
        <w:rPr>
          <w:rFonts w:ascii="宋体" w:hAnsi="宋体"/>
          <w:color w:val="auto"/>
          <w:szCs w:val="21"/>
          <w:highlight w:val="none"/>
        </w:rPr>
        <w:t>不锈钢桶</w:t>
      </w:r>
      <w:r>
        <w:rPr>
          <w:rFonts w:hint="eastAsia" w:ascii="宋体" w:hAnsi="宋体"/>
          <w:color w:val="auto"/>
          <w:szCs w:val="21"/>
          <w:highlight w:val="none"/>
        </w:rPr>
        <w:t>、</w:t>
      </w:r>
      <w:r>
        <w:rPr>
          <w:rFonts w:hint="eastAsia" w:ascii="宋体" w:hAnsi="宋体"/>
          <w:b/>
          <w:color w:val="auto"/>
          <w:szCs w:val="21"/>
          <w:highlight w:val="none"/>
        </w:rPr>
        <w:t>室内垃圾桶（按实际需要配置，要求部份垃圾桶要有中医特色，垃圾桶要分可回收和不可回收并加盖，并跟据台州垃圾分类要求配置）、医疗垃圾运送车、洗衣机（要求不少于两台分别为10kg、60kg）</w:t>
      </w:r>
      <w:r>
        <w:rPr>
          <w:rFonts w:ascii="宋体" w:hAnsi="宋体"/>
          <w:color w:val="auto"/>
          <w:szCs w:val="21"/>
          <w:highlight w:val="none"/>
        </w:rPr>
        <w:t>等</w:t>
      </w:r>
      <w:r>
        <w:rPr>
          <w:rFonts w:hint="eastAsia" w:ascii="宋体" w:hAnsi="宋体" w:cs="Arial"/>
          <w:bCs/>
          <w:color w:val="auto"/>
          <w:szCs w:val="21"/>
          <w:highlight w:val="none"/>
        </w:rPr>
        <w:t>。</w:t>
      </w:r>
      <w:r>
        <w:rPr>
          <w:rFonts w:hint="eastAsia" w:ascii="宋体" w:hAnsi="宋体" w:cs="Arial"/>
          <w:b/>
          <w:color w:val="auto"/>
          <w:szCs w:val="21"/>
          <w:highlight w:val="none"/>
        </w:rPr>
        <w:t>（保洁设备配置不齐医院有权自行采购，采购费用在保洁费中扣回）</w:t>
      </w:r>
      <w:r>
        <w:rPr>
          <w:rFonts w:hint="eastAsia"/>
          <w:b/>
          <w:color w:val="auto"/>
          <w:highlight w:val="none"/>
        </w:rPr>
        <w:t>（注：除采购文件明确的品牌外，欢迎其他能满足本项目技术需求且性能与所列明品牌相当的产品参加。）</w:t>
      </w:r>
    </w:p>
    <w:p>
      <w:pPr>
        <w:pStyle w:val="2"/>
        <w:spacing w:line="360" w:lineRule="auto"/>
        <w:rPr>
          <w:color w:val="auto"/>
          <w:highlight w:val="none"/>
        </w:rPr>
      </w:pP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⑵ 清洁工具：</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干净整齐、无积渍，摆放整齐，分类使用，标识明显；</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地面采用拖把</w:t>
      </w:r>
      <w:r>
        <w:rPr>
          <w:rFonts w:hint="eastAsia" w:ascii="宋体" w:hAnsi="宋体" w:cs="Arial"/>
          <w:b/>
          <w:bCs/>
          <w:color w:val="auto"/>
          <w:szCs w:val="21"/>
          <w:highlight w:val="none"/>
        </w:rPr>
        <w:t>消毒液浸泡后</w:t>
      </w:r>
      <w:r>
        <w:rPr>
          <w:rFonts w:hint="eastAsia" w:ascii="宋体" w:hAnsi="宋体" w:cs="Arial"/>
          <w:bCs/>
          <w:color w:val="auto"/>
          <w:szCs w:val="21"/>
          <w:highlight w:val="none"/>
        </w:rPr>
        <w:t>湿式清扫，病房用的抹布为</w:t>
      </w:r>
      <w:r>
        <w:rPr>
          <w:rFonts w:hint="eastAsia" w:ascii="宋体" w:hAnsi="宋体" w:cs="Arial"/>
          <w:b/>
          <w:bCs/>
          <w:color w:val="auto"/>
          <w:szCs w:val="21"/>
          <w:highlight w:val="none"/>
        </w:rPr>
        <w:t>一桌一床一巾</w:t>
      </w:r>
      <w:r>
        <w:rPr>
          <w:rFonts w:hint="eastAsia" w:ascii="宋体" w:hAnsi="宋体" w:cs="Arial"/>
          <w:bCs/>
          <w:color w:val="auto"/>
          <w:szCs w:val="21"/>
          <w:highlight w:val="none"/>
        </w:rPr>
        <w:t>，污区用具用后及时消毒；</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手术室、血透室、监护室、供应室等特殊科室使用</w:t>
      </w:r>
      <w:r>
        <w:rPr>
          <w:rFonts w:hint="eastAsia" w:ascii="宋体" w:hAnsi="宋体" w:cs="Arial"/>
          <w:b/>
          <w:bCs/>
          <w:color w:val="auto"/>
          <w:szCs w:val="21"/>
          <w:highlight w:val="none"/>
        </w:rPr>
        <w:t>脱卸式拖把</w:t>
      </w:r>
      <w:r>
        <w:rPr>
          <w:rFonts w:hint="eastAsia" w:ascii="宋体" w:hAnsi="宋体" w:cs="Arial"/>
          <w:bCs/>
          <w:color w:val="auto"/>
          <w:szCs w:val="21"/>
          <w:highlight w:val="none"/>
        </w:rPr>
        <w:t>；</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清洁车：车容干净整洁、无积渍，车上工具摆放整齐、无杂物；</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垃圾车：干净整齐、无积渍、按规范消毒；</w:t>
      </w:r>
    </w:p>
    <w:p>
      <w:pPr>
        <w:spacing w:line="360" w:lineRule="auto"/>
        <w:ind w:left="1"/>
        <w:rPr>
          <w:rFonts w:ascii="宋体" w:hAnsi="宋体" w:cs="Arial"/>
          <w:b/>
          <w:bCs/>
          <w:color w:val="auto"/>
          <w:szCs w:val="21"/>
          <w:highlight w:val="none"/>
          <w:shd w:val="pct10" w:color="auto" w:fill="FFFFFF"/>
        </w:rPr>
      </w:pPr>
      <w:r>
        <w:rPr>
          <w:rFonts w:hint="eastAsia" w:ascii="宋体" w:hAnsi="宋体" w:cs="Arial"/>
          <w:b/>
          <w:bCs/>
          <w:color w:val="auto"/>
          <w:szCs w:val="21"/>
          <w:highlight w:val="none"/>
          <w:shd w:val="pct10" w:color="auto" w:fill="FFFFFF"/>
        </w:rPr>
        <w:t>◇ 要求对全院所用的拖布、毛巾等保洁用品统一集中一处消毒清洗配送，实现统一管理。</w:t>
      </w:r>
    </w:p>
    <w:p>
      <w:pPr>
        <w:pStyle w:val="2"/>
        <w:spacing w:line="360" w:lineRule="auto"/>
        <w:rPr>
          <w:color w:val="auto"/>
          <w:highlight w:val="none"/>
        </w:rPr>
      </w:pP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 xml:space="preserve">4. 其它保洁要求  </w:t>
      </w:r>
    </w:p>
    <w:p>
      <w:pPr>
        <w:spacing w:line="360" w:lineRule="auto"/>
        <w:ind w:left="1"/>
        <w:rPr>
          <w:rFonts w:ascii="宋体" w:hAnsi="宋体" w:cs="Arial"/>
          <w:bCs/>
          <w:color w:val="auto"/>
          <w:szCs w:val="21"/>
          <w:highlight w:val="none"/>
        </w:rPr>
      </w:pPr>
      <w:r>
        <w:rPr>
          <w:rFonts w:hint="eastAsia" w:ascii="宋体" w:hAnsi="宋体" w:cs="Arial"/>
          <w:bCs/>
          <w:color w:val="auto"/>
          <w:szCs w:val="21"/>
          <w:highlight w:val="none"/>
        </w:rPr>
        <w:t>⑴ 环境保洁具体工作要求</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2"/>
        <w:gridCol w:w="512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区 域</w:t>
            </w: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 号</w:t>
            </w:r>
          </w:p>
        </w:tc>
        <w:tc>
          <w:tcPr>
            <w:tcW w:w="512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工  作  内  容</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大厅</w:t>
            </w:r>
          </w:p>
          <w:p>
            <w:pPr>
              <w:spacing w:line="400" w:lineRule="exact"/>
              <w:jc w:val="center"/>
              <w:rPr>
                <w:rFonts w:ascii="宋体" w:hAnsi="宋体"/>
                <w:color w:val="auto"/>
                <w:szCs w:val="21"/>
                <w:highlight w:val="none"/>
              </w:rPr>
            </w:pPr>
            <w:r>
              <w:rPr>
                <w:rFonts w:hint="eastAsia" w:ascii="宋体" w:hAnsi="宋体"/>
                <w:color w:val="auto"/>
                <w:szCs w:val="21"/>
                <w:highlight w:val="none"/>
              </w:rPr>
              <w:t>/急诊室/</w:t>
            </w:r>
          </w:p>
          <w:p>
            <w:pPr>
              <w:spacing w:line="400" w:lineRule="exact"/>
              <w:jc w:val="center"/>
              <w:rPr>
                <w:rFonts w:ascii="宋体" w:hAnsi="宋体"/>
                <w:color w:val="auto"/>
                <w:szCs w:val="21"/>
                <w:highlight w:val="none"/>
              </w:rPr>
            </w:pPr>
            <w:r>
              <w:rPr>
                <w:rFonts w:hint="eastAsia" w:ascii="宋体" w:hAnsi="宋体"/>
                <w:color w:val="auto"/>
                <w:szCs w:val="21"/>
                <w:highlight w:val="none"/>
              </w:rPr>
              <w:t>输液</w:t>
            </w:r>
          </w:p>
          <w:p>
            <w:pPr>
              <w:spacing w:line="400" w:lineRule="exact"/>
              <w:jc w:val="center"/>
              <w:rPr>
                <w:rFonts w:ascii="宋体" w:hAnsi="宋体"/>
                <w:color w:val="auto"/>
                <w:szCs w:val="21"/>
                <w:highlight w:val="none"/>
              </w:rPr>
            </w:pPr>
            <w:r>
              <w:rPr>
                <w:rFonts w:hint="eastAsia" w:ascii="宋体" w:hAnsi="宋体"/>
                <w:color w:val="auto"/>
                <w:szCs w:val="21"/>
                <w:highlight w:val="none"/>
              </w:rPr>
              <w:t>室</w:t>
            </w:r>
          </w:p>
          <w:p>
            <w:pPr>
              <w:spacing w:line="400" w:lineRule="exact"/>
              <w:jc w:val="center"/>
              <w:rPr>
                <w:rFonts w:ascii="宋体" w:hAnsi="宋体"/>
                <w:color w:val="auto"/>
                <w:szCs w:val="21"/>
                <w:highlight w:val="none"/>
              </w:rPr>
            </w:pPr>
            <w:r>
              <w:rPr>
                <w:rFonts w:hint="eastAsia" w:ascii="宋体" w:hAnsi="宋体"/>
                <w:color w:val="auto"/>
                <w:szCs w:val="21"/>
                <w:highlight w:val="none"/>
              </w:rPr>
              <w:t>/</w:t>
            </w:r>
          </w:p>
          <w:p>
            <w:pPr>
              <w:spacing w:line="400" w:lineRule="exact"/>
              <w:jc w:val="center"/>
              <w:rPr>
                <w:rFonts w:ascii="宋体" w:hAnsi="宋体"/>
                <w:color w:val="auto"/>
                <w:szCs w:val="21"/>
                <w:highlight w:val="none"/>
              </w:rPr>
            </w:pPr>
            <w:r>
              <w:rPr>
                <w:rFonts w:hint="eastAsia" w:ascii="宋体" w:hAnsi="宋体"/>
                <w:color w:val="auto"/>
                <w:szCs w:val="21"/>
                <w:highlight w:val="none"/>
              </w:rPr>
              <w:t>供应室</w:t>
            </w:r>
          </w:p>
          <w:p>
            <w:pPr>
              <w:spacing w:line="400" w:lineRule="exact"/>
              <w:jc w:val="center"/>
              <w:rPr>
                <w:rFonts w:ascii="宋体" w:hAnsi="宋体"/>
                <w:color w:val="auto"/>
                <w:szCs w:val="21"/>
                <w:highlight w:val="none"/>
              </w:rPr>
            </w:pPr>
            <w:r>
              <w:rPr>
                <w:rFonts w:hint="eastAsia" w:ascii="宋体" w:hAnsi="宋体"/>
                <w:color w:val="auto"/>
                <w:szCs w:val="21"/>
                <w:highlight w:val="none"/>
              </w:rPr>
              <w:t>/</w:t>
            </w:r>
          </w:p>
          <w:p>
            <w:pPr>
              <w:spacing w:line="400" w:lineRule="exact"/>
              <w:jc w:val="center"/>
              <w:rPr>
                <w:rFonts w:ascii="宋体" w:hAnsi="宋体"/>
                <w:color w:val="auto"/>
                <w:szCs w:val="21"/>
                <w:highlight w:val="none"/>
              </w:rPr>
            </w:pPr>
            <w:r>
              <w:rPr>
                <w:rFonts w:hint="eastAsia" w:ascii="宋体" w:hAnsi="宋体"/>
                <w:color w:val="auto"/>
                <w:szCs w:val="21"/>
                <w:highlight w:val="none"/>
              </w:rPr>
              <w:t>门诊诊室</w:t>
            </w:r>
          </w:p>
          <w:p>
            <w:pPr>
              <w:spacing w:line="400" w:lineRule="exact"/>
              <w:jc w:val="center"/>
              <w:rPr>
                <w:rFonts w:ascii="宋体" w:hAnsi="宋体"/>
                <w:color w:val="auto"/>
                <w:szCs w:val="21"/>
                <w:highlight w:val="none"/>
              </w:rPr>
            </w:pPr>
            <w:r>
              <w:rPr>
                <w:rFonts w:hint="eastAsia" w:ascii="宋体" w:hAnsi="宋体"/>
                <w:color w:val="auto"/>
                <w:szCs w:val="21"/>
                <w:highlight w:val="none"/>
              </w:rPr>
              <w:t>/</w:t>
            </w:r>
          </w:p>
          <w:p>
            <w:pPr>
              <w:spacing w:line="400" w:lineRule="exact"/>
              <w:jc w:val="center"/>
              <w:rPr>
                <w:rFonts w:ascii="宋体" w:hAnsi="宋体"/>
                <w:color w:val="auto"/>
                <w:szCs w:val="21"/>
                <w:highlight w:val="none"/>
              </w:rPr>
            </w:pPr>
            <w:r>
              <w:rPr>
                <w:rFonts w:hint="eastAsia" w:ascii="宋体" w:hAnsi="宋体"/>
                <w:color w:val="auto"/>
                <w:szCs w:val="21"/>
                <w:highlight w:val="none"/>
              </w:rPr>
              <w:t>医技科室</w:t>
            </w:r>
          </w:p>
          <w:p>
            <w:pPr>
              <w:spacing w:line="400" w:lineRule="exact"/>
              <w:jc w:val="center"/>
              <w:rPr>
                <w:rFonts w:ascii="宋体" w:hAnsi="宋体"/>
                <w:color w:val="auto"/>
                <w:szCs w:val="21"/>
                <w:highlight w:val="none"/>
              </w:rPr>
            </w:pPr>
            <w:r>
              <w:rPr>
                <w:rFonts w:hint="eastAsia" w:ascii="宋体" w:hAnsi="宋体"/>
                <w:color w:val="auto"/>
                <w:szCs w:val="21"/>
                <w:highlight w:val="none"/>
              </w:rPr>
              <w:t>/</w:t>
            </w:r>
          </w:p>
          <w:p>
            <w:pPr>
              <w:spacing w:line="400" w:lineRule="exact"/>
              <w:rPr>
                <w:rFonts w:ascii="宋体" w:hAnsi="宋体"/>
                <w:color w:val="auto"/>
                <w:szCs w:val="21"/>
                <w:highlight w:val="none"/>
              </w:rPr>
            </w:pPr>
            <w:r>
              <w:rPr>
                <w:rFonts w:hint="eastAsia" w:ascii="宋体" w:hAnsi="宋体"/>
                <w:color w:val="auto"/>
                <w:szCs w:val="21"/>
                <w:highlight w:val="none"/>
              </w:rPr>
              <w:t>各住院病区</w:t>
            </w: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收集区域内垃圾、更换垃圾袋</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区域内地面扫尘（无扬尘干扫）</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区域内地面湿拖（进行地面消毒、清洁）</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区域内家具（桌椅、病床、橱柜等）、台面擦拭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区域内电脑、电话、仪器（含各种医用器材）、低处电器表面清洗或擦拭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区域内洗手池、水池、水龙头、皂盒、清洗、擦拭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卫生间（含水龙头、洗手池、台面、马桶、地面）冲洗、擦拭、消毒</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随时保持洁净和随时维护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区域内窗台、阳台、把手、栏杆、花盆、开关盒、接线盒、各类低处标牌、垃圾桶擦拭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开水机、冰箱（如有）外表面清洁消毒</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门、门框、低处窗框擦拭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玻璃及窗框</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低处墙面除尘、落地瓷砖、踢脚板、地角、低处管道擦拭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非医疗不锈钢物体表面闪钢保养</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高处标牌、壁挂物擦拭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高处除尘</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16</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灯具、烟感、监视器、通风口、管道、空调、风扇、空调等高处设备表面清洁</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17</w:t>
            </w:r>
          </w:p>
        </w:tc>
        <w:tc>
          <w:tcPr>
            <w:tcW w:w="5122" w:type="dxa"/>
          </w:tcPr>
          <w:p>
            <w:pPr>
              <w:spacing w:line="400" w:lineRule="exact"/>
              <w:rPr>
                <w:rFonts w:ascii="宋体" w:hAnsi="宋体"/>
                <w:b/>
                <w:color w:val="auto"/>
                <w:szCs w:val="21"/>
                <w:highlight w:val="none"/>
              </w:rPr>
            </w:pPr>
            <w:r>
              <w:rPr>
                <w:rFonts w:hint="eastAsia" w:ascii="宋体" w:hAnsi="宋体"/>
                <w:b/>
                <w:color w:val="auto"/>
                <w:szCs w:val="21"/>
                <w:highlight w:val="none"/>
              </w:rPr>
              <w:t>地面机洗、打蜡或保养</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18</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窗帘拆换（污染时随时拆换）</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每半年1次和随时维护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19</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平车上布类整理、更换，床上用品拆换、终末消毒工作</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w:t>
            </w:r>
          </w:p>
        </w:tc>
        <w:tc>
          <w:tcPr>
            <w:tcW w:w="5122" w:type="dxa"/>
          </w:tcPr>
          <w:p>
            <w:pPr>
              <w:spacing w:line="400" w:lineRule="exact"/>
              <w:rPr>
                <w:rFonts w:ascii="宋体" w:hAnsi="宋体"/>
                <w:color w:val="auto"/>
                <w:szCs w:val="21"/>
                <w:highlight w:val="none"/>
              </w:rPr>
            </w:pPr>
            <w:r>
              <w:rPr>
                <w:rFonts w:hint="eastAsia" w:ascii="宋体" w:hAnsi="宋体"/>
                <w:color w:val="auto"/>
                <w:szCs w:val="21"/>
                <w:highlight w:val="none"/>
              </w:rPr>
              <w:t>巡视保洁</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w:t>
            </w:r>
          </w:p>
        </w:tc>
        <w:tc>
          <w:tcPr>
            <w:tcW w:w="5122"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PVC地面清洁打蜡（每次打蜡6层，每层不得小于1mm）</w:t>
            </w:r>
          </w:p>
        </w:tc>
        <w:tc>
          <w:tcPr>
            <w:tcW w:w="1609" w:type="dxa"/>
            <w:vAlign w:val="center"/>
          </w:tcPr>
          <w:p>
            <w:pPr>
              <w:spacing w:line="460" w:lineRule="exact"/>
              <w:jc w:val="center"/>
              <w:rPr>
                <w:rFonts w:ascii="宋体" w:hAnsi="宋体"/>
                <w:color w:val="auto"/>
                <w:szCs w:val="21"/>
                <w:highlight w:val="none"/>
              </w:rPr>
            </w:pPr>
            <w:r>
              <w:rPr>
                <w:rFonts w:hint="eastAsia" w:ascii="宋体" w:hAnsi="宋体"/>
                <w:b/>
                <w:color w:val="auto"/>
                <w:szCs w:val="21"/>
                <w:highlight w:val="none"/>
              </w:rPr>
              <w:t>清洁保养、维护打蜡1周1次</w:t>
            </w:r>
            <w:r>
              <w:rPr>
                <w:rFonts w:hint="eastAsia" w:ascii="宋体" w:hAnsi="宋体"/>
                <w:color w:val="auto"/>
                <w:szCs w:val="21"/>
                <w:highlight w:val="none"/>
              </w:rPr>
              <w:t>，全面打蜡一年两次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手</w:t>
            </w:r>
          </w:p>
          <w:p>
            <w:pPr>
              <w:spacing w:line="400" w:lineRule="exact"/>
              <w:jc w:val="center"/>
              <w:rPr>
                <w:rFonts w:ascii="宋体" w:hAnsi="宋体"/>
                <w:color w:val="auto"/>
                <w:szCs w:val="21"/>
                <w:highlight w:val="none"/>
              </w:rPr>
            </w:pPr>
            <w:r>
              <w:rPr>
                <w:rFonts w:hint="eastAsia" w:ascii="宋体" w:hAnsi="宋体"/>
                <w:color w:val="auto"/>
                <w:szCs w:val="21"/>
                <w:highlight w:val="none"/>
              </w:rPr>
              <w:t>术</w:t>
            </w:r>
          </w:p>
          <w:p>
            <w:pPr>
              <w:spacing w:line="400" w:lineRule="exact"/>
              <w:jc w:val="center"/>
              <w:rPr>
                <w:rFonts w:ascii="宋体" w:hAnsi="宋体"/>
                <w:color w:val="auto"/>
                <w:szCs w:val="21"/>
                <w:highlight w:val="none"/>
              </w:rPr>
            </w:pPr>
            <w:r>
              <w:rPr>
                <w:rFonts w:hint="eastAsia" w:ascii="宋体" w:hAnsi="宋体"/>
                <w:color w:val="auto"/>
                <w:szCs w:val="21"/>
                <w:highlight w:val="none"/>
              </w:rPr>
              <w:t>室</w:t>
            </w:r>
          </w:p>
          <w:p>
            <w:pPr>
              <w:spacing w:line="400" w:lineRule="exact"/>
              <w:jc w:val="center"/>
              <w:rPr>
                <w:rFonts w:ascii="宋体" w:hAnsi="宋体"/>
                <w:color w:val="auto"/>
                <w:szCs w:val="21"/>
                <w:highlight w:val="none"/>
              </w:rPr>
            </w:pPr>
            <w:r>
              <w:rPr>
                <w:rFonts w:hint="eastAsia" w:ascii="宋体" w:hAnsi="宋体"/>
                <w:color w:val="auto"/>
                <w:szCs w:val="21"/>
                <w:highlight w:val="none"/>
              </w:rPr>
              <w:t>/</w:t>
            </w:r>
          </w:p>
          <w:p>
            <w:pPr>
              <w:spacing w:line="400" w:lineRule="exact"/>
              <w:jc w:val="center"/>
              <w:rPr>
                <w:rFonts w:ascii="宋体" w:hAnsi="宋体"/>
                <w:color w:val="auto"/>
                <w:szCs w:val="21"/>
                <w:highlight w:val="none"/>
              </w:rPr>
            </w:pPr>
            <w:r>
              <w:rPr>
                <w:rFonts w:hint="eastAsia" w:ascii="宋体" w:hAnsi="宋体"/>
                <w:color w:val="auto"/>
                <w:szCs w:val="21"/>
                <w:highlight w:val="none"/>
              </w:rPr>
              <w:t>I</w:t>
            </w:r>
          </w:p>
          <w:p>
            <w:pPr>
              <w:spacing w:line="400" w:lineRule="exact"/>
              <w:jc w:val="center"/>
              <w:rPr>
                <w:rFonts w:ascii="宋体" w:hAnsi="宋体"/>
                <w:color w:val="auto"/>
                <w:szCs w:val="21"/>
                <w:highlight w:val="none"/>
              </w:rPr>
            </w:pPr>
            <w:r>
              <w:rPr>
                <w:rFonts w:hint="eastAsia" w:ascii="宋体" w:hAnsi="宋体"/>
                <w:color w:val="auto"/>
                <w:szCs w:val="21"/>
                <w:highlight w:val="none"/>
              </w:rPr>
              <w:t>C</w:t>
            </w:r>
          </w:p>
          <w:p>
            <w:pPr>
              <w:spacing w:line="400" w:lineRule="exact"/>
              <w:jc w:val="center"/>
              <w:rPr>
                <w:rFonts w:ascii="宋体" w:hAnsi="宋体"/>
                <w:color w:val="auto"/>
                <w:szCs w:val="21"/>
                <w:highlight w:val="none"/>
              </w:rPr>
            </w:pPr>
            <w:r>
              <w:rPr>
                <w:rFonts w:hint="eastAsia" w:ascii="宋体" w:hAnsi="宋体"/>
                <w:color w:val="auto"/>
                <w:szCs w:val="21"/>
                <w:highlight w:val="none"/>
              </w:rPr>
              <w:t>U</w:t>
            </w:r>
          </w:p>
          <w:p>
            <w:pPr>
              <w:spacing w:line="400" w:lineRule="exact"/>
              <w:jc w:val="center"/>
              <w:rPr>
                <w:rFonts w:ascii="宋体" w:hAnsi="宋体"/>
                <w:color w:val="auto"/>
                <w:szCs w:val="21"/>
                <w:highlight w:val="none"/>
              </w:rPr>
            </w:pPr>
            <w:r>
              <w:rPr>
                <w:rFonts w:hint="eastAsia" w:ascii="宋体" w:hAnsi="宋体"/>
                <w:color w:val="auto"/>
                <w:szCs w:val="21"/>
                <w:highlight w:val="none"/>
              </w:rPr>
              <w:t>等</w:t>
            </w:r>
          </w:p>
          <w:p>
            <w:pPr>
              <w:spacing w:line="400" w:lineRule="exact"/>
              <w:jc w:val="center"/>
              <w:rPr>
                <w:rFonts w:ascii="宋体" w:hAnsi="宋体"/>
                <w:color w:val="auto"/>
                <w:szCs w:val="21"/>
                <w:highlight w:val="none"/>
              </w:rPr>
            </w:pPr>
            <w:r>
              <w:rPr>
                <w:rFonts w:hint="eastAsia" w:ascii="宋体" w:hAnsi="宋体"/>
                <w:color w:val="auto"/>
                <w:szCs w:val="21"/>
                <w:highlight w:val="none"/>
              </w:rPr>
              <w:t>区</w:t>
            </w:r>
          </w:p>
          <w:p>
            <w:pPr>
              <w:spacing w:line="400" w:lineRule="exact"/>
              <w:jc w:val="center"/>
              <w:rPr>
                <w:rFonts w:ascii="宋体" w:hAnsi="宋体"/>
                <w:color w:val="auto"/>
                <w:szCs w:val="21"/>
                <w:highlight w:val="none"/>
              </w:rPr>
            </w:pPr>
            <w:r>
              <w:rPr>
                <w:rFonts w:hint="eastAsia" w:ascii="宋体" w:hAnsi="宋体"/>
                <w:color w:val="auto"/>
                <w:szCs w:val="21"/>
                <w:highlight w:val="none"/>
              </w:rPr>
              <w:t>域</w:t>
            </w: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收集区域内垃圾、更换垃圾袋</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区域内地面湿拖（进行地面消毒、清洁）</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w:t>
            </w:r>
          </w:p>
          <w:p>
            <w:pPr>
              <w:spacing w:line="400" w:lineRule="exact"/>
              <w:jc w:val="center"/>
              <w:rPr>
                <w:rFonts w:ascii="宋体" w:hAnsi="宋体"/>
                <w:color w:val="auto"/>
                <w:szCs w:val="21"/>
                <w:highlight w:val="none"/>
              </w:rPr>
            </w:pPr>
            <w:r>
              <w:rPr>
                <w:rFonts w:hint="eastAsia" w:ascii="宋体" w:hAnsi="宋体"/>
                <w:color w:val="auto"/>
                <w:szCs w:val="21"/>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区域内家具（桌椅、床、橱柜等）、办公用品、台面擦拭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vAlign w:val="center"/>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区域内电脑、电话、仪器（含各种医用器材、无影灯）、低处电器表面清洗、擦拭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区域内洗手池、水池、水龙头、皂盒、隔拦处清洗、擦拭</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w:t>
            </w:r>
          </w:p>
          <w:p>
            <w:pPr>
              <w:spacing w:line="400" w:lineRule="exact"/>
              <w:jc w:val="center"/>
              <w:rPr>
                <w:rFonts w:ascii="宋体" w:hAnsi="宋体"/>
                <w:color w:val="auto"/>
                <w:szCs w:val="21"/>
                <w:highlight w:val="none"/>
              </w:rPr>
            </w:pPr>
            <w:r>
              <w:rPr>
                <w:rFonts w:hint="eastAsia" w:ascii="宋体" w:hAnsi="宋体"/>
                <w:color w:val="auto"/>
                <w:szCs w:val="21"/>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5122"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t>卫生间（含镜子、水龙头、脸盆、台面、毛巾架、马桶、沐浴器、地面）冲洗、擦拭、消毒</w:t>
            </w:r>
          </w:p>
        </w:tc>
        <w:tc>
          <w:tcPr>
            <w:tcW w:w="160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每日2次</w:t>
            </w:r>
          </w:p>
          <w:p>
            <w:pPr>
              <w:spacing w:line="400" w:lineRule="exact"/>
              <w:jc w:val="center"/>
              <w:rPr>
                <w:rFonts w:ascii="宋体" w:hAnsi="宋体"/>
                <w:color w:val="auto"/>
                <w:szCs w:val="21"/>
                <w:highlight w:val="none"/>
              </w:rPr>
            </w:pPr>
            <w:r>
              <w:rPr>
                <w:rFonts w:hint="eastAsia" w:ascii="宋体" w:hAnsi="宋体"/>
                <w:color w:val="auto"/>
                <w:szCs w:val="21"/>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区域内窗台、阳台、把手、扶手、栏杆、开关盒、接线盒、各类低处标牌、垃圾桶擦拭</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每日1次</w:t>
            </w:r>
          </w:p>
          <w:p>
            <w:pPr>
              <w:spacing w:line="400" w:lineRule="exact"/>
              <w:jc w:val="center"/>
              <w:rPr>
                <w:rFonts w:ascii="宋体" w:hAnsi="宋体"/>
                <w:color w:val="auto"/>
                <w:szCs w:val="21"/>
                <w:highlight w:val="none"/>
              </w:rPr>
            </w:pPr>
            <w:r>
              <w:rPr>
                <w:rFonts w:hint="eastAsia" w:ascii="宋体" w:hAnsi="宋体"/>
                <w:color w:val="auto"/>
                <w:szCs w:val="21"/>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拖鞋清洗</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术后整理、清洁、消毒</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开水机、空气消毒机、空调设备外表面的清洁与消毒</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门、门框、窗框、玻璃、高处标牌、壁挂物擦拭</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低处墙面除尘、落地瓷砖、踢脚板、地角、低处管道擦拭</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非医疗不锈钢物体表面闪钢保养</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高处除尘</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16</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灯具、音响、烟感、监视器、通风口、排气扇、风扇、空调等高处设备表面清洁</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17</w:t>
            </w:r>
          </w:p>
        </w:tc>
        <w:tc>
          <w:tcPr>
            <w:tcW w:w="512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olor w:val="auto"/>
                <w:szCs w:val="21"/>
                <w:highlight w:val="none"/>
              </w:rPr>
            </w:pPr>
            <w:r>
              <w:rPr>
                <w:rFonts w:hint="eastAsia" w:ascii="宋体" w:hAnsi="宋体"/>
                <w:color w:val="auto"/>
                <w:szCs w:val="21"/>
                <w:highlight w:val="none"/>
              </w:rPr>
              <w:t>地面机洗、打蜡或保养</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18</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巡视保洁</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19</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平车上布类整理、更换，手术台上用品拆换</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20</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库房的打扫</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窗帘拆换</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每半年1次和随时维护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22</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各类平车轮椅车轮上油、去污，保证正常运行</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23</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olor w:val="auto"/>
                <w:szCs w:val="21"/>
                <w:highlight w:val="none"/>
              </w:rPr>
            </w:pPr>
            <w:r>
              <w:rPr>
                <w:rFonts w:hint="eastAsia" w:ascii="宋体" w:hAnsi="宋体"/>
                <w:color w:val="auto"/>
                <w:szCs w:val="21"/>
                <w:highlight w:val="none"/>
              </w:rPr>
              <w:t>空调出风口、进风网清洗</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956" w:type="dxa"/>
            <w:vMerge w:val="continue"/>
          </w:tcPr>
          <w:p>
            <w:pPr>
              <w:spacing w:line="400" w:lineRule="exact"/>
              <w:jc w:val="center"/>
              <w:rPr>
                <w:rFonts w:ascii="宋体" w:hAnsi="宋体"/>
                <w:color w:val="auto"/>
                <w:szCs w:val="21"/>
                <w:highlight w:val="none"/>
              </w:rPr>
            </w:pPr>
          </w:p>
        </w:tc>
        <w:tc>
          <w:tcPr>
            <w:tcW w:w="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24</w:t>
            </w:r>
          </w:p>
        </w:tc>
        <w:tc>
          <w:tcPr>
            <w:tcW w:w="512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olor w:val="auto"/>
                <w:szCs w:val="21"/>
                <w:highlight w:val="none"/>
              </w:rPr>
            </w:pPr>
            <w:r>
              <w:rPr>
                <w:rFonts w:hint="eastAsia" w:ascii="宋体" w:hAnsi="宋体"/>
                <w:color w:val="auto"/>
                <w:szCs w:val="21"/>
                <w:highlight w:val="none"/>
              </w:rPr>
              <w:t>PVC地面清洁打蜡（每次打蜡6层，每层不得小于1mm）</w:t>
            </w:r>
          </w:p>
        </w:tc>
        <w:tc>
          <w:tcPr>
            <w:tcW w:w="160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清洁保养、维护打蜡1周1次，全面打蜡一年两次</w:t>
            </w:r>
          </w:p>
        </w:tc>
      </w:tr>
    </w:tbl>
    <w:tbl>
      <w:tblPr>
        <w:tblStyle w:val="22"/>
        <w:tblpPr w:leftFromText="180" w:rightFromText="180" w:vertAnchor="text" w:horzAnchor="page" w:tblpX="2058"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34"/>
        <w:gridCol w:w="513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公</w:t>
            </w:r>
          </w:p>
          <w:p>
            <w:pPr>
              <w:spacing w:line="460" w:lineRule="exact"/>
              <w:jc w:val="center"/>
              <w:rPr>
                <w:rFonts w:ascii="宋体" w:hAnsi="宋体"/>
                <w:color w:val="auto"/>
                <w:szCs w:val="21"/>
                <w:highlight w:val="none"/>
              </w:rPr>
            </w:pPr>
            <w:r>
              <w:rPr>
                <w:rFonts w:hint="eastAsia" w:ascii="宋体" w:hAnsi="宋体"/>
                <w:color w:val="auto"/>
                <w:szCs w:val="21"/>
                <w:highlight w:val="none"/>
              </w:rPr>
              <w:t>共</w:t>
            </w:r>
          </w:p>
          <w:p>
            <w:pPr>
              <w:spacing w:line="460" w:lineRule="exact"/>
              <w:jc w:val="center"/>
              <w:rPr>
                <w:rFonts w:ascii="宋体" w:hAnsi="宋体"/>
                <w:color w:val="auto"/>
                <w:szCs w:val="21"/>
                <w:highlight w:val="none"/>
              </w:rPr>
            </w:pPr>
            <w:r>
              <w:rPr>
                <w:rFonts w:hint="eastAsia" w:ascii="宋体" w:hAnsi="宋体"/>
                <w:color w:val="auto"/>
                <w:szCs w:val="21"/>
                <w:highlight w:val="none"/>
              </w:rPr>
              <w:t>区</w:t>
            </w:r>
          </w:p>
          <w:p>
            <w:pPr>
              <w:spacing w:line="460" w:lineRule="exact"/>
              <w:jc w:val="center"/>
              <w:rPr>
                <w:rFonts w:ascii="宋体" w:hAnsi="宋体"/>
                <w:color w:val="auto"/>
                <w:szCs w:val="21"/>
                <w:highlight w:val="none"/>
              </w:rPr>
            </w:pPr>
            <w:r>
              <w:rPr>
                <w:rFonts w:hint="eastAsia" w:ascii="宋体" w:hAnsi="宋体"/>
                <w:color w:val="auto"/>
                <w:szCs w:val="21"/>
                <w:highlight w:val="none"/>
              </w:rPr>
              <w:t>域</w:t>
            </w: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收集区域内垃圾、更换垃圾袋</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2</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区域内地面扫尘</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3</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区域内洗手池、水池、水龙头清洗、擦拭</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4</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卫生间（含镜子、水龙头、脸盆、台面、马桶、地面）、开水间冲洗、擦拭、消毒</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5</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区域内把手、栏杆、花瓶、花盆、开关盒、接线盒、各类低处标牌、垃圾桶擦拭</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6</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公共座椅的消毒清洁擦拭</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7</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玻璃清洁</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8</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非医疗不锈钢物体表面闪钢保养</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9</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高处标牌、壁挂物擦拭</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每周1次和随时维护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10</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高处除尘</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11</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灯具、音响、烟感、监视器等高处设备表面清洁</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12</w:t>
            </w:r>
          </w:p>
        </w:tc>
        <w:tc>
          <w:tcPr>
            <w:tcW w:w="5131" w:type="dxa"/>
            <w:vAlign w:val="center"/>
          </w:tcPr>
          <w:p>
            <w:pPr>
              <w:spacing w:line="460" w:lineRule="exact"/>
              <w:rPr>
                <w:rFonts w:ascii="宋体" w:hAnsi="宋体"/>
                <w:color w:val="auto"/>
                <w:szCs w:val="21"/>
                <w:highlight w:val="none"/>
              </w:rPr>
            </w:pPr>
            <w:r>
              <w:rPr>
                <w:rFonts w:hint="eastAsia" w:ascii="宋体" w:hAnsi="宋体"/>
                <w:b/>
                <w:color w:val="auto"/>
                <w:szCs w:val="21"/>
                <w:highlight w:val="none"/>
              </w:rPr>
              <w:t>大理石地面保养</w:t>
            </w:r>
            <w:r>
              <w:rPr>
                <w:rFonts w:hint="eastAsia" w:ascii="宋体" w:hAnsi="宋体"/>
                <w:color w:val="auto"/>
                <w:szCs w:val="21"/>
                <w:highlight w:val="none"/>
              </w:rPr>
              <w:t>及各材质地面的保养</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13</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空调出风口、进风网清洗</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每月1次和随时维护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14</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全院外墙墙体及玻璃幕墙（玻璃幕墙需刮洗）</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每半年1次和随时维护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15</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自助机设备</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16</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巡逻保洁</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restart"/>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电梯部分</w:t>
            </w:r>
          </w:p>
          <w:p>
            <w:pPr>
              <w:spacing w:line="360" w:lineRule="auto"/>
              <w:jc w:val="center"/>
              <w:rPr>
                <w:rFonts w:ascii="宋体" w:hAnsi="宋体"/>
                <w:color w:val="auto"/>
                <w:szCs w:val="21"/>
                <w:highlight w:val="none"/>
              </w:rPr>
            </w:pPr>
            <w:r>
              <w:rPr>
                <w:rFonts w:hint="eastAsia" w:ascii="宋体" w:hAnsi="宋体"/>
                <w:color w:val="auto"/>
                <w:szCs w:val="21"/>
                <w:highlight w:val="none"/>
              </w:rPr>
              <w:t>/</w:t>
            </w:r>
          </w:p>
          <w:p>
            <w:pPr>
              <w:spacing w:line="460" w:lineRule="exact"/>
              <w:jc w:val="center"/>
              <w:rPr>
                <w:rFonts w:ascii="宋体" w:hAnsi="宋体"/>
                <w:color w:val="auto"/>
                <w:szCs w:val="21"/>
                <w:highlight w:val="none"/>
              </w:rPr>
            </w:pPr>
            <w:r>
              <w:rPr>
                <w:rFonts w:hint="eastAsia" w:ascii="宋体" w:hAnsi="宋体"/>
                <w:color w:val="auto"/>
                <w:szCs w:val="21"/>
                <w:highlight w:val="none"/>
              </w:rPr>
              <w:t>消防通道/卫生间</w:t>
            </w: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不锈钢壁面及按钮消毒</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2</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地面拖地，消毒，并随时清除杂物、口痰等</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每日2次和随时维护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3</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天花及风口擦拭</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4</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地面及梯级清扫、拖地</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w:t>
            </w:r>
          </w:p>
          <w:p>
            <w:pPr>
              <w:spacing w:line="460" w:lineRule="exact"/>
              <w:jc w:val="center"/>
              <w:rPr>
                <w:rFonts w:ascii="宋体" w:hAnsi="宋体"/>
                <w:color w:val="auto"/>
                <w:szCs w:val="21"/>
                <w:highlight w:val="none"/>
              </w:rPr>
            </w:pPr>
            <w:r>
              <w:rPr>
                <w:rFonts w:hint="eastAsia" w:ascii="宋体" w:hAnsi="宋体"/>
                <w:color w:val="auto"/>
                <w:szCs w:val="21"/>
                <w:highlight w:val="none"/>
              </w:rPr>
              <w:t>和随时维护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64" w:type="dxa"/>
            <w:vMerge w:val="continue"/>
            <w:vAlign w:val="center"/>
          </w:tcPr>
          <w:p>
            <w:pPr>
              <w:spacing w:line="460" w:lineRule="exact"/>
              <w:jc w:val="center"/>
              <w:rPr>
                <w:rFonts w:ascii="宋体" w:hAnsi="宋体"/>
                <w:color w:val="auto"/>
                <w:szCs w:val="21"/>
                <w:highlight w:val="none"/>
              </w:rPr>
            </w:pPr>
          </w:p>
        </w:tc>
        <w:tc>
          <w:tcPr>
            <w:tcW w:w="934"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5</w:t>
            </w:r>
          </w:p>
        </w:tc>
        <w:tc>
          <w:tcPr>
            <w:tcW w:w="5131" w:type="dxa"/>
            <w:vAlign w:val="center"/>
          </w:tcPr>
          <w:p>
            <w:pPr>
              <w:spacing w:line="460" w:lineRule="exact"/>
              <w:rPr>
                <w:rFonts w:ascii="宋体" w:hAnsi="宋体"/>
                <w:color w:val="auto"/>
                <w:szCs w:val="21"/>
                <w:highlight w:val="none"/>
              </w:rPr>
            </w:pPr>
            <w:r>
              <w:rPr>
                <w:rFonts w:hint="eastAsia" w:ascii="宋体" w:hAnsi="宋体"/>
                <w:color w:val="auto"/>
                <w:szCs w:val="21"/>
                <w:highlight w:val="none"/>
              </w:rPr>
              <w:t>电梯不锈钢面保护油</w:t>
            </w:r>
          </w:p>
        </w:tc>
        <w:tc>
          <w:tcPr>
            <w:tcW w:w="1199" w:type="dxa"/>
            <w:vAlign w:val="center"/>
          </w:tcPr>
          <w:p>
            <w:pPr>
              <w:spacing w:line="460" w:lineRule="exact"/>
              <w:jc w:val="center"/>
              <w:rPr>
                <w:rFonts w:ascii="宋体" w:hAnsi="宋体"/>
                <w:color w:val="auto"/>
                <w:szCs w:val="21"/>
                <w:highlight w:val="none"/>
              </w:rPr>
            </w:pPr>
            <w:r>
              <w:rPr>
                <w:rFonts w:hint="eastAsia" w:ascii="宋体" w:hAnsi="宋体"/>
                <w:color w:val="auto"/>
                <w:szCs w:val="21"/>
                <w:highlight w:val="none"/>
              </w:rPr>
              <w:t>每日1次</w:t>
            </w:r>
          </w:p>
          <w:p>
            <w:pPr>
              <w:spacing w:line="460" w:lineRule="exact"/>
              <w:jc w:val="center"/>
              <w:rPr>
                <w:rFonts w:ascii="宋体" w:hAnsi="宋体"/>
                <w:color w:val="auto"/>
                <w:szCs w:val="21"/>
                <w:highlight w:val="none"/>
              </w:rPr>
            </w:pPr>
            <w:r>
              <w:rPr>
                <w:rFonts w:hint="eastAsia" w:ascii="宋体" w:hAnsi="宋体"/>
                <w:color w:val="auto"/>
                <w:szCs w:val="21"/>
                <w:highlight w:val="none"/>
              </w:rPr>
              <w:t>和随时维护</w:t>
            </w:r>
          </w:p>
        </w:tc>
      </w:tr>
    </w:tbl>
    <w:p>
      <w:pPr>
        <w:spacing w:line="360" w:lineRule="auto"/>
        <w:rPr>
          <w:rFonts w:ascii="宋体" w:hAnsi="宋体" w:cs="Arial"/>
          <w:bCs/>
          <w:color w:val="auto"/>
          <w:szCs w:val="21"/>
          <w:highlight w:val="none"/>
        </w:rPr>
      </w:pPr>
    </w:p>
    <w:p>
      <w:pPr>
        <w:spacing w:line="360" w:lineRule="auto"/>
        <w:ind w:firstLine="210" w:firstLineChars="100"/>
        <w:rPr>
          <w:rFonts w:ascii="宋体" w:hAnsi="宋体" w:cs="Arial"/>
          <w:bCs/>
          <w:color w:val="auto"/>
          <w:szCs w:val="21"/>
          <w:highlight w:val="none"/>
        </w:rPr>
      </w:pPr>
      <w:r>
        <w:rPr>
          <w:rFonts w:hint="eastAsia" w:ascii="宋体" w:hAnsi="宋体" w:cs="Arial"/>
          <w:bCs/>
          <w:color w:val="auto"/>
          <w:szCs w:val="21"/>
          <w:highlight w:val="none"/>
        </w:rPr>
        <w:t>5．护工运送工作主要内容（包括但不仅限于以下内容）</w:t>
      </w:r>
    </w:p>
    <w:tbl>
      <w:tblPr>
        <w:tblStyle w:val="22"/>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常规收送各种化验标本和单据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临时/急送各种标本和单据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临时取化验结果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收送会诊单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收送检查预约单并预约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送病人院内做检查(轮椅/平车运送)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为病人导检（可行走病人批次运送工作）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协助护士将病人转科或转病房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临时领办公用品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临时领医疗用品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夜间临时领药借药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整理收集/送空盐水瓶到指定地点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设备借用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154" w:type="dxa"/>
            <w:vAlign w:val="center"/>
          </w:tcPr>
          <w:p>
            <w:pPr>
              <w:pStyle w:val="68"/>
              <w:widowControl w:val="0"/>
              <w:numPr>
                <w:ilvl w:val="0"/>
                <w:numId w:val="6"/>
              </w:numPr>
              <w:spacing w:line="276" w:lineRule="auto"/>
              <w:ind w:firstLine="420"/>
              <w:jc w:val="both"/>
              <w:rPr>
                <w:rFonts w:cs="Arial"/>
                <w:bCs/>
                <w:color w:val="auto"/>
                <w:sz w:val="21"/>
                <w:szCs w:val="21"/>
                <w:highlight w:val="none"/>
              </w:rPr>
            </w:pPr>
            <w:r>
              <w:rPr>
                <w:rFonts w:hint="eastAsia" w:cs="Arial"/>
                <w:bCs/>
                <w:color w:val="auto"/>
                <w:sz w:val="21"/>
                <w:szCs w:val="21"/>
                <w:highlight w:val="none"/>
              </w:rPr>
              <w:t>领用药品</w:t>
            </w:r>
          </w:p>
        </w:tc>
      </w:tr>
    </w:tbl>
    <w:p>
      <w:pPr>
        <w:spacing w:line="276" w:lineRule="auto"/>
        <w:rPr>
          <w:rFonts w:ascii="宋体" w:hAnsi="宋体"/>
          <w:color w:val="auto"/>
          <w:szCs w:val="21"/>
          <w:highlight w:val="none"/>
        </w:rPr>
      </w:pPr>
    </w:p>
    <w:p>
      <w:pPr>
        <w:spacing w:line="276" w:lineRule="auto"/>
        <w:ind w:firstLine="210" w:firstLineChars="100"/>
        <w:rPr>
          <w:rFonts w:ascii="宋体" w:hAnsi="宋体"/>
          <w:color w:val="auto"/>
          <w:szCs w:val="21"/>
          <w:highlight w:val="none"/>
        </w:rPr>
      </w:pPr>
      <w:r>
        <w:rPr>
          <w:rFonts w:hint="eastAsia" w:ascii="宋体" w:hAnsi="宋体"/>
          <w:color w:val="auto"/>
          <w:szCs w:val="21"/>
          <w:highlight w:val="none"/>
        </w:rPr>
        <w:t>6、运送服务要求：</w:t>
      </w:r>
    </w:p>
    <w:p>
      <w:pPr>
        <w:spacing w:line="276" w:lineRule="auto"/>
        <w:rPr>
          <w:rFonts w:ascii="宋体" w:hAnsi="宋体"/>
          <w:color w:val="auto"/>
          <w:szCs w:val="21"/>
          <w:highlight w:val="none"/>
        </w:rPr>
      </w:pPr>
      <w:r>
        <w:rPr>
          <w:rFonts w:hint="eastAsia" w:ascii="宋体" w:hAnsi="宋体"/>
          <w:color w:val="auto"/>
          <w:szCs w:val="21"/>
          <w:highlight w:val="none"/>
        </w:rPr>
        <w:t>1）设立24小时的中央调度中心，为保障运送的及时性，运送人员配置手机终端APP，对讲机和耳机。（软件、设备由中标方提供）</w:t>
      </w:r>
    </w:p>
    <w:p>
      <w:pPr>
        <w:spacing w:line="276" w:lineRule="auto"/>
        <w:rPr>
          <w:rFonts w:ascii="宋体" w:hAnsi="宋体"/>
          <w:color w:val="auto"/>
          <w:szCs w:val="21"/>
          <w:highlight w:val="none"/>
        </w:rPr>
      </w:pPr>
      <w:r>
        <w:rPr>
          <w:rFonts w:hint="eastAsia" w:ascii="宋体" w:hAnsi="宋体"/>
          <w:color w:val="auto"/>
          <w:szCs w:val="21"/>
          <w:highlight w:val="none"/>
        </w:rPr>
        <w:t>2）医院负责提供运送用工具及运送车，中标人应合理调配并负责管理与保养和维修。</w:t>
      </w:r>
    </w:p>
    <w:p>
      <w:pPr>
        <w:spacing w:line="276" w:lineRule="auto"/>
        <w:rPr>
          <w:rFonts w:ascii="宋体" w:hAnsi="宋体"/>
          <w:color w:val="auto"/>
          <w:szCs w:val="21"/>
          <w:highlight w:val="none"/>
        </w:rPr>
      </w:pPr>
      <w:r>
        <w:rPr>
          <w:rFonts w:hint="eastAsia" w:ascii="宋体" w:hAnsi="宋体"/>
          <w:color w:val="auto"/>
          <w:szCs w:val="21"/>
          <w:highlight w:val="none"/>
        </w:rPr>
        <w:t>3）要求对运送的数据进行每月进行汇总和统计，并上报给医院管理部门，能随时提供相应的数据，给院方的决策进行支持。</w:t>
      </w:r>
    </w:p>
    <w:p>
      <w:pPr>
        <w:spacing w:line="276" w:lineRule="auto"/>
        <w:rPr>
          <w:rFonts w:ascii="宋体" w:hAnsi="宋体"/>
          <w:color w:val="auto"/>
          <w:szCs w:val="21"/>
          <w:highlight w:val="none"/>
        </w:rPr>
      </w:pPr>
      <w:r>
        <w:rPr>
          <w:rFonts w:hint="eastAsia" w:ascii="宋体" w:hAnsi="宋体"/>
          <w:color w:val="auto"/>
          <w:szCs w:val="21"/>
          <w:highlight w:val="none"/>
        </w:rPr>
        <w:t>4）上岗员工培训通过率100%，培训资料可查。</w:t>
      </w:r>
    </w:p>
    <w:p>
      <w:pPr>
        <w:pStyle w:val="2"/>
        <w:rPr>
          <w:color w:val="auto"/>
          <w:sz w:val="24"/>
          <w:highlight w:val="none"/>
        </w:rPr>
      </w:pPr>
      <w:r>
        <w:rPr>
          <w:rFonts w:hint="eastAsia"/>
          <w:color w:val="auto"/>
          <w:sz w:val="24"/>
          <w:highlight w:val="none"/>
        </w:rPr>
        <w:t>（投标人在制定运送方案时应考虑全院服务模式）</w:t>
      </w:r>
    </w:p>
    <w:p>
      <w:pPr>
        <w:spacing w:line="360" w:lineRule="auto"/>
        <w:ind w:left="1"/>
        <w:rPr>
          <w:rFonts w:ascii="宋体" w:hAnsi="宋体" w:cs="Arial"/>
          <w:bCs/>
          <w:color w:val="auto"/>
          <w:szCs w:val="21"/>
          <w:highlight w:val="none"/>
        </w:rPr>
      </w:pPr>
    </w:p>
    <w:p>
      <w:pPr>
        <w:spacing w:line="360" w:lineRule="auto"/>
        <w:ind w:left="1"/>
        <w:rPr>
          <w:rFonts w:ascii="宋体" w:hAnsi="宋体" w:cs="Arial"/>
          <w:b/>
          <w:color w:val="auto"/>
          <w:szCs w:val="21"/>
          <w:highlight w:val="none"/>
        </w:rPr>
      </w:pPr>
      <w:r>
        <w:rPr>
          <w:rFonts w:hint="eastAsia" w:ascii="宋体" w:hAnsi="宋体" w:cs="Arial"/>
          <w:b/>
          <w:color w:val="auto"/>
          <w:szCs w:val="21"/>
          <w:highlight w:val="none"/>
        </w:rPr>
        <w:t>四、</w:t>
      </w:r>
      <w:r>
        <w:rPr>
          <w:rFonts w:ascii="宋体" w:hAnsi="宋体" w:cs="Arial"/>
          <w:b/>
          <w:bCs/>
          <w:color w:val="auto"/>
          <w:szCs w:val="21"/>
          <w:highlight w:val="none"/>
        </w:rPr>
        <w:t>对招标有关</w:t>
      </w:r>
      <w:r>
        <w:rPr>
          <w:rFonts w:hint="eastAsia" w:ascii="宋体" w:hAnsi="宋体" w:cs="Arial"/>
          <w:b/>
          <w:color w:val="auto"/>
          <w:szCs w:val="21"/>
          <w:highlight w:val="none"/>
        </w:rPr>
        <w:t>项目的说明：</w:t>
      </w:r>
    </w:p>
    <w:p>
      <w:pPr>
        <w:spacing w:line="360" w:lineRule="auto"/>
        <w:rPr>
          <w:rFonts w:ascii="宋体" w:hAnsi="宋体"/>
          <w:color w:val="auto"/>
          <w:szCs w:val="21"/>
          <w:highlight w:val="none"/>
        </w:rPr>
      </w:pPr>
      <w:r>
        <w:rPr>
          <w:rFonts w:hint="eastAsia" w:ascii="宋体" w:hAnsi="宋体"/>
          <w:color w:val="auto"/>
          <w:szCs w:val="21"/>
          <w:highlight w:val="none"/>
        </w:rPr>
        <w:t>1、公用水电（包括空调、清洁卫生、生活等各类用水）费用由医院承担；中标人（除办公、住宿）各类用电由医院承担；中标公司负责提供各类垃圾桶（不包括室外广场固定式垃圾桶）</w:t>
      </w:r>
      <w:r>
        <w:rPr>
          <w:rFonts w:hint="eastAsia" w:ascii="宋体" w:hAnsi="宋体"/>
          <w:b/>
          <w:bCs/>
          <w:color w:val="auto"/>
          <w:szCs w:val="21"/>
          <w:highlight w:val="none"/>
        </w:rPr>
        <w:t>（需在标书中提供各种拉圾筒图片）</w:t>
      </w:r>
      <w:r>
        <w:rPr>
          <w:rFonts w:hint="eastAsia" w:ascii="宋体" w:hAnsi="宋体"/>
          <w:color w:val="auto"/>
          <w:szCs w:val="21"/>
          <w:highlight w:val="none"/>
        </w:rPr>
        <w:t>、生活垃圾袋，医院负责医疗垃圾袋、生活垃圾、医疗垃圾的外运费和垃圾处理费用；环境保洁具体工作要求各分区通用。</w:t>
      </w:r>
    </w:p>
    <w:p>
      <w:pPr>
        <w:spacing w:line="360"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医院负责提供：</w:t>
      </w:r>
    </w:p>
    <w:p>
      <w:pPr>
        <w:spacing w:line="360" w:lineRule="auto"/>
        <w:rPr>
          <w:rFonts w:ascii="宋体" w:hAnsi="宋体"/>
          <w:color w:val="auto"/>
          <w:szCs w:val="21"/>
          <w:highlight w:val="none"/>
        </w:rPr>
      </w:pPr>
      <w:r>
        <w:rPr>
          <w:rFonts w:ascii="宋体" w:hAnsi="宋体"/>
          <w:bCs/>
          <w:color w:val="auto"/>
          <w:szCs w:val="21"/>
          <w:highlight w:val="none"/>
        </w:rPr>
        <w:t>（1）</w:t>
      </w:r>
      <w:r>
        <w:rPr>
          <w:rFonts w:ascii="宋体" w:hAnsi="宋体"/>
          <w:color w:val="auto"/>
          <w:szCs w:val="21"/>
          <w:highlight w:val="none"/>
        </w:rPr>
        <w:t>锐器盒；</w:t>
      </w:r>
    </w:p>
    <w:p>
      <w:pPr>
        <w:spacing w:line="360" w:lineRule="auto"/>
        <w:rPr>
          <w:rFonts w:ascii="宋体" w:hAnsi="宋体"/>
          <w:color w:val="auto"/>
          <w:szCs w:val="21"/>
          <w:highlight w:val="none"/>
        </w:rPr>
      </w:pPr>
      <w:r>
        <w:rPr>
          <w:rFonts w:ascii="宋体" w:hAnsi="宋体"/>
          <w:color w:val="auto"/>
          <w:szCs w:val="21"/>
          <w:highlight w:val="none"/>
        </w:rPr>
        <w:t>（2）空气消毒剂；</w:t>
      </w:r>
    </w:p>
    <w:p>
      <w:pPr>
        <w:spacing w:line="360" w:lineRule="auto"/>
        <w:rPr>
          <w:rFonts w:ascii="宋体" w:hAnsi="宋体"/>
          <w:color w:val="auto"/>
          <w:szCs w:val="21"/>
          <w:highlight w:val="none"/>
        </w:rPr>
      </w:pPr>
      <w:r>
        <w:rPr>
          <w:rFonts w:ascii="宋体" w:hAnsi="宋体"/>
          <w:color w:val="auto"/>
          <w:szCs w:val="21"/>
          <w:highlight w:val="none"/>
        </w:rPr>
        <w:t>（3）医护人员手消毒剂；</w:t>
      </w:r>
    </w:p>
    <w:p>
      <w:pPr>
        <w:spacing w:line="360" w:lineRule="auto"/>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运送车、</w:t>
      </w:r>
      <w:r>
        <w:rPr>
          <w:rFonts w:ascii="宋体" w:hAnsi="宋体"/>
          <w:color w:val="auto"/>
          <w:szCs w:val="21"/>
          <w:highlight w:val="none"/>
        </w:rPr>
        <w:t>平床与轮椅维修费用；</w:t>
      </w:r>
    </w:p>
    <w:p>
      <w:pPr>
        <w:spacing w:line="360" w:lineRule="auto"/>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医院将提供中标人管理办公用房、仓库用房</w:t>
      </w:r>
      <w:r>
        <w:rPr>
          <w:rFonts w:hint="eastAsia" w:ascii="宋体" w:hAnsi="宋体"/>
          <w:color w:val="auto"/>
          <w:szCs w:val="21"/>
          <w:highlight w:val="none"/>
        </w:rPr>
        <w:t>、宿舍各一间，</w:t>
      </w:r>
      <w:r>
        <w:rPr>
          <w:rFonts w:ascii="宋体" w:hAnsi="宋体"/>
          <w:color w:val="auto"/>
          <w:szCs w:val="21"/>
          <w:highlight w:val="none"/>
        </w:rPr>
        <w:t>在服务期限内提供给中标人免费使用。</w:t>
      </w:r>
      <w:r>
        <w:rPr>
          <w:rFonts w:hint="eastAsia" w:ascii="宋体" w:hAnsi="宋体"/>
          <w:color w:val="auto"/>
          <w:szCs w:val="21"/>
          <w:highlight w:val="none"/>
        </w:rPr>
        <w:t>（</w:t>
      </w:r>
      <w:r>
        <w:rPr>
          <w:rFonts w:hint="eastAsia" w:ascii="宋体" w:hAnsi="宋体"/>
          <w:b/>
          <w:color w:val="auto"/>
          <w:szCs w:val="21"/>
          <w:highlight w:val="none"/>
        </w:rPr>
        <w:t>所有提供的房间内不准烧饭，不得作为员用的固定宿舍</w:t>
      </w:r>
      <w:r>
        <w:rPr>
          <w:rFonts w:hint="eastAsia" w:ascii="宋体" w:hAnsi="宋体"/>
          <w:color w:val="auto"/>
          <w:szCs w:val="21"/>
          <w:highlight w:val="none"/>
        </w:rPr>
        <w:t>）（如有违反按每次100元扣罚）</w:t>
      </w:r>
    </w:p>
    <w:p>
      <w:pPr>
        <w:spacing w:line="360" w:lineRule="auto"/>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中标人配置项目相关人员的装备（包括对讲机以及对讲机公共频道占用费及维修费用等）及其保洁设备（</w:t>
      </w:r>
      <w:r>
        <w:rPr>
          <w:rFonts w:hint="eastAsia" w:ascii="宋体" w:hAnsi="宋体"/>
          <w:color w:val="auto"/>
          <w:szCs w:val="21"/>
          <w:highlight w:val="none"/>
        </w:rPr>
        <w:t>保洁车、</w:t>
      </w:r>
      <w:r>
        <w:rPr>
          <w:rFonts w:ascii="宋体" w:hAnsi="宋体"/>
          <w:color w:val="auto"/>
          <w:szCs w:val="21"/>
          <w:highlight w:val="none"/>
        </w:rPr>
        <w:t>专用的洗地机、自动洗地吸水机、抛光机、吸水洗尘机、地坪/地毯吹干机、真空吸尘机、垃圾车、高压水枪、榨水器、</w:t>
      </w:r>
      <w:r>
        <w:rPr>
          <w:rFonts w:hint="eastAsia" w:ascii="宋体" w:hAnsi="宋体"/>
          <w:color w:val="auto"/>
          <w:szCs w:val="21"/>
          <w:highlight w:val="none"/>
        </w:rPr>
        <w:t>下水道疏通器、</w:t>
      </w:r>
      <w:r>
        <w:rPr>
          <w:rFonts w:ascii="宋体" w:hAnsi="宋体"/>
          <w:color w:val="auto"/>
          <w:szCs w:val="21"/>
          <w:highlight w:val="none"/>
        </w:rPr>
        <w:t>不锈钢桶等）。</w:t>
      </w:r>
    </w:p>
    <w:p>
      <w:pPr>
        <w:spacing w:line="360" w:lineRule="auto"/>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中标人负责所有有关环境保洁所需的清洁、洗涤药剂，养护药剂、材料和保洁工具等耗材。</w:t>
      </w:r>
      <w:r>
        <w:rPr>
          <w:rFonts w:hint="eastAsia" w:ascii="宋体" w:hAnsi="宋体"/>
          <w:color w:val="auto"/>
          <w:szCs w:val="21"/>
          <w:highlight w:val="none"/>
        </w:rPr>
        <w:t>各种专用特殊设备必须专门为本次服务所需。</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中标人提供电脑、考勤设备和打印机等办公设备和耗材；中标人自行负责桌椅等办公家私和员工更衣柜。</w:t>
      </w:r>
    </w:p>
    <w:p>
      <w:pPr>
        <w:spacing w:line="360" w:lineRule="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中标人的各岗位员工要统一服装</w:t>
      </w:r>
      <w:r>
        <w:rPr>
          <w:rFonts w:hint="eastAsia" w:ascii="宋体" w:hAnsi="宋体"/>
          <w:color w:val="auto"/>
          <w:szCs w:val="21"/>
          <w:highlight w:val="none"/>
        </w:rPr>
        <w:t>并佩戴胸牌（护工要有别与保洁人员着装）</w:t>
      </w:r>
      <w:r>
        <w:rPr>
          <w:rFonts w:ascii="宋体" w:hAnsi="宋体"/>
          <w:color w:val="auto"/>
          <w:szCs w:val="21"/>
          <w:highlight w:val="none"/>
        </w:rPr>
        <w:t>，并由中标人负责其员工工服配备和洗涤</w:t>
      </w:r>
      <w:r>
        <w:rPr>
          <w:rFonts w:hint="eastAsia" w:ascii="宋体" w:hAnsi="宋体"/>
          <w:color w:val="auto"/>
          <w:szCs w:val="21"/>
          <w:highlight w:val="none"/>
        </w:rPr>
        <w:t>，工作人员工作时不得穿拖鞋、白大衣（特殊岗位除外）</w:t>
      </w:r>
      <w:r>
        <w:rPr>
          <w:rFonts w:ascii="宋体" w:hAnsi="宋体"/>
          <w:color w:val="auto"/>
          <w:szCs w:val="21"/>
          <w:highlight w:val="none"/>
        </w:rPr>
        <w:t>。</w:t>
      </w:r>
      <w:r>
        <w:rPr>
          <w:rFonts w:hint="eastAsia" w:ascii="宋体" w:hAnsi="宋体"/>
          <w:color w:val="auto"/>
          <w:szCs w:val="21"/>
          <w:highlight w:val="none"/>
        </w:rPr>
        <w:t>（如有违反按每次每项20元扣罚）</w:t>
      </w:r>
    </w:p>
    <w:p>
      <w:pPr>
        <w:spacing w:line="360" w:lineRule="auto"/>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中标人须提供足够的作业机具，自行解决后勤管理服务时所需的日常工具和劳保用品，并能根据医院的行业形象要求及规范，保证文明工作。</w:t>
      </w:r>
      <w:r>
        <w:rPr>
          <w:rFonts w:hint="eastAsia" w:ascii="宋体" w:hAnsi="宋体"/>
          <w:color w:val="auto"/>
          <w:szCs w:val="21"/>
          <w:highlight w:val="none"/>
        </w:rPr>
        <w:t>（如有违反按每次50元扣罚）</w:t>
      </w:r>
    </w:p>
    <w:p>
      <w:pPr>
        <w:spacing w:line="360" w:lineRule="auto"/>
        <w:rPr>
          <w:rFonts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中标人须严格按照标准化的操作程序、完善的培训体系和质量控制体系完成本项目，以保证整个后勤系统安全、高效、有序和有计划地运转。</w:t>
      </w:r>
      <w:r>
        <w:rPr>
          <w:rFonts w:hint="eastAsia" w:ascii="宋体" w:hAnsi="宋体"/>
          <w:color w:val="auto"/>
          <w:szCs w:val="21"/>
          <w:highlight w:val="none"/>
        </w:rPr>
        <w:t>（要求每月自行组织进行陪训一次，培训资料每月上交到医院管理部门未完成按每月300元扣除）</w:t>
      </w:r>
    </w:p>
    <w:p>
      <w:pPr>
        <w:spacing w:line="360" w:lineRule="auto"/>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中标人有责任配合医院接受上级领导部门的监督、检查，提供必须的资料。</w:t>
      </w:r>
      <w:r>
        <w:rPr>
          <w:rFonts w:hint="eastAsia" w:ascii="宋体" w:hAnsi="宋体"/>
          <w:color w:val="auto"/>
          <w:szCs w:val="21"/>
          <w:highlight w:val="none"/>
        </w:rPr>
        <w:t>（如有违反按每次500元扣罚）</w:t>
      </w:r>
    </w:p>
    <w:p>
      <w:pPr>
        <w:spacing w:line="360" w:lineRule="auto"/>
        <w:rPr>
          <w:rFonts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中标人须严格按照国家规定给所有的员工缴纳各种社会保险（包括养老、医疗、工伤、生育险、失业保险等）和住房公积金</w:t>
      </w:r>
      <w:r>
        <w:rPr>
          <w:rFonts w:hint="eastAsia" w:ascii="宋体" w:hAnsi="宋体"/>
          <w:color w:val="auto"/>
          <w:szCs w:val="21"/>
          <w:highlight w:val="none"/>
        </w:rPr>
        <w:t>，投标人派驻本项目的员工社保参保率不得低于50%。</w:t>
      </w:r>
    </w:p>
    <w:p>
      <w:pPr>
        <w:spacing w:line="360" w:lineRule="auto"/>
        <w:rPr>
          <w:rFonts w:ascii="宋体" w:hAnsi="宋体"/>
          <w:color w:val="auto"/>
          <w:szCs w:val="21"/>
          <w:highlight w:val="none"/>
        </w:rPr>
      </w:pPr>
      <w:r>
        <w:rPr>
          <w:rFonts w:ascii="宋体" w:hAnsi="宋体"/>
          <w:color w:val="auto"/>
          <w:szCs w:val="21"/>
          <w:highlight w:val="none"/>
        </w:rPr>
        <w:t>中标人自行负责其招聘员工的一切工资、福利；如发生工伤、疾病乃至死亡的一切责任及费用由中标人全部负责；中标人应严格遵守国家有关的法律、法规及行业标准。</w:t>
      </w:r>
    </w:p>
    <w:p>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 全部服务人员的工作时间应严格按国家有关法律、法规要求的标准执行，因工作原因产生的加班（含节假日加班）应严格按国家有关法律、法规要求的标准给付员工加班薪资。</w:t>
      </w:r>
    </w:p>
    <w:p>
      <w:pPr>
        <w:spacing w:line="360" w:lineRule="auto"/>
        <w:rPr>
          <w:rFonts w:ascii="宋体" w:hAnsi="宋体"/>
          <w:color w:val="auto"/>
          <w:szCs w:val="21"/>
          <w:highlight w:val="none"/>
        </w:rPr>
      </w:pPr>
      <w:r>
        <w:rPr>
          <w:rFonts w:hint="eastAsia" w:ascii="宋体" w:hAnsi="宋体"/>
          <w:color w:val="auto"/>
          <w:szCs w:val="21"/>
          <w:highlight w:val="none"/>
        </w:rPr>
        <w:t>（2）所有员工入院服务期间都必须定期体检（费用由中标方负责）。</w:t>
      </w:r>
    </w:p>
    <w:p>
      <w:pPr>
        <w:spacing w:line="360" w:lineRule="auto"/>
        <w:rPr>
          <w:rFonts w:ascii="宋体" w:hAnsi="宋体"/>
          <w:color w:val="auto"/>
          <w:szCs w:val="21"/>
          <w:highlight w:val="none"/>
        </w:rPr>
      </w:pPr>
      <w:r>
        <w:rPr>
          <w:rFonts w:hint="eastAsia" w:ascii="宋体" w:hAnsi="宋体"/>
          <w:color w:val="auto"/>
          <w:szCs w:val="21"/>
          <w:highlight w:val="none"/>
        </w:rPr>
        <w:t>（3）投标人都要买公众责任险和员工的人身意外保险。</w:t>
      </w:r>
    </w:p>
    <w:p>
      <w:pPr>
        <w:spacing w:line="360" w:lineRule="auto"/>
        <w:rPr>
          <w:rFonts w:ascii="宋体" w:hAnsi="宋体"/>
          <w:color w:val="auto"/>
          <w:szCs w:val="21"/>
          <w:highlight w:val="none"/>
        </w:rPr>
      </w:pPr>
      <w:r>
        <w:rPr>
          <w:rFonts w:hint="eastAsia" w:ascii="宋体" w:hAnsi="宋体"/>
          <w:color w:val="auto"/>
          <w:szCs w:val="21"/>
          <w:highlight w:val="none"/>
        </w:rPr>
        <w:t>（4）因投标方违反《劳动法》等法律法规而造成院方的连带责任和损失全部由投标方承担。</w:t>
      </w:r>
    </w:p>
    <w:p>
      <w:pPr>
        <w:spacing w:line="360" w:lineRule="auto"/>
        <w:rPr>
          <w:rFonts w:ascii="宋体" w:hAnsi="宋体"/>
          <w:color w:val="auto"/>
          <w:szCs w:val="21"/>
          <w:highlight w:val="none"/>
        </w:rPr>
      </w:pPr>
      <w:r>
        <w:rPr>
          <w:rFonts w:hint="eastAsia" w:ascii="宋体" w:hAnsi="宋体"/>
          <w:color w:val="auto"/>
          <w:szCs w:val="21"/>
          <w:highlight w:val="none"/>
        </w:rPr>
        <w:t>14、投标方如有工作范围的调整，人员增减与费用增减在最终标书基础上按双方协商签订补充条款。</w:t>
      </w:r>
    </w:p>
    <w:p>
      <w:pPr>
        <w:spacing w:line="360" w:lineRule="auto"/>
        <w:rPr>
          <w:rFonts w:ascii="宋体" w:hAnsi="宋体"/>
          <w:color w:val="auto"/>
          <w:szCs w:val="21"/>
          <w:highlight w:val="none"/>
        </w:rPr>
      </w:pPr>
      <w:r>
        <w:rPr>
          <w:rFonts w:hint="eastAsia" w:ascii="宋体" w:hAnsi="宋体"/>
          <w:color w:val="auto"/>
          <w:szCs w:val="21"/>
          <w:highlight w:val="none"/>
        </w:rPr>
        <w:t>15、驻院管理员必须有真实的管理能力，并安排人员24小时驻院管理(50周岁以下、大专以上学历)；员工年龄：不超过55周岁，保洁员可适当放宽至60岁。</w:t>
      </w:r>
    </w:p>
    <w:p>
      <w:pPr>
        <w:spacing w:line="276" w:lineRule="auto"/>
        <w:rPr>
          <w:rFonts w:ascii="宋体" w:hAnsi="宋体"/>
          <w:color w:val="auto"/>
          <w:szCs w:val="21"/>
          <w:highlight w:val="none"/>
        </w:rPr>
      </w:pPr>
      <w:r>
        <w:rPr>
          <w:rFonts w:hint="eastAsia" w:ascii="宋体" w:hAnsi="宋体"/>
          <w:color w:val="auto"/>
          <w:szCs w:val="21"/>
          <w:highlight w:val="none"/>
        </w:rPr>
        <w:t>16、要求对分个保洁点位进行保洁后签名，保洁经理有巡视签名，对于打蜡、地面保养、外立面清洗、空调出风口清洗等需科主任（护士长）或医院后勤负责人签名。</w:t>
      </w:r>
    </w:p>
    <w:p>
      <w:pPr>
        <w:spacing w:line="276" w:lineRule="auto"/>
        <w:rPr>
          <w:rFonts w:ascii="宋体" w:hAnsi="宋体"/>
          <w:color w:val="auto"/>
          <w:szCs w:val="21"/>
          <w:highlight w:val="none"/>
        </w:rPr>
      </w:pPr>
      <w:r>
        <w:rPr>
          <w:rFonts w:hint="eastAsia" w:ascii="宋体" w:hAnsi="宋体"/>
          <w:color w:val="auto"/>
          <w:szCs w:val="21"/>
          <w:highlight w:val="none"/>
        </w:rPr>
        <w:t>17，要求在非工作时间内要求每个保洁区域有专人负责巡检；出现在地面上的垃圾需在15分钟内清理到垃圾桶内（包括工作时间和非工作时间）。（如有违反按每次20元扣罚）</w:t>
      </w:r>
    </w:p>
    <w:p>
      <w:pPr>
        <w:spacing w:line="276" w:lineRule="auto"/>
        <w:rPr>
          <w:rFonts w:ascii="宋体" w:hAnsi="宋体"/>
          <w:color w:val="auto"/>
          <w:szCs w:val="21"/>
          <w:highlight w:val="none"/>
        </w:rPr>
      </w:pPr>
      <w:r>
        <w:rPr>
          <w:rFonts w:hint="eastAsia" w:ascii="宋体" w:hAnsi="宋体"/>
          <w:color w:val="auto"/>
          <w:szCs w:val="21"/>
          <w:highlight w:val="none"/>
        </w:rPr>
        <w:t>18、负责对院内的所有下水道疏通。</w:t>
      </w:r>
    </w:p>
    <w:p>
      <w:pPr>
        <w:spacing w:line="276" w:lineRule="auto"/>
        <w:rPr>
          <w:rFonts w:ascii="宋体" w:hAnsi="宋体"/>
          <w:color w:val="auto"/>
          <w:szCs w:val="21"/>
          <w:highlight w:val="none"/>
        </w:rPr>
      </w:pPr>
      <w:r>
        <w:rPr>
          <w:rFonts w:hint="eastAsia" w:ascii="宋体" w:hAnsi="宋体"/>
          <w:color w:val="auto"/>
          <w:szCs w:val="21"/>
          <w:highlight w:val="none"/>
        </w:rPr>
        <w:t>19、各公共场所和病区公用污物房的垃圾桶存放处，需提供不可回收垃圾和可回收垃圾的一对垃圾筒。</w:t>
      </w:r>
    </w:p>
    <w:p>
      <w:pPr>
        <w:spacing w:line="276" w:lineRule="auto"/>
        <w:rPr>
          <w:rFonts w:ascii="宋体" w:hAnsi="宋体"/>
          <w:color w:val="auto"/>
          <w:szCs w:val="21"/>
          <w:highlight w:val="none"/>
        </w:rPr>
      </w:pPr>
      <w:r>
        <w:rPr>
          <w:rFonts w:hint="eastAsia" w:ascii="宋体" w:hAnsi="宋体"/>
          <w:color w:val="auto"/>
          <w:szCs w:val="21"/>
          <w:highlight w:val="none"/>
        </w:rPr>
        <w:t>20、保洁工具需及时归位到保洁车上，保洁车在保洁完成时及时归位。（如有违反按每次50元扣罚）</w:t>
      </w:r>
    </w:p>
    <w:p>
      <w:pPr>
        <w:spacing w:line="276" w:lineRule="auto"/>
        <w:rPr>
          <w:rFonts w:ascii="宋体" w:hAnsi="宋体"/>
          <w:color w:val="auto"/>
          <w:szCs w:val="21"/>
          <w:highlight w:val="none"/>
        </w:rPr>
      </w:pPr>
      <w:r>
        <w:rPr>
          <w:rFonts w:hint="eastAsia" w:ascii="宋体" w:hAnsi="宋体"/>
          <w:color w:val="auto"/>
          <w:szCs w:val="21"/>
          <w:highlight w:val="none"/>
        </w:rPr>
        <w:t>21、保洁工作人员及需遵守本院的相关规章制度，不得与病人和医生发生冲突，一旦发生甲方有权扣发当月该保洁人负责区域的保洁费用并要求开除该工作人员不得重新在本院入职或按每次200元扣罚。对由于冲突而引起的刑事或民事纠纷由中标公司负责解决（包括经济赔偿）。在纠纷未解决期间医院每月付月保洁费用的80%，待所有纠纷解决完成后付所扣部份并按每次2000元扣罚。</w:t>
      </w:r>
    </w:p>
    <w:p>
      <w:pPr>
        <w:spacing w:line="276" w:lineRule="auto"/>
        <w:rPr>
          <w:rFonts w:ascii="宋体" w:hAnsi="宋体"/>
          <w:color w:val="auto"/>
          <w:szCs w:val="21"/>
          <w:highlight w:val="none"/>
        </w:rPr>
      </w:pPr>
      <w:r>
        <w:rPr>
          <w:rFonts w:hint="eastAsia" w:ascii="宋体" w:hAnsi="宋体"/>
          <w:color w:val="auto"/>
          <w:szCs w:val="21"/>
          <w:highlight w:val="none"/>
        </w:rPr>
        <w:t>22、乙方每月应上报工作月报及下月计划。（如有违反按每次200元扣罚）</w:t>
      </w:r>
    </w:p>
    <w:p>
      <w:pPr>
        <w:spacing w:line="276" w:lineRule="auto"/>
        <w:rPr>
          <w:rFonts w:ascii="宋体" w:hAnsi="宋体"/>
          <w:color w:val="auto"/>
          <w:szCs w:val="21"/>
          <w:highlight w:val="none"/>
        </w:rPr>
      </w:pPr>
      <w:r>
        <w:rPr>
          <w:rFonts w:hint="eastAsia" w:ascii="宋体" w:hAnsi="宋体"/>
          <w:color w:val="auto"/>
          <w:szCs w:val="21"/>
          <w:highlight w:val="none"/>
        </w:rPr>
        <w:t>23、保洁人员上班时间应早于医院上班时间1小时以上，下班应迟于医院下班时间半小时以上，由此产生的费用由中标方自行处理，各保洁人员应在医院上班之前处理好各公共场所和病房的保洁事宜。（如有违反按每次50元扣罚，并在上报当月保洁费用时提供上下班打卡记录）</w:t>
      </w:r>
    </w:p>
    <w:p>
      <w:pPr>
        <w:spacing w:line="276" w:lineRule="auto"/>
        <w:rPr>
          <w:rFonts w:ascii="宋体" w:hAnsi="宋体"/>
          <w:color w:val="auto"/>
          <w:szCs w:val="21"/>
          <w:highlight w:val="none"/>
        </w:rPr>
      </w:pPr>
      <w:r>
        <w:rPr>
          <w:rFonts w:hint="eastAsia" w:ascii="宋体" w:hAnsi="宋体"/>
          <w:color w:val="auto"/>
          <w:szCs w:val="21"/>
          <w:highlight w:val="none"/>
        </w:rPr>
        <w:t>24、对于存在的污渍，当甲方要求清理，乙方以技术原因无法处理时，甲方有权向市场第三方购买保洁，清理完成后产生的费用在乙方当月保洁费中扣回，当月保洁费不够抵扣时向由次月扣，直至完全抵扣。</w:t>
      </w:r>
    </w:p>
    <w:p>
      <w:pPr>
        <w:spacing w:line="276" w:lineRule="auto"/>
        <w:rPr>
          <w:rFonts w:ascii="宋体" w:hAnsi="宋体"/>
          <w:color w:val="auto"/>
          <w:szCs w:val="21"/>
          <w:highlight w:val="none"/>
        </w:rPr>
      </w:pPr>
      <w:r>
        <w:rPr>
          <w:rFonts w:hint="eastAsia" w:ascii="宋体" w:hAnsi="宋体"/>
          <w:color w:val="auto"/>
          <w:szCs w:val="21"/>
          <w:highlight w:val="none"/>
        </w:rPr>
        <w:t>25、保洁人员请假后由公司调度人员顶班，不得由机动人员及本院现有人员顶班。不得由一人担任多个保洁分区的工作。（如有违反按扣发该工作岗位保洁费用）</w:t>
      </w:r>
    </w:p>
    <w:p>
      <w:pPr>
        <w:spacing w:line="276" w:lineRule="auto"/>
        <w:rPr>
          <w:rFonts w:ascii="宋体" w:hAnsi="宋体"/>
          <w:color w:val="auto"/>
          <w:szCs w:val="21"/>
          <w:highlight w:val="none"/>
        </w:rPr>
      </w:pPr>
      <w:r>
        <w:rPr>
          <w:rFonts w:hint="eastAsia" w:ascii="宋体" w:hAnsi="宋体"/>
          <w:color w:val="auto"/>
          <w:szCs w:val="21"/>
          <w:highlight w:val="none"/>
        </w:rPr>
        <w:t>26、在处理公共行政事件检查时，乙方必须无条件支持，对于由保洁问题而引起的重大扣分按按1分1000元直接从当月保洁费中扣除,如引起共公事件的按有关法规定要求保洁公司承担责任。</w:t>
      </w:r>
    </w:p>
    <w:p>
      <w:pPr>
        <w:spacing w:line="276" w:lineRule="auto"/>
        <w:rPr>
          <w:rFonts w:ascii="宋体" w:hAnsi="宋体"/>
          <w:color w:val="auto"/>
          <w:szCs w:val="21"/>
          <w:highlight w:val="none"/>
        </w:rPr>
      </w:pPr>
      <w:r>
        <w:rPr>
          <w:rFonts w:hint="eastAsia" w:ascii="宋体" w:hAnsi="宋体"/>
          <w:color w:val="auto"/>
          <w:szCs w:val="21"/>
          <w:highlight w:val="none"/>
        </w:rPr>
        <w:t>27、如遇创建文明城市、卫生城市检查时如因保洁问题而扣分，按1分1000元直接从当月保洁费中扣除。</w:t>
      </w:r>
    </w:p>
    <w:p>
      <w:pPr>
        <w:spacing w:line="276" w:lineRule="auto"/>
        <w:rPr>
          <w:rFonts w:ascii="宋体" w:hAnsi="宋体"/>
          <w:color w:val="auto"/>
          <w:szCs w:val="21"/>
          <w:highlight w:val="none"/>
        </w:rPr>
      </w:pPr>
      <w:r>
        <w:rPr>
          <w:rFonts w:hint="eastAsia" w:ascii="宋体" w:hAnsi="宋体"/>
          <w:color w:val="auto"/>
          <w:szCs w:val="21"/>
          <w:highlight w:val="none"/>
        </w:rPr>
        <w:t>28、员工轮休（包括值班补休）由中标方自行按排，甲方不承担轮休保障，轮休期间在院总员工人数不得少于中标人数。（如有违反扣除不足人工作人员保洁费用）</w:t>
      </w:r>
    </w:p>
    <w:p>
      <w:pPr>
        <w:spacing w:line="276" w:lineRule="auto"/>
        <w:rPr>
          <w:rFonts w:ascii="宋体" w:hAnsi="宋体"/>
          <w:color w:val="auto"/>
          <w:szCs w:val="21"/>
          <w:highlight w:val="none"/>
        </w:rPr>
      </w:pPr>
      <w:r>
        <w:rPr>
          <w:rFonts w:hint="eastAsia" w:ascii="宋体" w:hAnsi="宋体"/>
          <w:color w:val="auto"/>
          <w:szCs w:val="21"/>
          <w:highlight w:val="none"/>
        </w:rPr>
        <w:t>29、中标方更换员工时应提前7个工作日通知该科室护士长或科主任和医院负责人，新上岗人员需在工作科室培训跟班7天以上由该区域医院科主任或护士长签名确认可上岗证明后才能正式入职开始计保洁费用（跟班其间甲方不负责该人员工资及其他费用）；当甲方对保洁人员不满要求换时，当更换通知下达乙方后15天内必须处理完毕，违期不处理，甲方停发当月该区域保洁费用。（15天包含新员工的培训期）</w:t>
      </w:r>
    </w:p>
    <w:p>
      <w:pPr>
        <w:spacing w:line="276" w:lineRule="auto"/>
        <w:rPr>
          <w:rFonts w:ascii="宋体" w:hAnsi="宋体"/>
          <w:color w:val="auto"/>
          <w:szCs w:val="21"/>
          <w:highlight w:val="none"/>
        </w:rPr>
      </w:pPr>
      <w:r>
        <w:rPr>
          <w:rFonts w:hint="eastAsia" w:ascii="宋体" w:hAnsi="宋体"/>
          <w:color w:val="auto"/>
          <w:szCs w:val="21"/>
          <w:highlight w:val="none"/>
        </w:rPr>
        <w:t>30、因乙方无正当理由导致对员工工资拖欠，甲方有权从乙方保洁费用中直接支付工资给保洁人员。</w:t>
      </w:r>
    </w:p>
    <w:p>
      <w:pPr>
        <w:spacing w:line="276" w:lineRule="auto"/>
        <w:rPr>
          <w:rFonts w:ascii="宋体" w:hAnsi="宋体"/>
          <w:color w:val="auto"/>
          <w:szCs w:val="21"/>
          <w:highlight w:val="none"/>
        </w:rPr>
      </w:pPr>
      <w:r>
        <w:rPr>
          <w:rFonts w:hint="eastAsia" w:ascii="宋体" w:hAnsi="宋体"/>
          <w:color w:val="auto"/>
          <w:szCs w:val="21"/>
          <w:highlight w:val="none"/>
        </w:rPr>
        <w:t>31、甲方因业务需求可调整保洁工作内容及范围，因而产生之增减额，按实际发生名额计价。</w:t>
      </w:r>
      <w:r>
        <w:rPr>
          <w:rFonts w:hint="eastAsia" w:ascii="宋体" w:hAnsi="宋体"/>
          <w:b/>
          <w:bCs/>
          <w:color w:val="auto"/>
          <w:szCs w:val="21"/>
          <w:highlight w:val="none"/>
          <w:u w:val="single"/>
        </w:rPr>
        <w:t>（在原投标保洁区域范围内增加人员的价格按仅增加人员的投标单价执行）</w:t>
      </w:r>
    </w:p>
    <w:p>
      <w:pPr>
        <w:spacing w:line="276" w:lineRule="auto"/>
        <w:rPr>
          <w:rFonts w:ascii="宋体" w:hAnsi="宋体"/>
          <w:color w:val="auto"/>
          <w:szCs w:val="21"/>
          <w:highlight w:val="none"/>
        </w:rPr>
      </w:pPr>
      <w:r>
        <w:rPr>
          <w:rFonts w:hint="eastAsia" w:ascii="宋体" w:hAnsi="宋体"/>
          <w:color w:val="auto"/>
          <w:szCs w:val="21"/>
          <w:highlight w:val="none"/>
        </w:rPr>
        <w:t>32、pvc地板蜡品牌要求是3M。其他工具及材料费用需在投标时注明。（如有违反扣发当次打蜡费用）</w:t>
      </w:r>
    </w:p>
    <w:p>
      <w:pPr>
        <w:spacing w:line="276" w:lineRule="auto"/>
        <w:rPr>
          <w:rFonts w:ascii="宋体" w:hAnsi="宋体"/>
          <w:color w:val="auto"/>
          <w:szCs w:val="21"/>
          <w:highlight w:val="none"/>
        </w:rPr>
      </w:pPr>
      <w:r>
        <w:rPr>
          <w:rFonts w:hint="eastAsia" w:ascii="宋体" w:hAnsi="宋体"/>
          <w:color w:val="auto"/>
          <w:szCs w:val="21"/>
          <w:highlight w:val="none"/>
        </w:rPr>
        <w:t>33、乙方在签协议生效后一个月内对医院所有公共区域pvc地板打蜡清理完成，三个月内完成所有区域pvc地板打蜡清理。（</w:t>
      </w:r>
      <w:r>
        <w:rPr>
          <w:rFonts w:ascii="宋体" w:hAnsi="宋体"/>
          <w:color w:val="auto"/>
          <w:szCs w:val="21"/>
          <w:highlight w:val="none"/>
        </w:rPr>
        <w:t>P</w:t>
      </w:r>
      <w:r>
        <w:rPr>
          <w:rFonts w:hint="eastAsia" w:ascii="宋体" w:hAnsi="宋体"/>
          <w:color w:val="auto"/>
          <w:szCs w:val="21"/>
          <w:highlight w:val="none"/>
        </w:rPr>
        <w:t>vc地板打蜡前必须清理地面上所有污渍）</w:t>
      </w:r>
    </w:p>
    <w:p>
      <w:pPr>
        <w:spacing w:line="276" w:lineRule="auto"/>
        <w:rPr>
          <w:rFonts w:ascii="宋体" w:hAnsi="宋体"/>
          <w:color w:val="auto"/>
          <w:szCs w:val="21"/>
          <w:highlight w:val="none"/>
        </w:rPr>
      </w:pPr>
      <w:r>
        <w:rPr>
          <w:rFonts w:hint="eastAsia" w:ascii="宋体" w:hAnsi="宋体"/>
          <w:color w:val="auto"/>
          <w:szCs w:val="21"/>
          <w:highlight w:val="none"/>
        </w:rPr>
        <w:t>34、本院值夜班人数不的少于4人（包含运送工作，不包括值班经理）。（120及门诊1人，病房1人，手术室1人、ICU病区1人）</w:t>
      </w:r>
    </w:p>
    <w:p>
      <w:pPr>
        <w:spacing w:line="276" w:lineRule="auto"/>
        <w:rPr>
          <w:rFonts w:ascii="宋体" w:hAnsi="宋体"/>
          <w:color w:val="auto"/>
          <w:szCs w:val="21"/>
          <w:highlight w:val="none"/>
        </w:rPr>
      </w:pPr>
      <w:r>
        <w:rPr>
          <w:rFonts w:hint="eastAsia" w:ascii="宋体" w:hAnsi="宋体"/>
          <w:color w:val="auto"/>
          <w:szCs w:val="21"/>
          <w:highlight w:val="none"/>
        </w:rPr>
        <w:t>35、及时处理救护车内血渍及其他垃圾等</w:t>
      </w:r>
    </w:p>
    <w:p>
      <w:pPr>
        <w:spacing w:line="276" w:lineRule="auto"/>
        <w:rPr>
          <w:rFonts w:ascii="宋体" w:hAnsi="宋体"/>
          <w:color w:val="auto"/>
          <w:szCs w:val="21"/>
          <w:highlight w:val="none"/>
        </w:rPr>
      </w:pPr>
      <w:r>
        <w:rPr>
          <w:rFonts w:hint="eastAsia" w:ascii="宋体" w:hAnsi="宋体"/>
          <w:color w:val="auto"/>
          <w:szCs w:val="21"/>
          <w:highlight w:val="none"/>
        </w:rPr>
        <w:t>36、未按一床一桌一巾处理的，按每次20元处罚</w:t>
      </w:r>
    </w:p>
    <w:p>
      <w:pPr>
        <w:spacing w:line="276" w:lineRule="auto"/>
        <w:rPr>
          <w:rFonts w:ascii="宋体" w:hAnsi="宋体"/>
          <w:color w:val="auto"/>
          <w:szCs w:val="21"/>
          <w:highlight w:val="none"/>
        </w:rPr>
      </w:pPr>
      <w:r>
        <w:rPr>
          <w:rFonts w:hint="eastAsia" w:ascii="宋体" w:hAnsi="宋体"/>
          <w:color w:val="auto"/>
          <w:szCs w:val="21"/>
          <w:highlight w:val="none"/>
        </w:rPr>
        <w:t>37、未处理好终未消毒或终未消毒处理不彻底的，按每次100元处罚。</w:t>
      </w:r>
    </w:p>
    <w:p>
      <w:pPr>
        <w:spacing w:line="276" w:lineRule="auto"/>
        <w:rPr>
          <w:rFonts w:ascii="宋体" w:hAnsi="宋体" w:cs="Arial"/>
          <w:bCs/>
          <w:color w:val="auto"/>
          <w:szCs w:val="21"/>
          <w:highlight w:val="none"/>
        </w:rPr>
      </w:pPr>
      <w:r>
        <w:rPr>
          <w:rFonts w:hint="eastAsia" w:ascii="宋体" w:hAnsi="宋体"/>
          <w:color w:val="auto"/>
          <w:szCs w:val="21"/>
          <w:highlight w:val="none"/>
        </w:rPr>
        <w:t>38、示按</w:t>
      </w:r>
      <w:r>
        <w:rPr>
          <w:rFonts w:hint="eastAsia" w:ascii="宋体" w:hAnsi="宋体" w:cs="Arial"/>
          <w:bCs/>
          <w:color w:val="auto"/>
          <w:szCs w:val="21"/>
          <w:highlight w:val="none"/>
        </w:rPr>
        <w:t>【2016医疗机构环境表面清洁与消毒管理规范】【医疗机构消毒技术规范WS_T367(2012)】规范操作的，按每条50元扣罚。</w:t>
      </w:r>
    </w:p>
    <w:p>
      <w:pPr>
        <w:spacing w:line="276" w:lineRule="auto"/>
        <w:rPr>
          <w:rFonts w:ascii="宋体" w:hAnsi="宋体" w:cs="Arial"/>
          <w:bCs/>
          <w:color w:val="auto"/>
          <w:szCs w:val="21"/>
          <w:highlight w:val="none"/>
        </w:rPr>
      </w:pPr>
      <w:r>
        <w:rPr>
          <w:rFonts w:hint="eastAsia" w:ascii="宋体" w:hAnsi="宋体" w:cs="Arial"/>
          <w:bCs/>
          <w:color w:val="auto"/>
          <w:szCs w:val="21"/>
          <w:highlight w:val="none"/>
        </w:rPr>
        <w:t>39、保洁操作未配、用保洁车的按每次50元处罚。</w:t>
      </w:r>
    </w:p>
    <w:p>
      <w:pPr>
        <w:spacing w:line="276" w:lineRule="auto"/>
        <w:rPr>
          <w:rFonts w:ascii="宋体" w:hAnsi="宋体" w:cs="Arial"/>
          <w:bCs/>
          <w:color w:val="auto"/>
          <w:szCs w:val="21"/>
          <w:highlight w:val="none"/>
        </w:rPr>
      </w:pPr>
      <w:r>
        <w:rPr>
          <w:rFonts w:hint="eastAsia" w:ascii="宋体" w:hAnsi="宋体" w:cs="Arial"/>
          <w:bCs/>
          <w:color w:val="auto"/>
          <w:szCs w:val="21"/>
          <w:highlight w:val="none"/>
        </w:rPr>
        <w:t>40、地面未按消毒要求用消毒液分拖把湿拖每次安50元处罚。</w:t>
      </w:r>
    </w:p>
    <w:p>
      <w:pPr>
        <w:spacing w:line="276" w:lineRule="auto"/>
        <w:rPr>
          <w:rFonts w:ascii="宋体" w:hAnsi="宋体"/>
          <w:color w:val="auto"/>
          <w:szCs w:val="21"/>
          <w:highlight w:val="none"/>
        </w:rPr>
      </w:pPr>
      <w:r>
        <w:rPr>
          <w:rFonts w:hint="eastAsia" w:ascii="宋体" w:hAnsi="宋体" w:cs="Arial"/>
          <w:bCs/>
          <w:color w:val="auto"/>
          <w:szCs w:val="21"/>
          <w:highlight w:val="none"/>
        </w:rPr>
        <w:t>41、每个病区最多只能存放一只大号转运拉圾桶，并按要求放置于固定位置。</w:t>
      </w:r>
      <w:r>
        <w:rPr>
          <w:rFonts w:hint="eastAsia" w:ascii="宋体" w:hAnsi="宋体"/>
          <w:color w:val="auto"/>
          <w:szCs w:val="21"/>
          <w:highlight w:val="none"/>
        </w:rPr>
        <w:t>（如有违反按每次50元扣罚）</w:t>
      </w:r>
    </w:p>
    <w:p>
      <w:pPr>
        <w:spacing w:line="276" w:lineRule="auto"/>
        <w:rPr>
          <w:rFonts w:ascii="宋体" w:hAnsi="宋体"/>
          <w:color w:val="auto"/>
          <w:szCs w:val="21"/>
          <w:highlight w:val="none"/>
        </w:rPr>
      </w:pPr>
      <w:r>
        <w:rPr>
          <w:rFonts w:hint="eastAsia" w:ascii="宋体" w:hAnsi="宋体"/>
          <w:color w:val="auto"/>
          <w:szCs w:val="21"/>
          <w:highlight w:val="none"/>
        </w:rPr>
        <w:t>42、保洁房摆放不整齐按20元每次扣罚。</w:t>
      </w:r>
    </w:p>
    <w:p>
      <w:pPr>
        <w:spacing w:line="276" w:lineRule="auto"/>
        <w:rPr>
          <w:rFonts w:ascii="宋体" w:hAnsi="宋体"/>
          <w:color w:val="auto"/>
          <w:szCs w:val="21"/>
          <w:highlight w:val="none"/>
        </w:rPr>
      </w:pPr>
      <w:r>
        <w:rPr>
          <w:rFonts w:hint="eastAsia" w:ascii="宋体" w:hAnsi="宋体"/>
          <w:color w:val="auto"/>
          <w:szCs w:val="21"/>
          <w:highlight w:val="none"/>
        </w:rPr>
        <w:t>43、不得在医院内收集纸板、空瓶、骨科医疗废品等废弃物品，不得外带医院物品。（如有违反按每次50元扣罚，外带物品严重的报警处理）</w:t>
      </w:r>
    </w:p>
    <w:p>
      <w:pPr>
        <w:spacing w:line="276" w:lineRule="auto"/>
        <w:rPr>
          <w:rFonts w:ascii="宋体" w:hAnsi="宋体"/>
          <w:color w:val="auto"/>
          <w:szCs w:val="21"/>
          <w:highlight w:val="none"/>
        </w:rPr>
      </w:pPr>
      <w:r>
        <w:rPr>
          <w:rFonts w:hint="eastAsia" w:ascii="宋体" w:hAnsi="宋体"/>
          <w:color w:val="auto"/>
          <w:szCs w:val="21"/>
          <w:highlight w:val="none"/>
        </w:rPr>
        <w:t>44、出现偷窃行为，报警处理并扣罚当月该区域保洁费用并按每次200元扣罚。</w:t>
      </w:r>
    </w:p>
    <w:p>
      <w:pPr>
        <w:spacing w:line="276" w:lineRule="auto"/>
        <w:rPr>
          <w:rFonts w:ascii="宋体" w:hAnsi="宋体"/>
          <w:color w:val="auto"/>
          <w:szCs w:val="21"/>
          <w:highlight w:val="none"/>
        </w:rPr>
      </w:pPr>
      <w:r>
        <w:rPr>
          <w:rFonts w:hint="eastAsia" w:ascii="宋体" w:hAnsi="宋体"/>
          <w:color w:val="auto"/>
          <w:szCs w:val="21"/>
          <w:highlight w:val="none"/>
        </w:rPr>
        <w:t>45、垃圾运送车或箱、桶未按规定路线运送每次扣20元。</w:t>
      </w:r>
    </w:p>
    <w:p>
      <w:pPr>
        <w:pStyle w:val="2"/>
        <w:rPr>
          <w:color w:val="auto"/>
          <w:highlight w:val="none"/>
        </w:rPr>
      </w:pPr>
      <w:r>
        <w:rPr>
          <w:rFonts w:hint="eastAsia"/>
          <w:color w:val="auto"/>
          <w:highlight w:val="none"/>
        </w:rPr>
        <w:t>46、pvc地板蜡面应保持其完整性，如蜡面有</w:t>
      </w:r>
      <w:r>
        <w:rPr>
          <w:rFonts w:ascii="Arial" w:hAnsi="Arial" w:cs="Arial"/>
          <w:color w:val="auto"/>
          <w:highlight w:val="none"/>
          <w:shd w:val="clear" w:color="auto" w:fill="FFFFFF"/>
        </w:rPr>
        <w:t>脱蜡、脱胶，退色和翅曲变形</w:t>
      </w:r>
      <w:r>
        <w:rPr>
          <w:rFonts w:hint="eastAsia"/>
          <w:color w:val="auto"/>
          <w:highlight w:val="none"/>
        </w:rPr>
        <w:t>现象应及时补蜡。在两次全面打蜡中间必需严格按要求保养打蜡，保持蜡面干净、完整。</w:t>
      </w:r>
    </w:p>
    <w:p>
      <w:pPr>
        <w:pStyle w:val="2"/>
        <w:rPr>
          <w:color w:val="auto"/>
          <w:highlight w:val="none"/>
        </w:rPr>
      </w:pPr>
      <w:r>
        <w:rPr>
          <w:rFonts w:hint="eastAsia"/>
          <w:color w:val="auto"/>
          <w:highlight w:val="none"/>
        </w:rPr>
        <w:t>47、不得在医院内（围墙内）抽烟。（违者每次扣罚50元）</w:t>
      </w:r>
    </w:p>
    <w:p>
      <w:pPr>
        <w:pStyle w:val="3"/>
        <w:ind w:firstLine="0" w:firstLineChars="0"/>
        <w:rPr>
          <w:color w:val="auto"/>
          <w:highlight w:val="none"/>
        </w:rPr>
      </w:pPr>
      <w:r>
        <w:rPr>
          <w:rFonts w:hint="eastAsia"/>
          <w:color w:val="auto"/>
          <w:highlight w:val="none"/>
        </w:rPr>
        <w:t>48、未实现</w:t>
      </w:r>
      <w:r>
        <w:rPr>
          <w:rFonts w:hint="eastAsia" w:ascii="宋体" w:hAnsi="宋体" w:cs="Arial"/>
          <w:bCs/>
          <w:color w:val="auto"/>
          <w:szCs w:val="21"/>
          <w:highlight w:val="none"/>
          <w:shd w:val="pct10" w:color="auto" w:fill="FFFFFF"/>
        </w:rPr>
        <w:t>对全院所用的拖布、毛巾统一集中一处消毒清洗配送，实现统一管理扣5000元/月。</w:t>
      </w:r>
    </w:p>
    <w:p>
      <w:pPr>
        <w:spacing w:line="276" w:lineRule="auto"/>
        <w:rPr>
          <w:rFonts w:ascii="宋体" w:hAnsi="宋体"/>
          <w:color w:val="auto"/>
          <w:szCs w:val="21"/>
          <w:highlight w:val="none"/>
        </w:rPr>
      </w:pPr>
      <w:r>
        <w:rPr>
          <w:rFonts w:hint="eastAsia" w:ascii="宋体" w:hAnsi="宋体"/>
          <w:color w:val="auto"/>
          <w:szCs w:val="21"/>
          <w:highlight w:val="none"/>
        </w:rPr>
        <w:t>49、上班期间，在院内（围墙内）未佩戴或不规范佩戴口罩，每次扣20元</w:t>
      </w:r>
    </w:p>
    <w:p>
      <w:pPr>
        <w:spacing w:line="276" w:lineRule="auto"/>
        <w:rPr>
          <w:rFonts w:ascii="宋体" w:hAnsi="宋体"/>
          <w:color w:val="auto"/>
          <w:szCs w:val="21"/>
          <w:highlight w:val="none"/>
        </w:rPr>
      </w:pPr>
      <w:r>
        <w:rPr>
          <w:rFonts w:hint="eastAsia" w:ascii="宋体" w:hAnsi="宋体"/>
          <w:color w:val="auto"/>
          <w:szCs w:val="21"/>
          <w:highlight w:val="none"/>
        </w:rPr>
        <w:t>50、未尽事宜双方经协商后解决。</w:t>
      </w:r>
    </w:p>
    <w:p>
      <w:pPr>
        <w:spacing w:line="276" w:lineRule="auto"/>
        <w:rPr>
          <w:rFonts w:ascii="宋体" w:hAnsi="宋体"/>
          <w:color w:val="auto"/>
          <w:szCs w:val="21"/>
          <w:highlight w:val="none"/>
        </w:rPr>
      </w:pPr>
    </w:p>
    <w:p>
      <w:pPr>
        <w:spacing w:line="276" w:lineRule="auto"/>
        <w:rPr>
          <w:rFonts w:ascii="宋体" w:hAnsi="宋体"/>
          <w:color w:val="auto"/>
          <w:szCs w:val="21"/>
          <w:highlight w:val="none"/>
        </w:rPr>
      </w:pPr>
      <w:r>
        <w:rPr>
          <w:rFonts w:hint="eastAsia" w:ascii="宋体" w:hAnsi="宋体"/>
          <w:b/>
          <w:bCs/>
          <w:color w:val="auto"/>
          <w:szCs w:val="21"/>
          <w:highlight w:val="none"/>
        </w:rPr>
        <w:t>六、</w:t>
      </w:r>
      <w:r>
        <w:rPr>
          <w:rFonts w:ascii="宋体" w:hAnsi="宋体"/>
          <w:b/>
          <w:bCs/>
          <w:color w:val="auto"/>
          <w:szCs w:val="21"/>
          <w:highlight w:val="none"/>
        </w:rPr>
        <w:t>服务公司要求</w:t>
      </w:r>
      <w:r>
        <w:rPr>
          <w:rFonts w:ascii="宋体" w:hAnsi="宋体"/>
          <w:color w:val="auto"/>
          <w:szCs w:val="21"/>
          <w:highlight w:val="none"/>
        </w:rPr>
        <w:t>：</w:t>
      </w:r>
    </w:p>
    <w:p>
      <w:pPr>
        <w:spacing w:line="276"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投标人的现行营运状况要求：具有科学合理的组织架构，严格的管理细则和岗位责任制度。具有提供完善的后勤管理和保障服务的能力，并具有一定的企业规模。</w:t>
      </w:r>
    </w:p>
    <w:p>
      <w:pPr>
        <w:spacing w:line="276" w:lineRule="auto"/>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投标人应针对本次招标项目特点编写公司中标后拟采取的管理方案、验收标准。包括组织计划、人员安排、时间安排、设备工具的安排等，遇重大、紧急事项的应急措施等。</w:t>
      </w:r>
    </w:p>
    <w:p>
      <w:pPr>
        <w:spacing w:line="276" w:lineRule="auto"/>
        <w:rPr>
          <w:rFonts w:ascii="宋体" w:hAnsi="宋体"/>
          <w:color w:val="auto"/>
          <w:szCs w:val="21"/>
          <w:highlight w:val="none"/>
        </w:rPr>
      </w:pPr>
      <w:r>
        <w:rPr>
          <w:rFonts w:ascii="宋体" w:hAnsi="宋体"/>
          <w:color w:val="auto"/>
          <w:szCs w:val="21"/>
          <w:highlight w:val="none"/>
        </w:rPr>
        <w:t>管理方案的内容要求具体如下：</w:t>
      </w:r>
    </w:p>
    <w:p>
      <w:pPr>
        <w:spacing w:line="276" w:lineRule="auto"/>
        <w:rPr>
          <w:rFonts w:ascii="宋体" w:hAnsi="宋体"/>
          <w:color w:val="auto"/>
          <w:szCs w:val="21"/>
          <w:highlight w:val="none"/>
        </w:rPr>
      </w:pPr>
      <w:r>
        <w:rPr>
          <w:rFonts w:ascii="宋体" w:hAnsi="宋体"/>
          <w:color w:val="auto"/>
          <w:szCs w:val="21"/>
          <w:highlight w:val="none"/>
        </w:rPr>
        <w:t>（1）拟采取的管理及服务方式。包括：组织架构、机构设置、信息反馈渠道等；</w:t>
      </w:r>
    </w:p>
    <w:p>
      <w:pPr>
        <w:spacing w:line="276" w:lineRule="auto"/>
        <w:rPr>
          <w:rFonts w:ascii="宋体" w:hAnsi="宋体"/>
          <w:color w:val="auto"/>
          <w:szCs w:val="21"/>
          <w:highlight w:val="none"/>
        </w:rPr>
      </w:pPr>
      <w:r>
        <w:rPr>
          <w:rFonts w:ascii="宋体" w:hAnsi="宋体"/>
          <w:color w:val="auto"/>
          <w:szCs w:val="21"/>
          <w:highlight w:val="none"/>
        </w:rPr>
        <w:t>（2）各项后勤支持管理服务具体方案设计。包括：环境保洁、运送等；</w:t>
      </w:r>
    </w:p>
    <w:p>
      <w:pPr>
        <w:spacing w:line="276" w:lineRule="auto"/>
        <w:rPr>
          <w:rFonts w:ascii="宋体" w:hAnsi="宋体"/>
          <w:color w:val="auto"/>
          <w:szCs w:val="21"/>
          <w:highlight w:val="none"/>
        </w:rPr>
      </w:pPr>
      <w:r>
        <w:rPr>
          <w:rFonts w:ascii="宋体" w:hAnsi="宋体"/>
          <w:color w:val="auto"/>
          <w:szCs w:val="21"/>
          <w:highlight w:val="none"/>
        </w:rPr>
        <w:t>（3）提供详细的室内地面保养方式、程序、各程序使用养护剂品牌；</w:t>
      </w:r>
    </w:p>
    <w:p>
      <w:pPr>
        <w:spacing w:line="276" w:lineRule="auto"/>
        <w:rPr>
          <w:rFonts w:ascii="宋体" w:hAnsi="宋体"/>
          <w:color w:val="auto"/>
          <w:szCs w:val="21"/>
          <w:highlight w:val="none"/>
        </w:rPr>
      </w:pPr>
      <w:r>
        <w:rPr>
          <w:rFonts w:ascii="宋体" w:hAnsi="宋体"/>
          <w:color w:val="auto"/>
          <w:szCs w:val="21"/>
          <w:highlight w:val="none"/>
        </w:rPr>
        <w:t>（4）管理人员配备和其他员工的配备；须明确列出各区域工作人员数量及工作职责；</w:t>
      </w:r>
    </w:p>
    <w:p>
      <w:pPr>
        <w:spacing w:line="276" w:lineRule="auto"/>
        <w:rPr>
          <w:rFonts w:ascii="宋体" w:hAnsi="宋体"/>
          <w:color w:val="auto"/>
          <w:szCs w:val="21"/>
          <w:highlight w:val="none"/>
        </w:rPr>
      </w:pPr>
      <w:r>
        <w:rPr>
          <w:rFonts w:ascii="宋体" w:hAnsi="宋体"/>
          <w:color w:val="auto"/>
          <w:szCs w:val="21"/>
          <w:highlight w:val="none"/>
        </w:rPr>
        <w:t>（5）管理质量和考核计划；</w:t>
      </w:r>
    </w:p>
    <w:p>
      <w:pPr>
        <w:spacing w:line="276" w:lineRule="auto"/>
        <w:rPr>
          <w:rFonts w:ascii="宋体" w:hAnsi="宋体"/>
          <w:color w:val="auto"/>
          <w:szCs w:val="21"/>
          <w:highlight w:val="none"/>
        </w:rPr>
      </w:pPr>
      <w:r>
        <w:rPr>
          <w:rFonts w:ascii="宋体" w:hAnsi="宋体"/>
          <w:color w:val="auto"/>
          <w:szCs w:val="21"/>
          <w:highlight w:val="none"/>
        </w:rPr>
        <w:t>（6）医院物业档案的建立与保存；</w:t>
      </w:r>
    </w:p>
    <w:p>
      <w:pPr>
        <w:spacing w:line="276" w:lineRule="auto"/>
        <w:rPr>
          <w:rFonts w:ascii="宋体" w:hAnsi="宋体"/>
          <w:color w:val="auto"/>
          <w:szCs w:val="21"/>
          <w:highlight w:val="none"/>
        </w:rPr>
      </w:pPr>
      <w:r>
        <w:rPr>
          <w:rFonts w:ascii="宋体" w:hAnsi="宋体"/>
          <w:color w:val="auto"/>
          <w:szCs w:val="21"/>
          <w:highlight w:val="none"/>
        </w:rPr>
        <w:t>（7）合同期内可提供给医院文件资料清单；</w:t>
      </w:r>
    </w:p>
    <w:p>
      <w:pPr>
        <w:spacing w:line="276" w:lineRule="auto"/>
        <w:rPr>
          <w:rFonts w:ascii="宋体" w:hAnsi="宋体"/>
          <w:color w:val="auto"/>
          <w:szCs w:val="21"/>
          <w:highlight w:val="none"/>
        </w:rPr>
      </w:pPr>
      <w:r>
        <w:rPr>
          <w:rFonts w:ascii="宋体" w:hAnsi="宋体"/>
          <w:color w:val="auto"/>
          <w:szCs w:val="21"/>
          <w:highlight w:val="none"/>
        </w:rPr>
        <w:t>（8）合同终止时，保留给院方的资料清单；</w:t>
      </w:r>
    </w:p>
    <w:p>
      <w:pPr>
        <w:spacing w:line="276" w:lineRule="auto"/>
        <w:rPr>
          <w:rFonts w:ascii="宋体" w:hAnsi="宋体"/>
          <w:color w:val="auto"/>
          <w:szCs w:val="21"/>
          <w:highlight w:val="none"/>
        </w:rPr>
      </w:pPr>
      <w:r>
        <w:rPr>
          <w:rFonts w:ascii="宋体" w:hAnsi="宋体"/>
          <w:color w:val="auto"/>
          <w:szCs w:val="21"/>
          <w:highlight w:val="none"/>
        </w:rPr>
        <w:t>（9）合同终止时，各项服务的财产分割方式；</w:t>
      </w:r>
    </w:p>
    <w:p>
      <w:pPr>
        <w:spacing w:line="276" w:lineRule="auto"/>
        <w:rPr>
          <w:rFonts w:ascii="宋体" w:hAnsi="宋体"/>
          <w:color w:val="auto"/>
          <w:szCs w:val="21"/>
          <w:highlight w:val="none"/>
        </w:rPr>
      </w:pPr>
      <w:r>
        <w:rPr>
          <w:rFonts w:ascii="宋体" w:hAnsi="宋体"/>
          <w:color w:val="auto"/>
          <w:szCs w:val="21"/>
          <w:highlight w:val="none"/>
        </w:rPr>
        <w:t>（10）服务公司为医院提供的第一批设备清单（包括：保洁服务设备、办公设备）以及为医院提供使用的清洁剂、消毒剂、地面保养剂的品牌；</w:t>
      </w:r>
    </w:p>
    <w:p>
      <w:pPr>
        <w:pStyle w:val="2"/>
        <w:rPr>
          <w:color w:val="auto"/>
          <w:highlight w:val="none"/>
        </w:rPr>
      </w:pPr>
      <w:r>
        <w:rPr>
          <w:rFonts w:hint="eastAsia"/>
          <w:color w:val="auto"/>
          <w:highlight w:val="none"/>
        </w:rPr>
        <w:t>（11）提供员工工作手册</w:t>
      </w:r>
    </w:p>
    <w:p>
      <w:pPr>
        <w:pStyle w:val="2"/>
        <w:rPr>
          <w:color w:val="auto"/>
          <w:highlight w:val="none"/>
        </w:rPr>
      </w:pPr>
      <w:r>
        <w:rPr>
          <w:rFonts w:hint="eastAsia"/>
          <w:color w:val="auto"/>
          <w:highlight w:val="none"/>
        </w:rPr>
        <w:t>（12）提供员工管理规定及违规扣款标准</w:t>
      </w:r>
    </w:p>
    <w:p>
      <w:pPr>
        <w:spacing w:before="156" w:beforeLines="50" w:after="156" w:afterLines="50" w:line="360" w:lineRule="auto"/>
        <w:rPr>
          <w:rFonts w:ascii="宋体" w:hAnsi="宋体"/>
          <w:b/>
          <w:bCs/>
          <w:color w:val="auto"/>
          <w:szCs w:val="21"/>
          <w:highlight w:val="none"/>
        </w:rPr>
      </w:pPr>
      <w:r>
        <w:rPr>
          <w:rFonts w:hint="eastAsia" w:ascii="宋体" w:hAnsi="宋体"/>
          <w:b/>
          <w:color w:val="auto"/>
          <w:szCs w:val="21"/>
          <w:highlight w:val="none"/>
        </w:rPr>
        <w:t>七、服务期限</w:t>
      </w:r>
      <w:r>
        <w:rPr>
          <w:rFonts w:hint="eastAsia" w:ascii="宋体" w:hAnsi="宋体"/>
          <w:b/>
          <w:bCs/>
          <w:color w:val="auto"/>
          <w:szCs w:val="21"/>
          <w:highlight w:val="none"/>
        </w:rPr>
        <w:t>：</w:t>
      </w:r>
    </w:p>
    <w:p>
      <w:pPr>
        <w:spacing w:before="156" w:beforeLines="50" w:after="156" w:afterLines="50" w:line="360" w:lineRule="auto"/>
        <w:rPr>
          <w:rFonts w:ascii="宋体" w:hAnsi="宋体"/>
          <w:b/>
          <w:color w:val="auto"/>
          <w:szCs w:val="21"/>
          <w:highlight w:val="none"/>
          <w:lang w:val="zh-CN"/>
        </w:rPr>
      </w:pPr>
      <w:r>
        <w:rPr>
          <w:rFonts w:hint="eastAsia" w:ascii="宋体" w:hAnsi="宋体"/>
          <w:color w:val="auto"/>
          <w:szCs w:val="21"/>
          <w:highlight w:val="none"/>
        </w:rPr>
        <w:t>本项目服务期限为三年，如中标人在合同期内服务标准未达到招标人要求或有重大投诉事件发生，招标人有权终止合同，</w:t>
      </w:r>
      <w:r>
        <w:rPr>
          <w:rFonts w:hint="eastAsia" w:ascii="宋体" w:hAnsi="宋体" w:cs="宋体"/>
          <w:color w:val="auto"/>
          <w:kern w:val="0"/>
          <w:szCs w:val="21"/>
          <w:highlight w:val="none"/>
          <w:lang w:val="zh-CN"/>
        </w:rPr>
        <w:t>并由中标人承担由此引起的所有费用包括重新招标的代理费</w:t>
      </w:r>
      <w:r>
        <w:rPr>
          <w:rFonts w:hint="eastAsia" w:ascii="宋体" w:hAnsi="宋体"/>
          <w:color w:val="auto"/>
          <w:szCs w:val="21"/>
          <w:highlight w:val="none"/>
        </w:rPr>
        <w:t>。</w:t>
      </w:r>
      <w:r>
        <w:rPr>
          <w:rFonts w:hint="eastAsia" w:ascii="宋体" w:hAnsi="宋体"/>
          <w:b/>
          <w:color w:val="auto"/>
          <w:szCs w:val="21"/>
          <w:highlight w:val="none"/>
        </w:rPr>
        <w:t>八、</w:t>
      </w:r>
      <w:r>
        <w:rPr>
          <w:rFonts w:hint="eastAsia" w:ascii="宋体" w:hAnsi="宋体"/>
          <w:b/>
          <w:color w:val="auto"/>
          <w:szCs w:val="21"/>
          <w:highlight w:val="none"/>
          <w:lang w:val="zh-CN"/>
        </w:rPr>
        <w:t>考核办法</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为强化管理，确保托管业务规范化运作，确保后勤服务质量不断提升，塑造良好的整体后勤形象，特制定托管业务日常监管考核办法，具体如下：</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rPr>
        <w:t>1、成立考核监督机制：由医院相关职能科室和中标人成立考核小组，每月联合考核一次。</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进行定期和不定期日常工作监管。每周现场检查或到使用、涉及科室了解情况并将检查、了解结果及时反馈</w:t>
      </w:r>
      <w:r>
        <w:rPr>
          <w:rFonts w:hint="eastAsia" w:ascii="宋体" w:hAnsi="宋体" w:cs="宋体"/>
          <w:color w:val="auto"/>
          <w:kern w:val="0"/>
          <w:szCs w:val="21"/>
          <w:highlight w:val="none"/>
        </w:rPr>
        <w:t>中标</w:t>
      </w:r>
      <w:r>
        <w:rPr>
          <w:rFonts w:hint="eastAsia" w:ascii="宋体" w:hAnsi="宋体" w:cs="宋体"/>
          <w:color w:val="auto"/>
          <w:kern w:val="0"/>
          <w:szCs w:val="21"/>
          <w:highlight w:val="none"/>
          <w:lang w:val="zh-CN"/>
        </w:rPr>
        <w:t>单位项目部整改，同时记录备案，作为校验整改和月度考核依据。</w:t>
      </w:r>
    </w:p>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rPr>
        <w:t>3、定期举行</w:t>
      </w:r>
      <w:r>
        <w:rPr>
          <w:rFonts w:hint="eastAsia" w:ascii="宋体" w:hAnsi="宋体" w:cs="宋体"/>
          <w:color w:val="auto"/>
          <w:kern w:val="0"/>
          <w:szCs w:val="21"/>
          <w:highlight w:val="none"/>
          <w:lang w:val="zh-CN"/>
        </w:rPr>
        <w:t>监管责任人会同托管项目管理人员联合检查相关业务开展情况，沟通解决发现的问题和使用科室的意见建议，并将检查情况书面简述列报监管负责人，作为监管负责人掌握动态变化的内容之一。</w:t>
      </w:r>
    </w:p>
    <w:p>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zh-CN"/>
        </w:rPr>
        <w:t>实行每月一次的考核制。考核采用百分制，</w:t>
      </w:r>
      <w:r>
        <w:rPr>
          <w:rFonts w:hint="eastAsia" w:ascii="宋体" w:hAnsi="宋体" w:cs="宋体"/>
          <w:color w:val="auto"/>
          <w:kern w:val="0"/>
          <w:szCs w:val="21"/>
          <w:highlight w:val="none"/>
        </w:rPr>
        <w:t>详见考核细则。考核</w:t>
      </w:r>
      <w:r>
        <w:rPr>
          <w:rFonts w:hint="eastAsia" w:ascii="宋体" w:hAnsi="宋体" w:cs="宋体"/>
          <w:color w:val="auto"/>
          <w:kern w:val="0"/>
          <w:szCs w:val="21"/>
          <w:highlight w:val="none"/>
          <w:lang w:val="zh-CN"/>
        </w:rPr>
        <w:t>低于8</w:t>
      </w: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zh-CN"/>
        </w:rPr>
        <w:t>分予以书面警告一次，全年出现三次警告，</w:t>
      </w:r>
      <w:r>
        <w:rPr>
          <w:rFonts w:hint="eastAsia" w:ascii="宋体" w:hAnsi="宋体" w:cs="宋体"/>
          <w:color w:val="auto"/>
          <w:kern w:val="0"/>
          <w:szCs w:val="21"/>
          <w:highlight w:val="none"/>
        </w:rPr>
        <w:t>甲方可无条件</w:t>
      </w:r>
      <w:r>
        <w:rPr>
          <w:rFonts w:hint="eastAsia" w:ascii="宋体" w:hAnsi="宋体" w:cs="宋体"/>
          <w:color w:val="auto"/>
          <w:kern w:val="0"/>
          <w:szCs w:val="21"/>
          <w:highlight w:val="none"/>
          <w:lang w:val="zh-CN"/>
        </w:rPr>
        <w:t>终止合同</w:t>
      </w:r>
      <w:r>
        <w:rPr>
          <w:rFonts w:hint="eastAsia" w:ascii="宋体" w:hAnsi="宋体" w:cs="宋体"/>
          <w:color w:val="auto"/>
          <w:kern w:val="0"/>
          <w:szCs w:val="21"/>
          <w:highlight w:val="none"/>
        </w:rPr>
        <w:t>重新招标。</w:t>
      </w:r>
    </w:p>
    <w:p>
      <w:pPr>
        <w:snapToGrid w:val="0"/>
        <w:jc w:val="left"/>
        <w:rPr>
          <w:rFonts w:ascii="宋体" w:hAnsi="宋体" w:cs="宋体"/>
          <w:color w:val="auto"/>
          <w:kern w:val="0"/>
          <w:szCs w:val="21"/>
          <w:highlight w:val="none"/>
        </w:rPr>
      </w:pPr>
    </w:p>
    <w:p>
      <w:pPr>
        <w:snapToGrid w:val="0"/>
        <w:jc w:val="center"/>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 xml:space="preserve">             医院</w:t>
      </w:r>
      <w:r>
        <w:rPr>
          <w:rFonts w:ascii="宋体" w:hAnsi="宋体"/>
          <w:b/>
          <w:color w:val="auto"/>
          <w:szCs w:val="21"/>
          <w:highlight w:val="none"/>
          <w:u w:val="single"/>
        </w:rPr>
        <w:t xml:space="preserve">    </w:t>
      </w:r>
      <w:r>
        <w:rPr>
          <w:rFonts w:hint="eastAsia" w:ascii="宋体" w:hAnsi="宋体"/>
          <w:b/>
          <w:color w:val="auto"/>
          <w:szCs w:val="21"/>
          <w:highlight w:val="none"/>
        </w:rPr>
        <w:t>月</w:t>
      </w:r>
      <w:r>
        <w:rPr>
          <w:rFonts w:ascii="宋体" w:hAnsi="宋体"/>
          <w:b/>
          <w:color w:val="auto"/>
          <w:szCs w:val="21"/>
          <w:highlight w:val="none"/>
          <w:u w:val="single"/>
        </w:rPr>
        <w:t xml:space="preserve">     </w:t>
      </w:r>
      <w:r>
        <w:rPr>
          <w:rFonts w:hint="eastAsia" w:ascii="宋体" w:hAnsi="宋体"/>
          <w:b/>
          <w:color w:val="auto"/>
          <w:szCs w:val="21"/>
          <w:highlight w:val="none"/>
        </w:rPr>
        <w:t>（区域）保洁工作质量考核表</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4819"/>
        <w:gridCol w:w="709"/>
        <w:gridCol w:w="326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类别</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考核项目</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分值</w:t>
            </w:r>
          </w:p>
          <w:p>
            <w:pPr>
              <w:jc w:val="center"/>
              <w:rPr>
                <w:rFonts w:ascii="宋体" w:hAnsi="宋体"/>
                <w:b/>
                <w:color w:val="auto"/>
                <w:szCs w:val="21"/>
                <w:highlight w:val="none"/>
              </w:rPr>
            </w:pPr>
            <w:r>
              <w:rPr>
                <w:rFonts w:hint="eastAsia" w:ascii="宋体" w:hAnsi="宋体"/>
                <w:b/>
                <w:color w:val="auto"/>
                <w:szCs w:val="21"/>
                <w:highlight w:val="none"/>
              </w:rPr>
              <w:t>（分）</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质量标准与评分办法</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基本项目</w:t>
            </w:r>
            <w:r>
              <w:rPr>
                <w:rFonts w:ascii="宋体" w:hAnsi="宋体"/>
                <w:color w:val="auto"/>
                <w:szCs w:val="21"/>
                <w:highlight w:val="none"/>
              </w:rPr>
              <w:t>1</w:t>
            </w:r>
            <w:r>
              <w:rPr>
                <w:rFonts w:hint="eastAsia" w:ascii="宋体" w:hAnsi="宋体"/>
                <w:color w:val="auto"/>
                <w:szCs w:val="21"/>
                <w:highlight w:val="none"/>
              </w:rPr>
              <w:t>2分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遵守劳动纪律，按时上下班，不做与工作无关的事，休息及离岗前需与护士长或区域负责人请假并填写离岗登记本</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一次违反扣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工作时间穿着清洁，按规定要求着工作装，佩戴禁烟标识。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一次违反扣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服务认真、热情，不得与患者、家属及工作人员发生争执。</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发生争执一次全扣，并视情节进行处罚。</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不得损坏、私拿公物及他人财物，偷拿医疗废品</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一次违反全扣，并视情节进行处罚。</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公共区域</w:t>
            </w:r>
            <w:r>
              <w:rPr>
                <w:rFonts w:ascii="宋体" w:hAnsi="宋体"/>
                <w:color w:val="auto"/>
                <w:szCs w:val="21"/>
                <w:highlight w:val="none"/>
              </w:rPr>
              <w:t>20</w:t>
            </w:r>
            <w:r>
              <w:rPr>
                <w:rFonts w:hint="eastAsia" w:ascii="宋体" w:hAnsi="宋体"/>
                <w:color w:val="auto"/>
                <w:szCs w:val="21"/>
                <w:highlight w:val="none"/>
              </w:rPr>
              <w:t>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楼梯、中厅、走廊、大理石地面、电梯间地面湿拖、干尘推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无污迹、水迹、口香糖胶迹、烟头纸屑等杂物，发现一处扣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楼梯、大厅、走廊、大理石墙面、柱体、墙裙、地脚线、扶手、栏杆擦洗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无污迹、无积尘、无乱张贴物，发现一处扣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楼梯、大厅、走廊、各风口栅栏、天花吊顶、壁灯、顶灯擦洗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无积尘、无蜘蛛网，发现一处扣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窗户、窗框、窗沟、纱窗、玻璃、窗台清扫擦洗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窗户光亮，窗框、窗沟、纱窗、窗台等无污迹、无积尘、无烟头、烟缸等烟具，发现一处扣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标识、开关、广告箱、指示牌、悬挂牌、各种门牌标志物，灭火器、消防栓、垃圾桶擦洗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无污迹、无积尘、无烟头、清洁光亮，发现一处扣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门诊大厅工作站台，服务台，桌、椅、候诊椅、平车、轮椅擦鞋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电梯墙面、电梯顶棚、电梯灯饰、电梯轿厢、不锈钢壁面及按钮部分擦拭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无污迹、无积尘、无手印、清洁光亮，发现一处扣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大厅植物、花盆擦拭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无污迹、无积尘、植物叶子及花盆关节、发现一处扣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各门厅内外门、各门厅外花岗岩地面、大理石柱体、通道梯口、阶梯擦鞋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无灰渍、无积尘、无口香糖胶迹、烟头、纸屑等杂物，发现一处扣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门旁丛林、绿化地、草坪清理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无烟头纸屑等杂物，发现一处扣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诊室</w:t>
            </w:r>
            <w:r>
              <w:rPr>
                <w:rFonts w:ascii="宋体" w:hAnsi="宋体"/>
                <w:color w:val="auto"/>
                <w:szCs w:val="21"/>
                <w:highlight w:val="none"/>
              </w:rPr>
              <w:t>8</w:t>
            </w:r>
            <w:r>
              <w:rPr>
                <w:rFonts w:hint="eastAsia" w:ascii="宋体" w:hAnsi="宋体"/>
                <w:color w:val="auto"/>
                <w:szCs w:val="21"/>
                <w:highlight w:val="none"/>
              </w:rPr>
              <w:t>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地面、门、墙壁、地脚线擦洗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无污迹、无积尘、清洁光亮，发现一处扣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照明灯具、各种标志牌</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无污迹、无积尘、清洁光亮，发现一处扣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纸篓、面池</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无污迹、无积尘、无烟头、清洁光亮，发现一处扣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窗台、窗户、窗框、窗沟、纱窗、玻璃清扫擦洗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窗户光亮，窗框、窗沟、纱窗、窗台等无污迹、无积尘、发现一处扣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病室28分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病房地面湿拖、干尘推、油推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无污迹、水迹、杂物等、发现一处扣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按消毒标准湿擦墙面、墙角线、开关、暖气机暖气罩等</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无积尘、无污渍，发现一处或一次违反扣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按消毒标准湿擦病床、床头柜、储物柜、设备带及呼叫器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床、床头柜等无尘，“一柜一巾”进行消毒处理，发现一处或一次违反扣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消防栓、灭火器、电视机擦拭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无尘渍发现一处或一次违反扣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病人出院后对病床及床头柜、储物柜进行终末彻底清洁、消毒</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进行终末彻底清洁、消毒，发现一处或一次违反扣</w:t>
            </w:r>
            <w:r>
              <w:rPr>
                <w:rFonts w:ascii="宋体" w:hAnsi="宋体"/>
                <w:color w:val="auto"/>
                <w:szCs w:val="21"/>
                <w:highlight w:val="none"/>
              </w:rPr>
              <w:t>11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窗台、窗户、窗框、窗沟、纱窗擦洗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窗户光亮，窗框、窗沟、纱窗、窗台无污迹、无积尘，发现一处扣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房间外门、门把手擦洗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无污迹、门镜光洁，发现一处扣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卫生间墙面、墙角、地面清洁、卫生间高出角落除尘</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无污渍、无异味、无蛛网、无积尘，发现一处扣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卫生间坐厕、扶手、门、门把手擦洗对其进行消毒处理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无污渍、无异味、无积尘，发现一处扣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卫生间手盆、洗漱台、镜子、水龙头、喷淋擦洗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光洁、无水迹、无手印、无污渍、无异味、发现一处扣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卫生间垃圾桶擦洗、垃圾袋管理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垃圾桶清洁，无异味，垃圾袋中垃圾不超过四分之三，发现一处扣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病区公共部分</w:t>
            </w:r>
            <w:r>
              <w:rPr>
                <w:rFonts w:ascii="宋体" w:hAnsi="宋体"/>
                <w:color w:val="auto"/>
                <w:szCs w:val="21"/>
                <w:highlight w:val="none"/>
              </w:rPr>
              <w:t>1</w:t>
            </w:r>
            <w:r>
              <w:rPr>
                <w:rFonts w:hint="eastAsia" w:ascii="宋体" w:hAnsi="宋体"/>
                <w:color w:val="auto"/>
                <w:szCs w:val="21"/>
                <w:highlight w:val="none"/>
              </w:rPr>
              <w:t>5分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地面湿拖、干尘推、油推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无污迹、水迹、杂物等，发现一处扣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墙面、墙角、护士站组柜擦洗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天花板、灯饰、风口栅栏擦洗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无污渍、无蛛网、无积尘，发现一处扣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楼梯、扶手、栏杆，电梯墙面、电梯顶棚、电梯灯饰擦洗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垃圾桶、手盆、台面清洗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清洁光亮、无污渍、无积尘，无水迹，发现一处扣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病区平车、轮椅擦洗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无污渍、无积尘，发现一处扣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各种标志、开关、广告箱、指示牌、悬挂牌、各种门牌标志物，灭火器、消防栓、热水器擦拭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清洁光亮、无污渍、无积尘，无水迹，发现一处扣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病区卫生间10分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玻璃、镜面、暖气、窗户、窗台擦洗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光洁、无污渍、无积尘，无水迹，发现一处扣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拖布、榨水车、保洁车等清扫工具、物品擦洗及管理，拖布池擦洗</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外池无污迹，拖布分区使用，放置规范、整齐、标记明确，分开清洗，悬挂晾干，定期消毒，发现一处扣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水龙头、便池、地漏擦拭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清洁无污迹、无乱张贴物、发现一处扣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外门、门把手、厕门，隔断擦拭</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无污渍、无异味、门镜光洁，发现一处扣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垃圾桶（大、小）垃圾车擦洗及垃圾袋管理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桶身、车身光洁无污迹、痰迹，无烟头，垃圾袋中垃圾不超出四分之三，发现一处扣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医疗废物暂存地7分</w:t>
            </w: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医疗废物转角出后及时对医疗垃圾暂存地墙面、地面、物表、转运箱冲洗、消毒</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无污渍、无异味、箱身、光洁垃圾袋中垃圾不超出四分之三，发现一处扣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窗台、门、门把手擦洗、消毒</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无污渍、发现一处扣</w:t>
            </w:r>
            <w:r>
              <w:rPr>
                <w:rFonts w:ascii="宋体" w:hAnsi="宋体"/>
                <w:color w:val="auto"/>
                <w:szCs w:val="21"/>
                <w:highlight w:val="none"/>
              </w:rPr>
              <w:t>1</w:t>
            </w:r>
            <w:r>
              <w:rPr>
                <w:rFonts w:hint="eastAsia" w:ascii="宋体" w:hAnsi="宋体"/>
                <w:color w:val="auto"/>
                <w:szCs w:val="21"/>
                <w:highlight w:val="none"/>
              </w:rPr>
              <w:t>分</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szCs w:val="21"/>
                <w:highlight w:val="none"/>
              </w:rPr>
            </w:pPr>
          </w:p>
        </w:tc>
        <w:tc>
          <w:tcPr>
            <w:tcW w:w="481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医疗垃圾分类收集、及时清运</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3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r>
              <w:rPr>
                <w:rFonts w:hint="eastAsia" w:ascii="宋体" w:hAnsi="宋体"/>
                <w:color w:val="auto"/>
                <w:szCs w:val="21"/>
                <w:highlight w:val="none"/>
              </w:rPr>
              <w:t>分类收集、清运及时</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auto"/>
                <w:szCs w:val="21"/>
                <w:highlight w:val="none"/>
              </w:rPr>
            </w:pPr>
          </w:p>
        </w:tc>
      </w:tr>
    </w:tbl>
    <w:p>
      <w:pPr>
        <w:rPr>
          <w:rFonts w:ascii="宋体" w:hAnsi="宋体"/>
          <w:b/>
          <w:color w:val="auto"/>
          <w:szCs w:val="21"/>
          <w:highlight w:val="none"/>
        </w:rPr>
      </w:pPr>
    </w:p>
    <w:p>
      <w:pPr>
        <w:rPr>
          <w:rFonts w:ascii="宋体" w:hAnsi="宋体"/>
          <w:b/>
          <w:color w:val="auto"/>
          <w:szCs w:val="21"/>
          <w:highlight w:val="none"/>
        </w:rPr>
      </w:pPr>
      <w:r>
        <w:rPr>
          <w:rFonts w:hint="eastAsia" w:ascii="宋体" w:hAnsi="宋体"/>
          <w:b/>
          <w:color w:val="auto"/>
          <w:szCs w:val="21"/>
          <w:highlight w:val="none"/>
        </w:rPr>
        <w:t>保洁员签字</w:t>
      </w:r>
      <w:r>
        <w:rPr>
          <w:rFonts w:ascii="宋体" w:hAnsi="宋体"/>
          <w:b/>
          <w:color w:val="auto"/>
          <w:szCs w:val="21"/>
          <w:highlight w:val="none"/>
        </w:rPr>
        <w:t>_________</w:t>
      </w:r>
      <w:r>
        <w:rPr>
          <w:rFonts w:hint="eastAsia" w:ascii="宋体" w:hAnsi="宋体"/>
          <w:b/>
          <w:color w:val="auto"/>
          <w:szCs w:val="21"/>
          <w:highlight w:val="none"/>
        </w:rPr>
        <w:t>被检查科室签字</w:t>
      </w:r>
      <w:r>
        <w:rPr>
          <w:rFonts w:ascii="宋体" w:hAnsi="宋体"/>
          <w:b/>
          <w:color w:val="auto"/>
          <w:szCs w:val="21"/>
          <w:highlight w:val="none"/>
        </w:rPr>
        <w:t>__________</w:t>
      </w:r>
      <w:r>
        <w:rPr>
          <w:rFonts w:hint="eastAsia" w:ascii="宋体" w:hAnsi="宋体"/>
          <w:b/>
          <w:color w:val="auto"/>
          <w:szCs w:val="21"/>
          <w:highlight w:val="none"/>
        </w:rPr>
        <w:t>检查者签字</w:t>
      </w:r>
      <w:r>
        <w:rPr>
          <w:rFonts w:ascii="宋体" w:hAnsi="宋体"/>
          <w:b/>
          <w:color w:val="auto"/>
          <w:szCs w:val="21"/>
          <w:highlight w:val="none"/>
        </w:rPr>
        <w:t xml:space="preserve">_________ </w:t>
      </w:r>
      <w:r>
        <w:rPr>
          <w:rFonts w:hint="eastAsia" w:ascii="宋体" w:hAnsi="宋体"/>
          <w:b/>
          <w:color w:val="auto"/>
          <w:szCs w:val="21"/>
          <w:highlight w:val="none"/>
        </w:rPr>
        <w:t>检查时间</w:t>
      </w:r>
      <w:r>
        <w:rPr>
          <w:rFonts w:ascii="宋体" w:hAnsi="宋体"/>
          <w:b/>
          <w:color w:val="auto"/>
          <w:szCs w:val="21"/>
          <w:highlight w:val="none"/>
        </w:rPr>
        <w:t>________</w:t>
      </w:r>
    </w:p>
    <w:tbl>
      <w:tblPr>
        <w:tblStyle w:val="22"/>
        <w:tblW w:w="0" w:type="auto"/>
        <w:tblInd w:w="0" w:type="dxa"/>
        <w:tblLayout w:type="fixed"/>
        <w:tblCellMar>
          <w:top w:w="15" w:type="dxa"/>
          <w:left w:w="15" w:type="dxa"/>
          <w:bottom w:w="15" w:type="dxa"/>
          <w:right w:w="15" w:type="dxa"/>
        </w:tblCellMar>
      </w:tblPr>
      <w:tblGrid>
        <w:gridCol w:w="5542"/>
        <w:gridCol w:w="614"/>
        <w:gridCol w:w="2257"/>
        <w:gridCol w:w="720"/>
      </w:tblGrid>
      <w:tr>
        <w:tblPrEx>
          <w:tblCellMar>
            <w:top w:w="15" w:type="dxa"/>
            <w:left w:w="15" w:type="dxa"/>
            <w:bottom w:w="15" w:type="dxa"/>
            <w:right w:w="15" w:type="dxa"/>
          </w:tblCellMar>
        </w:tblPrEx>
        <w:trPr>
          <w:gridAfter w:val="1"/>
          <w:wAfter w:w="720" w:type="dxa"/>
          <w:trHeight w:val="1619" w:hRule="atLeast"/>
        </w:trPr>
        <w:tc>
          <w:tcPr>
            <w:tcW w:w="8413" w:type="dxa"/>
            <w:gridSpan w:val="3"/>
            <w:vAlign w:val="center"/>
          </w:tcPr>
          <w:p>
            <w:pPr>
              <w:rPr>
                <w:rFonts w:ascii="宋体" w:hAnsi="宋体"/>
                <w:b/>
                <w:bCs/>
                <w:color w:val="auto"/>
                <w:szCs w:val="21"/>
                <w:highlight w:val="none"/>
              </w:rPr>
            </w:pPr>
            <w:r>
              <w:rPr>
                <w:rFonts w:hint="eastAsia" w:ascii="宋体" w:hAnsi="宋体"/>
                <w:b/>
                <w:bCs/>
                <w:color w:val="auto"/>
                <w:szCs w:val="21"/>
                <w:highlight w:val="none"/>
              </w:rPr>
              <w:t xml:space="preserve">                 </w:t>
            </w:r>
          </w:p>
          <w:p>
            <w:pPr>
              <w:rPr>
                <w:rFonts w:ascii="宋体" w:hAnsi="宋体"/>
                <w:b/>
                <w:bCs/>
                <w:color w:val="auto"/>
                <w:szCs w:val="21"/>
                <w:highlight w:val="none"/>
              </w:rPr>
            </w:pPr>
          </w:p>
          <w:p>
            <w:pPr>
              <w:rPr>
                <w:rFonts w:ascii="宋体" w:hAnsi="宋体"/>
                <w:b/>
                <w:bCs/>
                <w:color w:val="auto"/>
                <w:szCs w:val="21"/>
                <w:highlight w:val="none"/>
              </w:rPr>
            </w:pPr>
          </w:p>
          <w:p>
            <w:pPr>
              <w:rPr>
                <w:rFonts w:ascii="宋体" w:hAnsi="宋体"/>
                <w:b/>
                <w:bCs/>
                <w:color w:val="auto"/>
                <w:szCs w:val="21"/>
                <w:highlight w:val="none"/>
              </w:rPr>
            </w:pPr>
          </w:p>
          <w:p>
            <w:pPr>
              <w:rPr>
                <w:rFonts w:ascii="宋体" w:hAnsi="宋体"/>
                <w:b/>
                <w:bCs/>
                <w:color w:val="auto"/>
                <w:szCs w:val="21"/>
                <w:highlight w:val="none"/>
              </w:rPr>
            </w:pPr>
          </w:p>
          <w:p>
            <w:pPr>
              <w:ind w:firstLine="3057" w:firstLineChars="1450"/>
              <w:rPr>
                <w:rFonts w:ascii="宋体" w:hAnsi="宋体" w:cs="宋体"/>
                <w:b/>
                <w:bCs/>
                <w:color w:val="auto"/>
                <w:szCs w:val="21"/>
                <w:highlight w:val="none"/>
              </w:rPr>
            </w:pPr>
            <w:r>
              <w:rPr>
                <w:rFonts w:hint="eastAsia" w:ascii="宋体" w:hAnsi="宋体"/>
                <w:b/>
                <w:bCs/>
                <w:color w:val="auto"/>
                <w:szCs w:val="21"/>
                <w:highlight w:val="none"/>
              </w:rPr>
              <w:t xml:space="preserve"> 护工工作满意度考评标准</w:t>
            </w:r>
          </w:p>
        </w:tc>
      </w:tr>
      <w:tr>
        <w:tblPrEx>
          <w:tblCellMar>
            <w:top w:w="15" w:type="dxa"/>
            <w:left w:w="15" w:type="dxa"/>
            <w:bottom w:w="15" w:type="dxa"/>
            <w:right w:w="15" w:type="dxa"/>
          </w:tblCellMar>
        </w:tblPrEx>
        <w:trPr>
          <w:gridAfter w:val="3"/>
          <w:wAfter w:w="3591" w:type="dxa"/>
          <w:trHeight w:val="600" w:hRule="atLeast"/>
        </w:trPr>
        <w:tc>
          <w:tcPr>
            <w:tcW w:w="5542" w:type="dxa"/>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科室：</w:t>
            </w:r>
          </w:p>
        </w:tc>
      </w:tr>
      <w:tr>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质  量  考  评  标  准</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得分</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实得分</w:t>
            </w:r>
          </w:p>
        </w:tc>
      </w:tr>
      <w:tr>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1、着工作服上岗，态度和蔼，语言文明，服务规范，无迟到，无早退，无吵架，无打架现象。</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p>
        </w:tc>
      </w:tr>
      <w:tr>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2、公司员工不谈论与病人病情、治疗相关话题.</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p>
        </w:tc>
      </w:tr>
      <w:tr>
        <w:tblPrEx>
          <w:tblCellMar>
            <w:top w:w="15" w:type="dxa"/>
            <w:left w:w="15" w:type="dxa"/>
            <w:bottom w:w="15" w:type="dxa"/>
            <w:right w:w="15" w:type="dxa"/>
          </w:tblCellMar>
        </w:tblPrEx>
        <w:trPr>
          <w:trHeight w:val="600"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3、上班时间不得私自对病人提供有偿服务，严禁向病人索要、收受礼物及小费，对病人遗忘的物品发现后须及时上交或归还失主(有详细登记及院方证明人)。</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Cs w:val="21"/>
                <w:highlight w:val="none"/>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4、调度中心24小时有专人调度，坚守岗位，调度准确。保证临床运送工作及时、准确完成，无差错发生，保证夜间工作的正常运行。</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5、热情为病员服务，满足临床需要，在完成工作同时，强调优质服务。护送病员做各类检查，护送病员手术注意安全，服务周到，不得有意外损伤。</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6、清洁、消毒、运送工作符合院感要求，医疗、生活垃圾标志明显，专车分开运送到指定地点，并做好登记、保管、交接工作。</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7、送各类预约单、会诊单、化验单,送检各类医疗标本，送药、送血及时准确。设备物资运送加强责任心，不得遗失、损坏设备和物资。</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8、电梯员对行动不便者提供帮助，到站时，适时提示。保持轿厢内外的清洁，保持厅门、轿门地槛清洁。</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9、驻守科室服务人员必须遵守科室各项规章制度，并服从相关科室科主任、护士长的管理。</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55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10、完成院部、总务科、护理部及科室布置的临时性运送工作的情况。</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29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Cs w:val="21"/>
                <w:highlight w:val="none"/>
                <w:lang w:bidi="ar"/>
              </w:rPr>
            </w:pPr>
          </w:p>
        </w:tc>
      </w:tr>
      <w:tr>
        <w:tblPrEx>
          <w:tblCellMar>
            <w:top w:w="15" w:type="dxa"/>
            <w:left w:w="15" w:type="dxa"/>
            <w:bottom w:w="15" w:type="dxa"/>
            <w:right w:w="15" w:type="dxa"/>
          </w:tblCellMar>
        </w:tblPrEx>
        <w:trPr>
          <w:trHeight w:val="795" w:hRule="atLeast"/>
        </w:trPr>
        <w:tc>
          <w:tcPr>
            <w:tcW w:w="9133"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护士长意见及建议：</w:t>
            </w:r>
          </w:p>
        </w:tc>
      </w:tr>
    </w:tbl>
    <w:p>
      <w:pPr>
        <w:spacing w:line="276" w:lineRule="auto"/>
        <w:rPr>
          <w:rFonts w:ascii="宋体" w:hAnsi="宋体" w:cs="宋体"/>
          <w:color w:val="auto"/>
          <w:kern w:val="0"/>
          <w:szCs w:val="21"/>
          <w:highlight w:val="none"/>
        </w:rPr>
      </w:pPr>
    </w:p>
    <w:p>
      <w:pPr>
        <w:spacing w:line="276" w:lineRule="auto"/>
        <w:rPr>
          <w:rFonts w:ascii="宋体" w:hAnsi="宋体" w:cs="宋体"/>
          <w:b/>
          <w:color w:val="auto"/>
          <w:kern w:val="0"/>
          <w:szCs w:val="21"/>
          <w:highlight w:val="none"/>
        </w:rPr>
      </w:pPr>
      <w:r>
        <w:rPr>
          <w:rFonts w:hint="eastAsia" w:ascii="宋体" w:hAnsi="宋体" w:cs="宋体"/>
          <w:b/>
          <w:color w:val="auto"/>
          <w:kern w:val="0"/>
          <w:szCs w:val="21"/>
          <w:highlight w:val="none"/>
        </w:rPr>
        <w:t>九、特别要求：</w:t>
      </w:r>
    </w:p>
    <w:p>
      <w:pPr>
        <w:spacing w:line="276" w:lineRule="auto"/>
        <w:rPr>
          <w:rFonts w:ascii="宋体" w:hAnsi="宋体" w:cs="宋体"/>
          <w:b/>
          <w:color w:val="auto"/>
          <w:kern w:val="0"/>
          <w:szCs w:val="21"/>
          <w:highlight w:val="none"/>
        </w:rPr>
      </w:pPr>
      <w:r>
        <w:rPr>
          <w:rFonts w:hint="eastAsia" w:ascii="宋体" w:hAnsi="宋体" w:cs="宋体"/>
          <w:b/>
          <w:color w:val="auto"/>
          <w:kern w:val="0"/>
          <w:szCs w:val="21"/>
          <w:highlight w:val="none"/>
        </w:rPr>
        <w:t>除非合同中另有规定，具有标价的报价表中所报的单价和合价以及报价汇总表中的价格应包括劳务、管理、设备、材料、各类保险、各类加班费、夜班费、利润、税金、清洁设备及维护、政策性文件规定及合同明示或暗示的所有风险、责任、义务等各项应有的费用。招标文件中未曾明确但实际家政服务工作中发生的工作量与设施设备等，投标人均需在报价中充分考虑。如中标，缺漏项目所产生的费用由中标方自理。</w:t>
      </w:r>
    </w:p>
    <w:p>
      <w:pPr>
        <w:spacing w:line="276" w:lineRule="auto"/>
        <w:rPr>
          <w:rFonts w:ascii="宋体" w:hAnsi="宋体" w:cs="宋体"/>
          <w:b/>
          <w:color w:val="auto"/>
          <w:kern w:val="0"/>
          <w:szCs w:val="21"/>
          <w:highlight w:val="none"/>
        </w:rPr>
      </w:pPr>
      <w:r>
        <w:rPr>
          <w:rFonts w:hint="eastAsia" w:ascii="宋体" w:hAnsi="宋体" w:cs="宋体"/>
          <w:b/>
          <w:color w:val="auto"/>
          <w:kern w:val="0"/>
          <w:szCs w:val="21"/>
          <w:highlight w:val="none"/>
        </w:rPr>
        <w:t>采购单位不接受投标方任何因遗漏报价而发生的费用追加，因投标方违反《劳动法》等法律法规而造成院方的连带责任和损失全部由中标方承担。</w:t>
      </w:r>
    </w:p>
    <w:p>
      <w:pPr>
        <w:autoSpaceDN w:val="0"/>
        <w:spacing w:line="360" w:lineRule="auto"/>
        <w:rPr>
          <w:rFonts w:asciiTheme="minorEastAsia" w:hAnsiTheme="minorEastAsia" w:eastAsiaTheme="minorEastAsia" w:cstheme="minorEastAsia"/>
          <w:b/>
          <w:color w:val="auto"/>
          <w:szCs w:val="21"/>
          <w:highlight w:val="none"/>
        </w:rPr>
      </w:pPr>
    </w:p>
    <w:p>
      <w:pPr>
        <w:autoSpaceDN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十、付款方式</w:t>
      </w:r>
    </w:p>
    <w:p>
      <w:pPr>
        <w:autoSpaceDN w:val="0"/>
        <w:spacing w:line="360" w:lineRule="auto"/>
        <w:rPr>
          <w:rFonts w:asciiTheme="minorEastAsia" w:hAnsiTheme="minorEastAsia" w:eastAsiaTheme="minorEastAsia" w:cstheme="minorEastAsia"/>
          <w:b/>
          <w:color w:val="auto"/>
          <w:szCs w:val="21"/>
          <w:highlight w:val="none"/>
        </w:rPr>
      </w:pPr>
      <w:r>
        <w:rPr>
          <w:rFonts w:hint="eastAsia" w:ascii="宋体" w:hAnsi="宋体"/>
          <w:b/>
          <w:bCs/>
          <w:color w:val="auto"/>
          <w:szCs w:val="21"/>
          <w:highlight w:val="none"/>
        </w:rPr>
        <w:t>服务承包费用先服务后支付的办法，按每月支付一次，支付时间为服务后15日内支付，按实际人数凭完税发票，由甲方签署付款凭证，办理付款手续。办理付款手续时需同时上交该月的保洁、运送管理的文书。每月考核分数少于80分时付每月保洁费用的80%，少于70分时付每月保洁费用的70%，少于60 分时付每月保洁费的50%，达到80分时付每月保洁费用的92%，达到90分时付每月保洁费用的97%，考核分数连续2月达到90分时，可支付前期所扣发部分至原每月保洁费的97%（遇合同期未时以期未考核月平均分支付为准）。剩余部分待年服务期满后，合同期内月考核满意度平均达到80%满意度一次性付清，未达标时所剩余额直接扣除；打蜡、外墙清洗费用按次进行支付，打蜡费用支付时必须提供科室签字确认记录，并对每遍、每个操作位都要进行操作者签字保洁经理签字还应标上打蜡时间精确到分钟，如打蜡完成后抽查发现一个位未安要求遍数打蜡则停发当次所有打蜡费用，并要求对所有区域进行重新打蜡待抽查验收合格后支付当次打蜡费用；外墙清洗需验收签字后再付。（以上支付方式中每月的保洁费用为总价除去外墙清洗和打蜡费用后计算的每月费用）</w:t>
      </w:r>
    </w:p>
    <w:p>
      <w:pPr>
        <w:autoSpaceDN w:val="0"/>
        <w:spacing w:line="360" w:lineRule="auto"/>
        <w:rPr>
          <w:rFonts w:asciiTheme="minorEastAsia" w:hAnsiTheme="minorEastAsia" w:eastAsiaTheme="minorEastAsia" w:cstheme="minorEastAsia"/>
          <w:b/>
          <w:color w:val="auto"/>
          <w:szCs w:val="21"/>
          <w:highlight w:val="none"/>
        </w:rPr>
      </w:pPr>
    </w:p>
    <w:p>
      <w:pPr>
        <w:keepNext w:val="0"/>
        <w:keepLines w:val="0"/>
        <w:pageBreakBefore w:val="0"/>
        <w:kinsoku/>
        <w:wordWrap/>
        <w:overflowPunct/>
        <w:topLinePunct w:val="0"/>
        <w:autoSpaceDE/>
        <w:autoSpaceDN/>
        <w:bidi w:val="0"/>
        <w:spacing w:line="360" w:lineRule="auto"/>
        <w:outlineLvl w:val="9"/>
        <w:rPr>
          <w:rFonts w:hint="eastAsia" w:ascii="宋体" w:hAnsi="宋体" w:cs="宋体"/>
          <w:color w:val="auto"/>
          <w:szCs w:val="21"/>
          <w:highlight w:val="none"/>
        </w:rPr>
      </w:pPr>
      <w:r>
        <w:rPr>
          <w:rFonts w:hint="eastAsia" w:asciiTheme="minorEastAsia" w:hAnsiTheme="minorEastAsia" w:eastAsiaTheme="minorEastAsia" w:cstheme="minorEastAsia"/>
          <w:b/>
          <w:color w:val="auto"/>
          <w:szCs w:val="21"/>
          <w:highlight w:val="none"/>
          <w:lang w:val="en-US" w:eastAsia="zh-CN"/>
        </w:rPr>
        <w:t>十一、</w:t>
      </w:r>
      <w:r>
        <w:rPr>
          <w:rFonts w:hint="eastAsia" w:ascii="宋体" w:hAnsi="宋体" w:cs="宋体"/>
          <w:b/>
          <w:color w:val="auto"/>
          <w:szCs w:val="21"/>
          <w:highlight w:val="none"/>
        </w:rPr>
        <w:t>履约保证金</w:t>
      </w:r>
    </w:p>
    <w:p>
      <w:pPr>
        <w:keepNext w:val="0"/>
        <w:keepLines w:val="0"/>
        <w:pageBreakBefore w:val="0"/>
        <w:tabs>
          <w:tab w:val="left" w:pos="360"/>
        </w:tabs>
        <w:kinsoku/>
        <w:wordWrap/>
        <w:overflowPunct/>
        <w:topLinePunct w:val="0"/>
        <w:autoSpaceDE/>
        <w:autoSpaceDN/>
        <w:bidi w:val="0"/>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方必须在签订承包合同前缴付履约保证金（合同金额的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5%），以保证</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方遵守本合同的一切条款、条件和承诺，该保证金在</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方的规定存续期间不计息</w:t>
      </w:r>
      <w:r>
        <w:rPr>
          <w:rFonts w:hint="eastAsia" w:ascii="宋体" w:hAnsi="宋体" w:cs="宋体"/>
          <w:color w:val="auto"/>
          <w:szCs w:val="21"/>
          <w:highlight w:val="none"/>
          <w:lang w:eastAsia="zh-CN"/>
        </w:rPr>
        <w:t>，</w:t>
      </w:r>
      <w:r>
        <w:rPr>
          <w:rFonts w:hint="eastAsia" w:cs="宋体"/>
          <w:color w:val="auto"/>
          <w:highlight w:val="none"/>
          <w:lang w:val="en-US" w:eastAsia="zh-CN"/>
        </w:rPr>
        <w:t>包含保险、担保等形式。</w:t>
      </w:r>
    </w:p>
    <w:p>
      <w:pPr>
        <w:pageBreakBefore w:val="0"/>
        <w:widowControl w:val="0"/>
        <w:kinsoku/>
        <w:wordWrap/>
        <w:overflowPunct/>
        <w:topLinePunct w:val="0"/>
        <w:autoSpaceDE/>
        <w:autoSpaceDN w:val="0"/>
        <w:bidi w:val="0"/>
        <w:spacing w:line="360" w:lineRule="auto"/>
        <w:textAlignment w:val="auto"/>
        <w:outlineLvl w:val="9"/>
        <w:rPr>
          <w:rFonts w:hint="eastAsia" w:asciiTheme="minorEastAsia" w:hAnsiTheme="minorEastAsia" w:eastAsiaTheme="minorEastAsia" w:cstheme="minorEastAsia"/>
          <w:b/>
          <w:color w:val="auto"/>
          <w:szCs w:val="21"/>
          <w:highlight w:val="none"/>
          <w:lang w:val="en-US" w:eastAsia="zh-CN"/>
        </w:rPr>
      </w:pPr>
    </w:p>
    <w:p>
      <w:pPr>
        <w:autoSpaceDN w:val="0"/>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val="en-US" w:eastAsia="zh-CN"/>
        </w:rPr>
        <w:t>十二、</w:t>
      </w:r>
      <w:r>
        <w:rPr>
          <w:rFonts w:hint="eastAsia" w:asciiTheme="minorEastAsia" w:hAnsiTheme="minorEastAsia" w:eastAsiaTheme="minorEastAsia" w:cstheme="minorEastAsia"/>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pPr>
        <w:autoSpaceDN w:val="0"/>
        <w:spacing w:line="360" w:lineRule="auto"/>
        <w:rPr>
          <w:rFonts w:asciiTheme="minorEastAsia" w:hAnsiTheme="minorEastAsia" w:eastAsiaTheme="minorEastAsia" w:cstheme="minorEastAsia"/>
          <w:b/>
          <w:color w:val="auto"/>
          <w:szCs w:val="21"/>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t>第五章 政府采购合同主要条款</w:t>
      </w:r>
    </w:p>
    <w:p>
      <w:pPr>
        <w:pStyle w:val="51"/>
        <w:jc w:val="center"/>
        <w:rPr>
          <w:rFonts w:ascii="Times New Roman" w:hAnsi="宋体"/>
          <w:color w:val="auto"/>
          <w:kern w:val="2"/>
          <w:sz w:val="21"/>
          <w:szCs w:val="21"/>
          <w:highlight w:val="none"/>
        </w:rPr>
      </w:pPr>
      <w:r>
        <w:rPr>
          <w:rFonts w:hint="eastAsia" w:ascii="Times New Roman" w:hAnsi="宋体"/>
          <w:color w:val="auto"/>
          <w:kern w:val="2"/>
          <w:sz w:val="21"/>
          <w:szCs w:val="21"/>
          <w:highlight w:val="none"/>
        </w:rPr>
        <w:t>（此稿为合同样本，最终定稿待双方协商后定）</w:t>
      </w:r>
    </w:p>
    <w:p>
      <w:pPr>
        <w:adjustRightInd w:val="0"/>
        <w:snapToGrid w:val="0"/>
        <w:spacing w:line="360" w:lineRule="auto"/>
        <w:ind w:firstLine="420" w:firstLineChars="200"/>
        <w:rPr>
          <w:rFonts w:hAnsi="宋体"/>
          <w:color w:val="auto"/>
          <w:szCs w:val="21"/>
          <w:highlight w:val="none"/>
        </w:rPr>
      </w:pPr>
    </w:p>
    <w:p>
      <w:pPr>
        <w:widowControl/>
        <w:snapToGrid w:val="0"/>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项目名称：</w:t>
      </w:r>
      <w:r>
        <w:rPr>
          <w:rFonts w:hint="eastAsia" w:ascii="宋体" w:hAnsi="宋体" w:cs="宋体"/>
          <w:color w:val="auto"/>
          <w:szCs w:val="21"/>
          <w:highlight w:val="none"/>
          <w:u w:val="single"/>
        </w:rPr>
        <w:t>台州市路桥区中医院医疗服务共同体后勤家政服务项目</w:t>
      </w:r>
    </w:p>
    <w:p>
      <w:pPr>
        <w:pStyle w:val="12"/>
        <w:snapToGrid w:val="0"/>
        <w:spacing w:line="360" w:lineRule="auto"/>
        <w:ind w:firstLine="413" w:firstLineChars="196"/>
        <w:jc w:val="left"/>
        <w:rPr>
          <w:rFonts w:hAnsi="宋体" w:cs="宋体"/>
          <w:b/>
          <w:color w:val="auto"/>
          <w:szCs w:val="21"/>
          <w:highlight w:val="none"/>
        </w:rPr>
      </w:pPr>
      <w:r>
        <w:rPr>
          <w:rFonts w:hint="eastAsia" w:hAnsi="宋体" w:cs="宋体"/>
          <w:b/>
          <w:color w:val="auto"/>
          <w:szCs w:val="21"/>
          <w:highlight w:val="none"/>
        </w:rPr>
        <w:t>项目编号：</w:t>
      </w:r>
      <w:r>
        <w:rPr>
          <w:rFonts w:hint="eastAsia" w:hAnsi="宋体" w:cs="宋体"/>
          <w:color w:val="auto"/>
          <w:szCs w:val="21"/>
          <w:highlight w:val="none"/>
          <w:u w:val="single"/>
        </w:rPr>
        <w:t>tzya2022-lq03</w:t>
      </w:r>
    </w:p>
    <w:p>
      <w:pPr>
        <w:pStyle w:val="12"/>
        <w:snapToGrid w:val="0"/>
        <w:spacing w:line="360" w:lineRule="auto"/>
        <w:ind w:firstLine="420" w:firstLineChars="200"/>
        <w:rPr>
          <w:rFonts w:hAnsi="宋体" w:cs="宋体"/>
          <w:b/>
          <w:color w:val="auto"/>
          <w:szCs w:val="21"/>
          <w:highlight w:val="none"/>
          <w:u w:val="single"/>
        </w:rPr>
      </w:pPr>
      <w:r>
        <w:rPr>
          <w:rFonts w:hint="eastAsia" w:hAnsi="宋体" w:cs="宋体"/>
          <w:color w:val="auto"/>
          <w:szCs w:val="21"/>
          <w:highlight w:val="none"/>
        </w:rPr>
        <w:t>甲方（采购方）：</w:t>
      </w:r>
      <w:r>
        <w:rPr>
          <w:rFonts w:hint="eastAsia" w:hAnsi="宋体" w:cs="宋体"/>
          <w:color w:val="auto"/>
          <w:szCs w:val="21"/>
          <w:highlight w:val="none"/>
          <w:u w:val="single"/>
        </w:rPr>
        <w:t xml:space="preserve">   台州市路桥区中医院医疗服务共同体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乙方（中标方）：                        </w:t>
      </w:r>
    </w:p>
    <w:p>
      <w:pPr>
        <w:pStyle w:val="12"/>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根据台州市路桥区中医院医疗服务共同体后勤家政服务项目的招标结果，经双方协商一致，就台州市路桥区中医院医疗服务共同体后勤家政服务项目事宜达成以下条款：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服务范围、内容和要求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详见招标内容及要求。</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二、服务期限及费用</w:t>
      </w:r>
    </w:p>
    <w:p>
      <w:pPr>
        <w:adjustRightInd w:val="0"/>
        <w:snapToGrid w:val="0"/>
        <w:spacing w:line="360" w:lineRule="auto"/>
        <w:ind w:firstLine="420" w:firstLineChars="200"/>
        <w:rPr>
          <w:rFonts w:ascii="宋体" w:hAnsi="宋体" w:cs="Arial"/>
          <w:b/>
          <w:bCs/>
          <w:color w:val="auto"/>
          <w:kern w:val="0"/>
          <w:szCs w:val="21"/>
          <w:highlight w:val="none"/>
        </w:rPr>
      </w:pPr>
      <w:r>
        <w:rPr>
          <w:rFonts w:hint="eastAsia" w:ascii="宋体" w:hAnsi="宋体"/>
          <w:color w:val="auto"/>
          <w:szCs w:val="21"/>
          <w:highlight w:val="none"/>
        </w:rPr>
        <w:t>本项目服务期限为三年，如乙方在合同期内服务标准未达到招标人要求或有重大投诉事件发生，甲方有权终止合同，</w:t>
      </w:r>
      <w:r>
        <w:rPr>
          <w:rFonts w:hint="eastAsia" w:ascii="宋体" w:hAnsi="宋体" w:cs="宋体"/>
          <w:color w:val="auto"/>
          <w:kern w:val="0"/>
          <w:szCs w:val="21"/>
          <w:highlight w:val="none"/>
          <w:lang w:val="zh-CN"/>
        </w:rPr>
        <w:t>并由</w:t>
      </w:r>
      <w:r>
        <w:rPr>
          <w:rFonts w:hint="eastAsia" w:ascii="宋体" w:hAnsi="宋体" w:cs="宋体"/>
          <w:color w:val="auto"/>
          <w:kern w:val="0"/>
          <w:szCs w:val="21"/>
          <w:highlight w:val="none"/>
        </w:rPr>
        <w:t>乙方</w:t>
      </w:r>
      <w:r>
        <w:rPr>
          <w:rFonts w:hint="eastAsia" w:ascii="宋体" w:hAnsi="宋体" w:cs="宋体"/>
          <w:color w:val="auto"/>
          <w:kern w:val="0"/>
          <w:szCs w:val="21"/>
          <w:highlight w:val="none"/>
          <w:lang w:val="zh-CN"/>
        </w:rPr>
        <w:t>承担由此引起的所有费用包括重新招标的代理费</w:t>
      </w:r>
      <w:r>
        <w:rPr>
          <w:rFonts w:hint="eastAsia" w:ascii="宋体" w:hAnsi="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b/>
          <w:color w:val="auto"/>
          <w:szCs w:val="21"/>
          <w:highlight w:val="none"/>
        </w:rPr>
        <w:t>、服务费用及支付</w:t>
      </w:r>
      <w:r>
        <w:rPr>
          <w:rFonts w:hint="eastAsia" w:ascii="宋体" w:hAnsi="宋体" w:cs="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1．合同价格：人民币（大写）：</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元/年，小写：</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元/年整，即投标单价人民币（大写）：</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元/人·月，小写：</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元/人·月。</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该价格已包括派遣的全职人员及在项目区域内提供保洁、护工运送及其他所有服务所需的一切人员工资、奖金、各种加班费、值班补贴、夜餐费、各种社会保险、食宿与交通、服装、安全、仓储、维修、管理费用、税费、利润、完成合同所需的一切本身和不可或缺的所有工作开支、政策性文件规定计合同包含的所有风险、责任等各项全部费用。</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2．在不增加工作装备及面积的情况下，仅增加人员的投标单价（按除去打蜡、外墙清洗总费用后的总价计算）</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元/人·月。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3．承包合同价格除按本合同规定外，不能作任何调整。任何计算错误皆视为已获双方接受，合同价也不会因人工、物价或汇率等的变动而作任何调整。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4．支付方式：</w:t>
      </w:r>
    </w:p>
    <w:p>
      <w:pPr>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服务承包费用先服务后支付的办法，按每月支付一次，支付时间为服务后15日内支付，按实际人数凭完税发票，由甲方签署付款凭证，办理付款手续。办理付款手续时需同时上交该月的保洁、运送管理的文书。每月考核分数少于80分时付每月保洁费用的80%，少于70分时付每月保洁费用的70%，少于60 分时付每月保洁费的50%，达到80分时付每月保洁费用的92%，达到90分时付每月保洁费用的97%，考核分数连续2月达到90分时，可支付前期所扣发部分至原每月保洁费的97%（遇合同期未时以期未考核月平均分支付为准）。剩余部分待年服务期满后，合同期内月考核满意度平均达到80%满意度一次性付清，未达标时所剩余额直接扣除；打蜡、外墙清洗费用按次进行支付，打蜡费用支付时必须提供科室签字确认记录，并对每遍、每个操作位都要进行操作者签字保洁经理签字还应标上打蜡时间精确到分钟，如打蜡完成后抽查发现一个位未安要求遍数打蜡则停发当次所有打蜡费用，并要求对所有区域进行重新打蜡待抽查验收合格后支付当次打蜡费用；外墙清洗需验收签字后再付。（以上支付方式中每月的保洁费用为总价除去外墙清洗和打蜡费用后计算的每月费用）</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四、</w:t>
      </w:r>
      <w:r>
        <w:rPr>
          <w:rFonts w:hint="eastAsia" w:ascii="宋体" w:hAnsi="宋体" w:cs="宋体"/>
          <w:b/>
          <w:color w:val="auto"/>
          <w:szCs w:val="21"/>
          <w:highlight w:val="none"/>
        </w:rPr>
        <w:t>履约保证金</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1．乙方必须在签订承包合同前缴付履约保证金人民币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元（合同金额的2.5%），以保证乙方遵守本合同的一切条款、条件和承诺，该保证金在甲方的规定存续期间不计息</w:t>
      </w:r>
      <w:r>
        <w:rPr>
          <w:rFonts w:hint="eastAsia" w:ascii="宋体" w:hAnsi="宋体" w:cs="宋体"/>
          <w:color w:val="auto"/>
          <w:szCs w:val="21"/>
          <w:highlight w:val="none"/>
          <w:lang w:eastAsia="zh-CN"/>
        </w:rPr>
        <w:t>，</w:t>
      </w:r>
      <w:r>
        <w:rPr>
          <w:rFonts w:hint="eastAsia" w:cs="宋体"/>
          <w:color w:val="auto"/>
          <w:highlight w:val="none"/>
          <w:lang w:val="en-US" w:eastAsia="zh-CN"/>
        </w:rPr>
        <w:t>包含保险、担保等形式。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2．甲方在任何时候都有权从履约保证金中扣除因乙方违约而导致损失的金额或违约金。乙方应在接到扣除履约保证金通知后一周内补足所扣差额，以保证承包期间履约保证金的完整。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3．如果乙方在承包期内没有涉及甲方的应付而未付金额或违约行为，甲方在承包期满后或提前终止合同后一个月内全额无息退还履约保证金。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4．甲方有权在合同生效后，调整履约保证金的金额，且乙方必须按要求将保证金差额缴付甲方。甲方调整履约保证金是考虑以下条款各项之一或全部。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4.1乙方承包的工作内容及费用发生变化；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4.2发生任何有必要调整的因素。</w:t>
      </w:r>
    </w:p>
    <w:p>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五、经</w:t>
      </w:r>
      <w:r>
        <w:rPr>
          <w:rFonts w:hint="eastAsia" w:ascii="宋体" w:hAnsi="宋体" w:cs="宋体"/>
          <w:b/>
          <w:color w:val="auto"/>
          <w:szCs w:val="21"/>
          <w:highlight w:val="none"/>
        </w:rPr>
        <w:t>营制约</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1．未经甲方同意，乙方无权在承包区域内从事任何广告活动或类似宣传，甲方有权依照广告法和甲方相关的规定责令乙方限期改正，并接受处罚。但甲方在该区域发布的广告宣传保证不会影响乙方的正常工作。</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2．乙方不得以甲方的名义从事任何经济活动，由此发生的一切债权、债务与甲方无关。</w:t>
      </w:r>
    </w:p>
    <w:p>
      <w:pPr>
        <w:tabs>
          <w:tab w:val="left" w:pos="360"/>
        </w:tabs>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六、</w:t>
      </w:r>
      <w:r>
        <w:rPr>
          <w:rFonts w:hint="eastAsia" w:ascii="宋体" w:hAnsi="宋体" w:cs="宋体"/>
          <w:b/>
          <w:color w:val="auto"/>
          <w:szCs w:val="21"/>
          <w:highlight w:val="none"/>
        </w:rPr>
        <w:t>双方承诺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1．乙方对甲方作出如下承诺：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不以任何形式转租、转让、抵押承包区域，在承包区域内只从事甲方认可的服务工作。在承包期间，乙方的任何股份配置变动应通知甲方。未经甲方书面批准，任何占有支配地位的股份转让都将视为乙方出租、转让的行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1.2乙方应允许甲方或其授权的人员对承包区域各项服务质量进行检查，如产生费用应由乙方承担。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1.3在承包区域内的各项服务，其工作时间必须满足甲方的工作要求，包括双休日及节假日，无论乙方有什么理由，都不许停止服务工作。必要时甲方可要求</w:t>
      </w:r>
      <w:r>
        <w:rPr>
          <w:rFonts w:hint="eastAsia" w:ascii="宋体" w:hAnsi="宋体" w:cs="宋体"/>
          <w:b/>
          <w:color w:val="auto"/>
          <w:szCs w:val="21"/>
          <w:highlight w:val="none"/>
        </w:rPr>
        <w:t>乙方调整工作时间直至全天二十四小时工作</w:t>
      </w:r>
      <w:r>
        <w:rPr>
          <w:rFonts w:hint="eastAsia" w:ascii="宋体" w:hAnsi="宋体" w:cs="宋体"/>
          <w:color w:val="auto"/>
          <w:szCs w:val="21"/>
          <w:highlight w:val="none"/>
        </w:rPr>
        <w:t>。</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1.4乙方必须聘请（或指定）一位经理（负责人），全权代表乙方与甲方保持密切联系以保证承包区域内服务工作正常进行。</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1.5为承包区域的服务工作正常开展，乙方必须配备足够的服务人员，且聘用的服务人员必须符合劳动部门有关用工规定，并经乙方相关专业考核合格后持证上岗，甲方有权进行审核，该类费用开支由乙方负担。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1.6服务人员上岗穿着由甲方确认的制服及甲方许可的装饰物品，费用和制作均由乙方负担。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1.7乙方必须出具或办妥法律手续及甲方规定的与承包区域经营业务有关的执照和许可证，方可从事经营并在经营中遵守一切有关条例和规定。自行缴纳税费及工商部门的各项规费。</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1.8乙方必须确保为甲方提供优质、高效的服务，并根据甲方要求不断改进服务手段，自觉接受甲方相关部门的监督与检查。同时，自觉参加有助于提高甲方形象和经营业绩的宣传活动。</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1.9在承包期内乙方应保证承包区域内的设施、设备始终处于良好的运营状况和保持承包区域内环境卫生整洁。对由乙方引起或造成设施、设备的损坏及环境卫生不理想状况，甲方将书面通知乙方进行整改。</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1.10禁止事件</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1.10.1乙方不得以任何理由向甲方工作人员支付小费或赠送实物，违者将受到处罚并终止合同。乙方人员也不得以任何形式向甲方相关人员索取小费或钱物等。</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1.10.2不得在承包区域内住宿或从事非法活动，也不得从事有损甲方利益的活动，同时不允许在承包区域内对甲方活动进行扰乱行为。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1.11人身安全责任</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1.11.1第三者责任保险</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(1)乙方应对甲方的后勤服务人员以及第三方全权负责（乙方应投保第三责任险），在乙方的责任区内由于乙方原因导致第三方的人身伤害事故由乙方负责，甲方不承担任何责任。</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(2)乙方需在承包期内向甲方出示此保险单及已付清保险费的收据。</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1.11.2服务人员人身意外</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在承包期内，乙方所有人员的人身安全由乙方全权负责（乙方应对其员工投保人身意外险），以保证甲方在乙方工作人员进行索赔时不受任何责任的约束。</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1.11.3其他保险及费用</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乙方应按政府有关规定负责为全体服务人员办理社会保险并交纳相关费用。</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1.12乙方服务人员应遵守甲方内部的一切行政管理、消防安全等规章制度，同时承担违规责任。</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1.13遇突发事件或安全检查时，乙方必须配合有关部门执行任务，并指定专职人员协助工作，直至完成。</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1.14乙方保证在承包期满日当天下午五时撤离现场。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2．甲方对乙方作出如下承诺：</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2.1甲方在职权范围内保证乙方的正常经营不受干扰。</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2.2保证乙方服务所需的工具按规定正常进入承包区域内开展服务工作。</w:t>
      </w:r>
    </w:p>
    <w:p>
      <w:pPr>
        <w:pStyle w:val="10"/>
        <w:adjustRightInd w:val="0"/>
        <w:snapToGrid w:val="0"/>
        <w:spacing w:after="0" w:line="360" w:lineRule="auto"/>
        <w:ind w:left="0" w:leftChars="0" w:firstLine="422" w:firstLineChars="200"/>
        <w:rPr>
          <w:color w:val="auto"/>
          <w:szCs w:val="21"/>
          <w:highlight w:val="none"/>
        </w:rPr>
      </w:pPr>
      <w:r>
        <w:rPr>
          <w:rFonts w:hint="eastAsia" w:ascii="宋体" w:hAnsi="宋体" w:cs="宋体"/>
          <w:b/>
          <w:bCs/>
          <w:snapToGrid w:val="0"/>
          <w:color w:val="auto"/>
          <w:szCs w:val="21"/>
          <w:highlight w:val="none"/>
        </w:rPr>
        <w:t>七、</w:t>
      </w:r>
      <w:r>
        <w:rPr>
          <w:b/>
          <w:color w:val="auto"/>
          <w:highlight w:val="none"/>
        </w:rPr>
        <w:t>税费</w:t>
      </w:r>
    </w:p>
    <w:p>
      <w:pPr>
        <w:adjustRightInd w:val="0"/>
        <w:snapToGrid w:val="0"/>
        <w:spacing w:line="360" w:lineRule="auto"/>
        <w:ind w:firstLine="420" w:firstLineChars="200"/>
        <w:rPr>
          <w:color w:val="auto"/>
          <w:szCs w:val="21"/>
          <w:highlight w:val="none"/>
        </w:rPr>
      </w:pPr>
      <w:r>
        <w:rPr>
          <w:rFonts w:hint="eastAsia"/>
          <w:color w:val="auto"/>
          <w:szCs w:val="21"/>
          <w:highlight w:val="none"/>
        </w:rPr>
        <w:t>1、</w:t>
      </w:r>
      <w:r>
        <w:rPr>
          <w:rFonts w:hAnsi="宋体"/>
          <w:color w:val="auto"/>
          <w:szCs w:val="21"/>
          <w:highlight w:val="none"/>
        </w:rPr>
        <w:t>本合同执行中相关的一切税费均由乙方负担。</w:t>
      </w:r>
    </w:p>
    <w:p>
      <w:pPr>
        <w:pStyle w:val="10"/>
        <w:adjustRightInd w:val="0"/>
        <w:snapToGrid w:val="0"/>
        <w:spacing w:after="0" w:line="360" w:lineRule="auto"/>
        <w:ind w:left="0" w:leftChars="0" w:firstLine="422" w:firstLineChars="200"/>
        <w:rPr>
          <w:b/>
          <w:color w:val="auto"/>
          <w:highlight w:val="none"/>
        </w:rPr>
      </w:pPr>
      <w:r>
        <w:rPr>
          <w:rFonts w:hint="eastAsia"/>
          <w:b/>
          <w:color w:val="auto"/>
          <w:highlight w:val="none"/>
        </w:rPr>
        <w:t>八</w:t>
      </w:r>
      <w:r>
        <w:rPr>
          <w:b/>
          <w:color w:val="auto"/>
          <w:highlight w:val="none"/>
        </w:rPr>
        <w:t>、违约责任</w:t>
      </w:r>
    </w:p>
    <w:p>
      <w:pPr>
        <w:pStyle w:val="10"/>
        <w:adjustRightInd w:val="0"/>
        <w:snapToGrid w:val="0"/>
        <w:spacing w:after="0" w:line="360" w:lineRule="auto"/>
        <w:ind w:left="0" w:leftChars="0" w:firstLine="420" w:firstLineChars="200"/>
        <w:rPr>
          <w:color w:val="auto"/>
          <w:highlight w:val="none"/>
        </w:rPr>
      </w:pPr>
      <w:r>
        <w:rPr>
          <w:rFonts w:hint="eastAsia"/>
          <w:color w:val="auto"/>
          <w:highlight w:val="none"/>
        </w:rPr>
        <w:t>1、</w:t>
      </w:r>
      <w:r>
        <w:rPr>
          <w:color w:val="auto"/>
          <w:highlight w:val="none"/>
        </w:rPr>
        <w:t>甲方无正当理由拒收接受服务的，甲方向乙方支付合同款项百分之五作为违约金。</w:t>
      </w:r>
    </w:p>
    <w:p>
      <w:pPr>
        <w:pStyle w:val="10"/>
        <w:adjustRightInd w:val="0"/>
        <w:snapToGrid w:val="0"/>
        <w:spacing w:after="0" w:line="360" w:lineRule="auto"/>
        <w:ind w:left="0" w:leftChars="0" w:firstLine="420" w:firstLineChars="200"/>
        <w:rPr>
          <w:color w:val="auto"/>
          <w:highlight w:val="none"/>
        </w:rPr>
      </w:pPr>
      <w:r>
        <w:rPr>
          <w:rFonts w:hint="eastAsia"/>
          <w:color w:val="auto"/>
          <w:highlight w:val="none"/>
        </w:rPr>
        <w:t>2、</w:t>
      </w:r>
      <w:r>
        <w:rPr>
          <w:color w:val="auto"/>
          <w:highlight w:val="none"/>
        </w:rPr>
        <w:t>甲方无故逾期验收和办理款项支付手续的，甲方应按逾期付款总额向乙方支付每日万分之五违约金。</w:t>
      </w:r>
    </w:p>
    <w:p>
      <w:pPr>
        <w:pStyle w:val="12"/>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 xml:space="preserve">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pPr>
        <w:pStyle w:val="12"/>
        <w:adjustRightInd w:val="0"/>
        <w:snapToGrid w:val="0"/>
        <w:spacing w:line="360" w:lineRule="auto"/>
        <w:ind w:firstLine="420" w:firstLineChars="200"/>
        <w:rPr>
          <w:color w:val="auto"/>
          <w:highlight w:val="none"/>
        </w:rPr>
      </w:pPr>
      <w:r>
        <w:rPr>
          <w:rFonts w:hint="eastAsia"/>
          <w:color w:val="auto"/>
          <w:highlight w:val="none"/>
        </w:rPr>
        <w:t>4、若发生纠纷，由违约方赔偿守约方因纠纷所支付的费用（包括但不限于律师费、差旅费、诉讼费、保全费、鉴定费、评估费等）。</w:t>
      </w:r>
    </w:p>
    <w:p>
      <w:pPr>
        <w:pStyle w:val="12"/>
        <w:snapToGrid w:val="0"/>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rPr>
        <w:t>九、不可抗力事件处理</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、在合同有效期内，任何一方因不可抗力事件导致不能履行合同，则合同履行期可延长，其延长期与不可抗力影响期相同。</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、不可抗力事件发生后，应立即通知对方，并寄送有关权威机构出具的证明。</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、不可抗力事件延续</w:t>
      </w:r>
      <w:r>
        <w:rPr>
          <w:rFonts w:hAnsi="宋体"/>
          <w:snapToGrid w:val="0"/>
          <w:color w:val="auto"/>
          <w:szCs w:val="21"/>
          <w:highlight w:val="none"/>
        </w:rPr>
        <w:t>120</w:t>
      </w:r>
      <w:r>
        <w:rPr>
          <w:rFonts w:hint="eastAsia" w:hAnsi="宋体"/>
          <w:snapToGrid w:val="0"/>
          <w:color w:val="auto"/>
          <w:szCs w:val="21"/>
          <w:highlight w:val="none"/>
        </w:rPr>
        <w:t>天以上，双方应通过友好协商，确定是否继续履行合同。</w:t>
      </w:r>
    </w:p>
    <w:p>
      <w:pPr>
        <w:tabs>
          <w:tab w:val="left" w:pos="360"/>
        </w:tabs>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十、</w:t>
      </w:r>
      <w:r>
        <w:rPr>
          <w:rFonts w:hint="eastAsia" w:ascii="宋体" w:hAnsi="宋体" w:cs="宋体"/>
          <w:b/>
          <w:color w:val="auto"/>
          <w:szCs w:val="21"/>
          <w:highlight w:val="none"/>
        </w:rPr>
        <w:t>合同生效和终止</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1．合同生效</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本合同经双方授权代表签字盖章并在乙方提交履约保证金后生效。</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2．合同终止</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2.1提前终止</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2.1.1因承包区域布局调整，导致乙方无法正常经营，甲方须提前一个月向乙方发出书面通知终止承包。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2.1.2因乙方一年内三次服务考核得分低于80分，甲方有权向乙方发出书面通知终止承包。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2.1.3假如乙方提前三个月向甲方发出书面通知终止承包，乙方应支付给甲方月度承包服务款三倍金额的赔偿金，乙方承诺从履约保证金中扣除该款，并且甲方的其他应收款不受影响。</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2.1.4提前终止承包期早于月底最后一天，应视为月底最后一天期满，此条适用上述2.1.1、2.1.2、2.1.3三条。</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2.1.5乙方未能履行合同和遵守相关规定，在甲方发出书面警告后仍未采取补救措施的，甲方可单方面终止承包合同。</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2.1.6乙方破产清算、重组及兼并等事实发生，或被债权接管经营，甲方不必通知乙方即可终止承包。</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2.2协议终止</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经双方协商同意，可在任何时候终止承包合同。</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2.3自然终止</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合同规定的承包期满，承包自然终止。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3．承包终止后果</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3.1终止承包，不影响根据合同规定进行的赔偿、补偿，也不影响履约保证金的效力。</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3.2上述2.1.2、2.1.5二条的终止，乙方的履约保证金作为违约金支付给甲方。</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3.3承包终止时，双方应进行结算，甲方同时进行乙方承包区域设施、设备状况检查并要求乙方三天内将其物品撤离承包区域，否则甲方将代行处理，并追偿代理费及15％的行政手续费。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4．不放弃权利</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甲方接受乙方的服务，但不放弃对乙方违约行为进行追究的权利；同时，甲方可以对乙方某一违约行为放弃进行追究，但不放弃对乙方其他违约行为进行追究的权利。</w:t>
      </w:r>
    </w:p>
    <w:p>
      <w:pPr>
        <w:pStyle w:val="12"/>
        <w:snapToGrid w:val="0"/>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rPr>
        <w:t>十一、诉讼</w:t>
      </w:r>
    </w:p>
    <w:p>
      <w:pPr>
        <w:pStyle w:val="12"/>
        <w:snapToGrid w:val="0"/>
        <w:spacing w:line="360" w:lineRule="auto"/>
        <w:ind w:firstLine="420" w:firstLineChars="200"/>
        <w:textAlignment w:val="baseline"/>
        <w:rPr>
          <w:rFonts w:hAnsi="宋体"/>
          <w:snapToGrid w:val="0"/>
          <w:color w:val="auto"/>
          <w:szCs w:val="21"/>
          <w:highlight w:val="none"/>
        </w:rPr>
      </w:pPr>
      <w:r>
        <w:rPr>
          <w:rFonts w:hint="eastAsia" w:hAnsi="宋体"/>
          <w:snapToGrid w:val="0"/>
          <w:color w:val="auto"/>
          <w:szCs w:val="21"/>
          <w:highlight w:val="none"/>
        </w:rPr>
        <w:t>1、双方在执行合同中所发生的一切争议，应通过协商解决。如协商不成，</w:t>
      </w:r>
      <w:r>
        <w:rPr>
          <w:rFonts w:hAnsi="宋体" w:cs="宋体"/>
          <w:color w:val="auto"/>
          <w:kern w:val="0"/>
          <w:szCs w:val="21"/>
          <w:highlight w:val="none"/>
        </w:rPr>
        <w:t>提交</w:t>
      </w:r>
      <w:r>
        <w:rPr>
          <w:rFonts w:hAnsi="宋体"/>
          <w:color w:val="auto"/>
          <w:szCs w:val="21"/>
          <w:highlight w:val="none"/>
          <w:u w:val="single"/>
        </w:rPr>
        <w:t>台州</w:t>
      </w:r>
      <w:r>
        <w:rPr>
          <w:rFonts w:hAnsi="宋体" w:cs="宋体"/>
          <w:color w:val="auto"/>
          <w:kern w:val="0"/>
          <w:szCs w:val="21"/>
          <w:highlight w:val="none"/>
        </w:rPr>
        <w:t>仲裁委员会仲裁。</w:t>
      </w:r>
      <w:r>
        <w:rPr>
          <w:rFonts w:hint="eastAsia" w:hAnsi="宋体"/>
          <w:snapToGrid w:val="0"/>
          <w:color w:val="auto"/>
          <w:szCs w:val="21"/>
          <w:highlight w:val="none"/>
        </w:rPr>
        <w:t xml:space="preserve"> </w:t>
      </w:r>
    </w:p>
    <w:p>
      <w:pPr>
        <w:pStyle w:val="12"/>
        <w:snapToGrid w:val="0"/>
        <w:spacing w:line="360" w:lineRule="auto"/>
        <w:ind w:firstLine="422" w:firstLineChars="200"/>
        <w:textAlignment w:val="baseline"/>
        <w:rPr>
          <w:rFonts w:hAnsi="宋体"/>
          <w:b/>
          <w:bCs/>
          <w:snapToGrid w:val="0"/>
          <w:color w:val="auto"/>
          <w:szCs w:val="21"/>
          <w:highlight w:val="none"/>
        </w:rPr>
      </w:pPr>
      <w:r>
        <w:rPr>
          <w:rFonts w:hint="eastAsia" w:hAnsi="宋体"/>
          <w:b/>
          <w:bCs/>
          <w:snapToGrid w:val="0"/>
          <w:color w:val="auto"/>
          <w:szCs w:val="21"/>
          <w:highlight w:val="none"/>
        </w:rPr>
        <w:t>十二、合同生效及其它</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、合同经双方法定代表人或授权代表签字并加盖单位公章后生效。</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、合同执行中涉及采购资金和采购内容修改或补充的，须经财政部门审批，并签书面补充协议报政府采购监督管理部门备案，方为生效，届时才作为主合同不可分割的一部分。</w:t>
      </w:r>
    </w:p>
    <w:p>
      <w:pPr>
        <w:pStyle w:val="12"/>
        <w:snapToGrid w:val="0"/>
        <w:spacing w:line="360" w:lineRule="auto"/>
        <w:ind w:firstLine="420" w:firstLineChars="200"/>
        <w:textAlignment w:val="baseline"/>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、本合同未尽事宜，遵照《民法典》有关条文执行。</w:t>
      </w:r>
    </w:p>
    <w:p>
      <w:pPr>
        <w:widowControl/>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spacing w:val="-6"/>
          <w:kern w:val="0"/>
          <w:szCs w:val="21"/>
          <w:highlight w:val="none"/>
        </w:rPr>
        <w:t>、本合同壹式陆份，甲、乙双方、招标代理公司各执贰份。本项目未尽事宜以招标文件、投标文件及澄清文件等为准。</w:t>
      </w:r>
    </w:p>
    <w:p>
      <w:pPr>
        <w:widowControl/>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pPr>
        <w:widowControl/>
        <w:spacing w:line="360" w:lineRule="auto"/>
        <w:ind w:firstLine="315"/>
        <w:rPr>
          <w:rFonts w:ascii="宋体" w:hAnsi="宋体"/>
          <w:color w:val="auto"/>
          <w:kern w:val="0"/>
          <w:szCs w:val="21"/>
          <w:highlight w:val="none"/>
        </w:rPr>
      </w:pPr>
    </w:p>
    <w:p>
      <w:pPr>
        <w:widowControl/>
        <w:spacing w:line="360" w:lineRule="auto"/>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法定代表人或委托人：                      法定代表人或委托人：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联系电话：                                联系电话：</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pPr>
        <w:widowControl/>
        <w:spacing w:line="360" w:lineRule="auto"/>
        <w:ind w:firstLine="315"/>
        <w:rPr>
          <w:rFonts w:ascii="宋体" w:hAnsi="宋体"/>
          <w:color w:val="auto"/>
          <w:kern w:val="0"/>
          <w:szCs w:val="21"/>
          <w:highlight w:val="none"/>
        </w:rPr>
      </w:pPr>
    </w:p>
    <w:p>
      <w:pPr>
        <w:widowControl/>
        <w:spacing w:line="360" w:lineRule="auto"/>
        <w:ind w:firstLine="315"/>
        <w:rPr>
          <w:rFonts w:ascii="宋体" w:hAnsi="宋体"/>
          <w:color w:val="auto"/>
          <w:kern w:val="0"/>
          <w:szCs w:val="21"/>
          <w:highlight w:val="none"/>
        </w:rPr>
      </w:pPr>
      <w:r>
        <w:rPr>
          <w:rFonts w:hint="eastAsia" w:ascii="宋体" w:hAnsi="宋体"/>
          <w:color w:val="auto"/>
          <w:kern w:val="0"/>
          <w:szCs w:val="21"/>
          <w:highlight w:val="none"/>
        </w:rPr>
        <w:t>账    号：                                账    号：</w:t>
      </w:r>
    </w:p>
    <w:p>
      <w:pPr>
        <w:spacing w:line="500" w:lineRule="exact"/>
        <w:ind w:firstLine="420" w:firstLineChars="200"/>
        <w:textAlignment w:val="baseline"/>
        <w:rPr>
          <w:rFonts w:ascii="宋体" w:hAnsi="宋体"/>
          <w:snapToGrid w:val="0"/>
          <w:color w:val="auto"/>
          <w:szCs w:val="21"/>
          <w:highlight w:val="none"/>
        </w:rPr>
      </w:pPr>
      <w:r>
        <w:rPr>
          <w:rFonts w:hint="eastAsia" w:ascii="宋体" w:hAnsi="宋体"/>
          <w:snapToGrid w:val="0"/>
          <w:color w:val="auto"/>
          <w:szCs w:val="21"/>
          <w:highlight w:val="none"/>
        </w:rPr>
        <w:t xml:space="preserve">               合同鉴证方：</w:t>
      </w:r>
    </w:p>
    <w:p>
      <w:pPr>
        <w:spacing w:line="500" w:lineRule="exact"/>
        <w:ind w:firstLine="420" w:firstLineChars="200"/>
        <w:textAlignment w:val="baseline"/>
        <w:rPr>
          <w:rFonts w:ascii="宋体" w:hAnsi="宋体"/>
          <w:color w:val="auto"/>
          <w:sz w:val="36"/>
          <w:szCs w:val="36"/>
          <w:highlight w:val="none"/>
        </w:rPr>
      </w:pPr>
      <w:r>
        <w:rPr>
          <w:rFonts w:hint="eastAsia" w:ascii="宋体" w:hAnsi="宋体"/>
          <w:color w:val="auto"/>
          <w:kern w:val="0"/>
          <w:szCs w:val="21"/>
          <w:highlight w:val="none"/>
        </w:rPr>
        <w:t>签订日期：       年     月     日</w:t>
      </w:r>
    </w:p>
    <w:p>
      <w:pPr>
        <w:pStyle w:val="2"/>
        <w:jc w:val="center"/>
        <w:outlineLvl w:val="0"/>
        <w:rPr>
          <w:rFonts w:ascii="宋体" w:hAnsi="宋体"/>
          <w:b/>
          <w:color w:val="auto"/>
          <w:sz w:val="36"/>
          <w:szCs w:val="36"/>
          <w:highlight w:val="none"/>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pStyle w:val="2"/>
        <w:jc w:val="center"/>
        <w:outlineLvl w:val="0"/>
        <w:rPr>
          <w:rFonts w:ascii="宋体"/>
          <w:b/>
          <w:color w:val="auto"/>
          <w:sz w:val="36"/>
          <w:szCs w:val="36"/>
          <w:highlight w:val="none"/>
        </w:rPr>
      </w:pPr>
      <w:r>
        <w:rPr>
          <w:rFonts w:hint="eastAsia" w:ascii="宋体" w:hAnsi="宋体"/>
          <w:b/>
          <w:color w:val="auto"/>
          <w:sz w:val="36"/>
          <w:szCs w:val="36"/>
          <w:highlight w:val="none"/>
        </w:rPr>
        <w:t>第六章 投标文件格式附件</w:t>
      </w:r>
    </w:p>
    <w:p>
      <w:pPr>
        <w:spacing w:line="360" w:lineRule="auto"/>
        <w:rPr>
          <w:rFonts w:ascii="宋体"/>
          <w:b/>
          <w:color w:val="auto"/>
          <w:kern w:val="0"/>
          <w:sz w:val="28"/>
          <w:szCs w:val="28"/>
          <w:highlight w:val="none"/>
        </w:rPr>
      </w:pPr>
      <w:r>
        <w:rPr>
          <w:rFonts w:hint="eastAsia" w:ascii="宋体" w:hAnsi="宋体"/>
          <w:b/>
          <w:color w:val="auto"/>
          <w:kern w:val="0"/>
          <w:sz w:val="28"/>
          <w:szCs w:val="28"/>
          <w:highlight w:val="none"/>
        </w:rPr>
        <w:t>附件</w:t>
      </w:r>
      <w:r>
        <w:rPr>
          <w:rFonts w:ascii="宋体" w:hAnsi="宋体"/>
          <w:b/>
          <w:color w:val="auto"/>
          <w:kern w:val="0"/>
          <w:sz w:val="28"/>
          <w:szCs w:val="28"/>
          <w:highlight w:val="none"/>
        </w:rPr>
        <w:t>1</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r>
        <w:rPr>
          <w:rFonts w:hint="eastAsia" w:ascii="宋体" w:hAnsi="宋体"/>
          <w:color w:val="auto"/>
          <w:sz w:val="30"/>
          <w:szCs w:val="30"/>
          <w:highlight w:val="none"/>
        </w:rPr>
        <w:t xml:space="preserve">                       　</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pStyle w:val="51"/>
        <w:rPr>
          <w:color w:val="auto"/>
          <w:highlight w:val="none"/>
        </w:rPr>
      </w:pP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地址：</w:t>
      </w:r>
    </w:p>
    <w:p>
      <w:pPr>
        <w:spacing w:line="360" w:lineRule="auto"/>
        <w:ind w:right="532" w:firstLine="720" w:firstLineChars="200"/>
        <w:rPr>
          <w:rFonts w:ascii="仿宋_GB2312" w:hAnsi="宋体" w:eastAsia="仿宋_GB2312"/>
          <w:b/>
          <w:color w:val="auto"/>
          <w:sz w:val="36"/>
          <w:szCs w:val="36"/>
          <w:highlight w:val="none"/>
        </w:rPr>
      </w:pPr>
      <w:r>
        <w:rPr>
          <w:rFonts w:hint="eastAsia" w:ascii="宋体" w:hAnsi="宋体"/>
          <w:color w:val="auto"/>
          <w:sz w:val="36"/>
          <w:szCs w:val="36"/>
          <w:highlight w:val="none"/>
        </w:rPr>
        <w:t>时间：</w:t>
      </w:r>
    </w:p>
    <w:p>
      <w:pPr>
        <w:snapToGrid w:val="0"/>
        <w:spacing w:before="50" w:after="50" w:line="360" w:lineRule="auto"/>
        <w:jc w:val="center"/>
        <w:outlineLvl w:val="1"/>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snapToGrid w:val="0"/>
        <w:spacing w:before="50" w:after="50" w:line="360" w:lineRule="auto"/>
        <w:jc w:val="center"/>
        <w:rPr>
          <w:rFonts w:ascii="仿宋_GB2312" w:hAnsi="宋体" w:eastAsia="仿宋_GB2312"/>
          <w:b/>
          <w:bCs/>
          <w:color w:val="auto"/>
          <w:sz w:val="32"/>
          <w:szCs w:val="32"/>
          <w:highlight w:val="none"/>
        </w:rPr>
      </w:pPr>
    </w:p>
    <w:p>
      <w:pPr>
        <w:snapToGrid w:val="0"/>
        <w:spacing w:line="360" w:lineRule="auto"/>
        <w:ind w:firstLine="480" w:firstLineChars="200"/>
        <w:rPr>
          <w:rFonts w:ascii="宋体" w:hAnsi="宋体"/>
          <w:color w:val="auto"/>
          <w:sz w:val="24"/>
          <w:highlight w:val="none"/>
        </w:rPr>
      </w:pPr>
      <w:r>
        <w:rPr>
          <w:rFonts w:hint="eastAsia"/>
          <w:bCs/>
          <w:color w:val="auto"/>
          <w:sz w:val="24"/>
          <w:highlight w:val="none"/>
        </w:rPr>
        <w:t>1、投标声明书</w:t>
      </w:r>
      <w:r>
        <w:rPr>
          <w:rFonts w:hint="eastAsia" w:ascii="宋体" w:hAnsi="宋体"/>
          <w:color w:val="auto"/>
          <w:sz w:val="24"/>
          <w:highlight w:val="none"/>
        </w:rPr>
        <w:t>（附件2）</w:t>
      </w:r>
    </w:p>
    <w:p>
      <w:pPr>
        <w:snapToGrid w:val="0"/>
        <w:spacing w:line="360" w:lineRule="auto"/>
        <w:ind w:firstLine="480" w:firstLineChars="200"/>
        <w:rPr>
          <w:rFonts w:ascii="宋体" w:hAnsi="宋体"/>
          <w:color w:val="auto"/>
          <w:kern w:val="0"/>
          <w:sz w:val="24"/>
          <w:highlight w:val="none"/>
        </w:rPr>
      </w:pPr>
      <w:r>
        <w:rPr>
          <w:rFonts w:hint="eastAsia"/>
          <w:bCs/>
          <w:color w:val="auto"/>
          <w:sz w:val="24"/>
          <w:highlight w:val="none"/>
        </w:rPr>
        <w:t>2、</w:t>
      </w:r>
      <w:r>
        <w:rPr>
          <w:bCs/>
          <w:color w:val="auto"/>
          <w:sz w:val="24"/>
          <w:highlight w:val="none"/>
        </w:rPr>
        <w:t>授权</w:t>
      </w:r>
      <w:r>
        <w:rPr>
          <w:rFonts w:hint="eastAsia"/>
          <w:bCs/>
          <w:color w:val="auto"/>
          <w:sz w:val="24"/>
          <w:highlight w:val="none"/>
        </w:rPr>
        <w:t>委托</w:t>
      </w:r>
      <w:r>
        <w:rPr>
          <w:bCs/>
          <w:color w:val="auto"/>
          <w:sz w:val="24"/>
          <w:highlight w:val="none"/>
        </w:rPr>
        <w:t>书</w:t>
      </w:r>
      <w:r>
        <w:rPr>
          <w:rFonts w:hint="eastAsia" w:ascii="宋体" w:hAnsi="宋体"/>
          <w:bCs/>
          <w:color w:val="auto"/>
          <w:sz w:val="24"/>
          <w:highlight w:val="none"/>
        </w:rPr>
        <w:t>（附件3）</w:t>
      </w:r>
    </w:p>
    <w:p>
      <w:pPr>
        <w:snapToGrid w:val="0"/>
        <w:spacing w:line="360" w:lineRule="auto"/>
        <w:ind w:firstLine="480" w:firstLineChars="200"/>
        <w:rPr>
          <w:rFonts w:ascii="宋体" w:hAnsi="宋体"/>
          <w:color w:val="auto"/>
          <w:kern w:val="0"/>
          <w:sz w:val="24"/>
          <w:highlight w:val="none"/>
        </w:rPr>
      </w:pPr>
      <w:r>
        <w:rPr>
          <w:rFonts w:hint="eastAsia"/>
          <w:color w:val="auto"/>
          <w:sz w:val="24"/>
          <w:highlight w:val="none"/>
        </w:rPr>
        <w:t>3、</w:t>
      </w:r>
      <w:r>
        <w:rPr>
          <w:color w:val="auto"/>
          <w:sz w:val="24"/>
          <w:highlight w:val="none"/>
        </w:rPr>
        <w:t>法人或者其他组织的营业执照等证明文件，自然人的身份证明</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4、本项目要求的特定资质证书</w:t>
      </w:r>
    </w:p>
    <w:p>
      <w:pPr>
        <w:snapToGrid w:val="0"/>
        <w:spacing w:before="100" w:beforeAutospacing="1" w:after="100" w:afterAutospacing="1" w:line="360" w:lineRule="auto"/>
        <w:jc w:val="center"/>
        <w:rPr>
          <w:rFonts w:ascii="宋体"/>
          <w:b/>
          <w:bCs/>
          <w:color w:val="auto"/>
          <w:sz w:val="36"/>
          <w:szCs w:val="32"/>
          <w:highlight w:val="none"/>
        </w:rPr>
      </w:pPr>
    </w:p>
    <w:p>
      <w:pPr>
        <w:spacing w:line="360" w:lineRule="auto"/>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spacing w:line="360" w:lineRule="auto"/>
        <w:ind w:left="420"/>
        <w:rPr>
          <w:rFonts w:ascii="宋体"/>
          <w:b/>
          <w:color w:val="auto"/>
          <w:sz w:val="28"/>
          <w:highlight w:val="none"/>
        </w:rPr>
      </w:pPr>
    </w:p>
    <w:p>
      <w:pPr>
        <w:pStyle w:val="2"/>
        <w:rPr>
          <w:rFonts w:ascii="宋体"/>
          <w:b/>
          <w:color w:val="auto"/>
          <w:sz w:val="28"/>
          <w:highlight w:val="none"/>
        </w:rPr>
      </w:pPr>
    </w:p>
    <w:p>
      <w:pPr>
        <w:spacing w:line="360" w:lineRule="auto"/>
        <w:rPr>
          <w:rFonts w:ascii="宋体" w:hAnsi="宋体"/>
          <w:b/>
          <w:color w:val="auto"/>
          <w:sz w:val="28"/>
          <w:highlight w:val="none"/>
        </w:rPr>
      </w:pPr>
    </w:p>
    <w:p>
      <w:pPr>
        <w:pStyle w:val="2"/>
        <w:rPr>
          <w:rFonts w:ascii="宋体" w:hAnsi="宋体"/>
          <w:b/>
          <w:color w:val="auto"/>
          <w:sz w:val="28"/>
          <w:highlight w:val="none"/>
        </w:rPr>
      </w:pPr>
    </w:p>
    <w:p>
      <w:pPr>
        <w:pStyle w:val="3"/>
        <w:ind w:firstLine="281"/>
        <w:rPr>
          <w:rFonts w:ascii="宋体" w:hAnsi="宋体"/>
          <w:b/>
          <w:color w:val="auto"/>
          <w:sz w:val="28"/>
          <w:highlight w:val="none"/>
        </w:rPr>
      </w:pPr>
    </w:p>
    <w:p>
      <w:pPr>
        <w:rPr>
          <w:color w:val="auto"/>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2</w:t>
      </w:r>
    </w:p>
    <w:p>
      <w:pPr>
        <w:spacing w:line="360" w:lineRule="auto"/>
        <w:jc w:val="center"/>
        <w:rPr>
          <w:rFonts w:asci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pacing w:line="360" w:lineRule="auto"/>
        <w:rPr>
          <w:color w:val="auto"/>
          <w:szCs w:val="21"/>
          <w:highlight w:val="none"/>
          <w:u w:val="single"/>
        </w:rPr>
      </w:pPr>
      <w:r>
        <w:rPr>
          <w:rFonts w:hint="eastAsia"/>
          <w:color w:val="auto"/>
          <w:szCs w:val="21"/>
          <w:highlight w:val="none"/>
          <w:u w:val="single"/>
        </w:rPr>
        <w:t>台州市路桥区中医院医疗服务共同体、台州永安工程咨询有限公司：</w:t>
      </w:r>
    </w:p>
    <w:p>
      <w:pPr>
        <w:spacing w:line="360" w:lineRule="auto"/>
        <w:ind w:firstLine="420" w:firstLineChars="200"/>
        <w:rPr>
          <w:color w:val="auto"/>
          <w:szCs w:val="21"/>
          <w:highlight w:val="none"/>
        </w:rPr>
      </w:pPr>
      <w:r>
        <w:rPr>
          <w:rFonts w:hint="eastAsia"/>
          <w:color w:val="auto"/>
          <w:szCs w:val="21"/>
          <w:highlight w:val="none"/>
        </w:rPr>
        <w:t>（</w:t>
      </w:r>
      <w:r>
        <w:rPr>
          <w:rFonts w:hint="eastAsia"/>
          <w:color w:val="auto"/>
          <w:szCs w:val="21"/>
          <w:highlight w:val="none"/>
          <w:u w:val="single"/>
        </w:rPr>
        <w:t xml:space="preserve"> 投标人名称 </w:t>
      </w:r>
      <w:r>
        <w:rPr>
          <w:rFonts w:hint="eastAsia"/>
          <w:color w:val="auto"/>
          <w:szCs w:val="21"/>
          <w:highlight w:val="none"/>
        </w:rPr>
        <w:t>）系中华人民共和国合法企业，经营地址。</w:t>
      </w:r>
    </w:p>
    <w:p>
      <w:pPr>
        <w:spacing w:line="360" w:lineRule="auto"/>
        <w:ind w:firstLine="420" w:firstLineChars="200"/>
        <w:rPr>
          <w:color w:val="auto"/>
          <w:szCs w:val="21"/>
          <w:highlight w:val="none"/>
        </w:rPr>
      </w:pPr>
      <w:r>
        <w:rPr>
          <w:rFonts w:hint="eastAsia"/>
          <w:color w:val="auto"/>
          <w:szCs w:val="21"/>
          <w:highlight w:val="none"/>
        </w:rPr>
        <w:t>我（</w:t>
      </w:r>
      <w:r>
        <w:rPr>
          <w:rFonts w:hint="eastAsia" w:ascii="宋体" w:hAnsi="宋体" w:cs="宋体"/>
          <w:color w:val="auto"/>
          <w:szCs w:val="21"/>
          <w:highlight w:val="none"/>
          <w:u w:val="single"/>
        </w:rPr>
        <w:t xml:space="preserve"> 姓名 </w:t>
      </w:r>
      <w:r>
        <w:rPr>
          <w:rFonts w:hint="eastAsia"/>
          <w:color w:val="auto"/>
          <w:szCs w:val="21"/>
          <w:highlight w:val="none"/>
        </w:rPr>
        <w:t>）系（</w:t>
      </w:r>
      <w:r>
        <w:rPr>
          <w:rFonts w:hint="eastAsia" w:ascii="宋体" w:hAnsi="宋体" w:cs="宋体"/>
          <w:color w:val="auto"/>
          <w:szCs w:val="21"/>
          <w:highlight w:val="none"/>
          <w:u w:val="single"/>
        </w:rPr>
        <w:t xml:space="preserve"> 投标人名称 </w:t>
      </w:r>
      <w:r>
        <w:rPr>
          <w:rFonts w:hint="eastAsia"/>
          <w:color w:val="auto"/>
          <w:szCs w:val="21"/>
          <w:highlight w:val="none"/>
        </w:rPr>
        <w:t>）的法定代表人，我公司自愿参加贵方组织的</w:t>
      </w:r>
      <w:r>
        <w:rPr>
          <w:rFonts w:hint="eastAsia"/>
          <w:color w:val="auto"/>
          <w:szCs w:val="21"/>
          <w:highlight w:val="none"/>
          <w:u w:val="single"/>
        </w:rPr>
        <w:t>台州市路桥区中医院医疗服务共同体后勤家政服务项目</w:t>
      </w:r>
      <w:r>
        <w:rPr>
          <w:rFonts w:hint="eastAsia"/>
          <w:color w:val="auto"/>
          <w:szCs w:val="21"/>
          <w:highlight w:val="none"/>
        </w:rPr>
        <w:t>（编号为</w:t>
      </w:r>
      <w:r>
        <w:rPr>
          <w:rFonts w:hint="eastAsia" w:ascii="宋体" w:hAnsi="宋体" w:cs="宋体"/>
          <w:color w:val="auto"/>
          <w:szCs w:val="21"/>
          <w:highlight w:val="none"/>
          <w:u w:val="single"/>
        </w:rPr>
        <w:t>tzya2022-lq03</w:t>
      </w:r>
      <w:r>
        <w:rPr>
          <w:rFonts w:hint="eastAsia"/>
          <w:color w:val="auto"/>
          <w:szCs w:val="21"/>
          <w:highlight w:val="none"/>
        </w:rPr>
        <w:t>）的投标，为此，我公司就本次投标有关事项郑重声明如下：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pacing w:line="360" w:lineRule="auto"/>
        <w:ind w:firstLine="420" w:firstLineChars="200"/>
        <w:rPr>
          <w:rFonts w:ascii="宋体" w:hAnsi="宋体" w:cs="宋体"/>
          <w:color w:val="auto"/>
          <w:szCs w:val="21"/>
          <w:highlight w:val="none"/>
          <w:lang w:val="af-ZA"/>
        </w:rPr>
      </w:pPr>
      <w:r>
        <w:rPr>
          <w:rFonts w:hint="eastAsia" w:ascii="宋体" w:hAnsi="宋体" w:cs="宋体"/>
          <w:color w:val="auto"/>
          <w:szCs w:val="21"/>
          <w:highlight w:val="none"/>
        </w:rPr>
        <w:t>四、我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保证，</w:t>
      </w:r>
      <w:r>
        <w:rPr>
          <w:rFonts w:hint="eastAsia" w:ascii="宋体" w:hAnsi="宋体" w:cs="宋体"/>
          <w:color w:val="auto"/>
          <w:szCs w:val="21"/>
          <w:highlight w:val="none"/>
          <w:lang w:val="af-ZA"/>
        </w:rPr>
        <w:t>采购人在中华人民共和国境内使用</w:t>
      </w:r>
      <w:r>
        <w:rPr>
          <w:rFonts w:hint="eastAsia" w:ascii="宋体" w:hAnsi="宋体" w:cs="宋体"/>
          <w:color w:val="auto"/>
          <w:szCs w:val="21"/>
          <w:highlight w:val="none"/>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val="af-ZA"/>
        </w:rPr>
        <w:t>、我</w:t>
      </w:r>
      <w:r>
        <w:rPr>
          <w:rFonts w:hint="eastAsia" w:ascii="宋体" w:hAnsi="宋体" w:cs="宋体"/>
          <w:color w:val="auto"/>
          <w:szCs w:val="21"/>
          <w:highlight w:val="none"/>
          <w:lang w:val="zh-CN"/>
        </w:rPr>
        <w:t>公司</w:t>
      </w:r>
      <w:r>
        <w:rPr>
          <w:rFonts w:hint="eastAsia" w:ascii="宋体" w:hAnsi="宋体" w:cs="宋体"/>
          <w:color w:val="auto"/>
          <w:szCs w:val="21"/>
          <w:highlight w:val="none"/>
          <w:lang w:val="af-ZA"/>
        </w:rPr>
        <w:t>严格履行政府采购合同，</w:t>
      </w:r>
      <w:r>
        <w:rPr>
          <w:rFonts w:hint="eastAsia" w:ascii="宋体" w:hAnsi="宋体" w:cs="宋体"/>
          <w:color w:val="auto"/>
          <w:kern w:val="0"/>
          <w:szCs w:val="21"/>
          <w:highlight w:val="none"/>
          <w:lang w:val="af-ZA"/>
        </w:rPr>
        <w:t>除在投标文件中明确拒绝之外，均接受招标文件中的全部条件，</w:t>
      </w:r>
      <w:r>
        <w:rPr>
          <w:rFonts w:hint="eastAsia" w:ascii="宋体" w:hAnsi="宋体" w:cs="宋体"/>
          <w:color w:val="auto"/>
          <w:szCs w:val="21"/>
          <w:highlight w:val="none"/>
          <w:lang w:val="af-ZA"/>
        </w:rPr>
        <w:t>不降低合同约定的产品质量和服务，不擅自变更、中止、终止合同，或拒绝履行合同义务；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六、以上事项如有虚假或隐瞒，我</w:t>
      </w:r>
      <w:r>
        <w:rPr>
          <w:rFonts w:hint="eastAsia" w:ascii="宋体" w:hAnsi="宋体" w:cs="宋体"/>
          <w:color w:val="auto"/>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3360" w:firstLineChars="1600"/>
        <w:rPr>
          <w:rFonts w:ascii="宋体" w:hAnsi="宋体" w:cs="宋体"/>
          <w:color w:val="auto"/>
          <w:szCs w:val="21"/>
          <w:highlight w:val="none"/>
          <w:lang w:val="zh-CN"/>
        </w:rPr>
      </w:pPr>
      <w:r>
        <w:rPr>
          <w:rFonts w:hint="eastAsia" w:ascii="宋体" w:hAnsi="宋体" w:cs="宋体"/>
          <w:color w:val="auto"/>
          <w:szCs w:val="21"/>
          <w:highlight w:val="none"/>
          <w:lang w:val="zh-CN"/>
        </w:rPr>
        <w:t>投标人名称(公章)：</w:t>
      </w:r>
    </w:p>
    <w:p>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lang w:val="zh-CN"/>
        </w:rPr>
        <w:t>法定代表人或授权委托代理人（签字）：</w:t>
      </w:r>
    </w:p>
    <w:p>
      <w:pPr>
        <w:spacing w:line="360" w:lineRule="auto"/>
        <w:ind w:firstLine="420" w:firstLineChars="200"/>
        <w:jc w:val="center"/>
        <w:rPr>
          <w:rFonts w:ascii="宋体" w:hAnsi="宋体" w:cs="宋体"/>
          <w:color w:val="auto"/>
          <w:sz w:val="24"/>
          <w:szCs w:val="32"/>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日期：</w:t>
      </w:r>
      <w:r>
        <w:rPr>
          <w:rFonts w:hint="eastAsia" w:ascii="宋体" w:hAnsi="宋体" w:cs="宋体"/>
          <w:color w:val="auto"/>
          <w:szCs w:val="21"/>
          <w:highlight w:val="none"/>
        </w:rPr>
        <w:t>年  月  日</w:t>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w:t>
      </w:r>
      <w:r>
        <w:rPr>
          <w:rFonts w:ascii="宋体" w:hAnsi="宋体"/>
          <w:b/>
          <w:color w:val="auto"/>
          <w:sz w:val="28"/>
          <w:highlight w:val="none"/>
        </w:rPr>
        <w:t>3</w:t>
      </w:r>
    </w:p>
    <w:p>
      <w:pPr>
        <w:spacing w:line="360" w:lineRule="auto"/>
        <w:ind w:firstLine="321" w:firstLineChars="100"/>
        <w:jc w:val="center"/>
        <w:rPr>
          <w:rFonts w:hAnsi="宋体"/>
          <w:b/>
          <w:color w:val="auto"/>
          <w:sz w:val="32"/>
          <w:szCs w:val="32"/>
          <w:highlight w:val="none"/>
          <w:u w:val="single"/>
        </w:rPr>
      </w:pPr>
      <w:r>
        <w:rPr>
          <w:rFonts w:hint="eastAsia"/>
          <w:b/>
          <w:color w:val="auto"/>
          <w:sz w:val="32"/>
          <w:szCs w:val="32"/>
          <w:highlight w:val="none"/>
        </w:rPr>
        <w:t>授权委托书</w:t>
      </w:r>
    </w:p>
    <w:p>
      <w:pPr>
        <w:pStyle w:val="12"/>
        <w:spacing w:line="360" w:lineRule="auto"/>
        <w:ind w:left="210" w:hanging="210" w:hangingChars="100"/>
        <w:rPr>
          <w:rFonts w:hAnsi="宋体" w:cs="宋体"/>
          <w:color w:val="auto"/>
          <w:kern w:val="0"/>
          <w:szCs w:val="21"/>
          <w:highlight w:val="none"/>
        </w:rPr>
      </w:pPr>
      <w:r>
        <w:rPr>
          <w:rFonts w:hint="eastAsia" w:hAnsi="宋体"/>
          <w:color w:val="auto"/>
          <w:szCs w:val="21"/>
          <w:highlight w:val="none"/>
          <w:u w:val="single"/>
        </w:rPr>
        <w:t>台州市路桥区中医院医疗服务共同体、台州永安工程咨询有限公司</w:t>
      </w:r>
      <w:r>
        <w:rPr>
          <w:rFonts w:hint="eastAsia" w:hAnsi="宋体" w:cs="宋体"/>
          <w:color w:val="auto"/>
          <w:kern w:val="0"/>
          <w:szCs w:val="21"/>
          <w:highlight w:val="none"/>
        </w:rPr>
        <w:t>：</w:t>
      </w:r>
    </w:p>
    <w:p>
      <w:pPr>
        <w:pStyle w:val="12"/>
        <w:spacing w:line="360" w:lineRule="auto"/>
        <w:ind w:left="210" w:hanging="210" w:hangingChars="100"/>
        <w:rPr>
          <w:rFonts w:hAnsi="宋体"/>
          <w:color w:val="auto"/>
          <w:szCs w:val="21"/>
          <w:highlight w:val="none"/>
        </w:rPr>
      </w:pPr>
      <w:r>
        <w:rPr>
          <w:rFonts w:hint="eastAsia" w:hAnsi="宋体"/>
          <w:color w:val="auto"/>
          <w:szCs w:val="21"/>
          <w:highlight w:val="none"/>
          <w:u w:val="single"/>
        </w:rPr>
        <w:t>（投标人全称）</w:t>
      </w:r>
      <w:r>
        <w:rPr>
          <w:rFonts w:hint="eastAsia" w:hAnsi="宋体"/>
          <w:color w:val="auto"/>
          <w:szCs w:val="21"/>
          <w:highlight w:val="none"/>
        </w:rPr>
        <w:t>法定代表人</w:t>
      </w:r>
      <w:r>
        <w:rPr>
          <w:rFonts w:hint="eastAsia" w:ascii="Arial" w:hAnsi="Arial" w:cs="Arial"/>
          <w:color w:val="auto"/>
          <w:szCs w:val="21"/>
          <w:highlight w:val="none"/>
        </w:rPr>
        <w:t>（或营业执照中单位负责人）</w:t>
      </w:r>
      <w:r>
        <w:rPr>
          <w:rFonts w:hAnsi="宋体"/>
          <w:color w:val="auto"/>
          <w:szCs w:val="21"/>
          <w:highlight w:val="none"/>
          <w:u w:val="single"/>
        </w:rPr>
        <w:tab/>
      </w:r>
      <w:r>
        <w:rPr>
          <w:rFonts w:hint="eastAsia" w:hAnsi="宋体"/>
          <w:color w:val="auto"/>
          <w:szCs w:val="21"/>
          <w:highlight w:val="none"/>
          <w:u w:val="single"/>
        </w:rPr>
        <w:t>（法定代表人</w:t>
      </w:r>
      <w:r>
        <w:rPr>
          <w:rFonts w:hint="eastAsia" w:ascii="Arial" w:hAnsi="Arial" w:cs="Arial"/>
          <w:color w:val="auto"/>
          <w:szCs w:val="21"/>
          <w:highlight w:val="none"/>
          <w:u w:val="single"/>
        </w:rPr>
        <w:t>或营业执照中单位负责人</w:t>
      </w:r>
      <w:r>
        <w:rPr>
          <w:rFonts w:hint="eastAsia" w:hAnsi="宋体"/>
          <w:color w:val="auto"/>
          <w:szCs w:val="21"/>
          <w:highlight w:val="none"/>
          <w:u w:val="single"/>
        </w:rPr>
        <w:t>姓名）</w:t>
      </w:r>
      <w:r>
        <w:rPr>
          <w:rFonts w:hint="eastAsia" w:hAnsi="宋体"/>
          <w:color w:val="auto"/>
          <w:szCs w:val="21"/>
          <w:highlight w:val="none"/>
        </w:rPr>
        <w:t>授权</w:t>
      </w:r>
      <w:r>
        <w:rPr>
          <w:rFonts w:hint="eastAsia" w:hAnsi="宋体"/>
          <w:color w:val="auto"/>
          <w:szCs w:val="21"/>
          <w:highlight w:val="none"/>
          <w:u w:val="single"/>
        </w:rPr>
        <w:t>（授权委托代理人姓名）</w:t>
      </w:r>
      <w:r>
        <w:rPr>
          <w:rFonts w:hint="eastAsia" w:hAnsi="宋体"/>
          <w:color w:val="auto"/>
          <w:szCs w:val="21"/>
          <w:highlight w:val="none"/>
        </w:rPr>
        <w:t>为授权委托代理人，参加贵单位组织的</w:t>
      </w:r>
      <w:r>
        <w:rPr>
          <w:rFonts w:hint="eastAsia" w:hAnsi="Times New Roman"/>
          <w:color w:val="auto"/>
          <w:kern w:val="0"/>
          <w:szCs w:val="21"/>
          <w:highlight w:val="none"/>
          <w:u w:val="single"/>
        </w:rPr>
        <w:t>台州市路桥区中医院医疗服务共同体后勤家政服务项目</w:t>
      </w:r>
      <w:r>
        <w:rPr>
          <w:rFonts w:hint="eastAsia" w:hAnsi="宋体"/>
          <w:color w:val="auto"/>
          <w:szCs w:val="21"/>
          <w:highlight w:val="none"/>
        </w:rPr>
        <w:t>的采购活动，并代表我方全权办理针对上述项目的投标、开标、评标、签约等具体事务和签署相关文件。我方对授权委托代理人的签字事项负全部责任。</w:t>
      </w:r>
    </w:p>
    <w:p>
      <w:pPr>
        <w:pStyle w:val="12"/>
        <w:spacing w:line="360" w:lineRule="auto"/>
        <w:ind w:left="139" w:leftChars="66" w:firstLine="420" w:firstLineChars="200"/>
        <w:rPr>
          <w:rFonts w:hAnsi="宋体"/>
          <w:color w:val="auto"/>
          <w:szCs w:val="21"/>
          <w:highlight w:val="none"/>
        </w:rPr>
      </w:pPr>
      <w:r>
        <w:rPr>
          <w:rFonts w:hint="eastAsia" w:hAnsi="宋体"/>
          <w:color w:val="auto"/>
          <w:szCs w:val="21"/>
          <w:highlight w:val="none"/>
        </w:rPr>
        <w:t>在撤销授权的书面通知以前，本授权书一直有效。授权委托代理人在授权委托书有效期内签署的所有文件不因授权的撤销而失效。</w:t>
      </w:r>
    </w:p>
    <w:p>
      <w:pPr>
        <w:pStyle w:val="12"/>
        <w:spacing w:line="360" w:lineRule="auto"/>
        <w:ind w:left="139" w:leftChars="66" w:firstLine="420" w:firstLineChars="200"/>
        <w:rPr>
          <w:rFonts w:hAnsi="宋体"/>
          <w:color w:val="auto"/>
          <w:szCs w:val="21"/>
          <w:highlight w:val="none"/>
        </w:rPr>
      </w:pPr>
      <w:r>
        <w:rPr>
          <w:rFonts w:hint="eastAsia" w:hAnsi="宋体"/>
          <w:color w:val="auto"/>
          <w:szCs w:val="21"/>
          <w:highlight w:val="none"/>
        </w:rPr>
        <w:t>授权委托代理人无转委托权，特此委托。</w:t>
      </w:r>
    </w:p>
    <w:p>
      <w:pPr>
        <w:spacing w:line="360" w:lineRule="auto"/>
        <w:rPr>
          <w:color w:val="auto"/>
          <w:szCs w:val="21"/>
          <w:highlight w:val="none"/>
        </w:rPr>
      </w:pPr>
    </w:p>
    <w:p>
      <w:pPr>
        <w:spacing w:line="360" w:lineRule="auto"/>
        <w:rPr>
          <w:color w:val="auto"/>
          <w:szCs w:val="21"/>
          <w:highlight w:val="none"/>
        </w:rPr>
      </w:pPr>
      <w:r>
        <w:rPr>
          <w:rFonts w:hint="eastAsia" w:ascii="宋体"/>
          <w:color w:val="auto"/>
          <w:szCs w:val="21"/>
          <w:highlight w:val="none"/>
        </w:rPr>
        <w:t>法定代表人签字或盖章：</w:t>
      </w:r>
    </w:p>
    <w:p>
      <w:pPr>
        <w:spacing w:line="360" w:lineRule="auto"/>
        <w:rPr>
          <w:color w:val="auto"/>
          <w:szCs w:val="21"/>
          <w:highlight w:val="none"/>
        </w:rPr>
      </w:pPr>
      <w:r>
        <w:rPr>
          <w:rFonts w:hint="eastAsia" w:ascii="宋体"/>
          <w:color w:val="auto"/>
          <w:szCs w:val="21"/>
          <w:highlight w:val="none"/>
        </w:rPr>
        <w:t>投标人全称（公章）：日期：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Cs w:val="21"/>
          <w:highlight w:val="none"/>
        </w:rPr>
      </w:pPr>
      <w:r>
        <w:rPr>
          <w:rFonts w:hint="eastAsia" w:ascii="宋体"/>
          <w:color w:val="auto"/>
          <w:szCs w:val="21"/>
          <w:highlight w:val="none"/>
        </w:rPr>
        <w:t>法定代表人姓名：</w:t>
      </w:r>
    </w:p>
    <w:p>
      <w:pPr>
        <w:spacing w:line="360" w:lineRule="auto"/>
        <w:rPr>
          <w:color w:val="auto"/>
          <w:szCs w:val="21"/>
          <w:highlight w:val="none"/>
        </w:rPr>
      </w:pPr>
      <w:r>
        <w:rPr>
          <w:rFonts w:hint="eastAsia" w:ascii="宋体"/>
          <w:color w:val="auto"/>
          <w:szCs w:val="21"/>
          <w:highlight w:val="none"/>
        </w:rPr>
        <w:t>传真：</w:t>
      </w:r>
    </w:p>
    <w:p>
      <w:pPr>
        <w:spacing w:line="360" w:lineRule="auto"/>
        <w:rPr>
          <w:rFonts w:ascii="宋体"/>
          <w:color w:val="auto"/>
          <w:szCs w:val="21"/>
          <w:highlight w:val="none"/>
        </w:rPr>
      </w:pPr>
      <w:r>
        <w:rPr>
          <w:rFonts w:hint="eastAsia" w:ascii="宋体"/>
          <w:color w:val="auto"/>
          <w:szCs w:val="21"/>
          <w:highlight w:val="none"/>
        </w:rPr>
        <w:t>电话：</w:t>
      </w:r>
    </w:p>
    <w:p>
      <w:pPr>
        <w:spacing w:line="360" w:lineRule="auto"/>
        <w:rPr>
          <w:color w:val="auto"/>
          <w:szCs w:val="21"/>
          <w:highlight w:val="none"/>
        </w:rPr>
      </w:pPr>
      <w:r>
        <w:rPr>
          <w:rFonts w:hint="eastAsia" w:ascii="宋体"/>
          <w:color w:val="auto"/>
          <w:szCs w:val="21"/>
          <w:highlight w:val="none"/>
        </w:rPr>
        <w:t>详细通讯地址：</w:t>
      </w:r>
    </w:p>
    <w:p>
      <w:pPr>
        <w:spacing w:line="360" w:lineRule="auto"/>
        <w:rPr>
          <w:rFonts w:ascii="宋体"/>
          <w:color w:val="auto"/>
          <w:szCs w:val="21"/>
          <w:highlight w:val="none"/>
        </w:rPr>
      </w:pPr>
      <w:r>
        <w:rPr>
          <w:rFonts w:hint="eastAsia" w:ascii="宋体"/>
          <w:color w:val="auto"/>
          <w:szCs w:val="21"/>
          <w:highlight w:val="none"/>
        </w:rPr>
        <w:t>邮政编码：</w:t>
      </w:r>
    </w:p>
    <w:p>
      <w:pPr>
        <w:spacing w:line="360" w:lineRule="auto"/>
        <w:rPr>
          <w:b/>
          <w:color w:val="auto"/>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Cs w:val="21"/>
                <w:highlight w:val="none"/>
              </w:rPr>
            </w:pPr>
          </w:p>
          <w:p>
            <w:pPr>
              <w:spacing w:line="360" w:lineRule="auto"/>
              <w:rPr>
                <w:rFonts w:ascii="宋体"/>
                <w:b/>
                <w:color w:val="auto"/>
                <w:szCs w:val="21"/>
                <w:highlight w:val="none"/>
              </w:rPr>
            </w:pPr>
            <w:r>
              <w:rPr>
                <w:rFonts w:hint="eastAsia" w:ascii="宋体"/>
                <w:b/>
                <w:color w:val="auto"/>
                <w:szCs w:val="21"/>
                <w:highlight w:val="none"/>
              </w:rPr>
              <w:t>授权委托代理人身份证复印件粘帖处</w:t>
            </w:r>
          </w:p>
        </w:tc>
      </w:tr>
    </w:tbl>
    <w:p>
      <w:pPr>
        <w:spacing w:line="360" w:lineRule="auto"/>
        <w:rPr>
          <w:rFonts w:ascii="宋体"/>
          <w:color w:val="auto"/>
          <w:szCs w:val="21"/>
          <w:highlight w:val="none"/>
        </w:rPr>
      </w:pPr>
      <w:r>
        <w:rPr>
          <w:rFonts w:hint="eastAsia" w:ascii="宋体"/>
          <w:color w:val="auto"/>
          <w:szCs w:val="21"/>
          <w:highlight w:val="none"/>
        </w:rPr>
        <w:t>授权委托代理人姓名：</w:t>
      </w:r>
    </w:p>
    <w:p>
      <w:pPr>
        <w:spacing w:line="360" w:lineRule="auto"/>
        <w:rPr>
          <w:color w:val="auto"/>
          <w:szCs w:val="21"/>
          <w:highlight w:val="none"/>
        </w:rPr>
      </w:pPr>
      <w:r>
        <w:rPr>
          <w:rFonts w:hint="eastAsia" w:ascii="宋体"/>
          <w:color w:val="auto"/>
          <w:szCs w:val="21"/>
          <w:highlight w:val="none"/>
        </w:rPr>
        <w:t>职务：</w:t>
      </w:r>
    </w:p>
    <w:p>
      <w:pPr>
        <w:spacing w:line="360" w:lineRule="auto"/>
        <w:rPr>
          <w:color w:val="auto"/>
          <w:szCs w:val="21"/>
          <w:highlight w:val="none"/>
        </w:rPr>
      </w:pPr>
      <w:r>
        <w:rPr>
          <w:rFonts w:hint="eastAsia" w:ascii="宋体"/>
          <w:color w:val="auto"/>
          <w:szCs w:val="21"/>
          <w:highlight w:val="none"/>
        </w:rPr>
        <w:t>传真：</w:t>
      </w:r>
    </w:p>
    <w:p>
      <w:pPr>
        <w:spacing w:line="360" w:lineRule="auto"/>
        <w:rPr>
          <w:rFonts w:ascii="宋体"/>
          <w:color w:val="auto"/>
          <w:szCs w:val="21"/>
          <w:highlight w:val="none"/>
        </w:rPr>
      </w:pPr>
      <w:r>
        <w:rPr>
          <w:rFonts w:hint="eastAsia" w:ascii="宋体"/>
          <w:color w:val="auto"/>
          <w:szCs w:val="21"/>
          <w:highlight w:val="none"/>
        </w:rPr>
        <w:t>电话：</w:t>
      </w:r>
    </w:p>
    <w:p>
      <w:pPr>
        <w:spacing w:line="360" w:lineRule="auto"/>
        <w:rPr>
          <w:color w:val="auto"/>
          <w:szCs w:val="21"/>
          <w:highlight w:val="none"/>
        </w:rPr>
      </w:pPr>
      <w:r>
        <w:rPr>
          <w:rFonts w:hint="eastAsia" w:ascii="宋体"/>
          <w:color w:val="auto"/>
          <w:szCs w:val="21"/>
          <w:highlight w:val="none"/>
        </w:rPr>
        <w:t>详细通讯地址：</w:t>
      </w:r>
    </w:p>
    <w:p>
      <w:pPr>
        <w:spacing w:line="360" w:lineRule="auto"/>
        <w:rPr>
          <w:rFonts w:ascii="宋体"/>
          <w:color w:val="auto"/>
          <w:szCs w:val="21"/>
          <w:highlight w:val="none"/>
        </w:rPr>
      </w:pPr>
      <w:r>
        <w:rPr>
          <w:rFonts w:hint="eastAsia" w:ascii="宋体"/>
          <w:color w:val="auto"/>
          <w:szCs w:val="21"/>
          <w:highlight w:val="none"/>
        </w:rPr>
        <w:t>邮政编码：</w:t>
      </w: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pStyle w:val="65"/>
        <w:widowControl w:val="0"/>
        <w:snapToGrid w:val="0"/>
        <w:spacing w:line="360" w:lineRule="auto"/>
        <w:jc w:val="center"/>
        <w:rPr>
          <w:rFonts w:ascii="Times New Roman" w:hAnsi="Times New Roman"/>
          <w:b/>
          <w:color w:val="auto"/>
          <w:kern w:val="2"/>
          <w:sz w:val="32"/>
          <w:szCs w:val="32"/>
          <w:highlight w:val="none"/>
        </w:rPr>
      </w:pPr>
      <w:r>
        <w:rPr>
          <w:rFonts w:hint="eastAsia" w:ascii="Times New Roman" w:hAnsi="Times New Roman"/>
          <w:b/>
          <w:color w:val="auto"/>
          <w:kern w:val="2"/>
          <w:sz w:val="32"/>
          <w:szCs w:val="32"/>
          <w:highlight w:val="none"/>
        </w:rPr>
        <w:t>政府采购活动现场确认声明书</w:t>
      </w:r>
    </w:p>
    <w:p>
      <w:pPr>
        <w:pStyle w:val="65"/>
        <w:widowControl w:val="0"/>
        <w:snapToGrid w:val="0"/>
        <w:spacing w:line="360" w:lineRule="auto"/>
        <w:jc w:val="both"/>
        <w:rPr>
          <w:rFonts w:hAnsi="宋体" w:cs="宋体"/>
          <w:b/>
          <w:color w:val="auto"/>
          <w:sz w:val="21"/>
          <w:szCs w:val="21"/>
          <w:highlight w:val="none"/>
        </w:rPr>
      </w:pP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台州永安工程咨询有限公司</w:t>
      </w:r>
      <w:r>
        <w:rPr>
          <w:rFonts w:hint="eastAsia" w:hAnsi="宋体" w:cs="宋体"/>
          <w:color w:val="auto"/>
          <w:sz w:val="21"/>
          <w:szCs w:val="21"/>
          <w:highlight w:val="none"/>
        </w:rPr>
        <w:t>：</w:t>
      </w:r>
    </w:p>
    <w:p>
      <w:pPr>
        <w:pStyle w:val="65"/>
        <w:widowControl w:val="0"/>
        <w:snapToGrid w:val="0"/>
        <w:spacing w:line="360" w:lineRule="auto"/>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z w:val="21"/>
          <w:szCs w:val="21"/>
          <w:highlight w:val="none"/>
          <w:u w:val="single"/>
        </w:rPr>
        <w:t xml:space="preserve">  </w:t>
      </w:r>
      <w:r>
        <w:rPr>
          <w:rFonts w:hAnsi="宋体"/>
          <w:color w:val="auto"/>
          <w:sz w:val="21"/>
          <w:szCs w:val="21"/>
          <w:highlight w:val="none"/>
          <w:u w:val="single"/>
        </w:rPr>
        <w:t>（</w:t>
      </w:r>
      <w:r>
        <w:rPr>
          <w:rFonts w:hint="eastAsia" w:hAnsi="宋体"/>
          <w:color w:val="auto"/>
          <w:sz w:val="21"/>
          <w:szCs w:val="21"/>
          <w:highlight w:val="none"/>
          <w:u w:val="single"/>
        </w:rPr>
        <w:t>供应商</w:t>
      </w:r>
      <w:r>
        <w:rPr>
          <w:rFonts w:hAnsi="宋体"/>
          <w:color w:val="auto"/>
          <w:sz w:val="21"/>
          <w:szCs w:val="21"/>
          <w:highlight w:val="none"/>
          <w:u w:val="single"/>
        </w:rPr>
        <w:t>全称）</w:t>
      </w:r>
      <w:r>
        <w:rPr>
          <w:rFonts w:hint="eastAsia" w:hAnsi="宋体" w:cs="宋体"/>
          <w:color w:val="auto"/>
          <w:sz w:val="21"/>
          <w:szCs w:val="21"/>
          <w:highlight w:val="none"/>
          <w:u w:val="single"/>
        </w:rPr>
        <w:t xml:space="preserve">   </w:t>
      </w:r>
      <w:r>
        <w:rPr>
          <w:rFonts w:hint="eastAsia" w:hAnsi="宋体" w:cs="宋体"/>
          <w:color w:val="auto"/>
          <w:spacing w:val="6"/>
          <w:sz w:val="21"/>
          <w:szCs w:val="21"/>
          <w:highlight w:val="none"/>
        </w:rPr>
        <w:t>负责人</w:t>
      </w:r>
      <w:r>
        <w:rPr>
          <w:rFonts w:hint="eastAsia" w:hAnsi="宋体" w:cs="宋体"/>
          <w:color w:val="auto"/>
          <w:sz w:val="21"/>
          <w:szCs w:val="21"/>
          <w:highlight w:val="none"/>
          <w:u w:val="single"/>
        </w:rPr>
        <w:t xml:space="preserve">  </w:t>
      </w:r>
      <w:r>
        <w:rPr>
          <w:rFonts w:hint="eastAsia" w:hAnsi="宋体"/>
          <w:color w:val="auto"/>
          <w:sz w:val="21"/>
          <w:szCs w:val="21"/>
          <w:highlight w:val="none"/>
          <w:u w:val="single"/>
        </w:rPr>
        <w:t>（法定代表人</w:t>
      </w:r>
      <w:r>
        <w:rPr>
          <w:rFonts w:hAnsi="宋体"/>
          <w:color w:val="auto"/>
          <w:sz w:val="21"/>
          <w:szCs w:val="21"/>
          <w:highlight w:val="none"/>
          <w:u w:val="single"/>
        </w:rPr>
        <w:t>姓名</w:t>
      </w:r>
      <w:r>
        <w:rPr>
          <w:rFonts w:hint="eastAsia" w:hAnsi="宋体"/>
          <w:color w:val="auto"/>
          <w:sz w:val="21"/>
          <w:szCs w:val="21"/>
          <w:highlight w:val="none"/>
          <w:u w:val="singl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合</w:t>
      </w:r>
      <w:r>
        <w:rPr>
          <w:rFonts w:hint="eastAsia" w:hAnsi="宋体" w:cs="宋体"/>
          <w:color w:val="auto"/>
          <w:spacing w:val="6"/>
          <w:sz w:val="21"/>
          <w:szCs w:val="21"/>
          <w:highlight w:val="none"/>
        </w:rPr>
        <w:t>法授权参加</w:t>
      </w:r>
      <w:r>
        <w:rPr>
          <w:rFonts w:hint="eastAsia" w:hAnsi="Times New Roman"/>
          <w:color w:val="auto"/>
          <w:sz w:val="21"/>
          <w:szCs w:val="21"/>
          <w:highlight w:val="none"/>
          <w:u w:val="single"/>
        </w:rPr>
        <w:t>台州市路桥区中医院医疗服务共同体后勤家政服务项目</w:t>
      </w:r>
      <w:r>
        <w:rPr>
          <w:rFonts w:hint="eastAsia" w:hAnsi="宋体" w:cs="宋体"/>
          <w:color w:val="auto"/>
          <w:spacing w:val="6"/>
          <w:sz w:val="21"/>
          <w:szCs w:val="21"/>
          <w:highlight w:val="none"/>
        </w:rPr>
        <w:t>（编号：</w:t>
      </w:r>
      <w:r>
        <w:rPr>
          <w:rFonts w:hint="eastAsia" w:hAnsi="宋体" w:cs="宋体"/>
          <w:color w:val="auto"/>
          <w:sz w:val="21"/>
          <w:szCs w:val="21"/>
          <w:highlight w:val="none"/>
          <w:u w:val="single"/>
        </w:rPr>
        <w:t>tzya2022-lq03</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51"/>
        <w:widowControl/>
        <w:tabs>
          <w:tab w:val="left" w:pos="630"/>
        </w:tabs>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 xml:space="preserve">一、本单位与采购人之间 </w:t>
      </w:r>
      <w:r>
        <w:rPr>
          <w:rFonts w:hint="eastAsia" w:hAnsi="宋体" w:cs="宋体"/>
          <w:color w:val="auto"/>
          <w:sz w:val="21"/>
          <w:szCs w:val="21"/>
          <w:highlight w:val="none"/>
        </w:rPr>
        <w:sym w:font="Wingdings" w:char="00FE"/>
      </w:r>
      <w:r>
        <w:rPr>
          <w:rFonts w:hint="eastAsia" w:hAnsi="宋体" w:cs="宋体"/>
          <w:color w:val="auto"/>
          <w:sz w:val="21"/>
          <w:szCs w:val="21"/>
          <w:highlight w:val="none"/>
        </w:rPr>
        <w:t>不存在利害关系 □存在下列利害关系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51"/>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A.投资关系    B.行政隶属关系    C.业务指导关系</w:t>
      </w:r>
    </w:p>
    <w:p>
      <w:pPr>
        <w:pStyle w:val="51"/>
        <w:widowControl/>
        <w:snapToGrid w:val="0"/>
        <w:spacing w:line="360" w:lineRule="auto"/>
        <w:rPr>
          <w:rFonts w:hAnsi="宋体" w:cs="宋体"/>
          <w:color w:val="auto"/>
          <w:sz w:val="21"/>
          <w:szCs w:val="21"/>
          <w:highlight w:val="none"/>
        </w:rPr>
      </w:pPr>
      <w:r>
        <w:rPr>
          <w:rFonts w:hint="eastAsia" w:hAnsi="宋体" w:cs="宋体"/>
          <w:color w:val="auto"/>
          <w:sz w:val="21"/>
          <w:szCs w:val="21"/>
          <w:highlight w:val="none"/>
        </w:rPr>
        <w:t xml:space="preserve">  D.其他可能影响采购公正的利害关系</w:t>
      </w:r>
      <w:r>
        <w:rPr>
          <w:rFonts w:hint="eastAsia" w:hAnsi="宋体" w:cs="宋体"/>
          <w:color w:val="auto"/>
          <w:sz w:val="21"/>
          <w:szCs w:val="21"/>
          <w:highlight w:val="none"/>
          <w:u w:val="single"/>
        </w:rPr>
        <w:t xml:space="preserve">（如有，请如实说明）                 </w:t>
      </w:r>
      <w:r>
        <w:rPr>
          <w:rFonts w:hint="eastAsia" w:hAnsi="宋体" w:cs="宋体"/>
          <w:color w:val="auto"/>
          <w:sz w:val="21"/>
          <w:szCs w:val="21"/>
          <w:highlight w:val="none"/>
        </w:rPr>
        <w:t>。</w:t>
      </w:r>
    </w:p>
    <w:p>
      <w:pPr>
        <w:pStyle w:val="51"/>
        <w:widowControl/>
        <w:snapToGrid w:val="0"/>
        <w:spacing w:line="360" w:lineRule="auto"/>
        <w:ind w:firstLine="222" w:firstLineChars="100"/>
        <w:rPr>
          <w:rFonts w:hAnsi="宋体" w:cs="宋体"/>
          <w:color w:val="auto"/>
          <w:sz w:val="21"/>
          <w:szCs w:val="21"/>
          <w:highlight w:val="none"/>
        </w:rPr>
      </w:pPr>
      <w:r>
        <w:rPr>
          <w:rFonts w:hint="eastAsia" w:hAnsi="宋体" w:cs="宋体"/>
          <w:color w:val="auto"/>
          <w:spacing w:val="6"/>
          <w:sz w:val="21"/>
          <w:szCs w:val="21"/>
          <w:highlight w:val="none"/>
        </w:rPr>
        <w:t>二、</w:t>
      </w:r>
      <w:r>
        <w:rPr>
          <w:rFonts w:hint="eastAsia" w:hAnsi="宋体" w:cs="宋体"/>
          <w:color w:val="auto"/>
          <w:sz w:val="21"/>
          <w:szCs w:val="21"/>
          <w:highlight w:val="none"/>
        </w:rPr>
        <w:t>现已清楚知道参加本项目采购活动的其他所有供应商名称，本单位</w:t>
      </w:r>
      <w:r>
        <w:rPr>
          <w:rFonts w:hint="eastAsia" w:hAnsi="宋体" w:cs="宋体"/>
          <w:color w:val="auto"/>
          <w:sz w:val="21"/>
          <w:szCs w:val="21"/>
          <w:highlight w:val="none"/>
        </w:rPr>
        <w:sym w:font="Wingdings" w:char="00FE"/>
      </w:r>
      <w:r>
        <w:rPr>
          <w:rFonts w:hint="eastAsia" w:hAnsi="宋体" w:cs="宋体"/>
          <w:color w:val="auto"/>
          <w:sz w:val="21"/>
          <w:szCs w:val="21"/>
          <w:highlight w:val="none"/>
        </w:rPr>
        <w:t>与其他所有供应商之间均不存在利害关系 □与</w:t>
      </w:r>
      <w:r>
        <w:rPr>
          <w:rFonts w:hint="eastAsia" w:hAnsi="宋体" w:cs="宋体"/>
          <w:color w:val="auto"/>
          <w:sz w:val="21"/>
          <w:szCs w:val="21"/>
          <w:highlight w:val="none"/>
          <w:u w:val="single"/>
        </w:rPr>
        <w:t xml:space="preserve">           （供应商名称）</w:t>
      </w:r>
      <w:r>
        <w:rPr>
          <w:rFonts w:hint="eastAsia" w:hAnsi="宋体" w:cs="宋体"/>
          <w:color w:val="auto"/>
          <w:sz w:val="21"/>
          <w:szCs w:val="21"/>
          <w:highlight w:val="none"/>
        </w:rPr>
        <w:t>之间存在下列利害关系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A.法定代表人或负责人或实际控制人是同一人</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B.法定代表人或负责人或实际控制人是夫妻关系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C.法定代表人或负责人或实际控制人是直系血亲关系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D.法定代表人或负责人或实际控制人存在三代以内旁系血亲关系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E.法定代表人或负责人或实际控制人存在近姻亲关系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F.法定代表人或负责人或实际控制人存在股份控制或实际控制关系</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G.存在共同直接或间接投资设立子公司、联营企业和合营企业情况</w:t>
      </w:r>
    </w:p>
    <w:p>
      <w:pPr>
        <w:pStyle w:val="65"/>
        <w:widowControl w:val="0"/>
        <w:snapToGrid w:val="0"/>
        <w:spacing w:line="360" w:lineRule="auto"/>
        <w:jc w:val="both"/>
        <w:rPr>
          <w:rFonts w:hAnsi="宋体" w:cs="宋体"/>
          <w:color w:val="auto"/>
          <w:sz w:val="21"/>
          <w:szCs w:val="21"/>
          <w:highlight w:val="none"/>
        </w:rPr>
      </w:pPr>
      <w:r>
        <w:rPr>
          <w:rFonts w:hint="eastAsia" w:hAnsi="宋体" w:cs="宋体"/>
          <w:color w:val="auto"/>
          <w:sz w:val="21"/>
          <w:szCs w:val="21"/>
          <w:highlight w:val="none"/>
        </w:rPr>
        <w:t xml:space="preserve">  H.存在分级代理或代销关系、同一生产制造商关系、管理关系、重要业务（占主营业务收入50%以上）或重要财务往来关系（如融资）等其他实质性控制关系</w:t>
      </w:r>
    </w:p>
    <w:p>
      <w:pPr>
        <w:pStyle w:val="65"/>
        <w:widowControl w:val="0"/>
        <w:snapToGrid w:val="0"/>
        <w:spacing w:line="360" w:lineRule="auto"/>
        <w:jc w:val="both"/>
        <w:rPr>
          <w:rFonts w:hAnsi="宋体" w:cs="宋体"/>
          <w:color w:val="auto"/>
          <w:spacing w:val="6"/>
          <w:sz w:val="21"/>
          <w:szCs w:val="21"/>
          <w:highlight w:val="none"/>
        </w:rPr>
      </w:pPr>
      <w:r>
        <w:rPr>
          <w:rFonts w:hint="eastAsia" w:hAnsi="宋体" w:cs="宋体"/>
          <w:color w:val="auto"/>
          <w:sz w:val="21"/>
          <w:szCs w:val="21"/>
          <w:highlight w:val="none"/>
        </w:rPr>
        <w:t xml:space="preserve">    I.其他利害关系情况</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pPr>
        <w:pStyle w:val="51"/>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三、现已清楚知道并严格遵守政府采购法律法规和现场纪律。</w:t>
      </w:r>
    </w:p>
    <w:p>
      <w:pPr>
        <w:pStyle w:val="51"/>
        <w:widowControl/>
        <w:snapToGrid w:val="0"/>
        <w:spacing w:line="360" w:lineRule="auto"/>
        <w:ind w:left="360"/>
        <w:rPr>
          <w:rFonts w:hAnsi="宋体" w:cs="宋体"/>
          <w:color w:val="auto"/>
          <w:sz w:val="21"/>
          <w:szCs w:val="21"/>
          <w:highlight w:val="none"/>
        </w:rPr>
      </w:pPr>
      <w:r>
        <w:rPr>
          <w:rFonts w:hint="eastAsia" w:hAnsi="宋体" w:cs="宋体"/>
          <w:color w:val="auto"/>
          <w:sz w:val="21"/>
          <w:szCs w:val="21"/>
          <w:highlight w:val="none"/>
        </w:rPr>
        <w:t>四、我发现</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供应商之间存在或可能存在上述第二条第</w:t>
      </w:r>
      <w:r>
        <w:rPr>
          <w:rFonts w:hint="eastAsia" w:hAnsi="宋体" w:cs="宋体"/>
          <w:color w:val="auto"/>
          <w:sz w:val="21"/>
          <w:szCs w:val="21"/>
          <w:highlight w:val="none"/>
          <w:u w:val="single"/>
        </w:rPr>
        <w:t xml:space="preserve"> </w:t>
      </w:r>
      <w:r>
        <w:rPr>
          <w:rFonts w:hint="eastAsia" w:hAnsi="宋体" w:cs="宋体"/>
          <w:b/>
          <w:bCs/>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项利害关系。</w:t>
      </w:r>
    </w:p>
    <w:p>
      <w:pPr>
        <w:pStyle w:val="51"/>
        <w:widowControl/>
        <w:snapToGrid w:val="0"/>
        <w:spacing w:line="360" w:lineRule="auto"/>
        <w:ind w:left="210"/>
        <w:rPr>
          <w:rFonts w:hAnsi="宋体" w:cs="宋体"/>
          <w:color w:val="auto"/>
          <w:sz w:val="21"/>
          <w:szCs w:val="21"/>
          <w:highlight w:val="none"/>
        </w:rPr>
      </w:pPr>
      <w:r>
        <w:rPr>
          <w:rFonts w:hint="eastAsia" w:hAnsi="宋体" w:cs="宋体"/>
          <w:color w:val="auto"/>
          <w:sz w:val="21"/>
          <w:szCs w:val="21"/>
          <w:highlight w:val="none"/>
        </w:rPr>
        <w:t>五、本单位若有违反诚信投标、采购法律法规等行为，愿意按照招标文件规定接受投标担保的处理。如已中标，自动放弃中标资格；给招标人造成损失的，依法承担赔偿责任。</w:t>
      </w:r>
    </w:p>
    <w:p>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（供应商代表签名）</w:t>
      </w:r>
    </w:p>
    <w:p>
      <w:pPr>
        <w:pStyle w:val="65"/>
        <w:widowControl w:val="0"/>
        <w:snapToGrid w:val="0"/>
        <w:spacing w:line="360" w:lineRule="auto"/>
        <w:ind w:firstLine="420" w:firstLineChars="200"/>
        <w:jc w:val="both"/>
        <w:rPr>
          <w:rFonts w:hAnsi="宋体" w:cs="宋体"/>
          <w:color w:val="auto"/>
          <w:sz w:val="21"/>
          <w:szCs w:val="21"/>
          <w:highlight w:val="none"/>
        </w:rPr>
      </w:pPr>
      <w:r>
        <w:rPr>
          <w:rFonts w:hint="eastAsia" w:hAnsi="宋体" w:cs="宋体"/>
          <w:color w:val="auto"/>
          <w:sz w:val="21"/>
          <w:szCs w:val="21"/>
          <w:highlight w:val="none"/>
        </w:rPr>
        <w:t xml:space="preserve">                                 年   月   日</w:t>
      </w: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pPr>
    </w:p>
    <w:p>
      <w:pPr>
        <w:snapToGrid w:val="0"/>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napToGrid w:val="0"/>
        <w:spacing w:line="360" w:lineRule="auto"/>
        <w:rPr>
          <w:rFonts w:ascii="宋体" w:hAns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4</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jc w:val="center"/>
        <w:rPr>
          <w:rFonts w:ascii="宋体" w:hAnsi="宋体"/>
          <w:b/>
          <w:bCs/>
          <w:color w:val="auto"/>
          <w:sz w:val="32"/>
          <w:szCs w:val="32"/>
          <w:highlight w:val="none"/>
          <w:lang w:val="zh-CN"/>
        </w:rPr>
      </w:pPr>
    </w:p>
    <w:p>
      <w:pPr>
        <w:snapToGrid w:val="0"/>
        <w:spacing w:before="50" w:after="50" w:line="360" w:lineRule="auto"/>
        <w:rPr>
          <w:rFonts w:ascii="宋体" w:hAnsi="宋体"/>
          <w:b/>
          <w:bCs/>
          <w:color w:val="auto"/>
          <w:sz w:val="32"/>
          <w:szCs w:val="32"/>
          <w:highlight w:val="none"/>
          <w:lang w:val="zh-CN"/>
        </w:rPr>
      </w:pPr>
    </w:p>
    <w:p>
      <w:pPr>
        <w:snapToGrid w:val="0"/>
        <w:spacing w:before="50" w:after="50" w:line="360" w:lineRule="auto"/>
        <w:jc w:val="center"/>
        <w:outlineLvl w:val="1"/>
        <w:rPr>
          <w:rFonts w:asci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snapToGrid w:val="0"/>
        <w:spacing w:line="360" w:lineRule="auto"/>
        <w:ind w:firstLine="482" w:firstLineChars="200"/>
        <w:rPr>
          <w:rFonts w:ascii="宋体" w:hAnsi="宋体"/>
          <w:b/>
          <w:bCs/>
          <w:color w:val="auto"/>
          <w:sz w:val="24"/>
          <w:highlight w:val="none"/>
        </w:rPr>
      </w:pPr>
    </w:p>
    <w:p>
      <w:pPr>
        <w:numPr>
          <w:ilvl w:val="0"/>
          <w:numId w:val="7"/>
        </w:num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评标索引</w:t>
      </w:r>
    </w:p>
    <w:p>
      <w:pPr>
        <w:pStyle w:val="2"/>
        <w:rPr>
          <w:color w:val="auto"/>
          <w:highlight w:val="none"/>
        </w:rPr>
      </w:pPr>
      <w:r>
        <w:rPr>
          <w:rFonts w:hint="eastAsia"/>
          <w:color w:val="auto"/>
          <w:highlight w:val="none"/>
        </w:rPr>
        <w:t xml:space="preserve">      评标索引：自评表（附件5）</w:t>
      </w:r>
    </w:p>
    <w:p>
      <w:pPr>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 技术方案描述部分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投标人情况介绍</w:t>
      </w:r>
      <w:r>
        <w:rPr>
          <w:rFonts w:hint="eastAsia" w:ascii="宋体" w:hAnsi="宋体"/>
          <w:color w:val="auto"/>
          <w:szCs w:val="21"/>
          <w:highlight w:val="none"/>
        </w:rPr>
        <w:t>（附件6）；</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项目需求的理解与分析</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项目组织实施方案</w:t>
      </w:r>
      <w:r>
        <w:rPr>
          <w:rFonts w:ascii="宋体" w:hAnsi="宋体"/>
          <w:color w:val="auto"/>
          <w:szCs w:val="21"/>
          <w:highlight w:val="none"/>
        </w:rPr>
        <w:t xml:space="preserve">； </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4、项目实施人员一览表（附件7）；</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5、项目负责人资格情况表(附件8)</w:t>
      </w:r>
    </w:p>
    <w:p>
      <w:pPr>
        <w:snapToGrid w:val="0"/>
        <w:spacing w:line="360" w:lineRule="auto"/>
        <w:ind w:firstLine="422" w:firstLineChars="200"/>
        <w:rPr>
          <w:rFonts w:ascii="宋体"/>
          <w:b/>
          <w:bCs/>
          <w:color w:val="auto"/>
          <w:szCs w:val="21"/>
          <w:highlight w:val="none"/>
        </w:rPr>
      </w:pPr>
      <w:r>
        <w:rPr>
          <w:rFonts w:hint="eastAsia" w:ascii="宋体" w:hAnsi="宋体"/>
          <w:b/>
          <w:bCs/>
          <w:color w:val="auto"/>
          <w:szCs w:val="21"/>
          <w:highlight w:val="none"/>
        </w:rPr>
        <w:t>三、投标描述部分</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1、投标描述及相关资料；</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2、耗材配备表（附件9）；</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3、拟配置的装备情况表（附件10）；</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4、技术需求响应表（附件11）；</w:t>
      </w:r>
    </w:p>
    <w:p>
      <w:pPr>
        <w:snapToGrid w:val="0"/>
        <w:spacing w:line="360" w:lineRule="auto"/>
        <w:ind w:firstLine="411" w:firstLineChars="196"/>
        <w:rPr>
          <w:rFonts w:ascii="宋体"/>
          <w:color w:val="auto"/>
          <w:szCs w:val="21"/>
          <w:highlight w:val="none"/>
        </w:rPr>
      </w:pPr>
      <w:r>
        <w:rPr>
          <w:rFonts w:hint="eastAsia" w:ascii="宋体" w:hAnsi="宋体"/>
          <w:color w:val="auto"/>
          <w:szCs w:val="21"/>
          <w:highlight w:val="none"/>
        </w:rPr>
        <w:t>5、投标人需要说明的其他内容；（</w:t>
      </w:r>
      <w:r>
        <w:rPr>
          <w:rFonts w:hint="eastAsia" w:ascii="宋体" w:hAnsi="宋体" w:cs="宋体"/>
          <w:color w:val="auto"/>
          <w:szCs w:val="21"/>
          <w:highlight w:val="none"/>
        </w:rPr>
        <w:t>包括可能影响投标人技术性能评分项的各类证明材料）</w:t>
      </w:r>
    </w:p>
    <w:p>
      <w:pPr>
        <w:snapToGrid w:val="0"/>
        <w:spacing w:line="360" w:lineRule="auto"/>
        <w:ind w:firstLine="413" w:firstLineChars="196"/>
        <w:rPr>
          <w:rFonts w:ascii="宋体"/>
          <w:b/>
          <w:bCs/>
          <w:color w:val="auto"/>
          <w:szCs w:val="21"/>
          <w:highlight w:val="none"/>
        </w:rPr>
      </w:pPr>
      <w:r>
        <w:rPr>
          <w:rFonts w:hint="eastAsia" w:ascii="宋体" w:hAnsi="宋体"/>
          <w:b/>
          <w:bCs/>
          <w:color w:val="auto"/>
          <w:szCs w:val="21"/>
          <w:highlight w:val="none"/>
        </w:rPr>
        <w:t>四、商务响应部分</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、投标人的企业证书一览表（附件12）；</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、类似项目的成功案例（附件13）</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、资信及商务需求响应表（附件</w:t>
      </w:r>
      <w:r>
        <w:rPr>
          <w:rFonts w:ascii="宋体" w:hAnsi="宋体"/>
          <w:color w:val="auto"/>
          <w:szCs w:val="21"/>
          <w:highlight w:val="none"/>
        </w:rPr>
        <w:t>1</w:t>
      </w:r>
      <w:r>
        <w:rPr>
          <w:rFonts w:hint="eastAsia" w:ascii="宋体" w:hAnsi="宋体"/>
          <w:color w:val="auto"/>
          <w:szCs w:val="21"/>
          <w:highlight w:val="none"/>
        </w:rPr>
        <w:t>4）；</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、售后服务情况表（附件</w:t>
      </w:r>
      <w:r>
        <w:rPr>
          <w:rFonts w:ascii="宋体" w:hAnsi="宋体"/>
          <w:color w:val="auto"/>
          <w:szCs w:val="21"/>
          <w:highlight w:val="none"/>
        </w:rPr>
        <w:t>1</w:t>
      </w:r>
      <w:r>
        <w:rPr>
          <w:rFonts w:hint="eastAsia" w:ascii="宋体" w:hAnsi="宋体"/>
          <w:color w:val="auto"/>
          <w:szCs w:val="21"/>
          <w:highlight w:val="none"/>
        </w:rPr>
        <w:t>5）（可视情况选填）；</w:t>
      </w:r>
    </w:p>
    <w:p>
      <w:pPr>
        <w:snapToGrid w:val="0"/>
        <w:spacing w:line="360" w:lineRule="auto"/>
        <w:ind w:firstLine="411" w:firstLineChars="196"/>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、投标人需要说明的其他内容。（包括可能影响投标人企业实力及信誉评分项以及售后服务评分项的各类证明材料）</w:t>
      </w:r>
    </w:p>
    <w:p>
      <w:pPr>
        <w:snapToGrid w:val="0"/>
        <w:spacing w:before="50" w:after="50" w:line="360" w:lineRule="auto"/>
        <w:rPr>
          <w:rFonts w:ascii="仿宋_GB2312" w:hAnsi="宋体" w:eastAsia="仿宋_GB2312"/>
          <w:b/>
          <w:color w:val="auto"/>
          <w:sz w:val="36"/>
          <w:szCs w:val="36"/>
          <w:highlight w:val="none"/>
        </w:rPr>
      </w:pPr>
    </w:p>
    <w:p>
      <w:pPr>
        <w:pStyle w:val="19"/>
        <w:outlineLvl w:val="9"/>
        <w:rPr>
          <w:color w:val="auto"/>
          <w:highlight w:val="none"/>
        </w:rPr>
      </w:pPr>
    </w:p>
    <w:p>
      <w:pPr>
        <w:rPr>
          <w:color w:val="auto"/>
          <w:highlight w:val="none"/>
        </w:rPr>
      </w:pPr>
    </w:p>
    <w:p>
      <w:pPr>
        <w:pStyle w:val="19"/>
        <w:outlineLvl w:val="9"/>
        <w:rPr>
          <w:color w:val="auto"/>
          <w:highlight w:val="none"/>
        </w:rPr>
      </w:pPr>
    </w:p>
    <w:p>
      <w:pPr>
        <w:rPr>
          <w:color w:val="auto"/>
          <w:highlight w:val="none"/>
        </w:rPr>
      </w:pPr>
    </w:p>
    <w:p>
      <w:pPr>
        <w:pStyle w:val="39"/>
        <w:shd w:val="clear" w:color="auto" w:fill="FFFFFF"/>
        <w:spacing w:before="0" w:beforeAutospacing="0" w:after="0" w:afterAutospacing="0"/>
        <w:rPr>
          <w:b/>
          <w:color w:val="auto"/>
          <w:sz w:val="28"/>
          <w:highlight w:val="none"/>
        </w:rPr>
        <w:sectPr>
          <w:pgSz w:w="11906" w:h="16838"/>
          <w:pgMar w:top="1440" w:right="1800" w:bottom="1440" w:left="1800" w:header="851" w:footer="992" w:gutter="0"/>
          <w:cols w:space="425" w:num="1"/>
          <w:docGrid w:type="lines" w:linePitch="312" w:charSpace="0"/>
        </w:sectPr>
      </w:pPr>
    </w:p>
    <w:p>
      <w:pPr>
        <w:pStyle w:val="39"/>
        <w:shd w:val="clear" w:color="auto" w:fill="FFFFFF"/>
        <w:spacing w:before="0" w:beforeAutospacing="0" w:after="0" w:afterAutospacing="0"/>
        <w:rPr>
          <w:b/>
          <w:color w:val="auto"/>
          <w:sz w:val="28"/>
          <w:highlight w:val="none"/>
        </w:rPr>
      </w:pPr>
      <w:r>
        <w:rPr>
          <w:rFonts w:hint="eastAsia"/>
          <w:b/>
          <w:color w:val="auto"/>
          <w:sz w:val="28"/>
          <w:highlight w:val="none"/>
        </w:rPr>
        <w:t>附件5</w:t>
      </w:r>
    </w:p>
    <w:p>
      <w:pPr>
        <w:spacing w:line="360" w:lineRule="auto"/>
        <w:jc w:val="center"/>
        <w:rPr>
          <w:rFonts w:ascii="宋体" w:hAnsi="宋体"/>
          <w:b/>
          <w:color w:val="auto"/>
          <w:szCs w:val="21"/>
          <w:highlight w:val="none"/>
        </w:rPr>
      </w:pPr>
      <w:r>
        <w:rPr>
          <w:rFonts w:hint="eastAsia" w:ascii="宋体" w:hAnsi="宋体"/>
          <w:b/>
          <w:color w:val="auto"/>
          <w:szCs w:val="21"/>
          <w:highlight w:val="none"/>
        </w:rPr>
        <w:t>评标索引：自评表</w:t>
      </w:r>
    </w:p>
    <w:tbl>
      <w:tblPr>
        <w:tblStyle w:val="22"/>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01"/>
        <w:gridCol w:w="6340"/>
        <w:gridCol w:w="623"/>
        <w:gridCol w:w="62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评标因素</w:t>
            </w:r>
          </w:p>
        </w:tc>
        <w:tc>
          <w:tcPr>
            <w:tcW w:w="6340"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23" w:type="dxa"/>
            <w:vAlign w:val="center"/>
          </w:tcPr>
          <w:p>
            <w:pPr>
              <w:adjustRightInd w:val="0"/>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623" w:type="dxa"/>
            <w:vAlign w:val="center"/>
          </w:tcPr>
          <w:p>
            <w:pPr>
              <w:adjustRightInd w:val="0"/>
              <w:snapToGri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23" w:type="dxa"/>
            <w:vAlign w:val="center"/>
          </w:tcPr>
          <w:p>
            <w:pPr>
              <w:adjustRightInd w:val="0"/>
              <w:snapToGrid w:val="0"/>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27" w:type="dxa"/>
            <w:vMerge w:val="restart"/>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商务分（12分）</w:t>
            </w:r>
          </w:p>
        </w:tc>
        <w:tc>
          <w:tcPr>
            <w:tcW w:w="1201" w:type="dxa"/>
            <w:vAlign w:val="center"/>
          </w:tcPr>
          <w:p>
            <w:pPr>
              <w:jc w:val="center"/>
              <w:rPr>
                <w:rFonts w:ascii="宋体" w:hAnsi="宋体" w:cs="宋体"/>
                <w:color w:val="auto"/>
                <w:szCs w:val="21"/>
                <w:highlight w:val="none"/>
              </w:rPr>
            </w:pPr>
            <w:r>
              <w:rPr>
                <w:rStyle w:val="57"/>
                <w:rFonts w:hint="eastAsia" w:ascii="宋体" w:hAnsi="宋体" w:cs="宋体"/>
                <w:color w:val="auto"/>
                <w:szCs w:val="21"/>
                <w:highlight w:val="none"/>
              </w:rPr>
              <w:t>承接经验</w:t>
            </w:r>
          </w:p>
        </w:tc>
        <w:tc>
          <w:tcPr>
            <w:tcW w:w="6340" w:type="dxa"/>
            <w:vAlign w:val="center"/>
          </w:tcPr>
          <w:p>
            <w:pPr>
              <w:jc w:val="left"/>
              <w:rPr>
                <w:rFonts w:ascii="宋体" w:hAnsi="宋体" w:cs="宋体"/>
                <w:color w:val="auto"/>
                <w:kern w:val="0"/>
                <w:szCs w:val="21"/>
                <w:highlight w:val="none"/>
              </w:rPr>
            </w:pPr>
            <w:r>
              <w:rPr>
                <w:rFonts w:hint="eastAsia" w:ascii="宋体" w:hAnsi="宋体" w:cs="宋体"/>
                <w:color w:val="auto"/>
                <w:szCs w:val="21"/>
                <w:highlight w:val="none"/>
              </w:rPr>
              <w:t>投标人自2018年1月1日以来</w:t>
            </w:r>
            <w:r>
              <w:rPr>
                <w:rFonts w:hint="eastAsia" w:ascii="宋体" w:hAnsi="宋体" w:cs="宋体"/>
                <w:color w:val="auto"/>
                <w:kern w:val="0"/>
                <w:szCs w:val="21"/>
                <w:highlight w:val="none"/>
                <w:lang w:val="zh-CN"/>
              </w:rPr>
              <w:t>（以合同签订时间为准），</w:t>
            </w:r>
            <w:r>
              <w:rPr>
                <w:rFonts w:hint="eastAsia" w:ascii="宋体" w:hAnsi="宋体" w:cs="宋体"/>
                <w:color w:val="auto"/>
                <w:kern w:val="0"/>
                <w:szCs w:val="21"/>
                <w:highlight w:val="none"/>
              </w:rPr>
              <w:t>承接过类似项目的。每提供1个合同得1分，最高得2分。</w:t>
            </w:r>
          </w:p>
          <w:p>
            <w:pPr>
              <w:jc w:val="left"/>
              <w:rPr>
                <w:rFonts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（须提供有效的合同扫描件加盖投标人公章编入投标文件中，未提供或提供不全不得分）</w:t>
            </w:r>
          </w:p>
        </w:tc>
        <w:tc>
          <w:tcPr>
            <w:tcW w:w="623" w:type="dxa"/>
            <w:vAlign w:val="center"/>
          </w:tcPr>
          <w:p>
            <w:pPr>
              <w:pStyle w:val="12"/>
              <w:snapToGrid w:val="0"/>
              <w:jc w:val="center"/>
              <w:rPr>
                <w:rFonts w:hAnsi="宋体" w:cs="宋体"/>
                <w:color w:val="auto"/>
                <w:szCs w:val="21"/>
                <w:highlight w:val="none"/>
              </w:rPr>
            </w:pPr>
            <w:r>
              <w:rPr>
                <w:rFonts w:hint="eastAsia" w:hAnsi="宋体" w:cs="宋体"/>
                <w:color w:val="auto"/>
                <w:szCs w:val="21"/>
                <w:highlight w:val="none"/>
              </w:rPr>
              <w:t>2</w:t>
            </w:r>
          </w:p>
        </w:tc>
        <w:tc>
          <w:tcPr>
            <w:tcW w:w="623" w:type="dxa"/>
            <w:vAlign w:val="center"/>
          </w:tcPr>
          <w:p>
            <w:pPr>
              <w:pStyle w:val="12"/>
              <w:snapToGrid w:val="0"/>
              <w:jc w:val="center"/>
              <w:rPr>
                <w:rFonts w:hint="eastAsia" w:hAnsi="宋体" w:cs="宋体"/>
                <w:color w:val="auto"/>
                <w:szCs w:val="21"/>
                <w:highlight w:val="none"/>
              </w:rPr>
            </w:pPr>
          </w:p>
        </w:tc>
        <w:tc>
          <w:tcPr>
            <w:tcW w:w="623" w:type="dxa"/>
            <w:vAlign w:val="center"/>
          </w:tcPr>
          <w:p>
            <w:pPr>
              <w:pStyle w:val="12"/>
              <w:snapToGrid w:val="0"/>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27" w:type="dxa"/>
            <w:vMerge w:val="continue"/>
            <w:vAlign w:val="center"/>
          </w:tcPr>
          <w:p>
            <w:pPr>
              <w:adjustRightInd w:val="0"/>
              <w:snapToGrid w:val="0"/>
              <w:jc w:val="center"/>
              <w:rPr>
                <w:rFonts w:ascii="宋体" w:hAnsi="宋体" w:cs="宋体"/>
                <w:color w:val="auto"/>
                <w:szCs w:val="21"/>
                <w:highlight w:val="none"/>
              </w:rPr>
            </w:pPr>
          </w:p>
        </w:tc>
        <w:tc>
          <w:tcPr>
            <w:tcW w:w="1201" w:type="dxa"/>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pacing w:val="-4"/>
                <w:szCs w:val="21"/>
                <w:highlight w:val="none"/>
              </w:rPr>
              <w:t>项目组成员</w:t>
            </w:r>
          </w:p>
        </w:tc>
        <w:tc>
          <w:tcPr>
            <w:tcW w:w="6340" w:type="dxa"/>
            <w:vAlign w:val="center"/>
          </w:tcPr>
          <w:p>
            <w:pPr>
              <w:adjustRightInd w:val="0"/>
              <w:snapToGrid w:val="0"/>
              <w:jc w:val="left"/>
              <w:rPr>
                <w:rFonts w:ascii="宋体" w:hAnsi="宋体" w:cs="宋体"/>
                <w:color w:val="auto"/>
                <w:szCs w:val="21"/>
                <w:highlight w:val="none"/>
              </w:rPr>
            </w:pPr>
            <w:r>
              <w:rPr>
                <w:rFonts w:hint="eastAsia" w:ascii="宋体" w:hAnsi="宋体"/>
                <w:color w:val="auto"/>
                <w:szCs w:val="21"/>
                <w:highlight w:val="none"/>
              </w:rPr>
              <w:t>根据投标人针对本项目拟投入的管理人员及服务人员配备的合理性、投入本项目的项目经理及相关专业的专职管理和技术人员的履历情况进行打分</w:t>
            </w:r>
            <w:r>
              <w:rPr>
                <w:rFonts w:hint="eastAsia" w:ascii="宋体" w:hAnsi="宋体" w:cs="宋体"/>
                <w:color w:val="auto"/>
                <w:szCs w:val="21"/>
                <w:highlight w:val="none"/>
              </w:rPr>
              <w:t>。</w:t>
            </w:r>
          </w:p>
          <w:p>
            <w:pPr>
              <w:pStyle w:val="56"/>
              <w:rPr>
                <w:rFonts w:cs="宋体"/>
                <w:color w:val="auto"/>
                <w:sz w:val="21"/>
                <w:szCs w:val="21"/>
                <w:highlight w:val="none"/>
                <w:lang w:val="en-US"/>
              </w:rPr>
            </w:pPr>
            <w:r>
              <w:rPr>
                <w:rFonts w:hint="eastAsia" w:cs="宋体"/>
                <w:color w:val="auto"/>
                <w:sz w:val="21"/>
                <w:szCs w:val="21"/>
                <w:highlight w:val="none"/>
                <w:lang w:val="en-US"/>
              </w:rPr>
              <w:t>项目经理具有丰富的工作经验，人员配备合理，相关专业的人员履历介绍详细，能有效保障项目后续实施质量的得3.0-5.0分；</w:t>
            </w:r>
          </w:p>
          <w:p>
            <w:pPr>
              <w:pStyle w:val="56"/>
              <w:rPr>
                <w:rFonts w:cs="宋体"/>
                <w:color w:val="auto"/>
                <w:sz w:val="21"/>
                <w:szCs w:val="21"/>
                <w:highlight w:val="none"/>
                <w:lang w:val="en-US"/>
              </w:rPr>
            </w:pPr>
            <w:r>
              <w:rPr>
                <w:rFonts w:hint="eastAsia" w:cs="宋体"/>
                <w:color w:val="auto"/>
                <w:sz w:val="21"/>
                <w:szCs w:val="21"/>
                <w:highlight w:val="none"/>
                <w:lang w:val="en-US"/>
              </w:rPr>
              <w:t>项目经理工作经验一般，人员安排基本符合要求的得0.1-2.9分；</w:t>
            </w:r>
          </w:p>
          <w:p>
            <w:pPr>
              <w:pStyle w:val="56"/>
              <w:rPr>
                <w:rFonts w:cs="宋体"/>
                <w:color w:val="auto"/>
                <w:kern w:val="2"/>
                <w:sz w:val="21"/>
                <w:szCs w:val="24"/>
                <w:highlight w:val="none"/>
                <w:lang w:val="en-US"/>
              </w:rPr>
            </w:pPr>
            <w:r>
              <w:rPr>
                <w:rFonts w:hint="eastAsia" w:cs="宋体"/>
                <w:color w:val="auto"/>
                <w:sz w:val="21"/>
                <w:szCs w:val="21"/>
                <w:highlight w:val="none"/>
                <w:lang w:val="en-US"/>
              </w:rPr>
              <w:t>未提及此项不得分。</w:t>
            </w:r>
          </w:p>
        </w:tc>
        <w:tc>
          <w:tcPr>
            <w:tcW w:w="623"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23" w:type="dxa"/>
            <w:vAlign w:val="center"/>
          </w:tcPr>
          <w:p>
            <w:pPr>
              <w:adjustRightInd w:val="0"/>
              <w:snapToGrid w:val="0"/>
              <w:jc w:val="center"/>
              <w:rPr>
                <w:rFonts w:hint="eastAsia" w:ascii="宋体" w:hAnsi="宋体" w:cs="宋体"/>
                <w:color w:val="auto"/>
                <w:kern w:val="0"/>
                <w:szCs w:val="21"/>
                <w:highlight w:val="none"/>
              </w:rPr>
            </w:pPr>
          </w:p>
        </w:tc>
        <w:tc>
          <w:tcPr>
            <w:tcW w:w="623" w:type="dxa"/>
            <w:vAlign w:val="center"/>
          </w:tcPr>
          <w:p>
            <w:pPr>
              <w:adjustRightInd w:val="0"/>
              <w:snapToGrid w:val="0"/>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927" w:type="dxa"/>
            <w:vMerge w:val="continue"/>
            <w:vAlign w:val="center"/>
          </w:tcPr>
          <w:p>
            <w:pPr>
              <w:autoSpaceDE w:val="0"/>
              <w:autoSpaceDN w:val="0"/>
              <w:adjustRightInd w:val="0"/>
              <w:jc w:val="center"/>
              <w:rPr>
                <w:rFonts w:ascii="宋体" w:hAnsi="宋体" w:cs="宋体"/>
                <w:color w:val="auto"/>
                <w:szCs w:val="21"/>
                <w:highlight w:val="none"/>
              </w:rPr>
            </w:pPr>
          </w:p>
        </w:tc>
        <w:tc>
          <w:tcPr>
            <w:tcW w:w="1201" w:type="dxa"/>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拟投入本项目的设备、工具配置</w:t>
            </w:r>
          </w:p>
        </w:tc>
        <w:tc>
          <w:tcPr>
            <w:tcW w:w="6340" w:type="dxa"/>
            <w:vAlign w:val="center"/>
          </w:tcPr>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根据投标人投入本项目的设备设施配置情况进行打分。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配置完善，工具有详细的品牌规格等说明，符合院方控制要求的得3.0-5.0分；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工具配置简单，数量基本符合日常使用要求，缺乏对设备、工具的详细说明，无法有效保障后勤工作的得0.1-2.9分；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23" w:type="dxa"/>
            <w:vAlign w:val="center"/>
          </w:tcPr>
          <w:p>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623" w:type="dxa"/>
            <w:vAlign w:val="center"/>
          </w:tcPr>
          <w:p>
            <w:pPr>
              <w:adjustRightInd w:val="0"/>
              <w:snapToGrid w:val="0"/>
              <w:jc w:val="center"/>
              <w:rPr>
                <w:rFonts w:hint="eastAsia" w:ascii="宋体" w:hAnsi="宋体" w:cs="宋体"/>
                <w:color w:val="auto"/>
                <w:szCs w:val="21"/>
                <w:highlight w:val="none"/>
              </w:rPr>
            </w:pPr>
          </w:p>
        </w:tc>
        <w:tc>
          <w:tcPr>
            <w:tcW w:w="623" w:type="dxa"/>
            <w:vAlign w:val="center"/>
          </w:tcPr>
          <w:p>
            <w:pPr>
              <w:adjustRightInd w:val="0"/>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27" w:type="dxa"/>
            <w:vMerge w:val="restart"/>
            <w:vAlign w:val="center"/>
          </w:tcPr>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adjustRightInd w:val="0"/>
              <w:snapToGrid w:val="0"/>
              <w:jc w:val="center"/>
              <w:rPr>
                <w:rFonts w:ascii="宋体" w:hAnsi="宋体" w:cs="宋体"/>
                <w:color w:val="auto"/>
                <w:szCs w:val="21"/>
                <w:highlight w:val="none"/>
              </w:rPr>
            </w:pPr>
          </w:p>
          <w:p>
            <w:pPr>
              <w:pStyle w:val="2"/>
              <w:spacing w:after="0"/>
              <w:jc w:val="center"/>
              <w:rPr>
                <w:rFonts w:ascii="宋体" w:hAnsi="宋体" w:cs="宋体"/>
                <w:color w:val="auto"/>
                <w:szCs w:val="21"/>
                <w:highlight w:val="none"/>
              </w:rPr>
            </w:pPr>
            <w:r>
              <w:rPr>
                <w:rFonts w:hint="eastAsia" w:ascii="宋体" w:hAnsi="宋体" w:cs="宋体"/>
                <w:color w:val="auto"/>
                <w:szCs w:val="21"/>
                <w:highlight w:val="none"/>
              </w:rPr>
              <w:t>技术分（68分）</w:t>
            </w:r>
          </w:p>
          <w:p>
            <w:pPr>
              <w:pStyle w:val="3"/>
              <w:spacing w:after="0"/>
              <w:ind w:firstLine="0" w:firstLineChars="0"/>
              <w:jc w:val="center"/>
              <w:rPr>
                <w:rFonts w:ascii="宋体" w:hAnsi="宋体" w:cs="宋体"/>
                <w:color w:val="auto"/>
                <w:szCs w:val="21"/>
                <w:highlight w:val="none"/>
              </w:rPr>
            </w:pPr>
          </w:p>
        </w:tc>
        <w:tc>
          <w:tcPr>
            <w:tcW w:w="1201" w:type="dxa"/>
            <w:vMerge w:val="restart"/>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服务方案</w:t>
            </w: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color w:val="auto"/>
                <w:szCs w:val="21"/>
                <w:highlight w:val="none"/>
              </w:rPr>
              <w:t>物业管理</w:t>
            </w:r>
            <w:r>
              <w:rPr>
                <w:rFonts w:hint="eastAsia" w:ascii="宋体" w:hAnsi="宋体" w:cs="新宋体"/>
                <w:b/>
                <w:bCs/>
                <w:color w:val="auto"/>
                <w:szCs w:val="21"/>
                <w:highlight w:val="none"/>
              </w:rPr>
              <w:t>方案”，包括运作流程是否合理、全面；是否符合招标人的管理模式和服务现场的需要，是否采用先进的、成熟的、科学的管理手段及其具体方案</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方案阐述详细全面、运作流程及管理手段明确、内容完整、符合项目需求的得3.0-5.0分；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根据投标人提供的</w:t>
            </w:r>
            <w:r>
              <w:rPr>
                <w:rFonts w:hint="eastAsia" w:ascii="宋体" w:hAnsi="宋体"/>
                <w:b/>
                <w:bCs/>
                <w:color w:val="auto"/>
                <w:szCs w:val="21"/>
                <w:highlight w:val="none"/>
              </w:rPr>
              <w:t>管理目标及管理方式阐述说明以及日常管理服务标准、岗位责任</w:t>
            </w:r>
            <w:r>
              <w:rPr>
                <w:rFonts w:hint="eastAsia" w:ascii="宋体" w:hAnsi="宋体"/>
                <w:color w:val="auto"/>
                <w:szCs w:val="21"/>
                <w:highlight w:val="none"/>
              </w:rPr>
              <w:t>等情况</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方案阐述详细全面、服务标准及岗位责任划分明确、内容完整、符合项目需求的得3.0-5.0分；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b/>
                <w:bCs/>
                <w:color w:val="auto"/>
                <w:szCs w:val="21"/>
                <w:highlight w:val="none"/>
              </w:rPr>
              <w:t>详细的PVC、地砖、石材地面、实木地板及其他地面的保养方式、程序</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方案阐述详细全面、对大理石地面的保养阐述明确、程序清晰、符合项目需求的得3.0-5.0分；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方案合理、但具体程序阐述有欠缺、无法保障保养质量的得0.1-2.9分；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bookmarkStart w:id="1" w:name="_GoBack"/>
            <w:bookmarkEnd w:id="1"/>
          </w:p>
        </w:tc>
        <w:tc>
          <w:tcPr>
            <w:tcW w:w="623"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b/>
                <w:bCs/>
                <w:color w:val="auto"/>
                <w:szCs w:val="21"/>
                <w:highlight w:val="none"/>
              </w:rPr>
              <w:t>物业档案建立与保存措施</w:t>
            </w:r>
            <w:r>
              <w:rPr>
                <w:rFonts w:hint="eastAsia" w:ascii="宋体" w:hAnsi="宋体" w:cs="新宋体"/>
                <w:color w:val="auto"/>
                <w:szCs w:val="21"/>
                <w:highlight w:val="none"/>
              </w:rPr>
              <w:t>进行打分。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详细阐述具体的保存措施，措施全面可行，能够确保档案资料不丢失、不泄露的得3.0-5.0分；</w:t>
            </w:r>
          </w:p>
          <w:p>
            <w:pPr>
              <w:tabs>
                <w:tab w:val="left" w:pos="2061"/>
              </w:tabs>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保存措施简单，缺乏可行性，不能保障服务质量的得0.1-2.9分；</w:t>
            </w:r>
          </w:p>
          <w:p>
            <w:pPr>
              <w:tabs>
                <w:tab w:val="left" w:pos="2061"/>
              </w:tabs>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r>
              <w:rPr>
                <w:rFonts w:hint="eastAsia" w:ascii="宋体" w:hAnsi="宋体" w:cs="新宋体"/>
                <w:color w:val="auto"/>
                <w:szCs w:val="21"/>
                <w:highlight w:val="none"/>
              </w:rPr>
              <w:t>。</w:t>
            </w:r>
          </w:p>
        </w:tc>
        <w:tc>
          <w:tcPr>
            <w:tcW w:w="623"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rPr>
                <w:rFonts w:ascii="宋体" w:hAnsi="宋体"/>
                <w:color w:val="auto"/>
                <w:szCs w:val="21"/>
                <w:highlight w:val="none"/>
              </w:rPr>
            </w:pPr>
            <w:r>
              <w:rPr>
                <w:rFonts w:hint="eastAsia" w:ascii="宋体" w:hAnsi="宋体"/>
                <w:color w:val="auto"/>
                <w:szCs w:val="21"/>
                <w:highlight w:val="none"/>
              </w:rPr>
              <w:t>根据投标人提供的</w:t>
            </w:r>
            <w:r>
              <w:rPr>
                <w:rFonts w:hint="eastAsia" w:ascii="宋体" w:hAnsi="宋体"/>
                <w:b/>
                <w:bCs/>
                <w:color w:val="auto"/>
                <w:szCs w:val="21"/>
                <w:highlight w:val="none"/>
              </w:rPr>
              <w:t>从业人员技术培训方案</w:t>
            </w:r>
            <w:r>
              <w:rPr>
                <w:rFonts w:hint="eastAsia" w:ascii="宋体" w:hAnsi="宋体"/>
                <w:color w:val="auto"/>
                <w:szCs w:val="21"/>
                <w:highlight w:val="none"/>
              </w:rPr>
              <w:t>，包括是否专业全面、培训计划是否切实可行进行打分。</w:t>
            </w:r>
          </w:p>
          <w:p>
            <w:pP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培训方案全面，安排合理，能有效提升从业人员专业技术能力的得3.0-5.0分；</w:t>
            </w:r>
          </w:p>
          <w:p>
            <w:pP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培训方案简单片面，缺乏合理性，对人员后续工作能力的提升无有效帮助的得0.1-2.9分；</w:t>
            </w:r>
          </w:p>
          <w:p>
            <w:pPr>
              <w:rPr>
                <w:rFonts w:ascii="宋体" w:hAnsi="宋体" w:cs="新宋体"/>
                <w:color w:val="auto"/>
                <w:szCs w:val="21"/>
                <w:highlight w:val="none"/>
              </w:rPr>
            </w:pPr>
            <w:r>
              <w:rPr>
                <w:rFonts w:hint="eastAsia" w:asciiTheme="minorEastAsia" w:hAnsiTheme="minorEastAsia" w:eastAsiaTheme="minorEastAsia" w:cstheme="minorEastAsia"/>
                <w:bCs/>
                <w:color w:val="auto"/>
                <w:szCs w:val="21"/>
                <w:highlight w:val="none"/>
              </w:rPr>
              <w:t>未提及此项不得分。</w:t>
            </w:r>
          </w:p>
        </w:tc>
        <w:tc>
          <w:tcPr>
            <w:tcW w:w="623" w:type="dxa"/>
            <w:vAlign w:val="center"/>
          </w:tcPr>
          <w:p>
            <w:pPr>
              <w:jc w:val="center"/>
              <w:rPr>
                <w:rFonts w:ascii="宋体" w:hAnsi="宋体" w:cs="新宋体"/>
                <w:color w:val="auto"/>
                <w:szCs w:val="21"/>
                <w:highlight w:val="none"/>
              </w:rPr>
            </w:pPr>
            <w:r>
              <w:rPr>
                <w:rFonts w:hint="eastAsia" w:ascii="宋体" w:hAnsi="宋体" w:cs="宋体"/>
                <w:color w:val="auto"/>
                <w:szCs w:val="21"/>
                <w:highlight w:val="none"/>
              </w:rPr>
              <w:t>5</w:t>
            </w:r>
          </w:p>
        </w:tc>
        <w:tc>
          <w:tcPr>
            <w:tcW w:w="623" w:type="dxa"/>
            <w:vAlign w:val="center"/>
          </w:tcPr>
          <w:p>
            <w:pPr>
              <w:jc w:val="center"/>
              <w:rPr>
                <w:rFonts w:hint="eastAsia" w:ascii="宋体" w:hAnsi="宋体" w:cs="宋体"/>
                <w:color w:val="auto"/>
                <w:szCs w:val="21"/>
                <w:highlight w:val="none"/>
              </w:rPr>
            </w:pPr>
          </w:p>
        </w:tc>
        <w:tc>
          <w:tcPr>
            <w:tcW w:w="623" w:type="dxa"/>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bCs/>
                <w:color w:val="auto"/>
                <w:szCs w:val="21"/>
                <w:highlight w:val="none"/>
              </w:rPr>
              <w:t>保洁公司员工工作手册</w:t>
            </w:r>
            <w:r>
              <w:rPr>
                <w:rFonts w:hint="eastAsia" w:ascii="宋体" w:hAnsi="宋体" w:cs="新宋体"/>
                <w:b/>
                <w:bCs/>
                <w:color w:val="auto"/>
                <w:szCs w:val="21"/>
                <w:highlight w:val="none"/>
              </w:rPr>
              <w:t>”</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工作手册内容完整，具体条款阐述详细，工作要求明确，能起到实质性作用的得3.0-5.0分；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工作手册内容简单，工作要求阐述不明确，无法有效规范后续实际工作的得0.1-2.9分；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宋体"/>
                <w:bCs/>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w:t>
            </w:r>
            <w:r>
              <w:rPr>
                <w:rFonts w:hint="eastAsia" w:ascii="宋体" w:hAnsi="宋体"/>
                <w:b/>
                <w:bCs/>
                <w:color w:val="auto"/>
                <w:szCs w:val="21"/>
                <w:highlight w:val="none"/>
              </w:rPr>
              <w:t>保洁公司员工管理规定及违规扣款标准</w:t>
            </w:r>
            <w:r>
              <w:rPr>
                <w:rFonts w:hint="eastAsia" w:ascii="宋体" w:hAnsi="宋体" w:cs="新宋体"/>
                <w:b/>
                <w:bCs/>
                <w:color w:val="auto"/>
                <w:szCs w:val="21"/>
                <w:highlight w:val="none"/>
              </w:rPr>
              <w:t>”</w:t>
            </w:r>
            <w:r>
              <w:rPr>
                <w:rFonts w:hint="eastAsia" w:ascii="宋体" w:hAnsi="宋体" w:cs="新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管理规定及违规扣款标准内容完整，具体标准阐述详细，工作要求明确，能起到实质性作用的得3.0-5.0分；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管理规定及违规扣款标准内容简单，具体标准阐述不明确，无法有效规范后续实际工作的得0.1-2.9分；</w:t>
            </w:r>
          </w:p>
          <w:p>
            <w:pPr>
              <w:tabs>
                <w:tab w:val="left" w:pos="2061"/>
              </w:tabs>
              <w:rPr>
                <w:rFonts w:asciiTheme="minorEastAsia" w:hAnsiTheme="minorEastAsia" w:eastAsiaTheme="minorEastAsia" w:cstheme="minorEastAsia"/>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olor w:val="auto"/>
                <w:szCs w:val="21"/>
                <w:highlight w:val="none"/>
              </w:rPr>
            </w:pPr>
            <w:r>
              <w:rPr>
                <w:rFonts w:hint="eastAsia" w:ascii="宋体" w:hAnsi="宋体"/>
                <w:color w:val="auto"/>
                <w:szCs w:val="21"/>
                <w:highlight w:val="none"/>
              </w:rPr>
              <w:t>根据投标人制定的</w:t>
            </w:r>
            <w:r>
              <w:rPr>
                <w:rFonts w:hint="eastAsia" w:ascii="宋体" w:hAnsi="宋体" w:cs="新宋体"/>
                <w:b/>
                <w:bCs/>
                <w:color w:val="auto"/>
                <w:szCs w:val="21"/>
                <w:highlight w:val="none"/>
              </w:rPr>
              <w:t>“</w:t>
            </w:r>
            <w:r>
              <w:rPr>
                <w:rFonts w:ascii="宋体" w:hAnsi="宋体"/>
                <w:b/>
                <w:bCs/>
                <w:color w:val="auto"/>
                <w:szCs w:val="21"/>
                <w:highlight w:val="none"/>
              </w:rPr>
              <w:t>环境保洁服务具体方案设计</w:t>
            </w:r>
            <w:r>
              <w:rPr>
                <w:rFonts w:hint="eastAsia" w:ascii="宋体" w:hAnsi="宋体" w:cs="新宋体"/>
                <w:b/>
                <w:bCs/>
                <w:color w:val="auto"/>
                <w:szCs w:val="21"/>
                <w:highlight w:val="none"/>
              </w:rPr>
              <w:t>”</w:t>
            </w:r>
            <w:r>
              <w:rPr>
                <w:rFonts w:hint="eastAsia" w:ascii="宋体" w:hAnsi="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方案阐述详细全面、工作方法明确、内容完整、符合项目需求的得3.0-5.0分；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Merge w:val="continue"/>
            <w:vAlign w:val="center"/>
          </w:tcPr>
          <w:p>
            <w:pPr>
              <w:widowControl/>
              <w:jc w:val="center"/>
              <w:rPr>
                <w:rFonts w:ascii="宋体" w:hAnsi="宋体" w:cs="宋体"/>
                <w:color w:val="auto"/>
                <w:szCs w:val="21"/>
                <w:highlight w:val="none"/>
              </w:rPr>
            </w:pPr>
          </w:p>
        </w:tc>
        <w:tc>
          <w:tcPr>
            <w:tcW w:w="6340" w:type="dxa"/>
            <w:vAlign w:val="center"/>
          </w:tcPr>
          <w:p>
            <w:pPr>
              <w:tabs>
                <w:tab w:val="left" w:pos="2061"/>
              </w:tabs>
              <w:rPr>
                <w:rFonts w:ascii="宋体" w:hAnsi="宋体"/>
                <w:color w:val="auto"/>
                <w:szCs w:val="21"/>
                <w:highlight w:val="none"/>
              </w:rPr>
            </w:pPr>
            <w:r>
              <w:rPr>
                <w:rFonts w:hint="eastAsia" w:ascii="宋体" w:hAnsi="宋体"/>
                <w:color w:val="auto"/>
                <w:szCs w:val="21"/>
                <w:highlight w:val="none"/>
              </w:rPr>
              <w:t>根据投标人制定的</w:t>
            </w:r>
            <w:r>
              <w:rPr>
                <w:rFonts w:hint="eastAsia" w:ascii="宋体" w:hAnsi="宋体" w:cs="新宋体"/>
                <w:b/>
                <w:bCs/>
                <w:color w:val="auto"/>
                <w:szCs w:val="21"/>
                <w:highlight w:val="none"/>
              </w:rPr>
              <w:t>“</w:t>
            </w:r>
            <w:r>
              <w:rPr>
                <w:rFonts w:ascii="宋体" w:hAnsi="宋体"/>
                <w:b/>
                <w:bCs/>
                <w:color w:val="auto"/>
                <w:szCs w:val="21"/>
                <w:highlight w:val="none"/>
              </w:rPr>
              <w:t>运送服务具体方案设计</w:t>
            </w:r>
            <w:r>
              <w:rPr>
                <w:rFonts w:hint="eastAsia" w:ascii="宋体" w:hAnsi="宋体" w:cs="新宋体"/>
                <w:b/>
                <w:bCs/>
                <w:color w:val="auto"/>
                <w:szCs w:val="21"/>
                <w:highlight w:val="none"/>
              </w:rPr>
              <w:t>”，包括</w:t>
            </w:r>
            <w:r>
              <w:rPr>
                <w:rFonts w:hint="eastAsia"/>
                <w:b/>
                <w:bCs/>
                <w:color w:val="auto"/>
                <w:szCs w:val="21"/>
                <w:highlight w:val="none"/>
              </w:rPr>
              <w:t>全院服务模式等内容</w:t>
            </w:r>
            <w:r>
              <w:rPr>
                <w:rFonts w:hint="eastAsia" w:ascii="宋体" w:hAnsi="宋体"/>
                <w:color w:val="auto"/>
                <w:szCs w:val="21"/>
                <w:highlight w:val="none"/>
              </w:rPr>
              <w:t>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方案阐述详细全面、工作方法明确、内容完整、符合项目需求的得3.0-5.0分；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方案合理、但内容有欠缺、无法保障项目完成质量的得0.1-2.9分；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工作计划</w:t>
            </w:r>
          </w:p>
        </w:tc>
        <w:tc>
          <w:tcPr>
            <w:tcW w:w="6340"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根据投标人制定的</w:t>
            </w:r>
            <w:r>
              <w:rPr>
                <w:rFonts w:hint="eastAsia" w:ascii="宋体" w:hAnsi="宋体" w:cs="宋体"/>
                <w:b/>
                <w:bCs/>
                <w:color w:val="auto"/>
                <w:szCs w:val="21"/>
                <w:highlight w:val="none"/>
              </w:rPr>
              <w:t>保洁服务和</w:t>
            </w:r>
            <w:r>
              <w:rPr>
                <w:rFonts w:hint="eastAsia" w:ascii="宋体" w:hAnsi="宋体"/>
                <w:b/>
                <w:bCs/>
                <w:color w:val="auto"/>
                <w:szCs w:val="21"/>
                <w:highlight w:val="none"/>
              </w:rPr>
              <w:t>护工运送</w:t>
            </w:r>
            <w:r>
              <w:rPr>
                <w:rFonts w:hint="eastAsia" w:ascii="宋体" w:hAnsi="宋体" w:cs="宋体"/>
                <w:b/>
                <w:bCs/>
                <w:color w:val="auto"/>
                <w:szCs w:val="21"/>
                <w:highlight w:val="none"/>
              </w:rPr>
              <w:t>服务</w:t>
            </w:r>
            <w:r>
              <w:rPr>
                <w:rFonts w:hint="eastAsia" w:ascii="宋体" w:hAnsi="宋体" w:cs="宋体"/>
                <w:color w:val="auto"/>
                <w:szCs w:val="21"/>
                <w:highlight w:val="none"/>
              </w:rPr>
              <w:t>工作计划安排，包括但不限于人员岗位分工及时间安排等内容进行打分。</w:t>
            </w:r>
          </w:p>
          <w:p>
            <w:pPr>
              <w:jc w:val="left"/>
              <w:rPr>
                <w:rFonts w:ascii="宋体" w:hAnsi="宋体" w:cs="宋体"/>
                <w:color w:val="auto"/>
                <w:szCs w:val="21"/>
                <w:highlight w:val="none"/>
              </w:rPr>
            </w:pPr>
            <w:r>
              <w:rPr>
                <w:rFonts w:hint="eastAsia" w:ascii="宋体" w:hAnsi="宋体" w:cs="宋体"/>
                <w:color w:val="auto"/>
                <w:szCs w:val="21"/>
                <w:highlight w:val="none"/>
              </w:rPr>
              <w:t>人员及工作内容划分、进度控制合理、关键时间节点把握科学准确的得3.0-5.0分；</w:t>
            </w:r>
          </w:p>
          <w:p>
            <w:pPr>
              <w:jc w:val="left"/>
              <w:rPr>
                <w:rFonts w:ascii="宋体" w:hAnsi="宋体" w:cs="宋体"/>
                <w:color w:val="auto"/>
                <w:szCs w:val="21"/>
                <w:highlight w:val="none"/>
              </w:rPr>
            </w:pPr>
            <w:r>
              <w:rPr>
                <w:rFonts w:hint="eastAsia" w:ascii="宋体" w:hAnsi="宋体" w:cs="宋体"/>
                <w:color w:val="auto"/>
                <w:szCs w:val="21"/>
                <w:highlight w:val="none"/>
              </w:rPr>
              <w:t>人员岗位安排合理、但具体工作内容安排有欠缺、无法保障项目完成质量的得0.1-2.9分；</w:t>
            </w:r>
          </w:p>
          <w:p>
            <w:pPr>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考核计划</w:t>
            </w:r>
          </w:p>
        </w:tc>
        <w:tc>
          <w:tcPr>
            <w:tcW w:w="6340" w:type="dxa"/>
            <w:vAlign w:val="center"/>
          </w:tcPr>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根据投标人制定的</w:t>
            </w:r>
            <w:r>
              <w:rPr>
                <w:rFonts w:hint="eastAsia" w:ascii="宋体" w:hAnsi="宋体" w:cs="新宋体"/>
                <w:b/>
                <w:bCs/>
                <w:color w:val="auto"/>
                <w:szCs w:val="21"/>
                <w:highlight w:val="none"/>
              </w:rPr>
              <w:t>考核计划，</w:t>
            </w:r>
            <w:r>
              <w:rPr>
                <w:rFonts w:hint="eastAsia" w:ascii="宋体" w:hAnsi="宋体" w:cs="新宋体"/>
                <w:color w:val="auto"/>
                <w:szCs w:val="21"/>
                <w:highlight w:val="none"/>
              </w:rPr>
              <w:t>包括成立考核监督机制、</w:t>
            </w:r>
            <w:r>
              <w:rPr>
                <w:rFonts w:hint="eastAsia" w:ascii="宋体" w:hAnsi="宋体" w:cs="新宋体"/>
                <w:color w:val="auto"/>
                <w:szCs w:val="21"/>
                <w:highlight w:val="none"/>
                <w:lang w:val="zh-CN"/>
              </w:rPr>
              <w:t>进行定期和不定期日常工作监管、</w:t>
            </w:r>
            <w:r>
              <w:rPr>
                <w:rFonts w:hint="eastAsia" w:ascii="宋体" w:hAnsi="宋体" w:cs="新宋体"/>
                <w:color w:val="auto"/>
                <w:szCs w:val="21"/>
                <w:highlight w:val="none"/>
              </w:rPr>
              <w:t>定期举行</w:t>
            </w:r>
            <w:r>
              <w:rPr>
                <w:rFonts w:hint="eastAsia" w:ascii="宋体" w:hAnsi="宋体" w:cs="新宋体"/>
                <w:color w:val="auto"/>
                <w:szCs w:val="21"/>
                <w:highlight w:val="none"/>
                <w:lang w:val="zh-CN"/>
              </w:rPr>
              <w:t>监管责任人会同托管项目管理人员联合检查相关业务开展情况</w:t>
            </w:r>
            <w:r>
              <w:rPr>
                <w:rFonts w:hint="eastAsia" w:ascii="宋体" w:hAnsi="宋体" w:cs="新宋体"/>
                <w:color w:val="auto"/>
                <w:szCs w:val="21"/>
                <w:highlight w:val="none"/>
              </w:rPr>
              <w:t>等内容进行打分。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考核计划安排详细完整，考核监督机制条款明确，能有效</w:t>
            </w:r>
            <w:r>
              <w:rPr>
                <w:rFonts w:hint="eastAsia" w:ascii="宋体" w:hAnsi="宋体" w:cs="新宋体"/>
                <w:color w:val="auto"/>
                <w:szCs w:val="21"/>
                <w:highlight w:val="none"/>
                <w:lang w:val="zh-CN"/>
              </w:rPr>
              <w:t>确保后勤服务质量不断提升</w:t>
            </w:r>
            <w:r>
              <w:rPr>
                <w:rFonts w:hint="eastAsia" w:ascii="宋体" w:hAnsi="宋体" w:cs="新宋体"/>
                <w:color w:val="auto"/>
                <w:szCs w:val="21"/>
                <w:highlight w:val="none"/>
              </w:rPr>
              <w:t>的得3.0-5.0分；</w:t>
            </w:r>
          </w:p>
          <w:p>
            <w:pPr>
              <w:tabs>
                <w:tab w:val="left" w:pos="2061"/>
              </w:tabs>
              <w:rPr>
                <w:rFonts w:ascii="宋体" w:hAnsi="宋体" w:cs="新宋体"/>
                <w:color w:val="auto"/>
                <w:szCs w:val="21"/>
                <w:highlight w:val="none"/>
              </w:rPr>
            </w:pPr>
            <w:r>
              <w:rPr>
                <w:rFonts w:hint="eastAsia" w:ascii="宋体" w:hAnsi="宋体" w:cs="新宋体"/>
                <w:color w:val="auto"/>
                <w:szCs w:val="21"/>
                <w:highlight w:val="none"/>
              </w:rPr>
              <w:t>考核计划阐述简单，具体安排不明确，无法有效</w:t>
            </w:r>
            <w:r>
              <w:rPr>
                <w:rFonts w:hint="eastAsia" w:ascii="宋体" w:hAnsi="宋体" w:cs="新宋体"/>
                <w:color w:val="auto"/>
                <w:szCs w:val="21"/>
                <w:highlight w:val="none"/>
                <w:lang w:val="zh-CN"/>
              </w:rPr>
              <w:t>确保托管业务规范化运作</w:t>
            </w:r>
            <w:r>
              <w:rPr>
                <w:rFonts w:hint="eastAsia" w:ascii="宋体" w:hAnsi="宋体" w:cs="新宋体"/>
                <w:color w:val="auto"/>
                <w:szCs w:val="21"/>
                <w:highlight w:val="none"/>
              </w:rPr>
              <w:t>的得0.1-2.9分；</w:t>
            </w:r>
          </w:p>
          <w:p>
            <w:pPr>
              <w:jc w:val="left"/>
              <w:rPr>
                <w:rFonts w:ascii="宋体" w:hAnsi="宋体" w:cs="宋体"/>
                <w:color w:val="auto"/>
                <w:szCs w:val="21"/>
                <w:highlight w:val="none"/>
              </w:rPr>
            </w:pPr>
            <w:r>
              <w:rPr>
                <w:rFonts w:hint="eastAsia" w:ascii="宋体" w:hAnsi="宋体" w:cs="新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5</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Align w:val="center"/>
          </w:tcPr>
          <w:p>
            <w:pPr>
              <w:autoSpaceDE w:val="0"/>
              <w:autoSpaceDN w:val="0"/>
              <w:adjustRightInd w:val="0"/>
              <w:jc w:val="center"/>
              <w:rPr>
                <w:rFonts w:ascii="宋体" w:hAnsi="宋体" w:cs="新宋体"/>
                <w:color w:val="auto"/>
                <w:kern w:val="0"/>
                <w:szCs w:val="21"/>
                <w:highlight w:val="none"/>
              </w:rPr>
            </w:pPr>
            <w:r>
              <w:rPr>
                <w:rFonts w:hint="eastAsia" w:ascii="宋体" w:hAnsi="宋体" w:cs="新宋体"/>
                <w:color w:val="auto"/>
                <w:kern w:val="0"/>
                <w:szCs w:val="21"/>
                <w:highlight w:val="none"/>
              </w:rPr>
              <w:t>合理化建议</w:t>
            </w:r>
          </w:p>
        </w:tc>
        <w:tc>
          <w:tcPr>
            <w:tcW w:w="6340"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根据投标人依据本项目服务要求、实际工作需求提出的合理化建议进行打分。</w:t>
            </w:r>
          </w:p>
          <w:p>
            <w:pPr>
              <w:jc w:val="left"/>
              <w:rPr>
                <w:rFonts w:ascii="宋体" w:hAnsi="宋体" w:cs="宋体"/>
                <w:color w:val="auto"/>
                <w:szCs w:val="21"/>
                <w:highlight w:val="none"/>
              </w:rPr>
            </w:pPr>
            <w:r>
              <w:rPr>
                <w:rFonts w:hint="eastAsia" w:ascii="宋体" w:hAnsi="宋体" w:cs="宋体"/>
                <w:color w:val="auto"/>
                <w:szCs w:val="21"/>
                <w:highlight w:val="none"/>
              </w:rPr>
              <w:t>建议合理，可实现性强，具有改进意义的得1.5-3.0分；</w:t>
            </w:r>
          </w:p>
          <w:p>
            <w:pPr>
              <w:jc w:val="left"/>
              <w:rPr>
                <w:rFonts w:ascii="宋体" w:hAnsi="宋体" w:cs="宋体"/>
                <w:color w:val="auto"/>
                <w:szCs w:val="21"/>
                <w:highlight w:val="none"/>
              </w:rPr>
            </w:pPr>
            <w:r>
              <w:rPr>
                <w:rFonts w:hint="eastAsia" w:ascii="宋体" w:hAnsi="宋体" w:cs="宋体"/>
                <w:color w:val="auto"/>
                <w:szCs w:val="21"/>
                <w:highlight w:val="none"/>
              </w:rPr>
              <w:t>建议可实现性较差，几乎没有改进意义的得0.1-1.4分；</w:t>
            </w:r>
          </w:p>
          <w:p>
            <w:pPr>
              <w:jc w:val="left"/>
              <w:rPr>
                <w:rFonts w:ascii="宋体" w:hAnsi="宋体" w:cs="宋体"/>
                <w:color w:val="auto"/>
                <w:szCs w:val="21"/>
                <w:highlight w:val="none"/>
              </w:rPr>
            </w:pPr>
            <w:r>
              <w:rPr>
                <w:rFonts w:hint="eastAsia" w:ascii="宋体" w:hAnsi="宋体" w:cs="宋体"/>
                <w:color w:val="auto"/>
                <w:szCs w:val="21"/>
                <w:highlight w:val="none"/>
              </w:rPr>
              <w:t>未提及此项不得分。</w:t>
            </w:r>
          </w:p>
        </w:tc>
        <w:tc>
          <w:tcPr>
            <w:tcW w:w="623" w:type="dxa"/>
            <w:vAlign w:val="center"/>
          </w:tcPr>
          <w:p>
            <w:pPr>
              <w:autoSpaceDE w:val="0"/>
              <w:autoSpaceDN w:val="0"/>
              <w:adjustRightInd w:val="0"/>
              <w:jc w:val="center"/>
              <w:rPr>
                <w:rFonts w:ascii="宋体" w:hAnsi="宋体" w:cs="新宋体"/>
                <w:color w:val="auto"/>
                <w:szCs w:val="21"/>
                <w:highlight w:val="none"/>
              </w:rPr>
            </w:pPr>
            <w:r>
              <w:rPr>
                <w:rFonts w:hint="eastAsia" w:ascii="宋体" w:hAnsi="宋体" w:cs="新宋体"/>
                <w:color w:val="auto"/>
                <w:szCs w:val="21"/>
                <w:highlight w:val="none"/>
              </w:rPr>
              <w:t>3</w:t>
            </w: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c>
          <w:tcPr>
            <w:tcW w:w="623" w:type="dxa"/>
            <w:vAlign w:val="center"/>
          </w:tcPr>
          <w:p>
            <w:pPr>
              <w:autoSpaceDE w:val="0"/>
              <w:autoSpaceDN w:val="0"/>
              <w:adjustRightInd w:val="0"/>
              <w:jc w:val="center"/>
              <w:rPr>
                <w:rFonts w:hint="eastAsia" w:ascii="宋体" w:hAnsi="宋体" w:cs="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Align w:val="center"/>
          </w:tcPr>
          <w:p>
            <w:pPr>
              <w:jc w:val="center"/>
              <w:rPr>
                <w:rFonts w:ascii="宋体" w:hAnsi="宋体" w:cs="宋体"/>
                <w:color w:val="auto"/>
                <w:spacing w:val="-4"/>
                <w:szCs w:val="21"/>
                <w:highlight w:val="none"/>
              </w:rPr>
            </w:pPr>
            <w:r>
              <w:rPr>
                <w:rFonts w:hint="eastAsia" w:ascii="宋体" w:hAnsi="宋体" w:cs="宋体"/>
                <w:color w:val="auto"/>
                <w:spacing w:val="-4"/>
                <w:szCs w:val="21"/>
                <w:highlight w:val="none"/>
              </w:rPr>
              <w:t>应急预案</w:t>
            </w:r>
          </w:p>
        </w:tc>
        <w:tc>
          <w:tcPr>
            <w:tcW w:w="6340" w:type="dxa"/>
            <w:vAlign w:val="center"/>
          </w:tcPr>
          <w:p>
            <w:pPr>
              <w:jc w:val="left"/>
              <w:rPr>
                <w:rFonts w:ascii="宋体" w:hAnsi="宋体" w:cs="宋体"/>
                <w:color w:val="auto"/>
                <w:spacing w:val="-4"/>
                <w:szCs w:val="21"/>
                <w:highlight w:val="none"/>
              </w:rPr>
            </w:pPr>
            <w:r>
              <w:rPr>
                <w:rFonts w:hint="eastAsia" w:ascii="宋体" w:hAnsi="宋体" w:cs="宋体"/>
                <w:color w:val="auto"/>
                <w:spacing w:val="-4"/>
                <w:szCs w:val="21"/>
                <w:highlight w:val="none"/>
              </w:rPr>
              <w:t>针对后续实际项目实际工作中可能遇到的紧急事件、异常处理等应急预案和对应的解决措施情况进行打分。</w:t>
            </w:r>
          </w:p>
          <w:p>
            <w:pPr>
              <w:jc w:val="left"/>
              <w:rPr>
                <w:rFonts w:ascii="宋体" w:hAnsi="宋体" w:cs="宋体"/>
                <w:color w:val="auto"/>
                <w:szCs w:val="21"/>
                <w:highlight w:val="none"/>
              </w:rPr>
            </w:pPr>
            <w:r>
              <w:rPr>
                <w:rFonts w:hint="eastAsia" w:ascii="宋体" w:hAnsi="宋体" w:cs="宋体"/>
                <w:color w:val="auto"/>
                <w:spacing w:val="-4"/>
                <w:szCs w:val="21"/>
                <w:highlight w:val="none"/>
              </w:rPr>
              <w:t>提出的应急措施科学</w:t>
            </w:r>
            <w:r>
              <w:rPr>
                <w:rFonts w:hint="eastAsia" w:ascii="宋体" w:hAnsi="宋体" w:cs="宋体"/>
                <w:color w:val="auto"/>
                <w:szCs w:val="21"/>
                <w:highlight w:val="none"/>
              </w:rPr>
              <w:t>可行的3.0-5.0分；</w:t>
            </w:r>
          </w:p>
          <w:p>
            <w:pPr>
              <w:jc w:val="left"/>
              <w:rPr>
                <w:rFonts w:ascii="宋体" w:hAnsi="宋体" w:cs="宋体"/>
                <w:color w:val="auto"/>
                <w:szCs w:val="21"/>
                <w:highlight w:val="none"/>
              </w:rPr>
            </w:pPr>
            <w:r>
              <w:rPr>
                <w:rFonts w:hint="eastAsia" w:ascii="宋体" w:hAnsi="宋体" w:cs="宋体"/>
                <w:color w:val="auto"/>
                <w:spacing w:val="-4"/>
                <w:szCs w:val="21"/>
                <w:highlight w:val="none"/>
              </w:rPr>
              <w:t>提出的应急措施</w:t>
            </w:r>
            <w:r>
              <w:rPr>
                <w:rFonts w:hint="eastAsia" w:ascii="宋体" w:hAnsi="宋体" w:cs="宋体"/>
                <w:color w:val="auto"/>
                <w:szCs w:val="21"/>
                <w:highlight w:val="none"/>
              </w:rPr>
              <w:t>缺乏针对性和有效性的0.1-2.9分；</w:t>
            </w:r>
          </w:p>
          <w:p>
            <w:pPr>
              <w:jc w:val="left"/>
              <w:rPr>
                <w:rFonts w:ascii="宋体" w:hAnsi="宋体" w:cs="宋体"/>
                <w:color w:val="auto"/>
                <w:spacing w:val="-4"/>
                <w:szCs w:val="21"/>
                <w:highlight w:val="none"/>
              </w:rPr>
            </w:pPr>
            <w:r>
              <w:rPr>
                <w:rFonts w:hint="eastAsia" w:ascii="宋体" w:hAnsi="宋体" w:cs="宋体"/>
                <w:color w:val="auto"/>
                <w:szCs w:val="21"/>
                <w:highlight w:val="none"/>
              </w:rPr>
              <w:t>未提及此项不得分。</w:t>
            </w:r>
          </w:p>
        </w:tc>
        <w:tc>
          <w:tcPr>
            <w:tcW w:w="623" w:type="dxa"/>
            <w:vAlign w:val="center"/>
          </w:tcPr>
          <w:p>
            <w:pPr>
              <w:jc w:val="center"/>
              <w:rPr>
                <w:rFonts w:ascii="宋体" w:hAnsi="宋体" w:cs="宋体"/>
                <w:color w:val="auto"/>
                <w:spacing w:val="-4"/>
                <w:szCs w:val="21"/>
                <w:highlight w:val="none"/>
              </w:rPr>
            </w:pPr>
            <w:r>
              <w:rPr>
                <w:rFonts w:hint="eastAsia" w:ascii="宋体" w:hAnsi="宋体" w:cs="宋体"/>
                <w:color w:val="auto"/>
                <w:spacing w:val="-4"/>
                <w:szCs w:val="21"/>
                <w:highlight w:val="none"/>
              </w:rPr>
              <w:t>5</w:t>
            </w:r>
          </w:p>
        </w:tc>
        <w:tc>
          <w:tcPr>
            <w:tcW w:w="623" w:type="dxa"/>
            <w:vAlign w:val="center"/>
          </w:tcPr>
          <w:p>
            <w:pPr>
              <w:jc w:val="center"/>
              <w:rPr>
                <w:rFonts w:hint="eastAsia" w:ascii="宋体" w:hAnsi="宋体" w:cs="宋体"/>
                <w:color w:val="auto"/>
                <w:spacing w:val="-4"/>
                <w:szCs w:val="21"/>
                <w:highlight w:val="none"/>
              </w:rPr>
            </w:pPr>
          </w:p>
        </w:tc>
        <w:tc>
          <w:tcPr>
            <w:tcW w:w="623" w:type="dxa"/>
            <w:vAlign w:val="center"/>
          </w:tcPr>
          <w:p>
            <w:pPr>
              <w:jc w:val="center"/>
              <w:rPr>
                <w:rFonts w:hint="eastAsia" w:ascii="宋体" w:hAnsi="宋体" w:cs="宋体"/>
                <w:color w:val="auto"/>
                <w:spacing w:val="-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927" w:type="dxa"/>
            <w:vMerge w:val="continue"/>
            <w:vAlign w:val="center"/>
          </w:tcPr>
          <w:p>
            <w:pPr>
              <w:pStyle w:val="3"/>
              <w:spacing w:after="0"/>
              <w:ind w:firstLine="0" w:firstLineChars="0"/>
              <w:jc w:val="center"/>
              <w:rPr>
                <w:rFonts w:ascii="宋体" w:hAnsi="宋体" w:cs="宋体"/>
                <w:color w:val="auto"/>
                <w:szCs w:val="21"/>
                <w:highlight w:val="none"/>
              </w:rPr>
            </w:pPr>
          </w:p>
        </w:tc>
        <w:tc>
          <w:tcPr>
            <w:tcW w:w="1201" w:type="dxa"/>
            <w:vAlign w:val="center"/>
          </w:tcPr>
          <w:p>
            <w:pPr>
              <w:jc w:val="center"/>
              <w:rPr>
                <w:rFonts w:ascii="宋体" w:hAnsi="宋体" w:cs="宋体"/>
                <w:color w:val="auto"/>
                <w:spacing w:val="-4"/>
                <w:szCs w:val="21"/>
                <w:highlight w:val="none"/>
              </w:rPr>
            </w:pPr>
            <w:r>
              <w:rPr>
                <w:rFonts w:hint="eastAsia" w:ascii="宋体" w:hAnsi="宋体" w:cs="宋体"/>
                <w:bCs/>
                <w:color w:val="auto"/>
                <w:szCs w:val="21"/>
                <w:highlight w:val="none"/>
              </w:rPr>
              <w:t>疫情防控方案</w:t>
            </w:r>
          </w:p>
        </w:tc>
        <w:tc>
          <w:tcPr>
            <w:tcW w:w="6340" w:type="dxa"/>
            <w:vAlign w:val="center"/>
          </w:tcPr>
          <w:p>
            <w:pPr>
              <w:adjustRightInd w:val="0"/>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根据投标人提供的疫情防控预案的全面及有效程度等情况进行打分。</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pacing w:val="-4"/>
                <w:szCs w:val="21"/>
                <w:highlight w:val="none"/>
              </w:rPr>
              <w:t>提出的疫情防控措施科学</w:t>
            </w:r>
            <w:r>
              <w:rPr>
                <w:rFonts w:hint="eastAsia" w:ascii="宋体" w:hAnsi="宋体" w:cs="宋体"/>
                <w:color w:val="auto"/>
                <w:szCs w:val="21"/>
                <w:highlight w:val="none"/>
              </w:rPr>
              <w:t>可行的3.0-5.0分；</w:t>
            </w:r>
          </w:p>
          <w:p>
            <w:pPr>
              <w:adjustRightInd w:val="0"/>
              <w:snapToGrid w:val="0"/>
              <w:spacing w:line="320" w:lineRule="exact"/>
              <w:rPr>
                <w:rFonts w:ascii="宋体" w:hAnsi="宋体" w:cs="宋体"/>
                <w:color w:val="auto"/>
                <w:szCs w:val="21"/>
                <w:highlight w:val="none"/>
              </w:rPr>
            </w:pPr>
            <w:r>
              <w:rPr>
                <w:rFonts w:hint="eastAsia" w:ascii="宋体" w:hAnsi="宋体" w:cs="宋体"/>
                <w:color w:val="auto"/>
                <w:spacing w:val="-4"/>
                <w:szCs w:val="21"/>
                <w:highlight w:val="none"/>
              </w:rPr>
              <w:t>提出的疫情防控措施</w:t>
            </w:r>
            <w:r>
              <w:rPr>
                <w:rFonts w:hint="eastAsia" w:ascii="宋体" w:hAnsi="宋体" w:cs="宋体"/>
                <w:color w:val="auto"/>
                <w:szCs w:val="21"/>
                <w:highlight w:val="none"/>
              </w:rPr>
              <w:t>缺乏针对性和有效性的0.1-2.9分；</w:t>
            </w:r>
          </w:p>
          <w:p>
            <w:pPr>
              <w:adjustRightInd w:val="0"/>
              <w:snapToGrid w:val="0"/>
              <w:spacing w:line="320" w:lineRule="exact"/>
              <w:rPr>
                <w:rFonts w:ascii="宋体" w:hAnsi="宋体" w:cs="宋体"/>
                <w:color w:val="auto"/>
                <w:spacing w:val="-4"/>
                <w:szCs w:val="21"/>
                <w:highlight w:val="none"/>
              </w:rPr>
            </w:pPr>
            <w:r>
              <w:rPr>
                <w:rFonts w:hint="eastAsia" w:ascii="宋体" w:hAnsi="宋体" w:cs="宋体"/>
                <w:color w:val="auto"/>
                <w:szCs w:val="21"/>
                <w:highlight w:val="none"/>
              </w:rPr>
              <w:t>未提及此项不得分。</w:t>
            </w:r>
          </w:p>
        </w:tc>
        <w:tc>
          <w:tcPr>
            <w:tcW w:w="623" w:type="dxa"/>
            <w:vAlign w:val="center"/>
          </w:tcPr>
          <w:p>
            <w:pPr>
              <w:adjustRightInd w:val="0"/>
              <w:snapToGrid w:val="0"/>
              <w:spacing w:line="320" w:lineRule="exact"/>
              <w:jc w:val="center"/>
              <w:rPr>
                <w:rFonts w:ascii="宋体" w:hAnsi="宋体" w:cs="宋体"/>
                <w:color w:val="auto"/>
                <w:spacing w:val="-4"/>
                <w:szCs w:val="21"/>
                <w:highlight w:val="none"/>
              </w:rPr>
            </w:pPr>
            <w:r>
              <w:rPr>
                <w:rFonts w:hint="eastAsia" w:ascii="宋体" w:hAnsi="宋体" w:cs="宋体"/>
                <w:color w:val="auto"/>
                <w:szCs w:val="21"/>
                <w:highlight w:val="none"/>
              </w:rPr>
              <w:t>5</w:t>
            </w:r>
          </w:p>
        </w:tc>
        <w:tc>
          <w:tcPr>
            <w:tcW w:w="623" w:type="dxa"/>
            <w:vAlign w:val="center"/>
          </w:tcPr>
          <w:p>
            <w:pPr>
              <w:adjustRightInd w:val="0"/>
              <w:snapToGrid w:val="0"/>
              <w:spacing w:line="320" w:lineRule="exact"/>
              <w:jc w:val="center"/>
              <w:rPr>
                <w:rFonts w:hint="eastAsia" w:ascii="宋体" w:hAnsi="宋体" w:cs="宋体"/>
                <w:color w:val="auto"/>
                <w:szCs w:val="21"/>
                <w:highlight w:val="none"/>
              </w:rPr>
            </w:pPr>
          </w:p>
        </w:tc>
        <w:tc>
          <w:tcPr>
            <w:tcW w:w="623" w:type="dxa"/>
            <w:vAlign w:val="center"/>
          </w:tcPr>
          <w:p>
            <w:pPr>
              <w:adjustRightInd w:val="0"/>
              <w:snapToGrid w:val="0"/>
              <w:spacing w:line="320" w:lineRule="exact"/>
              <w:jc w:val="center"/>
              <w:rPr>
                <w:rFonts w:hint="eastAsia" w:ascii="宋体" w:hAnsi="宋体" w:cs="宋体"/>
                <w:color w:val="auto"/>
                <w:szCs w:val="21"/>
                <w:highlight w:val="none"/>
              </w:rPr>
            </w:pPr>
          </w:p>
        </w:tc>
      </w:tr>
    </w:tbl>
    <w:p>
      <w:pPr>
        <w:pStyle w:val="2"/>
        <w:rPr>
          <w:color w:val="auto"/>
          <w:highlight w:val="none"/>
          <w:lang w:val="zh-CN"/>
        </w:rPr>
      </w:pPr>
    </w:p>
    <w:p>
      <w:pPr>
        <w:pStyle w:val="39"/>
        <w:shd w:val="clear" w:color="auto" w:fill="FFFFFF"/>
        <w:spacing w:before="0" w:beforeAutospacing="0" w:after="0" w:afterAutospacing="0"/>
        <w:jc w:val="both"/>
        <w:rPr>
          <w:b/>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39"/>
        <w:shd w:val="clear" w:color="auto" w:fill="FFFFFF"/>
        <w:spacing w:before="0" w:beforeAutospacing="0" w:after="0" w:afterAutospacing="0"/>
        <w:jc w:val="both"/>
        <w:rPr>
          <w:b/>
          <w:color w:val="auto"/>
          <w:sz w:val="32"/>
          <w:szCs w:val="32"/>
          <w:highlight w:val="none"/>
        </w:rPr>
      </w:pPr>
      <w:r>
        <w:rPr>
          <w:rFonts w:hint="eastAsia"/>
          <w:b/>
          <w:color w:val="auto"/>
          <w:sz w:val="32"/>
          <w:szCs w:val="32"/>
          <w:highlight w:val="none"/>
        </w:rPr>
        <w:t>附件6：</w:t>
      </w:r>
    </w:p>
    <w:p>
      <w:pPr>
        <w:pStyle w:val="39"/>
        <w:shd w:val="clear" w:color="auto" w:fill="FFFFFF"/>
        <w:spacing w:before="0" w:beforeAutospacing="0" w:after="0" w:afterAutospacing="0"/>
        <w:jc w:val="center"/>
        <w:rPr>
          <w:rFonts w:eastAsia="微软雅黑"/>
          <w:color w:val="auto"/>
          <w:sz w:val="36"/>
          <w:szCs w:val="36"/>
          <w:highlight w:val="none"/>
        </w:rPr>
      </w:pPr>
      <w:r>
        <w:rPr>
          <w:rFonts w:hint="eastAsia"/>
          <w:b/>
          <w:color w:val="auto"/>
          <w:sz w:val="32"/>
          <w:szCs w:val="32"/>
          <w:highlight w:val="none"/>
        </w:rPr>
        <w:t>投标</w:t>
      </w:r>
      <w:r>
        <w:rPr>
          <w:rFonts w:hint="eastAsia"/>
          <w:b/>
          <w:bCs/>
          <w:color w:val="auto"/>
          <w:spacing w:val="21"/>
          <w:sz w:val="32"/>
          <w:szCs w:val="32"/>
          <w:highlight w:val="none"/>
        </w:rPr>
        <w:t>人基本情况表</w:t>
      </w:r>
    </w:p>
    <w:tbl>
      <w:tblPr>
        <w:tblStyle w:val="22"/>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pPr>
              <w:pStyle w:val="39"/>
              <w:shd w:val="clear" w:color="auto" w:fill="FFFFFF"/>
              <w:rPr>
                <w:bCs/>
                <w:color w:val="auto"/>
                <w:sz w:val="21"/>
                <w:szCs w:val="21"/>
                <w:highlight w:val="none"/>
              </w:rPr>
            </w:pPr>
            <w:r>
              <w:rPr>
                <w:rFonts w:hint="eastAsia"/>
                <w:bCs/>
                <w:color w:val="auto"/>
                <w:spacing w:val="27"/>
                <w:sz w:val="21"/>
                <w:szCs w:val="21"/>
                <w:highlight w:val="none"/>
              </w:rPr>
              <w:t>企业名称</w:t>
            </w:r>
          </w:p>
        </w:tc>
        <w:tc>
          <w:tcPr>
            <w:tcW w:w="3911" w:type="dxa"/>
            <w:gridSpan w:val="6"/>
          </w:tcPr>
          <w:p>
            <w:pPr>
              <w:pStyle w:val="39"/>
              <w:shd w:val="clear" w:color="auto" w:fill="FFFFFF"/>
              <w:rPr>
                <w:bCs/>
                <w:color w:val="auto"/>
                <w:sz w:val="21"/>
                <w:szCs w:val="21"/>
                <w:highlight w:val="none"/>
              </w:rPr>
            </w:pPr>
          </w:p>
        </w:tc>
        <w:tc>
          <w:tcPr>
            <w:tcW w:w="2001" w:type="dxa"/>
            <w:gridSpan w:val="3"/>
          </w:tcPr>
          <w:p>
            <w:pPr>
              <w:pStyle w:val="39"/>
              <w:shd w:val="clear" w:color="auto" w:fill="FFFFFF"/>
              <w:rPr>
                <w:bCs/>
                <w:color w:val="auto"/>
                <w:sz w:val="21"/>
                <w:szCs w:val="21"/>
                <w:highlight w:val="none"/>
              </w:rPr>
            </w:pPr>
            <w:r>
              <w:rPr>
                <w:rFonts w:hint="eastAsia"/>
                <w:bCs/>
                <w:color w:val="auto"/>
                <w:spacing w:val="16"/>
                <w:sz w:val="21"/>
                <w:szCs w:val="21"/>
                <w:highlight w:val="none"/>
              </w:rPr>
              <w:t>法定代表人</w:t>
            </w:r>
          </w:p>
        </w:tc>
        <w:tc>
          <w:tcPr>
            <w:tcW w:w="2151" w:type="dxa"/>
            <w:gridSpan w:val="2"/>
          </w:tcPr>
          <w:p>
            <w:pPr>
              <w:pStyle w:val="39"/>
              <w:shd w:val="clear" w:color="auto" w:fill="FFFFFF"/>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地址</w:t>
            </w:r>
          </w:p>
        </w:tc>
        <w:tc>
          <w:tcPr>
            <w:tcW w:w="3911" w:type="dxa"/>
            <w:gridSpan w:val="6"/>
          </w:tcPr>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股东姓名</w:t>
            </w:r>
          </w:p>
        </w:tc>
        <w:tc>
          <w:tcPr>
            <w:tcW w:w="633" w:type="dxa"/>
          </w:tcPr>
          <w:p>
            <w:pPr>
              <w:pStyle w:val="39"/>
              <w:shd w:val="clear" w:color="auto" w:fill="FFFFFF"/>
              <w:spacing w:before="0" w:beforeAutospacing="0" w:after="0" w:afterAutospacing="0"/>
              <w:rPr>
                <w:bCs/>
                <w:color w:val="auto"/>
                <w:spacing w:val="16"/>
                <w:sz w:val="21"/>
                <w:szCs w:val="21"/>
                <w:highlight w:val="none"/>
              </w:rPr>
            </w:pPr>
          </w:p>
        </w:tc>
        <w:tc>
          <w:tcPr>
            <w:tcW w:w="910" w:type="dxa"/>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股权结构（</w:t>
            </w:r>
            <w:r>
              <w:rPr>
                <w:bCs/>
                <w:color w:val="auto"/>
                <w:spacing w:val="16"/>
                <w:sz w:val="21"/>
                <w:szCs w:val="21"/>
                <w:highlight w:val="none"/>
              </w:rPr>
              <w:t>%</w:t>
            </w:r>
            <w:r>
              <w:rPr>
                <w:rFonts w:hint="eastAsia"/>
                <w:bCs/>
                <w:color w:val="auto"/>
                <w:spacing w:val="16"/>
                <w:sz w:val="21"/>
                <w:szCs w:val="21"/>
                <w:highlight w:val="none"/>
              </w:rPr>
              <w:t>）</w:t>
            </w:r>
          </w:p>
        </w:tc>
        <w:tc>
          <w:tcPr>
            <w:tcW w:w="2368" w:type="dxa"/>
            <w:gridSpan w:val="4"/>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ind w:left="107"/>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tcPr>
          <w:p>
            <w:pPr>
              <w:pStyle w:val="39"/>
              <w:shd w:val="clear" w:color="auto" w:fill="FFFFFF"/>
              <w:ind w:left="107"/>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pPr>
              <w:pStyle w:val="39"/>
              <w:shd w:val="clear" w:color="auto" w:fill="FFFFFF"/>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633" w:type="dxa"/>
            <w:vMerge w:val="restart"/>
            <w:tcBorders>
              <w:top w:val="nil"/>
            </w:tcBorders>
          </w:tcPr>
          <w:p>
            <w:pPr>
              <w:pStyle w:val="39"/>
              <w:shd w:val="clear" w:color="auto" w:fill="FFFFFF"/>
              <w:rPr>
                <w:bCs/>
                <w:color w:val="auto"/>
                <w:spacing w:val="16"/>
                <w:sz w:val="21"/>
                <w:szCs w:val="21"/>
                <w:highlight w:val="none"/>
              </w:rPr>
            </w:pPr>
          </w:p>
        </w:tc>
        <w:tc>
          <w:tcPr>
            <w:tcW w:w="910" w:type="dxa"/>
            <w:tcBorders>
              <w:top w:val="nil"/>
            </w:tcBorders>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固定电话</w:t>
            </w:r>
          </w:p>
        </w:tc>
        <w:tc>
          <w:tcPr>
            <w:tcW w:w="2368" w:type="dxa"/>
            <w:gridSpan w:val="4"/>
            <w:tcBorders>
              <w:top w:val="nil"/>
            </w:tcBorders>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vMerge w:val="restart"/>
          </w:tcPr>
          <w:p>
            <w:pPr>
              <w:pStyle w:val="39"/>
              <w:shd w:val="clear" w:color="auto" w:fill="FFFFFF"/>
              <w:spacing w:before="0" w:beforeAutospacing="0" w:after="0" w:afterAutospacing="0"/>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pPr>
              <w:pStyle w:val="39"/>
              <w:shd w:val="clear" w:color="auto" w:fill="FFFFFF"/>
              <w:ind w:left="107"/>
              <w:rPr>
                <w:bCs/>
                <w:color w:val="auto"/>
                <w:sz w:val="21"/>
                <w:szCs w:val="21"/>
                <w:highlight w:val="none"/>
              </w:rPr>
            </w:pPr>
          </w:p>
        </w:tc>
        <w:tc>
          <w:tcPr>
            <w:tcW w:w="633" w:type="dxa"/>
            <w:vMerge w:val="continue"/>
          </w:tcPr>
          <w:p>
            <w:pPr>
              <w:pStyle w:val="39"/>
              <w:shd w:val="clear" w:color="auto" w:fill="FFFFFF"/>
              <w:rPr>
                <w:bCs/>
                <w:color w:val="auto"/>
                <w:spacing w:val="16"/>
                <w:sz w:val="21"/>
                <w:szCs w:val="21"/>
                <w:highlight w:val="none"/>
              </w:rPr>
            </w:pPr>
          </w:p>
        </w:tc>
        <w:tc>
          <w:tcPr>
            <w:tcW w:w="910" w:type="dxa"/>
          </w:tcPr>
          <w:p>
            <w:pPr>
              <w:pStyle w:val="39"/>
              <w:shd w:val="clear" w:color="auto" w:fill="FFFFFF"/>
              <w:rPr>
                <w:bCs/>
                <w:color w:val="auto"/>
                <w:spacing w:val="16"/>
                <w:sz w:val="21"/>
                <w:szCs w:val="21"/>
                <w:highlight w:val="none"/>
              </w:rPr>
            </w:pPr>
            <w:r>
              <w:rPr>
                <w:rFonts w:hint="eastAsia"/>
                <w:bCs/>
                <w:color w:val="auto"/>
                <w:spacing w:val="27"/>
                <w:sz w:val="21"/>
                <w:szCs w:val="21"/>
                <w:highlight w:val="none"/>
              </w:rPr>
              <w:t>手机</w:t>
            </w:r>
          </w:p>
        </w:tc>
        <w:tc>
          <w:tcPr>
            <w:tcW w:w="2368" w:type="dxa"/>
            <w:gridSpan w:val="4"/>
          </w:tcPr>
          <w:p>
            <w:pPr>
              <w:pStyle w:val="39"/>
              <w:shd w:val="clear" w:color="auto" w:fill="FFFFFF"/>
              <w:rPr>
                <w:bCs/>
                <w:color w:val="auto"/>
                <w:spacing w:val="16"/>
                <w:sz w:val="21"/>
                <w:szCs w:val="21"/>
                <w:highlight w:val="none"/>
              </w:rPr>
            </w:pPr>
          </w:p>
        </w:tc>
        <w:tc>
          <w:tcPr>
            <w:tcW w:w="2001" w:type="dxa"/>
            <w:gridSpan w:val="3"/>
            <w:vMerge w:val="continue"/>
          </w:tcPr>
          <w:p>
            <w:pPr>
              <w:pStyle w:val="39"/>
              <w:shd w:val="clear" w:color="auto" w:fill="FFFFFF"/>
              <w:rPr>
                <w:bCs/>
                <w:color w:val="auto"/>
                <w:spacing w:val="16"/>
                <w:sz w:val="21"/>
                <w:szCs w:val="21"/>
                <w:highlight w:val="none"/>
              </w:rPr>
            </w:pPr>
          </w:p>
        </w:tc>
        <w:tc>
          <w:tcPr>
            <w:tcW w:w="2151" w:type="dxa"/>
            <w:gridSpan w:val="2"/>
            <w:vMerge w:val="continue"/>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pPr>
              <w:pStyle w:val="39"/>
              <w:shd w:val="clear" w:color="auto" w:fill="FFFFFF"/>
              <w:ind w:left="107"/>
              <w:rPr>
                <w:bCs/>
                <w:color w:val="auto"/>
                <w:sz w:val="21"/>
                <w:szCs w:val="21"/>
                <w:highlight w:val="none"/>
              </w:rPr>
            </w:pPr>
            <w:r>
              <w:rPr>
                <w:rFonts w:hint="eastAsia"/>
                <w:bCs/>
                <w:color w:val="auto"/>
                <w:sz w:val="21"/>
                <w:szCs w:val="21"/>
                <w:highlight w:val="none"/>
              </w:rPr>
              <w:t>一、</w:t>
            </w:r>
          </w:p>
          <w:p>
            <w:pPr>
              <w:pStyle w:val="39"/>
              <w:shd w:val="clear" w:color="auto" w:fill="FFFFFF"/>
              <w:ind w:left="107"/>
              <w:rPr>
                <w:bCs/>
                <w:color w:val="auto"/>
                <w:sz w:val="21"/>
                <w:szCs w:val="21"/>
                <w:highlight w:val="none"/>
              </w:rPr>
            </w:pPr>
            <w:r>
              <w:rPr>
                <w:rFonts w:hint="eastAsia"/>
                <w:bCs/>
                <w:color w:val="auto"/>
                <w:sz w:val="21"/>
                <w:szCs w:val="21"/>
                <w:highlight w:val="none"/>
              </w:rPr>
              <w:t>企</w:t>
            </w:r>
          </w:p>
          <w:p>
            <w:pPr>
              <w:pStyle w:val="39"/>
              <w:shd w:val="clear" w:color="auto" w:fill="FFFFFF"/>
              <w:ind w:left="107"/>
              <w:rPr>
                <w:bCs/>
                <w:color w:val="auto"/>
                <w:sz w:val="21"/>
                <w:szCs w:val="21"/>
                <w:highlight w:val="none"/>
              </w:rPr>
            </w:pPr>
            <w:r>
              <w:rPr>
                <w:rFonts w:hint="eastAsia"/>
                <w:bCs/>
                <w:color w:val="auto"/>
                <w:sz w:val="21"/>
                <w:szCs w:val="21"/>
                <w:highlight w:val="none"/>
              </w:rPr>
              <w:t>业</w:t>
            </w:r>
          </w:p>
          <w:p>
            <w:pPr>
              <w:pStyle w:val="39"/>
              <w:shd w:val="clear" w:color="auto" w:fill="FFFFFF"/>
              <w:ind w:left="107"/>
              <w:rPr>
                <w:bCs/>
                <w:color w:val="auto"/>
                <w:spacing w:val="27"/>
                <w:sz w:val="21"/>
                <w:szCs w:val="21"/>
                <w:highlight w:val="none"/>
              </w:rPr>
            </w:pPr>
            <w:r>
              <w:rPr>
                <w:rFonts w:hint="eastAsia"/>
                <w:bCs/>
                <w:color w:val="auto"/>
                <w:spacing w:val="27"/>
                <w:sz w:val="21"/>
                <w:szCs w:val="21"/>
                <w:highlight w:val="none"/>
              </w:rPr>
              <w:t>概</w:t>
            </w:r>
          </w:p>
          <w:p>
            <w:pPr>
              <w:pStyle w:val="39"/>
              <w:shd w:val="clear" w:color="auto" w:fill="FFFFFF"/>
              <w:ind w:left="107"/>
              <w:rPr>
                <w:bCs/>
                <w:color w:val="auto"/>
                <w:sz w:val="21"/>
                <w:szCs w:val="21"/>
                <w:highlight w:val="none"/>
              </w:rPr>
            </w:pPr>
            <w:r>
              <w:rPr>
                <w:rFonts w:hint="eastAsia"/>
                <w:bCs/>
                <w:color w:val="auto"/>
                <w:spacing w:val="27"/>
                <w:sz w:val="21"/>
                <w:szCs w:val="21"/>
                <w:highlight w:val="none"/>
              </w:rPr>
              <w:t>况</w:t>
            </w:r>
          </w:p>
        </w:tc>
        <w:tc>
          <w:tcPr>
            <w:tcW w:w="633" w:type="dxa"/>
            <w:tcBorders>
              <w:top w:val="nil"/>
            </w:tcBorders>
          </w:tcPr>
          <w:p>
            <w:pPr>
              <w:pStyle w:val="39"/>
              <w:shd w:val="clear" w:color="auto" w:fill="FFFFFF"/>
              <w:rPr>
                <w:bCs/>
                <w:color w:val="auto"/>
                <w:spacing w:val="16"/>
                <w:sz w:val="21"/>
                <w:szCs w:val="21"/>
                <w:highlight w:val="none"/>
              </w:rPr>
            </w:pPr>
            <w:r>
              <w:rPr>
                <w:rFonts w:hint="eastAsia"/>
                <w:bCs/>
                <w:color w:val="auto"/>
                <w:spacing w:val="16"/>
                <w:sz w:val="21"/>
                <w:szCs w:val="21"/>
                <w:highlight w:val="none"/>
              </w:rPr>
              <w:t>职工人数</w:t>
            </w:r>
          </w:p>
        </w:tc>
        <w:tc>
          <w:tcPr>
            <w:tcW w:w="910" w:type="dxa"/>
            <w:tcBorders>
              <w:top w:val="nil"/>
            </w:tcBorders>
          </w:tcPr>
          <w:p>
            <w:pPr>
              <w:pStyle w:val="39"/>
              <w:shd w:val="clear" w:color="auto" w:fill="FFFFFF"/>
              <w:rPr>
                <w:bCs/>
                <w:color w:val="auto"/>
                <w:spacing w:val="16"/>
                <w:sz w:val="21"/>
                <w:szCs w:val="21"/>
                <w:highlight w:val="none"/>
              </w:rPr>
            </w:pPr>
          </w:p>
        </w:tc>
        <w:tc>
          <w:tcPr>
            <w:tcW w:w="1163" w:type="dxa"/>
            <w:gridSpan w:val="2"/>
            <w:tcBorders>
              <w:top w:val="nil"/>
            </w:tcBorders>
          </w:tcPr>
          <w:p>
            <w:pPr>
              <w:pStyle w:val="39"/>
              <w:shd w:val="clear" w:color="auto" w:fill="FFFFFF"/>
              <w:spacing w:before="0" w:beforeAutospacing="0" w:after="0" w:afterAutospacing="0"/>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tcPr>
          <w:p>
            <w:pPr>
              <w:widowControl/>
              <w:jc w:val="left"/>
              <w:rPr>
                <w:rFonts w:ascii="宋体" w:cs="宋体"/>
                <w:bCs/>
                <w:color w:val="auto"/>
                <w:spacing w:val="16"/>
                <w:kern w:val="0"/>
                <w:szCs w:val="21"/>
                <w:highlight w:val="none"/>
              </w:rPr>
            </w:pPr>
          </w:p>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c>
          <w:tcPr>
            <w:tcW w:w="2001" w:type="dxa"/>
            <w:gridSpan w:val="3"/>
          </w:tcPr>
          <w:p>
            <w:pPr>
              <w:pStyle w:val="39"/>
              <w:shd w:val="clear" w:color="auto" w:fill="FFFFFF"/>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tcPr>
          <w:p>
            <w:pPr>
              <w:widowControl/>
              <w:jc w:val="left"/>
              <w:rPr>
                <w:rFonts w:ascii="宋体" w:cs="宋体"/>
                <w:bCs/>
                <w:color w:val="auto"/>
                <w:spacing w:val="16"/>
                <w:kern w:val="0"/>
                <w:szCs w:val="21"/>
                <w:highlight w:val="none"/>
              </w:rPr>
            </w:pPr>
          </w:p>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rPr>
                <w:bCs/>
                <w:color w:val="auto"/>
                <w:sz w:val="21"/>
                <w:szCs w:val="21"/>
                <w:highlight w:val="none"/>
              </w:rPr>
            </w:pPr>
            <w:r>
              <w:rPr>
                <w:rFonts w:hint="eastAsia"/>
                <w:bCs/>
                <w:color w:val="auto"/>
                <w:spacing w:val="16"/>
                <w:sz w:val="21"/>
                <w:szCs w:val="21"/>
                <w:highlight w:val="none"/>
              </w:rPr>
              <w:t>占地面积</w:t>
            </w:r>
          </w:p>
        </w:tc>
        <w:tc>
          <w:tcPr>
            <w:tcW w:w="910" w:type="dxa"/>
          </w:tcPr>
          <w:p>
            <w:pPr>
              <w:pStyle w:val="39"/>
              <w:shd w:val="clear" w:color="auto" w:fill="FFFFFF"/>
              <w:rPr>
                <w:bCs/>
                <w:color w:val="auto"/>
                <w:sz w:val="21"/>
                <w:szCs w:val="21"/>
                <w:highlight w:val="none"/>
              </w:rPr>
            </w:pPr>
          </w:p>
        </w:tc>
        <w:tc>
          <w:tcPr>
            <w:tcW w:w="1163" w:type="dxa"/>
            <w:gridSpan w:val="2"/>
          </w:tcPr>
          <w:p>
            <w:pPr>
              <w:pStyle w:val="39"/>
              <w:shd w:val="clear" w:color="auto" w:fill="FFFFFF"/>
              <w:rPr>
                <w:bCs/>
                <w:color w:val="auto"/>
                <w:sz w:val="21"/>
                <w:szCs w:val="21"/>
                <w:highlight w:val="none"/>
              </w:rPr>
            </w:pPr>
            <w:r>
              <w:rPr>
                <w:rFonts w:hint="eastAsia"/>
                <w:bCs/>
                <w:color w:val="auto"/>
                <w:spacing w:val="16"/>
                <w:sz w:val="21"/>
                <w:szCs w:val="21"/>
                <w:highlight w:val="none"/>
              </w:rPr>
              <w:t>建筑面积</w:t>
            </w:r>
          </w:p>
        </w:tc>
        <w:tc>
          <w:tcPr>
            <w:tcW w:w="1205" w:type="dxa"/>
            <w:gridSpan w:val="2"/>
          </w:tcPr>
          <w:p>
            <w:pPr>
              <w:pStyle w:val="39"/>
              <w:shd w:val="clear" w:color="auto" w:fill="FFFFFF"/>
              <w:rPr>
                <w:bCs/>
                <w:color w:val="auto"/>
                <w:sz w:val="21"/>
                <w:szCs w:val="21"/>
                <w:highlight w:val="none"/>
              </w:rPr>
            </w:pPr>
            <w:r>
              <w:rPr>
                <w:rFonts w:hint="eastAsia"/>
                <w:bCs/>
                <w:color w:val="auto"/>
                <w:sz w:val="21"/>
                <w:szCs w:val="21"/>
                <w:highlight w:val="none"/>
              </w:rPr>
              <w:t>平方米</w:t>
            </w:r>
          </w:p>
          <w:p>
            <w:pPr>
              <w:pStyle w:val="39"/>
              <w:shd w:val="clear" w:color="auto" w:fill="FFFFFF"/>
              <w:rPr>
                <w:bCs/>
                <w:color w:val="auto"/>
                <w:sz w:val="21"/>
                <w:szCs w:val="21"/>
                <w:highlight w:val="none"/>
              </w:rPr>
            </w:pPr>
            <w:r>
              <w:rPr>
                <w:rFonts w:hint="eastAsia"/>
                <w:bCs/>
                <w:color w:val="auto"/>
                <w:spacing w:val="16"/>
                <w:sz w:val="21"/>
                <w:szCs w:val="21"/>
                <w:highlight w:val="none"/>
              </w:rPr>
              <w:t>□自有□租賃</w:t>
            </w:r>
          </w:p>
        </w:tc>
        <w:tc>
          <w:tcPr>
            <w:tcW w:w="2001" w:type="dxa"/>
            <w:gridSpan w:val="3"/>
          </w:tcPr>
          <w:p>
            <w:pPr>
              <w:pStyle w:val="39"/>
              <w:shd w:val="clear" w:color="auto" w:fill="FFFFFF"/>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tcPr>
          <w:p>
            <w:pPr>
              <w:pStyle w:val="39"/>
              <w:shd w:val="clear" w:color="auto" w:fill="FFFFFF"/>
              <w:spacing w:before="0" w:beforeAutospacing="0" w:after="0" w:afterAutospacing="0"/>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ind w:left="2"/>
              <w:rPr>
                <w:bCs/>
                <w:color w:val="auto"/>
                <w:spacing w:val="16"/>
                <w:sz w:val="21"/>
                <w:szCs w:val="21"/>
                <w:highlight w:val="none"/>
              </w:rPr>
            </w:pPr>
            <w:r>
              <w:rPr>
                <w:rFonts w:hint="eastAsia"/>
                <w:bCs/>
                <w:color w:val="auto"/>
                <w:spacing w:val="16"/>
                <w:sz w:val="21"/>
                <w:szCs w:val="21"/>
                <w:highlight w:val="none"/>
              </w:rPr>
              <w:t>注册资金</w:t>
            </w:r>
          </w:p>
        </w:tc>
        <w:tc>
          <w:tcPr>
            <w:tcW w:w="910" w:type="dxa"/>
          </w:tcPr>
          <w:p>
            <w:pPr>
              <w:pStyle w:val="39"/>
              <w:shd w:val="clear" w:color="auto" w:fill="FFFFFF"/>
              <w:ind w:left="2"/>
              <w:rPr>
                <w:bCs/>
                <w:color w:val="auto"/>
                <w:sz w:val="21"/>
                <w:szCs w:val="21"/>
                <w:highlight w:val="none"/>
              </w:rPr>
            </w:pPr>
          </w:p>
        </w:tc>
        <w:tc>
          <w:tcPr>
            <w:tcW w:w="1163" w:type="dxa"/>
            <w:gridSpan w:val="2"/>
          </w:tcPr>
          <w:p>
            <w:pPr>
              <w:pStyle w:val="39"/>
              <w:shd w:val="clear" w:color="auto" w:fill="FFFFFF"/>
              <w:ind w:left="107"/>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tcPr>
          <w:p>
            <w:pPr>
              <w:widowControl/>
              <w:jc w:val="left"/>
              <w:rPr>
                <w:rFonts w:ascii="宋体" w:cs="宋体"/>
                <w:bCs/>
                <w:color w:val="auto"/>
                <w:kern w:val="0"/>
                <w:szCs w:val="21"/>
                <w:highlight w:val="none"/>
              </w:rPr>
            </w:pPr>
          </w:p>
          <w:p>
            <w:pPr>
              <w:pStyle w:val="39"/>
              <w:shd w:val="clear" w:color="auto" w:fill="FFFFFF"/>
              <w:ind w:left="107"/>
              <w:rPr>
                <w:bCs/>
                <w:color w:val="auto"/>
                <w:sz w:val="21"/>
                <w:szCs w:val="21"/>
                <w:highlight w:val="none"/>
              </w:rPr>
            </w:pPr>
          </w:p>
        </w:tc>
        <w:tc>
          <w:tcPr>
            <w:tcW w:w="1218" w:type="dxa"/>
          </w:tcPr>
          <w:p>
            <w:pPr>
              <w:pStyle w:val="39"/>
              <w:shd w:val="clear" w:color="auto" w:fill="FFFFFF"/>
              <w:ind w:left="107"/>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tcPr>
          <w:p>
            <w:pPr>
              <w:pStyle w:val="39"/>
              <w:shd w:val="clear" w:color="auto" w:fill="FFFFFF"/>
              <w:ind w:left="107"/>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pPr>
              <w:pStyle w:val="39"/>
              <w:shd w:val="clear" w:color="auto" w:fill="FFFFFF"/>
              <w:ind w:left="107"/>
              <w:rPr>
                <w:bCs/>
                <w:color w:val="auto"/>
                <w:sz w:val="21"/>
                <w:szCs w:val="21"/>
                <w:highlight w:val="none"/>
              </w:rPr>
            </w:pPr>
          </w:p>
        </w:tc>
        <w:tc>
          <w:tcPr>
            <w:tcW w:w="633" w:type="dxa"/>
          </w:tcPr>
          <w:p>
            <w:pPr>
              <w:pStyle w:val="39"/>
              <w:shd w:val="clear" w:color="auto" w:fill="FFFFFF"/>
              <w:ind w:left="2"/>
              <w:rPr>
                <w:bCs/>
                <w:color w:val="auto"/>
                <w:sz w:val="21"/>
                <w:szCs w:val="21"/>
                <w:highlight w:val="none"/>
              </w:rPr>
            </w:pPr>
            <w:r>
              <w:rPr>
                <w:rFonts w:hint="eastAsia"/>
                <w:bCs/>
                <w:color w:val="auto"/>
                <w:sz w:val="21"/>
                <w:szCs w:val="21"/>
                <w:highlight w:val="none"/>
              </w:rPr>
              <w:t>核准经营范围</w:t>
            </w:r>
          </w:p>
        </w:tc>
        <w:tc>
          <w:tcPr>
            <w:tcW w:w="7430" w:type="dxa"/>
            <w:gridSpan w:val="10"/>
          </w:tcPr>
          <w:p>
            <w:pPr>
              <w:pStyle w:val="39"/>
              <w:shd w:val="clear" w:color="auto" w:fill="FFFFFF"/>
              <w:ind w:left="107"/>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pPr>
              <w:pStyle w:val="39"/>
              <w:shd w:val="clear" w:color="auto" w:fill="FFFFFF"/>
              <w:ind w:left="107"/>
              <w:rPr>
                <w:bCs/>
                <w:color w:val="auto"/>
                <w:sz w:val="21"/>
                <w:szCs w:val="21"/>
                <w:highlight w:val="none"/>
              </w:rPr>
            </w:pPr>
          </w:p>
        </w:tc>
        <w:tc>
          <w:tcPr>
            <w:tcW w:w="8063" w:type="dxa"/>
            <w:gridSpan w:val="11"/>
          </w:tcPr>
          <w:p>
            <w:pPr>
              <w:pStyle w:val="39"/>
              <w:shd w:val="clear" w:color="auto" w:fill="FFFFFF"/>
              <w:rPr>
                <w:bCs/>
                <w:color w:val="auto"/>
                <w:spacing w:val="13"/>
                <w:sz w:val="21"/>
                <w:szCs w:val="21"/>
                <w:highlight w:val="none"/>
              </w:rPr>
            </w:pPr>
            <w:r>
              <w:rPr>
                <w:rFonts w:hint="eastAsia"/>
                <w:bCs/>
                <w:color w:val="auto"/>
                <w:spacing w:val="13"/>
                <w:sz w:val="21"/>
                <w:szCs w:val="21"/>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pPr>
              <w:pStyle w:val="39"/>
              <w:shd w:val="clear" w:color="auto" w:fill="FFFFFF"/>
              <w:ind w:left="107"/>
              <w:rPr>
                <w:bCs/>
                <w:color w:val="auto"/>
                <w:sz w:val="21"/>
                <w:szCs w:val="21"/>
                <w:highlight w:val="none"/>
              </w:rPr>
            </w:pPr>
            <w:r>
              <w:rPr>
                <w:rFonts w:hint="eastAsia"/>
                <w:bCs/>
                <w:color w:val="auto"/>
                <w:sz w:val="21"/>
                <w:szCs w:val="21"/>
                <w:highlight w:val="none"/>
              </w:rPr>
              <w:t>二、</w:t>
            </w:r>
          </w:p>
          <w:p>
            <w:pPr>
              <w:pStyle w:val="39"/>
              <w:shd w:val="clear" w:color="auto" w:fill="FFFFFF"/>
              <w:ind w:left="107"/>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854" w:type="dxa"/>
            <w:gridSpan w:val="3"/>
            <w:vMerge w:val="restart"/>
          </w:tcPr>
          <w:p>
            <w:pPr>
              <w:pStyle w:val="39"/>
              <w:shd w:val="clear" w:color="auto" w:fill="FFFFFF"/>
              <w:spacing w:before="0" w:beforeAutospacing="0" w:after="0" w:afterAutospacing="0"/>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964" w:type="dxa"/>
            <w:gridSpan w:val="2"/>
          </w:tcPr>
          <w:p>
            <w:pPr>
              <w:pStyle w:val="39"/>
              <w:shd w:val="clear" w:color="auto" w:fill="FFFFFF"/>
              <w:ind w:right="-78" w:rightChars="-37"/>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tcPr>
          <w:p>
            <w:pPr>
              <w:pStyle w:val="39"/>
              <w:shd w:val="clear" w:color="auto" w:fill="FFFFFF"/>
              <w:spacing w:before="0" w:beforeAutospacing="0" w:after="0" w:afterAutospacing="0"/>
              <w:rPr>
                <w:bCs/>
                <w:color w:val="auto"/>
                <w:sz w:val="21"/>
                <w:szCs w:val="21"/>
                <w:highlight w:val="none"/>
              </w:rPr>
            </w:pPr>
            <w:r>
              <w:rPr>
                <w:rFonts w:hint="eastAsia"/>
                <w:bCs/>
                <w:color w:val="auto"/>
                <w:spacing w:val="16"/>
                <w:sz w:val="21"/>
                <w:szCs w:val="21"/>
                <w:highlight w:val="none"/>
              </w:rPr>
              <w:t>发证机关</w:t>
            </w:r>
          </w:p>
        </w:tc>
        <w:tc>
          <w:tcPr>
            <w:tcW w:w="1276" w:type="dxa"/>
          </w:tcPr>
          <w:p>
            <w:pPr>
              <w:pStyle w:val="39"/>
              <w:shd w:val="clear" w:color="auto" w:fill="FFFFFF"/>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tcPr>
          <w:p>
            <w:pPr>
              <w:pStyle w:val="39"/>
              <w:shd w:val="clear" w:color="auto" w:fill="FFFFFF"/>
              <w:jc w:val="center"/>
              <w:rPr>
                <w:bCs/>
                <w:color w:val="auto"/>
                <w:sz w:val="21"/>
                <w:szCs w:val="21"/>
                <w:highlight w:val="none"/>
              </w:rPr>
            </w:pPr>
            <w:r>
              <w:rPr>
                <w:rFonts w:hint="eastAsia"/>
                <w:bCs/>
                <w:color w:val="auto"/>
                <w:spacing w:val="16"/>
                <w:sz w:val="21"/>
                <w:szCs w:val="21"/>
                <w:highlight w:val="none"/>
              </w:rPr>
              <w:t>发证时间</w:t>
            </w:r>
          </w:p>
        </w:tc>
        <w:tc>
          <w:tcPr>
            <w:tcW w:w="933" w:type="dxa"/>
          </w:tcPr>
          <w:p>
            <w:pPr>
              <w:pStyle w:val="39"/>
              <w:shd w:val="clear" w:color="auto" w:fill="FFFFFF"/>
              <w:spacing w:before="0" w:beforeAutospacing="0" w:after="0" w:afterAutospacing="0"/>
              <w:jc w:val="center"/>
              <w:rPr>
                <w:bCs/>
                <w:color w:val="auto"/>
                <w:sz w:val="21"/>
                <w:szCs w:val="21"/>
                <w:highlight w:val="none"/>
              </w:rPr>
            </w:pPr>
            <w:r>
              <w:rPr>
                <w:rFonts w:hint="eastAsia"/>
                <w:bCs/>
                <w:color w:val="auto"/>
                <w:spacing w:val="27"/>
                <w:sz w:val="21"/>
                <w:szCs w:val="21"/>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pPr>
              <w:pStyle w:val="39"/>
              <w:shd w:val="clear" w:color="auto" w:fill="FFFFFF"/>
              <w:ind w:left="107"/>
              <w:rPr>
                <w:bCs/>
                <w:color w:val="auto"/>
                <w:sz w:val="21"/>
                <w:szCs w:val="21"/>
                <w:highlight w:val="none"/>
              </w:rPr>
            </w:pPr>
          </w:p>
        </w:tc>
        <w:tc>
          <w:tcPr>
            <w:tcW w:w="1854" w:type="dxa"/>
            <w:gridSpan w:val="3"/>
            <w:vMerge w:val="continue"/>
          </w:tcPr>
          <w:p>
            <w:pPr>
              <w:pStyle w:val="39"/>
              <w:shd w:val="clear" w:color="auto" w:fill="FFFFFF"/>
              <w:rPr>
                <w:bCs/>
                <w:color w:val="auto"/>
                <w:sz w:val="21"/>
                <w:szCs w:val="21"/>
                <w:highlight w:val="none"/>
              </w:rPr>
            </w:pPr>
          </w:p>
        </w:tc>
        <w:tc>
          <w:tcPr>
            <w:tcW w:w="964" w:type="dxa"/>
            <w:gridSpan w:val="2"/>
          </w:tcPr>
          <w:p>
            <w:pPr>
              <w:pStyle w:val="39"/>
              <w:shd w:val="clear" w:color="auto" w:fill="FFFFFF"/>
              <w:rPr>
                <w:bCs/>
                <w:color w:val="auto"/>
                <w:sz w:val="21"/>
                <w:szCs w:val="21"/>
                <w:highlight w:val="none"/>
              </w:rPr>
            </w:pPr>
          </w:p>
        </w:tc>
        <w:tc>
          <w:tcPr>
            <w:tcW w:w="1418" w:type="dxa"/>
            <w:gridSpan w:val="2"/>
          </w:tcPr>
          <w:p>
            <w:pPr>
              <w:pStyle w:val="39"/>
              <w:shd w:val="clear" w:color="auto" w:fill="FFFFFF"/>
              <w:rPr>
                <w:bCs/>
                <w:color w:val="auto"/>
                <w:sz w:val="21"/>
                <w:szCs w:val="21"/>
                <w:highlight w:val="none"/>
              </w:rPr>
            </w:pPr>
          </w:p>
        </w:tc>
        <w:tc>
          <w:tcPr>
            <w:tcW w:w="1276" w:type="dxa"/>
          </w:tcPr>
          <w:p>
            <w:pPr>
              <w:pStyle w:val="39"/>
              <w:shd w:val="clear" w:color="auto" w:fill="FFFFFF"/>
              <w:rPr>
                <w:bCs/>
                <w:color w:val="auto"/>
                <w:sz w:val="21"/>
                <w:szCs w:val="21"/>
                <w:highlight w:val="none"/>
              </w:rPr>
            </w:pPr>
          </w:p>
        </w:tc>
        <w:tc>
          <w:tcPr>
            <w:tcW w:w="2551" w:type="dxa"/>
            <w:gridSpan w:val="3"/>
          </w:tcPr>
          <w:p>
            <w:pPr>
              <w:pStyle w:val="39"/>
              <w:shd w:val="clear" w:color="auto" w:fill="FFFFFF"/>
              <w:rPr>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pPr>
              <w:pStyle w:val="39"/>
              <w:shd w:val="clear" w:color="auto" w:fill="FFFFFF"/>
              <w:ind w:left="107"/>
              <w:rPr>
                <w:bCs/>
                <w:color w:val="auto"/>
                <w:spacing w:val="16"/>
                <w:sz w:val="21"/>
                <w:szCs w:val="21"/>
                <w:highlight w:val="none"/>
              </w:rPr>
            </w:pPr>
          </w:p>
        </w:tc>
        <w:tc>
          <w:tcPr>
            <w:tcW w:w="1854" w:type="dxa"/>
            <w:gridSpan w:val="3"/>
          </w:tcPr>
          <w:p>
            <w:pPr>
              <w:pStyle w:val="39"/>
              <w:shd w:val="clear" w:color="auto" w:fill="FFFFFF"/>
              <w:spacing w:before="0" w:beforeAutospacing="0" w:after="0" w:afterAutospacing="0"/>
              <w:ind w:right="-107" w:rightChars="-51"/>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209" w:type="dxa"/>
            <w:gridSpan w:val="8"/>
          </w:tcPr>
          <w:p>
            <w:pPr>
              <w:pStyle w:val="39"/>
              <w:shd w:val="clear" w:color="auto" w:fill="FFFFFF"/>
              <w:rPr>
                <w:bCs/>
                <w:color w:val="auto"/>
                <w:spacing w:val="16"/>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pPr>
              <w:pStyle w:val="39"/>
              <w:shd w:val="clear" w:color="auto" w:fill="FFFFFF"/>
              <w:ind w:left="107"/>
              <w:rPr>
                <w:bCs/>
                <w:color w:val="auto"/>
                <w:spacing w:val="27"/>
                <w:sz w:val="21"/>
                <w:szCs w:val="21"/>
                <w:highlight w:val="none"/>
              </w:rPr>
            </w:pPr>
          </w:p>
        </w:tc>
        <w:tc>
          <w:tcPr>
            <w:tcW w:w="1854" w:type="dxa"/>
            <w:gridSpan w:val="3"/>
          </w:tcPr>
          <w:p>
            <w:pPr>
              <w:pStyle w:val="39"/>
              <w:shd w:val="clear" w:color="auto" w:fill="FFFFFF"/>
              <w:rPr>
                <w:bCs/>
                <w:color w:val="auto"/>
                <w:spacing w:val="16"/>
                <w:sz w:val="21"/>
                <w:szCs w:val="21"/>
                <w:highlight w:val="none"/>
              </w:rPr>
            </w:pPr>
            <w:r>
              <w:rPr>
                <w:rFonts w:hint="eastAsia"/>
                <w:bCs/>
                <w:color w:val="auto"/>
                <w:spacing w:val="10"/>
                <w:sz w:val="21"/>
                <w:szCs w:val="21"/>
                <w:highlight w:val="none"/>
              </w:rPr>
              <w:t>企业获得专利情况</w:t>
            </w:r>
          </w:p>
        </w:tc>
        <w:tc>
          <w:tcPr>
            <w:tcW w:w="6209" w:type="dxa"/>
            <w:gridSpan w:val="8"/>
          </w:tcPr>
          <w:p>
            <w:pPr>
              <w:pStyle w:val="39"/>
              <w:shd w:val="clear" w:color="auto" w:fill="FFFFFF"/>
              <w:rPr>
                <w:bCs/>
                <w:color w:val="auto"/>
                <w:spacing w:val="16"/>
                <w:sz w:val="21"/>
                <w:szCs w:val="21"/>
                <w:highlight w:val="none"/>
              </w:rPr>
            </w:pPr>
          </w:p>
        </w:tc>
      </w:tr>
    </w:tbl>
    <w:p>
      <w:pPr>
        <w:pStyle w:val="39"/>
        <w:shd w:val="clear" w:color="auto" w:fill="FFFFFF"/>
        <w:spacing w:before="0" w:beforeAutospacing="0" w:after="0" w:afterAutospacing="0" w:line="360" w:lineRule="auto"/>
        <w:rPr>
          <w:rFonts w:ascii="仿宋_GB2312" w:eastAsia="仿宋_GB2312"/>
          <w:color w:val="auto"/>
          <w:highlight w:val="none"/>
        </w:rPr>
      </w:pPr>
    </w:p>
    <w:p>
      <w:pPr>
        <w:pStyle w:val="39"/>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39"/>
        <w:shd w:val="clear" w:color="auto" w:fill="FFFFFF"/>
        <w:spacing w:before="0" w:beforeAutospacing="0" w:after="0" w:afterAutospacing="0" w:line="360" w:lineRule="auto"/>
        <w:ind w:firstLine="424" w:firstLineChars="202"/>
        <w:rPr>
          <w:color w:val="auto"/>
          <w:sz w:val="21"/>
          <w:szCs w:val="21"/>
          <w:highlight w:val="none"/>
        </w:rPr>
      </w:pPr>
      <w:r>
        <w:rPr>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color w:val="auto"/>
          <w:szCs w:val="21"/>
          <w:highlight w:val="none"/>
        </w:rPr>
      </w:pPr>
    </w:p>
    <w:p>
      <w:pPr>
        <w:spacing w:line="360" w:lineRule="auto"/>
        <w:rPr>
          <w:rFonts w:ascii="宋体"/>
          <w:color w:val="auto"/>
          <w:szCs w:val="21"/>
          <w:highlight w:val="none"/>
        </w:rPr>
      </w:pPr>
    </w:p>
    <w:p>
      <w:pPr>
        <w:spacing w:line="360" w:lineRule="auto"/>
        <w:ind w:firstLine="371" w:firstLineChars="177"/>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371" w:firstLineChars="177"/>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pStyle w:val="39"/>
        <w:shd w:val="clear" w:color="auto" w:fill="FFFFFF"/>
        <w:spacing w:before="0" w:beforeAutospacing="0" w:after="0" w:afterAutospacing="0" w:line="360" w:lineRule="auto"/>
        <w:ind w:firstLine="371" w:firstLineChars="177"/>
        <w:rPr>
          <w:color w:val="auto"/>
          <w:sz w:val="21"/>
          <w:szCs w:val="21"/>
          <w:highlight w:val="none"/>
        </w:rPr>
      </w:pPr>
      <w:r>
        <w:rPr>
          <w:rFonts w:hint="eastAsia"/>
          <w:color w:val="auto"/>
          <w:sz w:val="21"/>
          <w:szCs w:val="21"/>
          <w:highlight w:val="none"/>
        </w:rPr>
        <w:t>日期：</w:t>
      </w: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ind w:firstLine="498" w:firstLineChars="177"/>
        <w:rPr>
          <w:b/>
          <w:color w:val="auto"/>
          <w:sz w:val="28"/>
          <w:highlight w:val="none"/>
        </w:rPr>
      </w:pPr>
    </w:p>
    <w:p>
      <w:pPr>
        <w:pStyle w:val="39"/>
        <w:shd w:val="clear" w:color="auto" w:fill="FFFFFF"/>
        <w:spacing w:before="0" w:beforeAutospacing="0" w:after="0" w:afterAutospacing="0" w:line="360" w:lineRule="auto"/>
        <w:rPr>
          <w:b/>
          <w:color w:val="auto"/>
          <w:sz w:val="28"/>
          <w:highlight w:val="none"/>
        </w:rPr>
        <w:sectPr>
          <w:pgSz w:w="11906" w:h="16838"/>
          <w:pgMar w:top="1440" w:right="1800" w:bottom="1440" w:left="1800" w:header="851" w:footer="992" w:gutter="0"/>
          <w:cols w:space="425" w:num="1"/>
          <w:docGrid w:type="lines" w:linePitch="312" w:charSpace="0"/>
        </w:sectPr>
      </w:pPr>
    </w:p>
    <w:p>
      <w:pPr>
        <w:pStyle w:val="39"/>
        <w:shd w:val="clear" w:color="auto" w:fill="FFFFFF"/>
        <w:spacing w:before="0" w:beforeAutospacing="0" w:after="0" w:afterAutospacing="0" w:line="360" w:lineRule="auto"/>
        <w:rPr>
          <w:color w:val="auto"/>
          <w:highlight w:val="none"/>
        </w:rPr>
      </w:pPr>
      <w:r>
        <w:rPr>
          <w:rFonts w:hint="eastAsia"/>
          <w:b/>
          <w:color w:val="auto"/>
          <w:sz w:val="28"/>
          <w:highlight w:val="none"/>
        </w:rPr>
        <w:t>附件7</w:t>
      </w:r>
    </w:p>
    <w:p>
      <w:pPr>
        <w:snapToGrid w:val="0"/>
        <w:spacing w:before="156" w:beforeLines="50" w:after="50" w:line="360" w:lineRule="auto"/>
        <w:jc w:val="center"/>
        <w:rPr>
          <w:rFonts w:ascii="宋体"/>
          <w:b/>
          <w:color w:val="auto"/>
          <w:sz w:val="36"/>
          <w:szCs w:val="36"/>
          <w:highlight w:val="none"/>
        </w:rPr>
      </w:pPr>
      <w:r>
        <w:rPr>
          <w:rFonts w:hint="eastAsia" w:ascii="宋体" w:hAnsi="宋体"/>
          <w:b/>
          <w:color w:val="auto"/>
          <w:sz w:val="32"/>
          <w:szCs w:val="32"/>
          <w:highlight w:val="none"/>
        </w:rPr>
        <w:t>项目实施人员一览表</w:t>
      </w:r>
    </w:p>
    <w:p>
      <w:pPr>
        <w:snapToGrid w:val="0"/>
        <w:spacing w:before="156" w:beforeLines="50" w:after="50" w:line="360" w:lineRule="auto"/>
        <w:ind w:firstLine="2400" w:firstLineChars="1000"/>
        <w:rPr>
          <w:rFonts w:asci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color w:val="auto"/>
                <w:szCs w:val="21"/>
                <w:highlight w:val="none"/>
              </w:rPr>
            </w:pPr>
            <w:r>
              <w:rPr>
                <w:rFonts w:hint="eastAsia" w:ascii="宋体" w:hAnsi="宋体"/>
                <w:b/>
                <w:color w:val="auto"/>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b/>
                <w:bCs/>
                <w:color w:val="auto"/>
                <w:szCs w:val="21"/>
                <w:highlight w:val="none"/>
              </w:rPr>
            </w:pPr>
            <w:r>
              <w:rPr>
                <w:rFonts w:hint="eastAsia" w:ascii="宋体" w:hAnsi="宋体"/>
                <w:b/>
                <w:bCs/>
                <w:color w:val="auto"/>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156" w:beforeLines="50" w:after="50" w:line="360" w:lineRule="auto"/>
              <w:jc w:val="center"/>
              <w:rPr>
                <w:rFonts w:ascii="宋体"/>
                <w:b/>
                <w:bCs/>
                <w:color w:val="auto"/>
                <w:szCs w:val="21"/>
                <w:highlight w:val="none"/>
              </w:rPr>
            </w:pPr>
            <w:r>
              <w:rPr>
                <w:rFonts w:hint="eastAsia" w:ascii="宋体" w:hAnsi="宋体"/>
                <w:b/>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3"/>
              <w:snapToGrid w:val="0"/>
              <w:spacing w:before="156"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3"/>
              <w:spacing w:line="360" w:lineRule="auto"/>
              <w:ind w:left="5250"/>
              <w:rPr>
                <w:rFonts w:asci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pPr>
              <w:snapToGrid w:val="0"/>
              <w:spacing w:before="156" w:beforeLines="50" w:after="50" w:line="360" w:lineRule="auto"/>
              <w:rPr>
                <w:rFonts w:ascii="宋体"/>
                <w:color w:val="auto"/>
                <w:szCs w:val="21"/>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b/>
                <w:color w:val="auto"/>
                <w:kern w:val="44"/>
                <w:szCs w:val="21"/>
                <w:highlight w:val="none"/>
              </w:rPr>
            </w:pPr>
          </w:p>
        </w:tc>
        <w:tc>
          <w:tcPr>
            <w:tcW w:w="2126" w:type="dxa"/>
            <w:tcBorders>
              <w:top w:val="single" w:color="auto" w:sz="4" w:space="0"/>
              <w:left w:val="single" w:color="auto" w:sz="4" w:space="0"/>
              <w:bottom w:val="single" w:color="auto" w:sz="4" w:space="0"/>
            </w:tcBorders>
          </w:tcPr>
          <w:p>
            <w:pPr>
              <w:snapToGrid w:val="0"/>
              <w:spacing w:before="156" w:beforeLines="50" w:after="50" w:line="360" w:lineRule="auto"/>
              <w:rPr>
                <w:rFonts w:ascii="宋体"/>
                <w:b/>
                <w:color w:val="auto"/>
                <w:kern w:val="44"/>
                <w:szCs w:val="21"/>
                <w:highlight w:val="none"/>
              </w:rPr>
            </w:pPr>
          </w:p>
        </w:tc>
      </w:tr>
    </w:tbl>
    <w:p>
      <w:pPr>
        <w:spacing w:line="360" w:lineRule="auto"/>
        <w:rPr>
          <w:rFonts w:ascii="宋体"/>
          <w:b/>
          <w:color w:val="auto"/>
          <w:szCs w:val="21"/>
          <w:highlight w:val="none"/>
        </w:rPr>
      </w:pPr>
      <w:r>
        <w:rPr>
          <w:rFonts w:hint="eastAsia" w:ascii="宋体" w:hAnsi="宋体"/>
          <w:b/>
          <w:color w:val="auto"/>
          <w:szCs w:val="21"/>
          <w:highlight w:val="none"/>
        </w:rPr>
        <w:t>要求：</w:t>
      </w:r>
    </w:p>
    <w:p>
      <w:pPr>
        <w:spacing w:line="360" w:lineRule="auto"/>
        <w:rPr>
          <w:rFonts w:asci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w:t>
      </w:r>
      <w:r>
        <w:rPr>
          <w:rFonts w:hint="eastAsia" w:ascii="宋体" w:hAnsi="宋体"/>
          <w:color w:val="auto"/>
          <w:szCs w:val="21"/>
          <w:highlight w:val="none"/>
        </w:rPr>
        <w:t>在填写时，如本表格不适合投标单位的实际情况，可根据本表格式自行划表填写。</w:t>
      </w:r>
    </w:p>
    <w:p>
      <w:pPr>
        <w:pStyle w:val="40"/>
        <w:spacing w:line="360" w:lineRule="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、附人员证书复印件；</w:t>
      </w:r>
    </w:p>
    <w:p>
      <w:pPr>
        <w:spacing w:line="360" w:lineRule="auto"/>
        <w:ind w:left="420"/>
        <w:rPr>
          <w:rFonts w:ascii="宋体" w:hAnsi="宋体"/>
          <w:color w:val="auto"/>
          <w:szCs w:val="21"/>
          <w:highlight w:val="none"/>
        </w:rPr>
      </w:pPr>
    </w:p>
    <w:p>
      <w:pPr>
        <w:pStyle w:val="2"/>
        <w:rPr>
          <w:color w:val="auto"/>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rPr>
          <w:rFonts w:ascii="宋体"/>
          <w:color w:val="auto"/>
          <w:highlight w:val="none"/>
        </w:rPr>
      </w:pPr>
      <w:r>
        <w:rPr>
          <w:rFonts w:hint="eastAsia" w:ascii="宋体" w:hAnsi="宋体"/>
          <w:b/>
          <w:color w:val="auto"/>
          <w:sz w:val="28"/>
          <w:highlight w:val="none"/>
        </w:rPr>
        <w:t>附件8</w:t>
      </w:r>
    </w:p>
    <w:p>
      <w:pPr>
        <w:spacing w:line="360" w:lineRule="auto"/>
        <w:ind w:left="480"/>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项目负责人资格情况表</w:t>
      </w:r>
    </w:p>
    <w:p>
      <w:pPr>
        <w:spacing w:line="360" w:lineRule="auto"/>
        <w:rPr>
          <w:rFonts w:ascii="宋体"/>
          <w:color w:val="auto"/>
          <w:szCs w:val="21"/>
          <w:highlight w:val="none"/>
        </w:rPr>
      </w:pPr>
      <w:r>
        <w:rPr>
          <w:rFonts w:hint="eastAsia" w:ascii="宋体" w:hAnsi="宋体"/>
          <w:color w:val="auto"/>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姓名</w:t>
            </w:r>
          </w:p>
        </w:tc>
        <w:tc>
          <w:tcPr>
            <w:tcW w:w="2967" w:type="dxa"/>
            <w:tcBorders>
              <w:top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tcBorders>
              <w:top w:val="single" w:color="auto" w:sz="12" w:space="0"/>
              <w:righ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性别</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restart"/>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rPr>
            </w:pPr>
            <w:r>
              <w:rPr>
                <w:rFonts w:hint="eastAsia" w:ascii="宋体" w:hAnsi="宋体"/>
                <w:color w:val="auto"/>
                <w:szCs w:val="21"/>
                <w:highlight w:val="none"/>
              </w:rPr>
              <w:t>注：业绩证明应提供旁证材料</w:t>
            </w:r>
          </w:p>
          <w:p>
            <w:pPr>
              <w:autoSpaceDE w:val="0"/>
              <w:autoSpaceDN w:val="0"/>
              <w:adjustRightInd w:val="0"/>
              <w:snapToGrid w:val="0"/>
              <w:spacing w:line="360" w:lineRule="auto"/>
              <w:jc w:val="center"/>
              <w:rPr>
                <w:rFonts w:ascii="宋体"/>
                <w:color w:val="auto"/>
                <w:szCs w:val="21"/>
                <w:highlight w:val="none"/>
                <w:lang w:val="zh-CN"/>
              </w:rPr>
            </w:pPr>
            <w:r>
              <w:rPr>
                <w:rFonts w:hint="eastAsia" w:ascii="宋体" w:hAnsi="宋体"/>
                <w:color w:val="auto"/>
                <w:szCs w:val="21"/>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年龄</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职称</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毕业时间</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学校专业</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联系电话</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rPr>
              <w:t>最近一年工作状况</w:t>
            </w:r>
          </w:p>
        </w:tc>
        <w:tc>
          <w:tcPr>
            <w:tcW w:w="2967" w:type="dxa"/>
            <w:vAlign w:val="center"/>
          </w:tcPr>
          <w:p>
            <w:pPr>
              <w:autoSpaceDE w:val="0"/>
              <w:autoSpaceDN w:val="0"/>
              <w:adjustRightInd w:val="0"/>
              <w:snapToGrid w:val="0"/>
              <w:spacing w:line="360" w:lineRule="auto"/>
              <w:jc w:val="center"/>
              <w:rPr>
                <w:rFonts w:ascii="宋体"/>
                <w:color w:val="auto"/>
                <w:szCs w:val="21"/>
                <w:highlight w:val="none"/>
                <w:lang w:val="zh-CN"/>
              </w:rPr>
            </w:pPr>
          </w:p>
        </w:tc>
        <w:tc>
          <w:tcPr>
            <w:tcW w:w="3685" w:type="dxa"/>
            <w:vMerge w:val="continue"/>
            <w:tcBorders>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pPr>
              <w:autoSpaceDE w:val="0"/>
              <w:autoSpaceDN w:val="0"/>
              <w:adjustRightInd w:val="0"/>
              <w:snapToGrid w:val="0"/>
              <w:spacing w:line="360" w:lineRule="auto"/>
              <w:jc w:val="center"/>
              <w:rPr>
                <w:rFonts w:ascii="宋体"/>
                <w:b/>
                <w:bCs/>
                <w:color w:val="auto"/>
                <w:szCs w:val="21"/>
                <w:highlight w:val="none"/>
                <w:lang w:val="zh-CN"/>
              </w:rPr>
            </w:pPr>
            <w:r>
              <w:rPr>
                <w:rFonts w:hint="eastAsia" w:ascii="宋体" w:hAnsi="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color w:val="auto"/>
                <w:szCs w:val="21"/>
                <w:highlight w:val="none"/>
                <w:lang w:val="zh-CN"/>
              </w:rPr>
            </w:pPr>
          </w:p>
        </w:tc>
      </w:tr>
    </w:tbl>
    <w:p>
      <w:pPr>
        <w:spacing w:line="360" w:lineRule="auto"/>
        <w:ind w:left="420"/>
        <w:rPr>
          <w:rFonts w:asci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napToGrid w:val="0"/>
        <w:spacing w:before="50" w:after="50" w:line="360" w:lineRule="auto"/>
        <w:rPr>
          <w:rFonts w:ascii="宋体"/>
          <w:b/>
          <w:color w:val="auto"/>
          <w:szCs w:val="21"/>
          <w:highlight w:val="none"/>
        </w:rPr>
      </w:pPr>
    </w:p>
    <w:p>
      <w:pPr>
        <w:pStyle w:val="2"/>
        <w:rPr>
          <w:color w:val="auto"/>
          <w:highlight w:val="none"/>
        </w:rPr>
      </w:pPr>
    </w:p>
    <w:p>
      <w:pPr>
        <w:pStyle w:val="2"/>
        <w:rPr>
          <w:color w:val="auto"/>
          <w:highlight w:val="none"/>
        </w:rPr>
      </w:pPr>
    </w:p>
    <w:p>
      <w:pPr>
        <w:snapToGrid w:val="0"/>
        <w:spacing w:before="50" w:after="50" w:line="360" w:lineRule="auto"/>
        <w:rPr>
          <w:rFonts w:ascii="宋体"/>
          <w:b/>
          <w:color w:val="auto"/>
          <w:sz w:val="28"/>
          <w:highlight w:val="none"/>
        </w:rPr>
      </w:pPr>
      <w:r>
        <w:rPr>
          <w:rFonts w:hint="eastAsia" w:ascii="宋体" w:hAnsi="宋体"/>
          <w:b/>
          <w:color w:val="auto"/>
          <w:sz w:val="28"/>
          <w:highlight w:val="none"/>
        </w:rPr>
        <w:t>附件9</w:t>
      </w:r>
    </w:p>
    <w:p>
      <w:pPr>
        <w:spacing w:line="360" w:lineRule="auto"/>
        <w:ind w:left="480"/>
        <w:jc w:val="center"/>
        <w:rPr>
          <w:color w:val="auto"/>
          <w:spacing w:val="40"/>
          <w:kern w:val="0"/>
          <w:highlight w:val="none"/>
        </w:rPr>
      </w:pPr>
      <w:r>
        <w:rPr>
          <w:rFonts w:hint="eastAsia" w:ascii="宋体" w:hAnsi="宋体"/>
          <w:b/>
          <w:bCs/>
          <w:color w:val="auto"/>
          <w:kern w:val="0"/>
          <w:sz w:val="32"/>
          <w:szCs w:val="32"/>
          <w:highlight w:val="none"/>
        </w:rPr>
        <w:t>耗材配备表</w:t>
      </w:r>
    </w:p>
    <w:p>
      <w:pPr>
        <w:snapToGrid w:val="0"/>
        <w:spacing w:before="50" w:after="156" w:afterLines="50"/>
        <w:jc w:val="center"/>
        <w:rPr>
          <w:color w:val="auto"/>
          <w:spacing w:val="40"/>
          <w:kern w:val="0"/>
          <w:highlight w:val="none"/>
        </w:rPr>
      </w:pPr>
      <w:r>
        <w:rPr>
          <w:rFonts w:hint="eastAsia"/>
          <w:color w:val="auto"/>
          <w:spacing w:val="40"/>
          <w:kern w:val="0"/>
          <w:highlight w:val="none"/>
        </w:rPr>
        <w:t>（</w:t>
      </w:r>
      <w:r>
        <w:rPr>
          <w:color w:val="auto"/>
          <w:spacing w:val="40"/>
          <w:kern w:val="0"/>
          <w:highlight w:val="none"/>
        </w:rPr>
        <w:t>低值易耗品、一次性用品、清洁材料</w:t>
      </w:r>
      <w:r>
        <w:rPr>
          <w:rFonts w:hint="eastAsia"/>
          <w:color w:val="auto"/>
          <w:spacing w:val="40"/>
          <w:kern w:val="0"/>
          <w:highlight w:val="none"/>
        </w:rPr>
        <w:t>等）</w:t>
      </w:r>
    </w:p>
    <w:p>
      <w:pPr>
        <w:spacing w:line="360" w:lineRule="auto"/>
        <w:rPr>
          <w:rFonts w:ascii="宋体" w:hAnsi="宋体"/>
          <w:color w:val="auto"/>
          <w:szCs w:val="21"/>
          <w:highlight w:val="none"/>
        </w:rPr>
      </w:pPr>
      <w:r>
        <w:rPr>
          <w:rFonts w:hint="eastAsia" w:ascii="宋体" w:hAnsi="宋体"/>
          <w:color w:val="auto"/>
          <w:szCs w:val="21"/>
          <w:highlight w:val="none"/>
        </w:rPr>
        <w:t>采购项目：</w:t>
      </w:r>
    </w:p>
    <w:p>
      <w:pPr>
        <w:spacing w:line="360" w:lineRule="auto"/>
        <w:rPr>
          <w:rFonts w:ascii="宋体" w:hAnsi="宋体"/>
          <w:color w:val="auto"/>
          <w:sz w:val="24"/>
          <w:highlight w:val="none"/>
          <w:u w:val="single"/>
        </w:rPr>
      </w:pPr>
      <w:r>
        <w:rPr>
          <w:rFonts w:hint="eastAsia" w:ascii="宋体" w:hAnsi="宋体"/>
          <w:color w:val="auto"/>
          <w:szCs w:val="21"/>
          <w:highlight w:val="none"/>
        </w:rPr>
        <w:t>采购编号：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43"/>
        <w:gridCol w:w="2717"/>
        <w:gridCol w:w="956"/>
        <w:gridCol w:w="1260"/>
        <w:gridCol w:w="153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vAlign w:val="center"/>
          </w:tcPr>
          <w:p>
            <w:pPr>
              <w:adjustRightInd w:val="0"/>
              <w:snapToGrid w:val="0"/>
              <w:spacing w:line="400" w:lineRule="atLeast"/>
              <w:jc w:val="center"/>
              <w:rPr>
                <w:rFonts w:cs="Arial"/>
                <w:color w:val="auto"/>
                <w:highlight w:val="none"/>
              </w:rPr>
            </w:pPr>
            <w:r>
              <w:rPr>
                <w:rFonts w:hint="eastAsia" w:cs="Arial"/>
                <w:color w:val="auto"/>
                <w:highlight w:val="none"/>
              </w:rPr>
              <w:t>序号</w:t>
            </w:r>
          </w:p>
        </w:tc>
        <w:tc>
          <w:tcPr>
            <w:tcW w:w="1443" w:type="dxa"/>
            <w:vAlign w:val="center"/>
          </w:tcPr>
          <w:p>
            <w:pPr>
              <w:adjustRightInd w:val="0"/>
              <w:snapToGrid w:val="0"/>
              <w:spacing w:line="400" w:lineRule="atLeast"/>
              <w:jc w:val="center"/>
              <w:rPr>
                <w:rFonts w:cs="Arial"/>
                <w:color w:val="auto"/>
                <w:highlight w:val="none"/>
              </w:rPr>
            </w:pPr>
            <w:r>
              <w:rPr>
                <w:rFonts w:hint="eastAsia" w:cs="Arial"/>
                <w:color w:val="auto"/>
                <w:highlight w:val="none"/>
              </w:rPr>
              <w:t>名称</w:t>
            </w:r>
          </w:p>
        </w:tc>
        <w:tc>
          <w:tcPr>
            <w:tcW w:w="2717" w:type="dxa"/>
            <w:vAlign w:val="center"/>
          </w:tcPr>
          <w:p>
            <w:pPr>
              <w:adjustRightInd w:val="0"/>
              <w:snapToGrid w:val="0"/>
              <w:spacing w:line="400" w:lineRule="atLeast"/>
              <w:jc w:val="center"/>
              <w:rPr>
                <w:rFonts w:cs="Arial"/>
                <w:color w:val="auto"/>
                <w:highlight w:val="none"/>
              </w:rPr>
            </w:pPr>
            <w:r>
              <w:rPr>
                <w:rFonts w:hint="eastAsia" w:cs="Arial"/>
                <w:color w:val="auto"/>
                <w:highlight w:val="none"/>
              </w:rPr>
              <w:t>品牌、规格</w:t>
            </w:r>
          </w:p>
        </w:tc>
        <w:tc>
          <w:tcPr>
            <w:tcW w:w="956" w:type="dxa"/>
            <w:vAlign w:val="center"/>
          </w:tcPr>
          <w:p>
            <w:pPr>
              <w:adjustRightInd w:val="0"/>
              <w:snapToGrid w:val="0"/>
              <w:spacing w:line="400" w:lineRule="atLeast"/>
              <w:jc w:val="center"/>
              <w:rPr>
                <w:rFonts w:cs="Arial"/>
                <w:color w:val="auto"/>
                <w:highlight w:val="none"/>
              </w:rPr>
            </w:pPr>
            <w:r>
              <w:rPr>
                <w:rFonts w:hint="eastAsia" w:cs="Arial"/>
                <w:color w:val="auto"/>
                <w:highlight w:val="none"/>
              </w:rPr>
              <w:t>产地</w:t>
            </w:r>
          </w:p>
        </w:tc>
        <w:tc>
          <w:tcPr>
            <w:tcW w:w="1260" w:type="dxa"/>
            <w:vAlign w:val="center"/>
          </w:tcPr>
          <w:p>
            <w:pPr>
              <w:adjustRightInd w:val="0"/>
              <w:snapToGrid w:val="0"/>
              <w:spacing w:line="400" w:lineRule="atLeast"/>
              <w:jc w:val="center"/>
              <w:rPr>
                <w:rFonts w:cs="Arial"/>
                <w:color w:val="auto"/>
                <w:highlight w:val="none"/>
              </w:rPr>
            </w:pPr>
            <w:r>
              <w:rPr>
                <w:rFonts w:hint="eastAsia" w:cs="Arial"/>
                <w:color w:val="auto"/>
                <w:highlight w:val="none"/>
              </w:rPr>
              <w:t>数量</w:t>
            </w:r>
          </w:p>
        </w:tc>
        <w:tc>
          <w:tcPr>
            <w:tcW w:w="1533" w:type="dxa"/>
            <w:vAlign w:val="center"/>
          </w:tcPr>
          <w:p>
            <w:pPr>
              <w:adjustRightInd w:val="0"/>
              <w:snapToGrid w:val="0"/>
              <w:spacing w:line="400" w:lineRule="atLeast"/>
              <w:jc w:val="center"/>
              <w:rPr>
                <w:rFonts w:cs="Arial"/>
                <w:color w:val="auto"/>
                <w:highlight w:val="none"/>
              </w:rPr>
            </w:pPr>
            <w:r>
              <w:rPr>
                <w:rFonts w:cs="Arial"/>
                <w:color w:val="auto"/>
                <w:highlight w:val="none"/>
              </w:rPr>
              <w:t>估算</w:t>
            </w:r>
            <w:r>
              <w:rPr>
                <w:rFonts w:hint="eastAsia" w:cs="Arial"/>
                <w:color w:val="auto"/>
                <w:highlight w:val="none"/>
              </w:rPr>
              <w:t>价格</w:t>
            </w:r>
            <w:r>
              <w:rPr>
                <w:rFonts w:cs="Arial"/>
                <w:color w:val="auto"/>
                <w:highlight w:val="none"/>
              </w:rPr>
              <w:t>（月/元）</w:t>
            </w:r>
          </w:p>
        </w:tc>
        <w:tc>
          <w:tcPr>
            <w:tcW w:w="1543" w:type="dxa"/>
            <w:vAlign w:val="center"/>
          </w:tcPr>
          <w:p>
            <w:pPr>
              <w:adjustRightInd w:val="0"/>
              <w:snapToGrid w:val="0"/>
              <w:spacing w:line="400" w:lineRule="atLeast"/>
              <w:jc w:val="center"/>
              <w:rPr>
                <w:rFonts w:cs="Arial"/>
                <w:color w:val="auto"/>
                <w:highlight w:val="none"/>
              </w:rPr>
            </w:pPr>
            <w:r>
              <w:rPr>
                <w:rFonts w:cs="Arial"/>
                <w:color w:val="auto"/>
                <w:highlight w:val="none"/>
              </w:rPr>
              <w:t>估算</w:t>
            </w:r>
            <w:r>
              <w:rPr>
                <w:rFonts w:hint="eastAsia" w:cs="Arial"/>
                <w:color w:val="auto"/>
                <w:highlight w:val="none"/>
              </w:rPr>
              <w:t>价格</w:t>
            </w:r>
            <w:r>
              <w:rPr>
                <w:rFonts w:cs="Arial"/>
                <w:color w:val="auto"/>
                <w:highlight w:val="none"/>
              </w:rPr>
              <w:t>（年/元）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41" w:type="dxa"/>
          </w:tcPr>
          <w:p>
            <w:pPr>
              <w:adjustRightInd w:val="0"/>
              <w:snapToGrid w:val="0"/>
              <w:spacing w:line="400" w:lineRule="atLeast"/>
              <w:jc w:val="center"/>
              <w:rPr>
                <w:rFonts w:cs="Arial"/>
                <w:color w:val="auto"/>
                <w:highlight w:val="none"/>
              </w:rPr>
            </w:pPr>
          </w:p>
        </w:tc>
        <w:tc>
          <w:tcPr>
            <w:tcW w:w="1443" w:type="dxa"/>
          </w:tcPr>
          <w:p>
            <w:pPr>
              <w:adjustRightInd w:val="0"/>
              <w:snapToGrid w:val="0"/>
              <w:spacing w:line="400" w:lineRule="atLeast"/>
              <w:jc w:val="center"/>
              <w:rPr>
                <w:rFonts w:cs="Arial"/>
                <w:color w:val="auto"/>
                <w:highlight w:val="none"/>
              </w:rPr>
            </w:pPr>
          </w:p>
        </w:tc>
        <w:tc>
          <w:tcPr>
            <w:tcW w:w="2717" w:type="dxa"/>
          </w:tcPr>
          <w:p>
            <w:pPr>
              <w:adjustRightInd w:val="0"/>
              <w:snapToGrid w:val="0"/>
              <w:spacing w:line="400" w:lineRule="atLeast"/>
              <w:jc w:val="center"/>
              <w:rPr>
                <w:rFonts w:cs="Arial"/>
                <w:color w:val="auto"/>
                <w:highlight w:val="none"/>
              </w:rPr>
            </w:pPr>
          </w:p>
        </w:tc>
        <w:tc>
          <w:tcPr>
            <w:tcW w:w="956" w:type="dxa"/>
          </w:tcPr>
          <w:p>
            <w:pPr>
              <w:adjustRightInd w:val="0"/>
              <w:snapToGrid w:val="0"/>
              <w:spacing w:line="400" w:lineRule="atLeast"/>
              <w:jc w:val="center"/>
              <w:rPr>
                <w:rFonts w:cs="Arial"/>
                <w:color w:val="auto"/>
                <w:highlight w:val="none"/>
              </w:rPr>
            </w:pPr>
          </w:p>
        </w:tc>
        <w:tc>
          <w:tcPr>
            <w:tcW w:w="1260" w:type="dxa"/>
          </w:tcPr>
          <w:p>
            <w:pPr>
              <w:adjustRightInd w:val="0"/>
              <w:snapToGrid w:val="0"/>
              <w:spacing w:line="400" w:lineRule="atLeast"/>
              <w:jc w:val="center"/>
              <w:rPr>
                <w:rFonts w:cs="Arial"/>
                <w:color w:val="auto"/>
                <w:highlight w:val="none"/>
              </w:rPr>
            </w:pPr>
          </w:p>
        </w:tc>
        <w:tc>
          <w:tcPr>
            <w:tcW w:w="1533" w:type="dxa"/>
          </w:tcPr>
          <w:p>
            <w:pPr>
              <w:adjustRightInd w:val="0"/>
              <w:snapToGrid w:val="0"/>
              <w:spacing w:line="400" w:lineRule="atLeast"/>
              <w:jc w:val="center"/>
              <w:rPr>
                <w:rFonts w:cs="Arial"/>
                <w:color w:val="auto"/>
                <w:highlight w:val="none"/>
              </w:rPr>
            </w:pPr>
          </w:p>
        </w:tc>
        <w:tc>
          <w:tcPr>
            <w:tcW w:w="1543" w:type="dxa"/>
          </w:tcPr>
          <w:p>
            <w:pPr>
              <w:adjustRightInd w:val="0"/>
              <w:snapToGrid w:val="0"/>
              <w:spacing w:line="400" w:lineRule="atLeast"/>
              <w:jc w:val="center"/>
              <w:rPr>
                <w:rFonts w:cs="Arial"/>
                <w:color w:val="auto"/>
                <w:highlight w:val="none"/>
              </w:rPr>
            </w:pPr>
          </w:p>
        </w:tc>
      </w:tr>
    </w:tbl>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napToGrid w:val="0"/>
        <w:spacing w:before="50" w:after="50"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宋体" w:hAnsi="宋体"/>
          <w:b/>
          <w:color w:val="auto"/>
          <w:sz w:val="28"/>
          <w:highlight w:val="none"/>
        </w:rPr>
      </w:pPr>
      <w:r>
        <w:rPr>
          <w:rFonts w:hint="eastAsia" w:ascii="宋体" w:hAnsi="宋体"/>
          <w:b/>
          <w:color w:val="auto"/>
          <w:sz w:val="28"/>
          <w:highlight w:val="none"/>
        </w:rPr>
        <w:t>附件10</w:t>
      </w:r>
    </w:p>
    <w:p>
      <w:pPr>
        <w:spacing w:line="360" w:lineRule="auto"/>
        <w:ind w:left="480"/>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拟配置的装备情况表</w:t>
      </w:r>
    </w:p>
    <w:p>
      <w:pPr>
        <w:spacing w:line="400" w:lineRule="exact"/>
        <w:jc w:val="center"/>
        <w:rPr>
          <w:rFonts w:ascii="宋体" w:hAnsi="宋体" w:cs="宋体"/>
          <w:b/>
          <w:color w:val="auto"/>
          <w:szCs w:val="21"/>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84"/>
        <w:gridCol w:w="1781"/>
        <w:gridCol w:w="2008"/>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84"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781"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008"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用途</w:t>
            </w:r>
          </w:p>
        </w:tc>
        <w:tc>
          <w:tcPr>
            <w:tcW w:w="155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spacing w:line="400" w:lineRule="exact"/>
              <w:jc w:val="center"/>
              <w:rPr>
                <w:rFonts w:ascii="宋体" w:hAnsi="宋体" w:cs="宋体"/>
                <w:color w:val="auto"/>
                <w:szCs w:val="21"/>
                <w:highlight w:val="none"/>
              </w:rPr>
            </w:pPr>
          </w:p>
        </w:tc>
        <w:tc>
          <w:tcPr>
            <w:tcW w:w="2584" w:type="dxa"/>
            <w:vAlign w:val="center"/>
          </w:tcPr>
          <w:p>
            <w:pPr>
              <w:spacing w:line="400" w:lineRule="exact"/>
              <w:jc w:val="center"/>
              <w:rPr>
                <w:rFonts w:ascii="宋体" w:hAnsi="宋体" w:cs="宋体"/>
                <w:color w:val="auto"/>
                <w:szCs w:val="21"/>
                <w:highlight w:val="none"/>
              </w:rPr>
            </w:pPr>
          </w:p>
        </w:tc>
        <w:tc>
          <w:tcPr>
            <w:tcW w:w="1781" w:type="dxa"/>
            <w:vAlign w:val="center"/>
          </w:tcPr>
          <w:p>
            <w:pPr>
              <w:spacing w:line="400" w:lineRule="exact"/>
              <w:jc w:val="center"/>
              <w:rPr>
                <w:rFonts w:ascii="宋体" w:hAnsi="宋体" w:cs="宋体"/>
                <w:color w:val="auto"/>
                <w:szCs w:val="21"/>
                <w:highlight w:val="none"/>
              </w:rPr>
            </w:pPr>
          </w:p>
        </w:tc>
        <w:tc>
          <w:tcPr>
            <w:tcW w:w="2008" w:type="dxa"/>
            <w:vAlign w:val="center"/>
          </w:tcPr>
          <w:p>
            <w:pPr>
              <w:spacing w:line="400" w:lineRule="exact"/>
              <w:jc w:val="center"/>
              <w:rPr>
                <w:rFonts w:ascii="宋体" w:hAnsi="宋体" w:cs="宋体"/>
                <w:color w:val="auto"/>
                <w:szCs w:val="21"/>
                <w:highlight w:val="none"/>
              </w:rPr>
            </w:pPr>
          </w:p>
        </w:tc>
        <w:tc>
          <w:tcPr>
            <w:tcW w:w="1555" w:type="dxa"/>
            <w:vAlign w:val="center"/>
          </w:tcPr>
          <w:p>
            <w:pPr>
              <w:spacing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pPr>
              <w:spacing w:line="400" w:lineRule="exact"/>
              <w:jc w:val="left"/>
              <w:rPr>
                <w:rFonts w:ascii="宋体" w:hAnsi="宋体" w:cs="宋体"/>
                <w:color w:val="auto"/>
                <w:szCs w:val="21"/>
                <w:highlight w:val="none"/>
              </w:rPr>
            </w:pPr>
          </w:p>
        </w:tc>
        <w:tc>
          <w:tcPr>
            <w:tcW w:w="2584" w:type="dxa"/>
          </w:tcPr>
          <w:p>
            <w:pPr>
              <w:spacing w:line="400" w:lineRule="exact"/>
              <w:jc w:val="left"/>
              <w:rPr>
                <w:rFonts w:ascii="宋体" w:hAnsi="宋体" w:cs="宋体"/>
                <w:color w:val="auto"/>
                <w:szCs w:val="21"/>
                <w:highlight w:val="none"/>
              </w:rPr>
            </w:pPr>
          </w:p>
        </w:tc>
        <w:tc>
          <w:tcPr>
            <w:tcW w:w="1781" w:type="dxa"/>
          </w:tcPr>
          <w:p>
            <w:pPr>
              <w:spacing w:line="400" w:lineRule="exact"/>
              <w:jc w:val="left"/>
              <w:rPr>
                <w:rFonts w:ascii="宋体" w:hAnsi="宋体" w:cs="宋体"/>
                <w:color w:val="auto"/>
                <w:szCs w:val="21"/>
                <w:highlight w:val="none"/>
              </w:rPr>
            </w:pPr>
          </w:p>
        </w:tc>
        <w:tc>
          <w:tcPr>
            <w:tcW w:w="2008" w:type="dxa"/>
          </w:tcPr>
          <w:p>
            <w:pPr>
              <w:spacing w:line="400" w:lineRule="exact"/>
              <w:jc w:val="left"/>
              <w:rPr>
                <w:rFonts w:ascii="宋体" w:hAnsi="宋体" w:cs="宋体"/>
                <w:color w:val="auto"/>
                <w:szCs w:val="21"/>
                <w:highlight w:val="none"/>
              </w:rPr>
            </w:pPr>
          </w:p>
        </w:tc>
        <w:tc>
          <w:tcPr>
            <w:tcW w:w="1555" w:type="dxa"/>
          </w:tcPr>
          <w:p>
            <w:pPr>
              <w:spacing w:line="400" w:lineRule="exact"/>
              <w:jc w:val="left"/>
              <w:rPr>
                <w:rFonts w:ascii="宋体" w:hAnsi="宋体" w:cs="宋体"/>
                <w:color w:val="auto"/>
                <w:szCs w:val="21"/>
                <w:highlight w:val="none"/>
              </w:rPr>
            </w:pPr>
          </w:p>
        </w:tc>
      </w:tr>
    </w:tbl>
    <w:p>
      <w:pPr>
        <w:pStyle w:val="12"/>
        <w:adjustRightInd w:val="0"/>
        <w:snapToGrid w:val="0"/>
        <w:spacing w:line="360" w:lineRule="auto"/>
        <w:rPr>
          <w:rFonts w:hAnsi="宋体" w:cs="宋体"/>
          <w:color w:val="auto"/>
          <w:szCs w:val="21"/>
          <w:highlight w:val="none"/>
        </w:rPr>
      </w:pPr>
    </w:p>
    <w:p>
      <w:pPr>
        <w:snapToGrid w:val="0"/>
        <w:spacing w:before="50" w:after="50" w:line="360" w:lineRule="auto"/>
        <w:rPr>
          <w:rFonts w:ascii="宋体" w:hAnsi="宋体"/>
          <w:b/>
          <w:color w:val="auto"/>
          <w:sz w:val="28"/>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snapToGrid w:val="0"/>
        <w:spacing w:before="50" w:after="50"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napToGrid w:val="0"/>
        <w:spacing w:before="50" w:after="50" w:line="360" w:lineRule="auto"/>
        <w:rPr>
          <w:rFonts w:ascii="宋体"/>
          <w:b/>
          <w:color w:val="auto"/>
          <w:sz w:val="28"/>
          <w:highlight w:val="none"/>
        </w:rPr>
      </w:pPr>
      <w:r>
        <w:rPr>
          <w:rFonts w:hint="eastAsia" w:ascii="宋体" w:hAnsi="宋体"/>
          <w:b/>
          <w:color w:val="auto"/>
          <w:sz w:val="28"/>
          <w:highlight w:val="none"/>
        </w:rPr>
        <w:t>附件11</w:t>
      </w:r>
    </w:p>
    <w:p>
      <w:pPr>
        <w:spacing w:line="360" w:lineRule="auto"/>
        <w:ind w:left="480"/>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pPr>
        <w:spacing w:line="360" w:lineRule="auto"/>
        <w:rPr>
          <w:rFonts w:ascii="宋体"/>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序号</w:t>
            </w:r>
          </w:p>
        </w:tc>
        <w:tc>
          <w:tcPr>
            <w:tcW w:w="1785" w:type="dxa"/>
            <w:vAlign w:val="center"/>
          </w:tcPr>
          <w:p>
            <w:pPr>
              <w:spacing w:line="360" w:lineRule="auto"/>
              <w:ind w:left="13" w:leftChars="6" w:firstLine="422" w:firstLineChars="200"/>
              <w:rPr>
                <w:rFonts w:ascii="宋体"/>
                <w:b/>
                <w:color w:val="auto"/>
                <w:szCs w:val="21"/>
                <w:highlight w:val="none"/>
              </w:rPr>
            </w:pPr>
            <w:r>
              <w:rPr>
                <w:rFonts w:hint="eastAsia" w:ascii="宋体" w:hAnsi="宋体"/>
                <w:b/>
                <w:color w:val="auto"/>
                <w:szCs w:val="21"/>
                <w:highlight w:val="none"/>
              </w:rPr>
              <w:t>名称</w:t>
            </w:r>
          </w:p>
        </w:tc>
        <w:tc>
          <w:tcPr>
            <w:tcW w:w="1449" w:type="dxa"/>
            <w:vAlign w:val="center"/>
          </w:tcPr>
          <w:p>
            <w:pPr>
              <w:spacing w:line="360" w:lineRule="auto"/>
              <w:ind w:left="52"/>
              <w:rPr>
                <w:rFonts w:ascii="宋体"/>
                <w:b/>
                <w:color w:val="auto"/>
                <w:szCs w:val="21"/>
                <w:highlight w:val="none"/>
              </w:rPr>
            </w:pPr>
            <w:r>
              <w:rPr>
                <w:rFonts w:hint="eastAsia" w:ascii="宋体" w:hAnsi="宋体"/>
                <w:b/>
                <w:color w:val="auto"/>
                <w:szCs w:val="21"/>
                <w:highlight w:val="none"/>
              </w:rPr>
              <w:t>规格型号</w:t>
            </w:r>
          </w:p>
        </w:tc>
        <w:tc>
          <w:tcPr>
            <w:tcW w:w="1560" w:type="dxa"/>
            <w:vAlign w:val="center"/>
          </w:tcPr>
          <w:p>
            <w:pPr>
              <w:spacing w:line="360" w:lineRule="auto"/>
              <w:ind w:left="152"/>
              <w:rPr>
                <w:rFonts w:ascii="宋体"/>
                <w:b/>
                <w:color w:val="auto"/>
                <w:szCs w:val="21"/>
                <w:highlight w:val="none"/>
              </w:rPr>
            </w:pPr>
            <w:r>
              <w:rPr>
                <w:rFonts w:hint="eastAsia" w:ascii="宋体" w:hAnsi="宋体"/>
                <w:b/>
                <w:color w:val="auto"/>
                <w:szCs w:val="21"/>
                <w:highlight w:val="none"/>
              </w:rPr>
              <w:t>招标参数</w:t>
            </w:r>
          </w:p>
        </w:tc>
        <w:tc>
          <w:tcPr>
            <w:tcW w:w="1401" w:type="dxa"/>
            <w:vAlign w:val="center"/>
          </w:tcPr>
          <w:p>
            <w:pPr>
              <w:spacing w:line="360" w:lineRule="auto"/>
              <w:rPr>
                <w:rFonts w:ascii="宋体"/>
                <w:b/>
                <w:color w:val="auto"/>
                <w:szCs w:val="21"/>
                <w:highlight w:val="none"/>
              </w:rPr>
            </w:pPr>
            <w:r>
              <w:rPr>
                <w:rFonts w:hint="eastAsia" w:ascii="宋体" w:hAnsi="宋体"/>
                <w:b/>
                <w:color w:val="auto"/>
                <w:szCs w:val="21"/>
                <w:highlight w:val="none"/>
              </w:rPr>
              <w:t>投标参数</w:t>
            </w:r>
          </w:p>
        </w:tc>
        <w:tc>
          <w:tcPr>
            <w:tcW w:w="136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color w:val="auto"/>
                <w:szCs w:val="21"/>
                <w:highlight w:val="none"/>
              </w:rPr>
            </w:pPr>
          </w:p>
        </w:tc>
        <w:tc>
          <w:tcPr>
            <w:tcW w:w="1785" w:type="dxa"/>
            <w:vAlign w:val="center"/>
          </w:tcPr>
          <w:p>
            <w:pPr>
              <w:spacing w:line="360" w:lineRule="auto"/>
              <w:rPr>
                <w:rFonts w:ascii="宋体"/>
                <w:color w:val="auto"/>
                <w:szCs w:val="21"/>
                <w:highlight w:val="none"/>
              </w:rPr>
            </w:pPr>
          </w:p>
        </w:tc>
        <w:tc>
          <w:tcPr>
            <w:tcW w:w="1449" w:type="dxa"/>
            <w:vAlign w:val="center"/>
          </w:tcPr>
          <w:p>
            <w:pPr>
              <w:spacing w:line="360" w:lineRule="auto"/>
              <w:rPr>
                <w:rFonts w:ascii="宋体"/>
                <w:color w:val="auto"/>
                <w:szCs w:val="21"/>
                <w:highlight w:val="none"/>
              </w:rPr>
            </w:pPr>
          </w:p>
        </w:tc>
        <w:tc>
          <w:tcPr>
            <w:tcW w:w="1560" w:type="dxa"/>
            <w:vAlign w:val="center"/>
          </w:tcPr>
          <w:p>
            <w:pPr>
              <w:spacing w:line="360" w:lineRule="auto"/>
              <w:rPr>
                <w:rFonts w:ascii="宋体"/>
                <w:color w:val="auto"/>
                <w:szCs w:val="21"/>
                <w:highlight w:val="none"/>
              </w:rPr>
            </w:pPr>
          </w:p>
        </w:tc>
        <w:tc>
          <w:tcPr>
            <w:tcW w:w="140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r>
    </w:tbl>
    <w:p>
      <w:pPr>
        <w:spacing w:line="360" w:lineRule="auto"/>
        <w:rPr>
          <w:rFonts w:ascii="宋体"/>
          <w:color w:val="auto"/>
          <w:szCs w:val="21"/>
          <w:highlight w:val="none"/>
        </w:rPr>
      </w:pPr>
    </w:p>
    <w:p>
      <w:pPr>
        <w:pStyle w:val="2"/>
        <w:rPr>
          <w:color w:val="auto"/>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pStyle w:val="42"/>
        <w:spacing w:line="360" w:lineRule="auto"/>
        <w:jc w:val="left"/>
        <w:rPr>
          <w:rFonts w:ascii="宋体"/>
          <w:b/>
          <w:color w:val="auto"/>
          <w:sz w:val="28"/>
          <w:highlight w:val="none"/>
        </w:rPr>
      </w:pPr>
    </w:p>
    <w:p>
      <w:pPr>
        <w:pStyle w:val="42"/>
        <w:spacing w:line="360" w:lineRule="auto"/>
        <w:jc w:val="left"/>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pStyle w:val="42"/>
        <w:spacing w:line="360" w:lineRule="auto"/>
        <w:jc w:val="left"/>
        <w:rPr>
          <w:rFonts w:ascii="宋体"/>
          <w:b/>
          <w:color w:val="auto"/>
          <w:sz w:val="28"/>
          <w:highlight w:val="none"/>
        </w:rPr>
      </w:pPr>
      <w:r>
        <w:rPr>
          <w:rFonts w:hint="eastAsia" w:ascii="宋体" w:hAnsi="宋体"/>
          <w:b/>
          <w:color w:val="auto"/>
          <w:sz w:val="28"/>
          <w:highlight w:val="none"/>
        </w:rPr>
        <w:t>附件12</w:t>
      </w:r>
    </w:p>
    <w:p>
      <w:pPr>
        <w:pStyle w:val="43"/>
        <w:spacing w:line="360" w:lineRule="auto"/>
        <w:jc w:val="center"/>
        <w:rPr>
          <w:rFonts w:ascii="宋体"/>
          <w:b/>
          <w:color w:val="auto"/>
          <w:sz w:val="32"/>
          <w:szCs w:val="32"/>
          <w:highlight w:val="none"/>
        </w:rPr>
      </w:pPr>
      <w:r>
        <w:rPr>
          <w:rFonts w:hint="eastAsia" w:ascii="宋体" w:hAnsi="宋体"/>
          <w:b/>
          <w:color w:val="auto"/>
          <w:sz w:val="32"/>
          <w:szCs w:val="32"/>
          <w:highlight w:val="none"/>
        </w:rPr>
        <w:t>企业证书一览表</w:t>
      </w:r>
    </w:p>
    <w:p>
      <w:pPr>
        <w:pStyle w:val="43"/>
        <w:spacing w:line="360" w:lineRule="auto"/>
        <w:jc w:val="center"/>
        <w:rPr>
          <w:rFonts w:ascii="宋体" w:cs="Arial"/>
          <w:color w:val="auto"/>
          <w:sz w:val="24"/>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doub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doub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证书等级</w:t>
            </w:r>
          </w:p>
        </w:tc>
        <w:tc>
          <w:tcPr>
            <w:tcW w:w="2047" w:type="dxa"/>
            <w:tcBorders>
              <w:top w:val="double" w:color="auto" w:sz="4" w:space="0"/>
              <w:right w:val="single" w:color="auto" w:sz="4" w:space="0"/>
            </w:tcBorders>
          </w:tcPr>
          <w:p>
            <w:pPr>
              <w:pStyle w:val="43"/>
              <w:spacing w:line="360" w:lineRule="auto"/>
              <w:jc w:val="center"/>
              <w:rPr>
                <w:rFonts w:ascii="宋体" w:cs="Arial"/>
                <w:b/>
                <w:bCs/>
                <w:color w:val="auto"/>
                <w:szCs w:val="21"/>
                <w:highlight w:val="none"/>
              </w:rPr>
            </w:pPr>
            <w:r>
              <w:rPr>
                <w:rFonts w:hint="eastAsia" w:ascii="宋体" w:hAnsi="宋体" w:cs="Arial"/>
                <w:b/>
                <w:bCs/>
                <w:color w:val="auto"/>
                <w:szCs w:val="21"/>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3"/>
              <w:spacing w:line="360" w:lineRule="auto"/>
              <w:jc w:val="center"/>
              <w:rPr>
                <w:rFonts w:ascii="宋体" w:cs="Arial"/>
                <w:color w:val="auto"/>
                <w:szCs w:val="21"/>
                <w:highlight w:val="none"/>
              </w:rPr>
            </w:pPr>
          </w:p>
        </w:tc>
        <w:tc>
          <w:tcPr>
            <w:tcW w:w="2258" w:type="dxa"/>
          </w:tcPr>
          <w:p>
            <w:pPr>
              <w:pStyle w:val="43"/>
              <w:spacing w:line="360" w:lineRule="auto"/>
              <w:jc w:val="center"/>
              <w:rPr>
                <w:rFonts w:ascii="宋体" w:cs="Arial"/>
                <w:color w:val="auto"/>
                <w:szCs w:val="21"/>
                <w:highlight w:val="none"/>
              </w:rPr>
            </w:pPr>
          </w:p>
        </w:tc>
        <w:tc>
          <w:tcPr>
            <w:tcW w:w="2260" w:type="dxa"/>
          </w:tcPr>
          <w:p>
            <w:pPr>
              <w:pStyle w:val="43"/>
              <w:spacing w:line="360" w:lineRule="auto"/>
              <w:jc w:val="center"/>
              <w:rPr>
                <w:rFonts w:ascii="宋体" w:cs="Arial"/>
                <w:color w:val="auto"/>
                <w:szCs w:val="21"/>
                <w:highlight w:val="none"/>
              </w:rPr>
            </w:pPr>
          </w:p>
        </w:tc>
        <w:tc>
          <w:tcPr>
            <w:tcW w:w="2047" w:type="dxa"/>
            <w:tcBorders>
              <w:right w:val="single" w:color="auto" w:sz="4" w:space="0"/>
            </w:tcBorders>
          </w:tcPr>
          <w:p>
            <w:pPr>
              <w:pStyle w:val="43"/>
              <w:spacing w:line="360" w:lineRule="auto"/>
              <w:jc w:val="center"/>
              <w:rPr>
                <w:rFonts w:asci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43"/>
              <w:spacing w:line="360" w:lineRule="auto"/>
              <w:jc w:val="center"/>
              <w:rPr>
                <w:rFonts w:ascii="宋体" w:cs="Arial"/>
                <w:color w:val="auto"/>
                <w:szCs w:val="21"/>
                <w:highlight w:val="none"/>
              </w:rPr>
            </w:pPr>
          </w:p>
        </w:tc>
        <w:tc>
          <w:tcPr>
            <w:tcW w:w="2258" w:type="dxa"/>
            <w:tcBorders>
              <w:bottom w:val="double" w:color="auto" w:sz="4" w:space="0"/>
            </w:tcBorders>
          </w:tcPr>
          <w:p>
            <w:pPr>
              <w:pStyle w:val="43"/>
              <w:spacing w:line="360" w:lineRule="auto"/>
              <w:jc w:val="center"/>
              <w:rPr>
                <w:rFonts w:ascii="宋体" w:cs="Arial"/>
                <w:color w:val="auto"/>
                <w:szCs w:val="21"/>
                <w:highlight w:val="none"/>
              </w:rPr>
            </w:pPr>
          </w:p>
        </w:tc>
        <w:tc>
          <w:tcPr>
            <w:tcW w:w="2260" w:type="dxa"/>
            <w:tcBorders>
              <w:bottom w:val="double" w:color="auto" w:sz="4" w:space="0"/>
            </w:tcBorders>
          </w:tcPr>
          <w:p>
            <w:pPr>
              <w:pStyle w:val="43"/>
              <w:spacing w:line="360" w:lineRule="auto"/>
              <w:jc w:val="center"/>
              <w:rPr>
                <w:rFonts w:ascii="宋体" w:cs="Arial"/>
                <w:color w:val="auto"/>
                <w:szCs w:val="21"/>
                <w:highlight w:val="none"/>
              </w:rPr>
            </w:pPr>
          </w:p>
        </w:tc>
        <w:tc>
          <w:tcPr>
            <w:tcW w:w="2047" w:type="dxa"/>
            <w:tcBorders>
              <w:bottom w:val="double" w:color="auto" w:sz="4" w:space="0"/>
              <w:right w:val="single" w:color="auto" w:sz="4" w:space="0"/>
            </w:tcBorders>
          </w:tcPr>
          <w:p>
            <w:pPr>
              <w:pStyle w:val="43"/>
              <w:spacing w:line="360" w:lineRule="auto"/>
              <w:jc w:val="center"/>
              <w:rPr>
                <w:rFonts w:ascii="宋体" w:cs="Arial"/>
                <w:color w:val="auto"/>
                <w:szCs w:val="21"/>
                <w:highlight w:val="none"/>
              </w:rPr>
            </w:pPr>
          </w:p>
        </w:tc>
      </w:tr>
    </w:tbl>
    <w:p>
      <w:pPr>
        <w:pStyle w:val="43"/>
        <w:tabs>
          <w:tab w:val="left" w:pos="1050"/>
        </w:tabs>
        <w:spacing w:line="360" w:lineRule="auto"/>
        <w:rPr>
          <w:rFonts w:ascii="仿宋_GB2312" w:hAnsi="宋体" w:eastAsia="仿宋_GB2312"/>
          <w:color w:val="auto"/>
          <w:sz w:val="24"/>
          <w:highlight w:val="none"/>
        </w:rPr>
      </w:pPr>
    </w:p>
    <w:p>
      <w:pPr>
        <w:pStyle w:val="43"/>
        <w:tabs>
          <w:tab w:val="left" w:pos="1050"/>
        </w:tabs>
        <w:spacing w:line="360" w:lineRule="auto"/>
        <w:rPr>
          <w:rFonts w:ascii="宋体"/>
          <w:color w:val="auto"/>
          <w:szCs w:val="21"/>
          <w:highlight w:val="none"/>
        </w:rPr>
      </w:pPr>
      <w:r>
        <w:rPr>
          <w:rFonts w:hint="eastAsia" w:ascii="宋体" w:hAnsi="宋体"/>
          <w:b/>
          <w:color w:val="auto"/>
          <w:szCs w:val="21"/>
          <w:highlight w:val="none"/>
        </w:rPr>
        <w:t>要求：</w:t>
      </w:r>
    </w:p>
    <w:p>
      <w:pPr>
        <w:pStyle w:val="43"/>
        <w:tabs>
          <w:tab w:val="left" w:pos="1050"/>
        </w:tabs>
        <w:spacing w:line="360" w:lineRule="auto"/>
        <w:ind w:firstLine="424" w:firstLineChars="202"/>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、填写投标人获得资质、认证或企业信誉证书；</w:t>
      </w:r>
    </w:p>
    <w:p>
      <w:pPr>
        <w:pStyle w:val="43"/>
        <w:tabs>
          <w:tab w:val="left" w:pos="1050"/>
        </w:tabs>
        <w:spacing w:line="360" w:lineRule="auto"/>
        <w:ind w:firstLine="424" w:firstLineChars="202"/>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、附所列证书复印件或其他证明材料。</w:t>
      </w:r>
    </w:p>
    <w:p>
      <w:pPr>
        <w:pStyle w:val="43"/>
        <w:tabs>
          <w:tab w:val="left" w:pos="1050"/>
        </w:tabs>
        <w:spacing w:line="360" w:lineRule="auto"/>
        <w:ind w:firstLine="630" w:firstLineChars="300"/>
        <w:rPr>
          <w:rFonts w:ascii="仿宋_GB2312" w:hAnsi="宋体" w:eastAsia="仿宋_GB2312"/>
          <w:color w:val="auto"/>
          <w:szCs w:val="21"/>
          <w:highlight w:val="none"/>
        </w:rPr>
      </w:pPr>
    </w:p>
    <w:p>
      <w:pPr>
        <w:pStyle w:val="43"/>
        <w:tabs>
          <w:tab w:val="left" w:pos="1050"/>
        </w:tabs>
        <w:spacing w:line="360" w:lineRule="auto"/>
        <w:ind w:firstLine="630" w:firstLineChars="300"/>
        <w:rPr>
          <w:rFonts w:ascii="仿宋_GB2312" w:hAnsi="宋体" w:eastAsia="仿宋_GB2312"/>
          <w:color w:val="auto"/>
          <w:szCs w:val="21"/>
          <w:highlight w:val="none"/>
        </w:rPr>
      </w:pPr>
    </w:p>
    <w:p>
      <w:pPr>
        <w:pStyle w:val="43"/>
        <w:tabs>
          <w:tab w:val="left" w:pos="1050"/>
        </w:tabs>
        <w:spacing w:line="360" w:lineRule="auto"/>
        <w:ind w:firstLine="630" w:firstLineChars="300"/>
        <w:rPr>
          <w:rFonts w:ascii="仿宋_GB2312" w:hAnsi="宋体" w:eastAsia="仿宋_GB2312"/>
          <w:color w:val="auto"/>
          <w:szCs w:val="21"/>
          <w:highlight w:val="none"/>
        </w:rPr>
      </w:pPr>
    </w:p>
    <w:p>
      <w:pPr>
        <w:spacing w:line="360" w:lineRule="auto"/>
        <w:ind w:firstLine="371" w:firstLineChars="177"/>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371" w:firstLineChars="177"/>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pStyle w:val="39"/>
        <w:shd w:val="clear" w:color="auto" w:fill="FFFFFF"/>
        <w:spacing w:before="0" w:beforeAutospacing="0" w:after="0" w:afterAutospacing="0" w:line="360" w:lineRule="auto"/>
        <w:ind w:firstLine="371" w:firstLineChars="177"/>
        <w:rPr>
          <w:b/>
          <w:bCs/>
          <w:color w:val="auto"/>
          <w:spacing w:val="11"/>
          <w:sz w:val="21"/>
          <w:szCs w:val="21"/>
          <w:highlight w:val="none"/>
        </w:rPr>
      </w:pPr>
      <w:r>
        <w:rPr>
          <w:rFonts w:hint="eastAsia"/>
          <w:color w:val="auto"/>
          <w:sz w:val="21"/>
          <w:szCs w:val="21"/>
          <w:highlight w:val="none"/>
        </w:rPr>
        <w:t>日期：：</w:t>
      </w:r>
    </w:p>
    <w:p>
      <w:pPr>
        <w:spacing w:line="360" w:lineRule="auto"/>
        <w:rPr>
          <w:rFonts w:ascii="宋体"/>
          <w:b/>
          <w:color w:val="auto"/>
          <w:sz w:val="24"/>
          <w:highlight w:val="none"/>
        </w:rPr>
      </w:pPr>
    </w:p>
    <w:p>
      <w:pPr>
        <w:spacing w:line="360" w:lineRule="auto"/>
        <w:rPr>
          <w:rFonts w:ascii="宋体"/>
          <w:b/>
          <w:color w:val="auto"/>
          <w:sz w:val="28"/>
          <w:highlight w:val="none"/>
        </w:rPr>
      </w:pPr>
    </w:p>
    <w:p>
      <w:pPr>
        <w:pStyle w:val="2"/>
        <w:rPr>
          <w:rFonts w:ascii="宋体"/>
          <w:b/>
          <w:color w:val="auto"/>
          <w:sz w:val="28"/>
          <w:highlight w:val="none"/>
        </w:rPr>
      </w:pPr>
    </w:p>
    <w:p>
      <w:pPr>
        <w:pStyle w:val="2"/>
        <w:rPr>
          <w:rFonts w:ascii="宋体"/>
          <w:b/>
          <w:color w:val="auto"/>
          <w:sz w:val="28"/>
          <w:highlight w:val="none"/>
        </w:rPr>
      </w:pPr>
    </w:p>
    <w:p>
      <w:pPr>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3</w:t>
      </w:r>
    </w:p>
    <w:p>
      <w:pPr>
        <w:pStyle w:val="42"/>
        <w:spacing w:line="360" w:lineRule="auto"/>
        <w:jc w:val="center"/>
        <w:rPr>
          <w:rFonts w:ascii="宋体"/>
          <w:b/>
          <w:color w:val="auto"/>
          <w:sz w:val="32"/>
          <w:szCs w:val="32"/>
          <w:highlight w:val="none"/>
        </w:rPr>
      </w:pPr>
      <w:r>
        <w:rPr>
          <w:rFonts w:hint="eastAsia" w:ascii="宋体" w:hAnsi="宋体"/>
          <w:b/>
          <w:color w:val="auto"/>
          <w:sz w:val="32"/>
          <w:szCs w:val="32"/>
          <w:highlight w:val="none"/>
        </w:rPr>
        <w:t>投标人类似项目实施情况一览表</w:t>
      </w:r>
    </w:p>
    <w:p>
      <w:pPr>
        <w:pStyle w:val="42"/>
        <w:spacing w:line="360" w:lineRule="auto"/>
        <w:jc w:val="center"/>
        <w:rPr>
          <w:rFonts w:ascii="宋体" w:cs="宋体"/>
          <w:b/>
          <w:color w:val="auto"/>
          <w:sz w:val="24"/>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2"/>
              <w:spacing w:line="360" w:lineRule="auto"/>
              <w:jc w:val="center"/>
              <w:rPr>
                <w:rFonts w:ascii="宋体" w:cs="宋体"/>
                <w:b/>
                <w:bCs/>
                <w:color w:val="auto"/>
                <w:szCs w:val="21"/>
                <w:highlight w:val="none"/>
              </w:rPr>
            </w:pPr>
            <w:r>
              <w:rPr>
                <w:rFonts w:hint="eastAsia" w:ascii="宋体" w:hAnsi="宋体" w:cs="宋体"/>
                <w:b/>
                <w:bCs/>
                <w:color w:val="auto"/>
                <w:szCs w:val="21"/>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2"/>
              <w:spacing w:line="360" w:lineRule="auto"/>
              <w:rPr>
                <w:rFonts w:ascii="宋体" w:cs="宋体"/>
                <w:color w:val="auto"/>
                <w:szCs w:val="21"/>
                <w:highlight w:val="none"/>
              </w:rPr>
            </w:pPr>
          </w:p>
        </w:tc>
      </w:tr>
    </w:tbl>
    <w:p>
      <w:pPr>
        <w:autoSpaceDE w:val="0"/>
        <w:autoSpaceDN w:val="0"/>
        <w:adjustRightInd w:val="0"/>
        <w:spacing w:before="156" w:beforeLines="50" w:line="360" w:lineRule="auto"/>
        <w:rPr>
          <w:rFonts w:ascii="宋体" w:cs="宋体"/>
          <w:b/>
          <w:color w:val="auto"/>
          <w:szCs w:val="21"/>
          <w:highlight w:val="none"/>
        </w:rPr>
      </w:pPr>
      <w:r>
        <w:rPr>
          <w:rFonts w:hint="eastAsia" w:ascii="宋体" w:hAnsi="宋体" w:cs="宋体"/>
          <w:b/>
          <w:color w:val="auto"/>
          <w:szCs w:val="21"/>
          <w:highlight w:val="none"/>
        </w:rPr>
        <w:t>要求：</w:t>
      </w:r>
    </w:p>
    <w:p>
      <w:pPr>
        <w:autoSpaceDE w:val="0"/>
        <w:autoSpaceDN w:val="0"/>
        <w:adjustRightInd w:val="0"/>
        <w:spacing w:before="156" w:beforeLines="50" w:line="360" w:lineRule="auto"/>
        <w:ind w:firstLine="424" w:firstLineChars="202"/>
        <w:rPr>
          <w:rFonts w:ascii="宋体" w:cs="宋体"/>
          <w:b/>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、业绩证明应提供证明材料（合同复印件可只提供首页、含金额页、盖章页并加盖投标人公章）；</w:t>
      </w:r>
    </w:p>
    <w:p>
      <w:pPr>
        <w:spacing w:line="360" w:lineRule="auto"/>
        <w:ind w:firstLine="424" w:firstLineChars="202"/>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、报价供应商可按此表格式复制。</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ind w:left="420"/>
        <w:rPr>
          <w:rFonts w:ascii="宋体" w:cs="宋体"/>
          <w:color w:val="auto"/>
          <w:szCs w:val="21"/>
          <w:highlight w:val="none"/>
          <w:u w:val="single"/>
        </w:rPr>
      </w:pPr>
      <w:r>
        <w:rPr>
          <w:rFonts w:hint="eastAsia" w:ascii="宋体" w:hAnsi="宋体" w:cs="宋体"/>
          <w:color w:val="auto"/>
          <w:szCs w:val="21"/>
          <w:highlight w:val="none"/>
        </w:rPr>
        <w:t>投标人名称（盖章）：</w:t>
      </w:r>
    </w:p>
    <w:p>
      <w:pPr>
        <w:spacing w:line="360" w:lineRule="auto"/>
        <w:ind w:left="420"/>
        <w:rPr>
          <w:rFonts w:ascii="宋体" w:cs="宋体"/>
          <w:color w:val="auto"/>
          <w:szCs w:val="21"/>
          <w:highlight w:val="none"/>
        </w:rPr>
      </w:pPr>
    </w:p>
    <w:p>
      <w:pPr>
        <w:spacing w:line="360" w:lineRule="auto"/>
        <w:ind w:firstLine="435"/>
        <w:rPr>
          <w:rFonts w:ascii="宋体" w:cs="宋体"/>
          <w:color w:val="auto"/>
          <w:szCs w:val="21"/>
          <w:highlight w:val="none"/>
        </w:rPr>
      </w:pPr>
      <w:r>
        <w:rPr>
          <w:rFonts w:hint="eastAsia" w:ascii="宋体" w:hAnsi="宋体" w:cs="宋体"/>
          <w:color w:val="auto"/>
          <w:szCs w:val="21"/>
          <w:highlight w:val="none"/>
        </w:rPr>
        <w:t>法定代表人或授权委托代理人（签字或盖章）：</w:t>
      </w:r>
    </w:p>
    <w:p>
      <w:pPr>
        <w:spacing w:line="360" w:lineRule="auto"/>
        <w:rPr>
          <w:rFonts w:ascii="宋体" w:cs="宋体"/>
          <w:color w:val="auto"/>
          <w:szCs w:val="21"/>
          <w:highlight w:val="none"/>
        </w:rPr>
      </w:pPr>
    </w:p>
    <w:p>
      <w:pPr>
        <w:spacing w:line="360" w:lineRule="auto"/>
        <w:ind w:firstLine="435"/>
        <w:rPr>
          <w:rFonts w:ascii="宋体" w:cs="宋体"/>
          <w:color w:val="auto"/>
          <w:szCs w:val="21"/>
          <w:highlight w:val="none"/>
        </w:rPr>
      </w:pPr>
      <w:r>
        <w:rPr>
          <w:rFonts w:hint="eastAsia" w:ascii="宋体" w:hAnsi="宋体" w:cs="宋体"/>
          <w:color w:val="auto"/>
          <w:szCs w:val="21"/>
          <w:highlight w:val="none"/>
        </w:rPr>
        <w:t>日期：</w:t>
      </w:r>
    </w:p>
    <w:p>
      <w:pPr>
        <w:spacing w:line="360" w:lineRule="auto"/>
        <w:jc w:val="center"/>
        <w:rPr>
          <w:rFonts w:ascii="仿宋" w:hAnsi="仿宋" w:eastAsia="仿宋"/>
          <w:snapToGrid w:val="0"/>
          <w:color w:val="auto"/>
          <w:kern w:val="0"/>
          <w:szCs w:val="21"/>
          <w:highlight w:val="none"/>
        </w:rPr>
      </w:pPr>
    </w:p>
    <w:p>
      <w:pPr>
        <w:pStyle w:val="43"/>
        <w:tabs>
          <w:tab w:val="left" w:pos="1050"/>
        </w:tabs>
        <w:spacing w:line="360" w:lineRule="auto"/>
        <w:rPr>
          <w:rFonts w:ascii="宋体"/>
          <w:b/>
          <w:color w:val="auto"/>
          <w:sz w:val="28"/>
          <w:highlight w:val="none"/>
        </w:rPr>
      </w:pPr>
    </w:p>
    <w:p>
      <w:pPr>
        <w:pStyle w:val="43"/>
        <w:tabs>
          <w:tab w:val="left" w:pos="1050"/>
        </w:tabs>
        <w:spacing w:line="360" w:lineRule="auto"/>
        <w:rPr>
          <w:rFonts w:ascii="宋体"/>
          <w:b/>
          <w:color w:val="auto"/>
          <w:sz w:val="28"/>
          <w:highlight w:val="none"/>
        </w:rPr>
      </w:pPr>
    </w:p>
    <w:p>
      <w:pPr>
        <w:pStyle w:val="43"/>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4</w:t>
      </w:r>
    </w:p>
    <w:p>
      <w:pPr>
        <w:spacing w:line="360" w:lineRule="auto"/>
        <w:ind w:left="360" w:hanging="361" w:hangingChars="171"/>
        <w:jc w:val="center"/>
        <w:rPr>
          <w:rFonts w:ascii="宋体"/>
          <w:b/>
          <w:color w:val="auto"/>
          <w:szCs w:val="21"/>
          <w:highlight w:val="none"/>
        </w:rPr>
      </w:pPr>
      <w:r>
        <w:rPr>
          <w:rFonts w:hint="eastAsia" w:ascii="宋体" w:hAnsi="宋体"/>
          <w:b/>
          <w:color w:val="auto"/>
          <w:szCs w:val="21"/>
          <w:highlight w:val="none"/>
        </w:rPr>
        <w:t>资信及商务需求响应表</w:t>
      </w:r>
    </w:p>
    <w:p>
      <w:pPr>
        <w:spacing w:line="360" w:lineRule="auto"/>
        <w:ind w:left="481" w:leftChars="229" w:firstLine="949" w:firstLineChars="450"/>
        <w:rPr>
          <w:rFonts w:ascii="宋体"/>
          <w:b/>
          <w:color w:val="auto"/>
          <w:szCs w:val="21"/>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宋体"/>
                <w:b/>
                <w:color w:val="auto"/>
                <w:szCs w:val="21"/>
                <w:highlight w:val="none"/>
              </w:rPr>
            </w:pPr>
            <w:r>
              <w:rPr>
                <w:rFonts w:hint="eastAsia" w:ascii="宋体" w:hAnsi="宋体"/>
                <w:b/>
                <w:color w:val="auto"/>
                <w:szCs w:val="21"/>
                <w:highlight w:val="none"/>
              </w:rPr>
              <w:t>序号</w:t>
            </w:r>
          </w:p>
        </w:tc>
        <w:tc>
          <w:tcPr>
            <w:tcW w:w="2029" w:type="dxa"/>
            <w:vAlign w:val="center"/>
          </w:tcPr>
          <w:p>
            <w:pPr>
              <w:spacing w:line="360" w:lineRule="auto"/>
              <w:jc w:val="center"/>
              <w:rPr>
                <w:rFonts w:ascii="宋体"/>
                <w:b/>
                <w:color w:val="auto"/>
                <w:szCs w:val="21"/>
                <w:highlight w:val="none"/>
              </w:rPr>
            </w:pPr>
            <w:r>
              <w:rPr>
                <w:rFonts w:hint="eastAsia" w:ascii="宋体" w:hAnsi="宋体"/>
                <w:b/>
                <w:color w:val="auto"/>
                <w:szCs w:val="21"/>
                <w:highlight w:val="none"/>
              </w:rPr>
              <w:t>内容</w:t>
            </w:r>
          </w:p>
        </w:tc>
        <w:tc>
          <w:tcPr>
            <w:tcW w:w="1541" w:type="dxa"/>
            <w:vAlign w:val="center"/>
          </w:tcPr>
          <w:p>
            <w:pPr>
              <w:spacing w:line="360" w:lineRule="auto"/>
              <w:ind w:left="53" w:leftChars="25" w:firstLine="211" w:firstLineChars="100"/>
              <w:rPr>
                <w:rFonts w:ascii="宋体"/>
                <w:b/>
                <w:color w:val="auto"/>
                <w:szCs w:val="21"/>
                <w:highlight w:val="none"/>
              </w:rPr>
            </w:pPr>
            <w:r>
              <w:rPr>
                <w:rFonts w:hint="eastAsia" w:ascii="宋体" w:hAnsi="宋体"/>
                <w:b/>
                <w:color w:val="auto"/>
                <w:szCs w:val="21"/>
                <w:highlight w:val="none"/>
              </w:rPr>
              <w:t>招标需求</w:t>
            </w:r>
          </w:p>
        </w:tc>
        <w:tc>
          <w:tcPr>
            <w:tcW w:w="1365" w:type="dxa"/>
            <w:vAlign w:val="center"/>
          </w:tcPr>
          <w:p>
            <w:pPr>
              <w:spacing w:line="360" w:lineRule="auto"/>
              <w:ind w:left="152"/>
              <w:rPr>
                <w:rFonts w:ascii="宋体"/>
                <w:b/>
                <w:color w:val="auto"/>
                <w:szCs w:val="21"/>
                <w:highlight w:val="none"/>
              </w:rPr>
            </w:pPr>
            <w:r>
              <w:rPr>
                <w:rFonts w:hint="eastAsia" w:ascii="宋体" w:hAnsi="宋体"/>
                <w:b/>
                <w:color w:val="auto"/>
                <w:szCs w:val="21"/>
                <w:highlight w:val="none"/>
              </w:rPr>
              <w:t>是否响应</w:t>
            </w:r>
          </w:p>
        </w:tc>
        <w:tc>
          <w:tcPr>
            <w:tcW w:w="2625" w:type="dxa"/>
            <w:vAlign w:val="center"/>
          </w:tcPr>
          <w:p>
            <w:pPr>
              <w:spacing w:line="360" w:lineRule="auto"/>
              <w:jc w:val="center"/>
              <w:rPr>
                <w:rFonts w:ascii="宋体"/>
                <w:b/>
                <w:color w:val="auto"/>
                <w:szCs w:val="21"/>
                <w:highlight w:val="none"/>
              </w:rPr>
            </w:pPr>
            <w:r>
              <w:rPr>
                <w:rFonts w:hint="eastAsia" w:ascii="宋体" w:hAnsi="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 xml:space="preserve"> 服务期</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r>
              <w:rPr>
                <w:rFonts w:hint="eastAsia" w:asciiTheme="minorEastAsia" w:hAnsiTheme="minorEastAsia" w:eastAsiaTheme="minorEastAsia" w:cstheme="minorEastAsia"/>
                <w:color w:val="auto"/>
                <w:szCs w:val="21"/>
                <w:highlight w:val="none"/>
              </w:rPr>
              <w:t>……</w:t>
            </w: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color w:val="auto"/>
                <w:szCs w:val="21"/>
                <w:highlight w:val="none"/>
              </w:rPr>
            </w:pPr>
          </w:p>
        </w:tc>
        <w:tc>
          <w:tcPr>
            <w:tcW w:w="2029" w:type="dxa"/>
            <w:vAlign w:val="center"/>
          </w:tcPr>
          <w:p>
            <w:pPr>
              <w:jc w:val="center"/>
              <w:rPr>
                <w:rFonts w:ascii="宋体"/>
                <w:color w:val="auto"/>
                <w:szCs w:val="21"/>
                <w:highlight w:val="none"/>
              </w:rPr>
            </w:pP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spacing w:line="360" w:lineRule="auto"/>
              <w:rPr>
                <w:rFonts w:ascii="宋体"/>
                <w:color w:val="auto"/>
                <w:szCs w:val="21"/>
                <w:highlight w:val="none"/>
              </w:rPr>
            </w:pPr>
          </w:p>
        </w:tc>
        <w:tc>
          <w:tcPr>
            <w:tcW w:w="2029" w:type="dxa"/>
          </w:tcPr>
          <w:p>
            <w:pPr>
              <w:snapToGrid w:val="0"/>
              <w:rPr>
                <w:rFonts w:ascii="宋体"/>
                <w:color w:val="auto"/>
                <w:szCs w:val="21"/>
                <w:highlight w:val="none"/>
              </w:rPr>
            </w:pP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color w:val="auto"/>
                <w:szCs w:val="21"/>
                <w:highlight w:val="none"/>
              </w:rPr>
            </w:pPr>
          </w:p>
        </w:tc>
        <w:tc>
          <w:tcPr>
            <w:tcW w:w="2029" w:type="dxa"/>
          </w:tcPr>
          <w:p>
            <w:pPr>
              <w:snapToGrid w:val="0"/>
              <w:spacing w:line="360" w:lineRule="auto"/>
              <w:rPr>
                <w:rFonts w:ascii="宋体"/>
                <w:color w:val="auto"/>
                <w:szCs w:val="21"/>
                <w:highlight w:val="none"/>
              </w:rPr>
            </w:pPr>
          </w:p>
        </w:tc>
        <w:tc>
          <w:tcPr>
            <w:tcW w:w="1541" w:type="dxa"/>
            <w:vAlign w:val="center"/>
          </w:tcPr>
          <w:p>
            <w:pPr>
              <w:spacing w:line="360" w:lineRule="auto"/>
              <w:rPr>
                <w:rFonts w:ascii="宋体"/>
                <w:color w:val="auto"/>
                <w:szCs w:val="21"/>
                <w:highlight w:val="none"/>
              </w:rPr>
            </w:pPr>
          </w:p>
        </w:tc>
        <w:tc>
          <w:tcPr>
            <w:tcW w:w="1365" w:type="dxa"/>
            <w:vAlign w:val="center"/>
          </w:tcPr>
          <w:p>
            <w:pPr>
              <w:spacing w:line="360" w:lineRule="auto"/>
              <w:rPr>
                <w:rFonts w:ascii="宋体"/>
                <w:color w:val="auto"/>
                <w:szCs w:val="21"/>
                <w:highlight w:val="none"/>
              </w:rPr>
            </w:pPr>
          </w:p>
        </w:tc>
        <w:tc>
          <w:tcPr>
            <w:tcW w:w="2625" w:type="dxa"/>
            <w:vAlign w:val="center"/>
          </w:tcPr>
          <w:p>
            <w:pPr>
              <w:spacing w:line="360" w:lineRule="auto"/>
              <w:rPr>
                <w:rFonts w:ascii="宋体"/>
                <w:color w:val="auto"/>
                <w:szCs w:val="21"/>
                <w:highlight w:val="none"/>
              </w:rPr>
            </w:pPr>
          </w:p>
        </w:tc>
      </w:tr>
    </w:tbl>
    <w:p>
      <w:pPr>
        <w:spacing w:line="360" w:lineRule="auto"/>
        <w:ind w:left="420"/>
        <w:rPr>
          <w:rFonts w:ascii="宋体" w:hAns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ind w:firstLine="435"/>
        <w:rPr>
          <w:rFonts w:ascii="宋体"/>
          <w:color w:val="auto"/>
          <w:szCs w:val="21"/>
          <w:highlight w:val="none"/>
        </w:rPr>
      </w:pPr>
    </w:p>
    <w:p>
      <w:pPr>
        <w:spacing w:line="360" w:lineRule="auto"/>
        <w:ind w:firstLine="435"/>
        <w:rPr>
          <w:rFonts w:ascii="宋体"/>
          <w:color w:val="auto"/>
          <w:szCs w:val="21"/>
          <w:highlight w:val="none"/>
          <w:u w:val="single"/>
        </w:rPr>
      </w:pPr>
      <w:r>
        <w:rPr>
          <w:rFonts w:hint="eastAsia" w:ascii="宋体" w:hAnsi="宋体"/>
          <w:color w:val="auto"/>
          <w:szCs w:val="21"/>
          <w:highlight w:val="none"/>
        </w:rPr>
        <w:t>日期：</w:t>
      </w:r>
    </w:p>
    <w:p>
      <w:pPr>
        <w:tabs>
          <w:tab w:val="left" w:pos="2460"/>
        </w:tabs>
        <w:spacing w:line="360" w:lineRule="auto"/>
        <w:ind w:firstLine="435"/>
        <w:rPr>
          <w:rFonts w:ascii="宋体"/>
          <w:b/>
          <w:color w:val="auto"/>
          <w:sz w:val="28"/>
          <w:highlight w:val="none"/>
        </w:rPr>
      </w:pPr>
    </w:p>
    <w:p>
      <w:pPr>
        <w:tabs>
          <w:tab w:val="left" w:pos="2460"/>
        </w:tabs>
        <w:spacing w:line="360" w:lineRule="auto"/>
        <w:ind w:firstLine="435"/>
        <w:rPr>
          <w:rFonts w:ascii="宋体"/>
          <w:b/>
          <w:color w:val="auto"/>
          <w:sz w:val="28"/>
          <w:highlight w:val="none"/>
        </w:rPr>
      </w:pPr>
    </w:p>
    <w:p>
      <w:pPr>
        <w:tabs>
          <w:tab w:val="left" w:pos="2460"/>
        </w:tabs>
        <w:spacing w:line="360" w:lineRule="auto"/>
        <w:ind w:firstLine="435"/>
        <w:rPr>
          <w:rFonts w:ascii="宋体"/>
          <w:b/>
          <w:color w:val="auto"/>
          <w:sz w:val="28"/>
          <w:highlight w:val="none"/>
        </w:rPr>
      </w:pPr>
    </w:p>
    <w:p>
      <w:pPr>
        <w:pStyle w:val="2"/>
        <w:rPr>
          <w:rFonts w:ascii="宋体"/>
          <w:b/>
          <w:color w:val="auto"/>
          <w:sz w:val="28"/>
          <w:highlight w:val="none"/>
        </w:rPr>
      </w:pPr>
    </w:p>
    <w:p>
      <w:pPr>
        <w:pStyle w:val="2"/>
        <w:rPr>
          <w:rFonts w:ascii="宋体"/>
          <w:b/>
          <w:color w:val="auto"/>
          <w:sz w:val="28"/>
          <w:highlight w:val="none"/>
        </w:rPr>
      </w:pPr>
    </w:p>
    <w:p>
      <w:pPr>
        <w:tabs>
          <w:tab w:val="left" w:pos="2460"/>
        </w:tabs>
        <w:spacing w:line="360" w:lineRule="auto"/>
        <w:rPr>
          <w:rFonts w:ascii="宋体" w:hAnsi="宋体"/>
          <w:b/>
          <w:color w:val="auto"/>
          <w:sz w:val="28"/>
          <w:highlight w:val="none"/>
        </w:rPr>
      </w:pPr>
    </w:p>
    <w:p>
      <w:pPr>
        <w:pStyle w:val="51"/>
        <w:rPr>
          <w:color w:val="auto"/>
          <w:highlight w:val="none"/>
        </w:rPr>
      </w:pPr>
    </w:p>
    <w:p>
      <w:pPr>
        <w:rPr>
          <w:color w:val="auto"/>
          <w:highlight w:val="none"/>
        </w:rPr>
      </w:pPr>
    </w:p>
    <w:p>
      <w:pP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5</w:t>
      </w:r>
      <w:r>
        <w:rPr>
          <w:rFonts w:ascii="宋体"/>
          <w:b/>
          <w:color w:val="auto"/>
          <w:sz w:val="28"/>
          <w:highlight w:val="none"/>
        </w:rPr>
        <w:tab/>
      </w:r>
    </w:p>
    <w:p>
      <w:pPr>
        <w:spacing w:line="360" w:lineRule="auto"/>
        <w:ind w:firstLine="435"/>
        <w:jc w:val="center"/>
        <w:rPr>
          <w:rFonts w:asci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序号</w:t>
            </w:r>
          </w:p>
        </w:tc>
        <w:tc>
          <w:tcPr>
            <w:tcW w:w="2355"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项目</w:t>
            </w:r>
          </w:p>
        </w:tc>
        <w:tc>
          <w:tcPr>
            <w:tcW w:w="4061"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投标人情况</w:t>
            </w:r>
          </w:p>
        </w:tc>
        <w:tc>
          <w:tcPr>
            <w:tcW w:w="1373" w:type="dxa"/>
            <w:tcBorders>
              <w:top w:val="single" w:color="auto" w:sz="4" w:space="0"/>
            </w:tcBorders>
            <w:vAlign w:val="center"/>
          </w:tcPr>
          <w:p>
            <w:pPr>
              <w:pStyle w:val="44"/>
              <w:spacing w:line="360" w:lineRule="auto"/>
              <w:jc w:val="center"/>
              <w:rPr>
                <w:rFonts w:asci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pPr>
              <w:pStyle w:val="44"/>
              <w:spacing w:line="360" w:lineRule="auto"/>
              <w:jc w:val="center"/>
              <w:rPr>
                <w:rFonts w:ascii="宋体" w:cs="Arial"/>
                <w:bCs/>
                <w:color w:val="auto"/>
                <w:szCs w:val="21"/>
                <w:highlight w:val="none"/>
              </w:rPr>
            </w:pPr>
            <w:r>
              <w:rPr>
                <w:rFonts w:ascii="宋体" w:hAnsi="宋体" w:cs="Arial"/>
                <w:bCs/>
                <w:color w:val="auto"/>
                <w:szCs w:val="21"/>
                <w:highlight w:val="none"/>
              </w:rPr>
              <w:t>1</w:t>
            </w:r>
          </w:p>
        </w:tc>
        <w:tc>
          <w:tcPr>
            <w:tcW w:w="2355" w:type="dxa"/>
            <w:vAlign w:val="center"/>
          </w:tcPr>
          <w:p>
            <w:pPr>
              <w:pStyle w:val="44"/>
              <w:widowControl/>
              <w:spacing w:line="360" w:lineRule="auto"/>
              <w:jc w:val="left"/>
              <w:rPr>
                <w:rFonts w:ascii="宋体" w:cs="Arial"/>
                <w:bCs/>
                <w:color w:val="auto"/>
                <w:szCs w:val="21"/>
                <w:highlight w:val="none"/>
              </w:rPr>
            </w:pPr>
            <w:r>
              <w:rPr>
                <w:rFonts w:hint="eastAsia" w:ascii="宋体" w:hAnsi="宋体" w:cs="Arial"/>
                <w:bCs/>
                <w:color w:val="auto"/>
                <w:szCs w:val="21"/>
                <w:highlight w:val="none"/>
              </w:rPr>
              <w:t>其他服务（可用附页）</w:t>
            </w:r>
          </w:p>
        </w:tc>
        <w:tc>
          <w:tcPr>
            <w:tcW w:w="4061" w:type="dxa"/>
          </w:tcPr>
          <w:p>
            <w:pPr>
              <w:pStyle w:val="44"/>
              <w:spacing w:line="360" w:lineRule="auto"/>
              <w:rPr>
                <w:rFonts w:ascii="宋体" w:cs="Arial"/>
                <w:bCs/>
                <w:color w:val="auto"/>
                <w:szCs w:val="21"/>
                <w:highlight w:val="none"/>
              </w:rPr>
            </w:pPr>
          </w:p>
        </w:tc>
        <w:tc>
          <w:tcPr>
            <w:tcW w:w="1373" w:type="dxa"/>
          </w:tcPr>
          <w:p>
            <w:pPr>
              <w:pStyle w:val="44"/>
              <w:spacing w:line="360" w:lineRule="auto"/>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4"/>
              <w:spacing w:line="360" w:lineRule="auto"/>
              <w:jc w:val="center"/>
              <w:rPr>
                <w:rFonts w:ascii="宋体" w:cs="Arial"/>
                <w:bCs/>
                <w:color w:val="auto"/>
                <w:szCs w:val="21"/>
                <w:highlight w:val="none"/>
              </w:rPr>
            </w:pPr>
            <w:r>
              <w:rPr>
                <w:rFonts w:ascii="宋体" w:hAnsi="宋体" w:cs="Arial"/>
                <w:bCs/>
                <w:color w:val="auto"/>
                <w:szCs w:val="21"/>
                <w:highlight w:val="none"/>
              </w:rPr>
              <w:t>2</w:t>
            </w:r>
          </w:p>
        </w:tc>
        <w:tc>
          <w:tcPr>
            <w:tcW w:w="2355" w:type="dxa"/>
            <w:vAlign w:val="center"/>
          </w:tcPr>
          <w:p>
            <w:pPr>
              <w:pStyle w:val="44"/>
              <w:widowControl/>
              <w:spacing w:line="360" w:lineRule="auto"/>
              <w:jc w:val="left"/>
              <w:rPr>
                <w:rFonts w:ascii="宋体" w:cs="Arial"/>
                <w:bCs/>
                <w:color w:val="auto"/>
                <w:szCs w:val="21"/>
                <w:highlight w:val="none"/>
              </w:rPr>
            </w:pPr>
            <w:r>
              <w:rPr>
                <w:rFonts w:hint="eastAsia" w:ascii="宋体" w:cs="Arial"/>
                <w:bCs/>
                <w:color w:val="auto"/>
                <w:szCs w:val="21"/>
                <w:highlight w:val="none"/>
              </w:rPr>
              <w:t>……</w:t>
            </w:r>
          </w:p>
        </w:tc>
        <w:tc>
          <w:tcPr>
            <w:tcW w:w="4061" w:type="dxa"/>
          </w:tcPr>
          <w:p>
            <w:pPr>
              <w:pStyle w:val="44"/>
              <w:widowControl/>
              <w:spacing w:line="360" w:lineRule="auto"/>
              <w:jc w:val="left"/>
              <w:rPr>
                <w:rFonts w:ascii="宋体" w:cs="Arial"/>
                <w:bCs/>
                <w:color w:val="auto"/>
                <w:szCs w:val="21"/>
                <w:highlight w:val="none"/>
              </w:rPr>
            </w:pPr>
          </w:p>
          <w:p>
            <w:pPr>
              <w:pStyle w:val="44"/>
              <w:widowControl/>
              <w:spacing w:line="360" w:lineRule="auto"/>
              <w:jc w:val="left"/>
              <w:rPr>
                <w:rFonts w:ascii="宋体" w:cs="Arial"/>
                <w:bCs/>
                <w:color w:val="auto"/>
                <w:szCs w:val="21"/>
                <w:highlight w:val="none"/>
              </w:rPr>
            </w:pPr>
          </w:p>
          <w:p>
            <w:pPr>
              <w:pStyle w:val="44"/>
              <w:spacing w:line="360" w:lineRule="auto"/>
              <w:rPr>
                <w:rFonts w:ascii="宋体" w:cs="Arial"/>
                <w:bCs/>
                <w:color w:val="auto"/>
                <w:szCs w:val="21"/>
                <w:highlight w:val="none"/>
              </w:rPr>
            </w:pPr>
          </w:p>
        </w:tc>
        <w:tc>
          <w:tcPr>
            <w:tcW w:w="1373" w:type="dxa"/>
          </w:tcPr>
          <w:p>
            <w:pPr>
              <w:pStyle w:val="44"/>
              <w:widowControl/>
              <w:spacing w:line="360" w:lineRule="auto"/>
              <w:jc w:val="left"/>
              <w:rPr>
                <w:rFonts w:ascii="宋体" w:cs="Arial"/>
                <w:bCs/>
                <w:color w:val="auto"/>
                <w:szCs w:val="21"/>
                <w:highlight w:val="none"/>
              </w:rPr>
            </w:pPr>
          </w:p>
          <w:p>
            <w:pPr>
              <w:pStyle w:val="44"/>
              <w:widowControl/>
              <w:spacing w:line="360" w:lineRule="auto"/>
              <w:jc w:val="left"/>
              <w:rPr>
                <w:rFonts w:ascii="宋体" w:cs="Arial"/>
                <w:bCs/>
                <w:color w:val="auto"/>
                <w:szCs w:val="21"/>
                <w:highlight w:val="none"/>
              </w:rPr>
            </w:pPr>
          </w:p>
          <w:p>
            <w:pPr>
              <w:pStyle w:val="44"/>
              <w:spacing w:line="360" w:lineRule="auto"/>
              <w:rPr>
                <w:rFonts w:asci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4"/>
              <w:widowControl/>
              <w:spacing w:line="360" w:lineRule="auto"/>
              <w:jc w:val="left"/>
              <w:rPr>
                <w:rFonts w:ascii="宋体" w:cs="Arial"/>
                <w:bCs/>
                <w:color w:val="auto"/>
                <w:szCs w:val="21"/>
                <w:highlight w:val="none"/>
              </w:rPr>
            </w:pPr>
            <w:r>
              <w:rPr>
                <w:rFonts w:hint="eastAsia" w:ascii="宋体" w:cs="Arial"/>
                <w:bCs/>
                <w:color w:val="auto"/>
                <w:szCs w:val="21"/>
                <w:highlight w:val="none"/>
              </w:rPr>
              <w:t>……</w:t>
            </w:r>
          </w:p>
        </w:tc>
        <w:tc>
          <w:tcPr>
            <w:tcW w:w="2355" w:type="dxa"/>
            <w:vAlign w:val="center"/>
          </w:tcPr>
          <w:p>
            <w:pPr>
              <w:pStyle w:val="44"/>
              <w:widowControl/>
              <w:spacing w:line="360" w:lineRule="auto"/>
              <w:jc w:val="left"/>
              <w:rPr>
                <w:rFonts w:ascii="宋体" w:cs="Arial"/>
                <w:bCs/>
                <w:color w:val="auto"/>
                <w:szCs w:val="21"/>
                <w:highlight w:val="none"/>
              </w:rPr>
            </w:pPr>
            <w:r>
              <w:rPr>
                <w:rFonts w:hint="eastAsia" w:ascii="宋体" w:cs="Arial"/>
                <w:bCs/>
                <w:color w:val="auto"/>
                <w:szCs w:val="21"/>
                <w:highlight w:val="none"/>
              </w:rPr>
              <w:t>……</w:t>
            </w:r>
          </w:p>
        </w:tc>
        <w:tc>
          <w:tcPr>
            <w:tcW w:w="4061" w:type="dxa"/>
          </w:tcPr>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tc>
        <w:tc>
          <w:tcPr>
            <w:tcW w:w="1373" w:type="dxa"/>
          </w:tcPr>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p>
            <w:pPr>
              <w:pStyle w:val="44"/>
              <w:widowControl/>
              <w:spacing w:line="360" w:lineRule="auto"/>
              <w:jc w:val="left"/>
              <w:rPr>
                <w:rFonts w:ascii="宋体" w:cs="Arial"/>
                <w:bCs/>
                <w:i/>
                <w:color w:val="auto"/>
                <w:szCs w:val="21"/>
                <w:highlight w:val="none"/>
              </w:rPr>
            </w:pPr>
          </w:p>
        </w:tc>
      </w:tr>
    </w:tbl>
    <w:p>
      <w:pPr>
        <w:spacing w:line="360" w:lineRule="auto"/>
        <w:ind w:left="420"/>
        <w:rPr>
          <w:rFonts w:ascii="宋体"/>
          <w:color w:val="auto"/>
          <w:szCs w:val="21"/>
          <w:highlight w:val="none"/>
        </w:rPr>
      </w:pPr>
    </w:p>
    <w:p>
      <w:pPr>
        <w:spacing w:line="360" w:lineRule="auto"/>
        <w:ind w:left="420"/>
        <w:rPr>
          <w:rFonts w:ascii="宋体"/>
          <w:color w:val="auto"/>
          <w:szCs w:val="21"/>
          <w:highlight w:val="none"/>
        </w:rPr>
      </w:pPr>
    </w:p>
    <w:p>
      <w:pPr>
        <w:spacing w:line="360" w:lineRule="auto"/>
        <w:rPr>
          <w:rFonts w:ascii="宋体"/>
          <w:color w:val="auto"/>
          <w:szCs w:val="21"/>
          <w:highlight w:val="none"/>
        </w:rPr>
      </w:pPr>
    </w:p>
    <w:p>
      <w:pPr>
        <w:spacing w:line="360" w:lineRule="auto"/>
        <w:ind w:left="420"/>
        <w:rPr>
          <w:rFonts w:asci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 w:val="24"/>
          <w:highlight w:val="none"/>
          <w:u w:val="single"/>
        </w:rPr>
      </w:pPr>
      <w:r>
        <w:rPr>
          <w:rFonts w:hint="eastAsia" w:ascii="宋体" w:hAnsi="宋体"/>
          <w:color w:val="auto"/>
          <w:szCs w:val="21"/>
          <w:highlight w:val="none"/>
        </w:rPr>
        <w:t>日期：</w:t>
      </w:r>
    </w:p>
    <w:p>
      <w:pPr>
        <w:spacing w:line="360" w:lineRule="auto"/>
        <w:ind w:firstLine="435"/>
        <w:rPr>
          <w:rFonts w:ascii="宋体"/>
          <w:color w:val="auto"/>
          <w:sz w:val="24"/>
          <w:highlight w:val="none"/>
          <w:u w:val="single"/>
        </w:rPr>
      </w:pPr>
    </w:p>
    <w:p>
      <w:pPr>
        <w:pStyle w:val="45"/>
        <w:spacing w:line="360" w:lineRule="auto"/>
        <w:rPr>
          <w:rFonts w:hAnsi="宋体"/>
          <w:b/>
          <w:color w:val="auto"/>
          <w:sz w:val="28"/>
          <w:szCs w:val="28"/>
          <w:highlight w:val="none"/>
        </w:rPr>
      </w:pPr>
    </w:p>
    <w:p>
      <w:pPr>
        <w:spacing w:line="360" w:lineRule="auto"/>
        <w:ind w:right="-110"/>
        <w:jc w:val="left"/>
        <w:rPr>
          <w:rFonts w:ascii="宋体"/>
          <w:b/>
          <w:color w:val="auto"/>
          <w:sz w:val="28"/>
          <w:highlight w:val="none"/>
        </w:rPr>
      </w:pPr>
    </w:p>
    <w:p>
      <w:pPr>
        <w:spacing w:line="360" w:lineRule="auto"/>
        <w:ind w:right="-110"/>
        <w:jc w:val="left"/>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ind w:right="-110"/>
        <w:jc w:val="left"/>
        <w:rPr>
          <w:rFonts w:ascii="宋体"/>
          <w:color w:val="auto"/>
          <w:spacing w:val="40"/>
          <w:sz w:val="52"/>
          <w:szCs w:val="52"/>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 xml:space="preserve">6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ind w:right="-110"/>
        <w:jc w:val="center"/>
        <w:rPr>
          <w:rFonts w:asci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color w:val="auto"/>
          <w:sz w:val="36"/>
          <w:szCs w:val="36"/>
          <w:highlight w:val="none"/>
        </w:rPr>
      </w:pPr>
      <w:r>
        <w:rPr>
          <w:rFonts w:hint="eastAsia" w:ascii="宋体" w:hAnsi="宋体"/>
          <w:color w:val="auto"/>
          <w:sz w:val="36"/>
          <w:szCs w:val="36"/>
          <w:highlight w:val="none"/>
        </w:rPr>
        <w:t>项目编号：</w:t>
      </w:r>
    </w:p>
    <w:p>
      <w:pPr>
        <w:spacing w:after="100" w:afterAutospacing="1" w:line="360" w:lineRule="auto"/>
        <w:ind w:right="-108"/>
        <w:jc w:val="center"/>
        <w:rPr>
          <w:rFonts w:ascii="宋体"/>
          <w:b/>
          <w:color w:val="auto"/>
          <w:spacing w:val="40"/>
          <w:sz w:val="84"/>
          <w:szCs w:val="84"/>
          <w:highlight w:val="none"/>
        </w:rPr>
      </w:pP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color w:val="auto"/>
          <w:sz w:val="36"/>
          <w:szCs w:val="36"/>
          <w:highlight w:val="none"/>
        </w:rPr>
      </w:pPr>
    </w:p>
    <w:p>
      <w:pPr>
        <w:spacing w:line="360" w:lineRule="auto"/>
        <w:ind w:right="532"/>
        <w:rPr>
          <w:rFonts w:ascii="宋体"/>
          <w:color w:val="auto"/>
          <w:sz w:val="36"/>
          <w:szCs w:val="36"/>
          <w:highlight w:val="none"/>
        </w:rPr>
      </w:pPr>
    </w:p>
    <w:p>
      <w:pPr>
        <w:spacing w:line="360" w:lineRule="auto"/>
        <w:ind w:right="532" w:firstLine="720" w:firstLineChars="200"/>
        <w:rPr>
          <w:rFonts w:asci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地址：</w:t>
      </w:r>
    </w:p>
    <w:p>
      <w:pPr>
        <w:spacing w:line="360" w:lineRule="auto"/>
        <w:ind w:right="-108" w:firstLine="720" w:firstLineChars="200"/>
        <w:rPr>
          <w:rFonts w:ascii="宋体"/>
          <w:color w:val="auto"/>
          <w:sz w:val="36"/>
          <w:szCs w:val="36"/>
          <w:highlight w:val="none"/>
        </w:rPr>
      </w:pPr>
      <w:r>
        <w:rPr>
          <w:rFonts w:hint="eastAsia" w:ascii="宋体" w:hAnsi="宋体"/>
          <w:color w:val="auto"/>
          <w:sz w:val="36"/>
          <w:szCs w:val="36"/>
          <w:highlight w:val="none"/>
        </w:rPr>
        <w:t>时间：</w:t>
      </w:r>
    </w:p>
    <w:p>
      <w:pPr>
        <w:spacing w:line="360" w:lineRule="auto"/>
        <w:ind w:right="-108"/>
        <w:jc w:val="center"/>
        <w:rPr>
          <w:rFonts w:ascii="宋体" w:hAnsi="宋体"/>
          <w:b/>
          <w:color w:val="auto"/>
          <w:sz w:val="36"/>
          <w:szCs w:val="32"/>
          <w:highlight w:val="none"/>
        </w:rPr>
      </w:pPr>
    </w:p>
    <w:p>
      <w:pPr>
        <w:spacing w:line="360" w:lineRule="auto"/>
        <w:ind w:right="-108"/>
        <w:jc w:val="center"/>
        <w:outlineLvl w:val="1"/>
        <w:rPr>
          <w:rFonts w:ascii="宋体"/>
          <w:b/>
          <w:color w:val="auto"/>
          <w:sz w:val="36"/>
          <w:szCs w:val="32"/>
          <w:highlight w:val="none"/>
        </w:rPr>
      </w:pPr>
      <w:r>
        <w:rPr>
          <w:rFonts w:hint="eastAsia" w:ascii="宋体" w:hAnsi="宋体"/>
          <w:b/>
          <w:color w:val="auto"/>
          <w:sz w:val="36"/>
          <w:szCs w:val="32"/>
          <w:highlight w:val="none"/>
        </w:rPr>
        <w:t>报价文件目录</w:t>
      </w:r>
    </w:p>
    <w:p>
      <w:pPr>
        <w:snapToGrid w:val="0"/>
        <w:spacing w:line="360" w:lineRule="auto"/>
        <w:rPr>
          <w:rFonts w:ascii="宋体" w:cs="宋体"/>
          <w:color w:val="auto"/>
          <w:sz w:val="24"/>
          <w:highlight w:val="none"/>
        </w:rPr>
      </w:pPr>
    </w:p>
    <w:p>
      <w:pPr>
        <w:snapToGrid w:val="0"/>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、开标一览表（附件</w:t>
      </w:r>
      <w:r>
        <w:rPr>
          <w:rFonts w:ascii="宋体" w:hAnsi="宋体" w:cs="宋体"/>
          <w:color w:val="auto"/>
          <w:szCs w:val="21"/>
          <w:highlight w:val="none"/>
        </w:rPr>
        <w:t>1</w:t>
      </w:r>
      <w:r>
        <w:rPr>
          <w:rFonts w:hint="eastAsia" w:ascii="宋体" w:hAnsi="宋体" w:cs="宋体"/>
          <w:color w:val="auto"/>
          <w:szCs w:val="21"/>
          <w:highlight w:val="none"/>
        </w:rPr>
        <w:t>7）；</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2、报价明细表（附件18）；</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3、在不增加工作装备及面积的情况下，仅增加人员的投标单价（附件19）；</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4、针对报价投标人认为其他需要说明的；</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5、中小企业等声明函（附件20）；（如有需提供）</w:t>
      </w:r>
    </w:p>
    <w:p>
      <w:pPr>
        <w:snapToGrid w:val="0"/>
        <w:spacing w:line="360" w:lineRule="auto"/>
        <w:rPr>
          <w:rFonts w:ascii="宋体" w:cs="宋体"/>
          <w:color w:val="auto"/>
          <w:kern w:val="0"/>
          <w:szCs w:val="21"/>
          <w:highlight w:val="none"/>
        </w:rPr>
      </w:pPr>
      <w:r>
        <w:rPr>
          <w:rFonts w:hint="eastAsia" w:ascii="宋体" w:hAnsi="宋体" w:cs="宋体"/>
          <w:color w:val="auto"/>
          <w:szCs w:val="21"/>
          <w:highlight w:val="none"/>
        </w:rPr>
        <w:t>6、产品适用政府采购政策情况表（附件21）</w:t>
      </w:r>
      <w:r>
        <w:rPr>
          <w:rFonts w:hint="eastAsia" w:ascii="宋体" w:hAnsi="宋体" w:cs="宋体"/>
          <w:color w:val="auto"/>
          <w:kern w:val="0"/>
          <w:szCs w:val="21"/>
          <w:highlight w:val="none"/>
        </w:rPr>
        <w:t>。（如有需提供）</w:t>
      </w:r>
    </w:p>
    <w:p>
      <w:pPr>
        <w:spacing w:line="360" w:lineRule="auto"/>
        <w:rPr>
          <w:rFonts w:ascii="宋体"/>
          <w:b/>
          <w:color w:val="auto"/>
          <w:szCs w:val="21"/>
          <w:highlight w:val="none"/>
        </w:rPr>
      </w:pPr>
    </w:p>
    <w:p>
      <w:pPr>
        <w:spacing w:line="360" w:lineRule="auto"/>
        <w:rPr>
          <w:rFonts w:ascii="宋体"/>
          <w:b/>
          <w:color w:val="auto"/>
          <w:szCs w:val="21"/>
          <w:highlight w:val="none"/>
        </w:rPr>
      </w:pPr>
    </w:p>
    <w:p>
      <w:pPr>
        <w:spacing w:line="360" w:lineRule="auto"/>
        <w:ind w:left="480"/>
        <w:rPr>
          <w:rFonts w:ascii="宋体"/>
          <w:b/>
          <w:color w:val="auto"/>
          <w:szCs w:val="21"/>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ind w:left="480"/>
        <w:rPr>
          <w:rFonts w:ascii="宋体"/>
          <w:b/>
          <w:color w:val="auto"/>
          <w:sz w:val="28"/>
          <w:highlight w:val="none"/>
        </w:rPr>
      </w:pPr>
    </w:p>
    <w:p>
      <w:pPr>
        <w:spacing w:line="360" w:lineRule="auto"/>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p>
    <w:p>
      <w:pPr>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pPr>
        <w:spacing w:line="360" w:lineRule="auto"/>
        <w:ind w:left="-2" w:hanging="2"/>
        <w:jc w:val="center"/>
        <w:rPr>
          <w:rFonts w:ascii="宋体"/>
          <w:b/>
          <w:color w:val="auto"/>
          <w:sz w:val="32"/>
          <w:szCs w:val="32"/>
          <w:highlight w:val="none"/>
        </w:rPr>
      </w:pPr>
      <w:r>
        <w:rPr>
          <w:rFonts w:hint="eastAsia" w:ascii="宋体" w:hAnsi="宋体"/>
          <w:b/>
          <w:color w:val="auto"/>
          <w:sz w:val="32"/>
          <w:szCs w:val="32"/>
          <w:highlight w:val="none"/>
        </w:rPr>
        <w:t>开标一览表</w:t>
      </w:r>
    </w:p>
    <w:p>
      <w:pPr>
        <w:pStyle w:val="12"/>
        <w:spacing w:line="360" w:lineRule="auto"/>
        <w:rPr>
          <w:rFonts w:hAnsi="宋体"/>
          <w:b/>
          <w:color w:val="auto"/>
          <w:szCs w:val="21"/>
          <w:highlight w:val="none"/>
        </w:rPr>
      </w:pPr>
      <w:r>
        <w:rPr>
          <w:rFonts w:hint="eastAsia" w:hAnsi="宋体"/>
          <w:b/>
          <w:color w:val="auto"/>
          <w:szCs w:val="21"/>
          <w:highlight w:val="none"/>
        </w:rPr>
        <w:t>项目编号：</w:t>
      </w:r>
    </w:p>
    <w:p>
      <w:pPr>
        <w:pStyle w:val="48"/>
        <w:spacing w:line="360" w:lineRule="auto"/>
        <w:ind w:right="480"/>
        <w:jc w:val="left"/>
        <w:rPr>
          <w:rFonts w:hAnsi="宋体"/>
          <w:color w:val="auto"/>
          <w:szCs w:val="21"/>
          <w:highlight w:val="none"/>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p>
    <w:tbl>
      <w:tblPr>
        <w:tblStyle w:val="22"/>
        <w:tblW w:w="87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22"/>
        <w:gridCol w:w="1360"/>
        <w:gridCol w:w="46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722" w:type="dxa"/>
            <w:vMerge w:val="restart"/>
            <w:tcBorders>
              <w:top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b/>
                <w:bCs/>
                <w:color w:val="auto"/>
                <w:szCs w:val="21"/>
                <w:highlight w:val="none"/>
              </w:rPr>
            </w:pPr>
            <w:r>
              <w:rPr>
                <w:rFonts w:hint="eastAsia" w:ascii="宋体" w:hAnsi="宋体"/>
                <w:b/>
                <w:bCs/>
                <w:color w:val="auto"/>
                <w:szCs w:val="21"/>
                <w:highlight w:val="none"/>
              </w:rPr>
              <w:t>投标总价</w:t>
            </w:r>
            <w:r>
              <w:rPr>
                <w:rFonts w:ascii="宋体" w:hAnsi="宋体"/>
                <w:b/>
                <w:bCs/>
                <w:color w:val="auto"/>
                <w:szCs w:val="21"/>
                <w:highlight w:val="none"/>
              </w:rPr>
              <w:t>(</w:t>
            </w:r>
            <w:r>
              <w:rPr>
                <w:rFonts w:hint="eastAsia" w:ascii="宋体" w:hAnsi="宋体" w:cs="宋体"/>
                <w:b/>
                <w:color w:val="auto"/>
                <w:szCs w:val="21"/>
                <w:highlight w:val="none"/>
              </w:rPr>
              <w:t>元/年）</w:t>
            </w:r>
          </w:p>
        </w:tc>
        <w:tc>
          <w:tcPr>
            <w:tcW w:w="1360"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olor w:val="auto"/>
                <w:szCs w:val="21"/>
                <w:highlight w:val="none"/>
              </w:rPr>
              <w:t>大写</w:t>
            </w:r>
          </w:p>
        </w:tc>
        <w:tc>
          <w:tcPr>
            <w:tcW w:w="4677" w:type="dxa"/>
            <w:tcBorders>
              <w:top w:val="single" w:color="auto" w:sz="12" w:space="0"/>
              <w:left w:val="single" w:color="auto" w:sz="4" w:space="0"/>
              <w:bottom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646" w:hRule="atLeast"/>
          <w:jc w:val="center"/>
        </w:trPr>
        <w:tc>
          <w:tcPr>
            <w:tcW w:w="2722" w:type="dxa"/>
            <w:vMerge w:val="continue"/>
            <w:tcBorders>
              <w:top w:val="single" w:color="auto" w:sz="12" w:space="0"/>
              <w:bottom w:val="single" w:color="auto" w:sz="12" w:space="0"/>
              <w:right w:val="single" w:color="auto" w:sz="4" w:space="0"/>
            </w:tcBorders>
            <w:vAlign w:val="center"/>
          </w:tcPr>
          <w:p>
            <w:pPr>
              <w:spacing w:line="360" w:lineRule="auto"/>
              <w:rPr>
                <w:rFonts w:ascii="宋体"/>
                <w:b/>
                <w:bCs/>
                <w:color w:val="auto"/>
                <w:szCs w:val="21"/>
                <w:highlight w:val="none"/>
              </w:rPr>
            </w:pP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olor w:val="auto"/>
                <w:szCs w:val="21"/>
                <w:highlight w:val="none"/>
              </w:rPr>
              <w:t>小写</w:t>
            </w:r>
          </w:p>
        </w:tc>
        <w:tc>
          <w:tcPr>
            <w:tcW w:w="4677" w:type="dxa"/>
            <w:tcBorders>
              <w:top w:val="single" w:color="auto" w:sz="4" w:space="0"/>
              <w:left w:val="single" w:color="auto" w:sz="4" w:space="0"/>
              <w:bottom w:val="single" w:color="auto" w:sz="4" w:space="0"/>
            </w:tcBorders>
            <w:vAlign w:val="center"/>
          </w:tcPr>
          <w:p>
            <w:pPr>
              <w:autoSpaceDE w:val="0"/>
              <w:autoSpaceDN w:val="0"/>
              <w:spacing w:line="360" w:lineRule="auto"/>
              <w:jc w:val="center"/>
              <w:textAlignment w:val="bottom"/>
              <w:rPr>
                <w:rFonts w:ascii="宋体"/>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元/年</w:t>
            </w:r>
          </w:p>
        </w:tc>
      </w:tr>
    </w:tbl>
    <w:p>
      <w:pPr>
        <w:spacing w:line="360" w:lineRule="auto"/>
        <w:rPr>
          <w:rFonts w:ascii="宋体"/>
          <w:color w:val="auto"/>
          <w:szCs w:val="21"/>
          <w:highlight w:val="none"/>
        </w:rPr>
      </w:pPr>
      <w:r>
        <w:rPr>
          <w:rFonts w:hint="eastAsia" w:ascii="宋体" w:hAnsi="宋体"/>
          <w:b/>
          <w:color w:val="auto"/>
          <w:szCs w:val="21"/>
          <w:highlight w:val="none"/>
        </w:rPr>
        <w:t>填报要求：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宋体" w:hAnsi="宋体"/>
          <w:color w:val="auto"/>
          <w:kern w:val="0"/>
          <w:szCs w:val="21"/>
          <w:highlight w:val="none"/>
        </w:rPr>
        <w:t>1、</w:t>
      </w:r>
      <w:r>
        <w:rPr>
          <w:rFonts w:hint="eastAsia" w:asciiTheme="minorEastAsia" w:hAnsiTheme="minorEastAsia" w:eastAsiaTheme="minorEastAsia" w:cstheme="minorEastAsia"/>
          <w:color w:val="auto"/>
          <w:szCs w:val="21"/>
          <w:highlight w:val="none"/>
        </w:rPr>
        <w:t>投标总报价为完成本项目的所有费用，包括派遣的全职人员及在项目区域内提供保洁、护工运送及其他所有服务所需的一切人员工资、奖金、各种加班费、值班补贴、夜餐费、各种社会保险、食宿与交通、服装、安全、仓储、维修、管理费用、税费、利润、完成合同所需的一切本身和不可或缺的所有工作开支、政策性文件规定计合同包含的所有风险、责任等各项全部费用，全部费用已包含在投标报价中。</w:t>
      </w:r>
    </w:p>
    <w:p>
      <w:pPr>
        <w:spacing w:line="360" w:lineRule="auto"/>
        <w:ind w:firstLine="420" w:firstLineChars="200"/>
        <w:rPr>
          <w:rFonts w:ascii="宋体"/>
          <w:b/>
          <w:i/>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rPr>
        <w:t>、开标一览表，要求按格式填写，统一规范，不得自行增减内容。</w:t>
      </w:r>
    </w:p>
    <w:p>
      <w:pPr>
        <w:spacing w:line="360" w:lineRule="auto"/>
        <w:ind w:left="420"/>
        <w:rPr>
          <w:rFonts w:ascii="宋体"/>
          <w:color w:val="auto"/>
          <w:szCs w:val="21"/>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hAnsi="宋体"/>
          <w:b/>
          <w:color w:val="auto"/>
          <w:sz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日期：</w:t>
      </w:r>
    </w:p>
    <w:p>
      <w:pPr>
        <w:spacing w:line="400" w:lineRule="exact"/>
        <w:rPr>
          <w:rFonts w:ascii="宋体" w:hAnsi="宋体"/>
          <w:b/>
          <w:color w:val="auto"/>
          <w:sz w:val="28"/>
          <w:highlight w:val="none"/>
        </w:rPr>
      </w:pPr>
      <w:r>
        <w:rPr>
          <w:rFonts w:hint="eastAsia" w:ascii="宋体" w:hAnsi="宋体"/>
          <w:b/>
          <w:color w:val="auto"/>
          <w:sz w:val="28"/>
          <w:highlight w:val="none"/>
        </w:rPr>
        <w:t>附件18</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报价明细表</w:t>
      </w:r>
    </w:p>
    <w:p>
      <w:pPr>
        <w:pStyle w:val="12"/>
        <w:spacing w:line="360" w:lineRule="auto"/>
        <w:rPr>
          <w:rFonts w:hAnsi="宋体"/>
          <w:b/>
          <w:color w:val="auto"/>
          <w:szCs w:val="21"/>
          <w:highlight w:val="none"/>
        </w:rPr>
      </w:pPr>
      <w:r>
        <w:rPr>
          <w:rFonts w:hint="eastAsia" w:hAnsi="宋体"/>
          <w:b/>
          <w:color w:val="auto"/>
          <w:szCs w:val="21"/>
          <w:highlight w:val="none"/>
        </w:rPr>
        <w:t>项目编号：</w:t>
      </w:r>
    </w:p>
    <w:p>
      <w:pPr>
        <w:pStyle w:val="3"/>
        <w:ind w:firstLine="0" w:firstLineChars="0"/>
        <w:rPr>
          <w:color w:val="auto"/>
          <w:highlight w:val="none"/>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r>
        <w:rPr>
          <w:rFonts w:ascii="宋体" w:hAnsi="宋体"/>
          <w:color w:val="auto"/>
          <w:sz w:val="24"/>
          <w:highlight w:val="none"/>
        </w:rPr>
        <w:t xml:space="preserve">       </w:t>
      </w:r>
    </w:p>
    <w:tbl>
      <w:tblPr>
        <w:tblStyle w:val="2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332"/>
        <w:gridCol w:w="716"/>
        <w:gridCol w:w="2244"/>
        <w:gridCol w:w="12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785" w:type="dxa"/>
            <w:vAlign w:val="center"/>
          </w:tcPr>
          <w:p>
            <w:pPr>
              <w:spacing w:line="360" w:lineRule="auto"/>
              <w:jc w:val="center"/>
              <w:rPr>
                <w:b/>
                <w:bCs/>
                <w:color w:val="auto"/>
                <w:highlight w:val="none"/>
              </w:rPr>
            </w:pPr>
            <w:r>
              <w:rPr>
                <w:rFonts w:hint="eastAsia"/>
                <w:b/>
                <w:bCs/>
                <w:color w:val="auto"/>
                <w:highlight w:val="none"/>
              </w:rPr>
              <w:t>序号</w:t>
            </w:r>
          </w:p>
        </w:tc>
        <w:tc>
          <w:tcPr>
            <w:tcW w:w="2332" w:type="dxa"/>
            <w:vAlign w:val="center"/>
          </w:tcPr>
          <w:p>
            <w:pPr>
              <w:spacing w:line="360" w:lineRule="auto"/>
              <w:jc w:val="center"/>
              <w:rPr>
                <w:rFonts w:cs="Tahoma"/>
                <w:b/>
                <w:bCs/>
                <w:color w:val="auto"/>
                <w:highlight w:val="none"/>
              </w:rPr>
            </w:pPr>
            <w:r>
              <w:rPr>
                <w:rFonts w:hint="eastAsia"/>
                <w:b/>
                <w:bCs/>
                <w:color w:val="auto"/>
                <w:highlight w:val="none"/>
              </w:rPr>
              <w:t>服务内容</w:t>
            </w:r>
          </w:p>
        </w:tc>
        <w:tc>
          <w:tcPr>
            <w:tcW w:w="716" w:type="dxa"/>
            <w:vAlign w:val="center"/>
          </w:tcPr>
          <w:p>
            <w:pPr>
              <w:spacing w:line="360" w:lineRule="auto"/>
              <w:jc w:val="center"/>
              <w:rPr>
                <w:b/>
                <w:bCs/>
                <w:color w:val="auto"/>
                <w:highlight w:val="none"/>
              </w:rPr>
            </w:pPr>
            <w:r>
              <w:rPr>
                <w:rFonts w:hint="eastAsia"/>
                <w:b/>
                <w:bCs/>
                <w:color w:val="auto"/>
                <w:highlight w:val="none"/>
              </w:rPr>
              <w:t>数量</w:t>
            </w:r>
          </w:p>
        </w:tc>
        <w:tc>
          <w:tcPr>
            <w:tcW w:w="2244" w:type="dxa"/>
            <w:vAlign w:val="center"/>
          </w:tcPr>
          <w:p>
            <w:pPr>
              <w:spacing w:line="360" w:lineRule="auto"/>
              <w:jc w:val="center"/>
              <w:rPr>
                <w:b/>
                <w:bCs/>
                <w:color w:val="auto"/>
                <w:highlight w:val="none"/>
              </w:rPr>
            </w:pPr>
            <w:r>
              <w:rPr>
                <w:rFonts w:hint="eastAsia" w:cs="Tahoma"/>
                <w:b/>
                <w:bCs/>
                <w:color w:val="auto"/>
                <w:highlight w:val="none"/>
              </w:rPr>
              <w:t>投标单价</w:t>
            </w:r>
          </w:p>
        </w:tc>
        <w:tc>
          <w:tcPr>
            <w:tcW w:w="1231" w:type="dxa"/>
            <w:vAlign w:val="center"/>
          </w:tcPr>
          <w:p>
            <w:pPr>
              <w:spacing w:line="360" w:lineRule="auto"/>
              <w:jc w:val="center"/>
              <w:rPr>
                <w:b/>
                <w:bCs/>
                <w:color w:val="auto"/>
                <w:highlight w:val="none"/>
              </w:rPr>
            </w:pPr>
            <w:r>
              <w:rPr>
                <w:rFonts w:hint="eastAsia"/>
                <w:b/>
                <w:bCs/>
                <w:color w:val="auto"/>
                <w:highlight w:val="none"/>
              </w:rPr>
              <w:t>小计（元）</w:t>
            </w:r>
          </w:p>
        </w:tc>
        <w:tc>
          <w:tcPr>
            <w:tcW w:w="1231" w:type="dxa"/>
            <w:vAlign w:val="center"/>
          </w:tcPr>
          <w:p>
            <w:pPr>
              <w:spacing w:line="360" w:lineRule="auto"/>
              <w:jc w:val="center"/>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785" w:type="dxa"/>
            <w:vAlign w:val="center"/>
          </w:tcPr>
          <w:p>
            <w:pPr>
              <w:spacing w:line="360" w:lineRule="auto"/>
              <w:jc w:val="center"/>
              <w:rPr>
                <w:color w:val="auto"/>
                <w:highlight w:val="none"/>
              </w:rPr>
            </w:pPr>
            <w:r>
              <w:rPr>
                <w:rFonts w:hint="eastAsia"/>
                <w:color w:val="auto"/>
                <w:highlight w:val="none"/>
              </w:rPr>
              <w:t>1</w:t>
            </w:r>
          </w:p>
        </w:tc>
        <w:tc>
          <w:tcPr>
            <w:tcW w:w="2332" w:type="dxa"/>
            <w:vAlign w:val="center"/>
          </w:tcPr>
          <w:p>
            <w:pPr>
              <w:spacing w:line="360" w:lineRule="auto"/>
              <w:jc w:val="center"/>
              <w:rPr>
                <w:color w:val="auto"/>
                <w:highlight w:val="none"/>
              </w:rPr>
            </w:pPr>
            <w:r>
              <w:rPr>
                <w:rFonts w:hint="eastAsia" w:cs="Tahoma"/>
                <w:color w:val="auto"/>
                <w:highlight w:val="none"/>
              </w:rPr>
              <w:t>人员工资（含福利费、服装费、各类法定节假日加班费等）</w:t>
            </w:r>
          </w:p>
        </w:tc>
        <w:tc>
          <w:tcPr>
            <w:tcW w:w="716" w:type="dxa"/>
            <w:vAlign w:val="center"/>
          </w:tcPr>
          <w:p>
            <w:pPr>
              <w:spacing w:line="360" w:lineRule="auto"/>
              <w:jc w:val="center"/>
              <w:rPr>
                <w:color w:val="auto"/>
                <w:highlight w:val="none"/>
              </w:rPr>
            </w:pPr>
            <w:r>
              <w:rPr>
                <w:rFonts w:hint="eastAsia"/>
                <w:color w:val="auto"/>
                <w:highlight w:val="none"/>
              </w:rPr>
              <w:t>52人</w:t>
            </w:r>
          </w:p>
        </w:tc>
        <w:tc>
          <w:tcPr>
            <w:tcW w:w="2244" w:type="dxa"/>
            <w:vAlign w:val="center"/>
          </w:tcPr>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元/人·月</w:t>
            </w:r>
          </w:p>
        </w:tc>
        <w:tc>
          <w:tcPr>
            <w:tcW w:w="1231" w:type="dxa"/>
            <w:vAlign w:val="center"/>
          </w:tcPr>
          <w:p>
            <w:pPr>
              <w:spacing w:line="360" w:lineRule="auto"/>
              <w:jc w:val="center"/>
              <w:rPr>
                <w:color w:val="auto"/>
                <w:highlight w:val="none"/>
              </w:rPr>
            </w:pPr>
          </w:p>
        </w:tc>
        <w:tc>
          <w:tcPr>
            <w:tcW w:w="1231" w:type="dxa"/>
            <w:vAlign w:val="center"/>
          </w:tcPr>
          <w:p>
            <w:pPr>
              <w:spacing w:line="360" w:lineRule="auto"/>
              <w:jc w:val="center"/>
              <w:rPr>
                <w:color w:val="auto"/>
                <w:highlight w:val="none"/>
              </w:rPr>
            </w:pPr>
            <w:r>
              <w:rPr>
                <w:rFonts w:hint="eastAsia"/>
                <w:color w:val="auto"/>
                <w:highlight w:val="none"/>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85" w:type="dxa"/>
            <w:vAlign w:val="center"/>
          </w:tcPr>
          <w:p>
            <w:pPr>
              <w:spacing w:line="360" w:lineRule="auto"/>
              <w:jc w:val="center"/>
              <w:rPr>
                <w:color w:val="auto"/>
                <w:highlight w:val="none"/>
              </w:rPr>
            </w:pPr>
            <w:r>
              <w:rPr>
                <w:rFonts w:hint="eastAsia"/>
                <w:color w:val="auto"/>
                <w:highlight w:val="none"/>
              </w:rPr>
              <w:t>2</w:t>
            </w:r>
          </w:p>
        </w:tc>
        <w:tc>
          <w:tcPr>
            <w:tcW w:w="2332" w:type="dxa"/>
            <w:vAlign w:val="center"/>
          </w:tcPr>
          <w:p>
            <w:pPr>
              <w:snapToGrid w:val="0"/>
              <w:spacing w:before="50" w:after="50" w:line="400" w:lineRule="exact"/>
              <w:jc w:val="center"/>
              <w:rPr>
                <w:rFonts w:cs="Tahoma"/>
                <w:color w:val="auto"/>
                <w:highlight w:val="none"/>
              </w:rPr>
            </w:pPr>
            <w:r>
              <w:rPr>
                <w:rFonts w:hint="eastAsia" w:cs="Tahoma"/>
                <w:color w:val="auto"/>
                <w:highlight w:val="none"/>
              </w:rPr>
              <w:t>打蜡</w:t>
            </w:r>
          </w:p>
        </w:tc>
        <w:tc>
          <w:tcPr>
            <w:tcW w:w="716" w:type="dxa"/>
            <w:vAlign w:val="center"/>
          </w:tcPr>
          <w:p>
            <w:pPr>
              <w:spacing w:line="360" w:lineRule="auto"/>
              <w:jc w:val="center"/>
              <w:rPr>
                <w:color w:val="auto"/>
                <w:highlight w:val="none"/>
              </w:rPr>
            </w:pPr>
            <w:r>
              <w:rPr>
                <w:rFonts w:hint="eastAsia"/>
                <w:color w:val="auto"/>
                <w:highlight w:val="none"/>
              </w:rPr>
              <w:t>三年</w:t>
            </w:r>
          </w:p>
        </w:tc>
        <w:tc>
          <w:tcPr>
            <w:tcW w:w="2244" w:type="dxa"/>
            <w:vAlign w:val="center"/>
          </w:tcPr>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元/次</w:t>
            </w:r>
          </w:p>
        </w:tc>
        <w:tc>
          <w:tcPr>
            <w:tcW w:w="1231" w:type="dxa"/>
            <w:vAlign w:val="center"/>
          </w:tcPr>
          <w:p>
            <w:pPr>
              <w:spacing w:line="360" w:lineRule="auto"/>
              <w:jc w:val="center"/>
              <w:rPr>
                <w:color w:val="auto"/>
                <w:highlight w:val="none"/>
              </w:rPr>
            </w:pPr>
          </w:p>
        </w:tc>
        <w:tc>
          <w:tcPr>
            <w:tcW w:w="1231" w:type="dxa"/>
            <w:vAlign w:val="center"/>
          </w:tcPr>
          <w:p>
            <w:pPr>
              <w:spacing w:line="360" w:lineRule="auto"/>
              <w:jc w:val="center"/>
              <w:rPr>
                <w:color w:val="auto"/>
                <w:highlight w:val="none"/>
              </w:rPr>
            </w:pPr>
            <w:r>
              <w:rPr>
                <w:rFonts w:hint="eastAsia"/>
                <w:color w:val="auto"/>
                <w:highlight w:val="none"/>
              </w:rPr>
              <w:t>两次/年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785" w:type="dxa"/>
            <w:vAlign w:val="center"/>
          </w:tcPr>
          <w:p>
            <w:pPr>
              <w:spacing w:line="360" w:lineRule="auto"/>
              <w:jc w:val="center"/>
              <w:rPr>
                <w:color w:val="auto"/>
                <w:highlight w:val="none"/>
              </w:rPr>
            </w:pPr>
            <w:r>
              <w:rPr>
                <w:rFonts w:hint="eastAsia"/>
                <w:color w:val="auto"/>
                <w:highlight w:val="none"/>
              </w:rPr>
              <w:t>3</w:t>
            </w:r>
          </w:p>
        </w:tc>
        <w:tc>
          <w:tcPr>
            <w:tcW w:w="2332" w:type="dxa"/>
            <w:vAlign w:val="center"/>
          </w:tcPr>
          <w:p>
            <w:pPr>
              <w:snapToGrid w:val="0"/>
              <w:spacing w:before="50" w:after="50" w:line="400" w:lineRule="exact"/>
              <w:jc w:val="center"/>
              <w:rPr>
                <w:rFonts w:cs="Tahoma"/>
                <w:color w:val="auto"/>
                <w:highlight w:val="none"/>
              </w:rPr>
            </w:pPr>
            <w:r>
              <w:rPr>
                <w:rFonts w:hint="eastAsia" w:cs="Tahoma"/>
                <w:color w:val="auto"/>
                <w:highlight w:val="none"/>
              </w:rPr>
              <w:t>外墙清洗</w:t>
            </w:r>
          </w:p>
        </w:tc>
        <w:tc>
          <w:tcPr>
            <w:tcW w:w="716" w:type="dxa"/>
            <w:vAlign w:val="center"/>
          </w:tcPr>
          <w:p>
            <w:pPr>
              <w:spacing w:line="360" w:lineRule="auto"/>
              <w:jc w:val="center"/>
              <w:rPr>
                <w:color w:val="auto"/>
                <w:highlight w:val="none"/>
              </w:rPr>
            </w:pPr>
            <w:r>
              <w:rPr>
                <w:rFonts w:hint="eastAsia"/>
                <w:color w:val="auto"/>
                <w:highlight w:val="none"/>
              </w:rPr>
              <w:t>三年</w:t>
            </w:r>
          </w:p>
        </w:tc>
        <w:tc>
          <w:tcPr>
            <w:tcW w:w="2244" w:type="dxa"/>
            <w:vAlign w:val="center"/>
          </w:tcPr>
          <w:p>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元/次</w:t>
            </w:r>
          </w:p>
        </w:tc>
        <w:tc>
          <w:tcPr>
            <w:tcW w:w="1231" w:type="dxa"/>
            <w:vAlign w:val="center"/>
          </w:tcPr>
          <w:p>
            <w:pPr>
              <w:spacing w:line="360" w:lineRule="auto"/>
              <w:jc w:val="center"/>
              <w:rPr>
                <w:color w:val="auto"/>
                <w:highlight w:val="none"/>
              </w:rPr>
            </w:pPr>
          </w:p>
        </w:tc>
        <w:tc>
          <w:tcPr>
            <w:tcW w:w="1231" w:type="dxa"/>
            <w:vAlign w:val="center"/>
          </w:tcPr>
          <w:p>
            <w:pPr>
              <w:spacing w:line="360" w:lineRule="auto"/>
              <w:jc w:val="center"/>
              <w:rPr>
                <w:color w:val="auto"/>
                <w:highlight w:val="none"/>
              </w:rPr>
            </w:pPr>
            <w:r>
              <w:rPr>
                <w:rFonts w:hint="eastAsia"/>
                <w:color w:val="auto"/>
                <w:highlight w:val="none"/>
              </w:rPr>
              <w:t>两次/年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8539" w:type="dxa"/>
            <w:gridSpan w:val="6"/>
            <w:vAlign w:val="center"/>
          </w:tcPr>
          <w:p>
            <w:pPr>
              <w:spacing w:line="360" w:lineRule="auto"/>
              <w:jc w:val="left"/>
              <w:rPr>
                <w:b/>
                <w:bCs/>
                <w:color w:val="auto"/>
                <w:highlight w:val="none"/>
              </w:rPr>
            </w:pPr>
            <w:r>
              <w:rPr>
                <w:rFonts w:hint="eastAsia"/>
                <w:b/>
                <w:bCs/>
                <w:color w:val="auto"/>
                <w:highlight w:val="none"/>
              </w:rPr>
              <w:t>报价合计：大写：</w:t>
            </w:r>
          </w:p>
          <w:p>
            <w:pPr>
              <w:spacing w:line="360" w:lineRule="auto"/>
              <w:jc w:val="left"/>
              <w:rPr>
                <w:color w:val="auto"/>
                <w:highlight w:val="none"/>
              </w:rPr>
            </w:pPr>
            <w:r>
              <w:rPr>
                <w:rFonts w:hint="eastAsia"/>
                <w:b/>
                <w:bCs/>
                <w:color w:val="auto"/>
                <w:highlight w:val="none"/>
              </w:rPr>
              <w:t>小写：</w:t>
            </w:r>
          </w:p>
        </w:tc>
      </w:tr>
    </w:tbl>
    <w:p>
      <w:pPr>
        <w:spacing w:line="360" w:lineRule="auto"/>
        <w:ind w:left="435"/>
        <w:rPr>
          <w:rFonts w:ascii="宋体" w:hAnsi="宋体"/>
          <w:b/>
          <w:bCs/>
          <w:color w:val="auto"/>
          <w:szCs w:val="21"/>
          <w:highlight w:val="none"/>
        </w:rPr>
      </w:pPr>
      <w:r>
        <w:rPr>
          <w:rFonts w:hint="eastAsia" w:ascii="宋体" w:hAnsi="宋体"/>
          <w:b/>
          <w:bCs/>
          <w:color w:val="auto"/>
          <w:szCs w:val="21"/>
          <w:highlight w:val="none"/>
        </w:rPr>
        <w:t>注：</w:t>
      </w:r>
    </w:p>
    <w:p>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left="435"/>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left="435"/>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pStyle w:val="2"/>
        <w:rPr>
          <w:color w:val="auto"/>
          <w:highlight w:val="none"/>
        </w:rPr>
      </w:pPr>
    </w:p>
    <w:p>
      <w:pPr>
        <w:pStyle w:val="3"/>
        <w:ind w:firstLine="210"/>
        <w:rPr>
          <w:color w:val="auto"/>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rPr>
          <w:color w:val="auto"/>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宋体" w:hAnsi="宋体"/>
          <w:b/>
          <w:color w:val="auto"/>
          <w:sz w:val="32"/>
          <w:szCs w:val="32"/>
          <w:highlight w:val="none"/>
        </w:rPr>
      </w:pPr>
      <w:r>
        <w:rPr>
          <w:rFonts w:hint="eastAsia" w:ascii="宋体" w:hAnsi="宋体"/>
          <w:b/>
          <w:color w:val="auto"/>
          <w:sz w:val="28"/>
          <w:highlight w:val="none"/>
        </w:rPr>
        <w:t>附件19</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在不增加工作装备及面积的情况下，仅增加人员的投标单价</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（下表仅填百分比，不得出现实际金额）</w:t>
      </w:r>
    </w:p>
    <w:p>
      <w:pPr>
        <w:pStyle w:val="12"/>
        <w:spacing w:line="360" w:lineRule="auto"/>
        <w:rPr>
          <w:rFonts w:hAnsi="宋体"/>
          <w:b/>
          <w:color w:val="auto"/>
          <w:szCs w:val="21"/>
          <w:highlight w:val="none"/>
        </w:rPr>
      </w:pPr>
    </w:p>
    <w:p>
      <w:pPr>
        <w:pStyle w:val="12"/>
        <w:spacing w:line="360" w:lineRule="auto"/>
        <w:rPr>
          <w:rFonts w:hAnsi="宋体"/>
          <w:b/>
          <w:color w:val="auto"/>
          <w:szCs w:val="21"/>
          <w:highlight w:val="none"/>
        </w:rPr>
      </w:pPr>
      <w:r>
        <w:rPr>
          <w:rFonts w:hint="eastAsia" w:hAnsi="宋体"/>
          <w:b/>
          <w:color w:val="auto"/>
          <w:szCs w:val="21"/>
          <w:highlight w:val="none"/>
        </w:rPr>
        <w:t>项目编号：</w:t>
      </w:r>
    </w:p>
    <w:p>
      <w:pPr>
        <w:autoSpaceDE w:val="0"/>
        <w:autoSpaceDN w:val="0"/>
        <w:adjustRightInd w:val="0"/>
        <w:spacing w:line="360" w:lineRule="auto"/>
        <w:rPr>
          <w:rFonts w:ascii="宋体" w:hAnsi="宋体"/>
          <w:color w:val="auto"/>
          <w:szCs w:val="21"/>
          <w:highlight w:val="none"/>
          <w:lang w:val="zh-CN"/>
        </w:rPr>
      </w:pPr>
      <w:r>
        <w:rPr>
          <w:rFonts w:hint="eastAsia" w:hAnsi="宋体"/>
          <w:b/>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货币单位：人民币元</w:t>
      </w:r>
      <w:r>
        <w:rPr>
          <w:rFonts w:ascii="宋体" w:hAnsi="宋体"/>
          <w:color w:val="auto"/>
          <w:szCs w:val="21"/>
          <w:highlight w:val="none"/>
        </w:rPr>
        <w:t>]</w:t>
      </w:r>
      <w:r>
        <w:rPr>
          <w:rFonts w:ascii="宋体" w:hAnsi="宋体"/>
          <w:color w:val="auto"/>
          <w:sz w:val="24"/>
          <w:highlight w:val="none"/>
        </w:rPr>
        <w:t xml:space="preserve">      </w:t>
      </w:r>
      <w:r>
        <w:rPr>
          <w:rFonts w:hint="eastAsia" w:ascii="宋体" w:hAnsi="宋体"/>
          <w:color w:val="auto"/>
          <w:szCs w:val="21"/>
          <w:highlight w:val="non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5045"/>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634"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50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投标单价</w:t>
            </w:r>
          </w:p>
        </w:tc>
        <w:tc>
          <w:tcPr>
            <w:tcW w:w="999" w:type="dxa"/>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1634"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后勤家政服务项目</w:t>
            </w:r>
          </w:p>
        </w:tc>
        <w:tc>
          <w:tcPr>
            <w:tcW w:w="5045" w:type="dxa"/>
            <w:vAlign w:val="center"/>
          </w:tcPr>
          <w:p>
            <w:pPr>
              <w:spacing w:line="360" w:lineRule="auto"/>
              <w:ind w:firstLine="310" w:firstLineChars="148"/>
              <w:rPr>
                <w:rFonts w:ascii="宋体" w:hAnsi="宋体"/>
                <w:color w:val="auto"/>
                <w:szCs w:val="21"/>
                <w:highlight w:val="none"/>
              </w:rPr>
            </w:pPr>
            <w:r>
              <w:rPr>
                <w:rFonts w:hint="eastAsia" w:ascii="宋体" w:hAnsi="宋体"/>
                <w:color w:val="auto"/>
                <w:szCs w:val="21"/>
                <w:highlight w:val="none"/>
              </w:rPr>
              <w:t xml:space="preserve">本公司商务报价开标一览表中投标价除去报价明细中一年度打蜡和外墙清洗总费用后单个工作人员费用的  </w:t>
            </w:r>
            <w:r>
              <w:rPr>
                <w:rFonts w:hint="eastAsia" w:ascii="宋体" w:hAnsi="宋体"/>
                <w:color w:val="auto"/>
                <w:szCs w:val="21"/>
                <w:highlight w:val="none"/>
                <w:u w:val="single"/>
              </w:rPr>
              <w:t xml:space="preserve">          %</w:t>
            </w:r>
          </w:p>
        </w:tc>
        <w:tc>
          <w:tcPr>
            <w:tcW w:w="999" w:type="dxa"/>
            <w:vAlign w:val="center"/>
          </w:tcPr>
          <w:p>
            <w:pPr>
              <w:spacing w:line="360" w:lineRule="auto"/>
              <w:ind w:firstLine="1155" w:firstLineChars="550"/>
              <w:jc w:val="center"/>
              <w:rPr>
                <w:rFonts w:ascii="宋体" w:hAnsi="宋体"/>
                <w:color w:val="auto"/>
                <w:szCs w:val="21"/>
                <w:highlight w:val="none"/>
              </w:rPr>
            </w:pPr>
          </w:p>
        </w:tc>
      </w:tr>
    </w:tbl>
    <w:p>
      <w:pPr>
        <w:spacing w:line="360" w:lineRule="auto"/>
        <w:jc w:val="center"/>
        <w:rPr>
          <w:rFonts w:ascii="宋体" w:hAnsi="宋体"/>
          <w:color w:val="auto"/>
          <w:szCs w:val="21"/>
          <w:highlight w:val="none"/>
        </w:rPr>
      </w:pPr>
    </w:p>
    <w:p>
      <w:pPr>
        <w:pStyle w:val="12"/>
        <w:adjustRightInd w:val="0"/>
        <w:snapToGrid w:val="0"/>
        <w:spacing w:line="360" w:lineRule="auto"/>
        <w:ind w:firstLine="388" w:firstLineChars="185"/>
        <w:rPr>
          <w:rFonts w:hAnsi="宋体"/>
          <w:color w:val="auto"/>
          <w:szCs w:val="21"/>
          <w:highlight w:val="none"/>
        </w:rPr>
      </w:pPr>
      <w:r>
        <w:rPr>
          <w:rFonts w:hint="eastAsia" w:hAnsi="宋体"/>
          <w:color w:val="auto"/>
          <w:szCs w:val="21"/>
          <w:highlight w:val="none"/>
        </w:rPr>
        <w:t>注：本表格中投标单价为在不增加工作装备的情况下，仅增加人员的投标单价。</w:t>
      </w:r>
    </w:p>
    <w:p>
      <w:pPr>
        <w:spacing w:line="400" w:lineRule="exact"/>
        <w:jc w:val="center"/>
        <w:rPr>
          <w:rFonts w:ascii="宋体" w:hAnsi="宋体"/>
          <w:b/>
          <w:color w:val="auto"/>
          <w:sz w:val="28"/>
          <w:highlight w:val="none"/>
        </w:rPr>
      </w:pPr>
    </w:p>
    <w:p>
      <w:pPr>
        <w:pStyle w:val="2"/>
        <w:rPr>
          <w:rFonts w:ascii="宋体" w:hAnsi="宋体"/>
          <w:b/>
          <w:color w:val="auto"/>
          <w:sz w:val="28"/>
          <w:highlight w:val="none"/>
        </w:rPr>
      </w:pPr>
    </w:p>
    <w:p>
      <w:pPr>
        <w:spacing w:line="360" w:lineRule="auto"/>
        <w:ind w:left="420"/>
        <w:rPr>
          <w:rFonts w:ascii="宋体"/>
          <w:color w:val="auto"/>
          <w:szCs w:val="21"/>
          <w:highlight w:val="none"/>
          <w:u w:val="single"/>
        </w:rPr>
      </w:pPr>
      <w:r>
        <w:rPr>
          <w:rFonts w:hint="eastAsia" w:ascii="宋体" w:hAnsi="宋体"/>
          <w:color w:val="auto"/>
          <w:szCs w:val="21"/>
          <w:highlight w:val="none"/>
        </w:rPr>
        <w:t>投标人名称（盖章）：</w:t>
      </w:r>
    </w:p>
    <w:p>
      <w:pPr>
        <w:spacing w:line="360" w:lineRule="auto"/>
        <w:ind w:left="420"/>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法定代表人或授权委托代理人（签字或盖章）：</w:t>
      </w:r>
    </w:p>
    <w:p>
      <w:pPr>
        <w:spacing w:line="360" w:lineRule="auto"/>
        <w:rPr>
          <w:rFonts w:ascii="宋体"/>
          <w:color w:val="auto"/>
          <w:szCs w:val="21"/>
          <w:highlight w:val="none"/>
        </w:rPr>
      </w:pPr>
    </w:p>
    <w:p>
      <w:pPr>
        <w:spacing w:line="360" w:lineRule="auto"/>
        <w:ind w:firstLine="435"/>
        <w:rPr>
          <w:rFonts w:ascii="宋体"/>
          <w:color w:val="auto"/>
          <w:szCs w:val="21"/>
          <w:highlight w:val="none"/>
        </w:rPr>
      </w:pPr>
      <w:r>
        <w:rPr>
          <w:rFonts w:hint="eastAsia" w:ascii="宋体" w:hAnsi="宋体"/>
          <w:color w:val="auto"/>
          <w:szCs w:val="21"/>
          <w:highlight w:val="none"/>
        </w:rPr>
        <w:t>日期：</w:t>
      </w:r>
    </w:p>
    <w:p>
      <w:pPr>
        <w:pStyle w:val="3"/>
        <w:ind w:firstLine="210"/>
        <w:rPr>
          <w:color w:val="auto"/>
          <w:highlight w:val="none"/>
        </w:rPr>
        <w:sectPr>
          <w:pgSz w:w="11906" w:h="16838"/>
          <w:pgMar w:top="1440" w:right="1800" w:bottom="1440" w:left="1800" w:header="851" w:footer="992" w:gutter="0"/>
          <w:cols w:space="425" w:num="1"/>
          <w:docGrid w:type="lines" w:linePitch="312" w:charSpace="0"/>
        </w:sectPr>
      </w:pPr>
    </w:p>
    <w:p>
      <w:pPr>
        <w:spacing w:line="400" w:lineRule="exact"/>
        <w:rPr>
          <w:rFonts w:ascii="仿宋_GB2312" w:hAnsi="宋体"/>
          <w:bCs/>
          <w:color w:val="auto"/>
          <w:sz w:val="30"/>
          <w:szCs w:val="30"/>
          <w:highlight w:val="none"/>
        </w:rPr>
      </w:pPr>
      <w:r>
        <w:rPr>
          <w:rFonts w:hint="eastAsia" w:ascii="宋体" w:hAnsi="宋体"/>
          <w:b/>
          <w:color w:val="auto"/>
          <w:sz w:val="28"/>
          <w:highlight w:val="none"/>
        </w:rPr>
        <w:t>附件20</w:t>
      </w:r>
    </w:p>
    <w:p>
      <w:pPr>
        <w:spacing w:line="400" w:lineRule="exact"/>
        <w:jc w:val="center"/>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pPr>
        <w:pStyle w:val="2"/>
        <w:spacing w:before="5"/>
        <w:rPr>
          <w:rFonts w:ascii="宋体"/>
          <w:b/>
          <w:color w:val="auto"/>
          <w:sz w:val="18"/>
          <w:szCs w:val="18"/>
          <w:highlight w:val="none"/>
        </w:rPr>
      </w:pPr>
    </w:p>
    <w:p>
      <w:pPr>
        <w:pStyle w:val="2"/>
        <w:autoSpaceDE w:val="0"/>
        <w:autoSpaceDN w:val="0"/>
        <w:spacing w:line="360" w:lineRule="auto"/>
        <w:ind w:right="-54" w:firstLine="420" w:firstLineChars="200"/>
        <w:rPr>
          <w:rFonts w:ascii="宋体"/>
          <w:color w:val="auto"/>
          <w:szCs w:val="21"/>
          <w:highlight w:val="none"/>
          <w:lang w:val="zh-CN"/>
        </w:rPr>
      </w:pPr>
      <w:r>
        <w:rPr>
          <w:rFonts w:hint="eastAsia" w:ascii="宋体"/>
          <w:color w:val="auto"/>
          <w:szCs w:val="21"/>
          <w:highlight w:val="none"/>
          <w:lang w:val="zh-CN"/>
        </w:rPr>
        <w:t>本公司（联合体）郑重声明，根据《政府采购促进中小企业发展管理办法》（财库﹝2020﹞46号）的规定，本公司（联合体）参加</w:t>
      </w:r>
      <w:r>
        <w:rPr>
          <w:rFonts w:hAnsiTheme="minorEastAsia" w:eastAsiaTheme="minorEastAsia"/>
          <w:iCs/>
          <w:color w:val="auto"/>
          <w:szCs w:val="21"/>
          <w:highlight w:val="none"/>
          <w:u w:val="single"/>
        </w:rPr>
        <w:t>（单位名称）</w:t>
      </w:r>
      <w:r>
        <w:rPr>
          <w:rFonts w:hAnsiTheme="minorEastAsia" w:eastAsiaTheme="minorEastAsia"/>
          <w:color w:val="auto"/>
          <w:szCs w:val="21"/>
          <w:highlight w:val="none"/>
        </w:rPr>
        <w:t>的</w:t>
      </w:r>
      <w:r>
        <w:rPr>
          <w:rFonts w:hAnsiTheme="minorEastAsia" w:eastAsiaTheme="minorEastAsia"/>
          <w:iCs/>
          <w:color w:val="auto"/>
          <w:szCs w:val="21"/>
          <w:highlight w:val="none"/>
          <w:u w:val="single"/>
        </w:rPr>
        <w:t>（项目名称）</w:t>
      </w:r>
      <w:r>
        <w:rPr>
          <w:rFonts w:hAnsiTheme="minorEastAsia" w:eastAsiaTheme="minorEastAsia"/>
          <w:color w:val="auto"/>
          <w:szCs w:val="21"/>
          <w:highlight w:val="none"/>
        </w:rPr>
        <w:t>采购活动，</w:t>
      </w:r>
      <w:r>
        <w:rPr>
          <w:rFonts w:hint="eastAsia" w:ascii="宋体"/>
          <w:color w:val="auto"/>
          <w:szCs w:val="21"/>
          <w:highlight w:val="none"/>
          <w:lang w:val="zh-CN"/>
        </w:rPr>
        <w:t>服务全部由符合政策要求的中小企业承接。相关企业（含联合体中的中小企业、签订分包意向协议的中小企业）的具体情况如下：</w:t>
      </w:r>
    </w:p>
    <w:p>
      <w:pPr>
        <w:pStyle w:val="2"/>
        <w:autoSpaceDE w:val="0"/>
        <w:autoSpaceDN w:val="0"/>
        <w:spacing w:line="360" w:lineRule="auto"/>
        <w:ind w:right="-54" w:firstLine="402" w:firstLineChars="200"/>
        <w:rPr>
          <w:rFonts w:asciiTheme="minorEastAsia" w:hAnsiTheme="minorEastAsia" w:eastAsiaTheme="minorEastAsia" w:cstheme="minorEastAsia"/>
          <w:iCs/>
          <w:color w:val="auto"/>
          <w:w w:val="99"/>
          <w:szCs w:val="21"/>
          <w:highlight w:val="none"/>
        </w:rPr>
      </w:pPr>
      <w:r>
        <w:rPr>
          <w:rFonts w:hint="eastAsia" w:asciiTheme="minorEastAsia" w:hAnsiTheme="minorEastAsia" w:eastAsiaTheme="minorEastAsia" w:cstheme="minorEastAsia"/>
          <w:iCs/>
          <w:color w:val="auto"/>
          <w:w w:val="96"/>
          <w:szCs w:val="21"/>
          <w:highlight w:val="none"/>
        </w:rPr>
        <w:t>一、</w:t>
      </w:r>
      <w:r>
        <w:rPr>
          <w:rFonts w:hint="eastAsia" w:asciiTheme="minorEastAsia" w:hAnsiTheme="minorEastAsia" w:eastAsiaTheme="minorEastAsia" w:cstheme="minorEastAsia"/>
          <w:iCs/>
          <w:color w:val="auto"/>
          <w:w w:val="96"/>
          <w:szCs w:val="21"/>
          <w:highlight w:val="none"/>
          <w:u w:val="single"/>
        </w:rPr>
        <w:t>（标的名称）</w:t>
      </w:r>
      <w:r>
        <w:rPr>
          <w:rFonts w:hint="eastAsia" w:asciiTheme="minorEastAsia" w:hAnsiTheme="minorEastAsia" w:eastAsiaTheme="minorEastAsia" w:cstheme="minorEastAsia"/>
          <w:color w:val="auto"/>
          <w:w w:val="99"/>
          <w:szCs w:val="21"/>
          <w:highlight w:val="none"/>
        </w:rPr>
        <w:t>，属于</w:t>
      </w:r>
      <w:r>
        <w:rPr>
          <w:rFonts w:hint="eastAsia" w:asciiTheme="minorEastAsia" w:hAnsiTheme="minorEastAsia" w:eastAsiaTheme="minorEastAsia" w:cstheme="minorEastAsia"/>
          <w:iCs/>
          <w:color w:val="auto"/>
          <w:w w:val="96"/>
          <w:szCs w:val="21"/>
          <w:highlight w:val="none"/>
        </w:rPr>
        <w:t>（</w:t>
      </w:r>
      <w:r>
        <w:rPr>
          <w:rFonts w:hint="eastAsia" w:asciiTheme="minorEastAsia" w:hAnsiTheme="minorEastAsia" w:eastAsiaTheme="minorEastAsia" w:cstheme="minorEastAsia"/>
          <w:iCs/>
          <w:color w:val="auto"/>
          <w:w w:val="96"/>
          <w:szCs w:val="21"/>
          <w:highlight w:val="none"/>
          <w:u w:val="single"/>
        </w:rPr>
        <w:t>采购文件中明确的所属行业）</w:t>
      </w:r>
      <w:r>
        <w:rPr>
          <w:rFonts w:hint="eastAsia" w:asciiTheme="minorEastAsia" w:hAnsiTheme="minorEastAsia" w:eastAsiaTheme="minorEastAsia" w:cstheme="minorEastAsia"/>
          <w:color w:val="auto"/>
          <w:w w:val="99"/>
          <w:szCs w:val="21"/>
          <w:highlight w:val="none"/>
        </w:rPr>
        <w:t>；承建（承接）企业为</w:t>
      </w:r>
      <w:r>
        <w:rPr>
          <w:rFonts w:hint="eastAsia" w:asciiTheme="minorEastAsia" w:hAnsiTheme="minorEastAsia" w:eastAsiaTheme="minorEastAsia" w:cstheme="minorEastAsia"/>
          <w:iCs/>
          <w:color w:val="auto"/>
          <w:w w:val="96"/>
          <w:szCs w:val="21"/>
          <w:highlight w:val="none"/>
          <w:u w:val="single"/>
        </w:rPr>
        <w:t>（企业名称）</w:t>
      </w:r>
      <w:r>
        <w:rPr>
          <w:rFonts w:hint="eastAsia" w:asciiTheme="minorEastAsia" w:hAnsiTheme="minorEastAsia" w:eastAsiaTheme="minorEastAsia" w:cstheme="minorEastAsia"/>
          <w:color w:val="auto"/>
          <w:w w:val="99"/>
          <w:szCs w:val="21"/>
          <w:highlight w:val="none"/>
        </w:rPr>
        <w:t>，从业人员</w:t>
      </w:r>
      <w:r>
        <w:rPr>
          <w:rFonts w:hint="eastAsia" w:asciiTheme="minorEastAsia" w:hAnsiTheme="minorEastAsia" w:eastAsiaTheme="minorEastAsia" w:cstheme="minorEastAsia"/>
          <w:color w:val="auto"/>
          <w:w w:val="99"/>
          <w:szCs w:val="21"/>
          <w:highlight w:val="none"/>
          <w:u w:val="single"/>
        </w:rPr>
        <w:t xml:space="preserve">  </w:t>
      </w:r>
      <w:r>
        <w:rPr>
          <w:rFonts w:hint="eastAsia" w:asciiTheme="minorEastAsia" w:hAnsiTheme="minorEastAsia" w:eastAsiaTheme="minorEastAsia" w:cstheme="minorEastAsia"/>
          <w:color w:val="auto"/>
          <w:w w:val="99"/>
          <w:szCs w:val="21"/>
          <w:highlight w:val="none"/>
        </w:rPr>
        <w:t>人，营业</w:t>
      </w:r>
      <w:r>
        <w:rPr>
          <w:rFonts w:hint="eastAsia" w:asciiTheme="minorEastAsia" w:hAnsiTheme="minorEastAsia" w:eastAsiaTheme="minorEastAsia" w:cstheme="minorEastAsia"/>
          <w:color w:val="auto"/>
          <w:szCs w:val="21"/>
          <w:highlight w:val="none"/>
        </w:rPr>
        <w:t>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ab/>
      </w:r>
      <w:r>
        <w:rPr>
          <w:rFonts w:hint="eastAsia" w:asciiTheme="minorEastAsia" w:hAnsiTheme="minorEastAsia" w:eastAsiaTheme="minorEastAsia" w:cstheme="minorEastAsia"/>
          <w:color w:val="auto"/>
          <w:szCs w:val="21"/>
          <w:highlight w:val="none"/>
        </w:rPr>
        <w:t>万元</w:t>
      </w:r>
      <w:r>
        <w:rPr>
          <w:rFonts w:hint="eastAsia" w:asciiTheme="minorEastAsia" w:hAnsiTheme="minorEastAsia" w:eastAsiaTheme="minorEastAsia" w:cstheme="minorEastAsia"/>
          <w:color w:val="auto"/>
          <w:szCs w:val="21"/>
          <w:highlight w:val="none"/>
          <w:vertAlign w:val="superscript"/>
        </w:rPr>
        <w:t>1</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iCs/>
          <w:color w:val="auto"/>
          <w:szCs w:val="21"/>
          <w:highlight w:val="none"/>
          <w:u w:val="single"/>
        </w:rPr>
        <w:t>（中型企业、</w:t>
      </w:r>
      <w:r>
        <w:rPr>
          <w:rFonts w:hint="eastAsia" w:asciiTheme="minorEastAsia" w:hAnsiTheme="minorEastAsia" w:eastAsiaTheme="minorEastAsia" w:cstheme="minorEastAsia"/>
          <w:iCs/>
          <w:color w:val="auto"/>
          <w:w w:val="96"/>
          <w:szCs w:val="21"/>
          <w:highlight w:val="none"/>
          <w:u w:val="single"/>
        </w:rPr>
        <w:t>小型企业、微型企业）</w:t>
      </w:r>
      <w:r>
        <w:rPr>
          <w:rFonts w:hint="eastAsia" w:asciiTheme="minorEastAsia" w:hAnsiTheme="minorEastAsia" w:eastAsiaTheme="minorEastAsia" w:cstheme="minorEastAsia"/>
          <w:iCs/>
          <w:color w:val="auto"/>
          <w:w w:val="99"/>
          <w:szCs w:val="21"/>
          <w:highlight w:val="none"/>
        </w:rPr>
        <w:t>；</w:t>
      </w:r>
    </w:p>
    <w:p>
      <w:pPr>
        <w:pStyle w:val="2"/>
        <w:autoSpaceDE w:val="0"/>
        <w:autoSpaceDN w:val="0"/>
        <w:spacing w:line="360" w:lineRule="auto"/>
        <w:ind w:right="-54" w:firstLine="402" w:firstLineChars="200"/>
        <w:rPr>
          <w:rFonts w:eastAsiaTheme="minorEastAsia"/>
          <w:iCs/>
          <w:color w:val="auto"/>
          <w:w w:val="99"/>
          <w:szCs w:val="21"/>
          <w:highlight w:val="none"/>
        </w:rPr>
      </w:pPr>
      <w:r>
        <w:rPr>
          <w:rFonts w:hint="eastAsia" w:eastAsiaTheme="minorEastAsia"/>
          <w:iCs/>
          <w:color w:val="auto"/>
          <w:w w:val="96"/>
          <w:szCs w:val="21"/>
          <w:highlight w:val="none"/>
        </w:rPr>
        <w:t>二、</w:t>
      </w:r>
      <w:r>
        <w:rPr>
          <w:rFonts w:hAnsiTheme="minorEastAsia" w:eastAsiaTheme="minorEastAsia"/>
          <w:iCs/>
          <w:color w:val="auto"/>
          <w:w w:val="96"/>
          <w:szCs w:val="21"/>
          <w:highlight w:val="none"/>
          <w:u w:val="single"/>
        </w:rPr>
        <w:t>（标的名称）</w:t>
      </w:r>
      <w:r>
        <w:rPr>
          <w:rFonts w:hAnsiTheme="minorEastAsia" w:eastAsiaTheme="minorEastAsia"/>
          <w:color w:val="auto"/>
          <w:w w:val="99"/>
          <w:szCs w:val="21"/>
          <w:highlight w:val="none"/>
        </w:rPr>
        <w:t>，属于</w:t>
      </w:r>
      <w:r>
        <w:rPr>
          <w:rFonts w:hAnsiTheme="minorEastAsia" w:eastAsiaTheme="minorEastAsia"/>
          <w:iCs/>
          <w:color w:val="auto"/>
          <w:w w:val="96"/>
          <w:szCs w:val="21"/>
          <w:highlight w:val="none"/>
        </w:rPr>
        <w:t>（</w:t>
      </w:r>
      <w:r>
        <w:rPr>
          <w:rFonts w:hAnsiTheme="minorEastAsia" w:eastAsiaTheme="minorEastAsia"/>
          <w:iCs/>
          <w:color w:val="auto"/>
          <w:w w:val="96"/>
          <w:szCs w:val="21"/>
          <w:highlight w:val="none"/>
          <w:u w:val="single"/>
        </w:rPr>
        <w:t>采购文件中明确的所属行业）</w:t>
      </w:r>
      <w:r>
        <w:rPr>
          <w:rFonts w:hAnsiTheme="minorEastAsia" w:eastAsiaTheme="minorEastAsia"/>
          <w:color w:val="auto"/>
          <w:w w:val="99"/>
          <w:szCs w:val="21"/>
          <w:highlight w:val="none"/>
        </w:rPr>
        <w:t>；承建（承接）企业为</w:t>
      </w:r>
      <w:r>
        <w:rPr>
          <w:rFonts w:hAnsiTheme="minorEastAsia" w:eastAsiaTheme="minorEastAsia"/>
          <w:iCs/>
          <w:color w:val="auto"/>
          <w:w w:val="96"/>
          <w:szCs w:val="21"/>
          <w:highlight w:val="none"/>
          <w:u w:val="single"/>
        </w:rPr>
        <w:t>（企业名称）</w:t>
      </w:r>
      <w:r>
        <w:rPr>
          <w:rFonts w:hAnsiTheme="minorEastAsia" w:eastAsiaTheme="minorEastAsia"/>
          <w:color w:val="auto"/>
          <w:w w:val="99"/>
          <w:szCs w:val="21"/>
          <w:highlight w:val="none"/>
        </w:rPr>
        <w:t>，从业人员</w:t>
      </w:r>
      <w:r>
        <w:rPr>
          <w:rFonts w:eastAsiaTheme="minorEastAsia"/>
          <w:color w:val="auto"/>
          <w:w w:val="99"/>
          <w:szCs w:val="21"/>
          <w:highlight w:val="none"/>
          <w:u w:val="single"/>
        </w:rPr>
        <w:t xml:space="preserve">  </w:t>
      </w:r>
      <w:r>
        <w:rPr>
          <w:rFonts w:hAnsiTheme="minorEastAsia" w:eastAsiaTheme="minorEastAsia"/>
          <w:color w:val="auto"/>
          <w:w w:val="99"/>
          <w:szCs w:val="21"/>
          <w:highlight w:val="none"/>
        </w:rPr>
        <w:t>人，营业</w:t>
      </w:r>
      <w:r>
        <w:rPr>
          <w:rFonts w:hAnsiTheme="minorEastAsia" w:eastAsiaTheme="minorEastAsia"/>
          <w:color w:val="auto"/>
          <w:szCs w:val="21"/>
          <w:highlight w:val="none"/>
        </w:rPr>
        <w:t>收入为</w:t>
      </w:r>
      <w:r>
        <w:rPr>
          <w:rFonts w:eastAsiaTheme="minorEastAsia"/>
          <w:color w:val="auto"/>
          <w:szCs w:val="21"/>
          <w:highlight w:val="none"/>
          <w:u w:val="single"/>
        </w:rPr>
        <w:t xml:space="preserve">  </w:t>
      </w:r>
      <w:r>
        <w:rPr>
          <w:rFonts w:hAnsiTheme="minorEastAsia" w:eastAsiaTheme="minorEastAsia"/>
          <w:color w:val="auto"/>
          <w:szCs w:val="21"/>
          <w:highlight w:val="none"/>
        </w:rPr>
        <w:t>万元，资产总额为</w:t>
      </w:r>
      <w:r>
        <w:rPr>
          <w:rFonts w:eastAsiaTheme="minorEastAsia"/>
          <w:color w:val="auto"/>
          <w:szCs w:val="21"/>
          <w:highlight w:val="none"/>
          <w:u w:val="single"/>
        </w:rPr>
        <w:t xml:space="preserve">  </w:t>
      </w:r>
      <w:r>
        <w:rPr>
          <w:rFonts w:hAnsiTheme="minorEastAsia" w:eastAsiaTheme="minorEastAsia"/>
          <w:color w:val="auto"/>
          <w:szCs w:val="21"/>
          <w:highlight w:val="none"/>
        </w:rPr>
        <w:t>万元，属于</w:t>
      </w:r>
      <w:r>
        <w:rPr>
          <w:rFonts w:hAnsiTheme="minorEastAsia" w:eastAsiaTheme="minorEastAsia"/>
          <w:iCs/>
          <w:color w:val="auto"/>
          <w:szCs w:val="21"/>
          <w:highlight w:val="none"/>
          <w:u w:val="single"/>
        </w:rPr>
        <w:t>（中型企业、</w:t>
      </w:r>
      <w:r>
        <w:rPr>
          <w:rFonts w:hAnsiTheme="minorEastAsia" w:eastAsiaTheme="minorEastAsia"/>
          <w:iCs/>
          <w:color w:val="auto"/>
          <w:w w:val="96"/>
          <w:szCs w:val="21"/>
          <w:highlight w:val="none"/>
          <w:u w:val="single"/>
        </w:rPr>
        <w:t>小型企业、微型企业）</w:t>
      </w:r>
      <w:r>
        <w:rPr>
          <w:rFonts w:hAnsiTheme="minorEastAsia" w:eastAsiaTheme="minorEastAsia"/>
          <w:iCs/>
          <w:color w:val="auto"/>
          <w:w w:val="99"/>
          <w:szCs w:val="21"/>
          <w:highlight w:val="none"/>
        </w:rPr>
        <w:t>；</w:t>
      </w:r>
    </w:p>
    <w:p>
      <w:pPr>
        <w:pStyle w:val="2"/>
        <w:autoSpaceDE w:val="0"/>
        <w:autoSpaceDN w:val="0"/>
        <w:spacing w:line="360" w:lineRule="auto"/>
        <w:ind w:right="-54" w:firstLine="420" w:firstLineChars="200"/>
        <w:rPr>
          <w:rFonts w:eastAsiaTheme="minorEastAsia"/>
          <w:color w:val="auto"/>
          <w:szCs w:val="21"/>
          <w:highlight w:val="none"/>
        </w:rPr>
      </w:pPr>
      <w:r>
        <w:rPr>
          <w:rFonts w:eastAsiaTheme="minorEastAsia"/>
          <w:color w:val="auto"/>
          <w:szCs w:val="21"/>
          <w:highlight w:val="none"/>
        </w:rPr>
        <w:t>……</w:t>
      </w:r>
    </w:p>
    <w:p>
      <w:pPr>
        <w:pStyle w:val="2"/>
        <w:autoSpaceDE w:val="0"/>
        <w:autoSpaceDN w:val="0"/>
        <w:spacing w:line="360" w:lineRule="auto"/>
        <w:ind w:right="-54" w:firstLine="420" w:firstLineChars="200"/>
        <w:rPr>
          <w:rFonts w:eastAsiaTheme="minorEastAsia"/>
          <w:color w:val="auto"/>
          <w:szCs w:val="21"/>
          <w:highlight w:val="none"/>
        </w:rPr>
      </w:pPr>
      <w:r>
        <w:rPr>
          <w:rFonts w:hAnsiTheme="minorEastAsia" w:eastAsiaTheme="minorEastAsia"/>
          <w:color w:val="auto"/>
          <w:szCs w:val="21"/>
          <w:highlight w:val="none"/>
        </w:rPr>
        <w:t>以上企业，不属于大企业的分支机构，不存在控股股东为大企业的情形，也不存在与大企业的负责人为同一人的情形。</w:t>
      </w:r>
    </w:p>
    <w:p>
      <w:pPr>
        <w:pStyle w:val="2"/>
        <w:autoSpaceDE w:val="0"/>
        <w:autoSpaceDN w:val="0"/>
        <w:spacing w:line="360" w:lineRule="auto"/>
        <w:ind w:right="-54" w:firstLine="420" w:firstLineChars="200"/>
        <w:rPr>
          <w:rFonts w:eastAsiaTheme="minorEastAsia"/>
          <w:color w:val="auto"/>
          <w:szCs w:val="21"/>
          <w:highlight w:val="none"/>
        </w:rPr>
      </w:pPr>
      <w:r>
        <w:rPr>
          <w:rFonts w:hAnsiTheme="minorEastAsia" w:eastAsiaTheme="minorEastAsia"/>
          <w:color w:val="auto"/>
          <w:szCs w:val="21"/>
          <w:highlight w:val="none"/>
        </w:rPr>
        <w:t>本企业对上述声明内容的真实性负责。如有虚假，将依法承担相应责任。</w:t>
      </w:r>
    </w:p>
    <w:p>
      <w:pPr>
        <w:pStyle w:val="2"/>
        <w:autoSpaceDE w:val="0"/>
        <w:autoSpaceDN w:val="0"/>
        <w:spacing w:before="29" w:line="360" w:lineRule="auto"/>
        <w:ind w:left="4060" w:right="-54"/>
        <w:rPr>
          <w:rFonts w:eastAsiaTheme="minorEastAsia"/>
          <w:color w:val="auto"/>
          <w:w w:val="99"/>
          <w:szCs w:val="21"/>
          <w:highlight w:val="none"/>
        </w:rPr>
      </w:pPr>
    </w:p>
    <w:p>
      <w:pPr>
        <w:pStyle w:val="2"/>
        <w:autoSpaceDE w:val="0"/>
        <w:autoSpaceDN w:val="0"/>
        <w:spacing w:before="29" w:line="360" w:lineRule="auto"/>
        <w:ind w:left="4060" w:right="-54"/>
        <w:rPr>
          <w:rFonts w:eastAsiaTheme="minorEastAsia"/>
          <w:color w:val="auto"/>
          <w:w w:val="99"/>
          <w:szCs w:val="21"/>
          <w:highlight w:val="none"/>
        </w:rPr>
      </w:pPr>
    </w:p>
    <w:p>
      <w:pPr>
        <w:pStyle w:val="2"/>
        <w:autoSpaceDE w:val="0"/>
        <w:autoSpaceDN w:val="0"/>
        <w:spacing w:before="29" w:line="360" w:lineRule="auto"/>
        <w:ind w:right="-54" w:firstLine="3990" w:firstLineChars="1900"/>
        <w:rPr>
          <w:rFonts w:eastAsiaTheme="minorEastAsia"/>
          <w:color w:val="auto"/>
          <w:szCs w:val="21"/>
          <w:highlight w:val="none"/>
        </w:rPr>
      </w:pPr>
      <w:r>
        <w:rPr>
          <w:rFonts w:hAnsiTheme="minorEastAsia" w:eastAsiaTheme="minorEastAsia"/>
          <w:color w:val="auto"/>
          <w:szCs w:val="21"/>
          <w:highlight w:val="none"/>
        </w:rPr>
        <w:t>企业名称（盖章）：</w:t>
      </w:r>
    </w:p>
    <w:p>
      <w:pPr>
        <w:pStyle w:val="2"/>
        <w:autoSpaceDE w:val="0"/>
        <w:autoSpaceDN w:val="0"/>
        <w:spacing w:before="29" w:line="360" w:lineRule="auto"/>
        <w:ind w:right="-54" w:firstLine="3990" w:firstLineChars="1900"/>
        <w:rPr>
          <w:rFonts w:eastAsiaTheme="minorEastAsia"/>
          <w:color w:val="auto"/>
          <w:kern w:val="0"/>
          <w:szCs w:val="21"/>
          <w:highlight w:val="none"/>
        </w:rPr>
      </w:pPr>
      <w:r>
        <w:rPr>
          <w:rFonts w:hAnsiTheme="minorEastAsia" w:eastAsiaTheme="minorEastAsia"/>
          <w:color w:val="auto"/>
          <w:szCs w:val="21"/>
          <w:highlight w:val="none"/>
        </w:rPr>
        <w:t>日期：</w:t>
      </w:r>
    </w:p>
    <w:p>
      <w:pPr>
        <w:pStyle w:val="12"/>
        <w:spacing w:line="360" w:lineRule="auto"/>
        <w:rPr>
          <w:rFonts w:ascii="Times New Roman" w:hAnsi="Times New Roman"/>
          <w:b/>
          <w:color w:val="auto"/>
          <w:highlight w:val="none"/>
        </w:rPr>
      </w:pPr>
      <w:r>
        <w:rPr>
          <w:rFonts w:hint="eastAsia"/>
          <w:color w:val="auto"/>
          <w:szCs w:val="21"/>
          <w:highlight w:val="none"/>
        </w:rPr>
        <w:t>注：1、从业人员、营业收入、资产总额填报上一年度数据，无上一年度数据的新成立企业可不填报。</w:t>
      </w:r>
    </w:p>
    <w:p>
      <w:pPr>
        <w:pStyle w:val="49"/>
        <w:spacing w:line="360" w:lineRule="auto"/>
        <w:ind w:left="403"/>
        <w:rPr>
          <w:rFonts w:ascii="宋体" w:hAnsi="宋体" w:cs="宋体"/>
          <w:color w:val="auto"/>
          <w:spacing w:val="20"/>
          <w:kern w:val="0"/>
          <w:szCs w:val="21"/>
          <w:highlight w:val="none"/>
        </w:rPr>
      </w:pPr>
      <w:r>
        <w:rPr>
          <w:rFonts w:hint="eastAsia" w:ascii="宋体" w:hAnsi="Courier New" w:cstheme="minorBidi"/>
          <w:color w:val="auto"/>
          <w:szCs w:val="21"/>
          <w:highlight w:val="none"/>
        </w:rPr>
        <w:t>2、</w:t>
      </w:r>
      <w:r>
        <w:rPr>
          <w:rFonts w:hint="eastAsia" w:ascii="宋体" w:hAnsi="宋体" w:cs="宋体"/>
          <w:color w:val="auto"/>
          <w:spacing w:val="20"/>
          <w:kern w:val="0"/>
          <w:szCs w:val="21"/>
          <w:highlight w:val="none"/>
        </w:rPr>
        <w:t>投标人按各自参加投标的对应标包分别编制、分别成册、分别提交。</w:t>
      </w:r>
    </w:p>
    <w:p>
      <w:pPr>
        <w:pStyle w:val="12"/>
        <w:spacing w:line="360" w:lineRule="auto"/>
        <w:jc w:val="center"/>
        <w:rPr>
          <w:rFonts w:hAnsi="宋体"/>
          <w:b/>
          <w:color w:val="auto"/>
          <w:sz w:val="32"/>
          <w:szCs w:val="32"/>
          <w:highlight w:val="none"/>
          <w:lang w:val="en-GB"/>
        </w:rPr>
      </w:pPr>
    </w:p>
    <w:p>
      <w:pPr>
        <w:pStyle w:val="12"/>
        <w:spacing w:line="360" w:lineRule="auto"/>
        <w:jc w:val="center"/>
        <w:rPr>
          <w:rFonts w:hAnsi="宋体"/>
          <w:b/>
          <w:color w:val="auto"/>
          <w:sz w:val="32"/>
          <w:szCs w:val="32"/>
          <w:highlight w:val="none"/>
          <w:lang w:val="en-GB"/>
        </w:rPr>
      </w:pPr>
    </w:p>
    <w:p>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360" w:lineRule="auto"/>
        <w:ind w:firstLine="444" w:firstLineChars="200"/>
        <w:rPr>
          <w:rFonts w:ascii="宋体"/>
          <w:color w:val="auto"/>
          <w:spacing w:val="6"/>
          <w:szCs w:val="21"/>
          <w:highlight w:val="none"/>
        </w:rPr>
      </w:pPr>
      <w:r>
        <w:rPr>
          <w:rFonts w:hint="eastAsia" w:ascii="宋体" w:hAnsi="宋体"/>
          <w:color w:val="auto"/>
          <w:spacing w:val="6"/>
          <w:szCs w:val="21"/>
          <w:highlight w:val="none"/>
        </w:rPr>
        <w:t>本单位郑重声明，根据《财政部民政部中国残疾人联合会关于促进残疾人就业政府采购政策的通知》（财库〔</w:t>
      </w:r>
      <w:r>
        <w:rPr>
          <w:rFonts w:ascii="宋体" w:hAnsi="宋体"/>
          <w:color w:val="auto"/>
          <w:spacing w:val="6"/>
          <w:szCs w:val="21"/>
          <w:highlight w:val="none"/>
        </w:rPr>
        <w:t>2017</w:t>
      </w:r>
      <w:r>
        <w:rPr>
          <w:rFonts w:hint="eastAsia" w:ascii="宋体" w:hAnsi="宋体"/>
          <w:color w:val="auto"/>
          <w:spacing w:val="6"/>
          <w:szCs w:val="21"/>
          <w:highlight w:val="none"/>
        </w:rPr>
        <w:t>〕</w:t>
      </w:r>
      <w:r>
        <w:rPr>
          <w:rFonts w:ascii="宋体" w:hAnsi="宋体"/>
          <w:color w:val="auto"/>
          <w:spacing w:val="6"/>
          <w:szCs w:val="21"/>
          <w:highlight w:val="none"/>
        </w:rPr>
        <w:t xml:space="preserve"> 141</w:t>
      </w:r>
      <w:r>
        <w:rPr>
          <w:rFonts w:hint="eastAsia" w:ascii="宋体" w:hAnsi="宋体"/>
          <w:color w:val="auto"/>
          <w:spacing w:val="6"/>
          <w:szCs w:val="21"/>
          <w:highlight w:val="none"/>
        </w:rPr>
        <w:t>号）的规定，本单位为符合条件的残疾人福利性单位，且本单位参加单位的项目采购活动提供本单位制造的货物（由本单位承担工程</w:t>
      </w:r>
      <w:r>
        <w:rPr>
          <w:rFonts w:ascii="宋体" w:hAnsi="宋体"/>
          <w:color w:val="auto"/>
          <w:spacing w:val="6"/>
          <w:szCs w:val="21"/>
          <w:highlight w:val="none"/>
        </w:rPr>
        <w:t>/</w:t>
      </w:r>
      <w:r>
        <w:rPr>
          <w:rFonts w:hint="eastAsia" w:ascii="宋体" w:hAnsi="宋体"/>
          <w:color w:val="auto"/>
          <w:spacing w:val="6"/>
          <w:szCs w:val="21"/>
          <w:highlight w:val="none"/>
        </w:rPr>
        <w:t>提供服务），或者提供其他残疾人福利性单位制造的货物（不包括使用非残疾人福利性单位注册商标的货物）。</w:t>
      </w:r>
    </w:p>
    <w:p>
      <w:pPr>
        <w:spacing w:line="360" w:lineRule="auto"/>
        <w:ind w:firstLine="444" w:firstLineChars="200"/>
        <w:rPr>
          <w:rFonts w:asci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tabs>
          <w:tab w:val="left" w:pos="4860"/>
        </w:tabs>
        <w:spacing w:line="360" w:lineRule="auto"/>
        <w:ind w:right="1560" w:firstLine="444" w:firstLineChars="200"/>
        <w:jc w:val="center"/>
        <w:rPr>
          <w:rFonts w:ascii="宋体"/>
          <w:color w:val="auto"/>
          <w:spacing w:val="6"/>
          <w:szCs w:val="21"/>
          <w:highlight w:val="none"/>
        </w:rPr>
      </w:pPr>
    </w:p>
    <w:p>
      <w:pPr>
        <w:tabs>
          <w:tab w:val="left" w:pos="4860"/>
        </w:tabs>
        <w:spacing w:line="360" w:lineRule="auto"/>
        <w:ind w:right="1560" w:firstLine="444" w:firstLineChars="200"/>
        <w:jc w:val="center"/>
        <w:rPr>
          <w:rFonts w:asci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spacing w:line="360" w:lineRule="auto"/>
        <w:ind w:right="1560" w:firstLine="420" w:firstLineChars="200"/>
        <w:jc w:val="center"/>
        <w:rPr>
          <w:rFonts w:ascii="宋体" w:hAnsi="宋体"/>
          <w:color w:val="auto"/>
          <w:szCs w:val="21"/>
          <w:highlight w:val="none"/>
        </w:rPr>
      </w:pPr>
      <w:r>
        <w:rPr>
          <w:rFonts w:hint="eastAsia" w:ascii="宋体" w:hAnsi="宋体"/>
          <w:color w:val="auto"/>
          <w:szCs w:val="21"/>
          <w:highlight w:val="none"/>
        </w:rPr>
        <w:t>法定代表人（签章）：</w:t>
      </w:r>
    </w:p>
    <w:p>
      <w:pPr>
        <w:tabs>
          <w:tab w:val="left" w:pos="4860"/>
        </w:tabs>
        <w:spacing w:line="360" w:lineRule="auto"/>
        <w:ind w:right="1560" w:firstLine="444" w:firstLineChars="200"/>
        <w:jc w:val="center"/>
        <w:rPr>
          <w:rFonts w:ascii="宋体"/>
          <w:color w:val="auto"/>
          <w:szCs w:val="21"/>
          <w:highlight w:val="none"/>
        </w:rPr>
      </w:pPr>
      <w:r>
        <w:rPr>
          <w:rFonts w:hint="eastAsia" w:ascii="宋体" w:hAnsi="宋体"/>
          <w:color w:val="auto"/>
          <w:spacing w:val="6"/>
          <w:szCs w:val="21"/>
          <w:highlight w:val="none"/>
        </w:rPr>
        <w:t>日期：</w:t>
      </w: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p>
    <w:p>
      <w:pPr>
        <w:pStyle w:val="49"/>
        <w:spacing w:line="360" w:lineRule="auto"/>
        <w:rPr>
          <w:rFonts w:ascii="宋体"/>
          <w:b/>
          <w:color w:val="auto"/>
          <w:sz w:val="28"/>
          <w:szCs w:val="28"/>
          <w:highlight w:val="none"/>
        </w:rPr>
      </w:pPr>
      <w:r>
        <w:rPr>
          <w:rFonts w:hint="eastAsia" w:ascii="宋体" w:hAnsi="宋体"/>
          <w:b/>
          <w:color w:val="auto"/>
          <w:sz w:val="28"/>
          <w:szCs w:val="28"/>
          <w:highlight w:val="none"/>
        </w:rPr>
        <w:t>附件21</w:t>
      </w:r>
    </w:p>
    <w:p>
      <w:pPr>
        <w:pStyle w:val="50"/>
        <w:spacing w:line="360" w:lineRule="auto"/>
        <w:rPr>
          <w:color w:val="auto"/>
          <w:highlight w:val="none"/>
        </w:rPr>
      </w:pPr>
    </w:p>
    <w:p>
      <w:pPr>
        <w:pStyle w:val="47"/>
        <w:spacing w:line="360" w:lineRule="auto"/>
        <w:jc w:val="center"/>
        <w:rPr>
          <w:rFonts w:ascii="宋体" w:hAnsi="宋体" w:cstheme="minorBidi"/>
          <w:b/>
          <w:color w:val="auto"/>
          <w:sz w:val="32"/>
          <w:szCs w:val="32"/>
          <w:highlight w:val="none"/>
          <w:lang w:val="en-GB"/>
        </w:rPr>
      </w:pPr>
      <w:r>
        <w:rPr>
          <w:rFonts w:hint="eastAsia" w:ascii="宋体" w:hAnsi="宋体" w:cstheme="minorBidi"/>
          <w:b/>
          <w:color w:val="auto"/>
          <w:sz w:val="32"/>
          <w:szCs w:val="32"/>
          <w:highlight w:val="none"/>
          <w:lang w:val="en-GB"/>
        </w:rPr>
        <w:t>产品适用政府采购政策情况表</w:t>
      </w:r>
    </w:p>
    <w:p>
      <w:pPr>
        <w:pStyle w:val="47"/>
        <w:spacing w:line="360" w:lineRule="auto"/>
        <w:jc w:val="center"/>
        <w:rPr>
          <w:rFonts w:ascii="宋体"/>
          <w:b/>
          <w:color w:val="auto"/>
          <w:szCs w:val="21"/>
          <w:highlight w:val="none"/>
          <w:lang w:val="en-GB"/>
        </w:rPr>
      </w:pPr>
    </w:p>
    <w:tbl>
      <w:tblPr>
        <w:tblStyle w:val="22"/>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小微企业扶持政策</w:t>
            </w:r>
          </w:p>
        </w:tc>
        <w:tc>
          <w:tcPr>
            <w:tcW w:w="8111" w:type="dxa"/>
            <w:gridSpan w:val="3"/>
            <w:vAlign w:val="center"/>
          </w:tcPr>
          <w:tbl>
            <w:tblPr>
              <w:tblStyle w:val="22"/>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47"/>
                    <w:tabs>
                      <w:tab w:val="left" w:pos="1260"/>
                    </w:tabs>
                    <w:spacing w:line="360" w:lineRule="auto"/>
                    <w:rPr>
                      <w:rFonts w:ascii="宋体"/>
                      <w:color w:val="auto"/>
                      <w:szCs w:val="21"/>
                      <w:highlight w:val="none"/>
                    </w:rPr>
                  </w:pPr>
                  <w:r>
                    <w:rPr>
                      <w:rFonts w:hint="eastAsia" w:ascii="宋体" w:hAnsi="宋体"/>
                      <w:b/>
                      <w:bCs/>
                      <w:color w:val="auto"/>
                      <w:szCs w:val="21"/>
                      <w:highlight w:val="none"/>
                    </w:rPr>
                    <w:t>小型、微型企业投标且所投产品（指货物、工程、服务）由本企业制造，或者所投产品（仅指货物）含有其他小型、微型企业制造的，应</w:t>
                  </w:r>
                  <w:r>
                    <w:rPr>
                      <w:rFonts w:hint="eastAsia" w:ascii="宋体" w:hAnsi="宋体"/>
                      <w:b/>
                      <w:bCs/>
                      <w:color w:val="auto"/>
                      <w:szCs w:val="21"/>
                      <w:highlight w:val="none"/>
                      <w:lang w:val="en-GB"/>
                    </w:rPr>
                    <w:t>按要求列出具体产品与金额。</w:t>
                  </w:r>
                </w:p>
              </w:tc>
            </w:tr>
          </w:tbl>
          <w:p>
            <w:pPr>
              <w:pStyle w:val="47"/>
              <w:tabs>
                <w:tab w:val="left" w:pos="1260"/>
              </w:tabs>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产品名称（品牌、型号）</w:t>
            </w:r>
          </w:p>
        </w:tc>
        <w:tc>
          <w:tcPr>
            <w:tcW w:w="3811"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制造企业名称</w:t>
            </w:r>
          </w:p>
        </w:tc>
        <w:tc>
          <w:tcPr>
            <w:tcW w:w="1621" w:type="dxa"/>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2679" w:type="dxa"/>
            <w:vAlign w:val="center"/>
          </w:tcPr>
          <w:p>
            <w:pPr>
              <w:pStyle w:val="47"/>
              <w:tabs>
                <w:tab w:val="left" w:pos="1260"/>
              </w:tabs>
              <w:spacing w:line="360" w:lineRule="auto"/>
              <w:jc w:val="center"/>
              <w:rPr>
                <w:rFonts w:ascii="宋体"/>
                <w:color w:val="auto"/>
                <w:szCs w:val="21"/>
                <w:highlight w:val="none"/>
                <w:lang w:val="en-GB"/>
              </w:rPr>
            </w:pPr>
          </w:p>
        </w:tc>
        <w:tc>
          <w:tcPr>
            <w:tcW w:w="3811" w:type="dxa"/>
            <w:vAlign w:val="center"/>
          </w:tcPr>
          <w:p>
            <w:pPr>
              <w:pStyle w:val="47"/>
              <w:tabs>
                <w:tab w:val="left" w:pos="1260"/>
              </w:tabs>
              <w:spacing w:line="360" w:lineRule="auto"/>
              <w:jc w:val="center"/>
              <w:rPr>
                <w:rFonts w:ascii="宋体"/>
                <w:color w:val="auto"/>
                <w:szCs w:val="21"/>
                <w:highlight w:val="none"/>
                <w:lang w:val="en-GB"/>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47"/>
              <w:tabs>
                <w:tab w:val="left" w:pos="1260"/>
              </w:tabs>
              <w:spacing w:line="360" w:lineRule="auto"/>
              <w:jc w:val="center"/>
              <w:rPr>
                <w:rFonts w:ascii="宋体"/>
                <w:color w:val="auto"/>
                <w:szCs w:val="21"/>
                <w:highlight w:val="none"/>
                <w:lang w:val="en-GB"/>
              </w:rPr>
            </w:pPr>
          </w:p>
        </w:tc>
        <w:tc>
          <w:tcPr>
            <w:tcW w:w="6490" w:type="dxa"/>
            <w:gridSpan w:val="2"/>
            <w:vAlign w:val="center"/>
          </w:tcPr>
          <w:p>
            <w:pPr>
              <w:pStyle w:val="47"/>
              <w:tabs>
                <w:tab w:val="left" w:pos="1260"/>
              </w:tabs>
              <w:spacing w:line="360" w:lineRule="auto"/>
              <w:jc w:val="center"/>
              <w:rPr>
                <w:rFonts w:asci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金额合计（元）</w:t>
            </w:r>
          </w:p>
          <w:p>
            <w:pPr>
              <w:spacing w:line="360" w:lineRule="auto"/>
              <w:rPr>
                <w:color w:val="auto"/>
                <w:szCs w:val="21"/>
                <w:highlight w:val="none"/>
              </w:rPr>
            </w:pPr>
          </w:p>
        </w:tc>
        <w:tc>
          <w:tcPr>
            <w:tcW w:w="1621" w:type="dxa"/>
            <w:vAlign w:val="center"/>
          </w:tcPr>
          <w:p>
            <w:pPr>
              <w:pStyle w:val="47"/>
              <w:tabs>
                <w:tab w:val="left" w:pos="1260"/>
              </w:tabs>
              <w:spacing w:line="360" w:lineRule="auto"/>
              <w:jc w:val="center"/>
              <w:rPr>
                <w:rFonts w:ascii="宋体"/>
                <w:color w:val="auto"/>
                <w:szCs w:val="21"/>
                <w:highlight w:val="none"/>
                <w:lang w:val="en-GB"/>
              </w:rPr>
            </w:pPr>
          </w:p>
        </w:tc>
      </w:tr>
    </w:tbl>
    <w:p>
      <w:pPr>
        <w:pStyle w:val="47"/>
        <w:spacing w:line="360" w:lineRule="auto"/>
        <w:rPr>
          <w:rFonts w:ascii="宋体"/>
          <w:color w:val="auto"/>
          <w:szCs w:val="21"/>
          <w:highlight w:val="none"/>
          <w:lang w:val="en-GB"/>
        </w:rPr>
      </w:pPr>
    </w:p>
    <w:p>
      <w:pPr>
        <w:pStyle w:val="47"/>
        <w:spacing w:line="360" w:lineRule="auto"/>
        <w:rPr>
          <w:rFonts w:ascii="宋体"/>
          <w:color w:val="auto"/>
          <w:szCs w:val="21"/>
          <w:highlight w:val="none"/>
          <w:lang w:val="en-GB"/>
        </w:rPr>
      </w:pPr>
      <w:r>
        <w:rPr>
          <w:rFonts w:hint="eastAsia" w:ascii="宋体" w:hAnsi="宋体"/>
          <w:color w:val="auto"/>
          <w:szCs w:val="21"/>
          <w:highlight w:val="none"/>
          <w:lang w:val="en-GB"/>
        </w:rPr>
        <w:t>填报要求：</w:t>
      </w:r>
    </w:p>
    <w:p>
      <w:pPr>
        <w:pStyle w:val="47"/>
        <w:widowControl/>
        <w:spacing w:line="360" w:lineRule="auto"/>
        <w:ind w:right="84" w:rightChars="40"/>
        <w:jc w:val="left"/>
        <w:rPr>
          <w:rFonts w:asci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本表的产品名称、规格型号和注册商标、金额要与《报价明细表》一致。</w:t>
      </w:r>
    </w:p>
    <w:p>
      <w:pPr>
        <w:pStyle w:val="47"/>
        <w:widowControl/>
        <w:tabs>
          <w:tab w:val="left" w:pos="360"/>
        </w:tabs>
        <w:spacing w:line="360" w:lineRule="auto"/>
        <w:ind w:right="84" w:rightChars="40"/>
        <w:jc w:val="left"/>
        <w:rPr>
          <w:rFonts w:ascii="宋体"/>
          <w:color w:val="auto"/>
          <w:szCs w:val="21"/>
          <w:highlight w:val="none"/>
          <w:lang w:val="en-GB"/>
        </w:rPr>
      </w:pPr>
      <w:r>
        <w:rPr>
          <w:rFonts w:hint="eastAsia" w:ascii="宋体" w:hAnsi="宋体"/>
          <w:color w:val="auto"/>
          <w:szCs w:val="21"/>
          <w:highlight w:val="none"/>
        </w:rPr>
        <w:t>2、</w:t>
      </w:r>
      <w:r>
        <w:rPr>
          <w:rFonts w:hint="eastAsia" w:ascii="宋体" w:hAnsi="宋体"/>
          <w:color w:val="auto"/>
          <w:szCs w:val="21"/>
          <w:highlight w:val="none"/>
          <w:lang w:val="en-GB"/>
        </w:rPr>
        <w:t>制造商为小型或微型企业时才需要填“制造商企业类型”栏，填写内容为“小型”或“微型”。</w:t>
      </w:r>
    </w:p>
    <w:p>
      <w:pPr>
        <w:pStyle w:val="47"/>
        <w:widowControl/>
        <w:spacing w:line="360" w:lineRule="auto"/>
        <w:ind w:right="84" w:rightChars="40"/>
        <w:jc w:val="left"/>
        <w:rPr>
          <w:rFonts w:ascii="宋体"/>
          <w:color w:val="auto"/>
          <w:sz w:val="24"/>
          <w:highlight w:val="none"/>
          <w:lang w:val="en-GB"/>
        </w:rPr>
      </w:pPr>
      <w:r>
        <w:rPr>
          <w:rFonts w:hint="eastAsia" w:ascii="宋体" w:hAnsi="宋体"/>
          <w:color w:val="auto"/>
          <w:szCs w:val="21"/>
          <w:highlight w:val="none"/>
        </w:rPr>
        <w:t>3、</w:t>
      </w: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spacing w:line="360" w:lineRule="auto"/>
        <w:ind w:firstLine="4305" w:firstLineChars="2050"/>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rPr>
          <w:color w:val="auto"/>
          <w:highlight w:val="none"/>
        </w:rPr>
      </w:pPr>
    </w:p>
    <w:p>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wBL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peR3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HAEtDICAABjBAAADgAAAAAAAAABACAAAAAfAQAAZHJzL2Uyb0RvYy54bWxQSwUG&#10;AAAAAAYABgBZAQAAwwU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eastAsia="宋体"/>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Cs/>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rPr>
      <w:t>台州市路桥区中医院医疗服务共同体后勤家政服务项目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2AB064F4"/>
    <w:multiLevelType w:val="multilevel"/>
    <w:tmpl w:val="2AB064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7C3E7FB"/>
    <w:multiLevelType w:val="singleLevel"/>
    <w:tmpl w:val="57C3E7FB"/>
    <w:lvl w:ilvl="0" w:tentative="0">
      <w:start w:val="2"/>
      <w:numFmt w:val="decimal"/>
      <w:suff w:val="nothing"/>
      <w:lvlText w:val="%1、"/>
      <w:lvlJc w:val="left"/>
    </w:lvl>
  </w:abstractNum>
  <w:abstractNum w:abstractNumId="4">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abstractNum w:abstractNumId="5">
    <w:nsid w:val="6E3E6308"/>
    <w:multiLevelType w:val="singleLevel"/>
    <w:tmpl w:val="6E3E6308"/>
    <w:lvl w:ilvl="0" w:tentative="0">
      <w:start w:val="1"/>
      <w:numFmt w:val="decimal"/>
      <w:suff w:val="nothing"/>
      <w:lvlText w:val="%1．"/>
      <w:lvlJc w:val="left"/>
    </w:lvl>
  </w:abstractNum>
  <w:abstractNum w:abstractNumId="6">
    <w:nsid w:val="7F5D59B6"/>
    <w:multiLevelType w:val="multilevel"/>
    <w:tmpl w:val="7F5D59B6"/>
    <w:lvl w:ilvl="0" w:tentative="0">
      <w:start w:val="1"/>
      <w:numFmt w:val="decimalEnclosedParen"/>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49"/>
    <w:rsid w:val="0003476A"/>
    <w:rsid w:val="00055C56"/>
    <w:rsid w:val="0008396C"/>
    <w:rsid w:val="000E0D3F"/>
    <w:rsid w:val="00114B2B"/>
    <w:rsid w:val="001241E8"/>
    <w:rsid w:val="00215442"/>
    <w:rsid w:val="0028159A"/>
    <w:rsid w:val="002C6DDC"/>
    <w:rsid w:val="003929D9"/>
    <w:rsid w:val="003C3980"/>
    <w:rsid w:val="003C6577"/>
    <w:rsid w:val="0043417D"/>
    <w:rsid w:val="00446A93"/>
    <w:rsid w:val="00495C6D"/>
    <w:rsid w:val="004C3D04"/>
    <w:rsid w:val="005079B9"/>
    <w:rsid w:val="00532108"/>
    <w:rsid w:val="005C68A9"/>
    <w:rsid w:val="006052DD"/>
    <w:rsid w:val="00641C5C"/>
    <w:rsid w:val="00650A79"/>
    <w:rsid w:val="006E681F"/>
    <w:rsid w:val="00703AFD"/>
    <w:rsid w:val="007C0A85"/>
    <w:rsid w:val="00842483"/>
    <w:rsid w:val="00931191"/>
    <w:rsid w:val="009C6908"/>
    <w:rsid w:val="009E7B9B"/>
    <w:rsid w:val="00A76558"/>
    <w:rsid w:val="00A82AA1"/>
    <w:rsid w:val="00B7243C"/>
    <w:rsid w:val="00B8461A"/>
    <w:rsid w:val="00B8754F"/>
    <w:rsid w:val="00BE3149"/>
    <w:rsid w:val="00C5661C"/>
    <w:rsid w:val="00D27694"/>
    <w:rsid w:val="00DD40BE"/>
    <w:rsid w:val="00E04ED8"/>
    <w:rsid w:val="00E873B3"/>
    <w:rsid w:val="00EB0E14"/>
    <w:rsid w:val="00F05701"/>
    <w:rsid w:val="00F3299C"/>
    <w:rsid w:val="00FF74E6"/>
    <w:rsid w:val="014D4625"/>
    <w:rsid w:val="01DC112F"/>
    <w:rsid w:val="01F86678"/>
    <w:rsid w:val="02275768"/>
    <w:rsid w:val="02380D19"/>
    <w:rsid w:val="03F832C0"/>
    <w:rsid w:val="043F7FC4"/>
    <w:rsid w:val="051F6421"/>
    <w:rsid w:val="065735EF"/>
    <w:rsid w:val="08390248"/>
    <w:rsid w:val="084A3762"/>
    <w:rsid w:val="087F5981"/>
    <w:rsid w:val="09107AD0"/>
    <w:rsid w:val="091240AB"/>
    <w:rsid w:val="094B2DCA"/>
    <w:rsid w:val="09E03F7D"/>
    <w:rsid w:val="09F33DD0"/>
    <w:rsid w:val="0A6266B3"/>
    <w:rsid w:val="0AF64F0D"/>
    <w:rsid w:val="0C47494B"/>
    <w:rsid w:val="0D1F4CD0"/>
    <w:rsid w:val="0D9A128E"/>
    <w:rsid w:val="0F7812F7"/>
    <w:rsid w:val="0F7E6199"/>
    <w:rsid w:val="0FE74D1C"/>
    <w:rsid w:val="10452B67"/>
    <w:rsid w:val="10860B6D"/>
    <w:rsid w:val="10B90D80"/>
    <w:rsid w:val="121665CB"/>
    <w:rsid w:val="12EC03CE"/>
    <w:rsid w:val="13F45D5A"/>
    <w:rsid w:val="14121E8F"/>
    <w:rsid w:val="15D17152"/>
    <w:rsid w:val="168339D9"/>
    <w:rsid w:val="171D6CDD"/>
    <w:rsid w:val="17461D47"/>
    <w:rsid w:val="176F1112"/>
    <w:rsid w:val="177873A9"/>
    <w:rsid w:val="17B91B1C"/>
    <w:rsid w:val="17D2330C"/>
    <w:rsid w:val="18C150E9"/>
    <w:rsid w:val="19CE3838"/>
    <w:rsid w:val="1A076244"/>
    <w:rsid w:val="1C6D212E"/>
    <w:rsid w:val="1C7E5C21"/>
    <w:rsid w:val="1CC61F19"/>
    <w:rsid w:val="1D1B615D"/>
    <w:rsid w:val="1D465475"/>
    <w:rsid w:val="1DB05BC4"/>
    <w:rsid w:val="1F162724"/>
    <w:rsid w:val="201C7B31"/>
    <w:rsid w:val="20CF515B"/>
    <w:rsid w:val="20ED3C16"/>
    <w:rsid w:val="224700DF"/>
    <w:rsid w:val="22F6774D"/>
    <w:rsid w:val="24D06B26"/>
    <w:rsid w:val="25C5310A"/>
    <w:rsid w:val="26353EFB"/>
    <w:rsid w:val="28FA6455"/>
    <w:rsid w:val="29367CF7"/>
    <w:rsid w:val="29861651"/>
    <w:rsid w:val="2A1E1287"/>
    <w:rsid w:val="2A906C13"/>
    <w:rsid w:val="2C3E0BB8"/>
    <w:rsid w:val="2D9D0807"/>
    <w:rsid w:val="2DE25381"/>
    <w:rsid w:val="2E1924DD"/>
    <w:rsid w:val="2F7B1BB4"/>
    <w:rsid w:val="300909E9"/>
    <w:rsid w:val="30EB3632"/>
    <w:rsid w:val="31D71BF0"/>
    <w:rsid w:val="323740AF"/>
    <w:rsid w:val="32A94534"/>
    <w:rsid w:val="33413EC8"/>
    <w:rsid w:val="33554436"/>
    <w:rsid w:val="33B66994"/>
    <w:rsid w:val="34772ADD"/>
    <w:rsid w:val="355B2A13"/>
    <w:rsid w:val="355D5C9E"/>
    <w:rsid w:val="36D706BD"/>
    <w:rsid w:val="37584051"/>
    <w:rsid w:val="37E4758B"/>
    <w:rsid w:val="3A316D41"/>
    <w:rsid w:val="3A7A6F1E"/>
    <w:rsid w:val="3B194DD7"/>
    <w:rsid w:val="3B64677C"/>
    <w:rsid w:val="3C6623F3"/>
    <w:rsid w:val="3E41042A"/>
    <w:rsid w:val="3E642B43"/>
    <w:rsid w:val="3E6F7B1E"/>
    <w:rsid w:val="3F1D6D60"/>
    <w:rsid w:val="3F3D1190"/>
    <w:rsid w:val="3F654DFF"/>
    <w:rsid w:val="3F95513E"/>
    <w:rsid w:val="3FEA2DD3"/>
    <w:rsid w:val="41ED1EFE"/>
    <w:rsid w:val="42A16F0F"/>
    <w:rsid w:val="434118E3"/>
    <w:rsid w:val="4364349F"/>
    <w:rsid w:val="43AD217F"/>
    <w:rsid w:val="458B72B5"/>
    <w:rsid w:val="46D0725A"/>
    <w:rsid w:val="4797223C"/>
    <w:rsid w:val="47C11F07"/>
    <w:rsid w:val="489F6999"/>
    <w:rsid w:val="48D11615"/>
    <w:rsid w:val="48DE3A73"/>
    <w:rsid w:val="49CF169A"/>
    <w:rsid w:val="4BD6102D"/>
    <w:rsid w:val="4CF72E0A"/>
    <w:rsid w:val="4D0D668F"/>
    <w:rsid w:val="4DFA74A7"/>
    <w:rsid w:val="4E007FCD"/>
    <w:rsid w:val="4E0A1174"/>
    <w:rsid w:val="4E3623E0"/>
    <w:rsid w:val="4F632809"/>
    <w:rsid w:val="4F9A7897"/>
    <w:rsid w:val="507706BC"/>
    <w:rsid w:val="50D628CB"/>
    <w:rsid w:val="541425E1"/>
    <w:rsid w:val="54CF56D2"/>
    <w:rsid w:val="553E5FE2"/>
    <w:rsid w:val="557C0E2E"/>
    <w:rsid w:val="55AE418F"/>
    <w:rsid w:val="56A91A1E"/>
    <w:rsid w:val="56CE797F"/>
    <w:rsid w:val="57AE5C45"/>
    <w:rsid w:val="5801790F"/>
    <w:rsid w:val="585D74AD"/>
    <w:rsid w:val="58D35C9F"/>
    <w:rsid w:val="5A717E39"/>
    <w:rsid w:val="5B040CEF"/>
    <w:rsid w:val="5D191106"/>
    <w:rsid w:val="5D683466"/>
    <w:rsid w:val="5ECD0CBA"/>
    <w:rsid w:val="5EEE1974"/>
    <w:rsid w:val="60CA0DE4"/>
    <w:rsid w:val="61EE3878"/>
    <w:rsid w:val="622136D2"/>
    <w:rsid w:val="62821D6C"/>
    <w:rsid w:val="62F63414"/>
    <w:rsid w:val="6406501C"/>
    <w:rsid w:val="64826984"/>
    <w:rsid w:val="650F02D7"/>
    <w:rsid w:val="66123FF3"/>
    <w:rsid w:val="66950943"/>
    <w:rsid w:val="673E235F"/>
    <w:rsid w:val="673F0D45"/>
    <w:rsid w:val="6A017CA0"/>
    <w:rsid w:val="6AD211AF"/>
    <w:rsid w:val="6B0242A5"/>
    <w:rsid w:val="6C9E744C"/>
    <w:rsid w:val="6CC31955"/>
    <w:rsid w:val="6D643BB1"/>
    <w:rsid w:val="6EFF1686"/>
    <w:rsid w:val="6F52577A"/>
    <w:rsid w:val="6FB47993"/>
    <w:rsid w:val="70546B6C"/>
    <w:rsid w:val="70887011"/>
    <w:rsid w:val="71892976"/>
    <w:rsid w:val="720C7DC2"/>
    <w:rsid w:val="73830D52"/>
    <w:rsid w:val="743D357C"/>
    <w:rsid w:val="748266FC"/>
    <w:rsid w:val="74BB1228"/>
    <w:rsid w:val="75514582"/>
    <w:rsid w:val="759A4515"/>
    <w:rsid w:val="76092670"/>
    <w:rsid w:val="76462F27"/>
    <w:rsid w:val="767D593D"/>
    <w:rsid w:val="770A7D21"/>
    <w:rsid w:val="78867147"/>
    <w:rsid w:val="78DC3E7D"/>
    <w:rsid w:val="78E41C51"/>
    <w:rsid w:val="7929784F"/>
    <w:rsid w:val="7B376CA9"/>
    <w:rsid w:val="7BEB0099"/>
    <w:rsid w:val="7BFE39DD"/>
    <w:rsid w:val="7C710949"/>
    <w:rsid w:val="7E4E7602"/>
    <w:rsid w:val="7E9E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5">
    <w:name w:val="heading 2"/>
    <w:basedOn w:val="1"/>
    <w:next w:val="1"/>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6">
    <w:name w:val="heading 3"/>
    <w:basedOn w:val="1"/>
    <w:next w:val="1"/>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2"/>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7">
    <w:name w:val="Normal Indent"/>
    <w:basedOn w:val="1"/>
    <w:next w:val="8"/>
    <w:qFormat/>
    <w:uiPriority w:val="0"/>
    <w:pPr>
      <w:ind w:firstLine="420"/>
    </w:pPr>
    <w:rPr>
      <w:szCs w:val="20"/>
    </w:rPr>
  </w:style>
  <w:style w:type="paragraph" w:styleId="8">
    <w:name w:val="toc 2"/>
    <w:basedOn w:val="1"/>
    <w:next w:val="1"/>
    <w:qFormat/>
    <w:uiPriority w:val="0"/>
    <w:pPr>
      <w:tabs>
        <w:tab w:val="right" w:leader="dot" w:pos="10070"/>
      </w:tabs>
      <w:spacing w:line="480" w:lineRule="auto"/>
      <w:ind w:left="200" w:leftChars="200"/>
    </w:pPr>
  </w:style>
  <w:style w:type="paragraph" w:styleId="9">
    <w:name w:val="annotation text"/>
    <w:basedOn w:val="1"/>
    <w:link w:val="62"/>
    <w:qFormat/>
    <w:uiPriority w:val="0"/>
    <w:pPr>
      <w:jc w:val="left"/>
    </w:pPr>
  </w:style>
  <w:style w:type="paragraph" w:styleId="10">
    <w:name w:val="Body Text Indent"/>
    <w:basedOn w:val="1"/>
    <w:next w:val="1"/>
    <w:link w:val="33"/>
    <w:qFormat/>
    <w:uiPriority w:val="99"/>
    <w:pPr>
      <w:spacing w:after="120"/>
      <w:ind w:left="420" w:leftChars="200"/>
    </w:pPr>
  </w:style>
  <w:style w:type="paragraph" w:styleId="11">
    <w:name w:val="Block Text"/>
    <w:basedOn w:val="1"/>
    <w:qFormat/>
    <w:uiPriority w:val="0"/>
    <w:pPr>
      <w:adjustRightInd w:val="0"/>
      <w:snapToGrid w:val="0"/>
      <w:spacing w:line="360" w:lineRule="auto"/>
      <w:ind w:left="567" w:leftChars="270" w:right="-150" w:rightChars="-150" w:firstLine="480" w:firstLineChars="200"/>
    </w:pPr>
    <w:rPr>
      <w:rFonts w:ascii="宋体"/>
      <w:sz w:val="24"/>
    </w:rPr>
  </w:style>
  <w:style w:type="paragraph" w:styleId="12">
    <w:name w:val="Plain Text"/>
    <w:basedOn w:val="1"/>
    <w:next w:val="13"/>
    <w:qFormat/>
    <w:uiPriority w:val="0"/>
    <w:rPr>
      <w:rFonts w:ascii="宋体" w:hAnsi="Courier New" w:cstheme="minorBidi"/>
    </w:rPr>
  </w:style>
  <w:style w:type="paragraph" w:styleId="13">
    <w:name w:val="Date"/>
    <w:basedOn w:val="1"/>
    <w:next w:val="1"/>
    <w:qFormat/>
    <w:uiPriority w:val="99"/>
    <w:pPr>
      <w:ind w:left="2500" w:leftChars="2500"/>
    </w:pPr>
    <w:rPr>
      <w:rFonts w:ascii="Calibri" w:hAnsi="Calibri" w:eastAsia="楷体_GB2312"/>
      <w:sz w:val="32"/>
      <w:szCs w:val="22"/>
    </w:rPr>
  </w:style>
  <w:style w:type="paragraph" w:styleId="14">
    <w:name w:val="Balloon Text"/>
    <w:basedOn w:val="1"/>
    <w:link w:val="34"/>
    <w:semiHidden/>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9"/>
    <w:next w:val="9"/>
    <w:link w:val="63"/>
    <w:semiHidden/>
    <w:unhideWhenUsed/>
    <w:qFormat/>
    <w:uiPriority w:val="99"/>
    <w:rPr>
      <w:b/>
      <w:bCs/>
    </w:rPr>
  </w:style>
  <w:style w:type="paragraph" w:styleId="21">
    <w:name w:val="Body Text First Indent 2"/>
    <w:basedOn w:val="10"/>
    <w:qFormat/>
    <w:uiPriority w:val="99"/>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rFonts w:ascii="Tahoma" w:hAnsi="Tahoma" w:cs="Tahoma"/>
      <w:b/>
      <w:sz w:val="24"/>
    </w:rPr>
  </w:style>
  <w:style w:type="character" w:styleId="26">
    <w:name w:val="page number"/>
    <w:basedOn w:val="24"/>
    <w:qFormat/>
    <w:uiPriority w:val="0"/>
  </w:style>
  <w:style w:type="character" w:styleId="27">
    <w:name w:val="Hyperlink"/>
    <w:unhideWhenUsed/>
    <w:qFormat/>
    <w:uiPriority w:val="0"/>
    <w:rPr>
      <w:color w:val="0000FF"/>
      <w:u w:val="single"/>
    </w:rPr>
  </w:style>
  <w:style w:type="character" w:styleId="28">
    <w:name w:val="annotation reference"/>
    <w:basedOn w:val="24"/>
    <w:semiHidden/>
    <w:unhideWhenUsed/>
    <w:qFormat/>
    <w:uiPriority w:val="99"/>
    <w:rPr>
      <w:sz w:val="21"/>
      <w:szCs w:val="21"/>
    </w:rPr>
  </w:style>
  <w:style w:type="paragraph" w:customStyle="1" w:styleId="29">
    <w:name w:val="Normal Indent1"/>
    <w:basedOn w:val="1"/>
    <w:qFormat/>
    <w:uiPriority w:val="0"/>
    <w:pPr>
      <w:ind w:firstLine="420" w:firstLineChars="200"/>
    </w:pPr>
  </w:style>
  <w:style w:type="character" w:customStyle="1" w:styleId="30">
    <w:name w:val="页眉 Char"/>
    <w:basedOn w:val="24"/>
    <w:link w:val="16"/>
    <w:qFormat/>
    <w:uiPriority w:val="99"/>
    <w:rPr>
      <w:sz w:val="18"/>
      <w:szCs w:val="18"/>
    </w:rPr>
  </w:style>
  <w:style w:type="character" w:customStyle="1" w:styleId="31">
    <w:name w:val="页脚 Char"/>
    <w:basedOn w:val="24"/>
    <w:link w:val="15"/>
    <w:qFormat/>
    <w:uiPriority w:val="99"/>
    <w:rPr>
      <w:sz w:val="18"/>
      <w:szCs w:val="18"/>
    </w:rPr>
  </w:style>
  <w:style w:type="character" w:customStyle="1" w:styleId="32">
    <w:name w:val="正文文本 Char"/>
    <w:basedOn w:val="24"/>
    <w:link w:val="2"/>
    <w:semiHidden/>
    <w:qFormat/>
    <w:uiPriority w:val="99"/>
    <w:rPr>
      <w:rFonts w:ascii="Times New Roman" w:hAnsi="Times New Roman" w:eastAsia="宋体" w:cs="Times New Roman"/>
      <w:szCs w:val="24"/>
    </w:rPr>
  </w:style>
  <w:style w:type="character" w:customStyle="1" w:styleId="33">
    <w:name w:val="正文文本缩进 Char"/>
    <w:basedOn w:val="24"/>
    <w:link w:val="10"/>
    <w:qFormat/>
    <w:uiPriority w:val="99"/>
    <w:rPr>
      <w:rFonts w:ascii="Times New Roman" w:hAnsi="Times New Roman" w:eastAsia="宋体" w:cs="Times New Roman"/>
      <w:szCs w:val="24"/>
    </w:rPr>
  </w:style>
  <w:style w:type="character" w:customStyle="1" w:styleId="34">
    <w:name w:val="批注框文本 Char"/>
    <w:basedOn w:val="24"/>
    <w:link w:val="14"/>
    <w:semiHidden/>
    <w:qFormat/>
    <w:uiPriority w:val="99"/>
    <w:rPr>
      <w:rFonts w:ascii="Times New Roman" w:hAnsi="Times New Roman" w:eastAsia="宋体" w:cs="Times New Roman"/>
      <w:sz w:val="18"/>
      <w:szCs w:val="18"/>
    </w:rPr>
  </w:style>
  <w:style w:type="character" w:customStyle="1" w:styleId="35">
    <w:name w:val="无"/>
    <w:qFormat/>
    <w:uiPriority w:val="99"/>
  </w:style>
  <w:style w:type="paragraph" w:customStyle="1" w:styleId="36">
    <w:name w:val="表格文字"/>
    <w:basedOn w:val="1"/>
    <w:next w:val="2"/>
    <w:qFormat/>
    <w:uiPriority w:val="99"/>
    <w:pPr>
      <w:adjustRightInd w:val="0"/>
      <w:spacing w:line="420" w:lineRule="atLeast"/>
      <w:jc w:val="left"/>
      <w:textAlignment w:val="baseline"/>
    </w:pPr>
    <w:rPr>
      <w:kern w:val="0"/>
    </w:rPr>
  </w:style>
  <w:style w:type="paragraph" w:customStyle="1" w:styleId="37">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qFormat/>
    <w:uiPriority w:val="99"/>
    <w:rPr>
      <w:rFonts w:ascii="Times New Roman" w:hAnsi="Times New Roman" w:eastAsia="宋体" w:cs="Times New Roman"/>
      <w:sz w:val="21"/>
      <w:szCs w:val="22"/>
      <w:lang w:val="en-US" w:eastAsia="zh-CN" w:bidi="ar-SA"/>
    </w:rPr>
  </w:style>
  <w:style w:type="paragraph" w:customStyle="1" w:styleId="42">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qFormat/>
    <w:uiPriority w:val="99"/>
    <w:pPr>
      <w:widowControl/>
      <w:jc w:val="left"/>
    </w:pPr>
    <w:rPr>
      <w:rFonts w:ascii="宋体" w:hAnsi="Courier New"/>
      <w:szCs w:val="21"/>
    </w:rPr>
  </w:style>
  <w:style w:type="paragraph" w:customStyle="1" w:styleId="46">
    <w:name w:val="纯文本_0_1"/>
    <w:basedOn w:val="1"/>
    <w:qFormat/>
    <w:uiPriority w:val="99"/>
    <w:pPr>
      <w:widowControl/>
      <w:jc w:val="left"/>
    </w:pPr>
    <w:rPr>
      <w:rFonts w:ascii="宋体" w:hAnsi="Courier New"/>
      <w:szCs w:val="21"/>
    </w:rPr>
  </w:style>
  <w:style w:type="paragraph" w:customStyle="1" w:styleId="47">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qFormat/>
    <w:uiPriority w:val="0"/>
    <w:pPr>
      <w:widowControl/>
    </w:pPr>
    <w:rPr>
      <w:rFonts w:ascii="Calibri" w:hAnsi="Calibri" w:cs="宋体"/>
      <w:kern w:val="0"/>
      <w:szCs w:val="21"/>
    </w:rPr>
  </w:style>
  <w:style w:type="paragraph" w:styleId="53">
    <w:name w:val="List Paragraph"/>
    <w:basedOn w:val="1"/>
    <w:qFormat/>
    <w:uiPriority w:val="0"/>
    <w:pPr>
      <w:ind w:firstLine="420" w:firstLineChars="200"/>
    </w:pPr>
  </w:style>
  <w:style w:type="paragraph" w:customStyle="1" w:styleId="54">
    <w:name w:val="正文（首行缩进2字符）"/>
    <w:basedOn w:val="1"/>
    <w:qFormat/>
    <w:uiPriority w:val="0"/>
    <w:pPr>
      <w:ind w:firstLine="480" w:firstLineChars="200"/>
    </w:pPr>
    <w:rPr>
      <w:sz w:val="24"/>
      <w:szCs w:val="20"/>
    </w:rPr>
  </w:style>
  <w:style w:type="paragraph" w:customStyle="1" w:styleId="55">
    <w:name w:val="ssfa 正文"/>
    <w:basedOn w:val="1"/>
    <w:qFormat/>
    <w:uiPriority w:val="0"/>
    <w:pPr>
      <w:spacing w:line="360" w:lineRule="auto"/>
      <w:ind w:firstLine="200" w:firstLineChars="200"/>
    </w:pPr>
    <w:rPr>
      <w:kern w:val="0"/>
      <w:sz w:val="24"/>
      <w:szCs w:val="28"/>
      <w:lang w:val="zh-CN"/>
    </w:rPr>
  </w:style>
  <w:style w:type="paragraph" w:customStyle="1" w:styleId="56">
    <w:name w:val="[Normal]"/>
    <w:qFormat/>
    <w:uiPriority w:val="0"/>
    <w:rPr>
      <w:rFonts w:ascii="宋体" w:hAnsi="宋体" w:eastAsia="宋体" w:cs="Times New Roman"/>
      <w:sz w:val="24"/>
      <w:szCs w:val="22"/>
      <w:lang w:val="zh-CN" w:eastAsia="zh-CN" w:bidi="ar-SA"/>
    </w:rPr>
  </w:style>
  <w:style w:type="character" w:customStyle="1" w:styleId="57">
    <w:name w:val="NormalCharacter"/>
    <w:semiHidden/>
    <w:qFormat/>
    <w:uiPriority w:val="0"/>
  </w:style>
  <w:style w:type="paragraph" w:customStyle="1" w:styleId="58">
    <w:name w:val="Body Text First Indent Char Char"/>
    <w:basedOn w:val="1"/>
    <w:qFormat/>
    <w:uiPriority w:val="0"/>
    <w:pPr>
      <w:spacing w:after="120"/>
      <w:ind w:firstLine="100" w:firstLineChars="100"/>
    </w:pPr>
    <w:rPr>
      <w:rFonts w:cs="宋体"/>
      <w:szCs w:val="21"/>
    </w:rPr>
  </w:style>
  <w:style w:type="paragraph" w:customStyle="1" w:styleId="59">
    <w:name w:val="列出段落1"/>
    <w:basedOn w:val="1"/>
    <w:qFormat/>
    <w:uiPriority w:val="34"/>
    <w:pPr>
      <w:ind w:firstLine="420" w:firstLineChars="200"/>
    </w:pPr>
  </w:style>
  <w:style w:type="paragraph" w:customStyle="1" w:styleId="60">
    <w:name w:val="表格内容"/>
    <w:basedOn w:val="1"/>
    <w:next w:val="1"/>
    <w:qFormat/>
    <w:uiPriority w:val="0"/>
    <w:pPr>
      <w:adjustRightInd w:val="0"/>
      <w:snapToGrid w:val="0"/>
      <w:jc w:val="center"/>
      <w:textAlignment w:val="baseline"/>
    </w:pPr>
    <w:rPr>
      <w:rFonts w:ascii="Calibri" w:hAnsi="Calibri" w:cs="黑体"/>
      <w:color w:val="000000"/>
      <w:szCs w:val="22"/>
    </w:rPr>
  </w:style>
  <w:style w:type="paragraph" w:customStyle="1" w:styleId="61">
    <w:name w:val="Table Paragraph"/>
    <w:basedOn w:val="1"/>
    <w:qFormat/>
    <w:uiPriority w:val="1"/>
    <w:pPr>
      <w:jc w:val="left"/>
    </w:pPr>
    <w:rPr>
      <w:kern w:val="0"/>
      <w:sz w:val="22"/>
      <w:lang w:eastAsia="en-US"/>
    </w:rPr>
  </w:style>
  <w:style w:type="character" w:customStyle="1" w:styleId="62">
    <w:name w:val="批注文字 Char"/>
    <w:basedOn w:val="24"/>
    <w:link w:val="9"/>
    <w:qFormat/>
    <w:uiPriority w:val="0"/>
    <w:rPr>
      <w:kern w:val="2"/>
      <w:sz w:val="21"/>
      <w:szCs w:val="24"/>
    </w:rPr>
  </w:style>
  <w:style w:type="character" w:customStyle="1" w:styleId="63">
    <w:name w:val="批注主题 Char"/>
    <w:basedOn w:val="62"/>
    <w:link w:val="20"/>
    <w:semiHidden/>
    <w:qFormat/>
    <w:uiPriority w:val="99"/>
    <w:rPr>
      <w:b/>
      <w:bCs/>
      <w:kern w:val="2"/>
      <w:sz w:val="21"/>
      <w:szCs w:val="24"/>
    </w:rPr>
  </w:style>
  <w:style w:type="paragraph" w:customStyle="1" w:styleId="64">
    <w:name w:val="正文首行缩进1"/>
    <w:basedOn w:val="2"/>
    <w:qFormat/>
    <w:uiPriority w:val="0"/>
    <w:pPr>
      <w:ind w:firstLine="420" w:firstLineChars="100"/>
    </w:pPr>
  </w:style>
  <w:style w:type="paragraph" w:customStyle="1" w:styleId="65">
    <w:name w:val="纯文本1"/>
    <w:basedOn w:val="51"/>
    <w:qFormat/>
    <w:uiPriority w:val="0"/>
    <w:pPr>
      <w:widowControl/>
      <w:jc w:val="left"/>
    </w:pPr>
    <w:rPr>
      <w:rFonts w:hAnsi="Courier New"/>
    </w:rPr>
  </w:style>
  <w:style w:type="paragraph" w:customStyle="1" w:styleId="66">
    <w:name w:val="正文2"/>
    <w:basedOn w:val="1"/>
    <w:qFormat/>
    <w:uiPriority w:val="0"/>
    <w:pPr>
      <w:spacing w:before="156" w:line="360" w:lineRule="auto"/>
      <w:ind w:firstLine="510" w:firstLineChars="200"/>
    </w:pPr>
    <w:rPr>
      <w:sz w:val="24"/>
      <w:szCs w:val="20"/>
    </w:rPr>
  </w:style>
  <w:style w:type="paragraph" w:customStyle="1" w:styleId="67">
    <w:name w:val="签发人"/>
    <w:basedOn w:val="1"/>
    <w:qFormat/>
    <w:uiPriority w:val="0"/>
    <w:rPr>
      <w:rFonts w:eastAsia="楷体"/>
      <w:sz w:val="32"/>
    </w:rPr>
  </w:style>
  <w:style w:type="paragraph" w:customStyle="1" w:styleId="68">
    <w:name w:val="列出段落2"/>
    <w:basedOn w:val="1"/>
    <w:qFormat/>
    <w:uiPriority w:val="0"/>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43500</Words>
  <Characters>45689</Characters>
  <Lines>355</Lines>
  <Paragraphs>100</Paragraphs>
  <TotalTime>0</TotalTime>
  <ScaleCrop>false</ScaleCrop>
  <LinksUpToDate>false</LinksUpToDate>
  <CharactersWithSpaces>46928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黄桃蛋挞</cp:lastModifiedBy>
  <cp:lastPrinted>2020-11-27T08:28:00Z</cp:lastPrinted>
  <dcterms:modified xsi:type="dcterms:W3CDTF">2022-03-23T00:56:19Z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34EB7CE110EF463FA73304273F7E4869</vt:lpwstr>
  </property>
</Properties>
</file>