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color w:val="auto"/>
          <w:highlight w:val="none"/>
        </w:rPr>
      </w:pPr>
    </w:p>
    <w:p>
      <w:pPr>
        <w:pStyle w:val="2"/>
        <w:jc w:val="center"/>
        <w:rPr>
          <w:color w:val="auto"/>
          <w:highlight w:val="none"/>
        </w:rPr>
      </w:pPr>
      <w:r>
        <w:rPr>
          <w:color w:val="auto"/>
          <w:highlight w:val="none"/>
        </w:rPr>
        <w:drawing>
          <wp:anchor distT="0" distB="0" distL="0" distR="0" simplePos="0" relativeHeight="251662336"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pPr>
        <w:pStyle w:val="2"/>
        <w:jc w:val="center"/>
        <w:rPr>
          <w:color w:val="auto"/>
          <w:highlight w:val="none"/>
        </w:rPr>
      </w:pPr>
    </w:p>
    <w:p>
      <w:pPr>
        <w:pStyle w:val="2"/>
        <w:jc w:val="center"/>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84"/>
          <w:szCs w:val="8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84"/>
          <w:szCs w:val="8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Theme="majorEastAsia" w:hAnsiTheme="majorEastAsia" w:eastAsiaTheme="majorEastAsia"/>
          <w:b/>
          <w:color w:val="auto"/>
          <w:kern w:val="0"/>
          <w:sz w:val="72"/>
          <w:szCs w:val="72"/>
          <w:highlight w:val="none"/>
        </w:rPr>
      </w:pPr>
      <w:r>
        <w:rPr>
          <w:rFonts w:hint="eastAsia" w:asciiTheme="majorEastAsia" w:hAnsiTheme="majorEastAsia" w:eastAsiaTheme="majorEastAsia"/>
          <w:b/>
          <w:color w:val="auto"/>
          <w:kern w:val="0"/>
          <w:sz w:val="72"/>
          <w:szCs w:val="72"/>
          <w:highlight w:val="none"/>
        </w:rPr>
        <w:t xml:space="preserve">   政府采购招标文件</w:t>
      </w:r>
    </w:p>
    <w:p>
      <w:pPr>
        <w:spacing w:line="360" w:lineRule="auto"/>
        <w:jc w:val="center"/>
        <w:rPr>
          <w:rFonts w:ascii="宋体"/>
          <w:color w:val="auto"/>
          <w:kern w:val="0"/>
          <w:sz w:val="28"/>
          <w:szCs w:val="28"/>
          <w:highlight w:val="none"/>
        </w:rPr>
      </w:pPr>
      <w:r>
        <w:rPr>
          <w:rFonts w:hint="eastAsia" w:ascii="宋体"/>
          <w:b/>
          <w:bCs/>
          <w:color w:val="auto"/>
          <w:kern w:val="0"/>
          <w:sz w:val="32"/>
          <w:szCs w:val="32"/>
          <w:highlight w:val="none"/>
        </w:rPr>
        <w:t>（电子招投标方式）</w:t>
      </w:r>
    </w:p>
    <w:p>
      <w:pPr>
        <w:spacing w:line="360" w:lineRule="auto"/>
        <w:jc w:val="center"/>
        <w:rPr>
          <w:rFonts w:ascii="仿宋" w:hAnsi="仿宋"/>
          <w:b/>
          <w:color w:val="auto"/>
          <w:kern w:val="0"/>
          <w:sz w:val="28"/>
          <w:szCs w:val="28"/>
          <w:highlight w:val="none"/>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tzya2021-lq63</w:t>
      </w:r>
    </w:p>
    <w:p>
      <w:pPr>
        <w:pStyle w:val="2"/>
        <w:jc w:val="center"/>
        <w:rPr>
          <w:color w:val="auto"/>
          <w:highlight w:val="none"/>
        </w:rPr>
      </w:pPr>
    </w:p>
    <w:p>
      <w:pPr>
        <w:pStyle w:val="2"/>
        <w:jc w:val="center"/>
        <w:rPr>
          <w:color w:val="auto"/>
          <w:highlight w:val="none"/>
        </w:rPr>
      </w:pPr>
    </w:p>
    <w:p>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街道道路清扫保洁、垃圾清运和垃圾分类项目</w:t>
      </w:r>
    </w:p>
    <w:p>
      <w:pPr>
        <w:spacing w:line="360" w:lineRule="auto"/>
        <w:jc w:val="center"/>
        <w:rPr>
          <w:rFonts w:ascii="宋体"/>
          <w:color w:val="auto"/>
          <w:kern w:val="0"/>
          <w:sz w:val="28"/>
          <w:szCs w:val="28"/>
          <w:highlight w:val="none"/>
          <w:u w:val="single"/>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台州市路桥区人民政府螺洋街道办事处</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1405" w:firstLineChars="500"/>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pPr>
        <w:pStyle w:val="2"/>
        <w:rPr>
          <w:color w:val="auto"/>
          <w:highlight w:val="none"/>
        </w:rPr>
      </w:pPr>
    </w:p>
    <w:p>
      <w:pPr>
        <w:pStyle w:val="2"/>
        <w:jc w:val="center"/>
        <w:rPr>
          <w:rFonts w:hint="eastAsia" w:ascii="宋体" w:eastAsia="宋体"/>
          <w:color w:val="auto"/>
          <w:kern w:val="0"/>
          <w:szCs w:val="21"/>
          <w:highlight w:val="none"/>
          <w:lang w:eastAsia="zh-CN"/>
        </w:rPr>
      </w:pPr>
      <w:r>
        <w:rPr>
          <w:rFonts w:hint="eastAsia" w:ascii="宋体"/>
          <w:color w:val="auto"/>
          <w:kern w:val="0"/>
          <w:sz w:val="28"/>
          <w:szCs w:val="28"/>
          <w:highlight w:val="none"/>
          <w:lang w:eastAsia="zh-CN"/>
        </w:rPr>
        <w:t>二○二一年十一月</w:t>
      </w:r>
    </w:p>
    <w:p>
      <w:pPr>
        <w:pStyle w:val="2"/>
        <w:jc w:val="center"/>
        <w:rPr>
          <w:rFonts w:ascii="宋体"/>
          <w:color w:val="auto"/>
          <w:kern w:val="0"/>
          <w:szCs w:val="21"/>
          <w:highlight w:val="none"/>
        </w:rPr>
      </w:pPr>
    </w:p>
    <w:p>
      <w:pPr>
        <w:pStyle w:val="2"/>
        <w:rPr>
          <w:color w:val="auto"/>
          <w:highlight w:val="none"/>
        </w:rPr>
      </w:pPr>
    </w:p>
    <w:p>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公开招标采购公告</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投标人须知</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评标办法及评分标准</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公开招标需求</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政府采购合同主要条款</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投标文件格式附件</w:t>
      </w: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b/>
          <w:color w:val="auto"/>
          <w:kern w:val="0"/>
          <w:sz w:val="36"/>
          <w:szCs w:val="36"/>
          <w:highlight w:val="none"/>
        </w:rPr>
        <w:sectPr>
          <w:headerReference r:id="rId3" w:type="default"/>
          <w:footerReference r:id="rId4" w:type="default"/>
          <w:pgSz w:w="11906" w:h="16838"/>
          <w:pgMar w:top="1440" w:right="1440" w:bottom="1440" w:left="1803" w:header="851" w:footer="992" w:gutter="0"/>
          <w:cols w:space="0" w:num="1"/>
          <w:docGrid w:type="lines" w:linePitch="325" w:charSpace="0"/>
        </w:sect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Cs w:val="21"/>
          <w:highlight w:val="none"/>
        </w:rPr>
        <w:t>台州市路桥区人民政府螺洋街道办事处</w:t>
      </w:r>
      <w:r>
        <w:rPr>
          <w:rFonts w:hint="eastAsia" w:asciiTheme="minorEastAsia" w:hAnsiTheme="minorEastAsia" w:eastAsiaTheme="minorEastAsia" w:cstheme="minorEastAsia"/>
          <w:color w:val="auto"/>
          <w:szCs w:val="21"/>
          <w:highlight w:val="none"/>
        </w:rPr>
        <w:t>委托，现就其</w:t>
      </w:r>
      <w:r>
        <w:rPr>
          <w:rFonts w:hint="eastAsia" w:asciiTheme="minorEastAsia" w:hAnsiTheme="minorEastAsia" w:eastAsiaTheme="minorEastAsia" w:cstheme="minorEastAsia"/>
          <w:b/>
          <w:bCs/>
          <w:color w:val="auto"/>
          <w:szCs w:val="21"/>
          <w:highlight w:val="none"/>
        </w:rPr>
        <w:t>街道道路清扫保洁、垃圾清运和垃圾分类项目</w:t>
      </w:r>
      <w:r>
        <w:rPr>
          <w:rFonts w:hint="eastAsia" w:asciiTheme="minorEastAsia" w:hAnsiTheme="minorEastAsia" w:eastAsiaTheme="minorEastAsia" w:cstheme="minorEastAsia"/>
          <w:color w:val="auto"/>
          <w:szCs w:val="21"/>
          <w:highlight w:val="none"/>
        </w:rPr>
        <w:t>进行公开招标采购，欢迎合格供应商前来投标。</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一、项目编号：tzya2021-lq63</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18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ascii="宋体" w:hAnsi="宋体"/>
                <w:b/>
                <w:color w:val="auto"/>
                <w:szCs w:val="21"/>
                <w:highlight w:val="none"/>
              </w:rPr>
            </w:pPr>
            <w:bookmarkStart w:id="0" w:name="EBc3c9f0bc06b6413d849824fe98ba274c"/>
            <w:r>
              <w:rPr>
                <w:rFonts w:hint="eastAsia" w:ascii="宋体" w:hAnsi="宋体"/>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cs="宋体"/>
                <w:b/>
                <w:color w:val="auto"/>
                <w:kern w:val="0"/>
                <w:szCs w:val="21"/>
                <w:highlight w:val="none"/>
              </w:rPr>
              <w:t>简要技术要求</w:t>
            </w:r>
          </w:p>
        </w:tc>
        <w:tc>
          <w:tcPr>
            <w:tcW w:w="68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单位</w:t>
            </w:r>
          </w:p>
        </w:tc>
        <w:tc>
          <w:tcPr>
            <w:tcW w:w="118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预算</w:t>
            </w:r>
          </w:p>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（万元）</w:t>
            </w:r>
          </w:p>
        </w:tc>
        <w:tc>
          <w:tcPr>
            <w:tcW w:w="1487" w:type="dxa"/>
            <w:vAlign w:val="center"/>
          </w:tcPr>
          <w:p>
            <w:pPr>
              <w:tabs>
                <w:tab w:val="left" w:pos="8280"/>
              </w:tabs>
              <w:autoSpaceDE w:val="0"/>
              <w:autoSpaceDN w:val="0"/>
              <w:adjustRightInd w:val="0"/>
              <w:ind w:right="25" w:firstLine="240"/>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203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街道道路清扫保洁、垃圾清运和垃圾分类项目</w:t>
            </w:r>
          </w:p>
        </w:tc>
        <w:tc>
          <w:tcPr>
            <w:tcW w:w="129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详见项目需求</w:t>
            </w:r>
          </w:p>
        </w:tc>
        <w:tc>
          <w:tcPr>
            <w:tcW w:w="68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694"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项</w:t>
            </w:r>
          </w:p>
        </w:tc>
        <w:tc>
          <w:tcPr>
            <w:tcW w:w="1184"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945.787</w:t>
            </w:r>
          </w:p>
        </w:tc>
        <w:tc>
          <w:tcPr>
            <w:tcW w:w="1487" w:type="dxa"/>
            <w:vAlign w:val="center"/>
          </w:tcPr>
          <w:p>
            <w:pPr>
              <w:tabs>
                <w:tab w:val="left" w:pos="8280"/>
              </w:tabs>
              <w:autoSpaceDE w:val="0"/>
              <w:autoSpaceDN w:val="0"/>
              <w:adjustRightInd w:val="0"/>
              <w:ind w:right="25"/>
              <w:jc w:val="center"/>
              <w:rPr>
                <w:rFonts w:ascii="宋体" w:hAnsi="宋体"/>
                <w:color w:val="auto"/>
                <w:szCs w:val="21"/>
                <w:highlight w:val="none"/>
              </w:rPr>
            </w:pPr>
          </w:p>
        </w:tc>
      </w:tr>
      <w:bookmarkEnd w:id="0"/>
    </w:tbl>
    <w:p>
      <w:pPr>
        <w:widowControl/>
        <w:tabs>
          <w:tab w:val="left" w:pos="0"/>
        </w:tabs>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本项目采用“电子交易”的方式提交投标文件（同时提供备份投标文件），请各投标人按照要求进行。</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三、合格投标人的资格条件：</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案件当事人名单、政府采购严重违法失信行为记录名单。</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（1）本项目不接受联合体投标。</w:t>
      </w:r>
    </w:p>
    <w:p>
      <w:pPr>
        <w:snapToGrid w:val="0"/>
        <w:spacing w:line="360" w:lineRule="auto"/>
        <w:ind w:firstLine="498" w:firstLineChars="236"/>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四、招标文件获取的方式、时间:</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本项目招标文件实行“浙江政府采购网”</w:t>
      </w:r>
      <w:r>
        <w:rPr>
          <w:rStyle w:val="25"/>
          <w:rFonts w:hint="eastAsia" w:asciiTheme="minorEastAsia" w:hAnsiTheme="minorEastAsia" w:eastAsiaTheme="minorEastAsia" w:cstheme="minorEastAsia"/>
          <w:color w:val="auto"/>
          <w:sz w:val="21"/>
          <w:szCs w:val="21"/>
          <w:highlight w:val="none"/>
        </w:rPr>
        <w:t>（http://zfcg.czt.zj.gov.cn）</w:t>
      </w:r>
      <w:r>
        <w:rPr>
          <w:rFonts w:hint="eastAsia" w:asciiTheme="minorEastAsia" w:hAnsiTheme="minorEastAsia" w:eastAsiaTheme="minorEastAsia" w:cstheme="minorEastAsia"/>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5"/>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2、获取</w:t>
      </w:r>
      <w:r>
        <w:rPr>
          <w:rStyle w:val="25"/>
          <w:rFonts w:hint="eastAsia" w:asciiTheme="minorEastAsia" w:hAnsiTheme="minorEastAsia" w:eastAsiaTheme="minorEastAsia" w:cstheme="minorEastAsia"/>
          <w:color w:val="auto"/>
          <w:sz w:val="21"/>
          <w:szCs w:val="21"/>
          <w:highlight w:val="none"/>
        </w:rPr>
        <w:t>方式：潜在供应商登陆政府采购云平台，在线申请获取招标文件</w:t>
      </w:r>
      <w:r>
        <w:rPr>
          <w:rStyle w:val="25"/>
          <w:rFonts w:hint="eastAsia" w:asciiTheme="minorEastAsia" w:hAnsiTheme="minorEastAsia" w:eastAsiaTheme="minorEastAsia" w:cstheme="minorEastAsia"/>
          <w:b w:val="0"/>
          <w:bCs/>
          <w:color w:val="auto"/>
          <w:sz w:val="21"/>
          <w:szCs w:val="21"/>
          <w:highlight w:val="none"/>
        </w:rPr>
        <w:t>（进入“项目采购”应用，在获取招标文件菜单中选择项目，申请获取招标文件，本项目招标文件不收取工本费；</w:t>
      </w:r>
      <w:r>
        <w:rPr>
          <w:rStyle w:val="25"/>
          <w:rFonts w:hint="eastAsia" w:asciiTheme="minorEastAsia" w:hAnsiTheme="minorEastAsia" w:eastAsiaTheme="minorEastAsia" w:cstheme="minorEastAsia"/>
          <w:b w:val="0"/>
          <w:bCs/>
          <w:color w:val="auto"/>
          <w:sz w:val="21"/>
          <w:szCs w:val="21"/>
          <w:highlight w:val="none"/>
          <w:u w:val="single"/>
        </w:rPr>
        <w:t>仅需浏览招标文件的供应商可点击“游客，浏览招标文件”直接下载招标文件浏览</w:t>
      </w:r>
      <w:r>
        <w:rPr>
          <w:rStyle w:val="25"/>
          <w:rFonts w:hint="eastAsia" w:asciiTheme="minorEastAsia" w:hAnsiTheme="minorEastAsia" w:eastAsiaTheme="minorEastAsia" w:cstheme="minorEastAsia"/>
          <w:b w:val="0"/>
          <w:bCs/>
          <w:color w:val="auto"/>
          <w:sz w:val="21"/>
          <w:szCs w:val="21"/>
          <w:highlight w:val="none"/>
        </w:rPr>
        <w:t>）；</w:t>
      </w:r>
    </w:p>
    <w:p>
      <w:pPr>
        <w:spacing w:line="360" w:lineRule="auto"/>
        <w:ind w:firstLine="422" w:firstLineChars="200"/>
        <w:rPr>
          <w:rFonts w:hint="eastAsia" w:asciiTheme="minorEastAsia" w:hAnsiTheme="minorEastAsia" w:eastAsiaTheme="minorEastAsia" w:cstheme="minorEastAsia"/>
          <w:color w:val="auto"/>
          <w:szCs w:val="21"/>
          <w:highlight w:val="none"/>
          <w:lang w:eastAsia="zh-CN"/>
        </w:rPr>
      </w:pPr>
      <w:r>
        <w:rPr>
          <w:rStyle w:val="25"/>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Cs w:val="21"/>
          <w:highlight w:val="none"/>
        </w:rPr>
        <w:t>获取（公告）时间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2021年11月17日至2021年12月9日</w:t>
      </w:r>
    </w:p>
    <w:p>
      <w:pPr>
        <w:spacing w:line="360" w:lineRule="auto"/>
        <w:ind w:firstLine="911" w:firstLineChars="43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（上午：0:00-12:00</w:t>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ab/>
      </w:r>
      <w:r>
        <w:rPr>
          <w:rFonts w:hint="eastAsia" w:asciiTheme="minorEastAsia" w:hAnsiTheme="minorEastAsia" w:eastAsiaTheme="minorEastAsia" w:cstheme="minorEastAsia"/>
          <w:color w:val="auto"/>
          <w:szCs w:val="21"/>
          <w:highlight w:val="none"/>
        </w:rPr>
        <w:t>下午：12：00-23:59）</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Style w:val="25"/>
          <w:rFonts w:hint="eastAsia" w:asciiTheme="minorEastAsia" w:hAnsiTheme="minorEastAsia" w:eastAsiaTheme="minorEastAsia" w:cstheme="minorEastAsia"/>
          <w:b w:val="0"/>
          <w:color w:val="auto"/>
          <w:sz w:val="21"/>
          <w:szCs w:val="21"/>
          <w:highlight w:val="none"/>
        </w:rPr>
        <w:t>供应商网上报名操作指南：“浙江政府采购网-办事指南-省采中心-网上报名”（http://zfcg.czt.zj.gov.cn/bs_other/2018-03-30/12002.html）。</w:t>
      </w:r>
    </w:p>
    <w:p>
      <w:pPr>
        <w:pStyle w:val="18"/>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b w:val="0"/>
          <w:color w:val="auto"/>
          <w:sz w:val="21"/>
          <w:szCs w:val="21"/>
          <w:highlight w:val="none"/>
        </w:rPr>
        <w:t>5、供应商获取招标文件时须提交的文件资料：无；</w:t>
      </w:r>
    </w:p>
    <w:p>
      <w:pPr>
        <w:pStyle w:val="18"/>
        <w:spacing w:before="0" w:beforeAutospacing="0" w:after="0" w:afterAutospacing="0" w:line="360" w:lineRule="auto"/>
        <w:ind w:firstLine="422" w:firstLineChars="200"/>
        <w:rPr>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spacing w:before="0" w:beforeAutospacing="0" w:after="0" w:afterAutospacing="0" w:line="360" w:lineRule="auto"/>
        <w:ind w:firstLine="480"/>
        <w:rPr>
          <w:rStyle w:val="25"/>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注：请供应商按上述要求获取招标文件，如未在“政府采购云平台”系统内完成相关流程，引起的投标无效责任自负。</w:t>
      </w:r>
    </w:p>
    <w:p>
      <w:pPr>
        <w:pStyle w:val="18"/>
        <w:spacing w:before="0" w:beforeAutospacing="0" w:after="0" w:afterAutospacing="0" w:line="360" w:lineRule="auto"/>
        <w:ind w:firstLine="420" w:firstLineChars="200"/>
        <w:rPr>
          <w:rFonts w:asciiTheme="minorEastAsia" w:hAnsiTheme="minorEastAsia" w:eastAsiaTheme="minorEastAsia" w:cstheme="minorEastAsia"/>
          <w:b/>
          <w:bCs/>
          <w:color w:val="auto"/>
          <w:sz w:val="21"/>
          <w:szCs w:val="21"/>
          <w:highlight w:val="none"/>
        </w:rPr>
      </w:pPr>
      <w:r>
        <w:rPr>
          <w:rStyle w:val="25"/>
          <w:rFonts w:hint="eastAsia" w:asciiTheme="minorEastAsia" w:hAnsiTheme="minorEastAsia" w:eastAsiaTheme="minorEastAsia" w:cstheme="minorEastAsia"/>
          <w:b w:val="0"/>
          <w:bCs/>
          <w:color w:val="auto"/>
          <w:kern w:val="2"/>
          <w:sz w:val="21"/>
          <w:szCs w:val="21"/>
          <w:highlight w:val="none"/>
        </w:rPr>
        <w:t>7、采购文件发售截止时间之后有潜在供应商提出要求获取采购文件的，采购组织机构应允许其获取，但该供应商如对采购文件有异议应按规定的时间提出，逾期提出的，采购组织机构可不予受理、答复。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五、招标答疑会</w:t>
      </w:r>
    </w:p>
    <w:p>
      <w:pPr>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六、投标须知：</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1、投标截止时间与地点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2021年12月9日下午14:00</w:t>
      </w:r>
      <w:r>
        <w:rPr>
          <w:rFonts w:hint="eastAsia" w:asciiTheme="minorEastAsia" w:hAnsiTheme="minorEastAsia" w:eastAsiaTheme="minorEastAsia" w:cstheme="minorEastAsia"/>
          <w:color w:val="auto"/>
          <w:highlight w:val="none"/>
        </w:rPr>
        <w:t xml:space="preserve">整，地点：通过“政府采购云平台（www.zcygov.cn）”实行在线投标响应   </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2、开标时间及地点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2021年12月9日下午14:00</w:t>
      </w:r>
      <w:r>
        <w:rPr>
          <w:rFonts w:hint="eastAsia" w:asciiTheme="minorEastAsia" w:hAnsiTheme="minorEastAsia" w:eastAsiaTheme="minorEastAsia" w:cstheme="minorEastAsia"/>
          <w:color w:val="auto"/>
          <w:highlight w:val="none"/>
        </w:rPr>
        <w:t>整，地点：</w:t>
      </w:r>
      <w:r>
        <w:rPr>
          <w:rFonts w:hint="eastAsia" w:asciiTheme="minorEastAsia" w:hAnsiTheme="minorEastAsia" w:eastAsiaTheme="minorEastAsia" w:cstheme="minorEastAsia"/>
          <w:color w:val="auto"/>
          <w:kern w:val="2"/>
          <w:szCs w:val="24"/>
          <w:highlight w:val="none"/>
        </w:rPr>
        <w:t>通过“政府采购云平台（</w:t>
      </w:r>
      <w:r>
        <w:rPr>
          <w:rFonts w:asciiTheme="minorEastAsia" w:hAnsiTheme="minorEastAsia" w:eastAsiaTheme="minorEastAsia" w:cstheme="minorEastAsia"/>
          <w:color w:val="auto"/>
          <w:kern w:val="2"/>
          <w:szCs w:val="24"/>
          <w:highlight w:val="none"/>
        </w:rPr>
        <w:t>www.zcygov.cn）”实行在线投标响应</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3、解密截止时间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2021年12月9日下午14:</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eastAsia="zh-CN"/>
        </w:rPr>
        <w:t>0</w:t>
      </w:r>
      <w:r>
        <w:rPr>
          <w:rFonts w:hint="eastAsia" w:asciiTheme="minorEastAsia" w:hAnsiTheme="minorEastAsia" w:eastAsiaTheme="minorEastAsia" w:cstheme="minorEastAsia"/>
          <w:color w:val="auto"/>
          <w:highlight w:val="none"/>
        </w:rPr>
        <w:t>整</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七、在线投标响应（电子投标）说明</w:t>
      </w:r>
    </w:p>
    <w:p>
      <w:pPr>
        <w:pStyle w:val="12"/>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2"/>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2"/>
        <w:snapToGrid w:val="0"/>
        <w:spacing w:line="360" w:lineRule="auto"/>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Theme="minorEastAsia" w:hAnsiTheme="minorEastAsia" w:eastAsiaTheme="minorEastAsia" w:cstheme="minorEastAsia"/>
          <w:b/>
          <w:bCs/>
          <w:color w:val="auto"/>
          <w:highlight w:val="none"/>
        </w:rPr>
        <w:t>CA驱动和申领流程</w:t>
      </w:r>
      <w:r>
        <w:rPr>
          <w:rFonts w:hint="eastAsia" w:asciiTheme="minorEastAsia" w:hAnsiTheme="minorEastAsia" w:eastAsiaTheme="minorEastAsia" w:cstheme="minorEastAsia"/>
          <w:b/>
          <w:bCs/>
          <w:color w:val="auto"/>
          <w:highlight w:val="none"/>
        </w:rPr>
        <w:fldChar w:fldCharType="end"/>
      </w:r>
      <w:r>
        <w:rPr>
          <w:rFonts w:hint="eastAsia" w:asciiTheme="minorEastAsia" w:hAnsiTheme="minorEastAsia" w:eastAsiaTheme="minorEastAsia" w:cstheme="minorEastAsia"/>
          <w:b/>
          <w:bCs/>
          <w:color w:val="auto"/>
          <w:highlight w:val="none"/>
        </w:rPr>
        <w:t>”进行查阅；</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3、投标人通过政府采购云平台电子投标工具制作投标文件，电子投标工具请供应商自行前往浙江政府采购网下载并安装，（下载网址：</w:t>
      </w:r>
      <w:r>
        <w:rPr>
          <w:color w:val="auto"/>
          <w:highlight w:val="none"/>
        </w:rPr>
        <w:fldChar w:fldCharType="begin"/>
      </w:r>
      <w:r>
        <w:rPr>
          <w:color w:val="auto"/>
          <w:highlight w:val="none"/>
        </w:rPr>
        <w:instrText xml:space="preserve"> HYPERLINK "http://www.zjzfcg.gov.cn/bidClientTemplate/2019-05-27/12946.html" </w:instrText>
      </w:r>
      <w:r>
        <w:rPr>
          <w:color w:val="auto"/>
          <w:highlight w:val="none"/>
        </w:rPr>
        <w:fldChar w:fldCharType="separate"/>
      </w:r>
      <w:r>
        <w:rPr>
          <w:rFonts w:hint="eastAsia" w:asciiTheme="minorEastAsia" w:hAnsiTheme="minorEastAsia" w:eastAsiaTheme="minorEastAsia" w:cstheme="minorEastAsia"/>
          <w:b/>
          <w:bCs/>
          <w:color w:val="auto"/>
          <w:kern w:val="0"/>
          <w:szCs w:val="21"/>
          <w:highlight w:val="none"/>
        </w:rPr>
        <w:t>http://zfcg.czt.zj.gov.cn/bidClientTemplate/2019-05-27/12946.html</w:t>
      </w:r>
      <w:r>
        <w:rPr>
          <w:rFonts w:hint="eastAsia" w:asciiTheme="minorEastAsia" w:hAnsiTheme="minorEastAsia" w:eastAsiaTheme="minorEastAsia" w:cstheme="minorEastAsia"/>
          <w:b/>
          <w:bCs/>
          <w:color w:val="auto"/>
          <w:kern w:val="0"/>
          <w:szCs w:val="21"/>
          <w:highlight w:val="none"/>
        </w:rPr>
        <w:fldChar w:fldCharType="end"/>
      </w:r>
      <w:r>
        <w:rPr>
          <w:rFonts w:hint="eastAsia" w:asciiTheme="minorEastAsia" w:hAnsiTheme="minorEastAsia" w:eastAsiaTheme="minorEastAsia" w:cstheme="minorEastAsia"/>
          <w:b/>
          <w:bCs/>
          <w:color w:val="auto"/>
          <w:kern w:val="0"/>
          <w:szCs w:val="21"/>
          <w:highlight w:val="none"/>
        </w:rPr>
        <w:t>），电子投标具体流程文档详见网址：https://help.zcygov.cn/web/site_2/2018/12-28/2573.html。</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5、本项目需要投标人同时提供</w:t>
      </w:r>
      <w:r>
        <w:rPr>
          <w:rFonts w:hint="eastAsia" w:asciiTheme="minorEastAsia" w:hAnsiTheme="minorEastAsia" w:eastAsiaTheme="minorEastAsia" w:cstheme="minorEastAsia"/>
          <w:b/>
          <w:bCs/>
          <w:color w:val="auto"/>
          <w:szCs w:val="21"/>
          <w:highlight w:val="none"/>
        </w:rPr>
        <w:t>以介质（U盘）存储的数据电文形式的备份</w:t>
      </w:r>
      <w:r>
        <w:rPr>
          <w:rFonts w:hint="eastAsia" w:asciiTheme="minorEastAsia" w:hAnsiTheme="minorEastAsia" w:eastAsiaTheme="minorEastAsia" w:cstheme="minorEastAsia"/>
          <w:b/>
          <w:bCs/>
          <w:color w:val="auto"/>
          <w:kern w:val="0"/>
          <w:szCs w:val="21"/>
          <w:highlight w:val="none"/>
        </w:rPr>
        <w:t>投标文件。备份投标文件应当在投标截止时间前按要求密封并</w:t>
      </w:r>
      <w:r>
        <w:rPr>
          <w:rFonts w:hint="eastAsia" w:asciiTheme="minorEastAsia" w:hAnsiTheme="minorEastAsia" w:eastAsiaTheme="minorEastAsia" w:cstheme="minorEastAsia"/>
          <w:b/>
          <w:bCs/>
          <w:color w:val="auto"/>
          <w:szCs w:val="21"/>
          <w:highlight w:val="none"/>
        </w:rPr>
        <w:t>顺丰</w:t>
      </w:r>
      <w:r>
        <w:rPr>
          <w:rFonts w:hint="eastAsia" w:asciiTheme="minorEastAsia" w:hAnsiTheme="minorEastAsia" w:eastAsiaTheme="minorEastAsia" w:cstheme="minorEastAsia"/>
          <w:b/>
          <w:bCs/>
          <w:color w:val="auto"/>
          <w:kern w:val="0"/>
          <w:szCs w:val="21"/>
          <w:highlight w:val="none"/>
        </w:rPr>
        <w:t>邮寄到</w:t>
      </w:r>
      <w:r>
        <w:rPr>
          <w:rFonts w:hint="eastAsia" w:asciiTheme="minorEastAsia" w:hAnsiTheme="minorEastAsia" w:eastAsiaTheme="minorEastAsia" w:cstheme="minorEastAsia"/>
          <w:b/>
          <w:bCs/>
          <w:color w:val="auto"/>
          <w:szCs w:val="21"/>
          <w:highlight w:val="none"/>
        </w:rPr>
        <w:t>台州市椒江区中环世纪6幢801室（交通银行台州分行楼上）</w:t>
      </w:r>
      <w:r>
        <w:rPr>
          <w:rFonts w:hint="eastAsia" w:asciiTheme="minorEastAsia" w:hAnsiTheme="minorEastAsia" w:eastAsiaTheme="minorEastAsia" w:cstheme="minorEastAsia"/>
          <w:b/>
          <w:bCs/>
          <w:color w:val="auto"/>
          <w:kern w:val="0"/>
          <w:szCs w:val="21"/>
          <w:highlight w:val="none"/>
        </w:rPr>
        <w:t>，逾期寄达或未按要求密封将被拒收。</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3"/>
        <w:spacing w:line="360" w:lineRule="auto"/>
        <w:ind w:left="0" w:leftChars="0" w:firstLine="422" w:firstLineChars="200"/>
        <w:rPr>
          <w:rFonts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7、在政府采购活动中，供应商提供的货物、工程或者服务符合下列情形的，享受本办法规定的中小企业扶持政策： </w:t>
      </w:r>
      <w:r>
        <w:rPr>
          <w:rFonts w:asciiTheme="minorEastAsia" w:hAnsiTheme="minorEastAsia" w:eastAsiaTheme="minorEastAsia" w:cstheme="minorEastAsia"/>
          <w:b/>
          <w:bCs/>
          <w:color w:val="auto"/>
          <w:kern w:val="0"/>
          <w:sz w:val="21"/>
          <w:szCs w:val="21"/>
          <w:highlight w:val="none"/>
        </w:rPr>
        <w:t>①</w:t>
      </w:r>
      <w:r>
        <w:rPr>
          <w:rFonts w:hint="eastAsia" w:asciiTheme="minorEastAsia" w:hAnsiTheme="minorEastAsia" w:eastAsiaTheme="minorEastAsia" w:cstheme="minorEastAsia"/>
          <w:b/>
          <w:bCs/>
          <w:color w:val="auto"/>
          <w:kern w:val="0"/>
          <w:sz w:val="21"/>
          <w:szCs w:val="21"/>
          <w:highlight w:val="none"/>
        </w:rPr>
        <w:t xml:space="preserve">在货物采购项目中，货物由中小企业制造，即货物由中小企业生产且使用该中小企业商号或者注册商标； </w:t>
      </w:r>
      <w:r>
        <w:rPr>
          <w:rFonts w:asciiTheme="minorEastAsia" w:hAnsiTheme="minorEastAsia" w:eastAsiaTheme="minorEastAsia" w:cstheme="minorEastAsia"/>
          <w:b/>
          <w:bCs/>
          <w:color w:val="auto"/>
          <w:kern w:val="0"/>
          <w:sz w:val="21"/>
          <w:szCs w:val="21"/>
          <w:highlight w:val="none"/>
        </w:rPr>
        <w:t>②</w:t>
      </w:r>
      <w:r>
        <w:rPr>
          <w:rFonts w:hint="eastAsia" w:asciiTheme="minorEastAsia" w:hAnsiTheme="minorEastAsia" w:eastAsiaTheme="minorEastAsia" w:cstheme="minorEastAsia"/>
          <w:b/>
          <w:bCs/>
          <w:color w:val="auto"/>
          <w:kern w:val="0"/>
          <w:sz w:val="21"/>
          <w:szCs w:val="21"/>
          <w:highlight w:val="none"/>
        </w:rPr>
        <w:t xml:space="preserve">在工程采购项目中，工程由中小企业承建，即工程施工单位为中小企业； </w:t>
      </w:r>
      <w:r>
        <w:rPr>
          <w:rFonts w:asciiTheme="minorEastAsia" w:hAnsiTheme="minorEastAsia" w:eastAsiaTheme="minorEastAsia" w:cstheme="minorEastAsia"/>
          <w:b/>
          <w:bCs/>
          <w:color w:val="auto"/>
          <w:kern w:val="0"/>
          <w:sz w:val="21"/>
          <w:szCs w:val="21"/>
          <w:highlight w:val="none"/>
        </w:rPr>
        <w:t>③</w:t>
      </w:r>
      <w:r>
        <w:rPr>
          <w:rFonts w:hint="eastAsia" w:asciiTheme="minorEastAsia" w:hAnsiTheme="minorEastAsia" w:eastAsiaTheme="minorEastAsia" w:cstheme="minorEastAsia"/>
          <w:b/>
          <w:bCs/>
          <w:color w:val="auto"/>
          <w:kern w:val="0"/>
          <w:sz w:val="21"/>
          <w:szCs w:val="21"/>
          <w:highlight w:val="none"/>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1、查询渠道：“信用中国”（www.creditchina.gov.cn）、“中国政府采购网”（www.ccgp.gov.cn）、“浙江政府采购网（</w:t>
      </w:r>
      <w:r>
        <w:rPr>
          <w:rFonts w:hint="eastAsia" w:asciiTheme="minorEastAsia" w:hAnsiTheme="minorEastAsia" w:eastAsiaTheme="minorEastAsia" w:cstheme="minorEastAsia"/>
          <w:color w:val="auto"/>
          <w:kern w:val="0"/>
          <w:szCs w:val="21"/>
          <w:highlight w:val="none"/>
        </w:rPr>
        <w:t>http://zfcg.czt.zj.gov.cn</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2、信用信息查询的截止时点：开标后评标前。</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的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九、相关注意事项：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认为采购文件使自己的权益受到损害的，可以自收到采购文件之日（获取截止日之后收到采购文件的，以获取截止日为准）起7个工作日内，以书面形式一次性向采购人和采购代理机构提出同一环节（包括招标过程、采购结果等环节）的质疑，以供应商提供质疑函原件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2、根据《浙江省政府采购供应商注册及诚信管理暂行办法》浙财采监【2009】28号文件，请各投标供应商及时办理浙江政府采购网“政府采购供应商注册”手续。</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4、本项目所有公告发布网站：“浙江政府采购网”（</w:t>
      </w:r>
      <w:r>
        <w:rPr>
          <w:rFonts w:hint="eastAsia" w:asciiTheme="minorEastAsia" w:hAnsiTheme="minorEastAsia" w:eastAsiaTheme="minorEastAsia" w:cstheme="minorEastAsia"/>
          <w:color w:val="auto"/>
          <w:kern w:val="0"/>
          <w:szCs w:val="21"/>
          <w:highlight w:val="none"/>
        </w:rPr>
        <w:t>http://zfcg.czt.zj.gov.cn）。</w:t>
      </w:r>
    </w:p>
    <w:p>
      <w:pPr>
        <w:pStyle w:val="2"/>
        <w:spacing w:after="0"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十、联系方式：</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采购代理机构名称：台州永安工程咨询有限公司</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 陈女士</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联系电话：0576-88882270，18267677445</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传真：0576-88882270；</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质疑接收人：叶先生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联系电话：13857637980</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地点：台州市椒江区中环世纪6幢801室（交通银行台州分行楼上）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2、采购人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采购人名称：台州市路桥区人民政府螺洋街道办事处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联系人：王先生； 联系电话：0576-82355302</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采购人地址：路桥区螺洋街道青春路17号</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3、同级政府采购监督管理部门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同级政府采购监督管理部门名称：台州市路桥区财政局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联系人：吴女士</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监督投诉电话：0576-82517851</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地址：台州市路桥区西路桥大道58号</w:t>
      </w:r>
    </w:p>
    <w:p>
      <w:pPr>
        <w:pStyle w:val="3"/>
        <w:spacing w:line="360" w:lineRule="auto"/>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4、其余事项</w:t>
      </w:r>
    </w:p>
    <w:p>
      <w:pPr>
        <w:rPr>
          <w:color w:val="auto"/>
          <w:sz w:val="32"/>
          <w:szCs w:val="32"/>
          <w:highlight w:val="none"/>
        </w:rPr>
      </w:pPr>
      <w:r>
        <w:rPr>
          <w:rFonts w:hint="eastAsia"/>
          <w:color w:val="auto"/>
          <w:szCs w:val="21"/>
          <w:highlight w:val="none"/>
        </w:rPr>
        <w:t>（1）合同履约保函联系方式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保险公司名称</w:t>
            </w:r>
          </w:p>
        </w:tc>
        <w:tc>
          <w:tcPr>
            <w:tcW w:w="2288"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保费率</w:t>
            </w:r>
          </w:p>
        </w:tc>
        <w:tc>
          <w:tcPr>
            <w:tcW w:w="1276"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联系人</w:t>
            </w:r>
          </w:p>
        </w:tc>
        <w:tc>
          <w:tcPr>
            <w:tcW w:w="1624"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中国人寿财产保险股份有限公司台州中心支公司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徐凌</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永诚财产保险股份有限公司台州分公司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尹刚强</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华泰财产保险有限公司台州中心支公司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年费率0.5%，最低保费1000元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王灵芳</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中国大地财产保险股份有限公司台州中心支公司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年费率1.5%，最低保费1000元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徐小明</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阳光保险台州中心支公司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林高明</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中华联合财产保险股份有限公司台州中心支公司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年费率2%，最低保费500元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王仙高</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中国人民财产保险股份有限公司台州中心支公司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年费率0.3%，最低保费1000元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王仙春</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永安财产保险股份有限公司台州中心支公司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年费率0.3%，最低保费1000</w:t>
            </w:r>
            <w:r>
              <w:rPr>
                <w:rFonts w:hint="eastAsia" w:asciiTheme="minorEastAsia" w:hAnsiTheme="minorEastAsia" w:cstheme="minorEastAsia"/>
                <w:color w:val="auto"/>
                <w:szCs w:val="21"/>
                <w:highlight w:val="none"/>
              </w:rPr>
              <w:t>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王春宇</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13676675331</w:t>
            </w:r>
          </w:p>
        </w:tc>
      </w:tr>
    </w:tbl>
    <w:p>
      <w:pPr>
        <w:rPr>
          <w:b/>
          <w:bCs/>
          <w:color w:val="auto"/>
          <w:szCs w:val="21"/>
          <w:highlight w:val="none"/>
        </w:rPr>
      </w:pPr>
    </w:p>
    <w:p>
      <w:pPr>
        <w:rPr>
          <w:color w:val="auto"/>
          <w:szCs w:val="21"/>
          <w:highlight w:val="none"/>
        </w:rPr>
      </w:pPr>
      <w:r>
        <w:rPr>
          <w:rFonts w:hint="eastAsia"/>
          <w:b/>
          <w:bCs/>
          <w:color w:val="auto"/>
          <w:szCs w:val="21"/>
          <w:highlight w:val="none"/>
        </w:rPr>
        <w:t>（</w:t>
      </w:r>
      <w:r>
        <w:rPr>
          <w:rFonts w:hint="eastAsia"/>
          <w:color w:val="auto"/>
          <w:szCs w:val="21"/>
          <w:highlight w:val="none"/>
        </w:rPr>
        <w:t>2）预付款保函联系方式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保险公司名称</w:t>
            </w:r>
          </w:p>
        </w:tc>
        <w:tc>
          <w:tcPr>
            <w:tcW w:w="2288"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保费率</w:t>
            </w:r>
          </w:p>
        </w:tc>
        <w:tc>
          <w:tcPr>
            <w:tcW w:w="12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联系人</w:t>
            </w:r>
          </w:p>
        </w:tc>
        <w:tc>
          <w:tcPr>
            <w:tcW w:w="1600"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中国人寿财产保险股份有限公司台州中心支公司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年费率3%，最低保费500元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徐凌</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阳光保险台州中心支公司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林高明</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天安财产保险股份有限公司台州中心支公司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年费率1%-2%，最低保费500元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罗赛</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13736605643</w:t>
            </w:r>
          </w:p>
        </w:tc>
      </w:tr>
    </w:tbl>
    <w:p>
      <w:pPr>
        <w:pStyle w:val="64"/>
        <w:spacing w:line="360" w:lineRule="auto"/>
        <w:ind w:firstLine="0" w:firstLineChars="0"/>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银行（中标项目贷款咨询）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中标供应商如有融资需求，可使用以下银行的政采贷服务。</w:t>
      </w:r>
    </w:p>
    <w:tbl>
      <w:tblPr>
        <w:tblStyle w:val="22"/>
        <w:tblW w:w="8938" w:type="dxa"/>
        <w:tblInd w:w="0" w:type="dxa"/>
        <w:tblLayout w:type="autofit"/>
        <w:tblCellMar>
          <w:top w:w="0" w:type="dxa"/>
          <w:left w:w="0" w:type="dxa"/>
          <w:bottom w:w="0" w:type="dxa"/>
          <w:right w:w="0" w:type="dxa"/>
        </w:tblCellMar>
      </w:tblPr>
      <w:tblGrid>
        <w:gridCol w:w="575"/>
        <w:gridCol w:w="4687"/>
        <w:gridCol w:w="1487"/>
        <w:gridCol w:w="828"/>
        <w:gridCol w:w="1361"/>
      </w:tblGrid>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序号</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银 行 名 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政采贷年利率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联系人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联系电话</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中国建设银行股份有限公司台州路桥支行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5.50%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徐剑鸿</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15167671223</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中国工商银行股份有限公司台州路桥支行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3.8%起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朱力杰</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18267601003</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中国农业银行股份有限公司台州路桥支行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4.6%-4.8%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许小波</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13626657520</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中国银行股份有限公司台州市路桥区支行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潘优优</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15168693699</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台州银行股份有限公司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7.08%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黄红芹</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13968689000</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浙江泰隆商业银行股份有限公司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7.08%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冯观凤</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17858683988</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中国邮政储蓄银行股份有限公司台州市路桥区支行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4.35%起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沈丹华</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13306566969</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交通银行股份有限公司台州路桥支行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4.05%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张颖聪</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15726976805</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兴业银行股份有限公司台州路桥支行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陆罗亚</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15858609932</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中信银行股份有限公司台州路桥支行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4.15%起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陈奕汝</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13732310221</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浙商银行股份有限公司台州路桥小微企业专营支行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6.75%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庄道勇</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13867611023</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广发银行股份有限公司台州路桥小微企业专营支行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5.65%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林春</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13858687790</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平安银行股份有限公司台州路桥小微企业专营支行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李俊丽</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15906861025</w:t>
            </w:r>
          </w:p>
        </w:tc>
      </w:tr>
      <w:tr>
        <w:tblPrEx>
          <w:tblCellMar>
            <w:top w:w="0" w:type="dxa"/>
            <w:left w:w="0" w:type="dxa"/>
            <w:bottom w:w="0" w:type="dxa"/>
            <w:right w:w="0" w:type="dxa"/>
          </w:tblCellMar>
        </w:tblPrEx>
        <w:trPr>
          <w:trHeight w:val="54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宁波银行股份有限公司台州路桥小微企业专营支行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李诚杰</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13395745558</w:t>
            </w:r>
          </w:p>
        </w:tc>
      </w:tr>
      <w:tr>
        <w:tblPrEx>
          <w:tblCellMar>
            <w:top w:w="0" w:type="dxa"/>
            <w:left w:w="0" w:type="dxa"/>
            <w:bottom w:w="0" w:type="dxa"/>
            <w:right w:w="0" w:type="dxa"/>
          </w:tblCellMar>
        </w:tblPrEx>
        <w:trPr>
          <w:trHeight w:val="55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p>
        </w:tc>
        <w:tc>
          <w:tcPr>
            <w:tcW w:w="4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浙江台州路桥富民村镇银行股份有限公司</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7.80%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陈威</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13626660510</w:t>
            </w:r>
          </w:p>
        </w:tc>
      </w:tr>
    </w:tbl>
    <w:p>
      <w:pPr>
        <w:spacing w:line="360" w:lineRule="auto"/>
        <w:rPr>
          <w:rFonts w:ascii="宋体" w:hAnsi="宋体"/>
          <w:color w:val="auto"/>
          <w:szCs w:val="21"/>
          <w:highlight w:val="none"/>
        </w:rPr>
      </w:pPr>
      <w:r>
        <w:rPr>
          <w:rFonts w:hint="eastAsia" w:ascii="宋体" w:hAnsi="宋体"/>
          <w:b/>
          <w:color w:val="auto"/>
          <w:szCs w:val="21"/>
          <w:highlight w:val="none"/>
        </w:rPr>
        <w:t>十一、采购（中标）公告发布媒体：</w:t>
      </w:r>
      <w:r>
        <w:rPr>
          <w:rFonts w:hint="eastAsia" w:ascii="宋体" w:hAnsi="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7"/>
          <w:rFonts w:hint="eastAsia" w:ascii="宋体" w:hAnsi="宋体"/>
          <w:color w:val="auto"/>
          <w:szCs w:val="21"/>
          <w:highlight w:val="none"/>
        </w:rPr>
        <w:t>http://zfcg.czt.zj.gov.cn</w:t>
      </w:r>
      <w:r>
        <w:rPr>
          <w:rStyle w:val="27"/>
          <w:rFonts w:hint="eastAsia" w:ascii="宋体" w:hAnsi="宋体"/>
          <w:color w:val="auto"/>
          <w:szCs w:val="21"/>
          <w:highlight w:val="none"/>
        </w:rPr>
        <w:fldChar w:fldCharType="end"/>
      </w:r>
      <w:r>
        <w:rPr>
          <w:rFonts w:hint="eastAsia" w:ascii="宋体" w:hAnsi="宋体"/>
          <w:color w:val="auto"/>
          <w:szCs w:val="21"/>
          <w:highlight w:val="none"/>
        </w:rPr>
        <w:t>）</w:t>
      </w:r>
    </w:p>
    <w:p>
      <w:pPr>
        <w:spacing w:line="360" w:lineRule="auto"/>
        <w:ind w:right="-252" w:rightChars="-120" w:firstLine="422" w:firstLineChars="200"/>
        <w:rPr>
          <w:rFonts w:ascii="宋体" w:hAnsi="宋体"/>
          <w:b/>
          <w:color w:val="auto"/>
          <w:szCs w:val="21"/>
          <w:highlight w:val="none"/>
        </w:rPr>
      </w:pPr>
      <w:r>
        <w:rPr>
          <w:rFonts w:hint="eastAsia" w:ascii="宋体" w:hAnsi="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jc w:val="right"/>
        <w:rPr>
          <w:rFonts w:asciiTheme="minorEastAsia" w:hAnsiTheme="minorEastAsia" w:eastAsiaTheme="minorEastAsia" w:cstheme="minorEastAsia"/>
          <w:color w:val="auto"/>
          <w:szCs w:val="21"/>
          <w:highlight w:val="none"/>
        </w:rPr>
      </w:pPr>
    </w:p>
    <w:p>
      <w:pPr>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台州永安工程咨询有限公司</w:t>
      </w:r>
    </w:p>
    <w:p>
      <w:pPr>
        <w:pStyle w:val="2"/>
        <w:jc w:val="righ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二○二一年十一月</w:t>
      </w:r>
    </w:p>
    <w:p>
      <w:pPr>
        <w:pStyle w:val="2"/>
        <w:jc w:val="right"/>
        <w:rPr>
          <w:rFonts w:asciiTheme="minorEastAsia" w:hAnsiTheme="minorEastAsia" w:eastAsiaTheme="minorEastAsia" w:cstheme="minorEastAsia"/>
          <w:color w:val="auto"/>
          <w:szCs w:val="21"/>
          <w:highlight w:val="none"/>
        </w:rPr>
      </w:pPr>
    </w:p>
    <w:p>
      <w:pPr>
        <w:pStyle w:val="2"/>
        <w:jc w:val="right"/>
        <w:rPr>
          <w:rFonts w:ascii="宋体" w:hAnsi="宋体" w:cs="宋体"/>
          <w:color w:val="auto"/>
          <w:sz w:val="24"/>
          <w:highlight w:val="none"/>
        </w:rPr>
      </w:pPr>
    </w:p>
    <w:p>
      <w:pPr>
        <w:rPr>
          <w:color w:val="auto"/>
          <w:highlight w:val="none"/>
        </w:r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第二章 投标人须知</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23"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692"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项目说明</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项目类别：服务类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r>
              <w:rPr>
                <w:rFonts w:hint="eastAsia" w:asciiTheme="minorEastAsia" w:hAnsiTheme="minorEastAsia" w:eastAsiaTheme="minorEastAsia" w:cstheme="minorEastAsia"/>
                <w:color w:val="auto"/>
                <w:szCs w:val="21"/>
                <w:highlight w:val="none"/>
              </w:rPr>
              <w:t>组成</w:t>
            </w:r>
            <w:r>
              <w:rPr>
                <w:rFonts w:hint="eastAsia" w:ascii="宋体" w:hAnsi="宋体" w:cs="宋体"/>
                <w:color w:val="auto"/>
                <w:szCs w:val="21"/>
                <w:highlight w:val="none"/>
              </w:rPr>
              <w:t>要求</w:t>
            </w:r>
          </w:p>
        </w:tc>
        <w:tc>
          <w:tcPr>
            <w:tcW w:w="6692" w:type="dxa"/>
            <w:vAlign w:val="center"/>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本项目实行电子投标，供应商应准备电子投标文件、以介质（U盘）存储的数据电文形式的备份投标文件两类：</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1、电子投标文件：指通过“政采云电子交易客户端”完成投标文件编制后生成并加密的数据电文形式的电子投标文件。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2、备份投标文件：是指“电子投标文件”同时生成的数据电文形式的电子文件（备份标书），以U盘形式提供。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以上两类投标文件均由资格证明文件、商务技术文件、报价文件三部分组成。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投标文件有效期</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123" w:type="dxa"/>
            <w:vAlign w:val="center"/>
          </w:tcPr>
          <w:p>
            <w:pPr>
              <w:pStyle w:val="2"/>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电子投标文件的传输递交</w:t>
            </w:r>
          </w:p>
        </w:tc>
        <w:tc>
          <w:tcPr>
            <w:tcW w:w="6692" w:type="dxa"/>
            <w:vAlign w:val="center"/>
          </w:tcPr>
          <w:p>
            <w:pPr>
              <w:spacing w:line="300" w:lineRule="exact"/>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lang w:eastAsia="zh-CN"/>
              </w:rPr>
              <w:t>2021年12月9日下午14:00</w:t>
            </w:r>
            <w:r>
              <w:rPr>
                <w:rFonts w:hint="eastAsia" w:ascii="宋体" w:hAnsi="宋体" w:cs="宋体"/>
                <w:b/>
                <w:bCs/>
                <w:color w:val="auto"/>
                <w:szCs w:val="21"/>
                <w:highlight w:val="none"/>
                <w:u w:val="single"/>
              </w:rPr>
              <w:t>整</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备份投标文件的递交</w:t>
            </w:r>
          </w:p>
        </w:tc>
        <w:tc>
          <w:tcPr>
            <w:tcW w:w="6692" w:type="dxa"/>
            <w:vAlign w:val="center"/>
          </w:tcPr>
          <w:p>
            <w:pPr>
              <w:pStyle w:val="52"/>
              <w:snapToGrid w:val="0"/>
              <w:spacing w:line="300" w:lineRule="exact"/>
              <w:rPr>
                <w:rFonts w:ascii="宋体" w:hAnsi="宋体"/>
                <w:color w:val="auto"/>
                <w:kern w:val="2"/>
                <w:highlight w:val="none"/>
              </w:rPr>
            </w:pPr>
            <w:r>
              <w:rPr>
                <w:rFonts w:hint="eastAsia" w:ascii="宋体" w:hAnsi="宋体"/>
                <w:color w:val="auto"/>
                <w:kern w:val="2"/>
                <w:highlight w:val="none"/>
              </w:rPr>
              <w:t>投标人应当在投标截止时间前将备份投标文件分别按要求密封邮寄到</w:t>
            </w:r>
            <w:r>
              <w:rPr>
                <w:rFonts w:hint="eastAsia" w:ascii="宋体" w:hAnsi="宋体"/>
                <w:b/>
                <w:bCs/>
                <w:color w:val="auto"/>
                <w:highlight w:val="none"/>
              </w:rPr>
              <w:t>台州市椒江区中环世纪6幢801室（交通银行台州分行楼上）</w:t>
            </w:r>
            <w:r>
              <w:rPr>
                <w:rFonts w:hint="eastAsia" w:ascii="宋体" w:hAnsi="宋体"/>
                <w:color w:val="auto"/>
                <w:kern w:val="2"/>
                <w:highlight w:val="none"/>
              </w:rPr>
              <w:t>，逾期寄达或未按要求密封将被拒收。如投标人未在投标截止时间前完成电子投标文件的传输递交，其备份投标文件也将为无效投标文件。</w:t>
            </w:r>
          </w:p>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lang w:eastAsia="zh-CN"/>
              </w:rPr>
              <w:t>2021年12月9日下午14:00</w:t>
            </w:r>
            <w:r>
              <w:rPr>
                <w:rFonts w:hint="eastAsia" w:ascii="宋体" w:hAnsi="宋体" w:cs="宋体"/>
                <w:b/>
                <w:bCs/>
                <w:color w:val="auto"/>
                <w:szCs w:val="21"/>
                <w:highlight w:val="none"/>
                <w:u w:val="singl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备份投标文件份数及密封要求</w:t>
            </w:r>
          </w:p>
        </w:tc>
        <w:tc>
          <w:tcPr>
            <w:tcW w:w="6692" w:type="dxa"/>
            <w:vAlign w:val="center"/>
          </w:tcPr>
          <w:p>
            <w:pPr>
              <w:pStyle w:val="18"/>
              <w:spacing w:before="0" w:beforeAutospacing="0" w:after="0" w:afterAutospacing="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pPr>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电子投标文件解密时间及地点</w:t>
            </w:r>
          </w:p>
        </w:tc>
        <w:tc>
          <w:tcPr>
            <w:tcW w:w="669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2021年12月9日下午14:00</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pPr>
              <w:pStyle w:val="51"/>
              <w:rPr>
                <w:rFonts w:hAnsi="宋体" w:cs="宋体"/>
                <w:color w:val="auto"/>
                <w:sz w:val="21"/>
                <w:szCs w:val="21"/>
                <w:highlight w:val="none"/>
              </w:rPr>
            </w:pPr>
            <w:r>
              <w:rPr>
                <w:rFonts w:hint="eastAsia" w:hAnsi="宋体" w:cs="宋体"/>
                <w:color w:val="auto"/>
                <w:kern w:val="2"/>
                <w:sz w:val="21"/>
                <w:szCs w:val="21"/>
                <w:highlight w:val="none"/>
              </w:rPr>
              <w:t>地点：路桥区政府采购中心(台州市路桥区财富大道999号 商城国际5楼)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23" w:type="dxa"/>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692"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692" w:type="dxa"/>
            <w:vAlign w:val="center"/>
          </w:tcPr>
          <w:p>
            <w:pPr>
              <w:jc w:val="left"/>
              <w:rPr>
                <w:rFonts w:ascii="宋体" w:hAnsi="宋体" w:cs="宋体"/>
                <w:color w:val="auto"/>
                <w:szCs w:val="21"/>
                <w:highlight w:val="none"/>
              </w:rPr>
            </w:pPr>
            <w:r>
              <w:rPr>
                <w:rFonts w:hint="eastAsia" w:hAnsi="宋体"/>
                <w:color w:val="auto"/>
                <w:highlight w:val="none"/>
              </w:rPr>
              <w:t>1、踏勘现场时间及地点</w:t>
            </w:r>
            <w:r>
              <w:rPr>
                <w:color w:val="auto"/>
                <w:highlight w:val="none"/>
              </w:rPr>
              <w:t>：</w:t>
            </w:r>
            <w:r>
              <w:rPr>
                <w:rFonts w:hint="eastAsia" w:hAnsi="宋体"/>
                <w:color w:val="auto"/>
                <w:highlight w:val="none"/>
              </w:rPr>
              <w:t>不组织，各投标单位根据自己需要，自行前往勘察现场和周围环境，所产生的费用由投标单位自理。</w:t>
            </w:r>
            <w:r>
              <w:rPr>
                <w:rFonts w:hint="eastAsia" w:ascii="宋体" w:hAnsi="宋体"/>
                <w:color w:val="auto"/>
                <w:szCs w:val="21"/>
                <w:highlight w:val="none"/>
              </w:rPr>
              <w:t>2、节能产品、环保产品：无要求；3、样品：无要求；4、现场演示：有要求。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23" w:type="dxa"/>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中小企业扶持政策</w:t>
            </w:r>
          </w:p>
        </w:tc>
        <w:tc>
          <w:tcPr>
            <w:tcW w:w="6692" w:type="dxa"/>
            <w:vAlign w:val="center"/>
          </w:tcPr>
          <w:p>
            <w:pPr>
              <w:pStyle w:val="51"/>
              <w:spacing w:line="360" w:lineRule="auto"/>
              <w:rPr>
                <w:rFonts w:hAnsi="宋体" w:cs="宋体"/>
                <w:color w:val="auto"/>
                <w:sz w:val="21"/>
                <w:szCs w:val="21"/>
                <w:highlight w:val="none"/>
                <w:lang w:val="zh-CN"/>
              </w:rPr>
            </w:pPr>
            <w:r>
              <w:rPr>
                <w:rFonts w:hint="eastAsia" w:hAnsi="宋体" w:cs="宋体"/>
                <w:color w:val="auto"/>
                <w:sz w:val="21"/>
                <w:szCs w:val="21"/>
                <w:highlight w:val="none"/>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92"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本招标文件的解释权属于</w:t>
            </w:r>
            <w:r>
              <w:rPr>
                <w:rFonts w:hint="eastAsia" w:ascii="宋体" w:hAnsi="宋体"/>
                <w:b/>
                <w:color w:val="auto"/>
                <w:szCs w:val="21"/>
                <w:highlight w:val="none"/>
              </w:rPr>
              <w:t>台州永安工程咨询有限公司</w:t>
            </w:r>
          </w:p>
        </w:tc>
      </w:tr>
    </w:tbl>
    <w:p>
      <w:pPr>
        <w:spacing w:line="360" w:lineRule="auto"/>
        <w:rPr>
          <w:rFonts w:asciiTheme="minorEastAsia" w:hAnsiTheme="minorEastAsia" w:eastAsiaTheme="minorEastAsia" w:cstheme="minorEastAsia"/>
          <w:b/>
          <w:bCs/>
          <w:color w:val="auto"/>
          <w:szCs w:val="21"/>
          <w:highlight w:val="none"/>
        </w:rPr>
      </w:pP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一、总则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 适用范围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本招标文件适用于本次项目的招标、投标、评标、定标、验收、合同履约、付款等行为（法律、法规另有规定的，从其规定）。</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（二）定义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“采购组织机构”指采购人委托组织招标的采购代理机构。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2、采购人：是指委托</w:t>
      </w:r>
      <w:r>
        <w:rPr>
          <w:rFonts w:hint="eastAsia" w:asciiTheme="minorEastAsia" w:hAnsiTheme="minorEastAsia" w:eastAsiaTheme="minorEastAsia" w:cstheme="minorEastAsia"/>
          <w:color w:val="auto"/>
          <w:szCs w:val="21"/>
          <w:highlight w:val="none"/>
          <w:lang w:val="zh-CN"/>
        </w:rPr>
        <w:t>采购代理机构</w:t>
      </w:r>
      <w:r>
        <w:rPr>
          <w:rFonts w:hint="eastAsia" w:asciiTheme="minorEastAsia" w:hAnsiTheme="minorEastAsia" w:eastAsiaTheme="minorEastAsia" w:cstheme="minorEastAsia"/>
          <w:color w:val="auto"/>
          <w:szCs w:val="21"/>
          <w:highlight w:val="none"/>
        </w:rPr>
        <w:t>采购本次项目的国家机关、事业单位和团体组织。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4、货物：是指各种形态和种类的物品，包括原材料、燃料、设备、产品等。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6、“书面形式”包括信函、传真等。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7、“▲”系指实质性要求条款。</w:t>
      </w:r>
    </w:p>
    <w:p>
      <w:pPr>
        <w:spacing w:line="360" w:lineRule="auto"/>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（三）投标费用</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不论投标结果如何，投标人均应自行承担所有与投标有关的全部费用（招标文件有相关规定除外）。</w:t>
      </w:r>
    </w:p>
    <w:p>
      <w:pPr>
        <w:spacing w:line="360" w:lineRule="auto"/>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（四）特别说明</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1、投标人投标所使用的资格、信誉、荣誉、业绩与企业认证必须为本法人所拥有。投标人投标所使用的采购项目实施人员必须为本法人员工。</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6、投标文件格式中的表格式样可以根据项目差别做适当调整,但应当保持表格样式基本形态不变。</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7、单位负责人为同一人或者存在直接控股、管理关系的不同供应商，不得参加同一合同项下的政府采购活动。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8、本项目不允许分包。</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二、招标文件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（一）招标文件由招标文件总目录所列内容组成。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（二）招标文件的澄清或修改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w:t>
      </w:r>
    </w:p>
    <w:p>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本项目实行电子投标，供应商应准备电子投标文件、备份投标文件二类：</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zh-CN"/>
        </w:rPr>
        <w:t>电子投标文件按</w:t>
      </w:r>
      <w:r>
        <w:rPr>
          <w:rFonts w:hint="eastAsia" w:asciiTheme="minorEastAsia" w:hAnsiTheme="minorEastAsia" w:eastAsiaTheme="minorEastAsia" w:cstheme="minorEastAsia"/>
          <w:bCs/>
          <w:color w:val="auto"/>
          <w:szCs w:val="21"/>
          <w:highlight w:val="none"/>
        </w:rPr>
        <w:t>政府采购</w:t>
      </w:r>
      <w:r>
        <w:rPr>
          <w:rFonts w:hint="eastAsia" w:asciiTheme="minorEastAsia" w:hAnsiTheme="minorEastAsia" w:eastAsiaTheme="minorEastAsia" w:cstheme="minorEastAsia"/>
          <w:bCs/>
          <w:color w:val="auto"/>
          <w:szCs w:val="21"/>
          <w:highlight w:val="none"/>
          <w:lang w:val="zh-CN"/>
        </w:rPr>
        <w:t>云平台供应商项目采购</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电子招投标操作指南</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网址</w:t>
      </w:r>
      <w:r>
        <w:rPr>
          <w:rFonts w:hint="eastAsia" w:asciiTheme="minorEastAsia" w:hAnsiTheme="minorEastAsia" w:eastAsiaTheme="minorEastAsia" w:cstheme="minorEastAsia"/>
          <w:bCs/>
          <w:color w:val="auto"/>
          <w:szCs w:val="21"/>
          <w:highlight w:val="none"/>
        </w:rPr>
        <w:t>：https://help.zcygov.cn/web/site_2/2018/12-28/2573.html）</w:t>
      </w:r>
      <w:r>
        <w:rPr>
          <w:rFonts w:hint="eastAsia" w:asciiTheme="minorEastAsia" w:hAnsiTheme="minorEastAsia" w:eastAsiaTheme="minorEastAsia" w:cstheme="minorEastAsia"/>
          <w:bCs/>
          <w:color w:val="auto"/>
          <w:szCs w:val="21"/>
          <w:highlight w:val="none"/>
          <w:lang w:val="zh-CN"/>
        </w:rPr>
        <w:t>及本招标文件要求制作、加密并</w:t>
      </w:r>
      <w:r>
        <w:rPr>
          <w:rFonts w:hint="eastAsia" w:asciiTheme="minorEastAsia" w:hAnsiTheme="minorEastAsia" w:eastAsiaTheme="minorEastAsia" w:cstheme="minorEastAsia"/>
          <w:bCs/>
          <w:color w:val="auto"/>
          <w:szCs w:val="21"/>
          <w:highlight w:val="none"/>
        </w:rPr>
        <w:t>传输</w:t>
      </w:r>
      <w:r>
        <w:rPr>
          <w:rFonts w:hint="eastAsia" w:asciiTheme="minorEastAsia" w:hAnsiTheme="minorEastAsia" w:eastAsiaTheme="minorEastAsia" w:cstheme="minorEastAsia"/>
          <w:bCs/>
          <w:color w:val="auto"/>
          <w:szCs w:val="21"/>
          <w:highlight w:val="none"/>
          <w:lang w:val="zh-CN"/>
        </w:rPr>
        <w:t>递交。</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宋体" w:hAnsi="宋体"/>
          <w:color w:val="auto"/>
          <w:szCs w:val="21"/>
          <w:highlight w:val="none"/>
          <w:lang w:val="zh-CN"/>
        </w:rPr>
        <w:t>备份投标文件是指“电子投标文件”同时生成的数据电文形式的电子文件（备份标书），以U盘形式提供。</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3、投标文件启用顺序和效力：投标文件的启用，按先后顺位分别为电子投标文件、以介质（U盘）存储的数据电文形式的备份投标文件。如果某位投标人的电子投标文件无法按时解密的，可启用以介质（U盘）存储的数据电文形式的备份投标文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▲未传输递交电子投标文件及未按规定提供相应的备份投标文件的，投标无效。</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bCs/>
          <w:color w:val="auto"/>
          <w:szCs w:val="21"/>
          <w:highlight w:val="none"/>
        </w:rPr>
        <w:t>投标文件的组成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投标人接到招标文件后，按照招标文件的要求提供投标文件（包含电子投标文件和备份投标文件）：由资格证明文件、商务与技术文件和报价文件三部分组成。</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1、资格证明文件的组成：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（3）法人或者其他组织的营业执照等证明文件，自然人的身份证明；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（4）提供采购公告中符合供应商特定条件的有效资质证书复印件（投标供应商特定条件中有要求的必须提供），以及需要说明的其他资料；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2、商务与技术文件的组成：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（1）投标人企业情况介绍；</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（2）投标方案描述：</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B.项目组织实施方案（包括项目工期、确保项目供货的措施或方案、项目实施进度安排、项目实施人员及项目负责人的资质、类似经验及社保证明等）。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C.安装、调试及验收方案（包括项目验收标准和验收方法等）和措施；</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（3）投标产品描述及相关资料：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A.投标项目供货清单</w:t>
      </w:r>
      <w:r>
        <w:rPr>
          <w:rFonts w:hint="eastAsia" w:asciiTheme="minorEastAsia" w:hAnsiTheme="minorEastAsia" w:eastAsiaTheme="minorEastAsia" w:cstheme="minorEastAsia"/>
          <w:b/>
          <w:bCs/>
          <w:color w:val="auto"/>
          <w:szCs w:val="21"/>
          <w:highlight w:val="none"/>
        </w:rPr>
        <w:t>（均不含报价）</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B.产品品牌及型号、技术参数指标、性能特点、图片资料以及所遵循的技术规范、产品质保期、出厂标准、产品质量相关检测报告等内容。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C.商务及技术响应表。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D.投标产品中有节能产品的，应列明投标产品中有列入最新一期财政部、发展改革委公布的“节能产品政府采购清单”明细（提供所投标产品在清单中所处的页码、截图，并以明显标识标注）；投标产品中有环保产品的，应列明投标产品中有列入最新一期财政部、环境保护部公布的“环境标志产品政府采购清单”明细（提供所投标产品在清单中所处的页码、截图，并以明显标识标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【特别提示：节能和环境标志产品最新一期政府采购清单，可在“中国政府采购网”中查看】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（4）投标人通过的质量管理和质量保证体系、环保体系、自主创新相关证书、软件著作权证等与本项目相关的认证证书或文件；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（5）类似项目的成功案例（投标人类似项目实施情况一览表、合同复印件及其相应的发票、用户验收报告等）；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（6）投标人认为需要提供的其他资料（包括可能影响投标人商务与技术文件评分的各类证明材料）。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（7）售后服务描述及承诺：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A.距采购人最近的服务网点详细介绍（包括地理位置、资质资格、技术力量、工作业绩、服务内容及联系电话等）。</w:t>
      </w:r>
    </w:p>
    <w:p>
      <w:pPr>
        <w:spacing w:line="41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B.针对本项目的售后服务措施及承诺（售后技术服务方案、人员配备、服务响应时间、技术培训方案等）。</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宋体" w:hAnsi="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3、报价文件的组成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（1）报价文件由开标一览表、报价明细表、中小企业声明函，以及投标人认为其他需要说明的内容组成。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（2）此报价为投标人一次性报出唯一的最终价格，包含其它一切所要涉及到的费用，有选择的报价将被拒绝。</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（4）政府采购优惠政策相关资料、产品适用政府采购政策情况表（如有）。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（6）投标报价应按招标文件中相关附表格式填写。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（二）投标文件的制作、封装及递交要求</w:t>
      </w:r>
    </w:p>
    <w:p>
      <w:pP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（3）投标文件不得涂改，若有修改错漏处，须加盖单位公章或者法定代表人或</w:t>
      </w:r>
      <w:r>
        <w:rPr>
          <w:rFonts w:hint="eastAsia" w:asciiTheme="minorEastAsia" w:hAnsiTheme="minorEastAsia" w:eastAsiaTheme="minorEastAsia" w:cstheme="minorEastAsia"/>
          <w:color w:val="auto"/>
          <w:szCs w:val="21"/>
          <w:highlight w:val="none"/>
          <w:lang w:eastAsia="zh-CN"/>
        </w:rPr>
        <w:t>授权委托代理人</w:t>
      </w:r>
      <w:r>
        <w:rPr>
          <w:rFonts w:hint="eastAsia" w:asciiTheme="minorEastAsia" w:hAnsiTheme="minorEastAsia" w:eastAsiaTheme="minorEastAsia" w:cstheme="minorEastAsia"/>
          <w:color w:val="auto"/>
          <w:szCs w:val="21"/>
          <w:highlight w:val="none"/>
        </w:rPr>
        <w:t>签字或盖章。投标文件因字迹潦草或表达不清所引起的后果由投标人负责。</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2、投标文件的制作</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（1）投标人应按照投标文件组成内容及项目招标需求制作投标文件，不按招标文件要求制作投标文件由此产生的责任由投标人自行承担。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51"/>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需打印或用不褪色的墨水填写，并注明“正本”字样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除报价文件外其余一律不准出现数字报价。如有不同标项，请按标项号分别编制。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（4）项目如分标项，各标项投标文件必须分开编制。</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备份投标文件必须在规定的投标文件递交截止时间前送到（以顺丰邮寄形式）指定的地点（台州市椒江区中环世纪6幢801室（交通银行台州分行楼上））。投标文件在截止时间后提交，采购代理机构将拒绝接收。</w:t>
      </w:r>
    </w:p>
    <w:p>
      <w:pPr>
        <w:tabs>
          <w:tab w:val="left" w:pos="1418"/>
        </w:tabs>
        <w:autoSpaceDE w:val="0"/>
        <w:autoSpaceDN w:val="0"/>
        <w:adjustRightIn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（2）电子投标文件的相关说明</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供应商进行电子投标应安装客户端软件，并按照采购文件和电子交易平台的要求编制并加密投标文件。供应商未按规定加密的投标文件，电子交易平台将拒收。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供应商在电子交易平台传输递交投标文件后，还应当在投标截止时间前提交备份投标文件，若供应商未提交备份投标文件，其后果由供应商自行承担。供应商仅提交备份投标文件的，投标无效。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4、投标文件的补充、修改和撤回。</w:t>
      </w:r>
    </w:p>
    <w:p>
      <w:pPr>
        <w:pStyle w:val="66"/>
        <w:ind w:firstLine="420"/>
        <w:rPr>
          <w:rFonts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6"/>
        <w:ind w:firstLine="420"/>
        <w:rPr>
          <w:rFonts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GB"/>
        </w:rPr>
        <w:t>）投标截止时间后，投标供应商不得撤回、修改投标文件。</w:t>
      </w:r>
    </w:p>
    <w:p>
      <w:pPr>
        <w:pStyle w:val="66"/>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GB"/>
        </w:rPr>
        <w:t>在开标后规定的投标有效期内，投标人不能撤销投标文件。</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3、中标人的投标文件自开标之日起至合同履行完毕均应保持有效。</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四、开标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（一）开标事项</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采购组织机构按照采购文件规定的时间通过电子交易平台组织开标、开启投标文件，所有供应商均应当准时在线参加。</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szCs w:val="21"/>
          <w:highlight w:val="none"/>
        </w:rPr>
        <w:t>给予供应商在线解密的时间为截止投标后30分钟。</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投标文件未按时解密，供应商提供了备份投标文件的，以备份投标文件作为依据，否则视为投标文件撤回。投标文件已按时解密的，备份投标文件不再拆封。</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开标程序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2、主持人介绍参加开标会的人员名单；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3、主持人宣布评标期间的有关事项，告知应当回避的情形,提请有关人员回避；</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5、采购组织机构点击【开启标书信息】，进入资格审查及符合性审查环节。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6、完成综合比较与评价后，开启报价响应文件。采购代理机构成功开启报价响应文件后，方可查看各供应商报价情况。</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7、报价文件评审；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8、在完成评标后，宣布评标结果，开标会议结束。</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五、评标</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（一）组建评标委员会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评标委员会由采购人代表和评审专家组成，成员人数为5人以上单数，其中评审专家不得少于成员总数的三分之二。</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（二）评标程序</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1、资格审查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2、符合性审查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（3）评标时，评标委员会各成员应当独立对每个投标人的投标文件进行评价，并汇总每个投标人的得分。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4、得分确认及评审报告编写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（三）澄清问题的形式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投标人的澄清、说明或者补正应当采用书面形式，并加盖公章或者由法定代理人或其授权的代表签字，并不得超出投标文件的范围或者改变投标文件的实质性内容。</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（四）错误修正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投标文件报价出现前后不一致的，除招标文件另有规定外，按照下列规定修正：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政采云平台开标一览表中填报的价格与上传的报价响应文件中开标一览表的报价不一致的，以上传的报价响应文件中开标一览表的价格为准，修正平台上的投标报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（五）投标人存在下列情况之一的，投标无效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1、资格证明文件或商务与技术文件跟报价文件出现混装或在资格证明文件或商务与技术文件中出现投标报价的，或者报价文件中报价的服务跟商务与技术文件中的投标服务出现重大偏差的；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2、不具备招标文件中规定的资格要求的。</w:t>
      </w:r>
      <w:r>
        <w:rPr>
          <w:rFonts w:hint="eastAsia" w:asciiTheme="minorEastAsia" w:hAnsiTheme="minorEastAsia" w:eastAsiaTheme="minorEastAsia" w:cstheme="minorEastAsia"/>
          <w:color w:val="auto"/>
          <w:szCs w:val="21"/>
          <w:highlight w:val="none"/>
        </w:rPr>
        <w:tab/>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3、投标文件含有采购人不能接受的附加条件的。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4、投标人的授权委托代理人未能出具身份证明或与法定代表人</w:t>
      </w:r>
      <w:r>
        <w:rPr>
          <w:rFonts w:hint="eastAsia" w:asciiTheme="minorEastAsia" w:hAnsiTheme="minorEastAsia" w:eastAsiaTheme="minorEastAsia" w:cstheme="minorEastAsia"/>
          <w:color w:val="auto"/>
          <w:szCs w:val="21"/>
          <w:highlight w:val="none"/>
          <w:lang w:eastAsia="zh-CN"/>
        </w:rPr>
        <w:t>授权委托代理人</w:t>
      </w:r>
      <w:r>
        <w:rPr>
          <w:rFonts w:hint="eastAsia" w:asciiTheme="minorEastAsia" w:hAnsiTheme="minorEastAsia" w:eastAsiaTheme="minorEastAsia" w:cstheme="minorEastAsia"/>
          <w:color w:val="auto"/>
          <w:szCs w:val="21"/>
          <w:highlight w:val="none"/>
        </w:rPr>
        <w:t>身份不符的（受疫情影响，投标人的授权委托代理人无须现场参加开标）；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5、投标人的电子投标文件无法按时解密的。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6、电子投标文件解密失败的，且未在规定时间内提交备份投标文件的；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7、电子投标文件未按规定要求提供电子签章的；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9、报价超过招标文件中规定的最高限价。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10、投标参数未如实填写，完全复制粘贴招标参数的。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11、投标文件提供虚假材料的。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11、不符合法律、法规和招标文件中规定的其他实质性要求的（招标文件中打“▲”内容及被拒绝的条款）。</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（六）有下列情况之一的，本次招标作为废标处理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1、出现影响采购公正的违法、违规行为的；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2、评标委员会发现招标文件存在歧义、重大缺陷导致评标工作无法进行，或者招标文件内容违反国家有关强制性规定的；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3、因重大变故，采购任务取消的；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4、法律、法规和招标文件规定的其他导致评标结果无效的。</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（七）评标原则和评标办法</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2、评标办法。具体评标内容及评分标准等详见《第三章：评标方法及评分标准》。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（八）评标过程的监控</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六、定标</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3、发出中标通知书。采购组织机构在发布中标结果的同时，向中标人发出中标通知书。</w:t>
      </w:r>
    </w:p>
    <w:p>
      <w:pPr>
        <w:pStyle w:val="18"/>
        <w:spacing w:before="0" w:beforeAutospacing="0" w:after="0" w:afterAutospacing="0" w:line="360" w:lineRule="auto"/>
        <w:ind w:firstLine="420"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5、招标代理费：</w:t>
      </w:r>
      <w:r>
        <w:rPr>
          <w:rFonts w:hint="eastAsia" w:asciiTheme="minorEastAsia" w:hAnsiTheme="minorEastAsia" w:eastAsiaTheme="minorEastAsia" w:cstheme="minorEastAsia"/>
          <w:color w:val="auto"/>
          <w:sz w:val="21"/>
          <w:szCs w:val="21"/>
          <w:highlight w:val="none"/>
        </w:rPr>
        <w:t>定额</w:t>
      </w:r>
      <w:r>
        <w:rPr>
          <w:rFonts w:hint="eastAsia" w:asciiTheme="minorEastAsia" w:hAnsiTheme="minorEastAsia" w:eastAsiaTheme="minorEastAsia" w:cstheme="minorEastAsia"/>
          <w:color w:val="auto"/>
          <w:sz w:val="21"/>
          <w:szCs w:val="21"/>
          <w:highlight w:val="none"/>
          <w:lang w:val="en-US" w:eastAsia="zh-CN"/>
        </w:rPr>
        <w:t>肆万玖仟元</w:t>
      </w:r>
      <w:r>
        <w:rPr>
          <w:rFonts w:hint="eastAsia" w:asciiTheme="minorEastAsia" w:hAnsiTheme="minorEastAsia" w:eastAsiaTheme="minorEastAsia" w:cstheme="minorEastAsia"/>
          <w:color w:val="auto"/>
          <w:sz w:val="21"/>
          <w:szCs w:val="21"/>
          <w:highlight w:val="none"/>
        </w:rPr>
        <w:t>。该费用中标方须在领取中标通知书时一次性付清。（单位名称：台州永安工程咨询有限公司；人民币账号：530125998900015；开户行：台州银行黄岩工业园区支行）</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七、合同签订及公告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（一）签订合同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2、采购人不得向中标人提出任何不合理的要求作为签订合同的条件。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3、中标供应商无故拖延、拒签合同的,取消中标资格。</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（二）合同公告及备案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1、采购人应当自政府采购合同签订之日起2个工作日内，在省级以上财政部门指定的政府采购信息发布媒体及相关网站上公告。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2、采购人应当自政府采购合同签订之日起7个工作日内，将政府采购合同副本报同级人民政府财政部门备案以及采购组织机构存档。</w:t>
      </w:r>
    </w:p>
    <w:p>
      <w:pPr>
        <w:spacing w:line="360" w:lineRule="auto"/>
        <w:jc w:val="both"/>
        <w:outlineLvl w:val="0"/>
        <w:rPr>
          <w:rFonts w:ascii="宋体" w:hAnsi="宋体"/>
          <w:b/>
          <w:color w:val="auto"/>
          <w:sz w:val="36"/>
          <w:szCs w:val="36"/>
          <w:highlight w:val="none"/>
        </w:rPr>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一、采购组织机构将组织评标委员会，对投标人提供的投标文件进行综合评审。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二、本次招标项目的评标方法为综合评分法，总计100分，其中资格及</w:t>
      </w:r>
      <w:r>
        <w:rPr>
          <w:rFonts w:hint="eastAsia" w:asciiTheme="minorEastAsia" w:hAnsiTheme="minorEastAsia" w:eastAsiaTheme="minorEastAsia" w:cstheme="minorEastAsia"/>
          <w:color w:val="auto"/>
          <w:szCs w:val="21"/>
          <w:highlight w:val="none"/>
          <w:lang w:val="zh-CN"/>
        </w:rPr>
        <w:t>商务技术文件分值</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分，投标报价分值</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。评标标准按评分细化条款及分值进行评审。</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商务技术文件中的客观分应由评审小组成员独立评审，</w:t>
      </w:r>
      <w:r>
        <w:rPr>
          <w:rFonts w:hint="eastAsia" w:asciiTheme="minorEastAsia" w:hAnsiTheme="minorEastAsia" w:eastAsiaTheme="minorEastAsia" w:cstheme="minorEastAsia"/>
          <w:color w:val="auto"/>
          <w:szCs w:val="21"/>
          <w:highlight w:val="none"/>
        </w:rPr>
        <w:t>但客观分打分应一致</w:t>
      </w:r>
      <w:r>
        <w:rPr>
          <w:rFonts w:hint="eastAsia" w:asciiTheme="minorEastAsia" w:hAnsiTheme="minorEastAsia" w:eastAsiaTheme="minorEastAsia" w:cstheme="minorEastAsia"/>
          <w:color w:val="auto"/>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Cs w:val="21"/>
          <w:highlight w:val="none"/>
        </w:rPr>
        <w:t>（小数点后保留1位）</w:t>
      </w:r>
      <w:r>
        <w:rPr>
          <w:rFonts w:hint="eastAsia" w:asciiTheme="minorEastAsia" w:hAnsiTheme="minorEastAsia" w:eastAsiaTheme="minorEastAsia" w:cstheme="minorEastAsia"/>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（二）各投标人</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商务技术文件得分按照评标委员会成员的独立评分结果汇总后的算术平均分计算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，计算公式为：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w:t>
      </w:r>
      <w:r>
        <w:rPr>
          <w:rFonts w:hint="eastAsia" w:asciiTheme="minorEastAsia" w:hAnsiTheme="minorEastAsia" w:eastAsiaTheme="minorEastAsia" w:cstheme="minorEastAsia"/>
          <w:color w:val="auto"/>
          <w:szCs w:val="21"/>
          <w:highlight w:val="none"/>
        </w:rPr>
        <w:t>得分</w:t>
      </w:r>
      <w:r>
        <w:rPr>
          <w:rFonts w:hint="eastAsia" w:asciiTheme="minorEastAsia" w:hAnsiTheme="minorEastAsia" w:eastAsiaTheme="minorEastAsia" w:cstheme="minorEastAsia"/>
          <w:color w:val="auto"/>
          <w:szCs w:val="21"/>
          <w:highlight w:val="none"/>
          <w:lang w:val="zh-CN"/>
        </w:rPr>
        <w:t>=评标委员会所有成员评分合计数/评标委员会组成人员数。</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（三）投标报价得分采用低价优先法计算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投标报价得分=(评标基准价／投标报价)×</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lang w:val="zh-CN"/>
        </w:rPr>
        <w:t>0%×100 。</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（四）投标人综合得分＝资格及商务技术文件得分＋投标报价得分。</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（五）政府采购政策及优惠：</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关于小型、微型企业（简称小微企业）投标：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r>
        <w:rPr>
          <w:rFonts w:asciiTheme="minorEastAsia" w:hAnsiTheme="minorEastAsia" w:eastAsiaTheme="minorEastAsia" w:cstheme="minorEastAsia"/>
          <w:color w:val="auto"/>
          <w:szCs w:val="21"/>
          <w:highlight w:val="none"/>
          <w:lang w:val="zh-CN"/>
        </w:rPr>
        <w:t>②</w:t>
      </w:r>
      <w:r>
        <w:rPr>
          <w:rFonts w:hint="eastAsia" w:asciiTheme="minorEastAsia" w:hAnsiTheme="minorEastAsia" w:eastAsiaTheme="minorEastAsia" w:cstheme="minorEastAsia"/>
          <w:color w:val="auto"/>
          <w:szCs w:val="21"/>
          <w:highlight w:val="none"/>
          <w:lang w:val="zh-CN"/>
        </w:rPr>
        <w:t>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具体优惠：对于非联合体投标，小型微型企业产品的价格给予6 %的扣除，用扣除后的价格计算评标基准价和投标报价。对于联合体投标，小型、微型企业的协议合同金额占到联合体协议合同总金额30%以上的，可给予联合体2%的价格扣除。联合体各方均为小型、微型企业的，联合体视同为小型、微型企业享受扶持政策，对于小型微型企业产品的价格给予6 %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注：得分以系统计算为准，保留2位小数。</w:t>
      </w:r>
    </w:p>
    <w:p>
      <w:pPr>
        <w:pStyle w:val="2"/>
        <w:spacing w:line="360" w:lineRule="auto"/>
        <w:ind w:firstLine="562" w:firstLineChars="200"/>
        <w:jc w:val="left"/>
        <w:rPr>
          <w:rFonts w:ascii="Arial" w:hAnsi="Arial" w:cs="Arial"/>
          <w:color w:val="auto"/>
          <w:szCs w:val="21"/>
          <w:highlight w:val="none"/>
          <w:lang w:val="zh-CN"/>
        </w:rPr>
      </w:pPr>
      <w:r>
        <w:rPr>
          <w:rFonts w:hint="eastAsia" w:ascii="Arial" w:hAnsi="Arial" w:cs="Arial"/>
          <w:b/>
          <w:bCs/>
          <w:color w:val="auto"/>
          <w:sz w:val="28"/>
          <w:szCs w:val="28"/>
          <w:highlight w:val="none"/>
          <w:u w:val="single"/>
        </w:rPr>
        <w:t>*</w:t>
      </w:r>
      <w:r>
        <w:rPr>
          <w:rFonts w:hint="eastAsia" w:ascii="Arial" w:hAnsi="Arial" w:cs="Arial"/>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文件实质性要求前提下，</w:t>
      </w:r>
      <w:r>
        <w:rPr>
          <w:rFonts w:hint="eastAsia" w:ascii="宋体" w:hAnsi="宋体" w:cs="宋体"/>
          <w:color w:val="auto"/>
          <w:szCs w:val="21"/>
          <w:highlight w:val="none"/>
        </w:rPr>
        <w:t>评标委员会</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文件中规定的各项因素进行综合评审后，以评审总得分最高的</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为</w:t>
      </w:r>
      <w:r>
        <w:rPr>
          <w:rFonts w:hint="eastAsia" w:ascii="宋体" w:hAnsi="宋体" w:cs="宋体"/>
          <w:color w:val="auto"/>
          <w:szCs w:val="21"/>
          <w:highlight w:val="none"/>
        </w:rPr>
        <w:t>中标候选人</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如综合得分相同，投标报价低者为先；如综合得分且投标报价相同的，</w:t>
      </w:r>
      <w:r>
        <w:rPr>
          <w:rFonts w:hint="eastAsia" w:ascii="宋体" w:hAnsi="宋体" w:eastAsia="宋体" w:cs="宋体"/>
          <w:color w:val="auto"/>
          <w:sz w:val="21"/>
          <w:szCs w:val="21"/>
          <w:highlight w:val="none"/>
          <w:lang w:val="zh-CN"/>
        </w:rPr>
        <w:t>以</w:t>
      </w: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宋体" w:hAnsi="宋体"/>
          <w:color w:val="auto"/>
          <w:highlight w:val="none"/>
        </w:rPr>
        <w:t>五、</w:t>
      </w:r>
      <w:r>
        <w:rPr>
          <w:rFonts w:hint="eastAsia" w:asciiTheme="minorEastAsia" w:hAnsiTheme="minorEastAsia" w:eastAsiaTheme="minorEastAsia" w:cstheme="minorEastAsia"/>
          <w:color w:val="auto"/>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ascii="宋体" w:hAnsi="宋体"/>
          <w:color w:val="auto"/>
          <w:spacing w:val="10"/>
          <w:szCs w:val="21"/>
          <w:highlight w:val="none"/>
        </w:rPr>
      </w:pPr>
      <w:r>
        <w:rPr>
          <w:rFonts w:hint="eastAsia" w:ascii="宋体" w:hAnsi="宋体"/>
          <w:color w:val="auto"/>
          <w:highlight w:val="none"/>
        </w:rPr>
        <w:t>六、中标候选人</w:t>
      </w:r>
      <w:r>
        <w:rPr>
          <w:rFonts w:hint="eastAsia" w:ascii="宋体" w:hAnsi="宋体"/>
          <w:color w:val="auto"/>
          <w:spacing w:val="10"/>
          <w:szCs w:val="21"/>
          <w:highlight w:val="none"/>
        </w:rPr>
        <w:t>放弃中标、因不可抗力提出不能履行合同，或者招标文件规定应当提交履约保证金而在规定的期限内未能提交的，招标人可以确定排名</w:t>
      </w:r>
      <w:r>
        <w:rPr>
          <w:rFonts w:hint="eastAsia" w:hAnsi="宋体"/>
          <w:color w:val="auto"/>
          <w:spacing w:val="10"/>
          <w:szCs w:val="21"/>
          <w:highlight w:val="none"/>
        </w:rPr>
        <w:t>次之</w:t>
      </w:r>
      <w:r>
        <w:rPr>
          <w:rFonts w:hint="eastAsia" w:ascii="宋体" w:hAnsi="宋体"/>
          <w:color w:val="auto"/>
          <w:spacing w:val="10"/>
          <w:szCs w:val="21"/>
          <w:highlight w:val="none"/>
        </w:rPr>
        <w:t>的中标候选人为</w:t>
      </w:r>
      <w:r>
        <w:rPr>
          <w:rFonts w:hint="eastAsia" w:ascii="宋体" w:hAnsi="宋体"/>
          <w:color w:val="auto"/>
          <w:highlight w:val="none"/>
        </w:rPr>
        <w:t>中标人。评标办法的解释权归招标人。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七</w:t>
      </w:r>
      <w:r>
        <w:rPr>
          <w:rFonts w:hint="eastAsia" w:asciiTheme="minorEastAsia" w:hAnsiTheme="minorEastAsia" w:eastAsiaTheme="minorEastAsia" w:cstheme="minorEastAsia"/>
          <w:color w:val="auto"/>
          <w:szCs w:val="21"/>
          <w:highlight w:val="none"/>
          <w:lang w:val="zh-CN"/>
        </w:rPr>
        <w:t>、本次评分具体分值细化条款如下表：</w:t>
      </w:r>
    </w:p>
    <w:p>
      <w:pPr>
        <w:spacing w:line="360" w:lineRule="auto"/>
        <w:jc w:val="center"/>
        <w:rPr>
          <w:rFonts w:asciiTheme="minorEastAsia" w:hAnsiTheme="minorEastAsia" w:eastAsiaTheme="minorEastAsia" w:cstheme="minorEastAsia"/>
          <w:color w:val="auto"/>
          <w:szCs w:val="21"/>
          <w:highlight w:val="none"/>
          <w:lang w:val="zh-CN"/>
        </w:rPr>
      </w:pPr>
      <w:r>
        <w:rPr>
          <w:rFonts w:hint="eastAsia" w:ascii="宋体" w:hAnsi="宋体"/>
          <w:b/>
          <w:color w:val="auto"/>
          <w:szCs w:val="21"/>
          <w:highlight w:val="none"/>
        </w:rPr>
        <w:t>评标打分标准表</w:t>
      </w:r>
    </w:p>
    <w:tbl>
      <w:tblPr>
        <w:tblStyle w:val="2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33"/>
        <w:gridCol w:w="6319"/>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204"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1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76"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113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rPr>
              <w:t>承接经验</w:t>
            </w:r>
          </w:p>
        </w:tc>
        <w:tc>
          <w:tcPr>
            <w:tcW w:w="6319" w:type="dxa"/>
            <w:vAlign w:val="center"/>
          </w:tcPr>
          <w:p>
            <w:pPr>
              <w:jc w:val="left"/>
              <w:rPr>
                <w:rFonts w:ascii="宋体" w:hAnsi="宋体" w:cs="宋体"/>
                <w:color w:val="auto"/>
                <w:kern w:val="0"/>
                <w:szCs w:val="21"/>
                <w:highlight w:val="none"/>
              </w:rPr>
            </w:pPr>
            <w:r>
              <w:rPr>
                <w:rFonts w:hint="eastAsia" w:ascii="宋体" w:hAnsi="宋体" w:cs="宋体"/>
                <w:color w:val="auto"/>
                <w:szCs w:val="21"/>
                <w:highlight w:val="none"/>
              </w:rPr>
              <w:t>投标人自2018年1月1日以来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承接过类似项目的。每提供1个合同得1分，最高得3分。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提供合同复印件</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zh-CN"/>
              </w:rPr>
              <w:t>加盖</w:t>
            </w:r>
            <w:r>
              <w:rPr>
                <w:rFonts w:hint="eastAsia" w:ascii="宋体" w:hAnsi="宋体" w:cs="宋体"/>
                <w:b/>
                <w:bCs/>
                <w:color w:val="auto"/>
                <w:kern w:val="0"/>
                <w:szCs w:val="21"/>
                <w:highlight w:val="none"/>
              </w:rPr>
              <w:t>投标人</w:t>
            </w:r>
            <w:r>
              <w:rPr>
                <w:rFonts w:hint="eastAsia" w:ascii="宋体" w:hAnsi="宋体" w:cs="宋体"/>
                <w:b/>
                <w:bCs/>
                <w:color w:val="auto"/>
                <w:kern w:val="0"/>
                <w:szCs w:val="21"/>
                <w:highlight w:val="none"/>
                <w:lang w:val="zh-CN"/>
              </w:rPr>
              <w:t>公章</w:t>
            </w:r>
            <w:r>
              <w:rPr>
                <w:rFonts w:hint="eastAsia" w:ascii="宋体" w:hAnsi="宋体" w:cs="宋体"/>
                <w:b/>
                <w:bCs/>
                <w:color w:val="auto"/>
                <w:highlight w:val="none"/>
              </w:rPr>
              <w:t>，不提供的或提供不全的不得分</w:t>
            </w:r>
            <w:r>
              <w:rPr>
                <w:rFonts w:hint="eastAsia" w:ascii="宋体" w:hAnsi="宋体" w:cs="宋体"/>
                <w:b/>
                <w:bCs/>
                <w:color w:val="auto"/>
                <w:kern w:val="0"/>
                <w:szCs w:val="21"/>
                <w:highlight w:val="none"/>
                <w:lang w:val="zh-CN"/>
              </w:rPr>
              <w:t>）</w:t>
            </w:r>
          </w:p>
        </w:tc>
        <w:tc>
          <w:tcPr>
            <w:tcW w:w="576" w:type="dxa"/>
            <w:vAlign w:val="center"/>
          </w:tcPr>
          <w:p>
            <w:pPr>
              <w:pStyle w:val="12"/>
              <w:snapToGrid w:val="0"/>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7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新宋体"/>
                <w:b w:val="0"/>
                <w:bCs w:val="0"/>
                <w:color w:val="auto"/>
                <w:sz w:val="21"/>
                <w:szCs w:val="21"/>
                <w:highlight w:val="none"/>
                <w:lang w:val="en-US" w:eastAsia="zh-CN"/>
              </w:rPr>
              <w:t>车辆配置情况</w:t>
            </w:r>
          </w:p>
        </w:tc>
        <w:tc>
          <w:tcPr>
            <w:tcW w:w="6319"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投标人拟投入本项目使用的：</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配置7辆</w:t>
            </w:r>
            <w:r>
              <w:rPr>
                <w:rFonts w:hint="eastAsia" w:ascii="宋体" w:hAnsi="宋体" w:cs="宋体"/>
                <w:color w:val="auto"/>
                <w:szCs w:val="21"/>
                <w:highlight w:val="none"/>
                <w:lang w:val="en-GB"/>
              </w:rPr>
              <w:t>电瓶清运四轮十五桶车或内燃机清运车（</w:t>
            </w:r>
            <w:r>
              <w:rPr>
                <w:rFonts w:hint="eastAsia" w:ascii="宋体" w:hAnsi="宋体" w:cs="宋体"/>
                <w:color w:val="auto"/>
                <w:szCs w:val="21"/>
                <w:highlight w:val="none"/>
              </w:rPr>
              <w:t>其中2</w:t>
            </w:r>
            <w:r>
              <w:rPr>
                <w:rFonts w:hint="eastAsia" w:ascii="宋体" w:hAnsi="宋体" w:cs="宋体"/>
                <w:color w:val="auto"/>
                <w:szCs w:val="21"/>
                <w:highlight w:val="none"/>
                <w:lang w:val="en-GB"/>
              </w:rPr>
              <w:t>辆备用）</w:t>
            </w:r>
            <w:r>
              <w:rPr>
                <w:rFonts w:hint="eastAsia" w:ascii="宋体" w:hAnsi="宋体" w:cs="宋体"/>
                <w:color w:val="auto"/>
                <w:szCs w:val="21"/>
                <w:highlight w:val="none"/>
                <w:lang w:val="en-US" w:eastAsia="zh-CN"/>
              </w:rPr>
              <w:t>的得2分，</w:t>
            </w:r>
            <w:r>
              <w:rPr>
                <w:rFonts w:hint="eastAsia" w:ascii="宋体" w:hAnsi="宋体" w:cs="宋体"/>
                <w:b w:val="0"/>
                <w:color w:val="auto"/>
                <w:sz w:val="21"/>
                <w:szCs w:val="21"/>
                <w:highlight w:val="none"/>
                <w:lang w:val="en-US" w:eastAsia="zh-CN"/>
              </w:rPr>
              <w:t>少于7辆的不得分。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w:t>
            </w:r>
            <w:r>
              <w:rPr>
                <w:rFonts w:hint="eastAsia" w:ascii="宋体" w:hAnsi="宋体" w:cs="宋体"/>
                <w:b/>
                <w:bCs/>
                <w:color w:val="auto"/>
                <w:szCs w:val="21"/>
                <w:highlight w:val="none"/>
                <w:lang w:val="en-US" w:eastAsia="zh-CN"/>
              </w:rPr>
              <w:t>车辆45°照片、购置发票（发票无法体现的，须另附合同）复印件、如为租赁，须同时提供租赁协议复印件、内燃机须提供行驶证复印件</w:t>
            </w:r>
            <w:r>
              <w:rPr>
                <w:rFonts w:hint="eastAsia" w:ascii="宋体" w:hAnsi="宋体" w:eastAsia="宋体" w:cs="宋体"/>
                <w:b/>
                <w:bCs/>
                <w:color w:val="auto"/>
                <w:szCs w:val="21"/>
                <w:highlight w:val="none"/>
                <w:lang w:val="en-US" w:eastAsia="zh-CN"/>
              </w:rPr>
              <w:t>，加盖投标人公章</w:t>
            </w:r>
            <w:r>
              <w:rPr>
                <w:rFonts w:hint="eastAsia" w:ascii="宋体" w:hAnsi="宋体" w:eastAsia="宋体" w:cs="宋体"/>
                <w:b/>
                <w:bCs/>
                <w:color w:val="auto"/>
                <w:highlight w:val="none"/>
                <w:lang w:val="en-US" w:eastAsia="zh-CN"/>
              </w:rPr>
              <w:t>，不提供的或提供不全的不得分</w:t>
            </w:r>
            <w:r>
              <w:rPr>
                <w:rFonts w:hint="eastAsia" w:ascii="宋体" w:hAnsi="宋体" w:cs="宋体"/>
                <w:b/>
                <w:bCs/>
                <w:color w:val="auto"/>
                <w:sz w:val="21"/>
                <w:szCs w:val="21"/>
                <w:highlight w:val="none"/>
                <w:lang w:val="en-US" w:eastAsia="zh-CN"/>
              </w:rPr>
              <w:t>）</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新宋体"/>
                <w:b w:val="0"/>
                <w:bCs w:val="0"/>
                <w:color w:val="auto"/>
                <w:sz w:val="21"/>
                <w:szCs w:val="21"/>
                <w:highlight w:val="none"/>
                <w:lang w:val="en-US" w:eastAsia="zh-CN"/>
              </w:rPr>
              <w:t>智能垃圾收集车配置情况</w:t>
            </w:r>
          </w:p>
        </w:tc>
        <w:tc>
          <w:tcPr>
            <w:tcW w:w="6319"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根据投标人拟投入本项目的</w:t>
            </w:r>
            <w:r>
              <w:rPr>
                <w:rFonts w:hint="eastAsia" w:ascii="宋体" w:hAnsi="宋体" w:cs="新宋体"/>
                <w:b w:val="0"/>
                <w:bCs w:val="0"/>
                <w:color w:val="auto"/>
                <w:sz w:val="21"/>
                <w:szCs w:val="21"/>
                <w:highlight w:val="none"/>
                <w:lang w:val="en-US" w:eastAsia="zh-CN"/>
              </w:rPr>
              <w:t>智能垃圾收集车（须具有垃圾自动识别、称重、评分打分、GPS定位等功能）不少于35辆的得5分，少于35辆的不得分。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w:t>
            </w:r>
            <w:r>
              <w:rPr>
                <w:rFonts w:hint="eastAsia" w:ascii="宋体" w:hAnsi="宋体" w:cs="宋体"/>
                <w:b/>
                <w:bCs/>
                <w:color w:val="auto"/>
                <w:szCs w:val="21"/>
                <w:highlight w:val="none"/>
                <w:lang w:val="en-US" w:eastAsia="zh-CN"/>
              </w:rPr>
              <w:t>车辆照片、购置发票（发票无法体现的，须另附合同）复印件、如为租赁，须同时提供租赁协议复印件</w:t>
            </w:r>
            <w:r>
              <w:rPr>
                <w:rFonts w:hint="eastAsia" w:ascii="宋体" w:hAnsi="宋体" w:eastAsia="宋体" w:cs="宋体"/>
                <w:b/>
                <w:bCs/>
                <w:color w:val="auto"/>
                <w:szCs w:val="21"/>
                <w:highlight w:val="none"/>
                <w:lang w:val="en-US" w:eastAsia="zh-CN"/>
              </w:rPr>
              <w:t>，加盖投标人公章</w:t>
            </w:r>
            <w:r>
              <w:rPr>
                <w:rFonts w:hint="eastAsia" w:ascii="宋体" w:hAnsi="宋体" w:eastAsia="宋体" w:cs="宋体"/>
                <w:b/>
                <w:bCs/>
                <w:color w:val="auto"/>
                <w:highlight w:val="none"/>
                <w:lang w:val="en-US" w:eastAsia="zh-CN"/>
              </w:rPr>
              <w:t>，不提供的或提供不全的不得分</w:t>
            </w:r>
            <w:r>
              <w:rPr>
                <w:rFonts w:hint="eastAsia" w:ascii="宋体" w:hAnsi="宋体" w:cs="宋体"/>
                <w:b/>
                <w:bCs/>
                <w:color w:val="auto"/>
                <w:sz w:val="21"/>
                <w:szCs w:val="21"/>
                <w:highlight w:val="none"/>
                <w:lang w:val="en-US" w:eastAsia="zh-CN"/>
              </w:rPr>
              <w:t>）</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eastAsia="宋体" w:cs="新宋体"/>
                <w:b w:val="0"/>
                <w:bCs w:val="0"/>
                <w:color w:val="auto"/>
                <w:sz w:val="21"/>
                <w:szCs w:val="21"/>
                <w:highlight w:val="none"/>
                <w:lang w:val="en-US" w:eastAsia="zh-CN"/>
              </w:rPr>
              <w:t>项目理解</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根据投标人对本项目保洁服务区域现状情况的了解程度进行打分。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对本项目道路清扫现状、路面保洁与垃圾清运等区域现状调查全面，符合实际情况，并针对此现状提出的分析方案有针对性的得3.0-5.0分；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对本项目区域现状调查有欠缺，针对此现状提出的分析方案简单的得0.1-2.9分；未提及此项不得分。</w:t>
            </w:r>
          </w:p>
        </w:tc>
        <w:tc>
          <w:tcPr>
            <w:tcW w:w="576"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rFonts w:hint="eastAsia"/>
                <w:color w:val="auto"/>
                <w:sz w:val="21"/>
                <w:highlight w:val="none"/>
                <w:lang w:val="en-US" w:eastAsia="zh-CN"/>
              </w:rPr>
              <w:t>工作</w:t>
            </w:r>
            <w:r>
              <w:rPr>
                <w:color w:val="auto"/>
                <w:sz w:val="21"/>
                <w:highlight w:val="none"/>
              </w:rPr>
              <w:t>方案</w:t>
            </w: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rPr>
              <w:t>管理方案和作业工作计划</w:t>
            </w:r>
            <w:r>
              <w:rPr>
                <w:rFonts w:hint="eastAsia" w:ascii="宋体" w:hAnsi="宋体" w:cs="宋体"/>
                <w:color w:val="auto"/>
                <w:szCs w:val="21"/>
                <w:highlight w:val="none"/>
              </w:rPr>
              <w:t>描述情况进行打分。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方案阐述详细全面，管理方案、作业工作计划贴合本项目实际，操作性强，有针对性的得3.0-5.0分；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方案简单，对各项任务如何进行安全保护均有提及，但内容简单，缺乏针对性、可操作性的得0.1-2.9分；未提及此项不得分。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rPr>
              <w:t>清扫保洁服务方案</w:t>
            </w:r>
            <w:r>
              <w:rPr>
                <w:rFonts w:hint="eastAsia" w:ascii="宋体" w:hAnsi="宋体" w:cs="宋体"/>
                <w:color w:val="auto"/>
                <w:szCs w:val="21"/>
                <w:highlight w:val="none"/>
              </w:rPr>
              <w:t>，包括针对本次螺洋街道实际情况制定的道路保洁、垃圾桶保洁和管理、公厕保洁、垃圾清运、打包站保洁、绿化保洁等实施方案进行打分。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清扫保洁服务方案符合项目要求的，对片区每个地方、服务的每一项工作内容都有相对应完整的服务方案，针对性实施要点切合螺洋街道实际且全面可行、具有针对性的得3.0-5.0分；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清扫保洁服务方案较完善，对各项任务均有提到，实施要点针对性欠佳的得0.1-2.9分；未提及此项不得分。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lang w:val="en-US" w:eastAsia="zh-CN"/>
              </w:rPr>
              <w:t>农村</w:t>
            </w:r>
            <w:r>
              <w:rPr>
                <w:rFonts w:hint="eastAsia" w:ascii="宋体" w:hAnsi="宋体" w:cs="宋体"/>
                <w:b/>
                <w:bCs/>
                <w:color w:val="auto"/>
                <w:szCs w:val="21"/>
                <w:highlight w:val="none"/>
              </w:rPr>
              <w:t>垃圾分类及收集方案</w:t>
            </w:r>
            <w:r>
              <w:rPr>
                <w:rFonts w:hint="eastAsia" w:ascii="宋体" w:hAnsi="宋体" w:cs="宋体"/>
                <w:color w:val="auto"/>
                <w:szCs w:val="21"/>
                <w:highlight w:val="none"/>
              </w:rPr>
              <w:t>进行打分。</w:t>
            </w:r>
          </w:p>
          <w:p>
            <w:pPr>
              <w:tabs>
                <w:tab w:val="left" w:pos="2061"/>
              </w:tabs>
              <w:jc w:val="left"/>
              <w:rPr>
                <w:rFonts w:ascii="宋体" w:hAnsi="宋体" w:cs="新宋体"/>
                <w:color w:val="auto"/>
                <w:szCs w:val="21"/>
                <w:highlight w:val="none"/>
              </w:rPr>
            </w:pPr>
            <w:r>
              <w:rPr>
                <w:rFonts w:hint="eastAsia" w:ascii="宋体" w:hAnsi="宋体" w:cs="新宋体"/>
                <w:color w:val="auto"/>
                <w:szCs w:val="21"/>
                <w:highlight w:val="none"/>
              </w:rPr>
              <w:t>方案阐述详细全面、垃圾分类及收集的工作方法明确、</w:t>
            </w:r>
            <w:r>
              <w:rPr>
                <w:rFonts w:hint="eastAsia" w:ascii="宋体" w:hAnsi="宋体" w:cs="宋体"/>
                <w:color w:val="auto"/>
                <w:szCs w:val="21"/>
                <w:highlight w:val="none"/>
              </w:rPr>
              <w:t>对工作内容有相对应完整的服务方案，实施要点切合螺洋街道实际且全面可行、具有针对性，</w:t>
            </w:r>
            <w:r>
              <w:rPr>
                <w:rFonts w:hint="eastAsia" w:ascii="宋体" w:hAnsi="宋体" w:cs="新宋体"/>
                <w:color w:val="auto"/>
                <w:szCs w:val="21"/>
                <w:highlight w:val="none"/>
              </w:rPr>
              <w:t>符合项目需求的得3.0-5.0分；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新宋体"/>
                <w:color w:val="auto"/>
                <w:szCs w:val="21"/>
                <w:highlight w:val="none"/>
              </w:rPr>
              <w:t>方案合理、但内容有欠缺、</w:t>
            </w:r>
            <w:r>
              <w:rPr>
                <w:rFonts w:hint="eastAsia" w:ascii="宋体" w:hAnsi="宋体" w:cs="宋体"/>
                <w:color w:val="auto"/>
                <w:szCs w:val="21"/>
                <w:highlight w:val="none"/>
              </w:rPr>
              <w:t>实施要点缺乏针对性、</w:t>
            </w:r>
            <w:r>
              <w:rPr>
                <w:rFonts w:hint="eastAsia" w:ascii="宋体" w:hAnsi="宋体" w:cs="新宋体"/>
                <w:color w:val="auto"/>
                <w:szCs w:val="21"/>
                <w:highlight w:val="none"/>
              </w:rPr>
              <w:t>无法较好的保障项目完成质量的得0.1-2.9分；未提及此项不得分。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cs="新宋体"/>
                <w:b w:val="0"/>
                <w:bCs w:val="0"/>
                <w:color w:val="auto"/>
                <w:sz w:val="21"/>
                <w:szCs w:val="21"/>
                <w:highlight w:val="none"/>
                <w:lang w:val="en-US" w:eastAsia="zh-CN"/>
              </w:rPr>
              <w:t>平台系统演示</w:t>
            </w:r>
          </w:p>
        </w:tc>
        <w:tc>
          <w:tcPr>
            <w:tcW w:w="6319" w:type="dxa"/>
            <w:vAlign w:val="top"/>
          </w:tcPr>
          <w:p>
            <w:pPr>
              <w:rPr>
                <w:rFonts w:ascii="宋体" w:hAnsi="宋体" w:cs="宋体"/>
                <w:color w:val="auto"/>
                <w:szCs w:val="21"/>
                <w:highlight w:val="none"/>
              </w:rPr>
            </w:pPr>
            <w:r>
              <w:rPr>
                <w:rFonts w:hint="eastAsia" w:ascii="宋体" w:hAnsi="宋体" w:cs="宋体"/>
                <w:color w:val="auto"/>
                <w:szCs w:val="21"/>
                <w:highlight w:val="none"/>
              </w:rPr>
              <w:t>根据投标人提供的针对街道垃圾分类收集管理系统建设及演示方案进行打分。</w:t>
            </w:r>
          </w:p>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平台功能完善，展示清晰，能保证项目实施效果的得4.0-5.0分；</w:t>
            </w:r>
          </w:p>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功能较少，展示基本清晰，内容基本全面、不够详细具体的得2.0-3.9分；</w:t>
            </w:r>
          </w:p>
          <w:p>
            <w:pPr>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系统展示模糊、内容简单的得0.1-1.9分；未提及此项不得分。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质量及安全保障措施</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szCs w:val="21"/>
                <w:highlight w:val="none"/>
                <w:lang w:val="en-US" w:eastAsia="zh-CN"/>
              </w:rPr>
              <w:t>制定</w:t>
            </w:r>
            <w:r>
              <w:rPr>
                <w:rFonts w:hint="eastAsia" w:ascii="宋体" w:hAnsi="宋体" w:eastAsia="宋体" w:cs="宋体"/>
                <w:b w:val="0"/>
                <w:color w:val="auto"/>
                <w:sz w:val="21"/>
                <w:szCs w:val="21"/>
                <w:highlight w:val="none"/>
                <w:lang w:val="en-US" w:eastAsia="zh-CN"/>
              </w:rPr>
              <w:t>的</w:t>
            </w:r>
            <w:r>
              <w:rPr>
                <w:rFonts w:hint="eastAsia" w:ascii="宋体" w:hAnsi="宋体" w:cs="宋体"/>
                <w:color w:val="auto"/>
                <w:szCs w:val="21"/>
                <w:highlight w:val="none"/>
              </w:rPr>
              <w:t>质量保证目标、质量保证措施、详细的实施内容进行打分。</w:t>
            </w:r>
          </w:p>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方案阐述详细全面，质量保证目标、质量保证措施及实施内容完整，且质量保证措施以及实施内容贴合本项目实际，操作性强，有针对性，得3.0-5.0分；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方案阐述简单，质量保证措施安排不合理、实施内容方法不完善，缺乏针对性、可操作性的得0.1-2.9分；未提及此项不得分。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安全教育与管理制度</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作业人员安全教育、劳动保护及安全措施等方案的科学性、合理性情况进行打分。方案阐述详细全面，作业人员安全教育、劳动保护及安全措施等方案内容完整，且安全教育、劳动保护及安全措施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方案简单，对各项任务如何进行安全保护均有提及，但安全措施方法不完善，缺乏针对性的得0.1-2.9分；未提及此项不得分。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督检制度</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根据本项目提供相应的作业管理制度和内部考核办法进行打分。方案阐述详细全面，本项目的管理制度、内部考核办法贴合本项目实际，操作性强，有针对性的得3.0-5.0分；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方案简单，对各项任务如何进行安全保护均有提及，但缺乏合理性、针对性的得0.1-2.9分；未提及此项不得分。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Merge w:val="continue"/>
            <w:vAlign w:val="center"/>
          </w:tcPr>
          <w:p>
            <w:pPr>
              <w:rPr>
                <w:rFonts w:hint="eastAsia"/>
                <w:color w:val="auto"/>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环卫工人权益保障</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所提供的环卫工人保障方案的全面性、科学性和可行性以及具有完善的工会组织等情况进行打分。投标人所提供的环卫工人保障方案符合相关法律法规规定，为环卫工人购买社会保险及人身意外伤害保险，相关安全方案完备可行，工人待遇全面优渥(包括基本工资、环卫津贴、单休日、节假日、加班费等）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投标人只为环卫工人购买社会保险及人身意外伤害保险，工人待遇缺少加班费等相关福利，工人保障方案无法保障服务质量，工人待遇只是不低于当地有关标准得0.1-2.9分；未提及此项不得分。</w:t>
            </w:r>
          </w:p>
        </w:tc>
        <w:tc>
          <w:tcPr>
            <w:tcW w:w="576" w:type="dxa"/>
            <w:vAlign w:val="center"/>
          </w:tcPr>
          <w:p>
            <w:pPr>
              <w:autoSpaceDE w:val="0"/>
              <w:autoSpaceDN w:val="0"/>
              <w:adjustRightInd w:val="0"/>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71" w:type="dxa"/>
            <w:vMerge w:val="continue"/>
            <w:vAlign w:val="center"/>
          </w:tcPr>
          <w:p>
            <w:pPr>
              <w:rPr>
                <w:rFonts w:hint="eastAsia"/>
                <w:color w:val="auto"/>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交接</w:t>
            </w:r>
            <w:r>
              <w:rPr>
                <w:rFonts w:hint="eastAsia"/>
                <w:color w:val="auto"/>
                <w:sz w:val="21"/>
                <w:highlight w:val="none"/>
                <w:lang w:val="en-US" w:eastAsia="zh-CN"/>
              </w:rPr>
              <w:t>方案</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所提供的交接方案的全面性、科学性和可操作性进行打分。交接方案涉及到设备、车辆、人员等各方面，具有全面性、针对性，交接方案可操作，能很好地帮助业主解决交接问题，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交接方案阐述不全面，较为空泛，对本项目交接问题的解决基本没有帮助，得0.1-2.9分；未提及此项不得分。</w:t>
            </w:r>
          </w:p>
        </w:tc>
        <w:tc>
          <w:tcPr>
            <w:tcW w:w="576" w:type="dxa"/>
            <w:vAlign w:val="center"/>
          </w:tcPr>
          <w:p>
            <w:pPr>
              <w:autoSpaceDE w:val="0"/>
              <w:autoSpaceDN w:val="0"/>
              <w:adjustRightInd w:val="0"/>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eastAsia="宋体" w:cs="新宋体"/>
                <w:b w:val="0"/>
                <w:bCs w:val="0"/>
                <w:color w:val="auto"/>
                <w:sz w:val="21"/>
                <w:szCs w:val="21"/>
                <w:highlight w:val="none"/>
                <w:lang w:val="en-US" w:eastAsia="zh-CN"/>
              </w:rPr>
              <w:t>应急预案</w:t>
            </w:r>
          </w:p>
        </w:tc>
        <w:tc>
          <w:tcPr>
            <w:tcW w:w="6319" w:type="dxa"/>
            <w:vAlign w:val="center"/>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针对突发事件、台风、暴雨等天气影响，防台防汛期间，创优评优和突击检查、重大节假日或活动等特殊情况制定的应急处置方案、经济调度方案及实施经验的完整性、合理性和可操作性进行打分。投标人面对特殊情况能出具考核迎检方案，及时增加或调动人员满足要求并且经济合理，相关应急实施经验丰富且成效显著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投标人面对特殊情况增加或调动人员基本能满足要求，但缺乏相关应急实施经验的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0"/>
                <w:szCs w:val="21"/>
                <w:highlight w:val="none"/>
              </w:rPr>
              <w:t>售后服务</w:t>
            </w:r>
          </w:p>
        </w:tc>
        <w:tc>
          <w:tcPr>
            <w:tcW w:w="6319" w:type="dxa"/>
            <w:vAlign w:val="center"/>
          </w:tcPr>
          <w:p>
            <w:pPr>
              <w:widowControl/>
              <w:tabs>
                <w:tab w:val="right" w:pos="4937"/>
              </w:tabs>
              <w:jc w:val="left"/>
              <w:textAlignment w:val="baseline"/>
              <w:rPr>
                <w:rFonts w:hint="eastAsia" w:ascii="宋体" w:hAnsi="宋体" w:cs="宋体"/>
                <w:color w:val="auto"/>
                <w:szCs w:val="21"/>
                <w:highlight w:val="none"/>
              </w:rPr>
            </w:pPr>
            <w:r>
              <w:rPr>
                <w:rFonts w:hint="eastAsia"/>
                <w:color w:val="auto"/>
                <w:highlight w:val="none"/>
              </w:rPr>
              <w:t>根据</w:t>
            </w:r>
            <w:r>
              <w:rPr>
                <w:rFonts w:hint="eastAsia" w:ascii="宋体" w:hAnsi="宋体" w:cs="宋体"/>
                <w:color w:val="auto"/>
                <w:szCs w:val="21"/>
                <w:highlight w:val="none"/>
              </w:rPr>
              <w:t>投标人承诺提供的售后服务方案（服务能力、服务措施、服务承诺等方面）情况，包括服务承诺的可行性、完整性以及后续的技术实施保障措施等进行打分。服务方案全面、后续技术保障措施合理有效的得</w:t>
            </w:r>
            <w:r>
              <w:rPr>
                <w:rFonts w:hint="eastAsia" w:ascii="宋体" w:hAnsi="宋体" w:cs="宋体"/>
                <w:color w:val="auto"/>
                <w:szCs w:val="21"/>
                <w:highlight w:val="none"/>
                <w:lang w:val="en-US" w:eastAsia="zh-CN"/>
              </w:rPr>
              <w:t>1.5-3.0</w:t>
            </w:r>
            <w:r>
              <w:rPr>
                <w:rFonts w:hint="eastAsia" w:ascii="宋体" w:hAnsi="宋体" w:cs="宋体"/>
                <w:color w:val="auto"/>
                <w:szCs w:val="21"/>
                <w:highlight w:val="none"/>
              </w:rPr>
              <w:t>分；</w:t>
            </w:r>
          </w:p>
          <w:p>
            <w:pPr>
              <w:widowControl/>
              <w:tabs>
                <w:tab w:val="right" w:pos="4937"/>
              </w:tabs>
              <w:jc w:val="left"/>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color w:val="auto"/>
                <w:szCs w:val="21"/>
                <w:highlight w:val="none"/>
              </w:rPr>
              <w:t>服务方案阐述较详尽，后续技术保障措施有欠缺的得0.1-</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r>
              <w:rPr>
                <w:rFonts w:hint="eastAsia" w:ascii="宋体" w:hAnsi="宋体" w:cs="新宋体"/>
                <w:color w:val="auto"/>
                <w:szCs w:val="21"/>
                <w:highlight w:val="none"/>
              </w:rPr>
              <w:t>未提及此项不得分。</w:t>
            </w:r>
          </w:p>
        </w:tc>
        <w:tc>
          <w:tcPr>
            <w:tcW w:w="576" w:type="dxa"/>
            <w:vAlign w:val="center"/>
          </w:tcPr>
          <w:p>
            <w:pPr>
              <w:tabs>
                <w:tab w:val="left" w:pos="780"/>
              </w:tabs>
              <w:jc w:val="center"/>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snapToGri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cs="新宋体"/>
                <w:color w:val="auto"/>
                <w:szCs w:val="21"/>
                <w:highlight w:val="none"/>
                <w:lang w:val="en-US" w:eastAsia="zh-CN"/>
              </w:rPr>
              <w:t>服务响应</w:t>
            </w:r>
          </w:p>
        </w:tc>
        <w:tc>
          <w:tcPr>
            <w:tcW w:w="6319" w:type="dxa"/>
            <w:vAlign w:val="center"/>
          </w:tcPr>
          <w:p>
            <w:pPr>
              <w:widowControl/>
              <w:spacing w:line="24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根据投标人</w:t>
            </w:r>
            <w:r>
              <w:rPr>
                <w:rFonts w:hint="eastAsia" w:ascii="宋体" w:hAnsi="宋体" w:cs="宋体"/>
                <w:color w:val="auto"/>
                <w:spacing w:val="-4"/>
                <w:szCs w:val="21"/>
                <w:highlight w:val="none"/>
                <w:lang w:val="en-US" w:eastAsia="zh-CN"/>
              </w:rPr>
              <w:t>承诺的服务</w:t>
            </w:r>
            <w:r>
              <w:rPr>
                <w:rFonts w:hint="eastAsia" w:ascii="宋体" w:hAnsi="宋体" w:cs="宋体"/>
                <w:color w:val="auto"/>
                <w:spacing w:val="-4"/>
                <w:szCs w:val="21"/>
                <w:highlight w:val="none"/>
              </w:rPr>
              <w:t>响应时间等情况进行打分。</w:t>
            </w:r>
          </w:p>
          <w:p>
            <w:pPr>
              <w:widowControl/>
              <w:spacing w:line="24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承诺</w:t>
            </w:r>
            <w:r>
              <w:rPr>
                <w:rFonts w:hint="eastAsia" w:ascii="宋体" w:hAnsi="宋体" w:cs="宋体"/>
                <w:color w:val="auto"/>
                <w:spacing w:val="-4"/>
                <w:szCs w:val="21"/>
                <w:highlight w:val="none"/>
                <w:lang w:val="en-US" w:eastAsia="zh-CN"/>
              </w:rPr>
              <w:t>接到采购方通知后，</w:t>
            </w:r>
            <w:r>
              <w:rPr>
                <w:rFonts w:hint="eastAsia" w:ascii="宋体" w:hAnsi="宋体" w:cs="宋体"/>
                <w:color w:val="auto"/>
                <w:spacing w:val="-4"/>
                <w:szCs w:val="21"/>
                <w:highlight w:val="none"/>
              </w:rPr>
              <w:t>在</w:t>
            </w:r>
            <w:r>
              <w:rPr>
                <w:rFonts w:hint="eastAsia" w:ascii="宋体" w:hAnsi="宋体" w:cs="宋体"/>
                <w:color w:val="auto"/>
                <w:spacing w:val="-4"/>
                <w:szCs w:val="21"/>
                <w:highlight w:val="none"/>
                <w:lang w:val="en-US" w:eastAsia="zh-CN"/>
              </w:rPr>
              <w:t>30分钟内</w:t>
            </w:r>
            <w:r>
              <w:rPr>
                <w:rFonts w:hint="eastAsia" w:ascii="宋体" w:hAnsi="宋体" w:cs="宋体"/>
                <w:color w:val="auto"/>
                <w:spacing w:val="-4"/>
                <w:szCs w:val="21"/>
                <w:highlight w:val="none"/>
              </w:rPr>
              <w:t>（含）到达现场的得</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分；</w:t>
            </w:r>
          </w:p>
          <w:p>
            <w:pPr>
              <w:widowControl/>
              <w:spacing w:line="240" w:lineRule="auto"/>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pacing w:val="-4"/>
                <w:szCs w:val="21"/>
                <w:highlight w:val="none"/>
                <w:lang w:val="en-US" w:eastAsia="zh-CN"/>
              </w:rPr>
              <w:t>接到采购方通知后，</w:t>
            </w:r>
            <w:r>
              <w:rPr>
                <w:rFonts w:hint="eastAsia" w:ascii="宋体" w:hAnsi="宋体" w:cs="宋体"/>
                <w:color w:val="auto"/>
                <w:spacing w:val="-4"/>
                <w:szCs w:val="21"/>
                <w:highlight w:val="none"/>
              </w:rPr>
              <w:t>超过</w:t>
            </w:r>
            <w:r>
              <w:rPr>
                <w:rFonts w:hint="eastAsia" w:ascii="宋体" w:hAnsi="宋体" w:cs="宋体"/>
                <w:color w:val="auto"/>
                <w:spacing w:val="-4"/>
                <w:szCs w:val="21"/>
                <w:highlight w:val="none"/>
                <w:lang w:val="en-US" w:eastAsia="zh-CN"/>
              </w:rPr>
              <w:t>30分钟</w:t>
            </w:r>
            <w:r>
              <w:rPr>
                <w:rFonts w:hint="eastAsia" w:ascii="宋体" w:hAnsi="宋体" w:cs="宋体"/>
                <w:color w:val="auto"/>
                <w:spacing w:val="-4"/>
                <w:szCs w:val="21"/>
                <w:highlight w:val="none"/>
              </w:rPr>
              <w:t>到达现场的或未提及此项不得分。</w:t>
            </w:r>
          </w:p>
        </w:tc>
        <w:tc>
          <w:tcPr>
            <w:tcW w:w="576" w:type="dxa"/>
            <w:vAlign w:val="center"/>
          </w:tcPr>
          <w:p>
            <w:pPr>
              <w:tabs>
                <w:tab w:val="left" w:pos="780"/>
              </w:tabs>
              <w:autoSpaceDE w:val="0"/>
              <w:autoSpaceDN w:val="0"/>
              <w:adjustRightIn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cs="新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204" w:type="dxa"/>
            <w:gridSpan w:val="2"/>
            <w:vAlign w:val="center"/>
          </w:tcPr>
          <w:p>
            <w:pPr>
              <w:keepLines w:val="0"/>
              <w:pageBreakBefore w:val="0"/>
              <w:kinsoku/>
              <w:wordWrap/>
              <w:overflowPunct/>
              <w:topLinePunct w:val="0"/>
              <w:bidi w:val="0"/>
              <w:spacing w:beforeAutospacing="0" w:afterAutospacing="0" w:line="240" w:lineRule="auto"/>
              <w:ind w:left="0"/>
              <w:jc w:val="center"/>
              <w:textAlignment w:val="auto"/>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w:t>
            </w:r>
            <w:r>
              <w:rPr>
                <w:rStyle w:val="57"/>
                <w:rFonts w:hint="eastAsia" w:ascii="宋体" w:hAnsi="宋体" w:cs="宋体"/>
                <w:color w:val="auto"/>
                <w:kern w:val="0"/>
                <w:sz w:val="21"/>
                <w:szCs w:val="21"/>
                <w:highlight w:val="none"/>
                <w:lang w:val="en-US" w:eastAsia="zh-CN"/>
              </w:rPr>
              <w:t>30</w:t>
            </w:r>
            <w:r>
              <w:rPr>
                <w:rStyle w:val="57"/>
                <w:rFonts w:hint="eastAsia" w:ascii="宋体" w:hAnsi="宋体" w:eastAsia="宋体" w:cs="宋体"/>
                <w:color w:val="auto"/>
                <w:kern w:val="0"/>
                <w:sz w:val="21"/>
                <w:szCs w:val="21"/>
                <w:highlight w:val="none"/>
              </w:rPr>
              <w:t>分）</w:t>
            </w:r>
          </w:p>
        </w:tc>
        <w:tc>
          <w:tcPr>
            <w:tcW w:w="6319" w:type="dxa"/>
            <w:vAlign w:val="center"/>
          </w:tcPr>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Style w:val="57"/>
                <w:rFonts w:hint="eastAsia" w:ascii="宋体" w:hAnsi="宋体" w:cs="宋体"/>
                <w:color w:val="auto"/>
                <w:kern w:val="0"/>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。投标报价得分=(评标基准价／投标报价)×</w:t>
            </w:r>
            <w:r>
              <w:rPr>
                <w:rStyle w:val="57"/>
                <w:rFonts w:hint="eastAsia" w:ascii="宋体" w:hAnsi="宋体" w:cs="宋体"/>
                <w:color w:val="auto"/>
                <w:kern w:val="0"/>
                <w:sz w:val="21"/>
                <w:szCs w:val="21"/>
                <w:highlight w:val="none"/>
                <w:lang w:val="en-US" w:eastAsia="zh-CN"/>
              </w:rPr>
              <w:t>30</w:t>
            </w:r>
            <w:r>
              <w:rPr>
                <w:rFonts w:hint="eastAsia" w:ascii="宋体" w:hAnsi="宋体" w:eastAsia="宋体" w:cs="宋体"/>
                <w:color w:val="auto"/>
                <w:sz w:val="21"/>
                <w:szCs w:val="21"/>
                <w:highlight w:val="none"/>
                <w:lang w:val="zh-CN"/>
              </w:rPr>
              <w:t>%×100。（</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576"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Style w:val="57"/>
                <w:rFonts w:hint="eastAsia" w:ascii="宋体" w:hAnsi="宋体" w:cs="宋体"/>
                <w:color w:val="auto"/>
                <w:kern w:val="0"/>
                <w:sz w:val="21"/>
                <w:szCs w:val="21"/>
                <w:highlight w:val="none"/>
                <w:lang w:val="en-US" w:eastAsia="zh-CN"/>
              </w:rPr>
              <w:t>30</w:t>
            </w:r>
          </w:p>
        </w:tc>
      </w:tr>
    </w:tbl>
    <w:p>
      <w:pPr>
        <w:pStyle w:val="3"/>
        <w:ind w:firstLine="0" w:firstLineChars="0"/>
        <w:rPr>
          <w:color w:val="auto"/>
          <w:highlight w:val="none"/>
        </w:rPr>
        <w:sectPr>
          <w:pgSz w:w="11906" w:h="16838"/>
          <w:pgMar w:top="1440" w:right="1440" w:bottom="1440" w:left="1803" w:header="851" w:footer="992" w:gutter="0"/>
          <w:cols w:space="0" w:num="1"/>
          <w:docGrid w:type="lines" w:linePitch="325" w:charSpace="0"/>
        </w:sectPr>
      </w:pPr>
      <w:bookmarkStart w:id="1" w:name="_GoBack"/>
      <w:bookmarkEnd w:id="1"/>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第四章 公开招标需求</w:t>
      </w:r>
    </w:p>
    <w:p>
      <w:pPr>
        <w:tabs>
          <w:tab w:val="left" w:pos="8280"/>
        </w:tabs>
        <w:autoSpaceDE w:val="0"/>
        <w:autoSpaceDN w:val="0"/>
        <w:adjustRightInd w:val="0"/>
        <w:spacing w:line="360" w:lineRule="auto"/>
        <w:ind w:right="25"/>
        <w:rPr>
          <w:rFonts w:ascii="宋体" w:hAnsi="宋体" w:cs="宋体"/>
          <w:b/>
          <w:color w:val="auto"/>
          <w:szCs w:val="21"/>
          <w:highlight w:val="none"/>
        </w:rPr>
      </w:pPr>
      <w:r>
        <w:rPr>
          <w:rFonts w:hint="eastAsia" w:ascii="宋体" w:hAnsi="宋体" w:cs="宋体"/>
          <w:b/>
          <w:color w:val="auto"/>
          <w:szCs w:val="21"/>
          <w:highlight w:val="none"/>
        </w:rPr>
        <w:t>一、招标项目一览表</w:t>
      </w:r>
    </w:p>
    <w:tbl>
      <w:tblPr>
        <w:tblStyle w:val="2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694"/>
        <w:gridCol w:w="714"/>
        <w:gridCol w:w="764"/>
        <w:gridCol w:w="1129"/>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序号</w:t>
            </w:r>
          </w:p>
        </w:tc>
        <w:tc>
          <w:tcPr>
            <w:tcW w:w="169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项目名称</w:t>
            </w:r>
          </w:p>
        </w:tc>
        <w:tc>
          <w:tcPr>
            <w:tcW w:w="71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数量</w:t>
            </w:r>
          </w:p>
        </w:tc>
        <w:tc>
          <w:tcPr>
            <w:tcW w:w="76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单位</w:t>
            </w:r>
          </w:p>
        </w:tc>
        <w:tc>
          <w:tcPr>
            <w:tcW w:w="1129"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预算</w:t>
            </w:r>
          </w:p>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（万元）</w:t>
            </w:r>
          </w:p>
        </w:tc>
        <w:tc>
          <w:tcPr>
            <w:tcW w:w="4407" w:type="dxa"/>
            <w:vAlign w:val="center"/>
          </w:tcPr>
          <w:p>
            <w:pPr>
              <w:tabs>
                <w:tab w:val="left" w:pos="8280"/>
              </w:tabs>
              <w:autoSpaceDE w:val="0"/>
              <w:autoSpaceDN w:val="0"/>
              <w:adjustRightInd w:val="0"/>
              <w:spacing w:line="360" w:lineRule="auto"/>
              <w:ind w:right="25"/>
              <w:jc w:val="center"/>
              <w:rPr>
                <w:rFonts w:ascii="宋体" w:hAnsi="宋体"/>
                <w:b/>
                <w:color w:val="auto"/>
                <w:szCs w:val="21"/>
                <w:highlight w:val="none"/>
              </w:rPr>
            </w:pPr>
            <w:r>
              <w:rPr>
                <w:rFonts w:hint="eastAsia" w:ascii="宋体" w:hAnsi="宋体" w:cs="宋体"/>
                <w:b/>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jc w:val="center"/>
        </w:trPr>
        <w:tc>
          <w:tcPr>
            <w:tcW w:w="97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1694"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街道道路清扫保洁、垃圾清运和垃圾分类项目</w:t>
            </w:r>
          </w:p>
        </w:tc>
        <w:tc>
          <w:tcPr>
            <w:tcW w:w="714"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764"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项</w:t>
            </w:r>
          </w:p>
        </w:tc>
        <w:tc>
          <w:tcPr>
            <w:tcW w:w="1129"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945.787</w:t>
            </w:r>
          </w:p>
        </w:tc>
        <w:tc>
          <w:tcPr>
            <w:tcW w:w="4407" w:type="dxa"/>
            <w:vAlign w:val="center"/>
          </w:tcPr>
          <w:p>
            <w:pPr>
              <w:tabs>
                <w:tab w:val="left" w:pos="8280"/>
              </w:tabs>
              <w:autoSpaceDE w:val="0"/>
              <w:autoSpaceDN w:val="0"/>
              <w:adjustRightInd w:val="0"/>
              <w:spacing w:line="360" w:lineRule="auto"/>
              <w:ind w:right="25"/>
              <w:jc w:val="center"/>
              <w:rPr>
                <w:rFonts w:ascii="宋体" w:hAnsi="宋体"/>
                <w:color w:val="auto"/>
                <w:szCs w:val="21"/>
                <w:highlight w:val="none"/>
              </w:rPr>
            </w:pPr>
            <w:r>
              <w:rPr>
                <w:rFonts w:hint="eastAsia" w:ascii="宋体" w:hAnsi="宋体" w:cs="宋体"/>
                <w:color w:val="auto"/>
                <w:szCs w:val="21"/>
                <w:highlight w:val="none"/>
                <w:lang w:val="en-GB"/>
              </w:rPr>
              <w:t>项目承包期限为</w:t>
            </w:r>
            <w:r>
              <w:rPr>
                <w:rFonts w:hint="eastAsia" w:ascii="宋体" w:hAnsi="宋体" w:cs="宋体"/>
                <w:color w:val="auto"/>
                <w:szCs w:val="21"/>
                <w:highlight w:val="none"/>
              </w:rPr>
              <w:t>一</w:t>
            </w:r>
            <w:r>
              <w:rPr>
                <w:rFonts w:hint="eastAsia" w:ascii="宋体" w:hAnsi="宋体" w:cs="宋体"/>
                <w:color w:val="auto"/>
                <w:szCs w:val="21"/>
                <w:highlight w:val="none"/>
                <w:lang w:val="en-GB"/>
              </w:rPr>
              <w:t>年。承包单位在履行第一年合同期满后，采购人对承包单位在一年合同期内做出的业绩评价，若中标业绩达到采购人的各项指标，则合同承包期延续签订1年，承包单位必须无条件与采购人续签合同并履行合同义务，否则合同履约保证金没收；若承包单位履约的项目业绩未能达到采购人的考核指标，则本项目合同自第一年履行完毕后终止</w:t>
            </w:r>
            <w:r>
              <w:rPr>
                <w:rFonts w:hint="eastAsia" w:ascii="宋体" w:hAnsi="宋体"/>
                <w:color w:val="auto"/>
                <w:szCs w:val="21"/>
                <w:highlight w:val="none"/>
              </w:rPr>
              <w:t>（第3年承包期续签或终止方法与第2年相同）最长不超过3年</w:t>
            </w:r>
            <w:r>
              <w:rPr>
                <w:rFonts w:hint="eastAsia" w:ascii="宋体" w:hAnsi="宋体" w:cs="宋体"/>
                <w:color w:val="auto"/>
                <w:szCs w:val="21"/>
                <w:highlight w:val="none"/>
                <w:lang w:val="en-GB"/>
              </w:rPr>
              <w:t>。采购人对本条款具有最终决定权</w:t>
            </w:r>
            <w:r>
              <w:rPr>
                <w:rFonts w:hint="eastAsia" w:asciiTheme="minorEastAsia" w:hAnsiTheme="minorEastAsia" w:eastAsiaTheme="minorEastAsia" w:cstheme="minorEastAsia"/>
                <w:color w:val="auto"/>
                <w:szCs w:val="21"/>
                <w:highlight w:val="none"/>
              </w:rPr>
              <w:t>。</w:t>
            </w:r>
          </w:p>
        </w:tc>
      </w:tr>
    </w:tbl>
    <w:p>
      <w:pPr>
        <w:spacing w:line="360" w:lineRule="auto"/>
        <w:rPr>
          <w:rFonts w:ascii="宋体" w:hAnsi="宋体" w:cs="宋体"/>
          <w:b/>
          <w:color w:val="auto"/>
          <w:szCs w:val="21"/>
          <w:highlight w:val="none"/>
        </w:rPr>
      </w:pPr>
    </w:p>
    <w:p>
      <w:pPr>
        <w:spacing w:line="360" w:lineRule="auto"/>
        <w:outlineLvl w:val="1"/>
        <w:rPr>
          <w:rFonts w:ascii="仿宋" w:hAnsi="仿宋" w:cs="仿宋"/>
          <w:color w:val="auto"/>
          <w:highlight w:val="none"/>
        </w:rPr>
      </w:pPr>
      <w:r>
        <w:rPr>
          <w:rFonts w:hint="eastAsia" w:ascii="宋体" w:hAnsi="宋体" w:cs="宋体"/>
          <w:b/>
          <w:color w:val="auto"/>
          <w:szCs w:val="21"/>
          <w:highlight w:val="none"/>
        </w:rPr>
        <w:t>二</w:t>
      </w:r>
      <w:r>
        <w:rPr>
          <w:rFonts w:hint="eastAsia" w:ascii="宋体" w:hAnsi="宋体" w:cs="宋体"/>
          <w:b/>
          <w:color w:val="auto"/>
          <w:szCs w:val="21"/>
          <w:highlight w:val="none"/>
          <w:lang w:val="en-GB"/>
        </w:rPr>
        <w:t>、项目概况</w:t>
      </w:r>
    </w:p>
    <w:p>
      <w:pPr>
        <w:spacing w:line="360" w:lineRule="auto"/>
        <w:ind w:firstLine="560"/>
        <w:rPr>
          <w:rFonts w:ascii="仿宋" w:hAnsi="仿宋" w:cs="仿宋"/>
          <w:color w:val="auto"/>
          <w:highlight w:val="none"/>
        </w:rPr>
      </w:pPr>
      <w:r>
        <w:rPr>
          <w:rFonts w:hint="eastAsia" w:ascii="仿宋" w:hAnsi="仿宋" w:cs="仿宋"/>
          <w:color w:val="auto"/>
          <w:highlight w:val="none"/>
        </w:rPr>
        <w:t>环卫保洁作业与管理机制的改革，坚持“管干分离、责任到位、科学考评、奖罚适当”的原则，通过建立环卫市场化管理系统，适应创建新形式和城市新形象要求的保洁作业质量监督考核机制，实现保洁工作的高效和长效，提高螺洋街道环境卫生总体水平。</w:t>
      </w:r>
    </w:p>
    <w:p>
      <w:pPr>
        <w:spacing w:line="360" w:lineRule="auto"/>
        <w:ind w:firstLine="560"/>
        <w:rPr>
          <w:rFonts w:ascii="宋体" w:hAnsi="宋体" w:cs="宋体"/>
          <w:color w:val="auto"/>
          <w:szCs w:val="21"/>
          <w:highlight w:val="none"/>
        </w:rPr>
      </w:pPr>
      <w:r>
        <w:rPr>
          <w:rFonts w:hint="eastAsia" w:ascii="仿宋" w:hAnsi="仿宋" w:cs="仿宋"/>
          <w:color w:val="auto"/>
          <w:highlight w:val="none"/>
        </w:rPr>
        <w:t>本项目服务全街道辖区有16个村（居、社区）的垃圾分类、道路清扫保洁（不含104国道西复线通站道路、上保灵山街及经过螺洋辖区的高速公路连接线），垃圾（含工业垃圾）清运，环</w:t>
      </w:r>
      <w:r>
        <w:rPr>
          <w:rFonts w:hint="eastAsia" w:ascii="宋体" w:hAnsi="宋体" w:cs="宋体"/>
          <w:color w:val="auto"/>
          <w:szCs w:val="21"/>
          <w:highlight w:val="none"/>
        </w:rPr>
        <w:t>卫设施保洁冲洗，城市“牛皮廯”小广告清理等,不含菜市场和有物业的住宅小区内部清扫保洁。</w:t>
      </w:r>
    </w:p>
    <w:tbl>
      <w:tblPr>
        <w:tblStyle w:val="22"/>
        <w:tblW w:w="91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1407"/>
        <w:gridCol w:w="929"/>
        <w:gridCol w:w="1198"/>
        <w:gridCol w:w="1198"/>
        <w:gridCol w:w="1198"/>
        <w:gridCol w:w="1198"/>
        <w:gridCol w:w="1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407"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村居名称</w:t>
            </w:r>
          </w:p>
        </w:tc>
        <w:tc>
          <w:tcPr>
            <w:tcW w:w="929"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98" w:type="dxa"/>
            <w:noWrap/>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村居名称</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村居名称</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序号</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村居名称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0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螺洋居</w:t>
            </w:r>
          </w:p>
        </w:tc>
        <w:tc>
          <w:tcPr>
            <w:tcW w:w="929"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上寺前村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上倪村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凤栖村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40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火炬村</w:t>
            </w:r>
          </w:p>
        </w:tc>
        <w:tc>
          <w:tcPr>
            <w:tcW w:w="929"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南山村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岙王村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水滨村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791"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40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罗家池村</w:t>
            </w:r>
          </w:p>
        </w:tc>
        <w:tc>
          <w:tcPr>
            <w:tcW w:w="929"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藕池居委会</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莲花社区</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向央村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exact"/>
          <w:jc w:val="center"/>
        </w:trPr>
        <w:tc>
          <w:tcPr>
            <w:tcW w:w="791"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40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大岙里村</w:t>
            </w:r>
          </w:p>
        </w:tc>
        <w:tc>
          <w:tcPr>
            <w:tcW w:w="929"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上保村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屿前村</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119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芦阳社区</w:t>
            </w:r>
          </w:p>
        </w:tc>
      </w:tr>
    </w:tbl>
    <w:p>
      <w:pPr>
        <w:spacing w:line="360" w:lineRule="auto"/>
        <w:rPr>
          <w:rFonts w:ascii="仿宋" w:hAnsi="仿宋" w:cs="仿宋"/>
          <w:color w:val="auto"/>
          <w:highlight w:val="none"/>
        </w:rPr>
      </w:pPr>
    </w:p>
    <w:p>
      <w:pPr>
        <w:spacing w:line="360" w:lineRule="auto"/>
        <w:outlineLvl w:val="1"/>
        <w:rPr>
          <w:rFonts w:hAnsi="宋体" w:cs="宋体"/>
          <w:b/>
          <w:color w:val="auto"/>
          <w:szCs w:val="21"/>
          <w:highlight w:val="none"/>
        </w:rPr>
      </w:pPr>
      <w:r>
        <w:rPr>
          <w:rFonts w:hint="eastAsia" w:hAnsi="宋体" w:cs="宋体"/>
          <w:b/>
          <w:color w:val="auto"/>
          <w:szCs w:val="21"/>
          <w:highlight w:val="none"/>
        </w:rPr>
        <w:t>三、人员及设备配置</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lang w:val="en-GB"/>
        </w:rPr>
        <w:t>、车辆设备配置：</w:t>
      </w:r>
    </w:p>
    <w:p>
      <w:pPr>
        <w:spacing w:line="360" w:lineRule="auto"/>
        <w:ind w:firstLine="630" w:firstLineChars="3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1</w:t>
      </w:r>
      <w:r>
        <w:rPr>
          <w:rFonts w:hint="eastAsia" w:ascii="宋体" w:hAnsi="宋体" w:cs="宋体"/>
          <w:color w:val="auto"/>
          <w:szCs w:val="21"/>
          <w:highlight w:val="none"/>
          <w:lang w:val="en-GB"/>
        </w:rPr>
        <w:t>）配置8吨及以上洒水车1辆；</w:t>
      </w:r>
    </w:p>
    <w:p>
      <w:pPr>
        <w:spacing w:line="360" w:lineRule="auto"/>
        <w:ind w:firstLine="630" w:firstLineChars="3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2</w:t>
      </w:r>
      <w:r>
        <w:rPr>
          <w:rFonts w:hint="eastAsia" w:ascii="宋体" w:hAnsi="宋体" w:cs="宋体"/>
          <w:color w:val="auto"/>
          <w:szCs w:val="21"/>
          <w:highlight w:val="none"/>
          <w:lang w:val="en-GB"/>
        </w:rPr>
        <w:t>）配置</w:t>
      </w:r>
      <w:r>
        <w:rPr>
          <w:rFonts w:hint="eastAsia" w:ascii="宋体" w:hAnsi="宋体" w:cs="宋体"/>
          <w:color w:val="auto"/>
          <w:szCs w:val="21"/>
          <w:highlight w:val="none"/>
        </w:rPr>
        <w:t>8</w:t>
      </w:r>
      <w:r>
        <w:rPr>
          <w:rFonts w:hint="eastAsia" w:ascii="宋体" w:hAnsi="宋体" w:cs="宋体"/>
          <w:color w:val="auto"/>
          <w:szCs w:val="21"/>
          <w:highlight w:val="none"/>
          <w:lang w:val="en-GB"/>
        </w:rPr>
        <w:t>吨及以上扫地车1辆；</w:t>
      </w:r>
    </w:p>
    <w:p>
      <w:pPr>
        <w:spacing w:line="360" w:lineRule="auto"/>
        <w:ind w:firstLine="630" w:firstLineChars="300"/>
        <w:rPr>
          <w:rFonts w:ascii="宋体" w:hAnsi="宋体" w:cs="宋体"/>
          <w:color w:val="auto"/>
          <w:szCs w:val="21"/>
          <w:highlight w:val="none"/>
          <w:lang w:val="en-GB"/>
        </w:rPr>
      </w:pPr>
      <w:r>
        <w:rPr>
          <w:rFonts w:hint="eastAsia" w:ascii="宋体" w:hAnsi="宋体" w:cs="宋体"/>
          <w:color w:val="auto"/>
          <w:szCs w:val="21"/>
          <w:highlight w:val="none"/>
          <w:lang w:val="en-GB"/>
        </w:rPr>
        <w:t>（</w:t>
      </w:r>
      <w:r>
        <w:rPr>
          <w:rFonts w:hint="eastAsia" w:ascii="宋体" w:hAnsi="宋体" w:cs="宋体"/>
          <w:color w:val="auto"/>
          <w:szCs w:val="21"/>
          <w:highlight w:val="none"/>
        </w:rPr>
        <w:t>3</w:t>
      </w:r>
      <w:r>
        <w:rPr>
          <w:rFonts w:hint="eastAsia" w:ascii="宋体" w:hAnsi="宋体" w:cs="宋体"/>
          <w:color w:val="auto"/>
          <w:szCs w:val="21"/>
          <w:highlight w:val="none"/>
          <w:lang w:val="en-GB"/>
        </w:rPr>
        <w:t>）</w:t>
      </w:r>
      <w:r>
        <w:rPr>
          <w:rFonts w:hint="eastAsia" w:ascii="宋体" w:hAnsi="宋体" w:cs="宋体"/>
          <w:color w:val="auto"/>
          <w:szCs w:val="21"/>
          <w:highlight w:val="none"/>
        </w:rPr>
        <w:t>配置8</w:t>
      </w:r>
      <w:r>
        <w:rPr>
          <w:rFonts w:hint="eastAsia" w:ascii="宋体" w:hAnsi="宋体" w:cs="宋体"/>
          <w:color w:val="auto"/>
          <w:szCs w:val="21"/>
          <w:highlight w:val="none"/>
          <w:lang w:val="en-GB"/>
        </w:rPr>
        <w:t>吨压缩式清运车</w:t>
      </w:r>
      <w:r>
        <w:rPr>
          <w:rFonts w:hint="eastAsia" w:ascii="宋体" w:hAnsi="宋体" w:cs="宋体"/>
          <w:color w:val="auto"/>
          <w:szCs w:val="21"/>
          <w:highlight w:val="none"/>
        </w:rPr>
        <w:t>1</w:t>
      </w:r>
      <w:r>
        <w:rPr>
          <w:rFonts w:hint="eastAsia" w:ascii="宋体" w:hAnsi="宋体" w:cs="宋体"/>
          <w:color w:val="auto"/>
          <w:szCs w:val="21"/>
          <w:highlight w:val="none"/>
          <w:lang w:val="en-GB"/>
        </w:rPr>
        <w:t>辆；</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（4）配置人行道冲洗与垃圾桶冲洗电瓶车不少于2辆；</w:t>
      </w:r>
    </w:p>
    <w:p>
      <w:pPr>
        <w:spacing w:line="360" w:lineRule="auto"/>
        <w:ind w:firstLine="630" w:firstLineChars="300"/>
        <w:rPr>
          <w:color w:val="auto"/>
          <w:highlight w:val="none"/>
        </w:rPr>
      </w:pPr>
      <w:r>
        <w:rPr>
          <w:rFonts w:hint="eastAsia" w:ascii="宋体" w:hAnsi="宋体" w:cs="宋体"/>
          <w:color w:val="auto"/>
          <w:szCs w:val="21"/>
          <w:highlight w:val="none"/>
        </w:rPr>
        <w:t xml:space="preserve">（5）配置清运四轮15桶车或内燃机清运车不少于5辆，2辆备用，共7辆； </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2</w:t>
      </w:r>
      <w:r>
        <w:rPr>
          <w:rFonts w:hint="eastAsia" w:ascii="宋体" w:hAnsi="宋体" w:cs="宋体"/>
          <w:color w:val="auto"/>
          <w:szCs w:val="21"/>
          <w:highlight w:val="none"/>
          <w:lang w:val="en-GB"/>
        </w:rPr>
        <w:t>、采购人已购入的原有设备（含现有8吨压缩式清运车</w:t>
      </w:r>
      <w:r>
        <w:rPr>
          <w:rFonts w:hint="eastAsia" w:ascii="宋体" w:hAnsi="宋体" w:cs="宋体"/>
          <w:color w:val="auto"/>
          <w:szCs w:val="21"/>
          <w:highlight w:val="none"/>
        </w:rPr>
        <w:t>2</w:t>
      </w:r>
      <w:r>
        <w:rPr>
          <w:rFonts w:hint="eastAsia" w:ascii="宋体" w:hAnsi="宋体" w:cs="宋体"/>
          <w:color w:val="auto"/>
          <w:szCs w:val="21"/>
          <w:highlight w:val="none"/>
          <w:lang w:val="en-GB"/>
        </w:rPr>
        <w:t>辆）在承包期内可提供给承包单位暂用，承包单位应按规定操作、保养，其产生的其它费用由承包单位负责（包括保险、维修、保养、水、电、汽油等），街道已购入的原有设备必须每天进行清洗。采购人所提供的设备及房产在承包期满后，如有超出正常损耗范围的，投标人应无条件予以修理并保证设备能正常运转，否则，将由采购人有权要求投标人支付违约金并在履约保证金中扣除。</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不足机械设备投标人自行购买，投标人自备车辆应做到外观基本统一。</w:t>
      </w:r>
    </w:p>
    <w:p>
      <w:pPr>
        <w:spacing w:line="360" w:lineRule="auto"/>
        <w:ind w:firstLine="422" w:firstLineChars="200"/>
        <w:rPr>
          <w:rFonts w:ascii="宋体" w:hAnsi="宋体" w:cs="宋体"/>
          <w:color w:val="auto"/>
          <w:szCs w:val="21"/>
          <w:highlight w:val="none"/>
          <w:lang w:val="en-GB"/>
        </w:rPr>
      </w:pPr>
      <w:r>
        <w:rPr>
          <w:rFonts w:hint="eastAsia" w:ascii="宋体" w:hAnsi="宋体" w:cs="宋体"/>
          <w:b/>
          <w:color w:val="auto"/>
          <w:szCs w:val="21"/>
          <w:highlight w:val="none"/>
        </w:rPr>
        <w:t>▲</w:t>
      </w:r>
      <w:r>
        <w:rPr>
          <w:rFonts w:hint="eastAsia" w:ascii="宋体" w:hAnsi="宋体"/>
          <w:color w:val="auto"/>
          <w:szCs w:val="21"/>
          <w:highlight w:val="none"/>
        </w:rPr>
        <w:t>3</w:t>
      </w:r>
      <w:r>
        <w:rPr>
          <w:rFonts w:hint="eastAsia" w:ascii="宋体" w:hAnsi="宋体" w:cs="宋体"/>
          <w:color w:val="auto"/>
          <w:szCs w:val="21"/>
          <w:highlight w:val="none"/>
          <w:lang w:val="en-GB"/>
        </w:rPr>
        <w:t>、</w:t>
      </w:r>
      <w:r>
        <w:rPr>
          <w:rFonts w:hint="eastAsia" w:ascii="宋体" w:hAnsi="宋体" w:cs="宋体"/>
          <w:b/>
          <w:color w:val="auto"/>
          <w:szCs w:val="21"/>
          <w:highlight w:val="none"/>
          <w:u w:val="single"/>
          <w:lang w:val="en-GB"/>
        </w:rPr>
        <w:t>合计人员不少于</w:t>
      </w:r>
      <w:r>
        <w:rPr>
          <w:rFonts w:hint="eastAsia" w:ascii="宋体" w:hAnsi="宋体" w:cs="宋体"/>
          <w:b/>
          <w:color w:val="auto"/>
          <w:szCs w:val="21"/>
          <w:highlight w:val="none"/>
          <w:u w:val="single"/>
        </w:rPr>
        <w:t>181</w:t>
      </w:r>
      <w:r>
        <w:rPr>
          <w:rFonts w:hint="eastAsia" w:ascii="宋体" w:hAnsi="宋体" w:cs="宋体"/>
          <w:b/>
          <w:color w:val="auto"/>
          <w:szCs w:val="21"/>
          <w:highlight w:val="none"/>
          <w:u w:val="single"/>
          <w:lang w:val="en-GB"/>
        </w:rPr>
        <w:t>人，其中一线管理人员（班组长）不少于</w:t>
      </w:r>
      <w:r>
        <w:rPr>
          <w:rFonts w:hint="eastAsia" w:ascii="宋体" w:hAnsi="宋体" w:cs="宋体"/>
          <w:b/>
          <w:color w:val="auto"/>
          <w:szCs w:val="21"/>
          <w:highlight w:val="none"/>
          <w:u w:val="single"/>
        </w:rPr>
        <w:t>8</w:t>
      </w:r>
      <w:r>
        <w:rPr>
          <w:rFonts w:hint="eastAsia" w:ascii="宋体" w:hAnsi="宋体" w:cs="宋体"/>
          <w:b/>
          <w:color w:val="auto"/>
          <w:szCs w:val="21"/>
          <w:highlight w:val="none"/>
          <w:u w:val="single"/>
          <w:lang w:val="en-GB"/>
        </w:rPr>
        <w:t>人。</w:t>
      </w:r>
    </w:p>
    <w:p>
      <w:pPr>
        <w:spacing w:line="360" w:lineRule="auto"/>
        <w:ind w:firstLine="560"/>
        <w:rPr>
          <w:rFonts w:ascii="仿宋" w:hAnsi="仿宋" w:cs="仿宋"/>
          <w:color w:val="auto"/>
          <w:szCs w:val="21"/>
          <w:highlight w:val="none"/>
        </w:rPr>
      </w:pPr>
    </w:p>
    <w:p>
      <w:pPr>
        <w:outlineLvl w:val="1"/>
        <w:rPr>
          <w:b/>
          <w:bCs/>
          <w:color w:val="auto"/>
          <w:highlight w:val="none"/>
        </w:rPr>
      </w:pPr>
      <w:r>
        <w:rPr>
          <w:rFonts w:hint="eastAsia"/>
          <w:b/>
          <w:bCs/>
          <w:color w:val="auto"/>
          <w:highlight w:val="none"/>
        </w:rPr>
        <w:t>四、招标作业服务内容与质量要求</w:t>
      </w:r>
    </w:p>
    <w:p>
      <w:pPr>
        <w:widowControl/>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lang w:val="en-GB"/>
        </w:rPr>
        <w:t>1</w:t>
      </w:r>
      <w:r>
        <w:rPr>
          <w:rFonts w:hint="eastAsia" w:ascii="宋体" w:hAnsi="宋体" w:cs="宋体"/>
          <w:color w:val="auto"/>
          <w:szCs w:val="21"/>
          <w:highlight w:val="none"/>
          <w:lang w:val="en-GB"/>
        </w:rPr>
        <w:t>、</w:t>
      </w:r>
      <w:r>
        <w:rPr>
          <w:rFonts w:hint="eastAsia" w:ascii="宋体" w:hAnsi="宋体"/>
          <w:color w:val="auto"/>
          <w:szCs w:val="21"/>
          <w:highlight w:val="none"/>
        </w:rPr>
        <w:t>所有道路、背街小巷、无物业的小区、村民房前屋后、</w:t>
      </w:r>
      <w:r>
        <w:rPr>
          <w:rFonts w:hint="eastAsia" w:ascii="宋体" w:hAnsi="宋体" w:cs="宋体"/>
          <w:color w:val="auto"/>
          <w:szCs w:val="21"/>
          <w:highlight w:val="none"/>
          <w:lang w:val="en-GB"/>
        </w:rPr>
        <w:t>村居公用设施、</w:t>
      </w:r>
      <w:r>
        <w:rPr>
          <w:rFonts w:hint="eastAsia" w:ascii="宋体" w:hAnsi="宋体"/>
          <w:color w:val="auto"/>
          <w:szCs w:val="21"/>
          <w:highlight w:val="none"/>
        </w:rPr>
        <w:t>小河塘（水沟）的清扫保洁，</w:t>
      </w:r>
      <w:r>
        <w:rPr>
          <w:rFonts w:hint="eastAsia" w:ascii="宋体" w:hAnsi="宋体" w:cs="宋体"/>
          <w:color w:val="auto"/>
          <w:spacing w:val="8"/>
          <w:szCs w:val="21"/>
          <w:highlight w:val="none"/>
        </w:rPr>
        <w:t>垃圾清运，</w:t>
      </w:r>
      <w:r>
        <w:rPr>
          <w:rFonts w:hint="eastAsia" w:ascii="宋体" w:hAnsi="宋体"/>
          <w:color w:val="auto"/>
          <w:szCs w:val="21"/>
          <w:highlight w:val="none"/>
        </w:rPr>
        <w:t>道路洒水作业。垃圾</w:t>
      </w:r>
      <w:r>
        <w:rPr>
          <w:rFonts w:hint="eastAsia" w:ascii="宋体" w:hAnsi="宋体" w:cs="宋体"/>
          <w:color w:val="auto"/>
          <w:spacing w:val="8"/>
          <w:szCs w:val="21"/>
          <w:highlight w:val="none"/>
        </w:rPr>
        <w:t>清运车</w:t>
      </w:r>
      <w:r>
        <w:rPr>
          <w:rFonts w:hint="eastAsia" w:ascii="宋体" w:hAnsi="宋体" w:cs="宋体"/>
          <w:color w:val="auto"/>
          <w:szCs w:val="21"/>
          <w:highlight w:val="none"/>
        </w:rPr>
        <w:t>辆采用扫运分离电瓶四轮十五桶车或翻桶车，车辆密闭运输，清运至指定中转站，主要街道机扫与人行道的清洗作业，按二级路面普扫质量要求开展清扫保洁作业，保洁质量达到“文明创建”与“美丽城镇”考核等检查标准。</w:t>
      </w:r>
    </w:p>
    <w:p>
      <w:pPr>
        <w:widowControl/>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2、清扫保洁，洒水，生活及</w:t>
      </w:r>
      <w:r>
        <w:rPr>
          <w:rFonts w:hint="eastAsia" w:ascii="宋体" w:hAnsi="宋体" w:cs="宋体"/>
          <w:color w:val="auto"/>
          <w:szCs w:val="21"/>
          <w:highlight w:val="none"/>
          <w:lang w:val="en-GB"/>
        </w:rPr>
        <w:t>工业垃圾清运至采购人指定地点，</w:t>
      </w:r>
      <w:r>
        <w:rPr>
          <w:rFonts w:hint="eastAsia" w:ascii="宋体" w:hAnsi="宋体" w:cs="宋体"/>
          <w:color w:val="auto"/>
          <w:szCs w:val="21"/>
          <w:highlight w:val="none"/>
        </w:rPr>
        <w:t>保洁按清洁家园或四级道路标准要求。主次道路地面干净，无成堆垃圾，视线无废弃物存在，无明显积泥积水，绿地净，边角净，无卫生死角，</w:t>
      </w:r>
      <w:r>
        <w:rPr>
          <w:rFonts w:hint="eastAsia" w:ascii="宋体" w:hAnsi="宋体" w:cs="Arial"/>
          <w:color w:val="auto"/>
          <w:szCs w:val="21"/>
          <w:highlight w:val="none"/>
          <w:shd w:val="clear" w:color="auto" w:fill="FFFFFF"/>
        </w:rPr>
        <w:t>机动车道，非机动车道、人行道以及责任区域内的道路及两侧人行道外</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米保洁，</w:t>
      </w:r>
      <w:r>
        <w:rPr>
          <w:rFonts w:hint="eastAsia" w:ascii="宋体" w:hAnsi="宋体"/>
          <w:color w:val="auto"/>
          <w:szCs w:val="21"/>
          <w:highlight w:val="none"/>
        </w:rPr>
        <w:t>生活垃圾清运至采购人指定地点。</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3、建立街道</w:t>
      </w:r>
      <w:r>
        <w:rPr>
          <w:rFonts w:hint="eastAsia" w:ascii="宋体" w:hAnsi="宋体" w:cs="宋体"/>
          <w:color w:val="auto"/>
          <w:szCs w:val="21"/>
          <w:highlight w:val="none"/>
          <w:lang w:val="en-GB"/>
        </w:rPr>
        <w:t>垃圾收集和分类管理系统：</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信息化运营管理体系构建，旨在构建覆盖村级农村垃圾分类数据采集和上传管理的数据管理系统，实现主管部门足不出户实时监管垃圾分类及分类处置数据，实时监管，精准考核。</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垃圾分类数据管理云平台是垃圾分类信息化的核心，该平台的构建使得所有垃圾分类涉及的投放、收集、清运、处置全流程实现数据化监管汇总，使主管单位和运营单位能实时了解辖区内垃圾分类项目运营情况。</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GB"/>
        </w:rPr>
        <w:t>垃圾收集及清运：农户垃圾上门分类收集并负责将</w:t>
      </w:r>
      <w:r>
        <w:rPr>
          <w:rFonts w:hint="eastAsia" w:ascii="宋体" w:hAnsi="宋体" w:cs="宋体"/>
          <w:color w:val="auto"/>
          <w:szCs w:val="21"/>
          <w:highlight w:val="none"/>
        </w:rPr>
        <w:t>清扫出来的垃圾运送至垃圾待运点或中转站。</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5</w:t>
      </w:r>
      <w:r>
        <w:rPr>
          <w:rFonts w:hint="eastAsia" w:ascii="宋体" w:hAnsi="宋体" w:cs="宋体"/>
          <w:color w:val="auto"/>
          <w:szCs w:val="21"/>
          <w:highlight w:val="none"/>
          <w:lang w:val="en-GB"/>
        </w:rPr>
        <w:t>、责任区域环卫设施保洁冲洗，</w:t>
      </w:r>
      <w:r>
        <w:rPr>
          <w:rFonts w:hint="eastAsia" w:ascii="宋体" w:hAnsi="宋体"/>
          <w:color w:val="auto"/>
          <w:szCs w:val="21"/>
          <w:highlight w:val="none"/>
        </w:rPr>
        <w:t>果壳箱、垃圾桶、垃圾房等设施的日常保洁、消杀、维护与清洗保洁，</w:t>
      </w:r>
      <w:r>
        <w:rPr>
          <w:rFonts w:hint="eastAsia" w:ascii="宋体" w:hAnsi="宋体" w:cs="Arial"/>
          <w:color w:val="auto"/>
          <w:szCs w:val="21"/>
          <w:highlight w:val="none"/>
          <w:shd w:val="clear" w:color="auto" w:fill="FFFFFF"/>
        </w:rPr>
        <w:t>确保垃圾桶四周和地面干净</w:t>
      </w:r>
      <w:r>
        <w:rPr>
          <w:rFonts w:hint="eastAsia" w:ascii="宋体" w:hAnsi="宋体"/>
          <w:color w:val="auto"/>
          <w:szCs w:val="21"/>
          <w:highlight w:val="none"/>
        </w:rPr>
        <w:t>，</w:t>
      </w:r>
      <w:r>
        <w:rPr>
          <w:rFonts w:hint="eastAsia" w:ascii="宋体" w:hAnsi="宋体" w:cs="宋体"/>
          <w:color w:val="auto"/>
          <w:szCs w:val="21"/>
          <w:highlight w:val="none"/>
          <w:lang w:val="en-GB"/>
        </w:rPr>
        <w:t>每周冲洗两次。</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范围内“牛皮癣”（小广告、涂鸦）清除、清洗，</w:t>
      </w:r>
      <w:r>
        <w:rPr>
          <w:rFonts w:hint="eastAsia" w:ascii="宋体" w:hAnsi="宋体"/>
          <w:color w:val="auto"/>
          <w:szCs w:val="21"/>
          <w:highlight w:val="none"/>
        </w:rPr>
        <w:t>做到无小广告、无乱张贴、无树挂</w:t>
      </w:r>
      <w:r>
        <w:rPr>
          <w:rFonts w:hint="eastAsia" w:ascii="宋体" w:hAnsi="宋体" w:cs="宋体"/>
          <w:color w:val="auto"/>
          <w:szCs w:val="21"/>
          <w:highlight w:val="none"/>
          <w:lang w:val="en-GB"/>
        </w:rPr>
        <w:t>。</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7</w:t>
      </w:r>
      <w:r>
        <w:rPr>
          <w:rFonts w:hint="eastAsia" w:ascii="宋体" w:hAnsi="宋体" w:cs="宋体"/>
          <w:color w:val="auto"/>
          <w:szCs w:val="21"/>
          <w:highlight w:val="none"/>
          <w:lang w:val="en-GB"/>
        </w:rPr>
        <w:t>、螺洋菜场公厕、南山垃圾中转站公厕、水滨村公厕、水心公园公厕派专人保洁，做到内外干净整洁，设施完好，无苍蝇，蛛网。</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8</w:t>
      </w:r>
      <w:r>
        <w:rPr>
          <w:rFonts w:hint="eastAsia" w:ascii="宋体" w:hAnsi="宋体" w:cs="宋体"/>
          <w:color w:val="auto"/>
          <w:szCs w:val="21"/>
          <w:highlight w:val="none"/>
          <w:lang w:val="en-GB"/>
        </w:rPr>
        <w:t>、无主的装修垃圾及时清运采购人指定地点。</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9</w:t>
      </w:r>
      <w:r>
        <w:rPr>
          <w:rFonts w:hint="eastAsia" w:ascii="宋体" w:hAnsi="宋体" w:cs="宋体"/>
          <w:color w:val="auto"/>
          <w:szCs w:val="21"/>
          <w:highlight w:val="none"/>
          <w:lang w:val="en-GB"/>
        </w:rPr>
        <w:t>、</w:t>
      </w:r>
      <w:r>
        <w:rPr>
          <w:rFonts w:hint="eastAsia" w:ascii="宋体" w:hAnsi="宋体" w:cs="宋体"/>
          <w:color w:val="auto"/>
          <w:szCs w:val="21"/>
          <w:highlight w:val="none"/>
        </w:rPr>
        <w:t>打包站的运营管理：一般工业固废打包：进入站内的工业固</w:t>
      </w:r>
      <w:r>
        <w:rPr>
          <w:rFonts w:hint="eastAsia"/>
          <w:color w:val="auto"/>
          <w:szCs w:val="21"/>
          <w:highlight w:val="none"/>
        </w:rPr>
        <w:t>废要求日收日整，摆放整齐，站内环境整洁，车辆工具摆放整齐，制度上墙。</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等责任区域的生活垃圾包括各村居产生的包皮边角料等其他垃圾清运到蓬街镇旺能垃圾焚烧场（黄琅垃圾填埋场处理）要及时，安全运达。</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10、在“文明创建”期间，承包单位必须制定详细考核迎检方案，并无条件配合采购人完成“文明创建”迎检任务，所需增加设备、人员费用均包含在合同价中，不作另行支付。</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11</w:t>
      </w:r>
      <w:r>
        <w:rPr>
          <w:rFonts w:hint="eastAsia" w:ascii="宋体" w:hAnsi="宋体" w:cs="宋体"/>
          <w:color w:val="auto"/>
          <w:szCs w:val="21"/>
          <w:highlight w:val="none"/>
          <w:lang w:val="en-GB"/>
        </w:rPr>
        <w:t>、投诉事件的响应与处理及时。</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12</w:t>
      </w:r>
      <w:r>
        <w:rPr>
          <w:rFonts w:hint="eastAsia" w:ascii="宋体" w:hAnsi="宋体" w:cs="宋体"/>
          <w:color w:val="auto"/>
          <w:szCs w:val="21"/>
          <w:highlight w:val="none"/>
          <w:lang w:val="en-GB"/>
        </w:rPr>
        <w:t>、采购人指定的临时突击性任务。</w:t>
      </w:r>
    </w:p>
    <w:p>
      <w:pPr>
        <w:spacing w:line="360" w:lineRule="auto"/>
        <w:ind w:firstLine="420" w:firstLineChars="200"/>
        <w:rPr>
          <w:color w:val="auto"/>
          <w:szCs w:val="21"/>
          <w:highlight w:val="none"/>
        </w:rPr>
      </w:pPr>
      <w:r>
        <w:rPr>
          <w:rFonts w:hint="eastAsia" w:ascii="宋体" w:hAnsi="宋体" w:cs="宋体"/>
          <w:color w:val="auto"/>
          <w:szCs w:val="21"/>
          <w:highlight w:val="none"/>
          <w:lang w:val="en-GB"/>
        </w:rPr>
        <w:t>1</w:t>
      </w:r>
      <w:r>
        <w:rPr>
          <w:rFonts w:hint="eastAsia" w:ascii="宋体" w:hAnsi="宋体" w:cs="宋体"/>
          <w:color w:val="auto"/>
          <w:szCs w:val="21"/>
          <w:highlight w:val="none"/>
        </w:rPr>
        <w:t>3</w:t>
      </w:r>
      <w:r>
        <w:rPr>
          <w:rFonts w:hint="eastAsia" w:ascii="宋体" w:hAnsi="宋体" w:cs="宋体"/>
          <w:color w:val="auto"/>
          <w:szCs w:val="21"/>
          <w:highlight w:val="none"/>
          <w:lang w:val="en-GB"/>
        </w:rPr>
        <w:t>、作业工具的临时停放由承包单位负责。</w:t>
      </w:r>
    </w:p>
    <w:p>
      <w:pPr>
        <w:adjustRightInd w:val="0"/>
        <w:spacing w:before="156"/>
        <w:rPr>
          <w:rFonts w:cs="Arial"/>
          <w:b/>
          <w:bCs/>
          <w:color w:val="auto"/>
          <w:highlight w:val="none"/>
        </w:rPr>
      </w:pPr>
    </w:p>
    <w:p>
      <w:pPr>
        <w:adjustRightInd w:val="0"/>
        <w:spacing w:line="360" w:lineRule="auto"/>
        <w:outlineLvl w:val="1"/>
        <w:rPr>
          <w:rFonts w:cs="Arial"/>
          <w:b/>
          <w:bCs/>
          <w:color w:val="auto"/>
          <w:highlight w:val="none"/>
        </w:rPr>
      </w:pPr>
      <w:r>
        <w:rPr>
          <w:rFonts w:hint="eastAsia" w:cs="Arial"/>
          <w:b/>
          <w:bCs/>
          <w:color w:val="auto"/>
          <w:highlight w:val="none"/>
        </w:rPr>
        <w:t>五</w:t>
      </w:r>
      <w:r>
        <w:rPr>
          <w:rFonts w:cs="Arial"/>
          <w:b/>
          <w:bCs/>
          <w:color w:val="auto"/>
          <w:highlight w:val="none"/>
        </w:rPr>
        <w:t>、</w:t>
      </w:r>
      <w:r>
        <w:rPr>
          <w:rFonts w:hint="eastAsia" w:cs="Arial"/>
          <w:b/>
          <w:bCs/>
          <w:color w:val="auto"/>
          <w:highlight w:val="none"/>
        </w:rPr>
        <w:t>作业质量标准和时间要求</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lang w:val="en-GB"/>
        </w:rPr>
        <w:t>、“文明创建”</w:t>
      </w:r>
      <w:r>
        <w:rPr>
          <w:rFonts w:ascii="宋体" w:hAnsi="宋体" w:cs="宋体"/>
          <w:color w:val="auto"/>
          <w:szCs w:val="21"/>
          <w:highlight w:val="none"/>
          <w:lang w:val="en-GB"/>
        </w:rPr>
        <w:t>1</w:t>
      </w:r>
      <w:r>
        <w:rPr>
          <w:rFonts w:hint="eastAsia" w:ascii="宋体" w:hAnsi="宋体" w:cs="宋体"/>
          <w:color w:val="auto"/>
          <w:szCs w:val="21"/>
          <w:highlight w:val="none"/>
        </w:rPr>
        <w:t>6</w:t>
      </w:r>
      <w:r>
        <w:rPr>
          <w:rFonts w:ascii="宋体" w:hAnsi="宋体" w:cs="宋体"/>
          <w:color w:val="auto"/>
          <w:szCs w:val="21"/>
          <w:highlight w:val="none"/>
          <w:lang w:val="en-GB"/>
        </w:rPr>
        <w:t>个村</w:t>
      </w:r>
      <w:r>
        <w:rPr>
          <w:rFonts w:hint="eastAsia" w:ascii="宋体" w:hAnsi="宋体" w:cs="宋体"/>
          <w:color w:val="auto"/>
          <w:szCs w:val="21"/>
          <w:highlight w:val="none"/>
          <w:lang w:val="en-GB"/>
        </w:rPr>
        <w:t>（</w:t>
      </w:r>
      <w:r>
        <w:rPr>
          <w:rFonts w:ascii="宋体" w:hAnsi="宋体" w:cs="宋体"/>
          <w:color w:val="auto"/>
          <w:szCs w:val="21"/>
          <w:highlight w:val="none"/>
          <w:lang w:val="en-GB"/>
        </w:rPr>
        <w:t>居</w:t>
      </w:r>
      <w:r>
        <w:rPr>
          <w:rFonts w:hint="eastAsia" w:ascii="宋体" w:hAnsi="宋体" w:cs="宋体"/>
          <w:color w:val="auto"/>
          <w:szCs w:val="21"/>
          <w:highlight w:val="none"/>
          <w:lang w:val="en-GB"/>
        </w:rPr>
        <w:t>、社区）、</w:t>
      </w:r>
      <w:r>
        <w:rPr>
          <w:rFonts w:hint="eastAsia" w:ascii="宋体" w:hAnsi="宋体" w:cs="Arial"/>
          <w:color w:val="auto"/>
          <w:szCs w:val="21"/>
          <w:highlight w:val="none"/>
          <w:shd w:val="clear" w:color="auto" w:fill="FFFFFF"/>
        </w:rPr>
        <w:t>人行道</w:t>
      </w:r>
      <w:r>
        <w:rPr>
          <w:rFonts w:hint="eastAsia" w:ascii="宋体" w:hAnsi="宋体" w:cs="宋体"/>
          <w:color w:val="auto"/>
          <w:szCs w:val="21"/>
          <w:highlight w:val="none"/>
          <w:lang w:val="en-GB"/>
        </w:rPr>
        <w:t>、房前屋后</w:t>
      </w:r>
      <w:r>
        <w:rPr>
          <w:rFonts w:hint="eastAsia" w:ascii="宋体" w:hAnsi="宋体" w:cs="Arial"/>
          <w:color w:val="auto"/>
          <w:szCs w:val="21"/>
          <w:highlight w:val="none"/>
          <w:shd w:val="clear" w:color="auto" w:fill="FFFFFF"/>
        </w:rPr>
        <w:t>等保洁</w:t>
      </w:r>
      <w:r>
        <w:rPr>
          <w:rFonts w:hint="eastAsia" w:ascii="宋体" w:hAnsi="宋体"/>
          <w:color w:val="auto"/>
          <w:szCs w:val="21"/>
          <w:highlight w:val="none"/>
        </w:rPr>
        <w:t>执行《浙江省城市道路清扫保洁质量标准》（</w:t>
      </w:r>
      <w:r>
        <w:rPr>
          <w:rFonts w:ascii="宋体" w:hAnsi="宋体"/>
          <w:color w:val="auto"/>
          <w:szCs w:val="21"/>
          <w:highlight w:val="none"/>
        </w:rPr>
        <w:t>2005</w:t>
      </w:r>
      <w:r>
        <w:rPr>
          <w:rFonts w:hint="eastAsia" w:ascii="宋体" w:hAnsi="宋体"/>
          <w:color w:val="auto"/>
          <w:szCs w:val="21"/>
          <w:highlight w:val="none"/>
        </w:rPr>
        <w:t>城建发</w:t>
      </w:r>
      <w:r>
        <w:rPr>
          <w:rFonts w:ascii="宋体" w:hAnsi="宋体"/>
          <w:color w:val="auto"/>
          <w:szCs w:val="21"/>
          <w:highlight w:val="none"/>
        </w:rPr>
        <w:t>248</w:t>
      </w:r>
      <w:r>
        <w:rPr>
          <w:rFonts w:hint="eastAsia" w:ascii="宋体" w:hAnsi="宋体"/>
          <w:color w:val="auto"/>
          <w:szCs w:val="21"/>
          <w:highlight w:val="none"/>
        </w:rPr>
        <w:t>号）与台州市“文明创建”工作要求，按二级路面普扫质量要求开展清扫保洁作业，保洁质量达到考核标准。主要道路（指螺洋街、银安西街）保洁时间不少于</w:t>
      </w:r>
      <w:r>
        <w:rPr>
          <w:rFonts w:ascii="宋体" w:hAnsi="宋体"/>
          <w:color w:val="auto"/>
          <w:szCs w:val="21"/>
          <w:highlight w:val="none"/>
        </w:rPr>
        <w:t>16</w:t>
      </w:r>
      <w:r>
        <w:rPr>
          <w:rFonts w:hint="eastAsia" w:ascii="宋体" w:hAnsi="宋体"/>
          <w:color w:val="auto"/>
          <w:szCs w:val="21"/>
          <w:highlight w:val="none"/>
        </w:rPr>
        <w:t>小时，其他道路、人行道和其他城区村居道路，保洁时间不少于</w:t>
      </w:r>
      <w:r>
        <w:rPr>
          <w:rFonts w:ascii="宋体" w:hAnsi="宋体"/>
          <w:color w:val="auto"/>
          <w:szCs w:val="21"/>
          <w:highlight w:val="none"/>
        </w:rPr>
        <w:t>12</w:t>
      </w:r>
      <w:r>
        <w:rPr>
          <w:rFonts w:hint="eastAsia" w:ascii="宋体" w:hAnsi="宋体"/>
          <w:color w:val="auto"/>
          <w:szCs w:val="21"/>
          <w:highlight w:val="none"/>
        </w:rPr>
        <w:t>小时，</w:t>
      </w:r>
      <w:r>
        <w:rPr>
          <w:rFonts w:hint="eastAsia" w:ascii="宋体" w:hAnsi="宋体" w:cs="宋体"/>
          <w:color w:val="auto"/>
          <w:szCs w:val="21"/>
          <w:highlight w:val="none"/>
          <w:lang w:val="en-GB"/>
        </w:rPr>
        <w:t>清扫保洁质量标准和时间要求：主次道路每天清扫不少于</w:t>
      </w:r>
      <w:r>
        <w:rPr>
          <w:rFonts w:ascii="宋体" w:hAnsi="宋体" w:cs="宋体"/>
          <w:color w:val="auto"/>
          <w:szCs w:val="21"/>
          <w:highlight w:val="none"/>
          <w:lang w:val="en-GB"/>
        </w:rPr>
        <w:t>1—2</w:t>
      </w:r>
      <w:r>
        <w:rPr>
          <w:rFonts w:hint="eastAsia" w:ascii="宋体" w:hAnsi="宋体" w:cs="宋体"/>
          <w:color w:val="auto"/>
          <w:szCs w:val="21"/>
          <w:highlight w:val="none"/>
          <w:lang w:val="en-GB"/>
        </w:rPr>
        <w:t>次，</w:t>
      </w:r>
      <w:r>
        <w:rPr>
          <w:rFonts w:hint="eastAsia" w:ascii="宋体" w:hAnsi="宋体" w:cs="宋体"/>
          <w:color w:val="auto"/>
          <w:szCs w:val="21"/>
          <w:highlight w:val="none"/>
        </w:rPr>
        <w:t>早上在7：</w:t>
      </w:r>
      <w:r>
        <w:rPr>
          <w:rFonts w:ascii="宋体" w:hAnsi="宋体" w:cs="宋体"/>
          <w:color w:val="auto"/>
          <w:szCs w:val="21"/>
          <w:highlight w:val="none"/>
        </w:rPr>
        <w:t>00</w:t>
      </w:r>
      <w:r>
        <w:rPr>
          <w:rFonts w:hint="eastAsia" w:ascii="宋体" w:hAnsi="宋体" w:cs="宋体"/>
          <w:color w:val="auto"/>
          <w:szCs w:val="21"/>
          <w:highlight w:val="none"/>
        </w:rPr>
        <w:t>前全面普扫完毕，</w:t>
      </w:r>
      <w:r>
        <w:rPr>
          <w:rFonts w:hint="eastAsia" w:ascii="宋体" w:hAnsi="宋体" w:cs="宋体"/>
          <w:color w:val="auto"/>
          <w:szCs w:val="21"/>
          <w:highlight w:val="none"/>
          <w:lang w:val="en-GB"/>
        </w:rPr>
        <w:t>清扫保洁时间不少于</w:t>
      </w:r>
      <w:r>
        <w:rPr>
          <w:rFonts w:ascii="宋体" w:hAnsi="宋体" w:cs="宋体"/>
          <w:color w:val="auto"/>
          <w:szCs w:val="21"/>
          <w:highlight w:val="none"/>
          <w:lang w:val="en-GB"/>
        </w:rPr>
        <w:t>8</w:t>
      </w:r>
      <w:r>
        <w:rPr>
          <w:rFonts w:hint="eastAsia" w:ascii="宋体" w:hAnsi="宋体" w:cs="宋体"/>
          <w:color w:val="auto"/>
          <w:szCs w:val="21"/>
          <w:highlight w:val="none"/>
          <w:lang w:val="en-GB"/>
        </w:rPr>
        <w:t>小时，要进行巡回保洁，做到</w:t>
      </w:r>
      <w:r>
        <w:rPr>
          <w:rFonts w:hint="eastAsia" w:ascii="宋体" w:hAnsi="宋体" w:cs="宋体"/>
          <w:color w:val="auto"/>
          <w:szCs w:val="21"/>
          <w:highlight w:val="none"/>
        </w:rPr>
        <w:t>地面干净，无成堆垃圾，视线无废弃物存在，无明显积泥积水，绿地净，边角净，无卫生死角，</w:t>
      </w:r>
      <w:r>
        <w:rPr>
          <w:rFonts w:hint="eastAsia" w:ascii="宋体" w:hAnsi="宋体" w:cs="Arial"/>
          <w:color w:val="auto"/>
          <w:szCs w:val="21"/>
          <w:highlight w:val="none"/>
          <w:shd w:val="clear" w:color="auto" w:fill="FFFFFF"/>
        </w:rPr>
        <w:t>机动车道，非机动车道、人行道以及责任区域内的道路及两侧人行道外</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米保洁及</w:t>
      </w:r>
      <w:r>
        <w:rPr>
          <w:rFonts w:hint="eastAsia" w:ascii="宋体" w:hAnsi="宋体"/>
          <w:color w:val="auto"/>
          <w:szCs w:val="21"/>
          <w:highlight w:val="none"/>
        </w:rPr>
        <w:t>小街，生活垃圾清运至采购人指定地点。具体标准参</w:t>
      </w:r>
      <w:r>
        <w:rPr>
          <w:rFonts w:hint="eastAsia" w:ascii="宋体" w:hAnsi="宋体" w:cs="宋体"/>
          <w:color w:val="auto"/>
          <w:szCs w:val="21"/>
          <w:highlight w:val="none"/>
          <w:lang w:val="en-GB"/>
        </w:rPr>
        <w:t>照道路清扫保洁标准和城区国家卫生城市的标准执行。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）清扫范围内实行全日保洁，主要路段应巡回保洁，首次普遍清扫应在清晨</w:t>
      </w:r>
      <w:r>
        <w:rPr>
          <w:rFonts w:ascii="宋体" w:hAnsi="宋体"/>
          <w:color w:val="auto"/>
          <w:szCs w:val="21"/>
          <w:highlight w:val="none"/>
        </w:rPr>
        <w:t>7</w:t>
      </w:r>
      <w:r>
        <w:rPr>
          <w:rFonts w:hint="eastAsia" w:ascii="宋体" w:hAnsi="宋体"/>
          <w:color w:val="auto"/>
          <w:szCs w:val="21"/>
          <w:highlight w:val="none"/>
        </w:rPr>
        <w:t>时前结束（保洁时间是指保洁员在路段保洁作业的时间）。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路面基本见本色，保洁区域内做到“五无五净”，“五无”既无果皮纸屑、无土石杂草、无积水积泥、无痰迹烟蒂、无堆积物、“五净”既路面干净、道路绿地树圈干净、边角侧石干净、窨井沟眼畅通干净、果壳箱等环卫设施、设备整齐干净，垃圾滞留时间≤30分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）道路路面应定时洒水和清洗，清洗时间一般应在晚上或清晨，其中主要路段辅以多功能洗扫作业，提高路面的清洁度与减轻扬尘污染；气温在</w:t>
      </w:r>
      <w:r>
        <w:rPr>
          <w:rFonts w:ascii="宋体" w:hAnsi="宋体"/>
          <w:color w:val="auto"/>
          <w:szCs w:val="21"/>
          <w:highlight w:val="none"/>
        </w:rPr>
        <w:t>30</w:t>
      </w:r>
      <w:r>
        <w:rPr>
          <w:rFonts w:hint="eastAsia" w:ascii="宋体" w:hAnsi="宋体"/>
          <w:color w:val="auto"/>
          <w:szCs w:val="21"/>
          <w:highlight w:val="none"/>
        </w:rPr>
        <w:t>℃以上时，每天洒水不应少于</w:t>
      </w:r>
      <w:r>
        <w:rPr>
          <w:rFonts w:ascii="宋体" w:hAnsi="宋体"/>
          <w:color w:val="auto"/>
          <w:szCs w:val="21"/>
          <w:highlight w:val="none"/>
        </w:rPr>
        <w:t>2</w:t>
      </w:r>
      <w:r>
        <w:rPr>
          <w:rFonts w:hint="eastAsia" w:ascii="宋体" w:hAnsi="宋体"/>
          <w:color w:val="auto"/>
          <w:szCs w:val="21"/>
          <w:highlight w:val="none"/>
        </w:rPr>
        <w:t>次，平常不应少于</w:t>
      </w:r>
      <w:r>
        <w:rPr>
          <w:rFonts w:ascii="宋体" w:hAnsi="宋体"/>
          <w:color w:val="auto"/>
          <w:szCs w:val="21"/>
          <w:highlight w:val="none"/>
        </w:rPr>
        <w:t>1</w:t>
      </w:r>
      <w:r>
        <w:rPr>
          <w:rFonts w:hint="eastAsia" w:ascii="宋体" w:hAnsi="宋体"/>
          <w:color w:val="auto"/>
          <w:szCs w:val="21"/>
          <w:highlight w:val="none"/>
        </w:rPr>
        <w:t>次，气温低于</w:t>
      </w:r>
      <w:r>
        <w:rPr>
          <w:rFonts w:ascii="宋体" w:hAnsi="宋体"/>
          <w:color w:val="auto"/>
          <w:szCs w:val="21"/>
          <w:highlight w:val="none"/>
        </w:rPr>
        <w:t>3</w:t>
      </w:r>
      <w:r>
        <w:rPr>
          <w:rFonts w:hint="eastAsia" w:ascii="宋体" w:hAnsi="宋体"/>
          <w:color w:val="auto"/>
          <w:szCs w:val="21"/>
          <w:highlight w:val="none"/>
        </w:rPr>
        <w:t>℃时应停止清洗和洒水。辖区内洒水的路段包括：老路院路（丁岙至104复线桥下）、商海南街、银安西街、银苑路、翠苑路、双庙路、财富大道南段。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）适合机扫道路应实行人机混扫，提高路面清洁度。机动车道每天不少于</w:t>
      </w:r>
      <w:r>
        <w:rPr>
          <w:rFonts w:ascii="宋体" w:hAnsi="宋体"/>
          <w:color w:val="auto"/>
          <w:szCs w:val="21"/>
          <w:highlight w:val="none"/>
        </w:rPr>
        <w:t>2</w:t>
      </w:r>
      <w:r>
        <w:rPr>
          <w:rFonts w:hint="eastAsia" w:ascii="宋体" w:hAnsi="宋体"/>
          <w:color w:val="auto"/>
          <w:szCs w:val="21"/>
          <w:highlight w:val="none"/>
        </w:rPr>
        <w:t>次机扫，必要时增加清扫次数。机扫车辆每台班机扫里程需达到</w:t>
      </w:r>
      <w:r>
        <w:rPr>
          <w:rFonts w:ascii="宋体" w:hAnsi="宋体"/>
          <w:color w:val="auto"/>
          <w:szCs w:val="21"/>
          <w:highlight w:val="none"/>
        </w:rPr>
        <w:t>50</w:t>
      </w:r>
      <w:r>
        <w:rPr>
          <w:rFonts w:hint="eastAsia" w:ascii="宋体" w:hAnsi="宋体"/>
          <w:color w:val="auto"/>
          <w:szCs w:val="21"/>
          <w:highlight w:val="none"/>
        </w:rPr>
        <w:t>公里以上，时速控制在</w:t>
      </w:r>
      <w:r>
        <w:rPr>
          <w:rFonts w:ascii="宋体" w:hAnsi="宋体"/>
          <w:color w:val="auto"/>
          <w:szCs w:val="21"/>
          <w:highlight w:val="none"/>
        </w:rPr>
        <w:t>10</w:t>
      </w:r>
      <w:r>
        <w:rPr>
          <w:rFonts w:hint="eastAsia" w:ascii="宋体" w:hAnsi="宋体"/>
          <w:color w:val="auto"/>
          <w:szCs w:val="21"/>
          <w:highlight w:val="none"/>
        </w:rPr>
        <w:t>公里</w:t>
      </w:r>
      <w:r>
        <w:rPr>
          <w:rFonts w:ascii="宋体" w:hAnsi="宋体" w:cs="宋体"/>
          <w:color w:val="auto"/>
          <w:spacing w:val="8"/>
          <w:szCs w:val="21"/>
          <w:highlight w:val="none"/>
        </w:rPr>
        <w:t>/</w:t>
      </w:r>
      <w:r>
        <w:rPr>
          <w:rFonts w:hint="eastAsia" w:ascii="宋体" w:hAnsi="宋体" w:cs="宋体"/>
          <w:color w:val="auto"/>
          <w:spacing w:val="8"/>
          <w:szCs w:val="21"/>
          <w:highlight w:val="none"/>
        </w:rPr>
        <w:t>小时内。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2、垃圾收集及清运：农户垃圾上门分类收集并负责将清扫出来的垃圾运送至垃圾待运点或街道中转站。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村内实行易腐垃圾和其它垃圾上门清运。垃圾收运过程中要做到收集农户分类垃圾收集达到98%以上，上门收集分类垃圾的数据评分达到70%以上，对住户进行垃圾分类宣教，严禁各类垃圾混装，一日两次上门收集，日产日清，准时清运。垃圾装运不超高、超载，运输过程沿途不滴漏、不溢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（2）易腐垃圾上门收运后，可运送至设立的易腐垃圾处理中心进行处理。</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3</w:t>
      </w:r>
      <w:r>
        <w:rPr>
          <w:rFonts w:hint="eastAsia" w:ascii="宋体" w:hAnsi="宋体" w:cs="宋体"/>
          <w:color w:val="auto"/>
          <w:szCs w:val="21"/>
          <w:highlight w:val="none"/>
          <w:lang w:val="en-GB"/>
        </w:rPr>
        <w:t>、责任区域环卫设施保洁冲洗，</w:t>
      </w:r>
      <w:r>
        <w:rPr>
          <w:rFonts w:hint="eastAsia" w:ascii="宋体" w:hAnsi="宋体"/>
          <w:color w:val="auto"/>
          <w:szCs w:val="21"/>
          <w:highlight w:val="none"/>
        </w:rPr>
        <w:t>果壳箱、垃圾桶、垃圾房等设施的日常保洁、消杀、维护与</w:t>
      </w:r>
      <w:r>
        <w:rPr>
          <w:rFonts w:hint="eastAsia" w:ascii="宋体" w:hAnsi="宋体" w:cs="Arial"/>
          <w:color w:val="auto"/>
          <w:szCs w:val="21"/>
          <w:highlight w:val="none"/>
          <w:shd w:val="clear" w:color="auto" w:fill="FFFFFF"/>
        </w:rPr>
        <w:t>清洗（设备添置由采购人负责），保洁确保垃圾桶及四周和地面干净</w:t>
      </w:r>
      <w:r>
        <w:rPr>
          <w:rFonts w:hint="eastAsia" w:ascii="宋体" w:hAnsi="宋体" w:cs="宋体"/>
          <w:iCs/>
          <w:color w:val="auto"/>
          <w:szCs w:val="21"/>
          <w:highlight w:val="none"/>
          <w:lang w:val="en-GB"/>
        </w:rPr>
        <w:t>，每周必须冲洗一次，如遇考核或检查，垃圾桶必须全部清洗更换一次</w:t>
      </w:r>
      <w:r>
        <w:rPr>
          <w:rFonts w:hint="eastAsia" w:ascii="宋体" w:hAnsi="宋体" w:cs="宋体"/>
          <w:color w:val="auto"/>
          <w:szCs w:val="21"/>
          <w:highlight w:val="none"/>
          <w:lang w:val="en-GB"/>
        </w:rPr>
        <w:t>。</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4</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范围内“牛皮癣”（小广告、涂鸦）清除、清洗，</w:t>
      </w:r>
      <w:r>
        <w:rPr>
          <w:rFonts w:hint="eastAsia" w:ascii="宋体" w:hAnsi="宋体"/>
          <w:color w:val="auto"/>
          <w:szCs w:val="21"/>
          <w:highlight w:val="none"/>
        </w:rPr>
        <w:t>做到无小广告、无乱张贴、无树挂</w:t>
      </w:r>
      <w:r>
        <w:rPr>
          <w:rFonts w:hint="eastAsia" w:ascii="宋体" w:hAnsi="宋体" w:cs="宋体"/>
          <w:color w:val="auto"/>
          <w:szCs w:val="21"/>
          <w:highlight w:val="none"/>
          <w:lang w:val="en-GB"/>
        </w:rPr>
        <w:t>。</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5</w:t>
      </w:r>
      <w:r>
        <w:rPr>
          <w:rFonts w:hint="eastAsia" w:ascii="宋体" w:hAnsi="宋体" w:cs="宋体"/>
          <w:color w:val="auto"/>
          <w:szCs w:val="21"/>
          <w:highlight w:val="none"/>
          <w:lang w:val="en-GB"/>
        </w:rPr>
        <w:t>、责任区域村庄周边公共场所（公厕、田间地头、绿化带、排水沟漂浮物）垃圾清理拾捡，破旧悬挂物要清理干净。</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6</w:t>
      </w:r>
      <w:r>
        <w:rPr>
          <w:rFonts w:hint="eastAsia" w:ascii="宋体" w:hAnsi="宋体" w:cs="宋体"/>
          <w:color w:val="auto"/>
          <w:szCs w:val="21"/>
          <w:highlight w:val="none"/>
          <w:lang w:val="en-GB"/>
        </w:rPr>
        <w:t>、公厕保洁做到内外干净整洁，无垃圾，设施完好，无苍蝇，蛛网，符合“文明创建”考核要求。</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7</w:t>
      </w:r>
      <w:r>
        <w:rPr>
          <w:rFonts w:hint="eastAsia" w:ascii="宋体" w:hAnsi="宋体" w:cs="宋体"/>
          <w:color w:val="auto"/>
          <w:szCs w:val="21"/>
          <w:highlight w:val="none"/>
          <w:lang w:val="en-GB"/>
        </w:rPr>
        <w:t>、无主的装修垃圾清运。</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8</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等责任区域产生的生活垃圾（包括各村居产生的包皮边角料等其他垃圾）从中转站清运到蓬街镇旺能垃圾焚烧场（金清镇黄琅垃圾填埋场处理）。</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9</w:t>
      </w:r>
      <w:r>
        <w:rPr>
          <w:rFonts w:hint="eastAsia" w:ascii="宋体" w:hAnsi="宋体" w:cs="宋体"/>
          <w:color w:val="auto"/>
          <w:szCs w:val="21"/>
          <w:highlight w:val="none"/>
          <w:lang w:val="en-GB"/>
        </w:rPr>
        <w:t>、环卫清运车辆（含机动车、非机动车）作业要遵守安全作业的要求，垃圾清运实行密闭运输，无破损、无垃圾抛洒、无污水滴漏、车厢外无吊挂。</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1</w:t>
      </w:r>
      <w:r>
        <w:rPr>
          <w:rFonts w:hint="eastAsia" w:ascii="宋体" w:hAnsi="宋体" w:cs="宋体"/>
          <w:color w:val="auto"/>
          <w:szCs w:val="21"/>
          <w:highlight w:val="none"/>
        </w:rPr>
        <w:t>0</w:t>
      </w:r>
      <w:r>
        <w:rPr>
          <w:rFonts w:hint="eastAsia" w:ascii="宋体" w:hAnsi="宋体" w:cs="宋体"/>
          <w:color w:val="auto"/>
          <w:szCs w:val="21"/>
          <w:highlight w:val="none"/>
          <w:lang w:val="en-GB"/>
        </w:rPr>
        <w:t>、承包单位在保洁期间应做好安全工作，必须按国家有关规定为员工购买社会保险及人身意外伤害保险，如遇工伤事故等一切责任和费用由投标人自负；投标人食宿水电等费用街道概不负责。</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rPr>
        <w:t>1</w:t>
      </w:r>
      <w:r>
        <w:rPr>
          <w:rFonts w:hint="eastAsia" w:ascii="宋体" w:hAnsi="宋体" w:cs="宋体"/>
          <w:color w:val="auto"/>
          <w:szCs w:val="21"/>
          <w:highlight w:val="none"/>
          <w:lang w:val="en-GB"/>
        </w:rPr>
        <w:t>、工资福利参照当地环卫工人工资标准执行，并按时足额发放。工人待遇</w:t>
      </w:r>
      <w:r>
        <w:rPr>
          <w:rFonts w:ascii="宋体" w:hAnsi="宋体" w:cs="宋体"/>
          <w:color w:val="auto"/>
          <w:szCs w:val="21"/>
          <w:highlight w:val="none"/>
          <w:lang w:val="en-GB"/>
        </w:rPr>
        <w:t>(</w:t>
      </w:r>
      <w:r>
        <w:rPr>
          <w:rFonts w:hint="eastAsia" w:ascii="宋体" w:hAnsi="宋体" w:cs="宋体"/>
          <w:color w:val="auto"/>
          <w:szCs w:val="21"/>
          <w:highlight w:val="none"/>
          <w:lang w:val="en-GB"/>
        </w:rPr>
        <w:t>包括基本工资</w:t>
      </w:r>
      <w:r>
        <w:rPr>
          <w:rFonts w:ascii="宋体" w:hAnsi="宋体" w:cs="宋体"/>
          <w:color w:val="auto"/>
          <w:szCs w:val="21"/>
          <w:highlight w:val="none"/>
          <w:lang w:val="en-GB"/>
        </w:rPr>
        <w:t>)</w:t>
      </w:r>
      <w:r>
        <w:rPr>
          <w:rFonts w:hint="eastAsia" w:ascii="宋体" w:hAnsi="宋体" w:cs="宋体"/>
          <w:color w:val="auto"/>
          <w:szCs w:val="21"/>
          <w:highlight w:val="none"/>
          <w:lang w:val="en-GB"/>
        </w:rPr>
        <w:t>不得低于当地有关标准，享受环卫津贴，单休日，节假日，加班费等，按有关规定执行，若未按规定足额发放，采购人有权在月承包款或履约保证金中扣除代为支付。</w:t>
      </w:r>
    </w:p>
    <w:p>
      <w:pPr>
        <w:spacing w:line="360" w:lineRule="auto"/>
        <w:ind w:firstLine="420" w:firstLineChars="200"/>
        <w:rPr>
          <w:rFonts w:ascii="宋体" w:hAnsi="宋体" w:cs="Arial"/>
          <w:color w:val="auto"/>
          <w:szCs w:val="21"/>
          <w:highlight w:val="none"/>
          <w:shd w:val="clear" w:color="auto" w:fill="FFFFFF"/>
        </w:rPr>
      </w:pPr>
      <w:r>
        <w:rPr>
          <w:rFonts w:hint="eastAsia" w:ascii="宋体" w:hAnsi="宋体" w:cs="宋体"/>
          <w:color w:val="auto"/>
          <w:szCs w:val="21"/>
          <w:highlight w:val="none"/>
          <w:lang w:val="en-GB"/>
        </w:rPr>
        <w:t>1</w:t>
      </w:r>
      <w:r>
        <w:rPr>
          <w:rFonts w:hint="eastAsia" w:ascii="宋体" w:hAnsi="宋体" w:cs="宋体"/>
          <w:color w:val="auto"/>
          <w:szCs w:val="21"/>
          <w:highlight w:val="none"/>
        </w:rPr>
        <w:t>2</w:t>
      </w:r>
      <w:r>
        <w:rPr>
          <w:rFonts w:hint="eastAsia" w:ascii="宋体" w:hAnsi="宋体" w:cs="宋体"/>
          <w:color w:val="auto"/>
          <w:szCs w:val="21"/>
          <w:highlight w:val="none"/>
          <w:lang w:val="en-GB"/>
        </w:rPr>
        <w:t>、</w:t>
      </w:r>
      <w:r>
        <w:rPr>
          <w:rFonts w:hint="eastAsia" w:ascii="宋体" w:hAnsi="宋体" w:cs="Arial"/>
          <w:color w:val="auto"/>
          <w:szCs w:val="21"/>
          <w:highlight w:val="none"/>
          <w:shd w:val="clear" w:color="auto" w:fill="FFFFFF"/>
        </w:rPr>
        <w:t>承包单位必须执行《劳动法》、《劳动合同法》等有关员工保障的其它规定。</w:t>
      </w:r>
    </w:p>
    <w:p>
      <w:pPr>
        <w:spacing w:line="360" w:lineRule="auto"/>
        <w:ind w:firstLine="420" w:firstLineChars="200"/>
        <w:rPr>
          <w:rFonts w:ascii="宋体" w:hAnsi="宋体" w:cs="宋体"/>
          <w:color w:val="auto"/>
          <w:szCs w:val="21"/>
          <w:highlight w:val="none"/>
          <w:lang w:val="en-GB"/>
        </w:rPr>
      </w:pPr>
      <w:r>
        <w:rPr>
          <w:rFonts w:hint="eastAsia" w:ascii="宋体" w:hAnsi="宋体" w:cs="Arial"/>
          <w:color w:val="auto"/>
          <w:szCs w:val="21"/>
          <w:highlight w:val="none"/>
          <w:shd w:val="clear" w:color="auto" w:fill="FFFFFF"/>
        </w:rPr>
        <w:t>13、承包单位所用员工自行向社会招聘，但录用的员工要求年满18周岁，其中男员工60周岁以下，女员工55周岁以下，管理技术人员可适当放宽年龄，身体健康，必须与员工签订书面劳动（劳务）合同。未按规定要求用工的，一切责任</w:t>
      </w:r>
      <w:r>
        <w:rPr>
          <w:rFonts w:hint="eastAsia" w:ascii="宋体" w:hAnsi="宋体" w:cs="宋体"/>
          <w:color w:val="auto"/>
          <w:szCs w:val="21"/>
          <w:highlight w:val="none"/>
          <w:lang w:val="en-GB"/>
        </w:rPr>
        <w:t>承包单位</w:t>
      </w:r>
      <w:r>
        <w:rPr>
          <w:rFonts w:hint="eastAsia" w:ascii="宋体" w:hAnsi="宋体" w:cs="Arial"/>
          <w:color w:val="auto"/>
          <w:szCs w:val="21"/>
          <w:highlight w:val="none"/>
          <w:shd w:val="clear" w:color="auto" w:fill="FFFFFF"/>
        </w:rPr>
        <w:t>自负。</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rPr>
        <w:t>4</w:t>
      </w:r>
      <w:r>
        <w:rPr>
          <w:rFonts w:hint="eastAsia" w:ascii="宋体" w:hAnsi="宋体" w:cs="宋体"/>
          <w:color w:val="auto"/>
          <w:szCs w:val="21"/>
          <w:highlight w:val="none"/>
          <w:lang w:val="en-GB"/>
        </w:rPr>
        <w:t>、项目承包期限为</w:t>
      </w:r>
      <w:r>
        <w:rPr>
          <w:rFonts w:hint="eastAsia" w:ascii="宋体" w:hAnsi="宋体" w:cs="宋体"/>
          <w:color w:val="auto"/>
          <w:szCs w:val="21"/>
          <w:highlight w:val="none"/>
        </w:rPr>
        <w:t>一</w:t>
      </w:r>
      <w:r>
        <w:rPr>
          <w:rFonts w:hint="eastAsia" w:ascii="宋体" w:hAnsi="宋体" w:cs="宋体"/>
          <w:color w:val="auto"/>
          <w:szCs w:val="21"/>
          <w:highlight w:val="none"/>
          <w:lang w:val="en-GB"/>
        </w:rPr>
        <w:t>年。承包单位在履行第一年合同期满后，采购人对承包单位在一年合同期内做出的业绩评价，若中标业绩达到采购人的各项指标，则合同承包期延续签订1年，承包单位必须无条件与采购人续签合同并履行合同义务，否则合同履约保证金没收；若承包单位履约的项目业绩未能达到采购人的考核指标，则本项目合同自第一年履行完毕后终止</w:t>
      </w:r>
      <w:r>
        <w:rPr>
          <w:rFonts w:hint="eastAsia" w:ascii="宋体" w:hAnsi="宋体"/>
          <w:color w:val="auto"/>
          <w:szCs w:val="21"/>
          <w:highlight w:val="none"/>
        </w:rPr>
        <w:t>（第3年承包期续签或终止方法与第2年相同），最长不超过3年</w:t>
      </w:r>
      <w:r>
        <w:rPr>
          <w:rFonts w:hint="eastAsia" w:ascii="宋体" w:hAnsi="宋体" w:cs="宋体"/>
          <w:color w:val="auto"/>
          <w:szCs w:val="21"/>
          <w:highlight w:val="none"/>
          <w:lang w:val="en-GB"/>
        </w:rPr>
        <w:t>。采购人对本条款具有最终决定权。</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lang w:val="en-GB"/>
        </w:rPr>
        <w:t>1</w:t>
      </w:r>
      <w:r>
        <w:rPr>
          <w:rFonts w:hint="eastAsia" w:ascii="宋体" w:hAnsi="宋体" w:cs="宋体"/>
          <w:color w:val="auto"/>
          <w:szCs w:val="21"/>
          <w:highlight w:val="none"/>
        </w:rPr>
        <w:t>5</w:t>
      </w:r>
      <w:r>
        <w:rPr>
          <w:rFonts w:hint="eastAsia" w:ascii="宋体" w:hAnsi="宋体" w:cs="宋体"/>
          <w:color w:val="auto"/>
          <w:szCs w:val="21"/>
          <w:highlight w:val="none"/>
          <w:lang w:val="en-GB"/>
        </w:rPr>
        <w:t>、</w:t>
      </w:r>
      <w:r>
        <w:rPr>
          <w:rFonts w:hint="eastAsia" w:ascii="宋体" w:hAnsi="宋体"/>
          <w:color w:val="auto"/>
          <w:szCs w:val="21"/>
          <w:highlight w:val="none"/>
        </w:rPr>
        <w:t>明确第一年合同中标价一次性包死；第二年、第三年合同中标价在新一轮合同续签之前，若浙江省发布调整最低标准工资，当地执行情况下，采购人应按承包单位一线作业实际人数予以相应调整，除此其它费用一次性包死，不作调整。</w:t>
      </w:r>
    </w:p>
    <w:p>
      <w:pPr>
        <w:adjustRightInd w:val="0"/>
        <w:spacing w:line="360" w:lineRule="auto"/>
        <w:ind w:firstLine="422" w:firstLineChars="200"/>
        <w:rPr>
          <w:rFonts w:hint="eastAsia" w:ascii="宋体" w:hAnsi="宋体" w:cs="宋体"/>
          <w:b/>
          <w:color w:val="auto"/>
          <w:szCs w:val="21"/>
          <w:highlight w:val="none"/>
          <w:lang w:val="en-GB"/>
        </w:rPr>
      </w:pPr>
      <w:r>
        <w:rPr>
          <w:rFonts w:hint="eastAsia" w:ascii="宋体" w:hAnsi="宋体"/>
          <w:b/>
          <w:color w:val="auto"/>
          <w:szCs w:val="21"/>
          <w:highlight w:val="none"/>
        </w:rPr>
        <w:t>1</w:t>
      </w:r>
      <w:r>
        <w:rPr>
          <w:rFonts w:hint="eastAsia" w:ascii="宋体" w:hAnsi="宋体" w:cs="宋体"/>
          <w:b/>
          <w:color w:val="auto"/>
          <w:szCs w:val="21"/>
          <w:highlight w:val="none"/>
        </w:rPr>
        <w:t>6</w:t>
      </w:r>
      <w:r>
        <w:rPr>
          <w:rFonts w:hint="eastAsia" w:ascii="宋体" w:hAnsi="宋体" w:cs="宋体"/>
          <w:b/>
          <w:color w:val="auto"/>
          <w:szCs w:val="21"/>
          <w:highlight w:val="none"/>
          <w:lang w:val="en-GB"/>
        </w:rPr>
        <w:t>、在承包期限内，因发展需要新增的道路纳入保洁范围，并且不增加保洁费用；承包单位必须按相应道路等级保洁要求实施清扫保洁。</w:t>
      </w:r>
    </w:p>
    <w:p>
      <w:pPr>
        <w:adjustRightInd w:val="0"/>
        <w:spacing w:line="360" w:lineRule="auto"/>
        <w:ind w:firstLine="422" w:firstLineChars="200"/>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17、中标单位须承诺在中标后设立农民工工资专用账户。</w:t>
      </w:r>
    </w:p>
    <w:p>
      <w:pPr>
        <w:adjustRightInd w:val="0"/>
        <w:spacing w:before="156"/>
        <w:outlineLvl w:val="1"/>
        <w:rPr>
          <w:rFonts w:cs="Arial"/>
          <w:b/>
          <w:bCs/>
          <w:color w:val="auto"/>
          <w:highlight w:val="none"/>
        </w:rPr>
      </w:pPr>
      <w:r>
        <w:rPr>
          <w:rFonts w:hint="eastAsia" w:cs="Arial"/>
          <w:b/>
          <w:bCs/>
          <w:color w:val="auto"/>
          <w:highlight w:val="none"/>
        </w:rPr>
        <w:t>六、道路清扫保洁、垃圾分类清扫保洁，垃圾清运等实施方案</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投标人应按照招标要求提交以下投标技术方案（包括但不限于以下各项）。</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一</w:t>
      </w:r>
      <w:r>
        <w:rPr>
          <w:rFonts w:ascii="宋体" w:hAnsi="宋体" w:cs="宋体"/>
          <w:color w:val="auto"/>
          <w:szCs w:val="21"/>
          <w:highlight w:val="none"/>
          <w:lang w:val="en-GB"/>
        </w:rPr>
        <w:t>)</w:t>
      </w:r>
      <w:r>
        <w:rPr>
          <w:rFonts w:hint="eastAsia" w:ascii="宋体" w:hAnsi="宋体" w:cs="宋体"/>
          <w:color w:val="auto"/>
          <w:szCs w:val="21"/>
          <w:highlight w:val="none"/>
          <w:lang w:val="en-GB"/>
        </w:rPr>
        <w:t>对本项目保洁工作现状的调查与问题分析。</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二</w:t>
      </w:r>
      <w:r>
        <w:rPr>
          <w:rFonts w:ascii="宋体" w:hAnsi="宋体" w:cs="宋体"/>
          <w:color w:val="auto"/>
          <w:szCs w:val="21"/>
          <w:highlight w:val="none"/>
          <w:lang w:val="en-GB"/>
        </w:rPr>
        <w:t>)</w:t>
      </w:r>
      <w:r>
        <w:rPr>
          <w:rFonts w:hint="eastAsia" w:ascii="宋体" w:hAnsi="宋体" w:cs="宋体"/>
          <w:color w:val="auto"/>
          <w:szCs w:val="21"/>
          <w:highlight w:val="none"/>
          <w:lang w:val="en-GB"/>
        </w:rPr>
        <w:t>当地设管理服务机构设置方案、运作流程。</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三</w:t>
      </w:r>
      <w:r>
        <w:rPr>
          <w:rFonts w:ascii="宋体" w:hAnsi="宋体" w:cs="宋体"/>
          <w:color w:val="auto"/>
          <w:szCs w:val="21"/>
          <w:highlight w:val="none"/>
          <w:lang w:val="en-GB"/>
        </w:rPr>
        <w:t>)</w:t>
      </w:r>
      <w:r>
        <w:rPr>
          <w:rFonts w:hint="eastAsia" w:ascii="宋体" w:hAnsi="宋体" w:cs="宋体"/>
          <w:color w:val="auto"/>
          <w:szCs w:val="21"/>
          <w:highlight w:val="none"/>
          <w:lang w:val="en-GB"/>
        </w:rPr>
        <w:t>提供对本项目配置一线作业人员、管理人员、作业车辆，船只配置人员等。</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四</w:t>
      </w:r>
      <w:r>
        <w:rPr>
          <w:rFonts w:ascii="宋体" w:hAnsi="宋体" w:cs="宋体"/>
          <w:color w:val="auto"/>
          <w:szCs w:val="21"/>
          <w:highlight w:val="none"/>
          <w:lang w:val="en-GB"/>
        </w:rPr>
        <w:t>)</w:t>
      </w:r>
      <w:r>
        <w:rPr>
          <w:rFonts w:hint="eastAsia" w:ascii="宋体" w:hAnsi="宋体" w:cs="宋体"/>
          <w:color w:val="auto"/>
          <w:szCs w:val="21"/>
          <w:highlight w:val="none"/>
          <w:lang w:val="en-GB"/>
        </w:rPr>
        <w:t>拟定车辆运行方案，车辆配置要符合本项目农村道路保洁，垃圾清运，道路洒水等。运输车辆必须密闭，车容整洁，车体完好。</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五</w:t>
      </w:r>
      <w:r>
        <w:rPr>
          <w:rFonts w:ascii="宋体" w:hAnsi="宋体" w:cs="宋体"/>
          <w:color w:val="auto"/>
          <w:szCs w:val="21"/>
          <w:highlight w:val="none"/>
          <w:lang w:val="en-GB"/>
        </w:rPr>
        <w:t>)</w:t>
      </w:r>
      <w:r>
        <w:rPr>
          <w:rFonts w:hint="eastAsia" w:ascii="宋体" w:hAnsi="宋体" w:cs="宋体"/>
          <w:color w:val="auto"/>
          <w:szCs w:val="21"/>
          <w:highlight w:val="none"/>
          <w:lang w:val="en-GB"/>
        </w:rPr>
        <w:t>本项目经济运行测算方案。</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六</w:t>
      </w:r>
      <w:r>
        <w:rPr>
          <w:rFonts w:ascii="宋体" w:hAnsi="宋体" w:cs="宋体"/>
          <w:color w:val="auto"/>
          <w:szCs w:val="21"/>
          <w:highlight w:val="none"/>
          <w:lang w:val="en-GB"/>
        </w:rPr>
        <w:t>)</w:t>
      </w:r>
      <w:r>
        <w:rPr>
          <w:rFonts w:hint="eastAsia" w:ascii="宋体" w:hAnsi="宋体" w:cs="宋体"/>
          <w:color w:val="auto"/>
          <w:szCs w:val="21"/>
          <w:highlight w:val="none"/>
          <w:lang w:val="en-GB"/>
        </w:rPr>
        <w:t>对本项目道路保洁作出安排计划。</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七</w:t>
      </w:r>
      <w:r>
        <w:rPr>
          <w:rFonts w:ascii="宋体" w:hAnsi="宋体" w:cs="宋体"/>
          <w:color w:val="auto"/>
          <w:szCs w:val="21"/>
          <w:highlight w:val="none"/>
          <w:lang w:val="en-GB"/>
        </w:rPr>
        <w:t>)</w:t>
      </w:r>
      <w:r>
        <w:rPr>
          <w:rFonts w:hint="eastAsia" w:ascii="宋体" w:hAnsi="宋体" w:cs="宋体"/>
          <w:color w:val="auto"/>
          <w:szCs w:val="21"/>
          <w:highlight w:val="none"/>
          <w:lang w:val="en-GB"/>
        </w:rPr>
        <w:t>对本项目拟作业程序，垃圾分类质量标准、农村清扫保洁质量标准、清扫保洁作业质量标准要求、内部管理制度和监督检查考核手段。</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八</w:t>
      </w:r>
      <w:r>
        <w:rPr>
          <w:rFonts w:ascii="宋体" w:hAnsi="宋体" w:cs="宋体"/>
          <w:color w:val="auto"/>
          <w:szCs w:val="21"/>
          <w:highlight w:val="none"/>
          <w:lang w:val="en-GB"/>
        </w:rPr>
        <w:t>)</w:t>
      </w:r>
      <w:r>
        <w:rPr>
          <w:rFonts w:hint="eastAsia" w:ascii="宋体" w:hAnsi="宋体" w:cs="宋体"/>
          <w:color w:val="auto"/>
          <w:szCs w:val="21"/>
          <w:highlight w:val="none"/>
          <w:lang w:val="en-GB"/>
        </w:rPr>
        <w:t>提出相应的保洁质量保障措施。</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九</w:t>
      </w:r>
      <w:r>
        <w:rPr>
          <w:rFonts w:ascii="宋体" w:hAnsi="宋体" w:cs="宋体"/>
          <w:color w:val="auto"/>
          <w:szCs w:val="21"/>
          <w:highlight w:val="none"/>
          <w:lang w:val="en-GB"/>
        </w:rPr>
        <w:t>)</w:t>
      </w:r>
      <w:r>
        <w:rPr>
          <w:rFonts w:hint="eastAsia" w:ascii="宋体" w:hAnsi="宋体" w:cs="宋体"/>
          <w:color w:val="auto"/>
          <w:szCs w:val="21"/>
          <w:highlight w:val="none"/>
          <w:lang w:val="en-GB"/>
        </w:rPr>
        <w:t>公司内部管理制度和考核办法。</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十</w:t>
      </w:r>
      <w:r>
        <w:rPr>
          <w:rFonts w:ascii="宋体" w:hAnsi="宋体" w:cs="宋体"/>
          <w:color w:val="auto"/>
          <w:szCs w:val="21"/>
          <w:highlight w:val="none"/>
          <w:lang w:val="en-GB"/>
        </w:rPr>
        <w:t>)</w:t>
      </w:r>
      <w:r>
        <w:rPr>
          <w:rFonts w:hint="eastAsia" w:ascii="宋体" w:hAnsi="宋体" w:cs="宋体"/>
          <w:color w:val="auto"/>
          <w:szCs w:val="21"/>
          <w:highlight w:val="none"/>
          <w:lang w:val="en-GB"/>
        </w:rPr>
        <w:t>提供作业人员劳动保护，安全作业措施，及应急突发性事件处理方案。</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十一</w:t>
      </w:r>
      <w:r>
        <w:rPr>
          <w:rFonts w:ascii="宋体" w:hAnsi="宋体" w:cs="宋体"/>
          <w:color w:val="auto"/>
          <w:szCs w:val="21"/>
          <w:highlight w:val="none"/>
          <w:lang w:val="en-GB"/>
        </w:rPr>
        <w:t>)</w:t>
      </w:r>
      <w:r>
        <w:rPr>
          <w:rFonts w:hint="eastAsia" w:ascii="宋体" w:hAnsi="宋体" w:cs="宋体"/>
          <w:color w:val="auto"/>
          <w:szCs w:val="21"/>
          <w:highlight w:val="none"/>
          <w:lang w:val="en-GB"/>
        </w:rPr>
        <w:t>保洁服务承诺</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w:t>
      </w:r>
      <w:r>
        <w:rPr>
          <w:rFonts w:hint="eastAsia" w:ascii="宋体" w:hAnsi="宋体" w:cs="宋体"/>
          <w:color w:val="auto"/>
          <w:szCs w:val="21"/>
          <w:highlight w:val="none"/>
          <w:lang w:val="en-GB"/>
        </w:rPr>
        <w:t>十二</w:t>
      </w:r>
      <w:r>
        <w:rPr>
          <w:rFonts w:ascii="宋体" w:hAnsi="宋体" w:cs="宋体"/>
          <w:color w:val="auto"/>
          <w:szCs w:val="21"/>
          <w:highlight w:val="none"/>
          <w:lang w:val="en-GB"/>
        </w:rPr>
        <w:t>)</w:t>
      </w:r>
      <w:r>
        <w:rPr>
          <w:rFonts w:hint="eastAsia" w:ascii="宋体" w:hAnsi="宋体" w:cs="宋体"/>
          <w:color w:val="auto"/>
          <w:szCs w:val="21"/>
          <w:highlight w:val="none"/>
          <w:lang w:val="en-GB"/>
        </w:rPr>
        <w:t>其它事项</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lang w:val="en-GB"/>
        </w:rPr>
        <w:t>．承包单位保洁服务中标后所需的车辆自行购置，其投入的专用车辆与垃圾桶等作业器具要求在合同签订后，进场作业前</w:t>
      </w:r>
      <w:r>
        <w:rPr>
          <w:rFonts w:ascii="宋体" w:hAnsi="宋体" w:cs="宋体"/>
          <w:color w:val="auto"/>
          <w:szCs w:val="21"/>
          <w:highlight w:val="none"/>
          <w:lang w:val="en-GB"/>
        </w:rPr>
        <w:t>10</w:t>
      </w:r>
      <w:r>
        <w:rPr>
          <w:rFonts w:hint="eastAsia" w:ascii="宋体" w:hAnsi="宋体" w:cs="宋体"/>
          <w:color w:val="auto"/>
          <w:szCs w:val="21"/>
          <w:highlight w:val="none"/>
          <w:lang w:val="en-GB"/>
        </w:rPr>
        <w:t>天内全部到位（因特殊情况，经采购人同意延期的除外），投入持续运行，否则，每月按项目承包款的85%结算。</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2</w:t>
      </w:r>
      <w:r>
        <w:rPr>
          <w:rFonts w:hint="eastAsia" w:ascii="宋体" w:hAnsi="宋体" w:cs="宋体"/>
          <w:color w:val="auto"/>
          <w:szCs w:val="21"/>
          <w:highlight w:val="none"/>
          <w:lang w:val="en-GB"/>
        </w:rPr>
        <w:t>．承包单位须根据国家建设部[2007]157令第十七条内容规定从事城市生活垃圾经营性清扫、收集、运输的企业，应当取得城市生活垃圾经营性清扫、收集、运输服务许可证。对未取得城市生活垃圾经营性清扫、收集、运输服务许可证的企业，不得从事城市生活垃圾经营性清扫、收集、运输活动。如承包单位未取得城市生活垃圾经营性清扫、收集、运输服务许可证的，需在一个月内（因特殊情况，经采购人同意延期的除外），根据国家建设部[2007]157令第十八条、第十九条内容规定向相关职能部门申请办理《城市生活垃圾经营性清扫、收集、运输服务许可证》，逾期或条件不具备将作违约处理取消其中标资格并没收投标保证金全额。</w:t>
      </w:r>
    </w:p>
    <w:p>
      <w:pPr>
        <w:spacing w:line="360" w:lineRule="auto"/>
        <w:ind w:firstLine="422" w:firstLineChars="200"/>
        <w:rPr>
          <w:rFonts w:ascii="宋体" w:hAnsi="宋体" w:cs="宋体"/>
          <w:b/>
          <w:color w:val="auto"/>
          <w:szCs w:val="21"/>
          <w:highlight w:val="none"/>
          <w:lang w:val="en-GB"/>
        </w:rPr>
      </w:pPr>
      <w:r>
        <w:rPr>
          <w:rFonts w:hint="eastAsia" w:ascii="宋体" w:hAnsi="宋体" w:cs="宋体"/>
          <w:b/>
          <w:color w:val="auto"/>
          <w:szCs w:val="21"/>
          <w:highlight w:val="none"/>
        </w:rPr>
        <w:t>3</w:t>
      </w:r>
      <w:r>
        <w:rPr>
          <w:rFonts w:hint="eastAsia" w:ascii="宋体" w:hAnsi="宋体" w:cs="宋体"/>
          <w:b/>
          <w:color w:val="auto"/>
          <w:szCs w:val="21"/>
          <w:highlight w:val="none"/>
          <w:lang w:val="en-GB"/>
        </w:rPr>
        <w:t>.承包单位在承包期内，未经采购人同意，不得变换项目负责人，如若不能兑现的，视同违约处理。</w:t>
      </w:r>
    </w:p>
    <w:p>
      <w:pPr>
        <w:spacing w:line="360" w:lineRule="auto"/>
        <w:ind w:firstLine="420" w:firstLineChars="200"/>
        <w:rPr>
          <w:rFonts w:ascii="宋体" w:hAnsi="宋体" w:cs="宋体"/>
          <w:b/>
          <w:color w:val="auto"/>
          <w:szCs w:val="21"/>
          <w:highlight w:val="none"/>
          <w:u w:val="single"/>
          <w:lang w:val="en-GB"/>
        </w:rPr>
      </w:pPr>
      <w:r>
        <w:rPr>
          <w:rFonts w:hint="eastAsia" w:ascii="宋体" w:hAnsi="宋体" w:cs="宋体"/>
          <w:color w:val="auto"/>
          <w:szCs w:val="21"/>
          <w:highlight w:val="none"/>
        </w:rPr>
        <w:t>4</w:t>
      </w:r>
      <w:r>
        <w:rPr>
          <w:rFonts w:hint="eastAsia" w:ascii="宋体" w:hAnsi="宋体" w:cs="宋体"/>
          <w:color w:val="auto"/>
          <w:szCs w:val="21"/>
          <w:highlight w:val="none"/>
          <w:lang w:val="en-GB"/>
        </w:rPr>
        <w:t>. 合同签订前，承包单位需向采购人交纳合同价的</w:t>
      </w:r>
      <w:r>
        <w:rPr>
          <w:rFonts w:hint="eastAsia" w:ascii="宋体" w:hAnsi="宋体" w:cs="宋体"/>
          <w:color w:val="auto"/>
          <w:szCs w:val="21"/>
          <w:highlight w:val="none"/>
          <w:u w:val="single"/>
        </w:rPr>
        <w:t>5</w:t>
      </w:r>
      <w:r>
        <w:rPr>
          <w:rFonts w:hint="eastAsia" w:ascii="宋体" w:hAnsi="宋体" w:cs="宋体"/>
          <w:color w:val="auto"/>
          <w:szCs w:val="21"/>
          <w:highlight w:val="none"/>
          <w:u w:val="single"/>
          <w:lang w:val="en-GB"/>
        </w:rPr>
        <w:t>％</w:t>
      </w:r>
      <w:r>
        <w:rPr>
          <w:rFonts w:hint="eastAsia" w:ascii="宋体" w:hAnsi="宋体" w:cs="宋体"/>
          <w:color w:val="auto"/>
          <w:szCs w:val="21"/>
          <w:highlight w:val="none"/>
          <w:lang w:val="en-GB"/>
        </w:rPr>
        <w:t>作为履约保证金，本合同到期后，承包单位若无任何欠薪、欠款或违反合同行为的，合同期满</w:t>
      </w:r>
      <w:r>
        <w:rPr>
          <w:rFonts w:hint="eastAsia" w:ascii="宋体" w:hAnsi="宋体" w:cs="Arial"/>
          <w:color w:val="auto"/>
          <w:szCs w:val="21"/>
          <w:highlight w:val="none"/>
          <w:shd w:val="clear" w:color="auto" w:fill="FFFFFF"/>
        </w:rPr>
        <w:t>30天内全额返还合同履约保证金</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不计息</w:t>
      </w:r>
      <w:r>
        <w:rPr>
          <w:rFonts w:ascii="宋体" w:hAnsi="宋体" w:cs="Arial"/>
          <w:color w:val="auto"/>
          <w:szCs w:val="21"/>
          <w:highlight w:val="none"/>
          <w:shd w:val="clear" w:color="auto" w:fill="FFFFFF"/>
        </w:rPr>
        <w:t>)</w:t>
      </w:r>
      <w:r>
        <w:rPr>
          <w:rFonts w:hint="eastAsia" w:ascii="宋体" w:hAnsi="宋体" w:cs="Arial"/>
          <w:color w:val="auto"/>
          <w:szCs w:val="21"/>
          <w:highlight w:val="none"/>
          <w:shd w:val="clear" w:color="auto" w:fill="FFFFFF"/>
        </w:rPr>
        <w:t>。</w:t>
      </w:r>
      <w:r>
        <w:rPr>
          <w:rFonts w:hint="eastAsia" w:ascii="宋体" w:hAnsi="宋体"/>
          <w:color w:val="auto"/>
          <w:szCs w:val="21"/>
          <w:highlight w:val="none"/>
        </w:rPr>
        <w:t>如合同实施期内承包单位未按照要求履行合同则履约保证金不予退还。在合同实施期内如因承包单位原因造成采购人财产损失的，采购人有权在履约保证金中扣除。</w:t>
      </w:r>
    </w:p>
    <w:p>
      <w:pPr>
        <w:spacing w:line="360" w:lineRule="auto"/>
        <w:ind w:firstLine="422" w:firstLineChars="200"/>
        <w:rPr>
          <w:rFonts w:ascii="宋体" w:hAnsi="宋体" w:cs="宋体"/>
          <w:b/>
          <w:color w:val="auto"/>
          <w:szCs w:val="21"/>
          <w:highlight w:val="none"/>
          <w:u w:val="single"/>
          <w:lang w:val="en-GB"/>
        </w:rPr>
      </w:pPr>
      <w:r>
        <w:rPr>
          <w:rFonts w:hint="eastAsia" w:ascii="宋体" w:hAnsi="宋体" w:cs="宋体"/>
          <w:b/>
          <w:color w:val="auto"/>
          <w:szCs w:val="21"/>
          <w:highlight w:val="none"/>
        </w:rPr>
        <w:t>5</w:t>
      </w:r>
      <w:r>
        <w:rPr>
          <w:rFonts w:hint="eastAsia" w:ascii="宋体" w:hAnsi="宋体" w:cs="宋体"/>
          <w:b/>
          <w:color w:val="auto"/>
          <w:szCs w:val="21"/>
          <w:highlight w:val="none"/>
          <w:lang w:val="en-GB"/>
        </w:rPr>
        <w:t>、采购人根据清扫保洁质量标准规定，结合当地实际制定考核标准。在合同实施期间，采购人有权根据实际情况作适当调整，且承包单位必须无条件响应，采购人有权对中标人按考核办法进行监督考核。中标人必须按照环境卫生行业管理规范进行作业，服从采购人的管理，接受采购人的检查考核。</w:t>
      </w:r>
    </w:p>
    <w:p>
      <w:pPr>
        <w:tabs>
          <w:tab w:val="right" w:pos="8958"/>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6、说明：</w:t>
      </w:r>
      <w:r>
        <w:rPr>
          <w:rFonts w:ascii="宋体" w:hAnsi="宋体"/>
          <w:b/>
          <w:color w:val="auto"/>
          <w:szCs w:val="21"/>
          <w:highlight w:val="none"/>
        </w:rPr>
        <w:tab/>
      </w:r>
    </w:p>
    <w:p>
      <w:pPr>
        <w:adjustRightIn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6.</w:t>
      </w:r>
      <w:r>
        <w:rPr>
          <w:rFonts w:ascii="宋体" w:hAnsi="宋体"/>
          <w:b/>
          <w:color w:val="auto"/>
          <w:szCs w:val="21"/>
          <w:highlight w:val="none"/>
          <w:u w:val="single"/>
        </w:rPr>
        <w:t>1</w:t>
      </w:r>
      <w:r>
        <w:rPr>
          <w:rFonts w:hint="eastAsia" w:ascii="宋体" w:hAnsi="宋体"/>
          <w:b/>
          <w:color w:val="auto"/>
          <w:szCs w:val="21"/>
          <w:highlight w:val="none"/>
          <w:u w:val="single"/>
        </w:rPr>
        <w:t>、招标要求中打“</w:t>
      </w:r>
      <w:r>
        <w:rPr>
          <w:rFonts w:hint="eastAsia" w:ascii="宋体" w:hAnsi="宋体" w:cs="宋体"/>
          <w:b/>
          <w:color w:val="auto"/>
          <w:szCs w:val="21"/>
          <w:highlight w:val="none"/>
          <w:u w:val="single"/>
        </w:rPr>
        <w:t>▲</w:t>
      </w:r>
      <w:r>
        <w:rPr>
          <w:rFonts w:hint="eastAsia" w:ascii="宋体" w:hAnsi="宋体"/>
          <w:b/>
          <w:color w:val="auto"/>
          <w:szCs w:val="21"/>
          <w:highlight w:val="none"/>
          <w:u w:val="single"/>
        </w:rPr>
        <w:t>”号者为实质性响应内容，不允许负偏离。投标人必须做出满足或者优于原要求和条件的承诺，否则作无效标处理。</w:t>
      </w:r>
    </w:p>
    <w:p>
      <w:pPr>
        <w:adjustRightIn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6.2、为便于阅看与评分，制作标书要按本项目的顺序、内容和要求制作，与本项目内容无关的无须提供。</w:t>
      </w:r>
    </w:p>
    <w:p>
      <w:pPr>
        <w:adjustRightInd w:val="0"/>
        <w:spacing w:line="360" w:lineRule="auto"/>
        <w:ind w:firstLine="422" w:firstLineChars="200"/>
        <w:rPr>
          <w:rFonts w:ascii="宋体" w:hAnsi="宋体"/>
          <w:b/>
          <w:color w:val="auto"/>
          <w:szCs w:val="21"/>
          <w:highlight w:val="none"/>
          <w:u w:val="single"/>
        </w:rPr>
      </w:pPr>
    </w:p>
    <w:p>
      <w:pPr>
        <w:spacing w:line="360" w:lineRule="auto"/>
        <w:jc w:val="center"/>
        <w:outlineLvl w:val="1"/>
        <w:rPr>
          <w:rFonts w:ascii="宋体" w:hAnsi="宋体" w:cs="宋体"/>
          <w:color w:val="auto"/>
          <w:szCs w:val="21"/>
          <w:highlight w:val="none"/>
          <w:lang w:val="en-GB"/>
        </w:rPr>
      </w:pPr>
      <w:r>
        <w:rPr>
          <w:rFonts w:hint="eastAsia" w:ascii="宋体" w:hAnsi="宋体" w:cs="宋体"/>
          <w:b/>
          <w:color w:val="auto"/>
          <w:szCs w:val="21"/>
          <w:highlight w:val="none"/>
        </w:rPr>
        <w:t>七、</w:t>
      </w:r>
      <w:r>
        <w:rPr>
          <w:rFonts w:hint="eastAsia" w:ascii="宋体" w:hAnsi="宋体" w:cs="宋体"/>
          <w:b/>
          <w:color w:val="auto"/>
          <w:szCs w:val="21"/>
          <w:highlight w:val="none"/>
          <w:lang w:val="en-GB"/>
        </w:rPr>
        <w:t>道路清扫考核办法</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螺洋街道道路清扫保洁、垃圾清运</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垃圾分类对外承包考核办法</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（采购人有权根据实际情况作适当调整）</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为巩固“文明创建”成果，提高</w:t>
      </w:r>
      <w:r>
        <w:rPr>
          <w:rFonts w:hint="eastAsia" w:ascii="宋体" w:hAnsi="宋体" w:cs="宋体"/>
          <w:color w:val="auto"/>
          <w:szCs w:val="21"/>
          <w:highlight w:val="none"/>
          <w:lang w:val="en-US" w:eastAsia="zh-CN"/>
        </w:rPr>
        <w:t>街道</w:t>
      </w:r>
      <w:r>
        <w:rPr>
          <w:rFonts w:hint="eastAsia" w:ascii="宋体" w:hAnsi="宋体" w:cs="宋体"/>
          <w:color w:val="auto"/>
          <w:szCs w:val="21"/>
          <w:highlight w:val="none"/>
        </w:rPr>
        <w:t>环境卫生质量，实行长效管理、建立完善考核机制，进一步加强检查、监督力度，促进环卫作业</w:t>
      </w:r>
      <w:r>
        <w:rPr>
          <w:rFonts w:hint="eastAsia" w:ascii="宋体" w:hAnsi="宋体" w:cs="宋体"/>
          <w:color w:val="auto"/>
          <w:szCs w:val="21"/>
          <w:highlight w:val="none"/>
          <w:lang w:val="en-US" w:eastAsia="zh-CN"/>
        </w:rPr>
        <w:t>和垃圾分类</w:t>
      </w:r>
      <w:r>
        <w:rPr>
          <w:rFonts w:hint="eastAsia" w:ascii="宋体" w:hAnsi="宋体" w:cs="宋体"/>
          <w:color w:val="auto"/>
          <w:szCs w:val="21"/>
          <w:highlight w:val="none"/>
        </w:rPr>
        <w:t>水平全面提高，根据文明创建要求和合同条款，特制订本办法。</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一、实施方法</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color w:val="auto"/>
          <w:szCs w:val="21"/>
          <w:highlight w:val="none"/>
        </w:rPr>
        <w:t>街道环卫所负责本办法的组织实施。根据本办法及承包合同条款对承包单位的道路清扫保洁、垃圾清运和垃圾分类等环卫作业进行检查打分和绩效考核。</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二、考核人员组成：</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b w:val="0"/>
          <w:bCs/>
          <w:color w:val="auto"/>
          <w:szCs w:val="21"/>
          <w:highlight w:val="none"/>
          <w:lang w:val="en-US" w:eastAsia="zh-CN"/>
        </w:rPr>
        <w:t>考核组由街道环卫招标领导小组和环卫所全体人员组成，</w:t>
      </w:r>
      <w:r>
        <w:rPr>
          <w:rFonts w:hint="eastAsia" w:ascii="宋体" w:hAnsi="宋体" w:cs="宋体"/>
          <w:color w:val="auto"/>
          <w:szCs w:val="21"/>
          <w:highlight w:val="none"/>
        </w:rPr>
        <w:t>街道分管环卫领导担任考核组组长，下设若干考核小组，每组</w:t>
      </w:r>
      <w:r>
        <w:rPr>
          <w:rFonts w:hint="eastAsia" w:ascii="宋体" w:hAnsi="宋体" w:cs="宋体"/>
          <w:color w:val="auto"/>
          <w:szCs w:val="21"/>
          <w:highlight w:val="none"/>
          <w:lang w:val="en-US" w:eastAsia="zh-CN"/>
        </w:rPr>
        <w:t>不少于</w:t>
      </w:r>
      <w:r>
        <w:rPr>
          <w:rFonts w:hint="eastAsia" w:ascii="宋体" w:hAnsi="宋体" w:cs="宋体"/>
          <w:color w:val="auto"/>
          <w:szCs w:val="21"/>
          <w:highlight w:val="none"/>
        </w:rPr>
        <w:t>2人，对承包责任范围内道路清扫保洁、垃圾清运和垃圾分类等进行考核。</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三、考核对象：</w:t>
      </w:r>
      <w:r>
        <w:rPr>
          <w:rFonts w:hint="eastAsia" w:ascii="宋体" w:hAnsi="宋体" w:cs="宋体"/>
          <w:color w:val="auto"/>
          <w:szCs w:val="21"/>
          <w:highlight w:val="none"/>
        </w:rPr>
        <w:t>承包单位</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四、考核方式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color w:val="auto"/>
          <w:szCs w:val="21"/>
          <w:highlight w:val="none"/>
        </w:rPr>
        <w:t>对承包单位道路清扫保洁、垃圾清运、垃圾分类和洒水作业等日常管理等情况进行巡查。采取随机抽查与定点巡查相结合，明查与暗访相结合。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color w:val="auto"/>
          <w:szCs w:val="21"/>
          <w:highlight w:val="none"/>
        </w:rPr>
        <w:t>采购人将巡查、考核情况反馈给承包单位，每月底考核组将月巡查综合结果抄报分管环卫领导。</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五、检查考评标准</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ab/>
      </w:r>
      <w:r>
        <w:rPr>
          <w:rFonts w:hint="eastAsia" w:ascii="宋体" w:hAnsi="宋体" w:cs="宋体"/>
          <w:color w:val="auto"/>
          <w:szCs w:val="21"/>
          <w:highlight w:val="none"/>
        </w:rPr>
        <w:t>本办法采用扣分制，按考核标准扣分，每扣1分折人民币100元，从当月承包款中扣除。</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（一）道路清扫保洁</w:t>
      </w:r>
    </w:p>
    <w:p>
      <w:pPr>
        <w:tabs>
          <w:tab w:val="left" w:pos="0"/>
        </w:tabs>
        <w:spacing w:line="360" w:lineRule="auto"/>
        <w:ind w:firstLine="135"/>
        <w:rPr>
          <w:rFonts w:ascii="宋体" w:hAnsi="宋体" w:cs="宋体"/>
          <w:color w:val="auto"/>
          <w:szCs w:val="21"/>
          <w:highlight w:val="none"/>
        </w:rPr>
      </w:pPr>
      <w:r>
        <w:rPr>
          <w:rFonts w:hint="eastAsia" w:ascii="宋体" w:hAnsi="宋体" w:cs="宋体"/>
          <w:color w:val="auto"/>
          <w:szCs w:val="21"/>
          <w:highlight w:val="none"/>
        </w:rPr>
        <w:t xml:space="preserve">  1、路面保洁时间：</w:t>
      </w:r>
      <w:r>
        <w:rPr>
          <w:rFonts w:hint="eastAsia" w:ascii="宋体" w:hAnsi="宋体" w:cs="宋体"/>
          <w:color w:val="auto"/>
          <w:szCs w:val="21"/>
          <w:highlight w:val="none"/>
          <w:lang w:val="en-GB"/>
        </w:rPr>
        <w:t>“文明创建”范围城区</w:t>
      </w:r>
      <w:r>
        <w:rPr>
          <w:rFonts w:hint="eastAsia" w:ascii="宋体" w:hAnsi="宋体" w:cs="宋体"/>
          <w:color w:val="auto"/>
          <w:szCs w:val="21"/>
          <w:highlight w:val="none"/>
        </w:rPr>
        <w:t>主要道路清扫保洁时间要在上午7：00前普扫完毕，主要道路保洁时间不少于16小时，其它道路</w:t>
      </w:r>
      <w:r>
        <w:rPr>
          <w:rFonts w:hint="eastAsia" w:ascii="宋体" w:hAnsi="宋体" w:cs="宋体"/>
          <w:color w:val="auto"/>
          <w:szCs w:val="21"/>
          <w:highlight w:val="none"/>
          <w:shd w:val="clear" w:color="auto" w:fill="FFFFFF"/>
        </w:rPr>
        <w:t>人行道</w:t>
      </w:r>
      <w:r>
        <w:rPr>
          <w:rFonts w:hint="eastAsia" w:ascii="宋体" w:hAnsi="宋体" w:cs="宋体"/>
          <w:color w:val="auto"/>
          <w:szCs w:val="21"/>
          <w:highlight w:val="none"/>
        </w:rPr>
        <w:t>保洁时间不少于12小时，主要道路30至45分钟巡回保洁，城区外主次道路在上午8：00前全面普扫完毕，道路每天保洁时间不少于10小时，必要时要延长保洁时间。</w:t>
      </w:r>
      <w:r>
        <w:rPr>
          <w:rFonts w:hint="eastAsia" w:ascii="宋体" w:hAnsi="宋体" w:cs="宋体"/>
          <w:b/>
          <w:color w:val="auto"/>
          <w:szCs w:val="21"/>
          <w:highlight w:val="none"/>
          <w:u w:val="single"/>
        </w:rPr>
        <w:t>未达标准的，每人每处扣1-2分。</w:t>
      </w:r>
    </w:p>
    <w:p>
      <w:p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2、地面清扫保洁质量：标准参照文明创建标准，路面普扫率达100%，路面地面</w:t>
      </w:r>
      <w:r>
        <w:rPr>
          <w:rFonts w:hint="eastAsia" w:ascii="宋体" w:hAnsi="宋体" w:cs="宋体"/>
          <w:color w:val="auto"/>
          <w:szCs w:val="21"/>
          <w:highlight w:val="none"/>
          <w:lang w:val="en-US" w:eastAsia="zh-CN"/>
        </w:rPr>
        <w:t>绿化带</w:t>
      </w:r>
      <w:r>
        <w:rPr>
          <w:rFonts w:hint="eastAsia" w:ascii="宋体" w:hAnsi="宋体" w:cs="宋体"/>
          <w:color w:val="auto"/>
          <w:szCs w:val="21"/>
          <w:highlight w:val="none"/>
        </w:rPr>
        <w:t>要达到见本色和基本见本色，做到五无五净</w:t>
      </w:r>
      <w:r>
        <w:rPr>
          <w:rFonts w:hint="eastAsia" w:ascii="宋体" w:hAnsi="宋体" w:cs="宋体"/>
          <w:color w:val="auto"/>
          <w:szCs w:val="21"/>
          <w:highlight w:val="none"/>
          <w:lang w:eastAsia="zh-CN"/>
        </w:rPr>
        <w:t>，</w:t>
      </w:r>
      <w:r>
        <w:rPr>
          <w:rFonts w:hint="eastAsia" w:ascii="宋体" w:hAnsi="宋体" w:cs="宋体"/>
          <w:color w:val="auto"/>
          <w:szCs w:val="21"/>
          <w:highlight w:val="none"/>
        </w:rPr>
        <w:t>即（无果皮纸屑，无土石杂草，无积水积泥，无痰迹烟蒂，无堆积物</w:t>
      </w:r>
      <w:r>
        <w:rPr>
          <w:rFonts w:hint="eastAsia" w:ascii="宋体" w:hAnsi="宋体" w:cs="宋体"/>
          <w:color w:val="auto"/>
          <w:szCs w:val="21"/>
          <w:highlight w:val="none"/>
          <w:lang w:eastAsia="zh-CN"/>
        </w:rPr>
        <w:t>，</w:t>
      </w:r>
      <w:r>
        <w:rPr>
          <w:rFonts w:hint="eastAsia" w:ascii="宋体" w:hAnsi="宋体" w:cs="宋体"/>
          <w:color w:val="auto"/>
          <w:szCs w:val="21"/>
          <w:highlight w:val="none"/>
        </w:rPr>
        <w:t>路面干净，道路绿地树圈干净，边角侧石干净，窨井盖沟槽畅通干净，果壳箱等级环卫设施整齐干净）</w:t>
      </w:r>
      <w:r>
        <w:rPr>
          <w:rFonts w:hint="eastAsia" w:ascii="宋体" w:hAnsi="宋体" w:cs="宋体"/>
          <w:color w:val="auto"/>
          <w:szCs w:val="21"/>
          <w:highlight w:val="none"/>
          <w:lang w:eastAsia="zh-CN"/>
        </w:rPr>
        <w:t>。</w:t>
      </w:r>
      <w:r>
        <w:rPr>
          <w:rFonts w:hint="eastAsia" w:ascii="宋体" w:hAnsi="宋体" w:cs="宋体"/>
          <w:color w:val="auto"/>
          <w:szCs w:val="21"/>
          <w:highlight w:val="none"/>
        </w:rPr>
        <w:t>废弃物指标控制在浙江省建设厅2005-248号文件标准以内要求。</w:t>
      </w:r>
      <w:r>
        <w:rPr>
          <w:rFonts w:hint="eastAsia" w:ascii="宋体" w:hAnsi="宋体" w:cs="宋体"/>
          <w:b/>
          <w:color w:val="auto"/>
          <w:szCs w:val="21"/>
          <w:highlight w:val="none"/>
          <w:u w:val="single"/>
        </w:rPr>
        <w:t>未达标准的每次每处扣1-2分</w:t>
      </w:r>
      <w:r>
        <w:rPr>
          <w:rFonts w:hint="eastAsia" w:ascii="宋体" w:hAnsi="宋体" w:cs="宋体"/>
          <w:color w:val="auto"/>
          <w:szCs w:val="21"/>
          <w:highlight w:val="none"/>
        </w:rPr>
        <w:t>。</w:t>
      </w:r>
    </w:p>
    <w:p>
      <w:pPr>
        <w:tabs>
          <w:tab w:val="left" w:pos="0"/>
        </w:tabs>
        <w:spacing w:line="360" w:lineRule="auto"/>
        <w:ind w:left="141"/>
        <w:rPr>
          <w:rFonts w:ascii="宋体" w:hAnsi="宋体" w:cs="宋体"/>
          <w:color w:val="auto"/>
          <w:szCs w:val="21"/>
          <w:highlight w:val="none"/>
        </w:rPr>
      </w:pPr>
      <w:r>
        <w:rPr>
          <w:rFonts w:hint="eastAsia" w:ascii="宋体" w:hAnsi="宋体" w:cs="宋体"/>
          <w:color w:val="auto"/>
          <w:szCs w:val="21"/>
          <w:highlight w:val="none"/>
        </w:rPr>
        <w:t xml:space="preserve">  3、清扫保洁作业要求：</w:t>
      </w:r>
    </w:p>
    <w:p>
      <w:pPr>
        <w:tabs>
          <w:tab w:val="left" w:pos="0"/>
        </w:tabs>
        <w:spacing w:line="360" w:lineRule="auto"/>
        <w:ind w:left="724" w:leftChars="-48" w:hanging="825"/>
        <w:rPr>
          <w:rFonts w:ascii="宋体" w:hAnsi="宋体" w:cs="宋体"/>
          <w:b/>
          <w:color w:val="auto"/>
          <w:szCs w:val="21"/>
          <w:highlight w:val="none"/>
          <w:u w:val="single"/>
        </w:rPr>
      </w:pPr>
      <w:r>
        <w:rPr>
          <w:rFonts w:hint="eastAsia" w:ascii="宋体" w:hAnsi="宋体" w:cs="宋体"/>
          <w:color w:val="auto"/>
          <w:szCs w:val="21"/>
          <w:highlight w:val="none"/>
        </w:rPr>
        <w:t>（1）垃圾现堆现收，不漏扫不漏收，及时更换影响清扫质量的扫帚，并将清扫的垃圾运至指定的垃圾中转站倾倒，不得扫入窨井、河道、绿化带和空地内，不得焚烧垃圾。</w:t>
      </w:r>
      <w:r>
        <w:rPr>
          <w:rFonts w:hint="eastAsia" w:ascii="宋体" w:hAnsi="宋体" w:cs="宋体"/>
          <w:b/>
          <w:color w:val="auto"/>
          <w:szCs w:val="21"/>
          <w:highlight w:val="none"/>
          <w:u w:val="single"/>
        </w:rPr>
        <w:t>未达要求的，每次每处扣1-2分。</w:t>
      </w:r>
    </w:p>
    <w:p>
      <w:pPr>
        <w:tabs>
          <w:tab w:val="left" w:pos="0"/>
        </w:tabs>
        <w:spacing w:line="360" w:lineRule="auto"/>
        <w:ind w:left="675" w:hanging="675"/>
        <w:rPr>
          <w:rFonts w:ascii="宋体" w:hAnsi="宋体" w:cs="宋体"/>
          <w:b/>
          <w:color w:val="auto"/>
          <w:szCs w:val="21"/>
          <w:highlight w:val="none"/>
          <w:u w:val="single"/>
        </w:rPr>
      </w:pPr>
      <w:r>
        <w:rPr>
          <w:rFonts w:hint="eastAsia" w:ascii="宋体" w:hAnsi="宋体" w:cs="宋体"/>
          <w:color w:val="auto"/>
          <w:szCs w:val="21"/>
          <w:highlight w:val="none"/>
        </w:rPr>
        <w:t>（2）清扫保洁车密闭运输、无散落，要保持清洁，车辆靠边停放，保洁人员应遵守交通规则，不得阻碍交通。</w:t>
      </w:r>
      <w:r>
        <w:rPr>
          <w:rFonts w:hint="eastAsia" w:ascii="宋体" w:hAnsi="宋体" w:cs="宋体"/>
          <w:b/>
          <w:color w:val="auto"/>
          <w:szCs w:val="21"/>
          <w:highlight w:val="none"/>
          <w:u w:val="single"/>
        </w:rPr>
        <w:t>未达要求的，每次每处扣1-2分。</w:t>
      </w:r>
    </w:p>
    <w:p>
      <w:p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（3）道路两侧2米内有成堆垃圾的，</w:t>
      </w:r>
      <w:r>
        <w:rPr>
          <w:rFonts w:hint="eastAsia" w:ascii="宋体" w:hAnsi="宋体" w:cs="宋体"/>
          <w:b/>
          <w:color w:val="auto"/>
          <w:szCs w:val="21"/>
          <w:highlight w:val="none"/>
          <w:u w:val="single"/>
        </w:rPr>
        <w:t>每处扣1-2分</w:t>
      </w:r>
      <w:r>
        <w:rPr>
          <w:rFonts w:hint="eastAsia" w:ascii="宋体" w:hAnsi="宋体" w:cs="宋体"/>
          <w:color w:val="auto"/>
          <w:szCs w:val="21"/>
          <w:highlight w:val="none"/>
        </w:rPr>
        <w:t>。</w:t>
      </w:r>
    </w:p>
    <w:p>
      <w:p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（4）清扫保洁员必须按有关规定着反光安全标志服上岗。</w:t>
      </w:r>
      <w:r>
        <w:rPr>
          <w:rFonts w:hint="eastAsia" w:ascii="宋体" w:hAnsi="宋体" w:cs="宋体"/>
          <w:b/>
          <w:color w:val="auto"/>
          <w:szCs w:val="21"/>
          <w:highlight w:val="none"/>
          <w:u w:val="single"/>
        </w:rPr>
        <w:t>未达到的，每人每次扣1分。</w:t>
      </w:r>
    </w:p>
    <w:p>
      <w:pPr>
        <w:tabs>
          <w:tab w:val="left" w:pos="0"/>
        </w:tabs>
        <w:spacing w:line="360" w:lineRule="auto"/>
        <w:rPr>
          <w:rFonts w:ascii="宋体" w:hAnsi="宋体" w:cs="宋体"/>
          <w:b/>
          <w:color w:val="auto"/>
          <w:szCs w:val="21"/>
          <w:highlight w:val="none"/>
        </w:rPr>
      </w:pPr>
      <w:r>
        <w:rPr>
          <w:rFonts w:hint="eastAsia" w:ascii="宋体" w:hAnsi="宋体" w:cs="宋体"/>
          <w:b/>
          <w:color w:val="auto"/>
          <w:szCs w:val="21"/>
          <w:highlight w:val="none"/>
        </w:rPr>
        <w:t>（二）洒水</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冲洗、机扫作业要求</w:t>
      </w:r>
    </w:p>
    <w:p>
      <w:pPr>
        <w:tabs>
          <w:tab w:val="left" w:pos="0"/>
        </w:tabs>
        <w:spacing w:line="360" w:lineRule="auto"/>
        <w:ind w:left="712" w:hanging="405"/>
        <w:rPr>
          <w:rFonts w:ascii="宋体" w:hAnsi="宋体" w:cs="宋体"/>
          <w:b/>
          <w:color w:val="auto"/>
          <w:szCs w:val="21"/>
          <w:highlight w:val="none"/>
          <w:u w:val="single"/>
        </w:rPr>
      </w:pPr>
      <w:r>
        <w:rPr>
          <w:rFonts w:hint="eastAsia" w:ascii="宋体" w:hAnsi="宋体" w:cs="宋体"/>
          <w:color w:val="auto"/>
          <w:szCs w:val="21"/>
          <w:highlight w:val="none"/>
        </w:rPr>
        <w:t>1、作业人员应遵守交通规则，保持车辆车容整洁，文明作业，标志清晰。</w:t>
      </w:r>
      <w:r>
        <w:rPr>
          <w:rFonts w:hint="eastAsia" w:ascii="宋体" w:hAnsi="宋体" w:cs="宋体"/>
          <w:b/>
          <w:color w:val="auto"/>
          <w:szCs w:val="21"/>
          <w:highlight w:val="none"/>
          <w:u w:val="single"/>
        </w:rPr>
        <w:t>未达要求每次扣1-2分。</w:t>
      </w:r>
    </w:p>
    <w:p>
      <w:pPr>
        <w:tabs>
          <w:tab w:val="left" w:pos="0"/>
        </w:tabs>
        <w:spacing w:line="360" w:lineRule="auto"/>
        <w:ind w:left="712" w:hanging="405"/>
        <w:rPr>
          <w:rFonts w:ascii="宋体" w:hAnsi="宋体" w:cs="宋体"/>
          <w:color w:val="auto"/>
          <w:szCs w:val="21"/>
          <w:highlight w:val="none"/>
        </w:rPr>
      </w:pPr>
      <w:r>
        <w:rPr>
          <w:rFonts w:hint="eastAsia" w:ascii="宋体" w:hAnsi="宋体" w:cs="宋体"/>
          <w:color w:val="auto"/>
          <w:szCs w:val="21"/>
          <w:highlight w:val="none"/>
        </w:rPr>
        <w:t>2、洒水时间上午在9</w:t>
      </w:r>
      <w:r>
        <w:rPr>
          <w:rFonts w:hint="eastAsia" w:ascii="宋体" w:hAnsi="宋体" w:cs="宋体"/>
          <w:color w:val="auto"/>
          <w:szCs w:val="21"/>
          <w:highlight w:val="none"/>
          <w:lang w:val="en-US" w:eastAsia="zh-CN"/>
        </w:rPr>
        <w:t>时</w:t>
      </w:r>
      <w:r>
        <w:rPr>
          <w:rFonts w:hint="eastAsia" w:ascii="宋体" w:hAnsi="宋体" w:cs="宋体"/>
          <w:color w:val="auto"/>
          <w:szCs w:val="21"/>
          <w:highlight w:val="none"/>
        </w:rPr>
        <w:t>前完成，中午在12：00以后开始。冬季早晨3℃以下不洒水；洒水作业要控制水压和时速及冲洒效果，洒水时鸣放警示灯警示音乐避让行人。洒水时速每小时要控制在10公里以内，每台班不少于50公里。机扫时速每小时控制在10公里以内，每台班不少于40公里，机扫刷低于10厘米时应及时更换，要做到喷水压尘，保证质量效果。</w:t>
      </w:r>
      <w:r>
        <w:rPr>
          <w:rFonts w:hint="eastAsia" w:ascii="宋体" w:hAnsi="宋体" w:cs="宋体"/>
          <w:b/>
          <w:color w:val="auto"/>
          <w:szCs w:val="21"/>
          <w:highlight w:val="none"/>
          <w:u w:val="single"/>
        </w:rPr>
        <w:t>未达要求的每次每处扣1-3分</w:t>
      </w:r>
      <w:r>
        <w:rPr>
          <w:rFonts w:hint="eastAsia" w:ascii="宋体" w:hAnsi="宋体" w:cs="宋体"/>
          <w:color w:val="auto"/>
          <w:szCs w:val="21"/>
          <w:highlight w:val="none"/>
        </w:rPr>
        <w:t>。</w:t>
      </w:r>
    </w:p>
    <w:p>
      <w:pPr>
        <w:tabs>
          <w:tab w:val="left" w:pos="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（三）垃圾分类</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对收集人员要求每日两次收集，上午九点前完成，下午六点前完成，每次收集率达90%以上；收集过程中，对桶边卫生进行清扫保洁；车内垃圾桶按易腐、其他分类规定摆放，无满溢，无混装；</w:t>
      </w:r>
      <w:r>
        <w:rPr>
          <w:rFonts w:hint="eastAsia" w:ascii="宋体" w:hAnsi="宋体" w:cs="宋体"/>
          <w:b/>
          <w:color w:val="auto"/>
          <w:szCs w:val="21"/>
          <w:highlight w:val="none"/>
          <w:u w:val="single"/>
        </w:rPr>
        <w:t>未达要求每次扣1-2分。</w:t>
      </w:r>
    </w:p>
    <w:p>
      <w:pPr>
        <w:tabs>
          <w:tab w:val="left" w:pos="0"/>
        </w:tabs>
        <w:spacing w:line="360" w:lineRule="auto"/>
        <w:rPr>
          <w:rFonts w:ascii="宋体" w:hAnsi="宋体" w:cs="宋体"/>
          <w:b/>
          <w:color w:val="auto"/>
          <w:szCs w:val="21"/>
          <w:highlight w:val="none"/>
        </w:rPr>
      </w:pPr>
      <w:r>
        <w:rPr>
          <w:rFonts w:hint="eastAsia" w:ascii="宋体" w:hAnsi="宋体" w:cs="宋体"/>
          <w:b/>
          <w:color w:val="auto"/>
          <w:szCs w:val="21"/>
          <w:highlight w:val="none"/>
        </w:rPr>
        <w:t>（四）垃圾清运要求</w:t>
      </w:r>
    </w:p>
    <w:p>
      <w:pPr>
        <w:tabs>
          <w:tab w:val="left" w:pos="0"/>
        </w:tabs>
        <w:spacing w:line="360" w:lineRule="auto"/>
        <w:ind w:left="712" w:hanging="405"/>
        <w:rPr>
          <w:rFonts w:ascii="宋体" w:hAnsi="宋体" w:cs="宋体"/>
          <w:color w:val="auto"/>
          <w:szCs w:val="21"/>
          <w:highlight w:val="none"/>
        </w:rPr>
      </w:pPr>
      <w:r>
        <w:rPr>
          <w:rFonts w:hint="eastAsia" w:ascii="宋体" w:hAnsi="宋体" w:cs="宋体"/>
          <w:color w:val="auto"/>
          <w:szCs w:val="21"/>
          <w:highlight w:val="none"/>
        </w:rPr>
        <w:t>1、垃圾清运日产日清，垃圾清运要在上午</w:t>
      </w:r>
      <w:r>
        <w:rPr>
          <w:rFonts w:hint="eastAsia" w:ascii="宋体" w:hAnsi="宋体" w:cs="宋体"/>
          <w:color w:val="auto"/>
          <w:szCs w:val="21"/>
          <w:highlight w:val="none"/>
          <w:lang w:val="en-US" w:eastAsia="zh-CN"/>
        </w:rPr>
        <w:t>8:30</w:t>
      </w:r>
      <w:r>
        <w:rPr>
          <w:rFonts w:hint="eastAsia" w:ascii="宋体" w:hAnsi="宋体" w:cs="宋体"/>
          <w:color w:val="auto"/>
          <w:szCs w:val="21"/>
          <w:highlight w:val="none"/>
        </w:rPr>
        <w:t>前清运完毕，清运率100%；垃圾桶无满溢，如满溢要增加清运次数，保持四周干净、整洁。清理结束并随手盖好桶盖。</w:t>
      </w:r>
      <w:r>
        <w:rPr>
          <w:rFonts w:hint="eastAsia" w:ascii="宋体" w:hAnsi="宋体" w:cs="宋体"/>
          <w:b/>
          <w:color w:val="auto"/>
          <w:szCs w:val="21"/>
          <w:highlight w:val="none"/>
          <w:u w:val="single"/>
        </w:rPr>
        <w:t>未达要求的，每次每处扣1-5分</w:t>
      </w:r>
      <w:r>
        <w:rPr>
          <w:rFonts w:hint="eastAsia" w:ascii="宋体" w:hAnsi="宋体" w:cs="宋体"/>
          <w:color w:val="auto"/>
          <w:szCs w:val="21"/>
          <w:highlight w:val="none"/>
        </w:rPr>
        <w:t>。</w:t>
      </w:r>
    </w:p>
    <w:p>
      <w:pPr>
        <w:tabs>
          <w:tab w:val="left" w:pos="0"/>
        </w:tabs>
        <w:spacing w:line="360" w:lineRule="auto"/>
        <w:ind w:left="712" w:hanging="405"/>
        <w:rPr>
          <w:rFonts w:ascii="宋体" w:hAnsi="宋体" w:cs="宋体"/>
          <w:b/>
          <w:color w:val="auto"/>
          <w:szCs w:val="21"/>
          <w:highlight w:val="none"/>
          <w:u w:val="single"/>
        </w:rPr>
      </w:pPr>
      <w:r>
        <w:rPr>
          <w:rFonts w:hint="eastAsia" w:ascii="宋体" w:hAnsi="宋体" w:cs="宋体"/>
          <w:color w:val="auto"/>
          <w:szCs w:val="21"/>
          <w:highlight w:val="none"/>
        </w:rPr>
        <w:t>2、清运车辆保持清洁，密闭化运输，沿途无散落垃圾及滴漏污水。</w:t>
      </w:r>
      <w:r>
        <w:rPr>
          <w:rFonts w:hint="eastAsia" w:ascii="宋体" w:hAnsi="宋体" w:cs="宋体"/>
          <w:b/>
          <w:color w:val="auto"/>
          <w:szCs w:val="21"/>
          <w:highlight w:val="none"/>
          <w:u w:val="single"/>
        </w:rPr>
        <w:t>每次每处扣2-5分。</w:t>
      </w:r>
    </w:p>
    <w:p>
      <w:pPr>
        <w:tabs>
          <w:tab w:val="left" w:pos="0"/>
        </w:tabs>
        <w:spacing w:line="360" w:lineRule="auto"/>
        <w:ind w:left="705" w:hanging="405"/>
        <w:rPr>
          <w:rFonts w:ascii="宋体" w:hAnsi="宋体" w:cs="宋体"/>
          <w:b/>
          <w:color w:val="auto"/>
          <w:szCs w:val="21"/>
          <w:highlight w:val="none"/>
          <w:u w:val="single"/>
        </w:rPr>
      </w:pPr>
      <w:r>
        <w:rPr>
          <w:rFonts w:hint="eastAsia" w:ascii="宋体" w:hAnsi="宋体" w:cs="宋体"/>
          <w:color w:val="auto"/>
          <w:szCs w:val="21"/>
          <w:highlight w:val="none"/>
        </w:rPr>
        <w:t>3、将清运的垃圾送到指定的垃圾场地倾倒，或直运到垃圾处理场。</w:t>
      </w:r>
      <w:r>
        <w:rPr>
          <w:rFonts w:hint="eastAsia" w:ascii="宋体" w:hAnsi="宋体" w:cs="宋体"/>
          <w:b/>
          <w:color w:val="auto"/>
          <w:szCs w:val="21"/>
          <w:highlight w:val="none"/>
          <w:u w:val="single"/>
        </w:rPr>
        <w:t>垃圾乱倒的每次扣4-6分。</w:t>
      </w:r>
    </w:p>
    <w:p>
      <w:pPr>
        <w:tabs>
          <w:tab w:val="left" w:pos="0"/>
        </w:tabs>
        <w:spacing w:line="360" w:lineRule="auto"/>
        <w:ind w:left="712" w:hanging="405"/>
        <w:rPr>
          <w:rFonts w:ascii="宋体" w:hAnsi="宋体" w:cs="宋体"/>
          <w:color w:val="auto"/>
          <w:szCs w:val="21"/>
          <w:highlight w:val="none"/>
        </w:rPr>
      </w:pPr>
      <w:r>
        <w:rPr>
          <w:rFonts w:hint="eastAsia" w:ascii="宋体" w:hAnsi="宋体" w:cs="宋体"/>
          <w:color w:val="auto"/>
          <w:szCs w:val="21"/>
          <w:highlight w:val="none"/>
        </w:rPr>
        <w:t>4、所有车辆遵守交通规则，定期维修保养，不带病行驶和作业，作业完毕后及时入库。</w:t>
      </w:r>
      <w:r>
        <w:rPr>
          <w:rFonts w:hint="eastAsia" w:ascii="宋体" w:hAnsi="宋体" w:cs="宋体"/>
          <w:b/>
          <w:color w:val="auto"/>
          <w:szCs w:val="21"/>
          <w:highlight w:val="none"/>
          <w:u w:val="single"/>
        </w:rPr>
        <w:t>未达要求的，每次扣2分</w:t>
      </w:r>
      <w:r>
        <w:rPr>
          <w:rFonts w:hint="eastAsia" w:ascii="宋体" w:hAnsi="宋体" w:cs="宋体"/>
          <w:color w:val="auto"/>
          <w:szCs w:val="21"/>
          <w:highlight w:val="none"/>
        </w:rPr>
        <w:t>。</w:t>
      </w:r>
    </w:p>
    <w:p>
      <w:pPr>
        <w:tabs>
          <w:tab w:val="left" w:pos="0"/>
        </w:tabs>
        <w:spacing w:line="360" w:lineRule="auto"/>
        <w:ind w:left="762" w:hanging="405"/>
        <w:rPr>
          <w:rFonts w:ascii="宋体" w:hAnsi="宋体" w:cs="宋体"/>
          <w:b/>
          <w:color w:val="auto"/>
          <w:szCs w:val="21"/>
          <w:highlight w:val="none"/>
          <w:u w:val="single"/>
        </w:rPr>
      </w:pPr>
      <w:r>
        <w:rPr>
          <w:rFonts w:hint="eastAsia" w:ascii="宋体" w:hAnsi="宋体" w:cs="宋体"/>
          <w:color w:val="auto"/>
          <w:szCs w:val="21"/>
          <w:highlight w:val="none"/>
        </w:rPr>
        <w:t>5、路段内的垃圾桶必须要轮流冲洗，清洗前清除地面四周垃圾，要求桶体四周无污垢积尘，地面四周清洁，清理结束盖好桶盖。</w:t>
      </w:r>
      <w:r>
        <w:rPr>
          <w:rFonts w:hint="eastAsia" w:ascii="宋体" w:hAnsi="宋体" w:cs="宋体"/>
          <w:b/>
          <w:color w:val="auto"/>
          <w:szCs w:val="21"/>
          <w:highlight w:val="none"/>
          <w:u w:val="single"/>
        </w:rPr>
        <w:t>未达要求的，每次每处扣1分。</w:t>
      </w:r>
    </w:p>
    <w:p>
      <w:pPr>
        <w:tabs>
          <w:tab w:val="left" w:pos="0"/>
        </w:tabs>
        <w:spacing w:line="360" w:lineRule="auto"/>
        <w:rPr>
          <w:rFonts w:ascii="宋体" w:hAnsi="宋体" w:cs="宋体"/>
          <w:b/>
          <w:color w:val="auto"/>
          <w:szCs w:val="21"/>
          <w:highlight w:val="none"/>
        </w:rPr>
      </w:pPr>
      <w:r>
        <w:rPr>
          <w:rFonts w:hint="eastAsia" w:ascii="宋体" w:hAnsi="宋体" w:cs="宋体"/>
          <w:b/>
          <w:color w:val="auto"/>
          <w:szCs w:val="21"/>
          <w:highlight w:val="none"/>
        </w:rPr>
        <w:t>（五）内部管理考核（</w:t>
      </w:r>
      <w:r>
        <w:rPr>
          <w:rFonts w:hint="eastAsia" w:ascii="宋体" w:hAnsi="宋体" w:cs="宋体"/>
          <w:b/>
          <w:color w:val="auto"/>
          <w:szCs w:val="21"/>
          <w:highlight w:val="none"/>
          <w:u w:val="single"/>
        </w:rPr>
        <w:t>未达要求的，每项每次扣1-2分</w:t>
      </w:r>
      <w:r>
        <w:rPr>
          <w:rFonts w:hint="eastAsia" w:ascii="宋体" w:hAnsi="宋体" w:cs="宋体"/>
          <w:b/>
          <w:color w:val="auto"/>
          <w:szCs w:val="21"/>
          <w:highlight w:val="none"/>
        </w:rPr>
        <w:t>）</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1、承包单位要建立内部考核机制，完善管理制度。</w:t>
      </w:r>
    </w:p>
    <w:p>
      <w:pPr>
        <w:spacing w:line="360" w:lineRule="auto"/>
        <w:ind w:left="703" w:hanging="270"/>
        <w:rPr>
          <w:rFonts w:ascii="宋体" w:hAnsi="宋体" w:cs="宋体"/>
          <w:color w:val="auto"/>
          <w:szCs w:val="21"/>
          <w:highlight w:val="none"/>
        </w:rPr>
      </w:pPr>
      <w:r>
        <w:rPr>
          <w:rFonts w:hint="eastAsia" w:ascii="宋体" w:hAnsi="宋体" w:cs="宋体"/>
          <w:color w:val="auto"/>
          <w:szCs w:val="21"/>
          <w:highlight w:val="none"/>
        </w:rPr>
        <w:t>2、承包单位管理人员每天巡查不少于2次，管理人员要随清扫、清运保洁时间实行错时管理，检查必须有记录。</w:t>
      </w:r>
    </w:p>
    <w:p>
      <w:pPr>
        <w:spacing w:line="360" w:lineRule="auto"/>
        <w:ind w:left="703" w:hanging="270"/>
        <w:rPr>
          <w:rFonts w:ascii="宋体" w:hAnsi="宋体" w:cs="宋体"/>
          <w:color w:val="auto"/>
          <w:szCs w:val="21"/>
          <w:highlight w:val="none"/>
        </w:rPr>
      </w:pPr>
      <w:r>
        <w:rPr>
          <w:rFonts w:hint="eastAsia" w:ascii="宋体" w:hAnsi="宋体" w:cs="宋体"/>
          <w:color w:val="auto"/>
          <w:szCs w:val="21"/>
          <w:highlight w:val="none"/>
        </w:rPr>
        <w:t>3、按定额和合同条款，配足管理人员和清扫保洁人员，每月月初把上月的管理人员、一线保洁人员的花名册（包括姓名、工作路段各村人员等）上报环卫所。</w:t>
      </w:r>
    </w:p>
    <w:p>
      <w:pPr>
        <w:tabs>
          <w:tab w:val="left" w:pos="0"/>
        </w:tabs>
        <w:spacing w:line="360" w:lineRule="auto"/>
        <w:rPr>
          <w:rFonts w:ascii="宋体" w:hAnsi="宋体" w:cs="宋体"/>
          <w:b/>
          <w:color w:val="auto"/>
          <w:szCs w:val="21"/>
          <w:highlight w:val="none"/>
        </w:rPr>
      </w:pPr>
      <w:r>
        <w:rPr>
          <w:rFonts w:hint="eastAsia" w:ascii="宋体" w:hAnsi="宋体" w:cs="宋体"/>
          <w:b/>
          <w:color w:val="auto"/>
          <w:szCs w:val="21"/>
          <w:highlight w:val="none"/>
        </w:rPr>
        <w:t>（六）其它</w:t>
      </w:r>
    </w:p>
    <w:p>
      <w:pPr>
        <w:tabs>
          <w:tab w:val="left" w:pos="0"/>
        </w:tabs>
        <w:spacing w:line="360" w:lineRule="auto"/>
        <w:ind w:left="762" w:hanging="405"/>
        <w:rPr>
          <w:rFonts w:ascii="宋体" w:hAnsi="宋体" w:cs="宋体"/>
          <w:color w:val="auto"/>
          <w:szCs w:val="21"/>
          <w:highlight w:val="none"/>
        </w:rPr>
      </w:pPr>
      <w:r>
        <w:rPr>
          <w:rFonts w:hint="eastAsia" w:ascii="宋体" w:hAnsi="宋体" w:cs="宋体"/>
          <w:color w:val="auto"/>
          <w:szCs w:val="21"/>
          <w:highlight w:val="none"/>
        </w:rPr>
        <w:t>1、接到投诉电话和新闻舆论等举报投诉后，应在半小时内处理完毕，并作好信息反馈。</w:t>
      </w:r>
      <w:r>
        <w:rPr>
          <w:rFonts w:hint="eastAsia" w:ascii="宋体" w:hAnsi="宋体" w:cs="宋体"/>
          <w:b/>
          <w:color w:val="auto"/>
          <w:szCs w:val="21"/>
          <w:highlight w:val="none"/>
          <w:u w:val="single"/>
        </w:rPr>
        <w:t>投诉不处理的或未完成整改任务的，每次扣10分；处理后无反馈的，每次扣2分</w:t>
      </w:r>
      <w:r>
        <w:rPr>
          <w:rFonts w:hint="eastAsia" w:ascii="宋体" w:hAnsi="宋体" w:cs="宋体"/>
          <w:color w:val="auto"/>
          <w:szCs w:val="21"/>
          <w:highlight w:val="none"/>
        </w:rPr>
        <w:t>。</w:t>
      </w:r>
    </w:p>
    <w:p>
      <w:pPr>
        <w:tabs>
          <w:tab w:val="left" w:pos="0"/>
        </w:tabs>
        <w:spacing w:line="360" w:lineRule="auto"/>
        <w:ind w:left="762" w:hanging="405"/>
        <w:rPr>
          <w:rFonts w:ascii="宋体" w:hAnsi="宋体" w:cs="宋体"/>
          <w:b/>
          <w:color w:val="auto"/>
          <w:szCs w:val="21"/>
          <w:highlight w:val="none"/>
          <w:u w:val="single"/>
        </w:rPr>
      </w:pPr>
      <w:r>
        <w:rPr>
          <w:rFonts w:hint="eastAsia" w:ascii="宋体" w:hAnsi="宋体" w:cs="宋体"/>
          <w:color w:val="auto"/>
          <w:szCs w:val="21"/>
          <w:highlight w:val="none"/>
        </w:rPr>
        <w:t>2、遇到上级检查或有临时突击任务时，应服从安排管理，按规定及时完成下达的任务。未达到</w:t>
      </w:r>
      <w:r>
        <w:rPr>
          <w:rFonts w:hint="eastAsia" w:ascii="宋体" w:hAnsi="宋体" w:cs="宋体"/>
          <w:b/>
          <w:color w:val="auto"/>
          <w:szCs w:val="21"/>
          <w:highlight w:val="none"/>
          <w:u w:val="single"/>
        </w:rPr>
        <w:t>要求的，每次扣1-10分。</w:t>
      </w:r>
    </w:p>
    <w:p>
      <w:pPr>
        <w:tabs>
          <w:tab w:val="left" w:pos="0"/>
        </w:tabs>
        <w:spacing w:line="360" w:lineRule="auto"/>
        <w:ind w:left="762" w:hanging="405"/>
        <w:rPr>
          <w:rFonts w:ascii="宋体" w:hAnsi="宋体" w:cs="宋体"/>
          <w:color w:val="auto"/>
          <w:szCs w:val="21"/>
          <w:highlight w:val="none"/>
        </w:rPr>
      </w:pPr>
      <w:r>
        <w:rPr>
          <w:rFonts w:hint="eastAsia" w:ascii="宋体" w:hAnsi="宋体" w:cs="宋体"/>
          <w:color w:val="auto"/>
          <w:szCs w:val="21"/>
          <w:highlight w:val="none"/>
        </w:rPr>
        <w:t>3、人员到岗率达100%。未按定额规定配足人员造成卫生质量下降的，按下拨人员经费双倍扣款。</w:t>
      </w:r>
    </w:p>
    <w:p>
      <w:pPr>
        <w:tabs>
          <w:tab w:val="left" w:pos="0"/>
        </w:tabs>
        <w:spacing w:line="360" w:lineRule="auto"/>
        <w:ind w:left="762" w:hanging="405"/>
        <w:rPr>
          <w:rFonts w:ascii="宋体" w:hAnsi="宋体" w:cs="宋体"/>
          <w:color w:val="auto"/>
          <w:szCs w:val="21"/>
          <w:highlight w:val="none"/>
        </w:rPr>
      </w:pPr>
      <w:r>
        <w:rPr>
          <w:rFonts w:hint="eastAsia" w:ascii="宋体" w:hAnsi="宋体" w:cs="宋体"/>
          <w:color w:val="auto"/>
          <w:szCs w:val="21"/>
          <w:highlight w:val="none"/>
        </w:rPr>
        <w:t>4、做好采购人交办的其他事项。</w:t>
      </w:r>
    </w:p>
    <w:p>
      <w:pPr>
        <w:tabs>
          <w:tab w:val="left" w:pos="0"/>
        </w:tabs>
        <w:spacing w:line="360" w:lineRule="auto"/>
        <w:ind w:left="762" w:hanging="405"/>
        <w:rPr>
          <w:rFonts w:ascii="宋体" w:hAnsi="宋体" w:cs="宋体"/>
          <w:color w:val="auto"/>
          <w:szCs w:val="21"/>
          <w:highlight w:val="none"/>
        </w:rPr>
      </w:pPr>
      <w:r>
        <w:rPr>
          <w:rFonts w:hint="eastAsia" w:ascii="宋体" w:hAnsi="宋体" w:cs="宋体"/>
          <w:color w:val="auto"/>
          <w:szCs w:val="21"/>
          <w:highlight w:val="none"/>
        </w:rPr>
        <w:t>5、市级检查被通报批评的每次罚款2000元，区级检查被通报批评的每次罚款1000元，街道级检查被通报批评的每次罚款500元，连续三次以上通报批评，罚款5000元。</w:t>
      </w:r>
    </w:p>
    <w:p>
      <w:pPr>
        <w:tabs>
          <w:tab w:val="left" w:pos="0"/>
        </w:tabs>
        <w:spacing w:line="360" w:lineRule="auto"/>
        <w:ind w:left="762" w:hanging="405"/>
        <w:rPr>
          <w:rFonts w:ascii="宋体" w:hAnsi="宋体" w:cs="宋体"/>
          <w:color w:val="auto"/>
          <w:szCs w:val="21"/>
          <w:highlight w:val="none"/>
        </w:rPr>
      </w:pPr>
      <w:r>
        <w:rPr>
          <w:rFonts w:hint="eastAsia" w:ascii="宋体" w:hAnsi="宋体" w:cs="宋体"/>
          <w:color w:val="auto"/>
          <w:szCs w:val="21"/>
          <w:highlight w:val="none"/>
        </w:rPr>
        <w:t>6、承包单位在承包期内，出现环卫工人集体上访的或遇省级及以上检查被通报批评并评定为不合格的，当月考核不合格，并且</w:t>
      </w:r>
      <w:r>
        <w:rPr>
          <w:rFonts w:hint="eastAsia" w:ascii="宋体" w:hAnsi="宋体" w:cs="宋体"/>
          <w:color w:val="auto"/>
          <w:szCs w:val="21"/>
          <w:highlight w:val="none"/>
          <w:shd w:val="clear" w:color="auto" w:fill="FFFFFF"/>
        </w:rPr>
        <w:t>采购人有权终止合同，次月清退承包单位，</w:t>
      </w:r>
      <w:r>
        <w:rPr>
          <w:rFonts w:hint="eastAsia" w:ascii="宋体" w:hAnsi="宋体" w:cs="宋体"/>
          <w:color w:val="auto"/>
          <w:szCs w:val="21"/>
          <w:highlight w:val="none"/>
        </w:rPr>
        <w:t>今后不得参加本区域内的环卫保洁招标项目。</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（七）、奖励措施</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能完成上级布置的各项任务，成绩特别优秀的，从年扣款总额中给予一定的奖励。</w:t>
      </w:r>
    </w:p>
    <w:p>
      <w:pPr>
        <w:tabs>
          <w:tab w:val="left" w:pos="0"/>
        </w:tabs>
        <w:spacing w:line="360" w:lineRule="auto"/>
        <w:rPr>
          <w:rFonts w:ascii="宋体" w:hAnsi="宋体" w:cs="宋体"/>
          <w:b/>
          <w:color w:val="auto"/>
          <w:szCs w:val="21"/>
          <w:highlight w:val="none"/>
        </w:rPr>
      </w:pPr>
      <w:r>
        <w:rPr>
          <w:rFonts w:hint="eastAsia" w:ascii="宋体" w:hAnsi="宋体" w:cs="宋体"/>
          <w:b/>
          <w:color w:val="auto"/>
          <w:szCs w:val="21"/>
          <w:highlight w:val="none"/>
        </w:rPr>
        <w:t>（八）、本办法作为承包合同的附件，与合同同时实施。</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附：l、对外承包清扫保洁、垃圾清运考核登记表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2、清扫保洁、垃圾清运对外承包考核报表</w:t>
      </w:r>
    </w:p>
    <w:p>
      <w:pPr>
        <w:pStyle w:val="12"/>
        <w:adjustRightInd w:val="0"/>
        <w:snapToGrid w:val="0"/>
        <w:spacing w:line="360" w:lineRule="auto"/>
        <w:ind w:firstLine="1470" w:firstLineChars="700"/>
        <w:rPr>
          <w:rFonts w:hAnsi="宋体" w:cs="宋体"/>
          <w:color w:val="auto"/>
          <w:szCs w:val="21"/>
          <w:highlight w:val="none"/>
        </w:rPr>
      </w:pPr>
    </w:p>
    <w:p>
      <w:pPr>
        <w:pStyle w:val="12"/>
        <w:adjustRightInd w:val="0"/>
        <w:snapToGrid w:val="0"/>
        <w:spacing w:line="360" w:lineRule="auto"/>
        <w:ind w:firstLine="1470" w:firstLineChars="700"/>
        <w:rPr>
          <w:rFonts w:hAnsi="宋体" w:cs="宋体"/>
          <w:color w:val="auto"/>
          <w:szCs w:val="21"/>
          <w:highlight w:val="none"/>
        </w:rPr>
      </w:pPr>
      <w:r>
        <w:rPr>
          <w:rFonts w:hint="eastAsia" w:hAnsi="宋体" w:cs="宋体"/>
          <w:color w:val="auto"/>
          <w:szCs w:val="21"/>
          <w:highlight w:val="none"/>
        </w:rPr>
        <w:t>附件1：对外承诺垃圾分类、清扫保洁、垃圾清运考核登记表</w:t>
      </w:r>
    </w:p>
    <w:p>
      <w:pPr>
        <w:tabs>
          <w:tab w:val="left" w:pos="0"/>
        </w:tabs>
        <w:spacing w:line="360" w:lineRule="auto"/>
        <w:ind w:firstLine="132"/>
        <w:rPr>
          <w:rFonts w:ascii="宋体" w:hAnsi="宋体" w:cs="宋体"/>
          <w:color w:val="auto"/>
          <w:szCs w:val="21"/>
          <w:highlight w:val="none"/>
        </w:rPr>
      </w:pPr>
      <w:r>
        <w:rPr>
          <w:rFonts w:hint="eastAsia" w:ascii="宋体" w:hAnsi="宋体" w:cs="宋体"/>
          <w:color w:val="auto"/>
          <w:szCs w:val="21"/>
          <w:highlight w:val="none"/>
        </w:rPr>
        <w:t>承包单位：                                                日期：</w:t>
      </w:r>
    </w:p>
    <w:tbl>
      <w:tblPr>
        <w:tblStyle w:val="22"/>
        <w:tblW w:w="0" w:type="auto"/>
        <w:jc w:val="center"/>
        <w:tblLayout w:type="fixed"/>
        <w:tblCellMar>
          <w:top w:w="0" w:type="dxa"/>
          <w:left w:w="108" w:type="dxa"/>
          <w:bottom w:w="0" w:type="dxa"/>
          <w:right w:w="108" w:type="dxa"/>
        </w:tblCellMar>
      </w:tblPr>
      <w:tblGrid>
        <w:gridCol w:w="486"/>
        <w:gridCol w:w="633"/>
        <w:gridCol w:w="615"/>
        <w:gridCol w:w="1271"/>
        <w:gridCol w:w="720"/>
        <w:gridCol w:w="938"/>
        <w:gridCol w:w="911"/>
        <w:gridCol w:w="1595"/>
        <w:gridCol w:w="645"/>
        <w:gridCol w:w="1042"/>
      </w:tblGrid>
      <w:tr>
        <w:tblPrEx>
          <w:tblCellMar>
            <w:top w:w="0" w:type="dxa"/>
            <w:left w:w="108" w:type="dxa"/>
            <w:bottom w:w="0" w:type="dxa"/>
            <w:right w:w="108" w:type="dxa"/>
          </w:tblCellMar>
        </w:tblPrEx>
        <w:trPr>
          <w:trHeight w:val="375"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63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村名路名</w:t>
            </w:r>
          </w:p>
        </w:tc>
        <w:tc>
          <w:tcPr>
            <w:tcW w:w="61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保洁姓名</w:t>
            </w:r>
          </w:p>
        </w:tc>
        <w:tc>
          <w:tcPr>
            <w:tcW w:w="127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现场具体位置</w:t>
            </w:r>
          </w:p>
        </w:tc>
        <w:tc>
          <w:tcPr>
            <w:tcW w:w="4809" w:type="dxa"/>
            <w:gridSpan w:val="5"/>
            <w:tcBorders>
              <w:top w:val="single" w:color="000000" w:sz="4" w:space="0"/>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检查结果</w:t>
            </w:r>
          </w:p>
        </w:tc>
        <w:tc>
          <w:tcPr>
            <w:tcW w:w="104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CellMar>
            <w:top w:w="0" w:type="dxa"/>
            <w:left w:w="108" w:type="dxa"/>
            <w:bottom w:w="0" w:type="dxa"/>
            <w:right w:w="108" w:type="dxa"/>
          </w:tblCellMar>
        </w:tblPrEx>
        <w:trPr>
          <w:trHeight w:val="375"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p>
        </w:tc>
        <w:tc>
          <w:tcPr>
            <w:tcW w:w="127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达标</w:t>
            </w: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基本达标</w:t>
            </w: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不达标</w:t>
            </w: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存在问题</w:t>
            </w: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扣分</w:t>
            </w:r>
          </w:p>
        </w:tc>
        <w:tc>
          <w:tcPr>
            <w:tcW w:w="104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486"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33" w:type="dxa"/>
            <w:tcBorders>
              <w:top w:val="nil"/>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1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7" w:hRule="atLeast"/>
          <w:jc w:val="center"/>
        </w:trPr>
        <w:tc>
          <w:tcPr>
            <w:tcW w:w="1734"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127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720"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38"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911"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59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645"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c>
          <w:tcPr>
            <w:tcW w:w="1042" w:type="dxa"/>
            <w:tcBorders>
              <w:top w:val="nil"/>
              <w:left w:val="nil"/>
              <w:bottom w:val="single" w:color="000000" w:sz="4" w:space="0"/>
              <w:right w:val="single" w:color="000000" w:sz="4" w:space="0"/>
            </w:tcBorders>
            <w:noWrap/>
            <w:vAlign w:val="center"/>
          </w:tcPr>
          <w:p>
            <w:pPr>
              <w:spacing w:line="360" w:lineRule="auto"/>
              <w:jc w:val="center"/>
              <w:rPr>
                <w:rFonts w:ascii="宋体" w:hAnsi="宋体" w:cs="宋体"/>
                <w:color w:val="auto"/>
                <w:szCs w:val="21"/>
                <w:highlight w:val="none"/>
              </w:rPr>
            </w:pPr>
          </w:p>
        </w:tc>
      </w:tr>
    </w:tbl>
    <w:p>
      <w:pPr>
        <w:tabs>
          <w:tab w:val="left" w:pos="0"/>
        </w:tabs>
        <w:spacing w:line="360" w:lineRule="auto"/>
        <w:ind w:firstLine="132"/>
        <w:rPr>
          <w:rFonts w:ascii="宋体" w:hAnsi="宋体" w:cs="宋体"/>
          <w:color w:val="auto"/>
          <w:szCs w:val="21"/>
          <w:highlight w:val="none"/>
        </w:rPr>
      </w:pPr>
      <w:r>
        <w:rPr>
          <w:rFonts w:hint="eastAsia" w:ascii="宋体" w:hAnsi="宋体" w:cs="宋体"/>
          <w:color w:val="auto"/>
          <w:szCs w:val="21"/>
          <w:highlight w:val="none"/>
        </w:rPr>
        <w:t>注：扣分项目必须附现场取证照片或承包单位相关人员现场签字。</w:t>
      </w:r>
    </w:p>
    <w:p>
      <w:pPr>
        <w:tabs>
          <w:tab w:val="left" w:pos="0"/>
        </w:tabs>
        <w:spacing w:line="360" w:lineRule="auto"/>
        <w:ind w:firstLine="132"/>
        <w:rPr>
          <w:rFonts w:ascii="宋体" w:hAnsi="宋体" w:cs="宋体"/>
          <w:color w:val="auto"/>
          <w:szCs w:val="21"/>
          <w:highlight w:val="none"/>
        </w:rPr>
      </w:pPr>
      <w:r>
        <w:rPr>
          <w:rFonts w:hint="eastAsia" w:ascii="宋体" w:hAnsi="宋体" w:cs="宋体"/>
          <w:color w:val="auto"/>
          <w:szCs w:val="21"/>
          <w:highlight w:val="none"/>
        </w:rPr>
        <w:t>检查人员签名：                                 承包单位签字：</w:t>
      </w:r>
    </w:p>
    <w:p>
      <w:pPr>
        <w:pStyle w:val="12"/>
        <w:adjustRightInd w:val="0"/>
        <w:snapToGrid w:val="0"/>
        <w:spacing w:line="360" w:lineRule="auto"/>
        <w:ind w:firstLine="1470" w:firstLineChars="700"/>
        <w:rPr>
          <w:rFonts w:hAnsi="宋体" w:cs="宋体"/>
          <w:color w:val="auto"/>
          <w:szCs w:val="21"/>
          <w:highlight w:val="none"/>
        </w:rPr>
      </w:pPr>
    </w:p>
    <w:p>
      <w:pPr>
        <w:pStyle w:val="12"/>
        <w:adjustRightInd w:val="0"/>
        <w:snapToGrid w:val="0"/>
        <w:spacing w:line="360" w:lineRule="auto"/>
        <w:ind w:firstLine="1470" w:firstLineChars="700"/>
        <w:rPr>
          <w:rFonts w:hAnsi="宋体" w:cs="宋体"/>
          <w:color w:val="auto"/>
          <w:szCs w:val="21"/>
          <w:highlight w:val="none"/>
        </w:rPr>
      </w:pPr>
    </w:p>
    <w:p>
      <w:pPr>
        <w:pStyle w:val="12"/>
        <w:adjustRightInd w:val="0"/>
        <w:snapToGrid w:val="0"/>
        <w:spacing w:line="360" w:lineRule="auto"/>
        <w:ind w:firstLine="1470" w:firstLineChars="700"/>
        <w:rPr>
          <w:rFonts w:hAnsi="宋体" w:cs="宋体"/>
          <w:color w:val="auto"/>
          <w:szCs w:val="21"/>
          <w:highlight w:val="none"/>
        </w:rPr>
      </w:pPr>
    </w:p>
    <w:p>
      <w:pPr>
        <w:pStyle w:val="12"/>
        <w:adjustRightInd w:val="0"/>
        <w:snapToGrid w:val="0"/>
        <w:spacing w:line="360" w:lineRule="auto"/>
        <w:ind w:firstLine="1470" w:firstLineChars="700"/>
        <w:rPr>
          <w:rFonts w:hAnsi="宋体" w:cs="宋体"/>
          <w:color w:val="auto"/>
          <w:szCs w:val="21"/>
          <w:highlight w:val="none"/>
        </w:rPr>
      </w:pPr>
    </w:p>
    <w:p>
      <w:pPr>
        <w:pStyle w:val="12"/>
        <w:adjustRightInd w:val="0"/>
        <w:snapToGrid w:val="0"/>
        <w:spacing w:line="360" w:lineRule="auto"/>
        <w:ind w:firstLine="1470" w:firstLineChars="700"/>
        <w:rPr>
          <w:rFonts w:hAnsi="宋体" w:cs="宋体"/>
          <w:color w:val="auto"/>
          <w:szCs w:val="21"/>
          <w:highlight w:val="none"/>
        </w:rPr>
      </w:pPr>
      <w:r>
        <w:rPr>
          <w:rFonts w:hint="eastAsia" w:hAnsi="宋体" w:cs="宋体"/>
          <w:color w:val="auto"/>
          <w:szCs w:val="21"/>
          <w:highlight w:val="none"/>
        </w:rPr>
        <w:t>附件2：清扫保洁、垃圾清运对外承包考核月报表</w:t>
      </w:r>
    </w:p>
    <w:p>
      <w:pPr>
        <w:tabs>
          <w:tab w:val="left" w:pos="0"/>
        </w:tabs>
        <w:spacing w:line="360" w:lineRule="auto"/>
        <w:jc w:val="right"/>
        <w:rPr>
          <w:rFonts w:ascii="宋体" w:hAnsi="宋体" w:cs="宋体"/>
          <w:b/>
          <w:color w:val="auto"/>
          <w:szCs w:val="21"/>
          <w:highlight w:val="none"/>
        </w:rPr>
      </w:pPr>
      <w:r>
        <w:rPr>
          <w:rFonts w:hint="eastAsia" w:ascii="宋体" w:hAnsi="宋体" w:cs="宋体"/>
          <w:color w:val="auto"/>
          <w:szCs w:val="21"/>
          <w:highlight w:val="none"/>
        </w:rPr>
        <w:t>（       年    月）</w:t>
      </w:r>
    </w:p>
    <w:tbl>
      <w:tblPr>
        <w:tblStyle w:val="22"/>
        <w:tblW w:w="0" w:type="auto"/>
        <w:jc w:val="center"/>
        <w:tblLayout w:type="fixed"/>
        <w:tblCellMar>
          <w:top w:w="0" w:type="dxa"/>
          <w:left w:w="108" w:type="dxa"/>
          <w:bottom w:w="0" w:type="dxa"/>
          <w:right w:w="108" w:type="dxa"/>
        </w:tblCellMar>
      </w:tblPr>
      <w:tblGrid>
        <w:gridCol w:w="486"/>
        <w:gridCol w:w="1491"/>
        <w:gridCol w:w="2119"/>
        <w:gridCol w:w="511"/>
        <w:gridCol w:w="1026"/>
        <w:gridCol w:w="805"/>
        <w:gridCol w:w="587"/>
        <w:gridCol w:w="1026"/>
        <w:gridCol w:w="805"/>
      </w:tblGrid>
      <w:tr>
        <w:tblPrEx>
          <w:tblCellMar>
            <w:top w:w="0" w:type="dxa"/>
            <w:left w:w="108" w:type="dxa"/>
            <w:bottom w:w="0" w:type="dxa"/>
            <w:right w:w="108" w:type="dxa"/>
          </w:tblCellMar>
        </w:tblPrEx>
        <w:trPr>
          <w:trHeight w:val="85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承包单位</w:t>
            </w: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月总扣分</w:t>
            </w: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月扣款（元）</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达标率</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奖励金额（元）</w:t>
            </w: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CellMar>
            <w:top w:w="0" w:type="dxa"/>
            <w:left w:w="108" w:type="dxa"/>
            <w:bottom w:w="0" w:type="dxa"/>
            <w:right w:w="108" w:type="dxa"/>
          </w:tblCellMar>
        </w:tblPrEx>
        <w:trPr>
          <w:trHeight w:val="34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65"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01"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390"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11" w:hRule="atLeast"/>
          <w:jc w:val="center"/>
        </w:trPr>
        <w:tc>
          <w:tcPr>
            <w:tcW w:w="48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49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403" w:hRule="atLeast"/>
          <w:jc w:val="center"/>
        </w:trPr>
        <w:tc>
          <w:tcPr>
            <w:tcW w:w="1977" w:type="dxa"/>
            <w:gridSpan w:val="2"/>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   计</w:t>
            </w:r>
          </w:p>
        </w:tc>
        <w:tc>
          <w:tcPr>
            <w:tcW w:w="2119"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11"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ign w:val="center"/>
          </w:tcPr>
          <w:p>
            <w:pPr>
              <w:tabs>
                <w:tab w:val="left" w:pos="0"/>
              </w:tabs>
              <w:spacing w:line="360" w:lineRule="auto"/>
              <w:jc w:val="center"/>
              <w:rPr>
                <w:rFonts w:ascii="宋体" w:hAnsi="宋体" w:cs="宋体"/>
                <w:color w:val="auto"/>
                <w:szCs w:val="21"/>
                <w:highlight w:val="none"/>
              </w:rPr>
            </w:pPr>
          </w:p>
        </w:tc>
      </w:tr>
    </w:tbl>
    <w:p>
      <w:pPr>
        <w:tabs>
          <w:tab w:val="left" w:pos="0"/>
        </w:tabs>
        <w:spacing w:line="360" w:lineRule="auto"/>
        <w:rPr>
          <w:rFonts w:ascii="宋体" w:hAnsi="宋体" w:cs="宋体"/>
          <w:color w:val="auto"/>
          <w:szCs w:val="21"/>
          <w:highlight w:val="none"/>
        </w:rPr>
      </w:pPr>
      <w:r>
        <w:rPr>
          <w:rFonts w:hint="eastAsia" w:ascii="宋体" w:hAnsi="宋体" w:cs="宋体"/>
          <w:color w:val="auto"/>
          <w:szCs w:val="21"/>
          <w:highlight w:val="none"/>
        </w:rPr>
        <w:t>制表人：                       考核组组长：                负责人：</w:t>
      </w:r>
    </w:p>
    <w:p>
      <w:pPr>
        <w:tabs>
          <w:tab w:val="left" w:pos="0"/>
        </w:tabs>
        <w:spacing w:line="360" w:lineRule="auto"/>
        <w:rPr>
          <w:rFonts w:ascii="宋体" w:hAnsi="宋体" w:cs="宋体"/>
          <w:b/>
          <w:bCs/>
          <w:color w:val="auto"/>
          <w:szCs w:val="21"/>
          <w:highlight w:val="none"/>
        </w:rPr>
      </w:pPr>
      <w:r>
        <w:rPr>
          <w:rFonts w:hint="eastAsia" w:ascii="宋体" w:hAnsi="宋体" w:cs="宋体"/>
          <w:color w:val="auto"/>
          <w:szCs w:val="21"/>
          <w:highlight w:val="none"/>
        </w:rPr>
        <w:t>督查科：                       分管领导：</w:t>
      </w:r>
    </w:p>
    <w:p>
      <w:pPr>
        <w:pStyle w:val="56"/>
        <w:rPr>
          <w:color w:val="auto"/>
          <w:highlight w:val="none"/>
          <w:lang w:val="en-US"/>
        </w:rPr>
      </w:pPr>
    </w:p>
    <w:p>
      <w:pPr>
        <w:adjustRightInd w:val="0"/>
        <w:spacing w:before="156" w:line="360" w:lineRule="auto"/>
        <w:outlineLvl w:val="1"/>
        <w:rPr>
          <w:rFonts w:cs="Arial"/>
          <w:b/>
          <w:bCs/>
          <w:color w:val="auto"/>
          <w:highlight w:val="none"/>
        </w:rPr>
      </w:pPr>
      <w:r>
        <w:rPr>
          <w:rFonts w:hint="eastAsia" w:cs="Arial"/>
          <w:b/>
          <w:bCs/>
          <w:color w:val="auto"/>
          <w:highlight w:val="none"/>
        </w:rPr>
        <w:t>八、其他</w:t>
      </w:r>
      <w:r>
        <w:rPr>
          <w:rFonts w:cs="Arial"/>
          <w:b/>
          <w:bCs/>
          <w:color w:val="auto"/>
          <w:highlight w:val="none"/>
        </w:rPr>
        <w:t>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1、付款方式：</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（1）费用按月结算，承包单位须在每月10日前提供上个月有效发票，采购方根据上个月考核情况，扣除考核扣款后拨付承包费。</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（2）承包单位不及时提供采购方所需数据、发票等，采购方可延期付款。</w:t>
      </w:r>
    </w:p>
    <w:p>
      <w:pPr>
        <w:tabs>
          <w:tab w:val="left" w:pos="0"/>
        </w:tabs>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（3）承包单位各类清扫保洁人员、垃圾清运人员等一线用工按采购方核定的人员数量配足到岗，若</w:t>
      </w:r>
      <w:r>
        <w:rPr>
          <w:rFonts w:hint="eastAsia" w:ascii="宋体" w:hAnsi="宋体" w:cs="宋体"/>
          <w:color w:val="auto"/>
          <w:szCs w:val="21"/>
          <w:highlight w:val="none"/>
          <w:u w:val="single"/>
        </w:rPr>
        <w:t>未按定额规定配足人员造成卫生质量下降的，按下拨人员经费双倍扣款。</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承包单位所用员工自行向社会招聘，但录用的员工要求年满18周岁，其中男员工60周岁以下，女员工55周岁以下，管理技术人员可适当放宽年龄，身体健康，必须与员工签订书面劳动（劳务）合同。未按规定要求用工的，一切责任承包单位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rPr>
        <w:t>（5）除承包单位管理考核扣罚情况外，承包单位应按时、足额向用工人员支付相应的劳动报酬以及各类加班费、补贴、福利、保险等，保障用工者的合法权益。一经发现承包单位欠薪，承包单位应向采购方支付按所欠薪酬的双倍计付的违约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2、履约保证金：</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合同签订前，承包单位需向采购方交纳合同价的5％作为履约保证金，本合同到期后，承包单位若无任何欠薪、欠款或违反合同行为的，合同期满30天内全额返还合同履约保证金(不计息)，履约保证金提交方式包含保险、担保等形式。如合同实施期内承包单位未按照要求履行合同则履约保证金不予退还。在合同实施期内如因中标方原因造成采购方财产损失的，采购方有权在履约保证金中扣除。</w:t>
      </w:r>
    </w:p>
    <w:p>
      <w:pPr>
        <w:autoSpaceDN w:val="0"/>
        <w:spacing w:line="360" w:lineRule="auto"/>
        <w:rPr>
          <w:rFonts w:asciiTheme="minorEastAsia" w:hAnsiTheme="minorEastAsia" w:eastAsiaTheme="minorEastAsia" w:cstheme="minorEastAsia"/>
          <w:b/>
          <w:color w:val="auto"/>
          <w:szCs w:val="21"/>
          <w:highlight w:val="none"/>
        </w:rPr>
      </w:pPr>
    </w:p>
    <w:p>
      <w:pPr>
        <w:autoSpaceDN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本项目中标（成交）供应商应在浙江政府采购网（http://zfcg.czt.zj.gov.cn/）上注册成为“政府采购供应商”，如不按要求注册的，采购方有权延期发布中标（成交）通知书和中标（成交）公告，后果由供应商自行承担。</w:t>
      </w:r>
    </w:p>
    <w:p>
      <w:pPr>
        <w:autoSpaceDN w:val="0"/>
        <w:spacing w:line="360" w:lineRule="auto"/>
        <w:rPr>
          <w:rFonts w:asciiTheme="minorEastAsia" w:hAnsiTheme="minorEastAsia" w:eastAsiaTheme="minorEastAsia" w:cstheme="minorEastAsia"/>
          <w:b/>
          <w:color w:val="auto"/>
          <w:szCs w:val="21"/>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第五章 政府采购合同主要条款</w:t>
      </w:r>
    </w:p>
    <w:p>
      <w:pPr>
        <w:pStyle w:val="51"/>
        <w:jc w:val="center"/>
        <w:rPr>
          <w:rFonts w:ascii="Times New Roman" w:hAnsi="宋体"/>
          <w:color w:val="auto"/>
          <w:kern w:val="2"/>
          <w:sz w:val="21"/>
          <w:szCs w:val="21"/>
          <w:highlight w:val="none"/>
        </w:rPr>
      </w:pPr>
      <w:r>
        <w:rPr>
          <w:rFonts w:hint="eastAsia" w:ascii="Times New Roman" w:hAnsi="宋体"/>
          <w:color w:val="auto"/>
          <w:kern w:val="2"/>
          <w:sz w:val="21"/>
          <w:szCs w:val="21"/>
          <w:highlight w:val="none"/>
        </w:rPr>
        <w:t>（此稿为合同样本，最终定稿待双方协商后定）</w:t>
      </w:r>
    </w:p>
    <w:p>
      <w:pPr>
        <w:adjustRightInd w:val="0"/>
        <w:snapToGrid w:val="0"/>
        <w:spacing w:line="360" w:lineRule="auto"/>
        <w:ind w:firstLine="420" w:firstLineChars="200"/>
        <w:rPr>
          <w:rFonts w:hAnsi="宋体"/>
          <w:color w:val="auto"/>
          <w:szCs w:val="21"/>
          <w:highlight w:val="none"/>
        </w:rPr>
      </w:pPr>
    </w:p>
    <w:p>
      <w:pPr>
        <w:widowControl/>
        <w:snapToGrid w:val="0"/>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u w:val="single"/>
        </w:rPr>
        <w:t>街道道路清扫保洁、垃圾清运和垃圾分类项目</w:t>
      </w:r>
    </w:p>
    <w:p>
      <w:pPr>
        <w:pStyle w:val="12"/>
        <w:snapToGrid w:val="0"/>
        <w:spacing w:line="360" w:lineRule="auto"/>
        <w:ind w:firstLine="413" w:firstLineChars="196"/>
        <w:jc w:val="left"/>
        <w:rPr>
          <w:rFonts w:hAnsi="宋体" w:cs="宋体"/>
          <w:b/>
          <w:color w:val="auto"/>
          <w:szCs w:val="21"/>
          <w:highlight w:val="none"/>
        </w:rPr>
      </w:pPr>
      <w:r>
        <w:rPr>
          <w:rFonts w:hint="eastAsia" w:hAnsi="宋体" w:cs="宋体"/>
          <w:b/>
          <w:color w:val="auto"/>
          <w:szCs w:val="21"/>
          <w:highlight w:val="none"/>
        </w:rPr>
        <w:t>项目编号：</w:t>
      </w:r>
      <w:r>
        <w:rPr>
          <w:rFonts w:hint="eastAsia" w:hAnsi="宋体" w:cs="宋体"/>
          <w:color w:val="auto"/>
          <w:szCs w:val="21"/>
          <w:highlight w:val="none"/>
          <w:u w:val="single"/>
        </w:rPr>
        <w:t>tzya2021-lq63</w:t>
      </w:r>
    </w:p>
    <w:p>
      <w:pPr>
        <w:pStyle w:val="12"/>
        <w:snapToGrid w:val="0"/>
        <w:spacing w:line="360" w:lineRule="auto"/>
        <w:ind w:firstLine="420" w:firstLineChars="200"/>
        <w:rPr>
          <w:rFonts w:hAnsi="宋体" w:cs="宋体"/>
          <w:b/>
          <w:color w:val="auto"/>
          <w:szCs w:val="21"/>
          <w:highlight w:val="none"/>
          <w:u w:val="single"/>
        </w:rPr>
      </w:pPr>
      <w:r>
        <w:rPr>
          <w:rFonts w:hint="eastAsia" w:hAnsi="宋体" w:cs="宋体"/>
          <w:color w:val="auto"/>
          <w:szCs w:val="21"/>
          <w:highlight w:val="none"/>
        </w:rPr>
        <w:t>甲方（采购方）：</w:t>
      </w:r>
      <w:r>
        <w:rPr>
          <w:rFonts w:hint="eastAsia" w:hAnsi="宋体" w:cs="宋体"/>
          <w:color w:val="auto"/>
          <w:szCs w:val="21"/>
          <w:highlight w:val="none"/>
          <w:u w:val="single"/>
        </w:rPr>
        <w:t>台州市路桥区人民政府螺洋街道办事处</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乙方（承包方）：                        </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根据街道道路清扫保洁、垃圾清运和垃圾分类项目的招标结果，经双方协商一致，就街道道路清扫保洁、垃圾清运和垃圾分类项目事宜达成以下条款：</w:t>
      </w:r>
    </w:p>
    <w:p>
      <w:pPr>
        <w:tabs>
          <w:tab w:val="left" w:pos="8280"/>
        </w:tabs>
        <w:autoSpaceDE w:val="0"/>
        <w:autoSpaceDN w:val="0"/>
        <w:adjustRightInd w:val="0"/>
        <w:spacing w:line="360" w:lineRule="auto"/>
        <w:ind w:right="25"/>
        <w:rPr>
          <w:rFonts w:ascii="宋体" w:hAnsi="宋体" w:cs="宋体"/>
          <w:b/>
          <w:color w:val="auto"/>
          <w:szCs w:val="21"/>
          <w:highlight w:val="none"/>
        </w:rPr>
      </w:pPr>
      <w:r>
        <w:rPr>
          <w:rFonts w:hint="eastAsia" w:ascii="宋体" w:hAnsi="宋体" w:cs="宋体"/>
          <w:b/>
          <w:color w:val="auto"/>
          <w:szCs w:val="21"/>
          <w:highlight w:val="none"/>
        </w:rPr>
        <w:t>一、服务内容及需求</w:t>
      </w:r>
    </w:p>
    <w:p>
      <w:pPr>
        <w:widowControl/>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lang w:val="en-GB"/>
        </w:rPr>
        <w:t>1</w:t>
      </w:r>
      <w:r>
        <w:rPr>
          <w:rFonts w:hint="eastAsia" w:ascii="宋体" w:hAnsi="宋体" w:cs="宋体"/>
          <w:color w:val="auto"/>
          <w:szCs w:val="21"/>
          <w:highlight w:val="none"/>
          <w:lang w:val="en-GB"/>
        </w:rPr>
        <w:t>、</w:t>
      </w:r>
      <w:r>
        <w:rPr>
          <w:rFonts w:hint="eastAsia" w:ascii="宋体" w:hAnsi="宋体"/>
          <w:color w:val="auto"/>
          <w:szCs w:val="21"/>
          <w:highlight w:val="none"/>
        </w:rPr>
        <w:t>所有道路、背街小巷、无物业的小区、村民房前屋后、</w:t>
      </w:r>
      <w:r>
        <w:rPr>
          <w:rFonts w:hint="eastAsia" w:ascii="宋体" w:hAnsi="宋体" w:cs="宋体"/>
          <w:color w:val="auto"/>
          <w:szCs w:val="21"/>
          <w:highlight w:val="none"/>
          <w:lang w:val="en-GB"/>
        </w:rPr>
        <w:t>村居公用设施、</w:t>
      </w:r>
      <w:r>
        <w:rPr>
          <w:rFonts w:hint="eastAsia" w:ascii="宋体" w:hAnsi="宋体"/>
          <w:color w:val="auto"/>
          <w:szCs w:val="21"/>
          <w:highlight w:val="none"/>
        </w:rPr>
        <w:t>小河塘（水沟）的清扫保洁，</w:t>
      </w:r>
      <w:r>
        <w:rPr>
          <w:rFonts w:hint="eastAsia" w:ascii="宋体" w:hAnsi="宋体" w:cs="宋体"/>
          <w:color w:val="auto"/>
          <w:spacing w:val="8"/>
          <w:szCs w:val="21"/>
          <w:highlight w:val="none"/>
        </w:rPr>
        <w:t>垃圾清运，</w:t>
      </w:r>
      <w:r>
        <w:rPr>
          <w:rFonts w:hint="eastAsia" w:ascii="宋体" w:hAnsi="宋体"/>
          <w:color w:val="auto"/>
          <w:szCs w:val="21"/>
          <w:highlight w:val="none"/>
        </w:rPr>
        <w:t>道路洒水作业。垃圾</w:t>
      </w:r>
      <w:r>
        <w:rPr>
          <w:rFonts w:hint="eastAsia" w:ascii="宋体" w:hAnsi="宋体" w:cs="宋体"/>
          <w:color w:val="auto"/>
          <w:spacing w:val="8"/>
          <w:szCs w:val="21"/>
          <w:highlight w:val="none"/>
        </w:rPr>
        <w:t>清运车</w:t>
      </w:r>
      <w:r>
        <w:rPr>
          <w:rFonts w:hint="eastAsia" w:ascii="宋体" w:hAnsi="宋体" w:cs="宋体"/>
          <w:color w:val="auto"/>
          <w:szCs w:val="21"/>
          <w:highlight w:val="none"/>
        </w:rPr>
        <w:t>辆采用扫运分离电瓶四轮十五桶车或翻桶车，车辆密闭运输，清运至指定中转站，主要街道机扫与人行道的清洗作业，按二级路面普扫质量要求开展清扫保洁作业，保洁质量达到“文明创建”与“美丽城镇”考核等检查标准。</w:t>
      </w:r>
    </w:p>
    <w:p>
      <w:pPr>
        <w:widowControl/>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2、清扫保洁，洒水，生活及</w:t>
      </w:r>
      <w:r>
        <w:rPr>
          <w:rFonts w:hint="eastAsia" w:ascii="宋体" w:hAnsi="宋体" w:cs="宋体"/>
          <w:color w:val="auto"/>
          <w:szCs w:val="21"/>
          <w:highlight w:val="none"/>
          <w:lang w:val="en-GB"/>
        </w:rPr>
        <w:t>工业垃圾清运至</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val="en-GB"/>
        </w:rPr>
        <w:t>指定地点，</w:t>
      </w:r>
      <w:r>
        <w:rPr>
          <w:rFonts w:hint="eastAsia" w:ascii="宋体" w:hAnsi="宋体" w:cs="宋体"/>
          <w:color w:val="auto"/>
          <w:szCs w:val="21"/>
          <w:highlight w:val="none"/>
        </w:rPr>
        <w:t>保洁按清洁家园或四级道路标准要求。主次道路地面干净，无成堆垃圾，视线无废弃物存在，无明显积泥积水，绿地净，边角净，无卫生死角，</w:t>
      </w:r>
      <w:r>
        <w:rPr>
          <w:rFonts w:hint="eastAsia" w:ascii="宋体" w:hAnsi="宋体" w:cs="Arial"/>
          <w:color w:val="auto"/>
          <w:szCs w:val="21"/>
          <w:highlight w:val="none"/>
          <w:shd w:val="clear" w:color="auto" w:fill="FFFFFF"/>
        </w:rPr>
        <w:t>机动车道，非机动车道、人行道以及责任区域内的道路及两侧人行道外</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米保洁，</w:t>
      </w:r>
      <w:r>
        <w:rPr>
          <w:rFonts w:hint="eastAsia" w:ascii="宋体" w:hAnsi="宋体"/>
          <w:color w:val="auto"/>
          <w:szCs w:val="21"/>
          <w:highlight w:val="none"/>
        </w:rPr>
        <w:t>生活垃圾清运至</w:t>
      </w:r>
      <w:r>
        <w:rPr>
          <w:rFonts w:hint="eastAsia" w:ascii="宋体" w:hAnsi="宋体" w:cs="宋体"/>
          <w:color w:val="auto"/>
          <w:szCs w:val="21"/>
          <w:highlight w:val="none"/>
          <w:lang w:val="en-US" w:eastAsia="zh-CN"/>
        </w:rPr>
        <w:t>甲方</w:t>
      </w:r>
      <w:r>
        <w:rPr>
          <w:rFonts w:hint="eastAsia" w:ascii="宋体" w:hAnsi="宋体"/>
          <w:color w:val="auto"/>
          <w:szCs w:val="21"/>
          <w:highlight w:val="none"/>
        </w:rPr>
        <w:t>指定地点。</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3、建立街道</w:t>
      </w:r>
      <w:r>
        <w:rPr>
          <w:rFonts w:hint="eastAsia" w:ascii="宋体" w:hAnsi="宋体" w:cs="宋体"/>
          <w:color w:val="auto"/>
          <w:szCs w:val="21"/>
          <w:highlight w:val="none"/>
          <w:lang w:val="en-GB"/>
        </w:rPr>
        <w:t>垃圾收集和分类管理系统：</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信息化运营管理体系构建，旨在构建覆盖村级农村垃圾分类数据采集和上传管理的数据管理系统，实现主管部门足不出户实时监管垃圾分类及分类处置数据，实时监管，精准考核。</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垃圾分类数据管理云平台是垃圾分类信息化的核心，该平台的构建使得所有垃圾分类涉及的投放、收集、清运、处置全流程实现数据化监管汇总，使主管单位和运营单位能实时了解辖区内垃圾分类项目运营情况。</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GB"/>
        </w:rPr>
        <w:t>垃圾收集及清运：农户垃圾上门分类收集并负责将</w:t>
      </w:r>
      <w:r>
        <w:rPr>
          <w:rFonts w:hint="eastAsia" w:ascii="宋体" w:hAnsi="宋体" w:cs="宋体"/>
          <w:color w:val="auto"/>
          <w:szCs w:val="21"/>
          <w:highlight w:val="none"/>
        </w:rPr>
        <w:t>清扫出来的垃圾运送至垃圾待运点或中转站。</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5</w:t>
      </w:r>
      <w:r>
        <w:rPr>
          <w:rFonts w:hint="eastAsia" w:ascii="宋体" w:hAnsi="宋体" w:cs="宋体"/>
          <w:color w:val="auto"/>
          <w:szCs w:val="21"/>
          <w:highlight w:val="none"/>
          <w:lang w:val="en-GB"/>
        </w:rPr>
        <w:t>、责任区域环卫设施保洁冲洗，</w:t>
      </w:r>
      <w:r>
        <w:rPr>
          <w:rFonts w:hint="eastAsia" w:ascii="宋体" w:hAnsi="宋体"/>
          <w:color w:val="auto"/>
          <w:szCs w:val="21"/>
          <w:highlight w:val="none"/>
        </w:rPr>
        <w:t>果壳箱、垃圾桶、垃圾房等设施的日常保洁、消杀、维护与清洗保洁，</w:t>
      </w:r>
      <w:r>
        <w:rPr>
          <w:rFonts w:hint="eastAsia" w:ascii="宋体" w:hAnsi="宋体" w:cs="Arial"/>
          <w:color w:val="auto"/>
          <w:szCs w:val="21"/>
          <w:highlight w:val="none"/>
          <w:shd w:val="clear" w:color="auto" w:fill="FFFFFF"/>
        </w:rPr>
        <w:t>确保垃圾桶四周和地面干净</w:t>
      </w:r>
      <w:r>
        <w:rPr>
          <w:rFonts w:hint="eastAsia" w:ascii="宋体" w:hAnsi="宋体"/>
          <w:color w:val="auto"/>
          <w:szCs w:val="21"/>
          <w:highlight w:val="none"/>
        </w:rPr>
        <w:t>，</w:t>
      </w:r>
      <w:r>
        <w:rPr>
          <w:rFonts w:hint="eastAsia" w:ascii="宋体" w:hAnsi="宋体" w:cs="宋体"/>
          <w:color w:val="auto"/>
          <w:szCs w:val="21"/>
          <w:highlight w:val="none"/>
          <w:lang w:val="en-GB"/>
        </w:rPr>
        <w:t>每周冲洗两次。</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范围内“牛皮癣”（小广告、涂鸦）清除、清洗，</w:t>
      </w:r>
      <w:r>
        <w:rPr>
          <w:rFonts w:hint="eastAsia" w:ascii="宋体" w:hAnsi="宋体"/>
          <w:color w:val="auto"/>
          <w:szCs w:val="21"/>
          <w:highlight w:val="none"/>
        </w:rPr>
        <w:t>做到无小广告、无乱张贴、无树挂</w:t>
      </w:r>
      <w:r>
        <w:rPr>
          <w:rFonts w:hint="eastAsia" w:ascii="宋体" w:hAnsi="宋体" w:cs="宋体"/>
          <w:color w:val="auto"/>
          <w:szCs w:val="21"/>
          <w:highlight w:val="none"/>
          <w:lang w:val="en-GB"/>
        </w:rPr>
        <w:t>。</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7</w:t>
      </w:r>
      <w:r>
        <w:rPr>
          <w:rFonts w:hint="eastAsia" w:ascii="宋体" w:hAnsi="宋体" w:cs="宋体"/>
          <w:color w:val="auto"/>
          <w:szCs w:val="21"/>
          <w:highlight w:val="none"/>
          <w:lang w:val="en-GB"/>
        </w:rPr>
        <w:t>、螺洋菜场公厕、南山垃圾中转站公厕、水滨村公厕、水心公园公厕派专人保洁，做到内外干净整洁，设施完好，无苍蝇，蛛网。</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8</w:t>
      </w:r>
      <w:r>
        <w:rPr>
          <w:rFonts w:hint="eastAsia" w:ascii="宋体" w:hAnsi="宋体" w:cs="宋体"/>
          <w:color w:val="auto"/>
          <w:szCs w:val="21"/>
          <w:highlight w:val="none"/>
          <w:lang w:val="en-GB"/>
        </w:rPr>
        <w:t>、无主的装修垃圾及时清运</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val="en-GB"/>
        </w:rPr>
        <w:t>指定地点。</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9</w:t>
      </w:r>
      <w:r>
        <w:rPr>
          <w:rFonts w:hint="eastAsia" w:ascii="宋体" w:hAnsi="宋体" w:cs="宋体"/>
          <w:color w:val="auto"/>
          <w:szCs w:val="21"/>
          <w:highlight w:val="none"/>
          <w:lang w:val="en-GB"/>
        </w:rPr>
        <w:t>、</w:t>
      </w:r>
      <w:r>
        <w:rPr>
          <w:rFonts w:hint="eastAsia" w:ascii="宋体" w:hAnsi="宋体" w:cs="宋体"/>
          <w:color w:val="auto"/>
          <w:szCs w:val="21"/>
          <w:highlight w:val="none"/>
        </w:rPr>
        <w:t>打包站的运营管理：一般工业固废打包：进入站内的工业固</w:t>
      </w:r>
      <w:r>
        <w:rPr>
          <w:rFonts w:hint="eastAsia"/>
          <w:color w:val="auto"/>
          <w:szCs w:val="21"/>
          <w:highlight w:val="none"/>
        </w:rPr>
        <w:t>废要求日收日整，摆放整齐，站内环境整洁，车辆工具摆放整齐，制度上墙。</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等责任区域的生活垃圾包括各村居产生的包皮边角料等其他垃圾清运到蓬街镇旺能垃圾焚烧场（黄琅垃圾填埋场处理）要及时，安全运达。</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10、在“文明创建”期间，</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必须制定详细考核迎检方案，并无条件配合</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完成“文明创建”迎检任务，所需增加设备、人员费用均包含在合同价中，不作另行支付。</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11</w:t>
      </w:r>
      <w:r>
        <w:rPr>
          <w:rFonts w:hint="eastAsia" w:ascii="宋体" w:hAnsi="宋体" w:cs="宋体"/>
          <w:color w:val="auto"/>
          <w:szCs w:val="21"/>
          <w:highlight w:val="none"/>
          <w:lang w:val="en-GB"/>
        </w:rPr>
        <w:t>、投诉事件的响应与处理及时。</w:t>
      </w:r>
    </w:p>
    <w:p>
      <w:pPr>
        <w:widowControl/>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12</w:t>
      </w:r>
      <w:r>
        <w:rPr>
          <w:rFonts w:hint="eastAsia" w:ascii="宋体" w:hAnsi="宋体" w:cs="宋体"/>
          <w:color w:val="auto"/>
          <w:szCs w:val="21"/>
          <w:highlight w:val="none"/>
          <w:lang w:val="en-GB"/>
        </w:rPr>
        <w:t>、</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val="en-GB"/>
        </w:rPr>
        <w:t>指定的临时突击性任务。</w:t>
      </w:r>
    </w:p>
    <w:p>
      <w:pPr>
        <w:spacing w:line="360" w:lineRule="auto"/>
        <w:ind w:firstLine="420" w:firstLineChars="200"/>
        <w:rPr>
          <w:color w:val="auto"/>
          <w:szCs w:val="21"/>
          <w:highlight w:val="none"/>
        </w:rPr>
      </w:pPr>
      <w:r>
        <w:rPr>
          <w:rFonts w:hint="eastAsia" w:ascii="宋体" w:hAnsi="宋体" w:cs="宋体"/>
          <w:color w:val="auto"/>
          <w:szCs w:val="21"/>
          <w:highlight w:val="none"/>
          <w:lang w:val="en-GB"/>
        </w:rPr>
        <w:t>1</w:t>
      </w:r>
      <w:r>
        <w:rPr>
          <w:rFonts w:hint="eastAsia" w:ascii="宋体" w:hAnsi="宋体" w:cs="宋体"/>
          <w:color w:val="auto"/>
          <w:szCs w:val="21"/>
          <w:highlight w:val="none"/>
        </w:rPr>
        <w:t>3</w:t>
      </w:r>
      <w:r>
        <w:rPr>
          <w:rFonts w:hint="eastAsia" w:ascii="宋体" w:hAnsi="宋体" w:cs="宋体"/>
          <w:color w:val="auto"/>
          <w:szCs w:val="21"/>
          <w:highlight w:val="none"/>
          <w:lang w:val="en-GB"/>
        </w:rPr>
        <w:t>、作业工具的临时停放由</w:t>
      </w:r>
      <w:r>
        <w:rPr>
          <w:rFonts w:hint="eastAsia" w:ascii="宋体" w:hAnsi="宋体" w:cs="宋体"/>
          <w:color w:val="auto"/>
          <w:szCs w:val="21"/>
          <w:highlight w:val="none"/>
          <w:lang w:val="en-GB" w:eastAsia="zh-CN"/>
        </w:rPr>
        <w:t>乙方</w:t>
      </w:r>
      <w:r>
        <w:rPr>
          <w:rFonts w:hint="eastAsia" w:ascii="宋体" w:hAnsi="宋体" w:cs="宋体"/>
          <w:color w:val="auto"/>
          <w:szCs w:val="21"/>
          <w:highlight w:val="none"/>
          <w:lang w:val="en-GB"/>
        </w:rPr>
        <w:t>负责。</w:t>
      </w:r>
    </w:p>
    <w:p>
      <w:pPr>
        <w:pStyle w:val="12"/>
        <w:snapToGrid w:val="0"/>
        <w:spacing w:line="360" w:lineRule="auto"/>
        <w:rPr>
          <w:rFonts w:hAnsi="宋体" w:cs="宋体"/>
          <w:b/>
          <w:color w:val="auto"/>
          <w:szCs w:val="21"/>
          <w:highlight w:val="none"/>
        </w:rPr>
      </w:pPr>
      <w:r>
        <w:rPr>
          <w:rFonts w:hint="eastAsia" w:hAnsi="宋体" w:cs="宋体"/>
          <w:b/>
          <w:color w:val="auto"/>
          <w:szCs w:val="21"/>
          <w:highlight w:val="none"/>
        </w:rPr>
        <w:t>二、承包期限</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1、承包期限：</w:t>
      </w:r>
      <w:r>
        <w:rPr>
          <w:rFonts w:hint="eastAsia" w:hAnsi="宋体" w:cs="宋体"/>
          <w:color w:val="auto"/>
          <w:szCs w:val="21"/>
          <w:highlight w:val="none"/>
          <w:u w:val="single"/>
        </w:rPr>
        <w:tab/>
      </w:r>
      <w:r>
        <w:rPr>
          <w:rFonts w:hint="eastAsia" w:hAnsi="宋体" w:cs="宋体"/>
          <w:color w:val="auto"/>
          <w:szCs w:val="21"/>
          <w:highlight w:val="none"/>
          <w:u w:val="single"/>
        </w:rPr>
        <w:t xml:space="preserve">年 月 </w:t>
      </w:r>
      <w:r>
        <w:rPr>
          <w:rFonts w:hint="eastAsia" w:hAnsi="宋体" w:cs="宋体"/>
          <w:color w:val="auto"/>
          <w:szCs w:val="21"/>
          <w:highlight w:val="none"/>
          <w:u w:val="single"/>
        </w:rPr>
        <w:tab/>
      </w:r>
      <w:r>
        <w:rPr>
          <w:rFonts w:hint="eastAsia" w:hAnsi="宋体" w:cs="宋体"/>
          <w:color w:val="auto"/>
          <w:szCs w:val="21"/>
          <w:highlight w:val="none"/>
          <w:u w:val="single"/>
        </w:rPr>
        <w:t xml:space="preserve">日起至 </w:t>
      </w:r>
      <w:r>
        <w:rPr>
          <w:rFonts w:hint="eastAsia" w:hAnsi="宋体" w:cs="宋体"/>
          <w:color w:val="auto"/>
          <w:szCs w:val="21"/>
          <w:highlight w:val="none"/>
          <w:u w:val="single"/>
        </w:rPr>
        <w:tab/>
      </w:r>
      <w:r>
        <w:rPr>
          <w:rFonts w:hint="eastAsia" w:hAnsi="宋体" w:cs="宋体"/>
          <w:color w:val="auto"/>
          <w:szCs w:val="21"/>
          <w:highlight w:val="none"/>
          <w:u w:val="single"/>
        </w:rPr>
        <w:t xml:space="preserve">年 </w:t>
      </w:r>
      <w:r>
        <w:rPr>
          <w:rFonts w:hint="eastAsia" w:hAnsi="宋体" w:cs="宋体"/>
          <w:color w:val="auto"/>
          <w:szCs w:val="21"/>
          <w:highlight w:val="none"/>
          <w:u w:val="single"/>
        </w:rPr>
        <w:tab/>
      </w:r>
      <w:r>
        <w:rPr>
          <w:rFonts w:hint="eastAsia" w:hAnsi="宋体" w:cs="宋体"/>
          <w:color w:val="auto"/>
          <w:szCs w:val="21"/>
          <w:highlight w:val="none"/>
          <w:u w:val="single"/>
        </w:rPr>
        <w:t xml:space="preserve">月 </w:t>
      </w:r>
      <w:r>
        <w:rPr>
          <w:rFonts w:hint="eastAsia" w:hAnsi="宋体" w:cs="宋体"/>
          <w:color w:val="auto"/>
          <w:szCs w:val="21"/>
          <w:highlight w:val="none"/>
          <w:u w:val="single"/>
        </w:rPr>
        <w:tab/>
      </w:r>
      <w:r>
        <w:rPr>
          <w:rFonts w:hint="eastAsia" w:hAnsi="宋体" w:cs="宋体"/>
          <w:color w:val="auto"/>
          <w:szCs w:val="21"/>
          <w:highlight w:val="none"/>
          <w:u w:val="single"/>
        </w:rPr>
        <w:t>日</w:t>
      </w:r>
    </w:p>
    <w:p>
      <w:pPr>
        <w:spacing w:line="360" w:lineRule="auto"/>
        <w:ind w:firstLine="420" w:firstLineChars="200"/>
        <w:rPr>
          <w:rFonts w:ascii="宋体" w:hAnsi="宋体" w:cs="宋体"/>
          <w:color w:val="auto"/>
          <w:szCs w:val="21"/>
          <w:highlight w:val="none"/>
          <w:lang w:val="en-GB"/>
        </w:rPr>
      </w:pPr>
      <w:r>
        <w:rPr>
          <w:rFonts w:hint="eastAsia" w:hAnsi="宋体" w:cs="宋体"/>
          <w:color w:val="auto"/>
          <w:szCs w:val="21"/>
          <w:highlight w:val="none"/>
        </w:rPr>
        <w:t>2、</w:t>
      </w:r>
      <w:r>
        <w:rPr>
          <w:rFonts w:hint="eastAsia" w:ascii="宋体" w:hAnsi="宋体" w:cs="宋体"/>
          <w:color w:val="auto"/>
          <w:szCs w:val="21"/>
          <w:highlight w:val="none"/>
          <w:lang w:val="en-GB"/>
        </w:rPr>
        <w:t>项目承包期限为</w:t>
      </w:r>
      <w:r>
        <w:rPr>
          <w:rFonts w:hint="eastAsia" w:ascii="宋体" w:hAnsi="宋体" w:cs="宋体"/>
          <w:color w:val="auto"/>
          <w:szCs w:val="21"/>
          <w:highlight w:val="none"/>
        </w:rPr>
        <w:t>一</w:t>
      </w:r>
      <w:r>
        <w:rPr>
          <w:rFonts w:hint="eastAsia" w:ascii="宋体" w:hAnsi="宋体" w:cs="宋体"/>
          <w:color w:val="auto"/>
          <w:szCs w:val="21"/>
          <w:highlight w:val="none"/>
          <w:lang w:val="en-GB"/>
        </w:rPr>
        <w:t>年。</w:t>
      </w:r>
      <w:r>
        <w:rPr>
          <w:rFonts w:hint="eastAsia" w:ascii="宋体" w:hAnsi="宋体" w:cs="宋体"/>
          <w:color w:val="auto"/>
          <w:szCs w:val="21"/>
          <w:highlight w:val="none"/>
          <w:lang w:val="en-GB" w:eastAsia="zh-CN"/>
        </w:rPr>
        <w:t>乙方</w:t>
      </w:r>
      <w:r>
        <w:rPr>
          <w:rFonts w:hint="eastAsia" w:ascii="宋体" w:hAnsi="宋体" w:cs="宋体"/>
          <w:color w:val="auto"/>
          <w:szCs w:val="21"/>
          <w:highlight w:val="none"/>
          <w:lang w:val="en-GB"/>
        </w:rPr>
        <w:t>在履行第一年合同期满后，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val="en-GB"/>
        </w:rPr>
        <w:t>对</w:t>
      </w:r>
      <w:r>
        <w:rPr>
          <w:rFonts w:hint="eastAsia" w:ascii="宋体" w:hAnsi="宋体" w:cs="宋体"/>
          <w:color w:val="auto"/>
          <w:szCs w:val="21"/>
          <w:highlight w:val="none"/>
          <w:lang w:val="en-GB" w:eastAsia="zh-CN"/>
        </w:rPr>
        <w:t>乙方</w:t>
      </w:r>
      <w:r>
        <w:rPr>
          <w:rFonts w:hint="eastAsia" w:ascii="宋体" w:hAnsi="宋体" w:cs="宋体"/>
          <w:color w:val="auto"/>
          <w:szCs w:val="21"/>
          <w:highlight w:val="none"/>
          <w:lang w:val="en-GB"/>
        </w:rPr>
        <w:t>在一年合同期内做出的业绩评价，若中标业绩达到</w:t>
      </w:r>
      <w:r>
        <w:rPr>
          <w:rFonts w:hint="eastAsia" w:ascii="宋体" w:hAnsi="宋体" w:cs="宋体"/>
          <w:color w:val="auto"/>
          <w:szCs w:val="21"/>
          <w:highlight w:val="none"/>
          <w:lang w:val="en-GB" w:eastAsia="zh-CN"/>
        </w:rPr>
        <w:t>甲方</w:t>
      </w:r>
      <w:r>
        <w:rPr>
          <w:rFonts w:hint="eastAsia" w:ascii="宋体" w:hAnsi="宋体" w:cs="宋体"/>
          <w:color w:val="auto"/>
          <w:szCs w:val="21"/>
          <w:highlight w:val="none"/>
          <w:lang w:val="en-GB"/>
        </w:rPr>
        <w:t>的各项指标，则合同承包期延续签订1年，</w:t>
      </w:r>
      <w:r>
        <w:rPr>
          <w:rFonts w:hint="eastAsia" w:ascii="宋体" w:hAnsi="宋体" w:cs="宋体"/>
          <w:color w:val="auto"/>
          <w:szCs w:val="21"/>
          <w:highlight w:val="none"/>
          <w:lang w:val="en-GB" w:eastAsia="zh-CN"/>
        </w:rPr>
        <w:t>乙方</w:t>
      </w:r>
      <w:r>
        <w:rPr>
          <w:rFonts w:hint="eastAsia" w:ascii="宋体" w:hAnsi="宋体" w:cs="宋体"/>
          <w:color w:val="auto"/>
          <w:szCs w:val="21"/>
          <w:highlight w:val="none"/>
          <w:lang w:val="en-GB"/>
        </w:rPr>
        <w:t>必须无条件与</w:t>
      </w:r>
      <w:r>
        <w:rPr>
          <w:rFonts w:hint="eastAsia" w:ascii="宋体" w:hAnsi="宋体" w:cs="宋体"/>
          <w:color w:val="auto"/>
          <w:szCs w:val="21"/>
          <w:highlight w:val="none"/>
          <w:lang w:val="en-GB" w:eastAsia="zh-CN"/>
        </w:rPr>
        <w:t>甲方</w:t>
      </w:r>
      <w:r>
        <w:rPr>
          <w:rFonts w:hint="eastAsia" w:ascii="宋体" w:hAnsi="宋体" w:cs="宋体"/>
          <w:color w:val="auto"/>
          <w:szCs w:val="21"/>
          <w:highlight w:val="none"/>
          <w:lang w:val="en-GB"/>
        </w:rPr>
        <w:t>续签合同并履行合同义务，否则合同履约保证金没收；若</w:t>
      </w:r>
      <w:r>
        <w:rPr>
          <w:rFonts w:hint="eastAsia" w:ascii="宋体" w:hAnsi="宋体" w:cs="宋体"/>
          <w:color w:val="auto"/>
          <w:szCs w:val="21"/>
          <w:highlight w:val="none"/>
          <w:lang w:val="en-GB" w:eastAsia="zh-CN"/>
        </w:rPr>
        <w:t>乙方</w:t>
      </w:r>
      <w:r>
        <w:rPr>
          <w:rFonts w:hint="eastAsia" w:ascii="宋体" w:hAnsi="宋体" w:cs="宋体"/>
          <w:color w:val="auto"/>
          <w:szCs w:val="21"/>
          <w:highlight w:val="none"/>
          <w:lang w:val="en-GB"/>
        </w:rPr>
        <w:t>履约的项目业绩未能达到</w:t>
      </w:r>
      <w:r>
        <w:rPr>
          <w:rFonts w:hint="eastAsia" w:ascii="宋体" w:hAnsi="宋体" w:cs="宋体"/>
          <w:color w:val="auto"/>
          <w:szCs w:val="21"/>
          <w:highlight w:val="none"/>
          <w:lang w:val="en-GB" w:eastAsia="zh-CN"/>
        </w:rPr>
        <w:t>甲方</w:t>
      </w:r>
      <w:r>
        <w:rPr>
          <w:rFonts w:hint="eastAsia" w:ascii="宋体" w:hAnsi="宋体" w:cs="宋体"/>
          <w:color w:val="auto"/>
          <w:szCs w:val="21"/>
          <w:highlight w:val="none"/>
          <w:lang w:val="en-GB"/>
        </w:rPr>
        <w:t>的考核指标，则本项目合同自第一年履行完毕后终止</w:t>
      </w:r>
      <w:r>
        <w:rPr>
          <w:rFonts w:hint="eastAsia" w:ascii="宋体" w:hAnsi="宋体"/>
          <w:color w:val="auto"/>
          <w:szCs w:val="21"/>
          <w:highlight w:val="none"/>
        </w:rPr>
        <w:t>（第3年承包期续签或终止方法与第2年相同）最长不超过3年</w:t>
      </w:r>
      <w:r>
        <w:rPr>
          <w:rFonts w:hint="eastAsia" w:ascii="宋体" w:hAnsi="宋体" w:cs="宋体"/>
          <w:color w:val="auto"/>
          <w:szCs w:val="21"/>
          <w:highlight w:val="none"/>
          <w:lang w:val="en-GB"/>
        </w:rPr>
        <w:t>。</w:t>
      </w:r>
      <w:r>
        <w:rPr>
          <w:rFonts w:hint="eastAsia" w:ascii="宋体" w:hAnsi="宋体" w:cs="宋体"/>
          <w:color w:val="auto"/>
          <w:szCs w:val="21"/>
          <w:highlight w:val="none"/>
          <w:lang w:val="en-GB" w:eastAsia="zh-CN"/>
        </w:rPr>
        <w:t>甲方</w:t>
      </w:r>
      <w:r>
        <w:rPr>
          <w:rFonts w:hint="eastAsia" w:ascii="宋体" w:hAnsi="宋体" w:cs="宋体"/>
          <w:color w:val="auto"/>
          <w:szCs w:val="21"/>
          <w:highlight w:val="none"/>
          <w:lang w:val="en-GB"/>
        </w:rPr>
        <w:t>对本条款具有最终决定权</w:t>
      </w:r>
      <w:r>
        <w:rPr>
          <w:rFonts w:hint="eastAsia" w:asciiTheme="minorEastAsia" w:hAnsiTheme="minorEastAsia" w:eastAsiaTheme="minorEastAsia" w:cstheme="minorEastAsia"/>
          <w:color w:val="auto"/>
          <w:szCs w:val="21"/>
          <w:highlight w:val="none"/>
        </w:rPr>
        <w:t>。</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3、合同到期后，保洁人员去留安排由双方协调，以甲方实际需要为准；如遇特殊情况，新的</w:t>
      </w:r>
      <w:r>
        <w:rPr>
          <w:rFonts w:hint="eastAsia" w:hAnsi="宋体" w:cs="宋体"/>
          <w:color w:val="auto"/>
          <w:szCs w:val="21"/>
          <w:highlight w:val="none"/>
          <w:lang w:eastAsia="zh-CN"/>
        </w:rPr>
        <w:t>乙方</w:t>
      </w:r>
      <w:r>
        <w:rPr>
          <w:rFonts w:hint="eastAsia" w:hAnsi="宋体" w:cs="宋体"/>
          <w:color w:val="auto"/>
          <w:szCs w:val="21"/>
          <w:highlight w:val="none"/>
        </w:rPr>
        <w:t>未能在合同结束前进场作业，乙方不得随意撤调保洁人员及保洁设备；延续期间的保洁费参照前一期合同执行。乙方按规定提供服务外，其它服务可另行说明。</w:t>
      </w:r>
    </w:p>
    <w:p>
      <w:pPr>
        <w:spacing w:line="360" w:lineRule="auto"/>
        <w:rPr>
          <w:rFonts w:ascii="宋体" w:hAnsi="宋体"/>
          <w:b/>
          <w:color w:val="auto"/>
          <w:szCs w:val="21"/>
          <w:highlight w:val="none"/>
        </w:rPr>
      </w:pPr>
      <w:r>
        <w:rPr>
          <w:rFonts w:hint="eastAsia" w:ascii="宋体" w:hAnsi="宋体"/>
          <w:b/>
          <w:color w:val="auto"/>
          <w:szCs w:val="21"/>
          <w:highlight w:val="none"/>
        </w:rPr>
        <w:t>三、承包费用及付款方式</w:t>
      </w:r>
    </w:p>
    <w:p>
      <w:pPr>
        <w:spacing w:line="360" w:lineRule="auto"/>
        <w:rPr>
          <w:rFonts w:ascii="宋体" w:hAnsi="宋体"/>
          <w:color w:val="auto"/>
          <w:szCs w:val="21"/>
          <w:highlight w:val="none"/>
        </w:rPr>
      </w:pPr>
      <w:r>
        <w:rPr>
          <w:rFonts w:hint="eastAsia" w:ascii="宋体" w:hAnsi="宋体"/>
          <w:b/>
          <w:bCs/>
          <w:color w:val="auto"/>
          <w:szCs w:val="21"/>
          <w:highlight w:val="none"/>
        </w:rPr>
        <w:t>(一)年承包合同价格：</w:t>
      </w:r>
      <w:r>
        <w:rPr>
          <w:rFonts w:hint="eastAsia" w:ascii="宋体" w:hAnsi="宋体"/>
          <w:color w:val="auto"/>
          <w:szCs w:val="21"/>
          <w:highlight w:val="none"/>
          <w:u w:val="single"/>
        </w:rPr>
        <w:t>人民币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元/年（小写：</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元/年）</w:t>
      </w:r>
    </w:p>
    <w:p>
      <w:pPr>
        <w:spacing w:line="360" w:lineRule="auto"/>
        <w:rPr>
          <w:rFonts w:ascii="宋体" w:hAnsi="宋体"/>
          <w:color w:val="auto"/>
          <w:szCs w:val="21"/>
          <w:highlight w:val="none"/>
        </w:rPr>
      </w:pPr>
      <w:r>
        <w:rPr>
          <w:rFonts w:hint="eastAsia" w:ascii="宋体" w:hAnsi="宋体"/>
          <w:color w:val="auto"/>
          <w:szCs w:val="21"/>
          <w:highlight w:val="none"/>
        </w:rPr>
        <w:t>1、保洁、清运合计人员</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人，其中一线管理人员（班组长）</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垃圾分类合计人员</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南山永远中转站人员、驾驶员合计人员</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人。</w:t>
      </w:r>
    </w:p>
    <w:p>
      <w:pPr>
        <w:spacing w:line="360" w:lineRule="auto"/>
        <w:rPr>
          <w:rFonts w:ascii="宋体" w:hAnsi="宋体"/>
          <w:color w:val="auto"/>
          <w:szCs w:val="21"/>
          <w:highlight w:val="none"/>
        </w:rPr>
      </w:pPr>
      <w:r>
        <w:rPr>
          <w:rFonts w:hint="eastAsia" w:ascii="宋体" w:hAnsi="宋体"/>
          <w:color w:val="auto"/>
          <w:szCs w:val="21"/>
          <w:highlight w:val="none"/>
        </w:rPr>
        <w:t>2、明确第一年合同中标价一次性包死；第二年、第三年合同中标价在新一轮合同续签之前，若浙江省发布调整最低标准工资，当地执行情况下，</w:t>
      </w:r>
      <w:r>
        <w:rPr>
          <w:rFonts w:hint="eastAsia" w:ascii="宋体" w:hAnsi="宋体"/>
          <w:color w:val="auto"/>
          <w:szCs w:val="21"/>
          <w:highlight w:val="none"/>
          <w:lang w:eastAsia="zh-CN"/>
        </w:rPr>
        <w:t>甲方</w:t>
      </w:r>
      <w:r>
        <w:rPr>
          <w:rFonts w:hint="eastAsia" w:ascii="宋体" w:hAnsi="宋体"/>
          <w:color w:val="auto"/>
          <w:szCs w:val="21"/>
          <w:highlight w:val="none"/>
        </w:rPr>
        <w:t>应按</w:t>
      </w:r>
      <w:r>
        <w:rPr>
          <w:rFonts w:hint="eastAsia" w:ascii="宋体" w:hAnsi="宋体"/>
          <w:color w:val="auto"/>
          <w:szCs w:val="21"/>
          <w:highlight w:val="none"/>
          <w:lang w:eastAsia="zh-CN"/>
        </w:rPr>
        <w:t>乙方</w:t>
      </w:r>
      <w:r>
        <w:rPr>
          <w:rFonts w:hint="eastAsia" w:ascii="宋体" w:hAnsi="宋体"/>
          <w:color w:val="auto"/>
          <w:szCs w:val="21"/>
          <w:highlight w:val="none"/>
        </w:rPr>
        <w:t>一线作业实际人数予以相应调整，除此其它费用一次性包死，不作调整。</w:t>
      </w:r>
    </w:p>
    <w:p>
      <w:pPr>
        <w:spacing w:line="360" w:lineRule="auto"/>
        <w:rPr>
          <w:rFonts w:ascii="宋体" w:hAnsi="宋体"/>
          <w:b/>
          <w:bCs/>
          <w:color w:val="auto"/>
          <w:szCs w:val="21"/>
          <w:highlight w:val="none"/>
        </w:rPr>
      </w:pPr>
      <w:r>
        <w:rPr>
          <w:rFonts w:hint="eastAsia" w:ascii="宋体" w:hAnsi="宋体"/>
          <w:b/>
          <w:bCs/>
          <w:color w:val="auto"/>
          <w:szCs w:val="21"/>
          <w:highlight w:val="none"/>
        </w:rPr>
        <w:t>(二)付款方式：</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（1）费用按月结算，</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须在每月10日前提供上个月有效发票，采购方根据上个月考核情况，扣除考核扣款后拨付承包费。</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不及时提供采购方所需数据、发票等，采购方可延期付款。</w:t>
      </w:r>
    </w:p>
    <w:p>
      <w:pPr>
        <w:tabs>
          <w:tab w:val="left" w:pos="0"/>
        </w:tabs>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各类清扫保洁人员、垃圾清运人员等一线用工按采购方核定的人员数量配足到岗，若</w:t>
      </w:r>
      <w:r>
        <w:rPr>
          <w:rFonts w:hint="eastAsia" w:ascii="宋体" w:hAnsi="宋体" w:cs="宋体"/>
          <w:color w:val="auto"/>
          <w:szCs w:val="21"/>
          <w:highlight w:val="none"/>
          <w:u w:val="single"/>
        </w:rPr>
        <w:t>未按定额规定配足人员造成卫生质量下降的，按下拨人员经费双倍扣款。</w:t>
      </w:r>
    </w:p>
    <w:p>
      <w:pPr>
        <w:spacing w:line="360" w:lineRule="auto"/>
        <w:ind w:firstLine="42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所用员工自行向社会招聘，但录用的员工要求年满18周岁，其中男员工60周岁以下，女员工55周岁以下，管理技术人员可适当放宽年龄，身体健康，必须与员工签订书面劳动（劳务）合同。未按规定要求用工的，一切责任</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rPr>
        <w:t>（5）除</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管理考核扣罚情况外，</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应按时、足额向用工人员支付相应的劳动报酬以及各类加班费、补贴、福利、保险等，保障用工者的合法权益。一经发现</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欠薪，</w:t>
      </w:r>
      <w:r>
        <w:rPr>
          <w:rFonts w:hint="eastAsia" w:ascii="宋体" w:hAnsi="宋体" w:cs="宋体"/>
          <w:color w:val="auto"/>
          <w:szCs w:val="21"/>
          <w:highlight w:val="none"/>
          <w:shd w:val="clear" w:color="auto" w:fill="FFFFFF"/>
          <w:lang w:eastAsia="zh-CN"/>
        </w:rPr>
        <w:t>乙方</w:t>
      </w:r>
      <w:r>
        <w:rPr>
          <w:rFonts w:hint="eastAsia" w:ascii="宋体" w:hAnsi="宋体" w:cs="宋体"/>
          <w:color w:val="auto"/>
          <w:szCs w:val="21"/>
          <w:highlight w:val="none"/>
          <w:shd w:val="clear" w:color="auto" w:fill="FFFFFF"/>
        </w:rPr>
        <w:t>应向采购方支付按所欠薪酬的双倍计付的违约金。</w:t>
      </w:r>
    </w:p>
    <w:p>
      <w:pPr>
        <w:pStyle w:val="12"/>
        <w:adjustRightInd w:val="0"/>
        <w:snapToGrid w:val="0"/>
        <w:spacing w:line="360" w:lineRule="auto"/>
        <w:rPr>
          <w:rFonts w:ascii="Times New Roman" w:hAnsi="宋体"/>
          <w:b/>
          <w:color w:val="auto"/>
          <w:szCs w:val="21"/>
          <w:highlight w:val="none"/>
        </w:rPr>
      </w:pPr>
      <w:r>
        <w:rPr>
          <w:rFonts w:hint="eastAsia" w:ascii="Times New Roman" w:hAnsi="宋体"/>
          <w:b/>
          <w:color w:val="auto"/>
          <w:szCs w:val="21"/>
          <w:highlight w:val="none"/>
        </w:rPr>
        <w:t>四、履约保证金</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合同签订前，乙方需向甲方交纳合同价的</w:t>
      </w:r>
      <w:r>
        <w:rPr>
          <w:rFonts w:hint="eastAsia" w:hAnsi="宋体" w:cs="宋体"/>
          <w:color w:val="auto"/>
          <w:szCs w:val="21"/>
          <w:highlight w:val="none"/>
          <w:u w:val="single"/>
        </w:rPr>
        <w:t>5％</w:t>
      </w:r>
      <w:r>
        <w:rPr>
          <w:rFonts w:hint="eastAsia" w:hAnsi="宋体" w:cs="宋体"/>
          <w:color w:val="auto"/>
          <w:szCs w:val="21"/>
          <w:highlight w:val="none"/>
        </w:rPr>
        <w:t>作为履约保证金，本合同到期后，乙方若无任何欠薪、欠款或违反合同行为的，合同期满30天内全额返还合同履约保证金(不计息)，履约保证金提交方式包含保险、担保等形式。如合同实施期内乙方未按照要求履行合同则履约保证金不予退还。在合同实施期内如因乙方原因造成采购方财产损失的，甲方有权在履约保证金中扣除。</w:t>
      </w:r>
    </w:p>
    <w:p>
      <w:pPr>
        <w:pStyle w:val="12"/>
        <w:adjustRightInd w:val="0"/>
        <w:snapToGrid w:val="0"/>
        <w:spacing w:line="360" w:lineRule="auto"/>
        <w:rPr>
          <w:rFonts w:ascii="Times New Roman" w:hAnsi="宋体"/>
          <w:b/>
          <w:color w:val="auto"/>
          <w:szCs w:val="21"/>
          <w:highlight w:val="none"/>
        </w:rPr>
      </w:pPr>
      <w:r>
        <w:rPr>
          <w:rFonts w:ascii="Times New Roman" w:hAnsi="宋体"/>
          <w:b/>
          <w:color w:val="auto"/>
          <w:szCs w:val="21"/>
          <w:highlight w:val="none"/>
        </w:rPr>
        <w:t>五、工作时间和保洁标准、要求</w:t>
      </w:r>
    </w:p>
    <w:p>
      <w:pPr>
        <w:pStyle w:val="12"/>
        <w:adjustRightInd w:val="0"/>
        <w:snapToGrid w:val="0"/>
        <w:spacing w:line="360" w:lineRule="auto"/>
        <w:rPr>
          <w:rFonts w:ascii="Times New Roman" w:hAnsi="宋体"/>
          <w:b/>
          <w:color w:val="auto"/>
          <w:szCs w:val="21"/>
          <w:highlight w:val="none"/>
        </w:rPr>
      </w:pPr>
      <w:r>
        <w:rPr>
          <w:rFonts w:hint="eastAsia" w:ascii="Times New Roman" w:hAnsi="宋体"/>
          <w:b/>
          <w:color w:val="auto"/>
          <w:szCs w:val="21"/>
          <w:highlight w:val="none"/>
        </w:rPr>
        <w:t>（一）道路清扫保洁</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1、“文明创建”范围村居主要道路清扫保洁时间要在上午7：00前普扫完毕，主要道路保洁时间不少于16小时，主要道路40至50分钟巡回保洁。</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2、农村主次道路夏季早上在9：00前全面普扫完毕，道路每天保洁时间不少于8小时，必要时要延长保洁时间。。</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3、责任范围内行政村主次要道路早上8：00前全面普扫完毕，每天清扫保洁时间不少于9小时。</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洒水时间上午在9：00前完成，中午在12：00以后开始。冬季早晨3℃以下不洒水（防结冰）；机动车道洒水每天不少于2次，检查时增加次数，洒水冲洗车时速不得超过规定要求。洒水水费及乙方工作人员进驻各村后所在办公场所的水电费均由乙方负责。</w:t>
      </w:r>
    </w:p>
    <w:p>
      <w:pPr>
        <w:pStyle w:val="12"/>
        <w:snapToGrid w:val="0"/>
        <w:spacing w:line="360" w:lineRule="auto"/>
        <w:rPr>
          <w:rFonts w:hAnsi="宋体" w:cs="宋体"/>
          <w:b/>
          <w:bCs/>
          <w:color w:val="auto"/>
          <w:szCs w:val="21"/>
          <w:highlight w:val="none"/>
        </w:rPr>
      </w:pPr>
      <w:r>
        <w:rPr>
          <w:rFonts w:hint="eastAsia" w:hAnsi="宋体" w:cs="宋体"/>
          <w:b/>
          <w:bCs/>
          <w:color w:val="auto"/>
          <w:szCs w:val="21"/>
          <w:highlight w:val="none"/>
        </w:rPr>
        <w:t>(二)保洁质量标准及保洁作业要求：</w:t>
      </w:r>
    </w:p>
    <w:p>
      <w:pPr>
        <w:spacing w:line="360" w:lineRule="auto"/>
        <w:ind w:firstLine="420" w:firstLineChars="200"/>
        <w:rPr>
          <w:rFonts w:ascii="宋体" w:hAnsi="宋体" w:cs="宋体"/>
          <w:color w:val="auto"/>
          <w:szCs w:val="21"/>
          <w:highlight w:val="none"/>
          <w:lang w:val="en-GB"/>
        </w:rPr>
      </w:pPr>
      <w:r>
        <w:rPr>
          <w:rFonts w:ascii="宋体" w:hAnsi="宋体" w:cs="宋体"/>
          <w:color w:val="auto"/>
          <w:szCs w:val="21"/>
          <w:highlight w:val="none"/>
          <w:lang w:val="en-GB"/>
        </w:rPr>
        <w:t>1</w:t>
      </w:r>
      <w:r>
        <w:rPr>
          <w:rFonts w:hint="eastAsia" w:ascii="宋体" w:hAnsi="宋体" w:cs="宋体"/>
          <w:color w:val="auto"/>
          <w:szCs w:val="21"/>
          <w:highlight w:val="none"/>
          <w:lang w:val="en-GB"/>
        </w:rPr>
        <w:t>、“文明创建”</w:t>
      </w:r>
      <w:r>
        <w:rPr>
          <w:rFonts w:ascii="宋体" w:hAnsi="宋体" w:cs="宋体"/>
          <w:color w:val="auto"/>
          <w:szCs w:val="21"/>
          <w:highlight w:val="none"/>
          <w:lang w:val="en-GB"/>
        </w:rPr>
        <w:t>1</w:t>
      </w:r>
      <w:r>
        <w:rPr>
          <w:rFonts w:hint="eastAsia" w:ascii="宋体" w:hAnsi="宋体" w:cs="宋体"/>
          <w:color w:val="auto"/>
          <w:szCs w:val="21"/>
          <w:highlight w:val="none"/>
        </w:rPr>
        <w:t>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Arial"/>
          <w:color w:val="auto"/>
          <w:szCs w:val="21"/>
          <w:highlight w:val="none"/>
          <w:shd w:val="clear" w:color="auto" w:fill="FFFFFF"/>
        </w:rPr>
        <w:t>人行道</w:t>
      </w:r>
      <w:r>
        <w:rPr>
          <w:rFonts w:hint="eastAsia" w:ascii="宋体" w:hAnsi="宋体" w:cs="宋体"/>
          <w:color w:val="auto"/>
          <w:szCs w:val="21"/>
          <w:highlight w:val="none"/>
          <w:lang w:val="en-GB"/>
        </w:rPr>
        <w:t>、</w:t>
      </w:r>
      <w:r>
        <w:rPr>
          <w:rFonts w:hint="eastAsia" w:ascii="宋体" w:hAnsi="宋体" w:cs="Arial"/>
          <w:color w:val="auto"/>
          <w:szCs w:val="21"/>
          <w:highlight w:val="none"/>
          <w:shd w:val="clear" w:color="auto" w:fill="FFFFFF"/>
        </w:rPr>
        <w:t>等道路保洁</w:t>
      </w:r>
      <w:r>
        <w:rPr>
          <w:rFonts w:hint="eastAsia" w:ascii="宋体" w:hAnsi="宋体"/>
          <w:color w:val="auto"/>
          <w:szCs w:val="21"/>
          <w:highlight w:val="none"/>
        </w:rPr>
        <w:t>执行《浙江省城市道路清扫保洁质量标准》（</w:t>
      </w:r>
      <w:r>
        <w:rPr>
          <w:rFonts w:ascii="宋体" w:hAnsi="宋体"/>
          <w:color w:val="auto"/>
          <w:szCs w:val="21"/>
          <w:highlight w:val="none"/>
        </w:rPr>
        <w:t>2005</w:t>
      </w:r>
      <w:r>
        <w:rPr>
          <w:rFonts w:hint="eastAsia" w:ascii="宋体" w:hAnsi="宋体"/>
          <w:color w:val="auto"/>
          <w:szCs w:val="21"/>
          <w:highlight w:val="none"/>
        </w:rPr>
        <w:t>城建发</w:t>
      </w:r>
      <w:r>
        <w:rPr>
          <w:rFonts w:ascii="宋体" w:hAnsi="宋体"/>
          <w:color w:val="auto"/>
          <w:szCs w:val="21"/>
          <w:highlight w:val="none"/>
        </w:rPr>
        <w:t>248</w:t>
      </w:r>
      <w:r>
        <w:rPr>
          <w:rFonts w:hint="eastAsia" w:ascii="宋体" w:hAnsi="宋体"/>
          <w:color w:val="auto"/>
          <w:szCs w:val="21"/>
          <w:highlight w:val="none"/>
        </w:rPr>
        <w:t>号）与台州市“文明创建”工作要求，按二级路面普扫质量要求开展清扫保洁作业，保洁质量达到“文明创建”与“三化”考核等检查标准。主要道路（指螺洋街、银安西街）保洁时间不少于</w:t>
      </w:r>
      <w:r>
        <w:rPr>
          <w:rFonts w:ascii="宋体" w:hAnsi="宋体"/>
          <w:color w:val="auto"/>
          <w:szCs w:val="21"/>
          <w:highlight w:val="none"/>
        </w:rPr>
        <w:t>16</w:t>
      </w:r>
      <w:r>
        <w:rPr>
          <w:rFonts w:hint="eastAsia" w:ascii="宋体" w:hAnsi="宋体"/>
          <w:color w:val="auto"/>
          <w:szCs w:val="21"/>
          <w:highlight w:val="none"/>
        </w:rPr>
        <w:t>小时，其他道路、人行道和其他城区村居道路，保洁时间不少于</w:t>
      </w:r>
      <w:r>
        <w:rPr>
          <w:rFonts w:ascii="宋体" w:hAnsi="宋体"/>
          <w:color w:val="auto"/>
          <w:szCs w:val="21"/>
          <w:highlight w:val="none"/>
        </w:rPr>
        <w:t>12</w:t>
      </w:r>
      <w:r>
        <w:rPr>
          <w:rFonts w:hint="eastAsia" w:ascii="宋体" w:hAnsi="宋体"/>
          <w:color w:val="auto"/>
          <w:szCs w:val="21"/>
          <w:highlight w:val="none"/>
        </w:rPr>
        <w:t>小时，</w:t>
      </w:r>
      <w:r>
        <w:rPr>
          <w:rFonts w:hint="eastAsia" w:ascii="宋体" w:hAnsi="宋体" w:cs="宋体"/>
          <w:color w:val="auto"/>
          <w:szCs w:val="21"/>
          <w:highlight w:val="none"/>
          <w:lang w:val="en-GB"/>
        </w:rPr>
        <w:t>清扫保洁质量标准和时间要求：主次道路每天清扫不少于</w:t>
      </w:r>
      <w:r>
        <w:rPr>
          <w:rFonts w:ascii="宋体" w:hAnsi="宋体" w:cs="宋体"/>
          <w:color w:val="auto"/>
          <w:szCs w:val="21"/>
          <w:highlight w:val="none"/>
          <w:lang w:val="en-GB"/>
        </w:rPr>
        <w:t>1—2</w:t>
      </w:r>
      <w:r>
        <w:rPr>
          <w:rFonts w:hint="eastAsia" w:ascii="宋体" w:hAnsi="宋体" w:cs="宋体"/>
          <w:color w:val="auto"/>
          <w:szCs w:val="21"/>
          <w:highlight w:val="none"/>
          <w:lang w:val="en-GB"/>
        </w:rPr>
        <w:t>次，</w:t>
      </w:r>
      <w:r>
        <w:rPr>
          <w:rFonts w:hint="eastAsia" w:ascii="宋体" w:hAnsi="宋体" w:cs="宋体"/>
          <w:color w:val="auto"/>
          <w:szCs w:val="21"/>
          <w:highlight w:val="none"/>
        </w:rPr>
        <w:t>早上在</w:t>
      </w:r>
      <w:r>
        <w:rPr>
          <w:rFonts w:ascii="宋体" w:hAnsi="宋体" w:cs="宋体"/>
          <w:color w:val="auto"/>
          <w:szCs w:val="21"/>
          <w:highlight w:val="none"/>
        </w:rPr>
        <w:t>9</w:t>
      </w:r>
      <w:r>
        <w:rPr>
          <w:rFonts w:hint="eastAsia" w:ascii="宋体" w:hAnsi="宋体" w:cs="宋体"/>
          <w:color w:val="auto"/>
          <w:szCs w:val="21"/>
          <w:highlight w:val="none"/>
        </w:rPr>
        <w:t>：</w:t>
      </w:r>
      <w:r>
        <w:rPr>
          <w:rFonts w:ascii="宋体" w:hAnsi="宋体" w:cs="宋体"/>
          <w:color w:val="auto"/>
          <w:szCs w:val="21"/>
          <w:highlight w:val="none"/>
        </w:rPr>
        <w:t>00</w:t>
      </w:r>
      <w:r>
        <w:rPr>
          <w:rFonts w:hint="eastAsia" w:ascii="宋体" w:hAnsi="宋体" w:cs="宋体"/>
          <w:color w:val="auto"/>
          <w:szCs w:val="21"/>
          <w:highlight w:val="none"/>
        </w:rPr>
        <w:t>前全面前普扫完毕，</w:t>
      </w:r>
      <w:r>
        <w:rPr>
          <w:rFonts w:hint="eastAsia" w:ascii="宋体" w:hAnsi="宋体" w:cs="宋体"/>
          <w:color w:val="auto"/>
          <w:szCs w:val="21"/>
          <w:highlight w:val="none"/>
          <w:lang w:val="en-GB"/>
        </w:rPr>
        <w:t>清扫保洁时间不少于</w:t>
      </w:r>
      <w:r>
        <w:rPr>
          <w:rFonts w:ascii="宋体" w:hAnsi="宋体" w:cs="宋体"/>
          <w:color w:val="auto"/>
          <w:szCs w:val="21"/>
          <w:highlight w:val="none"/>
          <w:lang w:val="en-GB"/>
        </w:rPr>
        <w:t>8</w:t>
      </w:r>
      <w:r>
        <w:rPr>
          <w:rFonts w:hint="eastAsia" w:ascii="宋体" w:hAnsi="宋体" w:cs="宋体"/>
          <w:color w:val="auto"/>
          <w:szCs w:val="21"/>
          <w:highlight w:val="none"/>
          <w:lang w:val="en-GB"/>
        </w:rPr>
        <w:t>小时，必要时要进行巡回保洁，其它路面每天清扫不少于</w:t>
      </w:r>
      <w:r>
        <w:rPr>
          <w:rFonts w:ascii="宋体" w:hAnsi="宋体" w:cs="宋体"/>
          <w:color w:val="auto"/>
          <w:szCs w:val="21"/>
          <w:highlight w:val="none"/>
          <w:lang w:val="en-GB"/>
        </w:rPr>
        <w:t>1</w:t>
      </w:r>
      <w:r>
        <w:rPr>
          <w:rFonts w:hint="eastAsia" w:ascii="宋体" w:hAnsi="宋体" w:cs="宋体"/>
          <w:color w:val="auto"/>
          <w:szCs w:val="21"/>
          <w:highlight w:val="none"/>
          <w:lang w:val="en-GB"/>
        </w:rPr>
        <w:t>次，</w:t>
      </w:r>
      <w:r>
        <w:rPr>
          <w:rFonts w:hint="eastAsia" w:ascii="宋体" w:hAnsi="宋体" w:cs="宋体"/>
          <w:color w:val="auto"/>
          <w:szCs w:val="21"/>
          <w:highlight w:val="none"/>
        </w:rPr>
        <w:t>保洁标准按清洁家园或四级道路标准要求，主次道路地面干净，无成堆垃圾，视线无废弃物存在，无明显积泥积水，绿地净，边角净，无卫生死角，</w:t>
      </w:r>
      <w:r>
        <w:rPr>
          <w:rFonts w:hint="eastAsia" w:ascii="宋体" w:hAnsi="宋体" w:cs="Arial"/>
          <w:color w:val="auto"/>
          <w:szCs w:val="21"/>
          <w:highlight w:val="none"/>
          <w:shd w:val="clear" w:color="auto" w:fill="FFFFFF"/>
        </w:rPr>
        <w:t>机动车道，非机动车道、人行道以及责任区域内的道路及两侧人行道外</w:t>
      </w:r>
      <w:r>
        <w:rPr>
          <w:rFonts w:ascii="宋体" w:hAnsi="宋体" w:cs="Arial"/>
          <w:color w:val="auto"/>
          <w:szCs w:val="21"/>
          <w:highlight w:val="none"/>
          <w:shd w:val="clear" w:color="auto" w:fill="FFFFFF"/>
        </w:rPr>
        <w:t>2</w:t>
      </w:r>
      <w:r>
        <w:rPr>
          <w:rFonts w:hint="eastAsia" w:ascii="宋体" w:hAnsi="宋体" w:cs="Arial"/>
          <w:color w:val="auto"/>
          <w:szCs w:val="21"/>
          <w:highlight w:val="none"/>
          <w:shd w:val="clear" w:color="auto" w:fill="FFFFFF"/>
        </w:rPr>
        <w:t>米保洁及</w:t>
      </w:r>
      <w:r>
        <w:rPr>
          <w:rFonts w:hint="eastAsia" w:ascii="宋体" w:hAnsi="宋体"/>
          <w:color w:val="auto"/>
          <w:szCs w:val="21"/>
          <w:highlight w:val="none"/>
        </w:rPr>
        <w:t>小街，生活垃圾清运至</w:t>
      </w:r>
      <w:r>
        <w:rPr>
          <w:rFonts w:hint="eastAsia" w:ascii="宋体" w:hAnsi="宋体"/>
          <w:color w:val="auto"/>
          <w:szCs w:val="21"/>
          <w:highlight w:val="none"/>
          <w:lang w:eastAsia="zh-CN"/>
        </w:rPr>
        <w:t>甲方</w:t>
      </w:r>
      <w:r>
        <w:rPr>
          <w:rFonts w:hint="eastAsia" w:ascii="宋体" w:hAnsi="宋体"/>
          <w:color w:val="auto"/>
          <w:szCs w:val="21"/>
          <w:highlight w:val="none"/>
        </w:rPr>
        <w:t>指定地点。具体标准参</w:t>
      </w:r>
      <w:r>
        <w:rPr>
          <w:rFonts w:hint="eastAsia" w:ascii="宋体" w:hAnsi="宋体" w:cs="宋体"/>
          <w:color w:val="auto"/>
          <w:szCs w:val="21"/>
          <w:highlight w:val="none"/>
          <w:lang w:val="en-GB"/>
        </w:rPr>
        <w:t>照道路清扫保洁标准和城区国家卫生城市的标准执行。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）清扫范围内实行全日保洁，主要路段应巡回保洁，首次普遍清扫应在清晨</w:t>
      </w:r>
      <w:r>
        <w:rPr>
          <w:rFonts w:ascii="宋体" w:hAnsi="宋体"/>
          <w:color w:val="auto"/>
          <w:szCs w:val="21"/>
          <w:highlight w:val="none"/>
        </w:rPr>
        <w:t>7</w:t>
      </w:r>
      <w:r>
        <w:rPr>
          <w:rFonts w:hint="eastAsia" w:ascii="宋体" w:hAnsi="宋体"/>
          <w:color w:val="auto"/>
          <w:szCs w:val="21"/>
          <w:highlight w:val="none"/>
        </w:rPr>
        <w:t>时前结束（保洁时间是指保洁员在路段保洁作业的时间）。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路面基本见本色，保洁区域内做到“五无五净”，“五无”既无果皮纸屑、无土石杂草、无积水积泥、无痰迹烟蒂、无堆积物、“五净”既路面干净、道路绿地树圈干净、边角侧石干净、窨井沟眼畅通干净、果壳箱等环卫设施、设备整齐干净，垃圾滞留时间≤</w:t>
      </w:r>
      <w:r>
        <w:rPr>
          <w:rFonts w:ascii="宋体" w:hAnsi="宋体"/>
          <w:color w:val="auto"/>
          <w:szCs w:val="21"/>
          <w:highlight w:val="none"/>
        </w:rPr>
        <w:t>1</w:t>
      </w:r>
      <w:r>
        <w:rPr>
          <w:rFonts w:hint="eastAsia" w:ascii="宋体" w:hAnsi="宋体"/>
          <w:color w:val="auto"/>
          <w:szCs w:val="21"/>
          <w:highlight w:val="none"/>
        </w:rPr>
        <w:t>小时。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）道路路面应定时洒水和清洗，清洗时间一般应在晚上或清晨，其中主要路段辅以多功能洗扫作业，提高路面的清洁度与减轻扬尘污染；气温在</w:t>
      </w:r>
      <w:r>
        <w:rPr>
          <w:rFonts w:ascii="宋体" w:hAnsi="宋体"/>
          <w:color w:val="auto"/>
          <w:szCs w:val="21"/>
          <w:highlight w:val="none"/>
        </w:rPr>
        <w:t>30</w:t>
      </w:r>
      <w:r>
        <w:rPr>
          <w:rFonts w:hint="eastAsia" w:ascii="宋体" w:hAnsi="宋体"/>
          <w:color w:val="auto"/>
          <w:szCs w:val="21"/>
          <w:highlight w:val="none"/>
        </w:rPr>
        <w:t>℃以上时，每天洒水不应少于</w:t>
      </w:r>
      <w:r>
        <w:rPr>
          <w:rFonts w:ascii="宋体" w:hAnsi="宋体"/>
          <w:color w:val="auto"/>
          <w:szCs w:val="21"/>
          <w:highlight w:val="none"/>
        </w:rPr>
        <w:t>2</w:t>
      </w:r>
      <w:r>
        <w:rPr>
          <w:rFonts w:hint="eastAsia" w:ascii="宋体" w:hAnsi="宋体"/>
          <w:color w:val="auto"/>
          <w:szCs w:val="21"/>
          <w:highlight w:val="none"/>
        </w:rPr>
        <w:t>次，平常不应少于</w:t>
      </w:r>
      <w:r>
        <w:rPr>
          <w:rFonts w:ascii="宋体" w:hAnsi="宋体"/>
          <w:color w:val="auto"/>
          <w:szCs w:val="21"/>
          <w:highlight w:val="none"/>
        </w:rPr>
        <w:t>1</w:t>
      </w:r>
      <w:r>
        <w:rPr>
          <w:rFonts w:hint="eastAsia" w:ascii="宋体" w:hAnsi="宋体"/>
          <w:color w:val="auto"/>
          <w:szCs w:val="21"/>
          <w:highlight w:val="none"/>
        </w:rPr>
        <w:t>次，气温低于</w:t>
      </w:r>
      <w:r>
        <w:rPr>
          <w:rFonts w:ascii="宋体" w:hAnsi="宋体"/>
          <w:color w:val="auto"/>
          <w:szCs w:val="21"/>
          <w:highlight w:val="none"/>
        </w:rPr>
        <w:t>3</w:t>
      </w:r>
      <w:r>
        <w:rPr>
          <w:rFonts w:hint="eastAsia" w:ascii="宋体" w:hAnsi="宋体"/>
          <w:color w:val="auto"/>
          <w:szCs w:val="21"/>
          <w:highlight w:val="none"/>
        </w:rPr>
        <w:t>℃时应停止清洗和洒水。辖区内洒水的路段包括：老路院路（丁岙至104复线桥下）、商海南街、银安西街、银苑路、翠苑路、双庙路、财富大道南段。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）适合机扫道路应实行人机混扫，提高路面清洁度。机动车道每天不少于</w:t>
      </w:r>
      <w:r>
        <w:rPr>
          <w:rFonts w:ascii="宋体" w:hAnsi="宋体"/>
          <w:color w:val="auto"/>
          <w:szCs w:val="21"/>
          <w:highlight w:val="none"/>
        </w:rPr>
        <w:t>2</w:t>
      </w:r>
      <w:r>
        <w:rPr>
          <w:rFonts w:hint="eastAsia" w:ascii="宋体" w:hAnsi="宋体"/>
          <w:color w:val="auto"/>
          <w:szCs w:val="21"/>
          <w:highlight w:val="none"/>
        </w:rPr>
        <w:t>次机扫，必要时增加清扫次数。机扫车辆每台班机扫里程需达到</w:t>
      </w:r>
      <w:r>
        <w:rPr>
          <w:rFonts w:ascii="宋体" w:hAnsi="宋体"/>
          <w:color w:val="auto"/>
          <w:szCs w:val="21"/>
          <w:highlight w:val="none"/>
        </w:rPr>
        <w:t>50</w:t>
      </w:r>
      <w:r>
        <w:rPr>
          <w:rFonts w:hint="eastAsia" w:ascii="宋体" w:hAnsi="宋体"/>
          <w:color w:val="auto"/>
          <w:szCs w:val="21"/>
          <w:highlight w:val="none"/>
        </w:rPr>
        <w:t>公里以上，时速控制在</w:t>
      </w:r>
      <w:r>
        <w:rPr>
          <w:rFonts w:ascii="宋体" w:hAnsi="宋体"/>
          <w:color w:val="auto"/>
          <w:szCs w:val="21"/>
          <w:highlight w:val="none"/>
        </w:rPr>
        <w:t>10</w:t>
      </w:r>
      <w:r>
        <w:rPr>
          <w:rFonts w:hint="eastAsia" w:ascii="宋体" w:hAnsi="宋体"/>
          <w:color w:val="auto"/>
          <w:szCs w:val="21"/>
          <w:highlight w:val="none"/>
        </w:rPr>
        <w:t>公里</w:t>
      </w:r>
      <w:r>
        <w:rPr>
          <w:rFonts w:ascii="宋体" w:hAnsi="宋体" w:cs="宋体"/>
          <w:color w:val="auto"/>
          <w:spacing w:val="8"/>
          <w:szCs w:val="21"/>
          <w:highlight w:val="none"/>
        </w:rPr>
        <w:t>/</w:t>
      </w:r>
      <w:r>
        <w:rPr>
          <w:rFonts w:hint="eastAsia" w:ascii="宋体" w:hAnsi="宋体" w:cs="宋体"/>
          <w:color w:val="auto"/>
          <w:spacing w:val="8"/>
          <w:szCs w:val="21"/>
          <w:highlight w:val="none"/>
        </w:rPr>
        <w:t>小时内。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2、垃圾收集及清运：农户垃圾上门分类收集并负责将清扫出来的垃圾运送至垃圾待运点或镇中转站。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村内实行厨余垃圾和其它垃圾上门清运。垃圾收运过程中要做到收集农户分类垃圾收集达到98%以上，上门收集分类垃圾的数据评分达到70%以上，对住户进行垃圾分类宣教，严禁各类垃圾混装，一日两次上门收集，日产日清，准时清运。垃圾装运不超高、超载，运输过程沿途不滴漏、不溢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（2）易腐垃圾上门收运后，可就地运送至设立的易腐垃圾处理中心进行生化处理。</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3</w:t>
      </w:r>
      <w:r>
        <w:rPr>
          <w:rFonts w:hint="eastAsia" w:ascii="宋体" w:hAnsi="宋体" w:cs="宋体"/>
          <w:color w:val="auto"/>
          <w:szCs w:val="21"/>
          <w:highlight w:val="none"/>
          <w:lang w:val="en-GB"/>
        </w:rPr>
        <w:t>、责任区域环卫设施保洁冲洗，</w:t>
      </w:r>
      <w:r>
        <w:rPr>
          <w:rFonts w:hint="eastAsia" w:ascii="宋体" w:hAnsi="宋体"/>
          <w:color w:val="auto"/>
          <w:szCs w:val="21"/>
          <w:highlight w:val="none"/>
        </w:rPr>
        <w:t>果壳箱、垃圾桶、垃圾房等设施的日常保洁、消杀、维护与</w:t>
      </w:r>
      <w:r>
        <w:rPr>
          <w:rFonts w:hint="eastAsia" w:ascii="宋体" w:hAnsi="宋体" w:cs="Arial"/>
          <w:color w:val="auto"/>
          <w:szCs w:val="21"/>
          <w:highlight w:val="none"/>
          <w:shd w:val="clear" w:color="auto" w:fill="FFFFFF"/>
        </w:rPr>
        <w:t>清洗（设备添置由</w:t>
      </w:r>
      <w:r>
        <w:rPr>
          <w:rFonts w:hint="eastAsia" w:ascii="宋体" w:hAnsi="宋体" w:cs="Arial"/>
          <w:color w:val="auto"/>
          <w:szCs w:val="21"/>
          <w:highlight w:val="none"/>
          <w:shd w:val="clear" w:color="auto" w:fill="FFFFFF"/>
          <w:lang w:eastAsia="zh-CN"/>
        </w:rPr>
        <w:t>甲方</w:t>
      </w:r>
      <w:r>
        <w:rPr>
          <w:rFonts w:hint="eastAsia" w:ascii="宋体" w:hAnsi="宋体" w:cs="Arial"/>
          <w:color w:val="auto"/>
          <w:szCs w:val="21"/>
          <w:highlight w:val="none"/>
          <w:shd w:val="clear" w:color="auto" w:fill="FFFFFF"/>
        </w:rPr>
        <w:t>负责），保洁确保垃圾桶及四周和地面干净，</w:t>
      </w:r>
      <w:r>
        <w:rPr>
          <w:rFonts w:hint="eastAsia" w:ascii="宋体" w:hAnsi="宋体"/>
          <w:iCs/>
          <w:color w:val="auto"/>
          <w:szCs w:val="21"/>
          <w:highlight w:val="none"/>
        </w:rPr>
        <w:t>城区村居及主道路两侧</w:t>
      </w:r>
      <w:r>
        <w:rPr>
          <w:rFonts w:hint="eastAsia" w:ascii="宋体" w:hAnsi="宋体" w:cs="宋体"/>
          <w:iCs/>
          <w:color w:val="auto"/>
          <w:szCs w:val="21"/>
          <w:highlight w:val="none"/>
          <w:lang w:val="en-GB"/>
        </w:rPr>
        <w:t>每周一次，但遇考核或检查前，垃圾桶必须全部清洗更换一次，</w:t>
      </w:r>
      <w:r>
        <w:rPr>
          <w:rFonts w:hint="eastAsia" w:ascii="宋体" w:hAnsi="宋体" w:cs="宋体"/>
          <w:color w:val="auto"/>
          <w:szCs w:val="21"/>
          <w:highlight w:val="none"/>
          <w:lang w:val="en-GB"/>
        </w:rPr>
        <w:t>其他村居和道路适时冲洗。</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4</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范围内“牛皮癣”（小广告、涂鸦）清除、清洗，</w:t>
      </w:r>
      <w:r>
        <w:rPr>
          <w:rFonts w:hint="eastAsia" w:ascii="宋体" w:hAnsi="宋体"/>
          <w:color w:val="auto"/>
          <w:szCs w:val="21"/>
          <w:highlight w:val="none"/>
        </w:rPr>
        <w:t>做到无小广告、无乱张贴、无树挂</w:t>
      </w:r>
      <w:r>
        <w:rPr>
          <w:rFonts w:hint="eastAsia" w:ascii="宋体" w:hAnsi="宋体" w:cs="宋体"/>
          <w:color w:val="auto"/>
          <w:szCs w:val="21"/>
          <w:highlight w:val="none"/>
          <w:lang w:val="en-GB"/>
        </w:rPr>
        <w:t>。</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5</w:t>
      </w:r>
      <w:r>
        <w:rPr>
          <w:rFonts w:hint="eastAsia" w:ascii="宋体" w:hAnsi="宋体" w:cs="宋体"/>
          <w:color w:val="auto"/>
          <w:szCs w:val="21"/>
          <w:highlight w:val="none"/>
          <w:lang w:val="en-GB"/>
        </w:rPr>
        <w:t>、责任区域村庄周边公共场所（公厕、田间地头、绿化带、排水沟漂浮物）垃圾清理拾捡，破旧悬挂物要清理干净。</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6</w:t>
      </w:r>
      <w:r>
        <w:rPr>
          <w:rFonts w:hint="eastAsia" w:ascii="宋体" w:hAnsi="宋体" w:cs="宋体"/>
          <w:color w:val="auto"/>
          <w:szCs w:val="21"/>
          <w:highlight w:val="none"/>
          <w:lang w:val="en-GB"/>
        </w:rPr>
        <w:t>、公厕保洁做到内外干净整洁，无垃圾，设施完好，无苍蝇，蛛网，符合“文明创建”考核要求。</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7</w:t>
      </w:r>
      <w:r>
        <w:rPr>
          <w:rFonts w:hint="eastAsia" w:ascii="宋体" w:hAnsi="宋体" w:cs="宋体"/>
          <w:color w:val="auto"/>
          <w:szCs w:val="21"/>
          <w:highlight w:val="none"/>
          <w:lang w:val="en-GB"/>
        </w:rPr>
        <w:t>、无主的装修垃圾清运。</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8</w:t>
      </w:r>
      <w:r>
        <w:rPr>
          <w:rFonts w:hint="eastAsia" w:ascii="宋体" w:hAnsi="宋体" w:cs="宋体"/>
          <w:color w:val="auto"/>
          <w:szCs w:val="21"/>
          <w:highlight w:val="none"/>
          <w:lang w:val="en-GB"/>
        </w:rPr>
        <w:t>、</w:t>
      </w:r>
      <w:r>
        <w:rPr>
          <w:rFonts w:hint="eastAsia" w:ascii="宋体" w:hAnsi="宋体" w:cs="宋体"/>
          <w:color w:val="auto"/>
          <w:szCs w:val="21"/>
          <w:highlight w:val="none"/>
        </w:rPr>
        <w:t>16</w:t>
      </w:r>
      <w:r>
        <w:rPr>
          <w:rFonts w:ascii="宋体" w:hAnsi="宋体" w:cs="宋体"/>
          <w:color w:val="auto"/>
          <w:szCs w:val="21"/>
          <w:highlight w:val="none"/>
          <w:lang w:val="en-GB"/>
        </w:rPr>
        <w:t>个村居</w:t>
      </w:r>
      <w:r>
        <w:rPr>
          <w:rFonts w:hint="eastAsia" w:ascii="宋体" w:hAnsi="宋体" w:cs="宋体"/>
          <w:color w:val="auto"/>
          <w:szCs w:val="21"/>
          <w:highlight w:val="none"/>
          <w:lang w:val="en-GB"/>
        </w:rPr>
        <w:t>、</w:t>
      </w:r>
      <w:r>
        <w:rPr>
          <w:rFonts w:hint="eastAsia" w:ascii="宋体" w:hAnsi="宋体" w:cs="宋体"/>
          <w:color w:val="auto"/>
          <w:szCs w:val="21"/>
          <w:highlight w:val="none"/>
        </w:rPr>
        <w:t>社区</w:t>
      </w:r>
      <w:r>
        <w:rPr>
          <w:rFonts w:hint="eastAsia" w:ascii="宋体" w:hAnsi="宋体" w:cs="宋体"/>
          <w:color w:val="auto"/>
          <w:szCs w:val="21"/>
          <w:highlight w:val="none"/>
          <w:lang w:val="en-GB"/>
        </w:rPr>
        <w:t>等责任区域产生的生活垃圾（包括各村居产生的包皮边角料等其他垃圾）从中转站清运到蓬街镇旺能垃圾焚烧场（金清镇黄琅垃圾填埋场处理）。</w:t>
      </w:r>
    </w:p>
    <w:p>
      <w:pPr>
        <w:spacing w:line="360" w:lineRule="auto"/>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9</w:t>
      </w:r>
      <w:r>
        <w:rPr>
          <w:rFonts w:hint="eastAsia" w:ascii="宋体" w:hAnsi="宋体" w:cs="宋体"/>
          <w:color w:val="auto"/>
          <w:szCs w:val="21"/>
          <w:highlight w:val="none"/>
          <w:lang w:val="en-GB"/>
        </w:rPr>
        <w:t>、环卫清运车辆（含机动车、非机动车）作业要遵守安全作业的要求，垃圾清运实行密闭运输，无破损、无垃圾抛洒、无污水滴漏、车厢外无吊挂。</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10、一线保洁人员不迟到、不早退，城区村提前交班不脱挡。</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11、清扫保洁和清运车辆要保持清洁，遵守交通规则，保洁车辆要靠边停放，不得阻碍交通，车辆密闭运输，不得沿途散落垃圾，滴漏污水。</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12、路段内的垃圾箱,桶、要日产日清，上午要在城区村要在9：00前清运完毕，其它村在10：00前清运完毕，保证垃圾箱（桶、收集点）不满溢，如满溢要增加清运次数。</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13、所有机动车辆要遵守交通规则，不妨碍交通，保持车体整洁，作业后车辆及时入库，不得随意停放在街上或其他公共场所。</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14、所有保洁员及清运人员的垃圾运至指定的垃圾中转站，和直运到垃圾处理场倾倒，如有中转站损坏修理，服从甲方指挥、调度，不得随意倾倒。</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15、垃圾中转站值勤人员经培训后，携带上岗证，发现故障定期检修，保持中转站清洁，并要定期消杀，除臭。</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16、作业工具、服装由乙方自行负责解决，清扫保洁员必须穿着反光安全标志服上岗，反光带必须符合有关标准，雨衣等反光标志服每年至少更换一次。</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17、乙方必须对所有员工进行安全教育，所有员工在作业时应严格遵守劳动纪律，遵守安全操作规程，确保安全。发生各种劳动事故、交通事故、生产安全事故、与第三方的债权债务纠纷等均由乙方自己依照法律法规妥善处理，甲方不承担任何法律责任。</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18、卫生检查期间和特殊情况（任务）必须服从甲方的安排，延长保洁时间，原则上甲方不另加费用。</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19、如遇台风、洪水等自然灾害造成大量於泥堆积的，由乙方组织清理，费用另行协商解决。</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20、乙方接到责任路段内的应急清理、纠正指令、村民投诉和新闻舆论监督的，应在半小时内作出响应，4小时内处理完毕，并作好信息反馈，不加费用。</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六、考核检查：</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(一)、乙方必须建立并完善各类考核、管理制度，对聘用的清扫保洁员、清运人员、管理人员每天进行自查、考核；考核结果要与工资挂钩，做到奖惩分明。</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(二)、甲方每天对乙方进行日常巡查监管(考核办法详见附件)，每季开展明查和暗访，监督检查要有记录，并及时向乙方反馈情况。</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(三)、乙方必须做好日常监管，接受甲方备查。</w:t>
      </w:r>
    </w:p>
    <w:p>
      <w:pPr>
        <w:pStyle w:val="12"/>
        <w:adjustRightInd w:val="0"/>
        <w:snapToGrid w:val="0"/>
        <w:spacing w:line="360" w:lineRule="auto"/>
        <w:rPr>
          <w:rFonts w:hAnsi="宋体"/>
          <w:b/>
          <w:bCs/>
          <w:color w:val="auto"/>
          <w:szCs w:val="21"/>
          <w:highlight w:val="none"/>
        </w:rPr>
      </w:pPr>
      <w:r>
        <w:rPr>
          <w:rFonts w:hint="eastAsia" w:hAnsi="宋体"/>
          <w:b/>
          <w:bCs/>
          <w:color w:val="auto"/>
          <w:szCs w:val="21"/>
          <w:highlight w:val="none"/>
        </w:rPr>
        <w:t>七、合同的终止：</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1、有下列情形之一的，本合同自行解除。</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（1）因不可抗力及政策性因素，造成合同无法履行的。</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（2）经双方协商一致，自愿解除的。</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2、有下列情形之一的，甲方有权单方面终止承包合同，并没收履约保证金。</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（1）未经甲方同意，乙方擅自转包其它公司的。</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（2）保洁时间、质量标准连续3次检查或抽查30%以上路段不合格的；</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（3）在国家或省、市各类的检查、考核及各类重大任务中，因乙方不服从甲方统一指挥而出现较为重大或严重问题的。</w:t>
      </w:r>
    </w:p>
    <w:p>
      <w:pPr>
        <w:pStyle w:val="12"/>
        <w:adjustRightInd w:val="0"/>
        <w:snapToGrid w:val="0"/>
        <w:spacing w:line="360" w:lineRule="auto"/>
        <w:rPr>
          <w:rFonts w:hAnsi="宋体"/>
          <w:b/>
          <w:bCs/>
          <w:color w:val="auto"/>
          <w:szCs w:val="21"/>
          <w:highlight w:val="none"/>
        </w:rPr>
      </w:pPr>
      <w:r>
        <w:rPr>
          <w:rFonts w:hint="eastAsia" w:hAnsi="宋体"/>
          <w:b/>
          <w:bCs/>
          <w:color w:val="auto"/>
          <w:szCs w:val="21"/>
          <w:highlight w:val="none"/>
        </w:rPr>
        <w:t>八、其他事项：</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（一）乙方需将所有管理、清扫保洁、清运等所有用工人员的落实安排情况一式二份送交甲方备案；如遇人员变更，则应在五个工作日内及时送报变更人员的相关资料。</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（二）所有机动车辆、保洁车、工具不够部分等由乙方自行采购或租赁；乙方所投入本项目的作业机具及物资装备（包括机械清扫车、洒水车辆等）不得兼用于其他项目，如有特殊情况须向甲方备案申请批准。</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（三）乙方要加强作业安全管理，必须按国家有关规定为员工购买社会保险及人身意外伤害保险，乙方用工人员发生意外伤亡、安全事故等，乙方负全部法律责任，甲方概不负责。</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（四）乙方必须执行《劳动法》、《劳动合同法》等有关员工保障的其它规定。</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（五）达标率考核低于70％的称不合格，80％为合格，90％以上为优秀；本合同期内累计有三个月考核不合格，将终止合同并没收履约保证金。</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（六）第一季度作为试用期，考核可适当放宽要求，但人员不足按实际扣款。</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（七）在承包期限内，因发展需要新增的道路纳入保洁范围，并且不增加保洁费用；</w:t>
      </w:r>
      <w:r>
        <w:rPr>
          <w:rFonts w:hint="eastAsia" w:hAnsi="宋体" w:cs="宋体"/>
          <w:color w:val="auto"/>
          <w:szCs w:val="21"/>
          <w:highlight w:val="none"/>
          <w:lang w:eastAsia="zh-CN"/>
        </w:rPr>
        <w:t>乙方</w:t>
      </w:r>
      <w:r>
        <w:rPr>
          <w:rFonts w:hint="eastAsia" w:hAnsi="宋体" w:cs="宋体"/>
          <w:color w:val="auto"/>
          <w:szCs w:val="21"/>
          <w:highlight w:val="none"/>
        </w:rPr>
        <w:t>必须按相应道路等级保洁要求实施清扫保洁。</w:t>
      </w:r>
    </w:p>
    <w:p>
      <w:pPr>
        <w:pStyle w:val="12"/>
        <w:adjustRightInd w:val="0"/>
        <w:snapToGrid w:val="0"/>
        <w:spacing w:line="360" w:lineRule="auto"/>
        <w:rPr>
          <w:rFonts w:hAnsi="宋体"/>
          <w:b/>
          <w:bCs/>
          <w:color w:val="auto"/>
          <w:szCs w:val="21"/>
          <w:highlight w:val="none"/>
        </w:rPr>
      </w:pPr>
      <w:r>
        <w:rPr>
          <w:rFonts w:hint="eastAsia" w:hAnsi="宋体"/>
          <w:b/>
          <w:bCs/>
          <w:color w:val="auto"/>
          <w:szCs w:val="21"/>
          <w:highlight w:val="none"/>
        </w:rPr>
        <w:t>九、过渡期交接要求</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中标后，必须积极稳妥的做好原项目保洁人员的思想工作，保证做到人员的顺利交接，乙方必须无条件雇佣（接纳）螺洋街道环卫所原有保洁人员，工资福利不得低于原有标准；非环卫人员个人原因，一年内不得辞退。</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甲方现有空闲的环卫专用机具，且可用于保洁服务的，无偿提供给乙方使用，但在交接前后必须与甲方做好设备的登记核实。同时交接之后的设备机具维修养护及保险等相关支出均由乙方负责，在设备机具使用过程中乙方必须做好安全工作（包括现场工作人员及周边单位、第三方的安全、不可抗力产生的突发性灾害、自然灾害等），一旦出现安全事故，由乙方负全部责任。</w:t>
      </w:r>
    </w:p>
    <w:p>
      <w:pPr>
        <w:pStyle w:val="12"/>
        <w:adjustRightInd w:val="0"/>
        <w:snapToGrid w:val="0"/>
        <w:spacing w:line="360" w:lineRule="auto"/>
        <w:rPr>
          <w:rFonts w:hAnsi="宋体"/>
          <w:b/>
          <w:bCs/>
          <w:color w:val="auto"/>
          <w:szCs w:val="21"/>
          <w:highlight w:val="none"/>
        </w:rPr>
      </w:pPr>
      <w:r>
        <w:rPr>
          <w:rFonts w:hint="eastAsia" w:hAnsi="宋体"/>
          <w:b/>
          <w:bCs/>
          <w:color w:val="auto"/>
          <w:szCs w:val="21"/>
          <w:highlight w:val="none"/>
        </w:rPr>
        <w:t>十、不可抗力</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1、在承包期间发生地震、火灾及其他双方不能控制的原因，导致承包区域不能正常工作，合同不能或不能全部履行。双方可以按以下各项执行：</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1.1、任何一方可以书面形式终止合同无需做出任何赔偿。</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1.2、因不可抗力导致合同终止，并不影响任何一方对不可抗力先前发生的违约行为合法追偿。</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1.3、甲方不负责因不可抗力造成合同不能正常履行的责任。</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1.4、因不可抗力造成甲方的损害，甲方的保险赔偿不受影响。对恢复承包合同期间的价格及其它费用双方可以协商解决。</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2、遇国家政策性调整，影响合同履行，双方协商解决。</w:t>
      </w:r>
    </w:p>
    <w:p>
      <w:pPr>
        <w:pStyle w:val="12"/>
        <w:adjustRightInd w:val="0"/>
        <w:snapToGrid w:val="0"/>
        <w:spacing w:line="360" w:lineRule="auto"/>
        <w:rPr>
          <w:rFonts w:hAnsi="宋体"/>
          <w:b/>
          <w:bCs/>
          <w:color w:val="auto"/>
          <w:szCs w:val="21"/>
          <w:highlight w:val="none"/>
        </w:rPr>
      </w:pPr>
      <w:r>
        <w:rPr>
          <w:rFonts w:hint="eastAsia" w:hAnsi="宋体"/>
          <w:b/>
          <w:bCs/>
          <w:color w:val="auto"/>
          <w:szCs w:val="21"/>
          <w:highlight w:val="none"/>
        </w:rPr>
        <w:t>十一、其他</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1、乙方所有人员的事故由乙方自行全权负责，甲方不承担任何责任。在乙方的责任区内由于乙方原因导致第三方的事故由乙方负责，甲方不承担任何责任。</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2、本合同中所述通知，必须为书面形式，并有送达签收。</w:t>
      </w:r>
    </w:p>
    <w:p>
      <w:pPr>
        <w:pStyle w:val="12"/>
        <w:snapToGrid w:val="0"/>
        <w:spacing w:line="360" w:lineRule="auto"/>
        <w:rPr>
          <w:rFonts w:hAnsi="宋体" w:cs="宋体"/>
          <w:b/>
          <w:bCs/>
          <w:color w:val="auto"/>
          <w:szCs w:val="21"/>
          <w:highlight w:val="none"/>
        </w:rPr>
      </w:pPr>
      <w:r>
        <w:rPr>
          <w:rFonts w:hint="eastAsia" w:hAnsi="宋体" w:cs="宋体"/>
          <w:b/>
          <w:bCs/>
          <w:color w:val="auto"/>
          <w:szCs w:val="21"/>
          <w:highlight w:val="none"/>
        </w:rPr>
        <w:t>十二、争议及解决途径</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1、争议解决</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1.1、凡有关本合同或执行本合同中发生的争端，承包、发包双方应通过友好协商，妥善解决。如通过协商仍不能解决时，可向路桥区人民法院提出申请，通过诉讼渠道解决。</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1.2、诉讼费用除路桥区人民法院另有判决外，由败诉方承担；</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1.3、在诉讼期间，除正在进行诉讼的部分外，本合同其它部分应继续执行。</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2、适用法律</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本合同按照中华人民共和国的法律进行解释。</w:t>
      </w:r>
    </w:p>
    <w:p>
      <w:pPr>
        <w:pStyle w:val="12"/>
        <w:snapToGrid w:val="0"/>
        <w:spacing w:line="360" w:lineRule="auto"/>
        <w:rPr>
          <w:rFonts w:hAnsi="宋体" w:cs="宋体"/>
          <w:color w:val="auto"/>
          <w:szCs w:val="21"/>
          <w:highlight w:val="none"/>
        </w:rPr>
      </w:pPr>
      <w:r>
        <w:rPr>
          <w:rFonts w:hint="eastAsia" w:hAnsi="宋体" w:cs="宋体"/>
          <w:color w:val="auto"/>
          <w:szCs w:val="21"/>
          <w:highlight w:val="none"/>
        </w:rPr>
        <w:t>3、组成本合同文件及优先解释顺序如下：</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3.1、本合同协议书；</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3.2、中标通知书；</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3.3、招标文件以及更正通知、答疑说明；</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3.4、投标文件及评标过程中有关澄清文件；</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3.5、国家有关标准、规范及有关技术文件；</w:t>
      </w:r>
    </w:p>
    <w:p>
      <w:pPr>
        <w:pStyle w:val="12"/>
        <w:snapToGrid w:val="0"/>
        <w:spacing w:line="360" w:lineRule="auto"/>
        <w:rPr>
          <w:rFonts w:hAnsi="宋体" w:cs="宋体"/>
          <w:b/>
          <w:bCs/>
          <w:color w:val="auto"/>
          <w:szCs w:val="21"/>
          <w:highlight w:val="none"/>
        </w:rPr>
      </w:pPr>
      <w:r>
        <w:rPr>
          <w:rFonts w:hint="eastAsia" w:hAnsi="宋体" w:cs="宋体"/>
          <w:b/>
          <w:bCs/>
          <w:color w:val="auto"/>
          <w:szCs w:val="21"/>
          <w:highlight w:val="none"/>
        </w:rPr>
        <w:t>十三、本合同生效及其他</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1、合同经双方法定代表人或授权代表签字并加盖单位公章后生效。</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2、合同执行中涉及采购资金和采购内容修改或补充的，须经财政部门审批，并签书面补充协议报政府采购监督管理部门备案，方为生效，届时才作为主合同不可分割的一部分。</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3、本合同未尽事宜，遵照《民法典》有关条文执行。</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4、本合同壹式陆份，甲、乙双方、招标代理公司各执贰份。本项目未尽事宜以招标文件、投标文件及澄清文件等为准。</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5、与本合同有关标书及记录同本合同具有同等法律效果。</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pPr>
        <w:spacing w:line="500" w:lineRule="exact"/>
        <w:textAlignment w:val="baseline"/>
        <w:rPr>
          <w:rFonts w:ascii="宋体" w:hAnsi="宋体"/>
          <w:snapToGrid w:val="0"/>
          <w:color w:val="auto"/>
          <w:szCs w:val="21"/>
          <w:highlight w:val="none"/>
        </w:rPr>
      </w:pPr>
    </w:p>
    <w:p>
      <w:pPr>
        <w:spacing w:line="500" w:lineRule="exact"/>
        <w:ind w:firstLine="420" w:firstLineChars="200"/>
        <w:textAlignment w:val="baseline"/>
        <w:rPr>
          <w:rFonts w:ascii="宋体" w:hAnsi="宋体"/>
          <w:snapToGrid w:val="0"/>
          <w:color w:val="auto"/>
          <w:szCs w:val="21"/>
          <w:highlight w:val="none"/>
        </w:rPr>
      </w:pPr>
      <w:r>
        <w:rPr>
          <w:rFonts w:hint="eastAsia" w:ascii="宋体" w:hAnsi="宋体"/>
          <w:snapToGrid w:val="0"/>
          <w:color w:val="auto"/>
          <w:szCs w:val="21"/>
          <w:highlight w:val="none"/>
        </w:rPr>
        <w:t>合同鉴证方：</w:t>
      </w:r>
    </w:p>
    <w:p>
      <w:pPr>
        <w:spacing w:line="500" w:lineRule="exact"/>
        <w:ind w:firstLine="420" w:firstLineChars="200"/>
        <w:textAlignment w:val="baseline"/>
        <w:rPr>
          <w:color w:val="auto"/>
          <w:highlight w:val="none"/>
        </w:rPr>
      </w:pPr>
      <w:r>
        <w:rPr>
          <w:rFonts w:hint="eastAsia" w:ascii="宋体" w:hAnsi="宋体"/>
          <w:color w:val="auto"/>
          <w:kern w:val="0"/>
          <w:szCs w:val="21"/>
          <w:highlight w:val="none"/>
        </w:rPr>
        <w:t>签订日期：       年     月     日</w:t>
      </w:r>
    </w:p>
    <w:p>
      <w:pPr>
        <w:pStyle w:val="2"/>
        <w:jc w:val="center"/>
        <w:outlineLvl w:val="0"/>
        <w:rPr>
          <w:rFonts w:ascii="宋体" w:hAnsi="宋体"/>
          <w:b/>
          <w:color w:val="auto"/>
          <w:sz w:val="36"/>
          <w:szCs w:val="36"/>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pStyle w:val="2"/>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pPr>
        <w:keepNext w:val="0"/>
        <w:keepLines w:val="0"/>
        <w:pageBreakBefore w:val="0"/>
        <w:kinsoku/>
        <w:wordWrap/>
        <w:overflowPunct/>
        <w:topLinePunct w:val="0"/>
        <w:bidi w:val="0"/>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pStyle w:val="51"/>
        <w:rPr>
          <w:color w:val="auto"/>
          <w:highlight w:val="none"/>
        </w:rPr>
      </w:pP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地址：</w:t>
      </w:r>
    </w:p>
    <w:p>
      <w:pPr>
        <w:spacing w:line="360" w:lineRule="auto"/>
        <w:ind w:right="532"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pPr>
        <w:snapToGrid w:val="0"/>
        <w:spacing w:before="50" w:after="50" w:line="360" w:lineRule="auto"/>
        <w:jc w:val="center"/>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snapToGrid w:val="0"/>
        <w:spacing w:before="50" w:after="50" w:line="360" w:lineRule="auto"/>
        <w:jc w:val="center"/>
        <w:rPr>
          <w:rFonts w:ascii="仿宋_GB2312" w:hAnsi="宋体" w:eastAsia="仿宋_GB2312"/>
          <w:b/>
          <w:bCs/>
          <w:color w:val="auto"/>
          <w:sz w:val="32"/>
          <w:szCs w:val="32"/>
          <w:highlight w:val="none"/>
        </w:rPr>
      </w:pPr>
    </w:p>
    <w:p>
      <w:pPr>
        <w:snapToGrid w:val="0"/>
        <w:spacing w:line="360" w:lineRule="auto"/>
        <w:ind w:firstLine="480" w:firstLineChars="200"/>
        <w:rPr>
          <w:rFonts w:ascii="宋体" w:hAnsi="宋体"/>
          <w:color w:val="auto"/>
          <w:sz w:val="24"/>
          <w:highlight w:val="none"/>
        </w:rPr>
      </w:pPr>
      <w:r>
        <w:rPr>
          <w:rFonts w:hint="eastAsia"/>
          <w:bCs/>
          <w:color w:val="auto"/>
          <w:sz w:val="24"/>
          <w:highlight w:val="none"/>
        </w:rPr>
        <w:t>1、投标声明书</w:t>
      </w:r>
      <w:r>
        <w:rPr>
          <w:rFonts w:hint="eastAsia" w:ascii="宋体" w:hAnsi="宋体"/>
          <w:color w:val="auto"/>
          <w:sz w:val="24"/>
          <w:highlight w:val="none"/>
        </w:rPr>
        <w:t>（附件2）</w:t>
      </w:r>
    </w:p>
    <w:p>
      <w:pPr>
        <w:snapToGrid w:val="0"/>
        <w:spacing w:line="360" w:lineRule="auto"/>
        <w:ind w:firstLine="480" w:firstLineChars="200"/>
        <w:rPr>
          <w:rFonts w:ascii="宋体" w:hAnsi="宋体"/>
          <w:color w:val="auto"/>
          <w:kern w:val="0"/>
          <w:sz w:val="24"/>
          <w:highlight w:val="none"/>
        </w:rPr>
      </w:pPr>
      <w:r>
        <w:rPr>
          <w:rFonts w:hint="eastAsia"/>
          <w:bCs/>
          <w:color w:val="auto"/>
          <w:sz w:val="24"/>
          <w:highlight w:val="none"/>
        </w:rPr>
        <w:t>2、</w:t>
      </w:r>
      <w:r>
        <w:rPr>
          <w:bCs/>
          <w:color w:val="auto"/>
          <w:sz w:val="24"/>
          <w:highlight w:val="none"/>
        </w:rPr>
        <w:t>授权</w:t>
      </w:r>
      <w:r>
        <w:rPr>
          <w:rFonts w:hint="eastAsia"/>
          <w:bCs/>
          <w:color w:val="auto"/>
          <w:sz w:val="24"/>
          <w:highlight w:val="none"/>
        </w:rPr>
        <w:t>委托</w:t>
      </w:r>
      <w:r>
        <w:rPr>
          <w:bCs/>
          <w:color w:val="auto"/>
          <w:sz w:val="24"/>
          <w:highlight w:val="none"/>
        </w:rPr>
        <w:t>书</w:t>
      </w:r>
      <w:r>
        <w:rPr>
          <w:rFonts w:hint="eastAsia" w:ascii="宋体" w:hAnsi="宋体"/>
          <w:bCs/>
          <w:color w:val="auto"/>
          <w:sz w:val="24"/>
          <w:highlight w:val="none"/>
        </w:rPr>
        <w:t>（附件3）</w:t>
      </w:r>
    </w:p>
    <w:p>
      <w:pPr>
        <w:snapToGrid w:val="0"/>
        <w:spacing w:line="360" w:lineRule="auto"/>
        <w:ind w:firstLine="480" w:firstLineChars="200"/>
        <w:rPr>
          <w:rFonts w:ascii="宋体" w:hAnsi="宋体"/>
          <w:color w:val="auto"/>
          <w:kern w:val="0"/>
          <w:sz w:val="24"/>
          <w:highlight w:val="none"/>
        </w:rPr>
      </w:pPr>
      <w:r>
        <w:rPr>
          <w:rFonts w:hint="eastAsia"/>
          <w:color w:val="auto"/>
          <w:sz w:val="24"/>
          <w:highlight w:val="none"/>
        </w:rPr>
        <w:t>3、</w:t>
      </w:r>
      <w:r>
        <w:rPr>
          <w:color w:val="auto"/>
          <w:sz w:val="24"/>
          <w:highlight w:val="none"/>
        </w:rPr>
        <w:t>法人或者其他组织的营业执照等证明文件，自然人的身份证明</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4、本项目要求的特定资质证书</w:t>
      </w:r>
    </w:p>
    <w:p>
      <w:pPr>
        <w:snapToGrid w:val="0"/>
        <w:spacing w:before="100" w:beforeAutospacing="1" w:after="100" w:afterAutospacing="1" w:line="360" w:lineRule="auto"/>
        <w:jc w:val="center"/>
        <w:rPr>
          <w:rFonts w:ascii="宋体"/>
          <w:b/>
          <w:bCs/>
          <w:color w:val="auto"/>
          <w:sz w:val="36"/>
          <w:szCs w:val="32"/>
          <w:highlight w:val="none"/>
        </w:rPr>
      </w:pPr>
    </w:p>
    <w:p>
      <w:pPr>
        <w:spacing w:line="360" w:lineRule="auto"/>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pStyle w:val="2"/>
        <w:rPr>
          <w:rFonts w:ascii="宋体"/>
          <w:b/>
          <w:color w:val="auto"/>
          <w:sz w:val="28"/>
          <w:highlight w:val="none"/>
        </w:rPr>
      </w:pPr>
    </w:p>
    <w:p>
      <w:pPr>
        <w:spacing w:line="360" w:lineRule="auto"/>
        <w:rPr>
          <w:rFonts w:ascii="宋体" w:hAnsi="宋体"/>
          <w:b/>
          <w:color w:val="auto"/>
          <w:sz w:val="28"/>
          <w:highlight w:val="none"/>
        </w:rPr>
      </w:pPr>
    </w:p>
    <w:p>
      <w:pPr>
        <w:pStyle w:val="2"/>
        <w:rPr>
          <w:rFonts w:ascii="宋体" w:hAnsi="宋体"/>
          <w:b/>
          <w:color w:val="auto"/>
          <w:sz w:val="28"/>
          <w:highlight w:val="none"/>
        </w:rPr>
      </w:pPr>
    </w:p>
    <w:p>
      <w:pPr>
        <w:pStyle w:val="3"/>
        <w:ind w:firstLine="281"/>
        <w:rPr>
          <w:rFonts w:ascii="宋体" w:hAnsi="宋体"/>
          <w:b/>
          <w:color w:val="auto"/>
          <w:sz w:val="28"/>
          <w:highlight w:val="none"/>
        </w:rPr>
      </w:pPr>
    </w:p>
    <w:p>
      <w:pPr>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pPr>
        <w:spacing w:line="360" w:lineRule="auto"/>
        <w:jc w:val="center"/>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pacing w:line="360" w:lineRule="auto"/>
        <w:rPr>
          <w:color w:val="auto"/>
          <w:szCs w:val="21"/>
          <w:highlight w:val="none"/>
          <w:u w:val="single"/>
        </w:rPr>
      </w:pPr>
      <w:r>
        <w:rPr>
          <w:rFonts w:hint="eastAsia"/>
          <w:color w:val="auto"/>
          <w:szCs w:val="21"/>
          <w:highlight w:val="none"/>
          <w:u w:val="single"/>
        </w:rPr>
        <w:t>台州市路桥区人民政府螺洋街道办事处、台州永安工程咨询有限公司：</w:t>
      </w:r>
    </w:p>
    <w:p>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u w:val="single"/>
        </w:rPr>
        <w:t xml:space="preserve"> 投标人名称 </w:t>
      </w:r>
      <w:r>
        <w:rPr>
          <w:rFonts w:hint="eastAsia"/>
          <w:color w:val="auto"/>
          <w:szCs w:val="21"/>
          <w:highlight w:val="none"/>
        </w:rPr>
        <w:t>）系中华人民共和国合法企业，经营地址。</w:t>
      </w:r>
    </w:p>
    <w:p>
      <w:pPr>
        <w:spacing w:line="360" w:lineRule="auto"/>
        <w:ind w:firstLine="420" w:firstLineChars="200"/>
        <w:rPr>
          <w:color w:val="auto"/>
          <w:szCs w:val="21"/>
          <w:highlight w:val="none"/>
        </w:rPr>
      </w:pPr>
      <w:r>
        <w:rPr>
          <w:rFonts w:hint="eastAsia"/>
          <w:color w:val="auto"/>
          <w:szCs w:val="21"/>
          <w:highlight w:val="none"/>
        </w:rPr>
        <w:t>我（</w:t>
      </w:r>
      <w:r>
        <w:rPr>
          <w:rFonts w:hint="eastAsia" w:ascii="宋体" w:hAnsi="宋体" w:cs="宋体"/>
          <w:color w:val="auto"/>
          <w:szCs w:val="21"/>
          <w:highlight w:val="none"/>
          <w:u w:val="single"/>
        </w:rPr>
        <w:t xml:space="preserve"> 姓名 </w:t>
      </w:r>
      <w:r>
        <w:rPr>
          <w:rFonts w:hint="eastAsia"/>
          <w:color w:val="auto"/>
          <w:szCs w:val="21"/>
          <w:highlight w:val="none"/>
        </w:rPr>
        <w:t>）系（</w:t>
      </w:r>
      <w:r>
        <w:rPr>
          <w:rFonts w:hint="eastAsia" w:ascii="宋体" w:hAnsi="宋体" w:cs="宋体"/>
          <w:color w:val="auto"/>
          <w:szCs w:val="21"/>
          <w:highlight w:val="none"/>
          <w:u w:val="single"/>
        </w:rPr>
        <w:t xml:space="preserve"> 投标人名称 </w:t>
      </w:r>
      <w:r>
        <w:rPr>
          <w:rFonts w:hint="eastAsia"/>
          <w:color w:val="auto"/>
          <w:szCs w:val="21"/>
          <w:highlight w:val="none"/>
        </w:rPr>
        <w:t>）的法定代表人，我公司自愿参加贵方组织的</w:t>
      </w:r>
      <w:r>
        <w:rPr>
          <w:rFonts w:hint="eastAsia"/>
          <w:color w:val="auto"/>
          <w:szCs w:val="21"/>
          <w:highlight w:val="none"/>
          <w:u w:val="single"/>
        </w:rPr>
        <w:t>街道道路清扫保洁、垃圾清运和垃圾分类项目</w:t>
      </w:r>
      <w:r>
        <w:rPr>
          <w:rFonts w:hint="eastAsia"/>
          <w:color w:val="auto"/>
          <w:szCs w:val="21"/>
          <w:highlight w:val="none"/>
        </w:rPr>
        <w:t>（编号为</w:t>
      </w:r>
      <w:r>
        <w:rPr>
          <w:rFonts w:hint="eastAsia" w:ascii="宋体" w:hAnsi="宋体" w:cs="宋体"/>
          <w:color w:val="auto"/>
          <w:szCs w:val="21"/>
          <w:highlight w:val="none"/>
          <w:u w:val="single"/>
        </w:rPr>
        <w:t>tzya2021-lq63</w:t>
      </w:r>
      <w:r>
        <w:rPr>
          <w:rFonts w:hint="eastAsia"/>
          <w:color w:val="auto"/>
          <w:szCs w:val="21"/>
          <w:highlight w:val="none"/>
        </w:rPr>
        <w:t>）的投标，为此，我公司就本次投标有关事项郑重声明如下：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pacing w:line="360" w:lineRule="auto"/>
        <w:ind w:firstLine="420" w:firstLineChars="200"/>
        <w:rPr>
          <w:rFonts w:ascii="宋体" w:hAnsi="宋体" w:cs="宋体"/>
          <w:color w:val="auto"/>
          <w:szCs w:val="21"/>
          <w:highlight w:val="none"/>
          <w:lang w:val="af-ZA"/>
        </w:rPr>
      </w:pPr>
      <w:r>
        <w:rPr>
          <w:rFonts w:hint="eastAsia" w:ascii="宋体" w:hAnsi="宋体" w:cs="宋体"/>
          <w:color w:val="auto"/>
          <w:szCs w:val="21"/>
          <w:highlight w:val="none"/>
        </w:rPr>
        <w:t>四、我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保证，</w:t>
      </w:r>
      <w:r>
        <w:rPr>
          <w:rFonts w:hint="eastAsia" w:ascii="宋体" w:hAnsi="宋体" w:cs="宋体"/>
          <w:color w:val="auto"/>
          <w:szCs w:val="21"/>
          <w:highlight w:val="none"/>
          <w:lang w:val="af-ZA"/>
        </w:rPr>
        <w:t>采购人在中华人民共和国境内使用</w:t>
      </w:r>
      <w:r>
        <w:rPr>
          <w:rFonts w:hint="eastAsia" w:ascii="宋体" w:hAnsi="宋体" w:cs="宋体"/>
          <w:color w:val="auto"/>
          <w:szCs w:val="21"/>
          <w:highlight w:val="none"/>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af-ZA"/>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严格履行政府采购合同，</w:t>
      </w:r>
      <w:r>
        <w:rPr>
          <w:rFonts w:hint="eastAsia" w:ascii="宋体" w:hAnsi="宋体" w:cs="宋体"/>
          <w:color w:val="auto"/>
          <w:kern w:val="0"/>
          <w:szCs w:val="21"/>
          <w:highlight w:val="none"/>
          <w:lang w:val="af-ZA"/>
        </w:rPr>
        <w:t>除在投标文件中明确拒绝之外，均接受招标文件中的全部条件，</w:t>
      </w:r>
      <w:r>
        <w:rPr>
          <w:rFonts w:hint="eastAsia" w:ascii="宋体" w:hAnsi="宋体" w:cs="宋体"/>
          <w:color w:val="auto"/>
          <w:szCs w:val="21"/>
          <w:highlight w:val="none"/>
          <w:lang w:val="af-ZA"/>
        </w:rPr>
        <w:t>不降低合同约定的产品质量和服务，不擅自变更、中止、终止合同，或拒绝履行合同义务；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六、以上事项如有虚假或隐瞒，我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360" w:firstLineChars="1600"/>
        <w:rPr>
          <w:rFonts w:ascii="宋体" w:hAnsi="宋体" w:cs="宋体"/>
          <w:color w:val="auto"/>
          <w:szCs w:val="21"/>
          <w:highlight w:val="none"/>
          <w:lang w:val="zh-CN"/>
        </w:rPr>
      </w:pPr>
      <w:r>
        <w:rPr>
          <w:rFonts w:hint="eastAsia" w:ascii="宋体" w:hAnsi="宋体" w:cs="宋体"/>
          <w:color w:val="auto"/>
          <w:szCs w:val="21"/>
          <w:highlight w:val="none"/>
          <w:lang w:val="zh-CN"/>
        </w:rPr>
        <w:t>投标人名称(公章)：</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lang w:val="zh-CN"/>
        </w:rPr>
        <w:t>法定代表人或授权委托代理人（签字）：</w:t>
      </w:r>
    </w:p>
    <w:p>
      <w:pPr>
        <w:spacing w:line="360" w:lineRule="auto"/>
        <w:ind w:firstLine="420" w:firstLineChars="200"/>
        <w:jc w:val="center"/>
        <w:rPr>
          <w:rFonts w:ascii="宋体" w:hAnsi="宋体" w:cs="宋体"/>
          <w:color w:val="auto"/>
          <w:sz w:val="24"/>
          <w:szCs w:val="32"/>
          <w:highlight w:val="none"/>
        </w:rPr>
      </w:pPr>
      <w:r>
        <w:rPr>
          <w:rFonts w:hint="eastAsia" w:ascii="宋体" w:hAnsi="宋体" w:cs="宋体"/>
          <w:color w:val="auto"/>
          <w:szCs w:val="21"/>
          <w:highlight w:val="none"/>
          <w:lang w:val="zh-CN"/>
        </w:rPr>
        <w:t>日期：</w:t>
      </w:r>
      <w:r>
        <w:rPr>
          <w:rFonts w:hint="eastAsia" w:ascii="宋体" w:hAnsi="宋体" w:cs="宋体"/>
          <w:color w:val="auto"/>
          <w:szCs w:val="21"/>
          <w:highlight w:val="none"/>
        </w:rPr>
        <w:t>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pPr>
        <w:pStyle w:val="12"/>
        <w:spacing w:line="360" w:lineRule="auto"/>
        <w:ind w:left="210" w:hanging="210" w:hangingChars="100"/>
        <w:rPr>
          <w:rFonts w:hAnsi="宋体" w:cs="宋体"/>
          <w:color w:val="auto"/>
          <w:kern w:val="0"/>
          <w:szCs w:val="21"/>
          <w:highlight w:val="none"/>
        </w:rPr>
      </w:pPr>
      <w:r>
        <w:rPr>
          <w:rFonts w:hint="eastAsia" w:hAnsi="宋体"/>
          <w:color w:val="auto"/>
          <w:szCs w:val="21"/>
          <w:highlight w:val="none"/>
          <w:u w:val="single"/>
        </w:rPr>
        <w:t>台州市路桥区人民政府螺洋街道办事处、台州永安工程咨询有限公司</w:t>
      </w:r>
      <w:r>
        <w:rPr>
          <w:rFonts w:hint="eastAsia" w:hAnsi="宋体" w:cs="宋体"/>
          <w:color w:val="auto"/>
          <w:kern w:val="0"/>
          <w:szCs w:val="21"/>
          <w:highlight w:val="none"/>
        </w:rPr>
        <w:t>：</w:t>
      </w:r>
    </w:p>
    <w:p>
      <w:pPr>
        <w:pStyle w:val="12"/>
        <w:spacing w:line="360" w:lineRule="auto"/>
        <w:ind w:left="210" w:hanging="210" w:hangingChars="100"/>
        <w:rPr>
          <w:rFonts w:hAnsi="宋体"/>
          <w:color w:val="auto"/>
          <w:szCs w:val="21"/>
          <w:highlight w:val="none"/>
        </w:rPr>
      </w:pPr>
      <w:r>
        <w:rPr>
          <w:rFonts w:hint="eastAsia" w:hAnsi="宋体"/>
          <w:color w:val="auto"/>
          <w:szCs w:val="21"/>
          <w:highlight w:val="none"/>
          <w:u w:val="single"/>
        </w:rPr>
        <w:t>（投标人全称）</w:t>
      </w:r>
      <w:r>
        <w:rPr>
          <w:rFonts w:hint="eastAsia" w:hAnsi="宋体"/>
          <w:color w:val="auto"/>
          <w:szCs w:val="21"/>
          <w:highlight w:val="none"/>
        </w:rPr>
        <w:t>法定代表人</w:t>
      </w:r>
      <w:r>
        <w:rPr>
          <w:rFonts w:hint="eastAsia" w:ascii="Arial" w:hAnsi="Arial" w:cs="Arial"/>
          <w:color w:val="auto"/>
          <w:szCs w:val="21"/>
          <w:highlight w:val="none"/>
        </w:rPr>
        <w:t>（或营业执照中单位负责人）</w:t>
      </w:r>
      <w:r>
        <w:rPr>
          <w:rFonts w:hAnsi="宋体"/>
          <w:color w:val="auto"/>
          <w:szCs w:val="21"/>
          <w:highlight w:val="none"/>
          <w:u w:val="single"/>
        </w:rPr>
        <w:tab/>
      </w:r>
      <w:r>
        <w:rPr>
          <w:rFonts w:hint="eastAsia" w:hAnsi="宋体"/>
          <w:color w:val="auto"/>
          <w:szCs w:val="21"/>
          <w:highlight w:val="none"/>
          <w:u w:val="single"/>
        </w:rPr>
        <w:t>（法定代表人</w:t>
      </w:r>
      <w:r>
        <w:rPr>
          <w:rFonts w:hint="eastAsia" w:ascii="Arial" w:hAnsi="Arial" w:cs="Arial"/>
          <w:color w:val="auto"/>
          <w:szCs w:val="21"/>
          <w:highlight w:val="none"/>
          <w:u w:val="single"/>
        </w:rPr>
        <w:t>或营业执照中单位负责人</w:t>
      </w:r>
      <w:r>
        <w:rPr>
          <w:rFonts w:hint="eastAsia" w:hAnsi="宋体"/>
          <w:color w:val="auto"/>
          <w:szCs w:val="21"/>
          <w:highlight w:val="none"/>
          <w:u w:val="single"/>
        </w:rPr>
        <w:t>姓名）</w:t>
      </w:r>
      <w:r>
        <w:rPr>
          <w:rFonts w:hint="eastAsia" w:hAnsi="宋体"/>
          <w:color w:val="auto"/>
          <w:szCs w:val="21"/>
          <w:highlight w:val="none"/>
        </w:rPr>
        <w:t>授权</w:t>
      </w:r>
      <w:r>
        <w:rPr>
          <w:rFonts w:hint="eastAsia" w:hAnsi="宋体"/>
          <w:color w:val="auto"/>
          <w:szCs w:val="21"/>
          <w:highlight w:val="none"/>
          <w:u w:val="single"/>
        </w:rPr>
        <w:t>（授权委托代理人姓名）</w:t>
      </w:r>
      <w:r>
        <w:rPr>
          <w:rFonts w:hint="eastAsia" w:hAnsi="宋体"/>
          <w:color w:val="auto"/>
          <w:szCs w:val="21"/>
          <w:highlight w:val="none"/>
        </w:rPr>
        <w:t>为授权委托代理人，参加贵单位组织的</w:t>
      </w:r>
      <w:r>
        <w:rPr>
          <w:rFonts w:hint="eastAsia" w:hAnsi="Times New Roman"/>
          <w:color w:val="auto"/>
          <w:kern w:val="0"/>
          <w:szCs w:val="21"/>
          <w:highlight w:val="none"/>
          <w:u w:val="single"/>
        </w:rPr>
        <w:t>街道道路清扫保洁、垃圾清运和垃圾分类项目</w:t>
      </w:r>
      <w:r>
        <w:rPr>
          <w:rFonts w:hint="eastAsia" w:hAnsi="宋体"/>
          <w:color w:val="auto"/>
          <w:szCs w:val="21"/>
          <w:highlight w:val="none"/>
        </w:rPr>
        <w:t>的采购活动，并代表我方全权办理针对上述项目的投标、开标、评标、签约等具体事务和签署相关文件。我方对授权委托代理人的签字事项负全部责任。</w:t>
      </w:r>
    </w:p>
    <w:p>
      <w:pPr>
        <w:pStyle w:val="12"/>
        <w:spacing w:line="360" w:lineRule="auto"/>
        <w:ind w:left="139" w:leftChars="66" w:firstLine="420" w:firstLineChars="200"/>
        <w:rPr>
          <w:rFonts w:hAnsi="宋体"/>
          <w:color w:val="auto"/>
          <w:szCs w:val="21"/>
          <w:highlight w:val="none"/>
        </w:rPr>
      </w:pPr>
      <w:r>
        <w:rPr>
          <w:rFonts w:hint="eastAsia" w:hAnsi="宋体"/>
          <w:color w:val="auto"/>
          <w:szCs w:val="21"/>
          <w:highlight w:val="none"/>
        </w:rPr>
        <w:t>在撤销授权的书面通知以前，本授权书一直有效。授权委托代理人在授权委托书有效期内签署的所有文件不因授权的撤销而失效。</w:t>
      </w:r>
    </w:p>
    <w:p>
      <w:pPr>
        <w:pStyle w:val="12"/>
        <w:spacing w:line="360" w:lineRule="auto"/>
        <w:ind w:left="139" w:leftChars="66" w:firstLine="420" w:firstLineChars="200"/>
        <w:rPr>
          <w:rFonts w:hAnsi="宋体"/>
          <w:color w:val="auto"/>
          <w:szCs w:val="21"/>
          <w:highlight w:val="none"/>
        </w:rPr>
      </w:pPr>
      <w:r>
        <w:rPr>
          <w:rFonts w:hint="eastAsia" w:hAnsi="宋体"/>
          <w:color w:val="auto"/>
          <w:szCs w:val="21"/>
          <w:highlight w:val="none"/>
        </w:rPr>
        <w:t>授权委托代理人无转委托权，特此委托。</w:t>
      </w:r>
    </w:p>
    <w:p>
      <w:pPr>
        <w:spacing w:line="360" w:lineRule="auto"/>
        <w:rPr>
          <w:color w:val="auto"/>
          <w:szCs w:val="21"/>
          <w:highlight w:val="none"/>
        </w:rPr>
      </w:pPr>
    </w:p>
    <w:p>
      <w:pPr>
        <w:spacing w:line="360" w:lineRule="auto"/>
        <w:rPr>
          <w:color w:val="auto"/>
          <w:szCs w:val="21"/>
          <w:highlight w:val="none"/>
        </w:rPr>
      </w:pPr>
      <w:r>
        <w:rPr>
          <w:rFonts w:hint="eastAsia" w:ascii="宋体"/>
          <w:color w:val="auto"/>
          <w:szCs w:val="21"/>
          <w:highlight w:val="none"/>
        </w:rPr>
        <w:t>法定代表人签字或盖章：</w:t>
      </w:r>
    </w:p>
    <w:p>
      <w:pPr>
        <w:spacing w:line="360" w:lineRule="auto"/>
        <w:rPr>
          <w:color w:val="auto"/>
          <w:szCs w:val="21"/>
          <w:highlight w:val="none"/>
        </w:rPr>
      </w:pPr>
      <w:r>
        <w:rPr>
          <w:rFonts w:hint="eastAsia" w:ascii="宋体"/>
          <w:color w:val="auto"/>
          <w:szCs w:val="21"/>
          <w:highlight w:val="none"/>
        </w:rPr>
        <w:t>投标人全称（公章）：日期：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Cs w:val="21"/>
          <w:highlight w:val="none"/>
        </w:rPr>
      </w:pPr>
      <w:r>
        <w:rPr>
          <w:rFonts w:hint="eastAsia" w:ascii="宋体"/>
          <w:color w:val="auto"/>
          <w:szCs w:val="21"/>
          <w:highlight w:val="none"/>
        </w:rPr>
        <w:t>法定代表人姓名：</w:t>
      </w:r>
    </w:p>
    <w:p>
      <w:pPr>
        <w:spacing w:line="360" w:lineRule="auto"/>
        <w:rPr>
          <w:color w:val="auto"/>
          <w:szCs w:val="21"/>
          <w:highlight w:val="none"/>
        </w:rPr>
      </w:pPr>
      <w:r>
        <w:rPr>
          <w:rFonts w:hint="eastAsia" w:ascii="宋体"/>
          <w:color w:val="auto"/>
          <w:szCs w:val="21"/>
          <w:highlight w:val="none"/>
        </w:rPr>
        <w:t>传真：</w:t>
      </w:r>
    </w:p>
    <w:p>
      <w:pPr>
        <w:spacing w:line="360" w:lineRule="auto"/>
        <w:rPr>
          <w:rFonts w:ascii="宋体"/>
          <w:color w:val="auto"/>
          <w:szCs w:val="21"/>
          <w:highlight w:val="none"/>
        </w:rPr>
      </w:pPr>
      <w:r>
        <w:rPr>
          <w:rFonts w:hint="eastAsia" w:ascii="宋体"/>
          <w:color w:val="auto"/>
          <w:szCs w:val="21"/>
          <w:highlight w:val="none"/>
        </w:rPr>
        <w:t>电话：</w:t>
      </w:r>
    </w:p>
    <w:p>
      <w:pPr>
        <w:spacing w:line="360" w:lineRule="auto"/>
        <w:rPr>
          <w:color w:val="auto"/>
          <w:szCs w:val="21"/>
          <w:highlight w:val="none"/>
        </w:rPr>
      </w:pPr>
      <w:r>
        <w:rPr>
          <w:rFonts w:hint="eastAsia" w:ascii="宋体"/>
          <w:color w:val="auto"/>
          <w:szCs w:val="21"/>
          <w:highlight w:val="none"/>
        </w:rPr>
        <w:t>详细通讯地址：</w:t>
      </w:r>
    </w:p>
    <w:p>
      <w:pPr>
        <w:spacing w:line="360" w:lineRule="auto"/>
        <w:rPr>
          <w:rFonts w:ascii="宋体"/>
          <w:color w:val="auto"/>
          <w:szCs w:val="21"/>
          <w:highlight w:val="none"/>
        </w:rPr>
      </w:pPr>
      <w:r>
        <w:rPr>
          <w:rFonts w:hint="eastAsia" w:ascii="宋体"/>
          <w:color w:val="auto"/>
          <w:szCs w:val="21"/>
          <w:highlight w:val="none"/>
        </w:rPr>
        <w:t>邮政编码：</w:t>
      </w:r>
    </w:p>
    <w:p>
      <w:pPr>
        <w:spacing w:line="360" w:lineRule="auto"/>
        <w:rPr>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Cs w:val="21"/>
                <w:highlight w:val="none"/>
              </w:rPr>
            </w:pPr>
          </w:p>
          <w:p>
            <w:pPr>
              <w:spacing w:line="360" w:lineRule="auto"/>
              <w:rPr>
                <w:rFonts w:ascii="宋体"/>
                <w:b/>
                <w:color w:val="auto"/>
                <w:szCs w:val="21"/>
                <w:highlight w:val="none"/>
              </w:rPr>
            </w:pPr>
            <w:r>
              <w:rPr>
                <w:rFonts w:hint="eastAsia" w:ascii="宋体"/>
                <w:b/>
                <w:color w:val="auto"/>
                <w:szCs w:val="21"/>
                <w:highlight w:val="none"/>
              </w:rPr>
              <w:t>授权委托代理人身份证复印件粘帖处</w:t>
            </w:r>
          </w:p>
        </w:tc>
      </w:tr>
    </w:tbl>
    <w:p>
      <w:pPr>
        <w:spacing w:line="360" w:lineRule="auto"/>
        <w:rPr>
          <w:rFonts w:ascii="宋体"/>
          <w:color w:val="auto"/>
          <w:szCs w:val="21"/>
          <w:highlight w:val="none"/>
        </w:rPr>
      </w:pPr>
      <w:r>
        <w:rPr>
          <w:rFonts w:hint="eastAsia" w:ascii="宋体"/>
          <w:color w:val="auto"/>
          <w:szCs w:val="21"/>
          <w:highlight w:val="none"/>
        </w:rPr>
        <w:t>授权委托代理人姓名：</w:t>
      </w:r>
    </w:p>
    <w:p>
      <w:pPr>
        <w:spacing w:line="360" w:lineRule="auto"/>
        <w:rPr>
          <w:color w:val="auto"/>
          <w:szCs w:val="21"/>
          <w:highlight w:val="none"/>
        </w:rPr>
      </w:pPr>
      <w:r>
        <w:rPr>
          <w:rFonts w:hint="eastAsia" w:ascii="宋体"/>
          <w:color w:val="auto"/>
          <w:szCs w:val="21"/>
          <w:highlight w:val="none"/>
        </w:rPr>
        <w:t>职务：</w:t>
      </w:r>
    </w:p>
    <w:p>
      <w:pPr>
        <w:spacing w:line="360" w:lineRule="auto"/>
        <w:rPr>
          <w:color w:val="auto"/>
          <w:szCs w:val="21"/>
          <w:highlight w:val="none"/>
        </w:rPr>
      </w:pPr>
      <w:r>
        <w:rPr>
          <w:rFonts w:hint="eastAsia" w:ascii="宋体"/>
          <w:color w:val="auto"/>
          <w:szCs w:val="21"/>
          <w:highlight w:val="none"/>
        </w:rPr>
        <w:t>传真：</w:t>
      </w:r>
    </w:p>
    <w:p>
      <w:pPr>
        <w:spacing w:line="360" w:lineRule="auto"/>
        <w:rPr>
          <w:rFonts w:ascii="宋体"/>
          <w:color w:val="auto"/>
          <w:szCs w:val="21"/>
          <w:highlight w:val="none"/>
        </w:rPr>
      </w:pPr>
      <w:r>
        <w:rPr>
          <w:rFonts w:hint="eastAsia" w:ascii="宋体"/>
          <w:color w:val="auto"/>
          <w:szCs w:val="21"/>
          <w:highlight w:val="none"/>
        </w:rPr>
        <w:t>电话：</w:t>
      </w:r>
    </w:p>
    <w:p>
      <w:pPr>
        <w:spacing w:line="360" w:lineRule="auto"/>
        <w:rPr>
          <w:color w:val="auto"/>
          <w:szCs w:val="21"/>
          <w:highlight w:val="none"/>
        </w:rPr>
      </w:pPr>
      <w:r>
        <w:rPr>
          <w:rFonts w:hint="eastAsia" w:ascii="宋体"/>
          <w:color w:val="auto"/>
          <w:szCs w:val="21"/>
          <w:highlight w:val="none"/>
        </w:rPr>
        <w:t>详细通讯地址：</w:t>
      </w:r>
    </w:p>
    <w:p>
      <w:pPr>
        <w:spacing w:line="360" w:lineRule="auto"/>
        <w:rPr>
          <w:rFonts w:ascii="宋体"/>
          <w:color w:val="auto"/>
          <w:szCs w:val="21"/>
          <w:highlight w:val="none"/>
        </w:rPr>
      </w:pPr>
      <w:r>
        <w:rPr>
          <w:rFonts w:hint="eastAsia" w:ascii="宋体"/>
          <w:color w:val="auto"/>
          <w:szCs w:val="21"/>
          <w:highlight w:val="none"/>
        </w:rPr>
        <w:t>邮政编码：</w:t>
      </w: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pStyle w:val="65"/>
        <w:widowControl w:val="0"/>
        <w:snapToGrid w:val="0"/>
        <w:spacing w:line="360" w:lineRule="auto"/>
        <w:jc w:val="center"/>
        <w:rPr>
          <w:rFonts w:ascii="Times New Roman" w:hAnsi="Times New Roman"/>
          <w:b/>
          <w:color w:val="auto"/>
          <w:kern w:val="2"/>
          <w:sz w:val="32"/>
          <w:szCs w:val="32"/>
          <w:highlight w:val="none"/>
        </w:rPr>
      </w:pPr>
      <w:r>
        <w:rPr>
          <w:rFonts w:hint="eastAsia" w:ascii="Times New Roman" w:hAnsi="Times New Roman"/>
          <w:b/>
          <w:color w:val="auto"/>
          <w:kern w:val="2"/>
          <w:sz w:val="32"/>
          <w:szCs w:val="32"/>
          <w:highlight w:val="none"/>
        </w:rPr>
        <w:t>政府采购活动现场确认声明书</w:t>
      </w:r>
    </w:p>
    <w:p>
      <w:pPr>
        <w:pStyle w:val="65"/>
        <w:widowControl w:val="0"/>
        <w:snapToGrid w:val="0"/>
        <w:spacing w:line="360" w:lineRule="auto"/>
        <w:jc w:val="both"/>
        <w:rPr>
          <w:rFonts w:hAnsi="宋体" w:cs="宋体"/>
          <w:b/>
          <w:color w:val="auto"/>
          <w:sz w:val="21"/>
          <w:szCs w:val="21"/>
          <w:highlight w:val="none"/>
        </w:rPr>
      </w:pPr>
      <w:r>
        <w:rPr>
          <w:rFonts w:hint="eastAsia" w:hAnsi="宋体" w:cs="宋体"/>
          <w:color w:val="auto"/>
          <w:sz w:val="21"/>
          <w:szCs w:val="21"/>
          <w:highlight w:val="none"/>
          <w:u w:val="single"/>
        </w:rPr>
        <w:t>台州永安工程咨询有限公司</w:t>
      </w:r>
      <w:r>
        <w:rPr>
          <w:rFonts w:hint="eastAsia" w:hAnsi="宋体" w:cs="宋体"/>
          <w:color w:val="auto"/>
          <w:sz w:val="21"/>
          <w:szCs w:val="21"/>
          <w:highlight w:val="none"/>
        </w:rPr>
        <w:t>：</w:t>
      </w:r>
    </w:p>
    <w:p>
      <w:pPr>
        <w:pStyle w:val="65"/>
        <w:widowControl w:val="0"/>
        <w:snapToGrid w:val="0"/>
        <w:spacing w:line="360" w:lineRule="auto"/>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pacing w:val="6"/>
          <w:sz w:val="21"/>
          <w:szCs w:val="21"/>
          <w:highlight w:val="none"/>
        </w:rPr>
        <w:t>负责人</w:t>
      </w:r>
      <w:r>
        <w:rPr>
          <w:rFonts w:hint="eastAsia" w:hAnsi="宋体"/>
          <w:color w:val="auto"/>
          <w:sz w:val="21"/>
          <w:szCs w:val="21"/>
          <w:highlight w:val="none"/>
          <w:u w:val="single"/>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sz w:val="21"/>
          <w:szCs w:val="21"/>
          <w:highlight w:val="none"/>
        </w:rPr>
        <w:t>合</w:t>
      </w:r>
      <w:r>
        <w:rPr>
          <w:rFonts w:hint="eastAsia" w:hAnsi="宋体" w:cs="宋体"/>
          <w:color w:val="auto"/>
          <w:spacing w:val="6"/>
          <w:sz w:val="21"/>
          <w:szCs w:val="21"/>
          <w:highlight w:val="none"/>
        </w:rPr>
        <w:t>法授权参加</w:t>
      </w:r>
      <w:r>
        <w:rPr>
          <w:rFonts w:hint="eastAsia" w:hAnsi="Times New Roman"/>
          <w:color w:val="auto"/>
          <w:sz w:val="21"/>
          <w:szCs w:val="21"/>
          <w:highlight w:val="none"/>
          <w:u w:val="single"/>
        </w:rPr>
        <w:t>街道道路清扫保洁、垃圾清运和垃圾分类项目</w:t>
      </w:r>
      <w:r>
        <w:rPr>
          <w:rFonts w:hint="eastAsia" w:hAnsi="宋体" w:cs="宋体"/>
          <w:color w:val="auto"/>
          <w:spacing w:val="6"/>
          <w:sz w:val="21"/>
          <w:szCs w:val="21"/>
          <w:highlight w:val="none"/>
        </w:rPr>
        <w:t>（编号：</w:t>
      </w:r>
      <w:r>
        <w:rPr>
          <w:rFonts w:hint="eastAsia" w:hAnsi="宋体" w:cs="宋体"/>
          <w:color w:val="auto"/>
          <w:sz w:val="21"/>
          <w:szCs w:val="21"/>
          <w:highlight w:val="none"/>
          <w:u w:val="single"/>
        </w:rPr>
        <w:t>tzya2021-lq63</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51"/>
        <w:widowControl/>
        <w:tabs>
          <w:tab w:val="left" w:pos="630"/>
        </w:tabs>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 xml:space="preserve">一、本单位与采购人之间 </w:t>
      </w:r>
      <w:r>
        <w:rPr>
          <w:rFonts w:hint="eastAsia" w:hAnsi="宋体" w:cs="宋体"/>
          <w:color w:val="auto"/>
          <w:sz w:val="21"/>
          <w:szCs w:val="21"/>
          <w:highlight w:val="none"/>
        </w:rPr>
        <w:sym w:font="Wingdings" w:char="00FE"/>
      </w:r>
      <w:r>
        <w:rPr>
          <w:rFonts w:hint="eastAsia" w:hAnsi="宋体" w:cs="宋体"/>
          <w:color w:val="auto"/>
          <w:sz w:val="21"/>
          <w:szCs w:val="21"/>
          <w:highlight w:val="none"/>
        </w:rPr>
        <w:t>不存在利害关系 □存在下列利害关系：</w:t>
      </w:r>
    </w:p>
    <w:p>
      <w:pPr>
        <w:pStyle w:val="51"/>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A.投资关系    B.行政隶属关系    C.业务指导关系</w:t>
      </w:r>
    </w:p>
    <w:p>
      <w:pPr>
        <w:pStyle w:val="51"/>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D.其他可能影响采购公正的利害关系</w:t>
      </w:r>
      <w:r>
        <w:rPr>
          <w:rFonts w:hint="eastAsia" w:hAnsi="宋体" w:cs="宋体"/>
          <w:color w:val="auto"/>
          <w:sz w:val="21"/>
          <w:szCs w:val="21"/>
          <w:highlight w:val="none"/>
          <w:u w:val="single"/>
        </w:rPr>
        <w:t xml:space="preserve">（如有，请如实说明）                 </w:t>
      </w:r>
      <w:r>
        <w:rPr>
          <w:rFonts w:hint="eastAsia" w:hAnsi="宋体" w:cs="宋体"/>
          <w:color w:val="auto"/>
          <w:sz w:val="21"/>
          <w:szCs w:val="21"/>
          <w:highlight w:val="none"/>
        </w:rPr>
        <w:t>。</w:t>
      </w:r>
    </w:p>
    <w:p>
      <w:pPr>
        <w:pStyle w:val="51"/>
        <w:widowControl/>
        <w:snapToGrid w:val="0"/>
        <w:spacing w:line="360" w:lineRule="auto"/>
        <w:ind w:firstLine="222" w:firstLineChars="100"/>
        <w:rPr>
          <w:rFonts w:hAnsi="宋体" w:cs="宋体"/>
          <w:color w:val="auto"/>
          <w:sz w:val="21"/>
          <w:szCs w:val="21"/>
          <w:highlight w:val="none"/>
        </w:rPr>
      </w:pPr>
      <w:r>
        <w:rPr>
          <w:rFonts w:hint="eastAsia" w:hAnsi="宋体" w:cs="宋体"/>
          <w:color w:val="auto"/>
          <w:spacing w:val="6"/>
          <w:sz w:val="21"/>
          <w:szCs w:val="21"/>
          <w:highlight w:val="none"/>
        </w:rPr>
        <w:t>二、</w:t>
      </w:r>
      <w:r>
        <w:rPr>
          <w:rFonts w:hint="eastAsia" w:hAnsi="宋体" w:cs="宋体"/>
          <w:color w:val="auto"/>
          <w:sz w:val="21"/>
          <w:szCs w:val="21"/>
          <w:highlight w:val="none"/>
        </w:rPr>
        <w:t>现已清楚知道参加本项目采购活动的其他所有供应商名称，本单位</w:t>
      </w:r>
      <w:r>
        <w:rPr>
          <w:rFonts w:hint="eastAsia" w:hAnsi="宋体" w:cs="宋体"/>
          <w:color w:val="auto"/>
          <w:sz w:val="21"/>
          <w:szCs w:val="21"/>
          <w:highlight w:val="none"/>
        </w:rPr>
        <w:sym w:font="Wingdings" w:char="00FE"/>
      </w:r>
      <w:r>
        <w:rPr>
          <w:rFonts w:hint="eastAsia" w:hAnsi="宋体" w:cs="宋体"/>
          <w:color w:val="auto"/>
          <w:sz w:val="21"/>
          <w:szCs w:val="21"/>
          <w:highlight w:val="none"/>
        </w:rPr>
        <w:t>与其他所有供应商之间均不存在利害关系 □与</w:t>
      </w:r>
      <w:r>
        <w:rPr>
          <w:rFonts w:hint="eastAsia" w:hAnsi="宋体" w:cs="宋体"/>
          <w:color w:val="auto"/>
          <w:sz w:val="21"/>
          <w:szCs w:val="21"/>
          <w:highlight w:val="none"/>
          <w:u w:val="single"/>
        </w:rPr>
        <w:t xml:space="preserve">           （供应商名称）</w:t>
      </w:r>
      <w:r>
        <w:rPr>
          <w:rFonts w:hint="eastAsia" w:hAnsi="宋体" w:cs="宋体"/>
          <w:color w:val="auto"/>
          <w:sz w:val="21"/>
          <w:szCs w:val="21"/>
          <w:highlight w:val="none"/>
        </w:rPr>
        <w:t>之间存在下列利害关系：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A.法定代表人或负责人或实际控制人是同一人</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B.法定代表人或负责人或实际控制人是夫妻关系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C.法定代表人或负责人或实际控制人是直系血亲关系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D.法定代表人或负责人或实际控制人存在三代以内旁系血亲关系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E.法定代表人或负责人或实际控制人存在近姻亲关系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F.法定代表人或负责人或实际控制人存在股份控制或实际控制关系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G.存在共同直接或间接投资设立子公司、联营企业和合营企业情况</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I.其他利害关系情况。</w:t>
      </w:r>
    </w:p>
    <w:p>
      <w:pPr>
        <w:pStyle w:val="51"/>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三、现已清楚知道并严格遵守政府采购法律法规和现场纪律。</w:t>
      </w:r>
    </w:p>
    <w:p>
      <w:pPr>
        <w:pStyle w:val="51"/>
        <w:widowControl/>
        <w:snapToGrid w:val="0"/>
        <w:spacing w:line="360" w:lineRule="auto"/>
        <w:ind w:left="360"/>
        <w:rPr>
          <w:rFonts w:hAnsi="宋体" w:cs="宋体"/>
          <w:color w:val="auto"/>
          <w:sz w:val="21"/>
          <w:szCs w:val="21"/>
          <w:highlight w:val="none"/>
        </w:rPr>
      </w:pPr>
      <w:r>
        <w:rPr>
          <w:rFonts w:hint="eastAsia" w:hAnsi="宋体" w:cs="宋体"/>
          <w:color w:val="auto"/>
          <w:sz w:val="21"/>
          <w:szCs w:val="21"/>
          <w:highlight w:val="none"/>
        </w:rPr>
        <w:t>四、我发现</w:t>
      </w:r>
      <w:r>
        <w:rPr>
          <w:rFonts w:hint="eastAsia" w:hAnsi="宋体" w:cs="宋体"/>
          <w:b/>
          <w:bCs/>
          <w:color w:val="auto"/>
          <w:sz w:val="21"/>
          <w:szCs w:val="21"/>
          <w:highlight w:val="none"/>
          <w:u w:val="single"/>
        </w:rPr>
        <w:t>/</w:t>
      </w:r>
      <w:r>
        <w:rPr>
          <w:rFonts w:hint="eastAsia" w:hAnsi="宋体" w:cs="宋体"/>
          <w:color w:val="auto"/>
          <w:sz w:val="21"/>
          <w:szCs w:val="21"/>
          <w:highlight w:val="none"/>
        </w:rPr>
        <w:t>供应商之间存在或可能存在上述第二条第</w:t>
      </w:r>
      <w:r>
        <w:rPr>
          <w:rFonts w:hint="eastAsia" w:hAnsi="宋体" w:cs="宋体"/>
          <w:b/>
          <w:bCs/>
          <w:color w:val="auto"/>
          <w:sz w:val="21"/>
          <w:szCs w:val="21"/>
          <w:highlight w:val="none"/>
          <w:u w:val="single"/>
        </w:rPr>
        <w:t>/</w:t>
      </w:r>
      <w:r>
        <w:rPr>
          <w:rFonts w:hint="eastAsia" w:hAnsi="宋体" w:cs="宋体"/>
          <w:color w:val="auto"/>
          <w:sz w:val="21"/>
          <w:szCs w:val="21"/>
          <w:highlight w:val="none"/>
        </w:rPr>
        <w:t>项利害关系。</w:t>
      </w:r>
    </w:p>
    <w:p>
      <w:pPr>
        <w:pStyle w:val="51"/>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（供应商代表签名）</w:t>
      </w:r>
    </w:p>
    <w:p>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年月日</w:t>
      </w: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4</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jc w:val="center"/>
        <w:rPr>
          <w:rFonts w:ascii="宋体" w:hAnsi="宋体"/>
          <w:b/>
          <w:bCs/>
          <w:color w:val="auto"/>
          <w:sz w:val="32"/>
          <w:szCs w:val="32"/>
          <w:highlight w:val="none"/>
          <w:lang w:val="zh-CN"/>
        </w:rPr>
      </w:pPr>
    </w:p>
    <w:p>
      <w:pPr>
        <w:snapToGrid w:val="0"/>
        <w:spacing w:before="50" w:after="50" w:line="360" w:lineRule="auto"/>
        <w:rPr>
          <w:rFonts w:ascii="宋体" w:hAnsi="宋体"/>
          <w:b/>
          <w:bCs/>
          <w:color w:val="auto"/>
          <w:sz w:val="32"/>
          <w:szCs w:val="32"/>
          <w:highlight w:val="none"/>
          <w:lang w:val="zh-CN"/>
        </w:rPr>
      </w:pPr>
    </w:p>
    <w:p>
      <w:pPr>
        <w:snapToGrid w:val="0"/>
        <w:spacing w:before="50" w:after="50" w:line="360" w:lineRule="auto"/>
        <w:jc w:val="center"/>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snapToGrid w:val="0"/>
        <w:spacing w:line="360" w:lineRule="auto"/>
        <w:ind w:firstLine="482" w:firstLineChars="200"/>
        <w:rPr>
          <w:rFonts w:ascii="宋体" w:hAnsi="宋体"/>
          <w:b/>
          <w:bCs/>
          <w:color w:val="auto"/>
          <w:sz w:val="24"/>
          <w:highlight w:val="none"/>
        </w:rPr>
      </w:pPr>
    </w:p>
    <w:p>
      <w:pPr>
        <w:numPr>
          <w:ilvl w:val="0"/>
          <w:numId w:val="3"/>
        </w:num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评标索引</w:t>
      </w:r>
    </w:p>
    <w:p>
      <w:pPr>
        <w:pStyle w:val="2"/>
        <w:rPr>
          <w:color w:val="auto"/>
          <w:highlight w:val="none"/>
        </w:rPr>
      </w:pPr>
      <w:r>
        <w:rPr>
          <w:rFonts w:hint="eastAsia"/>
          <w:color w:val="auto"/>
          <w:highlight w:val="none"/>
        </w:rPr>
        <w:t xml:space="preserve">      评标索引：自评表（附件5）</w:t>
      </w:r>
    </w:p>
    <w:p>
      <w:p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 技术方案描述部分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投标人情况介绍</w:t>
      </w:r>
      <w:r>
        <w:rPr>
          <w:rFonts w:hint="eastAsia" w:ascii="宋体" w:hAnsi="宋体"/>
          <w:color w:val="auto"/>
          <w:szCs w:val="21"/>
          <w:highlight w:val="none"/>
        </w:rPr>
        <w:t>（附件6）；</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项目需求的理解与分析</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项目组织实施方案</w:t>
      </w:r>
      <w:r>
        <w:rPr>
          <w:rFonts w:ascii="宋体" w:hAnsi="宋体"/>
          <w:color w:val="auto"/>
          <w:szCs w:val="21"/>
          <w:highlight w:val="none"/>
        </w:rPr>
        <w:t xml:space="preserve">； </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4、项目实施人员一览表（附件7）；</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5、项目负责人资格情况表(附件8)；</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6、拟投入本项目的设备清单（附件9）；</w:t>
      </w:r>
    </w:p>
    <w:p>
      <w:pPr>
        <w:snapToGrid w:val="0"/>
        <w:spacing w:line="360" w:lineRule="auto"/>
        <w:ind w:firstLine="422" w:firstLineChars="200"/>
        <w:rPr>
          <w:rFonts w:ascii="宋体"/>
          <w:b/>
          <w:bCs/>
          <w:color w:val="auto"/>
          <w:szCs w:val="21"/>
          <w:highlight w:val="none"/>
        </w:rPr>
      </w:pPr>
      <w:r>
        <w:rPr>
          <w:rFonts w:hint="eastAsia" w:ascii="宋体" w:hAnsi="宋体"/>
          <w:b/>
          <w:bCs/>
          <w:color w:val="auto"/>
          <w:szCs w:val="21"/>
          <w:highlight w:val="none"/>
        </w:rPr>
        <w:t>三、投标描述部分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、投标描述及相关资料；</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2、技术需求响应表（</w:t>
      </w:r>
      <w:r>
        <w:rPr>
          <w:rFonts w:hint="eastAsia" w:ascii="宋体" w:hAnsi="宋体" w:cs="宋体"/>
          <w:color w:val="auto"/>
          <w:szCs w:val="21"/>
          <w:highlight w:val="none"/>
        </w:rPr>
        <w:t>附件10</w:t>
      </w:r>
      <w:r>
        <w:rPr>
          <w:rFonts w:hint="eastAsia" w:ascii="宋体" w:hAnsi="宋体"/>
          <w:color w:val="auto"/>
          <w:szCs w:val="21"/>
          <w:highlight w:val="none"/>
        </w:rPr>
        <w:t>）；</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3、投标人需要说明的其他内容；（</w:t>
      </w:r>
      <w:r>
        <w:rPr>
          <w:rFonts w:hint="eastAsia" w:ascii="宋体" w:hAnsi="宋体" w:cs="宋体"/>
          <w:color w:val="auto"/>
          <w:szCs w:val="21"/>
          <w:highlight w:val="none"/>
        </w:rPr>
        <w:t>包括可能影响投标人技术性能评分项的各类证明材料）</w:t>
      </w:r>
    </w:p>
    <w:p>
      <w:pPr>
        <w:snapToGrid w:val="0"/>
        <w:spacing w:line="360" w:lineRule="auto"/>
        <w:ind w:firstLine="413" w:firstLineChars="196"/>
        <w:rPr>
          <w:rFonts w:ascii="宋体"/>
          <w:b/>
          <w:bCs/>
          <w:color w:val="auto"/>
          <w:szCs w:val="21"/>
          <w:highlight w:val="none"/>
        </w:rPr>
      </w:pPr>
      <w:r>
        <w:rPr>
          <w:rFonts w:hint="eastAsia" w:ascii="宋体" w:hAnsi="宋体"/>
          <w:b/>
          <w:bCs/>
          <w:color w:val="auto"/>
          <w:szCs w:val="21"/>
          <w:highlight w:val="none"/>
        </w:rPr>
        <w:t>四、商务响应部分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、投标人的企业证书一览表（附件11）；</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、类似项目的成功案例（附件12）</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、资信及商务需求响应表（附件</w:t>
      </w:r>
      <w:r>
        <w:rPr>
          <w:rFonts w:ascii="宋体" w:hAnsi="宋体"/>
          <w:color w:val="auto"/>
          <w:szCs w:val="21"/>
          <w:highlight w:val="none"/>
        </w:rPr>
        <w:t>1</w:t>
      </w:r>
      <w:r>
        <w:rPr>
          <w:rFonts w:hint="eastAsia" w:ascii="宋体" w:hAnsi="宋体"/>
          <w:color w:val="auto"/>
          <w:szCs w:val="21"/>
          <w:highlight w:val="none"/>
        </w:rPr>
        <w:t>3）；</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、售后服务情况表（附件</w:t>
      </w:r>
      <w:r>
        <w:rPr>
          <w:rFonts w:ascii="宋体" w:hAnsi="宋体"/>
          <w:color w:val="auto"/>
          <w:szCs w:val="21"/>
          <w:highlight w:val="none"/>
        </w:rPr>
        <w:t>1</w:t>
      </w:r>
      <w:r>
        <w:rPr>
          <w:rFonts w:hint="eastAsia" w:ascii="宋体" w:hAnsi="宋体"/>
          <w:color w:val="auto"/>
          <w:szCs w:val="21"/>
          <w:highlight w:val="none"/>
        </w:rPr>
        <w:t>4）；</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、投标人需要说明的其他内容。（包括可能影响投标人企业实力及信誉评分项以及售后服务评分项的各类证明材料）</w:t>
      </w:r>
    </w:p>
    <w:p>
      <w:pPr>
        <w:snapToGrid w:val="0"/>
        <w:spacing w:before="50" w:after="50" w:line="360" w:lineRule="auto"/>
        <w:rPr>
          <w:rFonts w:ascii="仿宋_GB2312" w:hAnsi="宋体" w:eastAsia="仿宋_GB2312"/>
          <w:b/>
          <w:color w:val="auto"/>
          <w:sz w:val="36"/>
          <w:szCs w:val="36"/>
          <w:highlight w:val="none"/>
        </w:rPr>
      </w:pPr>
    </w:p>
    <w:p>
      <w:pPr>
        <w:pStyle w:val="19"/>
        <w:outlineLvl w:val="9"/>
        <w:rPr>
          <w:color w:val="auto"/>
          <w:highlight w:val="none"/>
        </w:rPr>
      </w:pPr>
    </w:p>
    <w:p>
      <w:pPr>
        <w:rPr>
          <w:color w:val="auto"/>
          <w:highlight w:val="none"/>
        </w:rPr>
      </w:pPr>
    </w:p>
    <w:p>
      <w:pPr>
        <w:pStyle w:val="19"/>
        <w:outlineLvl w:val="9"/>
        <w:rPr>
          <w:color w:val="auto"/>
          <w:highlight w:val="none"/>
        </w:rPr>
      </w:pPr>
    </w:p>
    <w:p>
      <w:pPr>
        <w:rPr>
          <w:color w:val="auto"/>
          <w:highlight w:val="none"/>
        </w:rPr>
      </w:pPr>
    </w:p>
    <w:p>
      <w:pPr>
        <w:pStyle w:val="19"/>
        <w:outlineLvl w:val="9"/>
        <w:rPr>
          <w:color w:val="auto"/>
          <w:highlight w:val="none"/>
        </w:rPr>
      </w:pPr>
    </w:p>
    <w:p>
      <w:pPr>
        <w:pStyle w:val="39"/>
        <w:shd w:val="clear" w:color="auto" w:fill="FFFFFF"/>
        <w:spacing w:before="0" w:beforeAutospacing="0" w:after="0" w:afterAutospacing="0"/>
        <w:rPr>
          <w:b/>
          <w:color w:val="auto"/>
          <w:sz w:val="28"/>
          <w:highlight w:val="none"/>
        </w:rPr>
      </w:pPr>
      <w:r>
        <w:rPr>
          <w:rFonts w:hint="eastAsia"/>
          <w:b/>
          <w:color w:val="auto"/>
          <w:sz w:val="28"/>
          <w:highlight w:val="none"/>
        </w:rPr>
        <w:t>附件5</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2"/>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33"/>
        <w:gridCol w:w="6319"/>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204" w:type="dxa"/>
            <w:gridSpan w:val="2"/>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19"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76"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76"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576" w:type="dxa"/>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113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rPr>
              <w:t>承接经验</w:t>
            </w:r>
          </w:p>
        </w:tc>
        <w:tc>
          <w:tcPr>
            <w:tcW w:w="6319" w:type="dxa"/>
            <w:vAlign w:val="center"/>
          </w:tcPr>
          <w:p>
            <w:pPr>
              <w:jc w:val="left"/>
              <w:rPr>
                <w:rFonts w:ascii="宋体" w:hAnsi="宋体" w:cs="宋体"/>
                <w:color w:val="auto"/>
                <w:kern w:val="0"/>
                <w:szCs w:val="21"/>
                <w:highlight w:val="none"/>
              </w:rPr>
            </w:pPr>
            <w:r>
              <w:rPr>
                <w:rFonts w:hint="eastAsia" w:ascii="宋体" w:hAnsi="宋体" w:cs="宋体"/>
                <w:color w:val="auto"/>
                <w:szCs w:val="21"/>
                <w:highlight w:val="none"/>
              </w:rPr>
              <w:t>投标人自2018年1月1日以来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承接过类似项目的。每提供1个合同得1分，最高得3分。</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提供合同复印件</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zh-CN"/>
              </w:rPr>
              <w:t>加盖</w:t>
            </w:r>
            <w:r>
              <w:rPr>
                <w:rFonts w:hint="eastAsia" w:ascii="宋体" w:hAnsi="宋体" w:cs="宋体"/>
                <w:b/>
                <w:bCs/>
                <w:color w:val="auto"/>
                <w:kern w:val="0"/>
                <w:szCs w:val="21"/>
                <w:highlight w:val="none"/>
              </w:rPr>
              <w:t>投标人</w:t>
            </w:r>
            <w:r>
              <w:rPr>
                <w:rFonts w:hint="eastAsia" w:ascii="宋体" w:hAnsi="宋体" w:cs="宋体"/>
                <w:b/>
                <w:bCs/>
                <w:color w:val="auto"/>
                <w:kern w:val="0"/>
                <w:szCs w:val="21"/>
                <w:highlight w:val="none"/>
                <w:lang w:val="zh-CN"/>
              </w:rPr>
              <w:t>公章</w:t>
            </w:r>
            <w:r>
              <w:rPr>
                <w:rFonts w:hint="eastAsia" w:ascii="宋体" w:hAnsi="宋体" w:cs="宋体"/>
                <w:b/>
                <w:bCs/>
                <w:color w:val="auto"/>
                <w:highlight w:val="none"/>
              </w:rPr>
              <w:t>，不提供的或提供不全的不得分</w:t>
            </w:r>
            <w:r>
              <w:rPr>
                <w:rFonts w:hint="eastAsia" w:ascii="宋体" w:hAnsi="宋体" w:cs="宋体"/>
                <w:b/>
                <w:bCs/>
                <w:color w:val="auto"/>
                <w:kern w:val="0"/>
                <w:szCs w:val="21"/>
                <w:highlight w:val="none"/>
                <w:lang w:val="zh-CN"/>
              </w:rPr>
              <w:t>）</w:t>
            </w:r>
          </w:p>
        </w:tc>
        <w:tc>
          <w:tcPr>
            <w:tcW w:w="576" w:type="dxa"/>
            <w:vAlign w:val="center"/>
          </w:tcPr>
          <w:p>
            <w:pPr>
              <w:pStyle w:val="12"/>
              <w:snapToGrid w:val="0"/>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rPr>
              <w:t>3</w:t>
            </w:r>
          </w:p>
        </w:tc>
        <w:tc>
          <w:tcPr>
            <w:tcW w:w="576" w:type="dxa"/>
            <w:vAlign w:val="center"/>
          </w:tcPr>
          <w:p>
            <w:pPr>
              <w:pStyle w:val="12"/>
              <w:snapToGrid w:val="0"/>
              <w:jc w:val="center"/>
              <w:rPr>
                <w:rFonts w:hint="eastAsia" w:hAnsi="宋体" w:cs="宋体"/>
                <w:color w:val="auto"/>
                <w:szCs w:val="21"/>
                <w:highlight w:val="none"/>
              </w:rPr>
            </w:pPr>
          </w:p>
        </w:tc>
        <w:tc>
          <w:tcPr>
            <w:tcW w:w="576" w:type="dxa"/>
            <w:vAlign w:val="center"/>
          </w:tcPr>
          <w:p>
            <w:pPr>
              <w:pStyle w:val="12"/>
              <w:snapToGrid w:val="0"/>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7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新宋体"/>
                <w:b w:val="0"/>
                <w:bCs w:val="0"/>
                <w:color w:val="auto"/>
                <w:sz w:val="21"/>
                <w:szCs w:val="21"/>
                <w:highlight w:val="none"/>
                <w:lang w:val="en-US" w:eastAsia="zh-CN"/>
              </w:rPr>
              <w:t>车辆配置情况</w:t>
            </w:r>
          </w:p>
        </w:tc>
        <w:tc>
          <w:tcPr>
            <w:tcW w:w="6319"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投标人拟投入本项目使用的：</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配置7辆</w:t>
            </w:r>
            <w:r>
              <w:rPr>
                <w:rFonts w:hint="eastAsia" w:ascii="宋体" w:hAnsi="宋体" w:cs="宋体"/>
                <w:color w:val="auto"/>
                <w:szCs w:val="21"/>
                <w:highlight w:val="none"/>
                <w:lang w:val="en-GB"/>
              </w:rPr>
              <w:t>电瓶清运四轮十五桶车或内燃机清运车（</w:t>
            </w:r>
            <w:r>
              <w:rPr>
                <w:rFonts w:hint="eastAsia" w:ascii="宋体" w:hAnsi="宋体" w:cs="宋体"/>
                <w:color w:val="auto"/>
                <w:szCs w:val="21"/>
                <w:highlight w:val="none"/>
              </w:rPr>
              <w:t>其中2</w:t>
            </w:r>
            <w:r>
              <w:rPr>
                <w:rFonts w:hint="eastAsia" w:ascii="宋体" w:hAnsi="宋体" w:cs="宋体"/>
                <w:color w:val="auto"/>
                <w:szCs w:val="21"/>
                <w:highlight w:val="none"/>
                <w:lang w:val="en-GB"/>
              </w:rPr>
              <w:t>辆备用）</w:t>
            </w:r>
            <w:r>
              <w:rPr>
                <w:rFonts w:hint="eastAsia" w:ascii="宋体" w:hAnsi="宋体" w:cs="宋体"/>
                <w:color w:val="auto"/>
                <w:szCs w:val="21"/>
                <w:highlight w:val="none"/>
                <w:lang w:val="en-US" w:eastAsia="zh-CN"/>
              </w:rPr>
              <w:t>的得2分，</w:t>
            </w:r>
            <w:r>
              <w:rPr>
                <w:rFonts w:hint="eastAsia" w:ascii="宋体" w:hAnsi="宋体" w:cs="宋体"/>
                <w:b w:val="0"/>
                <w:color w:val="auto"/>
                <w:sz w:val="21"/>
                <w:szCs w:val="21"/>
                <w:highlight w:val="none"/>
                <w:lang w:val="en-US" w:eastAsia="zh-CN"/>
              </w:rPr>
              <w:t>少于7辆的不得分。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w:t>
            </w:r>
            <w:r>
              <w:rPr>
                <w:rFonts w:hint="eastAsia" w:ascii="宋体" w:hAnsi="宋体" w:cs="宋体"/>
                <w:b/>
                <w:bCs/>
                <w:color w:val="auto"/>
                <w:szCs w:val="21"/>
                <w:highlight w:val="none"/>
                <w:lang w:val="en-US" w:eastAsia="zh-CN"/>
              </w:rPr>
              <w:t>车辆45°照片、购置发票（发票无法体现的，须另附合同）复印件、如为租赁，须同时提供租赁协议复印件、内燃机须提供行驶证复印件</w:t>
            </w:r>
            <w:r>
              <w:rPr>
                <w:rFonts w:hint="eastAsia" w:ascii="宋体" w:hAnsi="宋体" w:eastAsia="宋体" w:cs="宋体"/>
                <w:b/>
                <w:bCs/>
                <w:color w:val="auto"/>
                <w:szCs w:val="21"/>
                <w:highlight w:val="none"/>
                <w:lang w:val="en-US" w:eastAsia="zh-CN"/>
              </w:rPr>
              <w:t>，加盖投标人公章</w:t>
            </w:r>
            <w:r>
              <w:rPr>
                <w:rFonts w:hint="eastAsia" w:ascii="宋体" w:hAnsi="宋体" w:eastAsia="宋体" w:cs="宋体"/>
                <w:b/>
                <w:bCs/>
                <w:color w:val="auto"/>
                <w:highlight w:val="none"/>
                <w:lang w:val="en-US" w:eastAsia="zh-CN"/>
              </w:rPr>
              <w:t>，不提供的或提供不全的不得分</w:t>
            </w:r>
            <w:r>
              <w:rPr>
                <w:rFonts w:hint="eastAsia" w:ascii="宋体" w:hAnsi="宋体" w:cs="宋体"/>
                <w:b/>
                <w:bCs/>
                <w:color w:val="auto"/>
                <w:sz w:val="21"/>
                <w:szCs w:val="21"/>
                <w:highlight w:val="none"/>
                <w:lang w:val="en-US" w:eastAsia="zh-CN"/>
              </w:rPr>
              <w:t>）</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continue"/>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新宋体"/>
                <w:b w:val="0"/>
                <w:bCs w:val="0"/>
                <w:color w:val="auto"/>
                <w:sz w:val="21"/>
                <w:szCs w:val="21"/>
                <w:highlight w:val="none"/>
                <w:lang w:val="en-US" w:eastAsia="zh-CN"/>
              </w:rPr>
              <w:t>智能垃圾收集车配置情况</w:t>
            </w:r>
          </w:p>
        </w:tc>
        <w:tc>
          <w:tcPr>
            <w:tcW w:w="6319" w:type="dxa"/>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根据投标人拟投入本项目的</w:t>
            </w:r>
            <w:r>
              <w:rPr>
                <w:rFonts w:hint="eastAsia" w:ascii="宋体" w:hAnsi="宋体" w:cs="新宋体"/>
                <w:b w:val="0"/>
                <w:bCs w:val="0"/>
                <w:color w:val="auto"/>
                <w:sz w:val="21"/>
                <w:szCs w:val="21"/>
                <w:highlight w:val="none"/>
                <w:lang w:val="en-US" w:eastAsia="zh-CN"/>
              </w:rPr>
              <w:t>智能垃圾收集车（须具有垃圾自动识别、称重、评分打分、GPS定位等功能）不少于35辆的得5分，少于35辆的不得分。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szCs w:val="21"/>
                <w:highlight w:val="none"/>
                <w:lang w:val="en-US" w:eastAsia="zh-CN"/>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Cs w:val="21"/>
                <w:highlight w:val="none"/>
                <w:lang w:val="en-US" w:eastAsia="zh-CN"/>
              </w:rPr>
              <w:t>须提供</w:t>
            </w:r>
            <w:r>
              <w:rPr>
                <w:rFonts w:hint="eastAsia" w:ascii="宋体" w:hAnsi="宋体" w:cs="宋体"/>
                <w:b/>
                <w:bCs/>
                <w:color w:val="auto"/>
                <w:szCs w:val="21"/>
                <w:highlight w:val="none"/>
                <w:lang w:val="en-US" w:eastAsia="zh-CN"/>
              </w:rPr>
              <w:t>车辆照片、购置发票（发票无法体现的，须另附合同）复印件、如为租赁，须同时提供租赁协议复印件</w:t>
            </w:r>
            <w:r>
              <w:rPr>
                <w:rFonts w:hint="eastAsia" w:ascii="宋体" w:hAnsi="宋体" w:eastAsia="宋体" w:cs="宋体"/>
                <w:b/>
                <w:bCs/>
                <w:color w:val="auto"/>
                <w:szCs w:val="21"/>
                <w:highlight w:val="none"/>
                <w:lang w:val="en-US" w:eastAsia="zh-CN"/>
              </w:rPr>
              <w:t>，加盖投标人公章</w:t>
            </w:r>
            <w:r>
              <w:rPr>
                <w:rFonts w:hint="eastAsia" w:ascii="宋体" w:hAnsi="宋体" w:eastAsia="宋体" w:cs="宋体"/>
                <w:b/>
                <w:bCs/>
                <w:color w:val="auto"/>
                <w:highlight w:val="none"/>
                <w:lang w:val="en-US" w:eastAsia="zh-CN"/>
              </w:rPr>
              <w:t>，不提供的或提供不全的不得分</w:t>
            </w:r>
            <w:r>
              <w:rPr>
                <w:rFonts w:hint="eastAsia" w:ascii="宋体" w:hAnsi="宋体" w:cs="宋体"/>
                <w:b/>
                <w:bCs/>
                <w:color w:val="auto"/>
                <w:sz w:val="21"/>
                <w:szCs w:val="21"/>
                <w:highlight w:val="none"/>
                <w:lang w:val="en-US" w:eastAsia="zh-CN"/>
              </w:rPr>
              <w:t>）</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5</w:t>
            </w: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576"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restart"/>
            <w:vAlign w:val="center"/>
          </w:tcPr>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eastAsia="宋体" w:cs="新宋体"/>
                <w:b w:val="0"/>
                <w:bCs w:val="0"/>
                <w:color w:val="auto"/>
                <w:sz w:val="21"/>
                <w:szCs w:val="21"/>
                <w:highlight w:val="none"/>
                <w:lang w:val="en-US" w:eastAsia="zh-CN"/>
              </w:rPr>
              <w:t>项目理解</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根据投标人对本项目保洁服务区域现状情况的了解程度进行打分。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对本项目道路清扫现状、路面保洁与垃圾清运等区域现状调查全面，符合实际情况，并针对此现状提出的分析方案有针对性的得3.0-5.0分；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对本项目区域现状调查有欠缺，针对此现状提出的分析方案简单的得0.1-2.9分；未提及此项不得分。</w:t>
            </w:r>
          </w:p>
        </w:tc>
        <w:tc>
          <w:tcPr>
            <w:tcW w:w="576" w:type="dxa"/>
            <w:vAlign w:val="center"/>
          </w:tcPr>
          <w:p>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restart"/>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rFonts w:hint="eastAsia"/>
                <w:color w:val="auto"/>
                <w:sz w:val="21"/>
                <w:highlight w:val="none"/>
                <w:lang w:val="en-US" w:eastAsia="zh-CN"/>
              </w:rPr>
              <w:t>工作</w:t>
            </w:r>
            <w:r>
              <w:rPr>
                <w:color w:val="auto"/>
                <w:sz w:val="21"/>
                <w:highlight w:val="none"/>
              </w:rPr>
              <w:t>方案</w:t>
            </w: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rPr>
              <w:t>管理方案和作业工作计划</w:t>
            </w:r>
            <w:r>
              <w:rPr>
                <w:rFonts w:hint="eastAsia" w:ascii="宋体" w:hAnsi="宋体" w:cs="宋体"/>
                <w:color w:val="auto"/>
                <w:szCs w:val="21"/>
                <w:highlight w:val="none"/>
              </w:rPr>
              <w:t>描述情况进行打分。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方案阐述详细全面，管理方案、作业工作计划贴合本项目实际，操作性强，有针对性的得3.0-5.0分；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方案简单，对各项任务如何进行安全保护均有提及，但内容简单，缺乏针对性、可操作性的得0.1-2.9分；未提及此项不得分。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rPr>
              <w:t>清扫保洁服务方案</w:t>
            </w:r>
            <w:r>
              <w:rPr>
                <w:rFonts w:hint="eastAsia" w:ascii="宋体" w:hAnsi="宋体" w:cs="宋体"/>
                <w:color w:val="auto"/>
                <w:szCs w:val="21"/>
                <w:highlight w:val="none"/>
              </w:rPr>
              <w:t>，包括针对本次螺洋街道实际情况制定的道路保洁、垃圾桶保洁和管理、公厕保洁、垃圾清运、打包站保洁、绿化保洁等实施方案进行打分。</w:t>
            </w:r>
          </w:p>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清扫保洁服务方案符合项目要求的，对片区每个地方、服务的每一项工作内容都有相对应完整的服务方案，针对性实施要点切合螺洋街道实际且全面可行、具有针对性的得3.0-5.0分；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清扫保洁服务方案较完善，对各项任务均有提到，实施要点针对性欠佳的得0.1-2.9分；未提及此项不得分。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Merge w:val="continue"/>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6319" w:type="dxa"/>
            <w:vAlign w:val="top"/>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根据投标人针对本项目提供的</w:t>
            </w:r>
            <w:r>
              <w:rPr>
                <w:rFonts w:hint="eastAsia" w:ascii="宋体" w:hAnsi="宋体" w:cs="宋体"/>
                <w:b/>
                <w:bCs/>
                <w:color w:val="auto"/>
                <w:szCs w:val="21"/>
                <w:highlight w:val="none"/>
                <w:lang w:val="en-US" w:eastAsia="zh-CN"/>
              </w:rPr>
              <w:t>农村</w:t>
            </w:r>
            <w:r>
              <w:rPr>
                <w:rFonts w:hint="eastAsia" w:ascii="宋体" w:hAnsi="宋体" w:cs="宋体"/>
                <w:b/>
                <w:bCs/>
                <w:color w:val="auto"/>
                <w:szCs w:val="21"/>
                <w:highlight w:val="none"/>
              </w:rPr>
              <w:t>垃圾分类及收集方案</w:t>
            </w:r>
            <w:r>
              <w:rPr>
                <w:rFonts w:hint="eastAsia" w:ascii="宋体" w:hAnsi="宋体" w:cs="宋体"/>
                <w:color w:val="auto"/>
                <w:szCs w:val="21"/>
                <w:highlight w:val="none"/>
              </w:rPr>
              <w:t>进行打分。</w:t>
            </w:r>
          </w:p>
          <w:p>
            <w:pPr>
              <w:tabs>
                <w:tab w:val="left" w:pos="2061"/>
              </w:tabs>
              <w:jc w:val="left"/>
              <w:rPr>
                <w:rFonts w:ascii="宋体" w:hAnsi="宋体" w:cs="新宋体"/>
                <w:color w:val="auto"/>
                <w:szCs w:val="21"/>
                <w:highlight w:val="none"/>
              </w:rPr>
            </w:pPr>
            <w:r>
              <w:rPr>
                <w:rFonts w:hint="eastAsia" w:ascii="宋体" w:hAnsi="宋体" w:cs="新宋体"/>
                <w:color w:val="auto"/>
                <w:szCs w:val="21"/>
                <w:highlight w:val="none"/>
              </w:rPr>
              <w:t>方案阐述详细全面、垃圾分类及收集的工作方法明确、</w:t>
            </w:r>
            <w:r>
              <w:rPr>
                <w:rFonts w:hint="eastAsia" w:ascii="宋体" w:hAnsi="宋体" w:cs="宋体"/>
                <w:color w:val="auto"/>
                <w:szCs w:val="21"/>
                <w:highlight w:val="none"/>
              </w:rPr>
              <w:t>对工作内容有相对应完整的服务方案，实施要点切合螺洋街道实际且全面可行、具有针对性，</w:t>
            </w:r>
            <w:r>
              <w:rPr>
                <w:rFonts w:hint="eastAsia" w:ascii="宋体" w:hAnsi="宋体" w:cs="新宋体"/>
                <w:color w:val="auto"/>
                <w:szCs w:val="21"/>
                <w:highlight w:val="none"/>
              </w:rPr>
              <w:t>符合项目需求的得3.0-5.0分；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新宋体"/>
                <w:color w:val="auto"/>
                <w:szCs w:val="21"/>
                <w:highlight w:val="none"/>
              </w:rPr>
              <w:t>方案合理、但内容有欠缺、</w:t>
            </w:r>
            <w:r>
              <w:rPr>
                <w:rFonts w:hint="eastAsia" w:ascii="宋体" w:hAnsi="宋体" w:cs="宋体"/>
                <w:color w:val="auto"/>
                <w:szCs w:val="21"/>
                <w:highlight w:val="none"/>
              </w:rPr>
              <w:t>实施要点缺乏针对性、</w:t>
            </w:r>
            <w:r>
              <w:rPr>
                <w:rFonts w:hint="eastAsia" w:ascii="宋体" w:hAnsi="宋体" w:cs="新宋体"/>
                <w:color w:val="auto"/>
                <w:szCs w:val="21"/>
                <w:highlight w:val="none"/>
              </w:rPr>
              <w:t>无法较好的保障项目完成质量的得0.1-2.9分；未提及此项不得分。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cs="新宋体"/>
                <w:b w:val="0"/>
                <w:bCs w:val="0"/>
                <w:color w:val="auto"/>
                <w:sz w:val="21"/>
                <w:szCs w:val="21"/>
                <w:highlight w:val="none"/>
                <w:lang w:val="en-US" w:eastAsia="zh-CN"/>
              </w:rPr>
              <w:t>平台系统演示</w:t>
            </w:r>
          </w:p>
        </w:tc>
        <w:tc>
          <w:tcPr>
            <w:tcW w:w="6319" w:type="dxa"/>
            <w:vAlign w:val="top"/>
          </w:tcPr>
          <w:p>
            <w:pPr>
              <w:rPr>
                <w:rFonts w:ascii="宋体" w:hAnsi="宋体" w:cs="宋体"/>
                <w:color w:val="auto"/>
                <w:szCs w:val="21"/>
                <w:highlight w:val="none"/>
              </w:rPr>
            </w:pPr>
            <w:r>
              <w:rPr>
                <w:rFonts w:hint="eastAsia" w:ascii="宋体" w:hAnsi="宋体" w:cs="宋体"/>
                <w:color w:val="auto"/>
                <w:szCs w:val="21"/>
                <w:highlight w:val="none"/>
              </w:rPr>
              <w:t>根据投标人提供的针对街道垃圾分类收集管理系统建设及演示方案进行打分。</w:t>
            </w:r>
          </w:p>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平台功能完善，展示清晰，能保证项目实施效果的得4.0-5.0分；</w:t>
            </w:r>
          </w:p>
          <w:p>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功能较少，展示基本清晰，内容基本全面、不够详细具体的得2.0-3.9分；</w:t>
            </w:r>
          </w:p>
          <w:p>
            <w:pPr>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系统展示模糊、内容简单的得0.1-1.9分；未提及此项不得分。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质量及安全保障措施</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szCs w:val="21"/>
                <w:highlight w:val="none"/>
                <w:lang w:val="en-US" w:eastAsia="zh-CN"/>
              </w:rPr>
              <w:t>制定</w:t>
            </w:r>
            <w:r>
              <w:rPr>
                <w:rFonts w:hint="eastAsia" w:ascii="宋体" w:hAnsi="宋体" w:eastAsia="宋体" w:cs="宋体"/>
                <w:b w:val="0"/>
                <w:color w:val="auto"/>
                <w:sz w:val="21"/>
                <w:szCs w:val="21"/>
                <w:highlight w:val="none"/>
                <w:lang w:val="en-US" w:eastAsia="zh-CN"/>
              </w:rPr>
              <w:t>的</w:t>
            </w:r>
            <w:r>
              <w:rPr>
                <w:rFonts w:hint="eastAsia" w:ascii="宋体" w:hAnsi="宋体" w:cs="宋体"/>
                <w:color w:val="auto"/>
                <w:szCs w:val="21"/>
                <w:highlight w:val="none"/>
              </w:rPr>
              <w:t>质量保证目标、质量保证措施、详细的实施内容进行打分。</w:t>
            </w:r>
          </w:p>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方案阐述详细全面，质量保证目标、质量保证措施及实施内容完整，且质量保证措施以及实施内容贴合本项目实际，操作性强，有针对性，得3.0-5.0分；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方案阐述简单，质量保证措施安排不合理、实施内容方法不完善，缺乏针对性、可操作性的得0.1-2.9分；未提及此项不得分。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安全教育与管理制度</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投标人提供的作业人员安全教育、劳动保护及安全措施等方案的科学性、合理性情况进行打分。方案阐述详细全面，作业人员安全教育、劳动保护及安全措施等方案内容完整，且安全教育、劳动保护及安全措施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方案简单，对各项任务如何进行安全保护均有提及，但安全措施方法不完善，缺乏针对性的得0.1-2.9分；未提及此项不得分。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督检制度</w:t>
            </w:r>
          </w:p>
        </w:tc>
        <w:tc>
          <w:tcPr>
            <w:tcW w:w="6319" w:type="dxa"/>
            <w:vAlign w:val="top"/>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根据本项目提供相应的作业管理制度和内部考核办法进行打分。方案阐述详细全面，本项目的管理制度、内部考核办法贴合本项目实际，操作性强，有针对性的得3.0-5.0分；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方案简单，对各项任务如何进行安全保护均有提及，但缺乏合理性、针对性的得0.1-2.9分；未提及此项不得分。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1" w:type="dxa"/>
            <w:vMerge w:val="continue"/>
            <w:vAlign w:val="center"/>
          </w:tcPr>
          <w:p>
            <w:pPr>
              <w:rPr>
                <w:rFonts w:hint="eastAsia"/>
                <w:color w:val="auto"/>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环卫工人权益保障</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所提供的环卫工人保障方案的全面性、科学性和可行性以及具有完善的工会组织等情况进行打分。投标人所提供的环卫工人保障方案符合相关法律法规规定，为环卫工人购买社会保险及人身意外伤害保险，相关安全方案完备可行，工人待遇全面优渥(包括基本工资、环卫津贴、单休日、节假日、加班费等）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投标人只为环卫工人购买社会保险及人身意外伤害保险，工人待遇缺少加班费等相关福利，工人保障方案无法保障服务质量，工人待遇只是不低于当地有关标准得0.1-2.9分；未提及此项不得分。</w:t>
            </w:r>
          </w:p>
        </w:tc>
        <w:tc>
          <w:tcPr>
            <w:tcW w:w="576" w:type="dxa"/>
            <w:vAlign w:val="center"/>
          </w:tcPr>
          <w:p>
            <w:pPr>
              <w:autoSpaceDE w:val="0"/>
              <w:autoSpaceDN w:val="0"/>
              <w:adjustRightInd w:val="0"/>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71" w:type="dxa"/>
            <w:vMerge w:val="continue"/>
            <w:vAlign w:val="center"/>
          </w:tcPr>
          <w:p>
            <w:pPr>
              <w:rPr>
                <w:rFonts w:hint="eastAsia"/>
                <w:color w:val="auto"/>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r>
              <w:rPr>
                <w:color w:val="auto"/>
                <w:sz w:val="21"/>
                <w:highlight w:val="none"/>
              </w:rPr>
              <w:t>交接</w:t>
            </w:r>
            <w:r>
              <w:rPr>
                <w:rFonts w:hint="eastAsia"/>
                <w:color w:val="auto"/>
                <w:sz w:val="21"/>
                <w:highlight w:val="none"/>
                <w:lang w:val="en-US" w:eastAsia="zh-CN"/>
              </w:rPr>
              <w:t>方案</w:t>
            </w:r>
          </w:p>
        </w:tc>
        <w:tc>
          <w:tcPr>
            <w:tcW w:w="6319" w:type="dxa"/>
            <w:vAlign w:val="center"/>
          </w:tcPr>
          <w:p>
            <w:pPr>
              <w:tabs>
                <w:tab w:val="left" w:pos="2061"/>
              </w:tabs>
              <w:jc w:val="left"/>
              <w:rPr>
                <w:rFonts w:ascii="宋体" w:hAnsi="宋体" w:cs="宋体"/>
                <w:color w:val="auto"/>
                <w:szCs w:val="21"/>
                <w:highlight w:val="none"/>
              </w:rPr>
            </w:pPr>
            <w:r>
              <w:rPr>
                <w:rFonts w:hint="eastAsia" w:ascii="宋体" w:hAnsi="宋体" w:cs="宋体"/>
                <w:color w:val="auto"/>
                <w:szCs w:val="21"/>
                <w:highlight w:val="none"/>
              </w:rPr>
              <w:t>根据投标人针对本项目所提供的交接方案的全面性、科学性和可操作性进行打分。交接方案涉及到设备、车辆、人员等各方面，具有全面性、针对性，交接方案可操作，能很好地帮助业主解决交接问题，得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交接方案阐述不全面，较为空泛，对本项目交接问题的解决基本没有帮助，得0.1-2.9分；未提及此项不得分。</w:t>
            </w:r>
          </w:p>
        </w:tc>
        <w:tc>
          <w:tcPr>
            <w:tcW w:w="576" w:type="dxa"/>
            <w:vAlign w:val="center"/>
          </w:tcPr>
          <w:p>
            <w:pPr>
              <w:autoSpaceDE w:val="0"/>
              <w:autoSpaceDN w:val="0"/>
              <w:adjustRightInd w:val="0"/>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新宋体"/>
                <w:b w:val="0"/>
                <w:bCs w:val="0"/>
                <w:color w:val="auto"/>
                <w:sz w:val="21"/>
                <w:szCs w:val="21"/>
                <w:highlight w:val="none"/>
                <w:lang w:val="en-US" w:eastAsia="zh-CN"/>
              </w:rPr>
            </w:pPr>
            <w:r>
              <w:rPr>
                <w:rFonts w:hint="eastAsia" w:ascii="宋体" w:hAnsi="宋体" w:eastAsia="宋体" w:cs="新宋体"/>
                <w:b w:val="0"/>
                <w:bCs w:val="0"/>
                <w:color w:val="auto"/>
                <w:sz w:val="21"/>
                <w:szCs w:val="21"/>
                <w:highlight w:val="none"/>
                <w:lang w:val="en-US" w:eastAsia="zh-CN"/>
              </w:rPr>
              <w:t>应急预案</w:t>
            </w:r>
          </w:p>
        </w:tc>
        <w:tc>
          <w:tcPr>
            <w:tcW w:w="6319" w:type="dxa"/>
            <w:vAlign w:val="center"/>
          </w:tcPr>
          <w:p>
            <w:pPr>
              <w:tabs>
                <w:tab w:val="left" w:pos="2061"/>
              </w:tabs>
              <w:jc w:val="left"/>
              <w:rPr>
                <w:rFonts w:hint="eastAsia" w:ascii="宋体" w:hAnsi="宋体" w:cs="宋体"/>
                <w:color w:val="auto"/>
                <w:szCs w:val="21"/>
                <w:highlight w:val="none"/>
              </w:rPr>
            </w:pPr>
            <w:r>
              <w:rPr>
                <w:rFonts w:hint="eastAsia" w:ascii="宋体" w:hAnsi="宋体" w:cs="宋体"/>
                <w:color w:val="auto"/>
                <w:szCs w:val="21"/>
                <w:highlight w:val="none"/>
              </w:rPr>
              <w:t>针对突发事件、台风、暴雨等天气影响，防台防汛期间，创优评优和突击检查、重大节假日或活动等特殊情况制定的应急处置方案、经济调度方案及实施经验的完整性、合理性和可操作性进行打分。投标人面对特殊情况能出具考核迎检方案，及时增加或调动人员满足要求并且经济合理，相关应急实施经验丰富且成效显著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3.0-5.0分；</w:t>
            </w:r>
          </w:p>
          <w:p>
            <w:pPr>
              <w:tabs>
                <w:tab w:val="left" w:pos="2061"/>
              </w:tabs>
              <w:jc w:val="left"/>
              <w:rPr>
                <w:rFonts w:hint="eastAsia" w:ascii="宋体" w:hAnsi="宋体" w:eastAsia="宋体" w:cs="宋体"/>
                <w:b w:val="0"/>
                <w:color w:val="auto"/>
                <w:sz w:val="21"/>
                <w:szCs w:val="21"/>
                <w:highlight w:val="none"/>
                <w:lang w:val="en-US" w:eastAsia="zh-CN"/>
              </w:rPr>
            </w:pPr>
            <w:r>
              <w:rPr>
                <w:rFonts w:hint="eastAsia" w:ascii="宋体" w:hAnsi="宋体" w:cs="宋体"/>
                <w:color w:val="auto"/>
                <w:szCs w:val="21"/>
                <w:highlight w:val="none"/>
              </w:rPr>
              <w:t>投标人面对特殊情况增加或调动人员基本能满足要求，但缺乏相关应急实施经验的</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0.1-2.9分；未提及此项不得分。</w:t>
            </w:r>
          </w:p>
        </w:tc>
        <w:tc>
          <w:tcPr>
            <w:tcW w:w="576" w:type="dxa"/>
            <w:vAlign w:val="center"/>
          </w:tcPr>
          <w:p>
            <w:pPr>
              <w:autoSpaceDE w:val="0"/>
              <w:autoSpaceDN w:val="0"/>
              <w:adjustRightInd w:val="0"/>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rPr>
              <w:t>5</w:t>
            </w:r>
          </w:p>
        </w:tc>
        <w:tc>
          <w:tcPr>
            <w:tcW w:w="576" w:type="dxa"/>
            <w:vAlign w:val="center"/>
          </w:tcPr>
          <w:p>
            <w:pPr>
              <w:autoSpaceDE w:val="0"/>
              <w:autoSpaceDN w:val="0"/>
              <w:adjustRightInd w:val="0"/>
              <w:jc w:val="center"/>
              <w:rPr>
                <w:rFonts w:hint="eastAsia" w:ascii="宋体" w:hAnsi="宋体" w:cs="宋体"/>
                <w:color w:val="auto"/>
                <w:szCs w:val="21"/>
                <w:highlight w:val="none"/>
              </w:rPr>
            </w:pPr>
          </w:p>
        </w:tc>
        <w:tc>
          <w:tcPr>
            <w:tcW w:w="576" w:type="dxa"/>
            <w:vAlign w:val="center"/>
          </w:tcPr>
          <w:p>
            <w:pPr>
              <w:autoSpaceDE w:val="0"/>
              <w:autoSpaceDN w:val="0"/>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0"/>
                <w:szCs w:val="21"/>
                <w:highlight w:val="none"/>
              </w:rPr>
              <w:t>售后服务</w:t>
            </w:r>
          </w:p>
        </w:tc>
        <w:tc>
          <w:tcPr>
            <w:tcW w:w="6319" w:type="dxa"/>
            <w:vAlign w:val="center"/>
          </w:tcPr>
          <w:p>
            <w:pPr>
              <w:widowControl/>
              <w:tabs>
                <w:tab w:val="right" w:pos="4937"/>
              </w:tabs>
              <w:jc w:val="left"/>
              <w:textAlignment w:val="baseline"/>
              <w:rPr>
                <w:rFonts w:hint="eastAsia" w:ascii="宋体" w:hAnsi="宋体" w:cs="宋体"/>
                <w:color w:val="auto"/>
                <w:szCs w:val="21"/>
                <w:highlight w:val="none"/>
              </w:rPr>
            </w:pPr>
            <w:r>
              <w:rPr>
                <w:rFonts w:hint="eastAsia"/>
                <w:color w:val="auto"/>
                <w:highlight w:val="none"/>
              </w:rPr>
              <w:t>根据</w:t>
            </w:r>
            <w:r>
              <w:rPr>
                <w:rFonts w:hint="eastAsia" w:ascii="宋体" w:hAnsi="宋体" w:cs="宋体"/>
                <w:color w:val="auto"/>
                <w:szCs w:val="21"/>
                <w:highlight w:val="none"/>
              </w:rPr>
              <w:t>投标人承诺提供的售后服务方案（服务能力、服务措施、服务承诺等方面）情况，包括服务承诺的可行性、完整性以及后续的技术实施保障措施等进行打分。服务方案全面、后续技术保障措施合理有效的得</w:t>
            </w:r>
            <w:r>
              <w:rPr>
                <w:rFonts w:hint="eastAsia" w:ascii="宋体" w:hAnsi="宋体" w:cs="宋体"/>
                <w:color w:val="auto"/>
                <w:szCs w:val="21"/>
                <w:highlight w:val="none"/>
                <w:lang w:val="en-US" w:eastAsia="zh-CN"/>
              </w:rPr>
              <w:t>1.5-3.0</w:t>
            </w:r>
            <w:r>
              <w:rPr>
                <w:rFonts w:hint="eastAsia" w:ascii="宋体" w:hAnsi="宋体" w:cs="宋体"/>
                <w:color w:val="auto"/>
                <w:szCs w:val="21"/>
                <w:highlight w:val="none"/>
              </w:rPr>
              <w:t>分；</w:t>
            </w:r>
          </w:p>
          <w:p>
            <w:pPr>
              <w:widowControl/>
              <w:tabs>
                <w:tab w:val="right" w:pos="4937"/>
              </w:tabs>
              <w:jc w:val="left"/>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宋体"/>
                <w:color w:val="auto"/>
                <w:szCs w:val="21"/>
                <w:highlight w:val="none"/>
              </w:rPr>
              <w:t>服务方案阐述较详尽，后续技术保障措施有欠缺的得0.1-</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r>
              <w:rPr>
                <w:rFonts w:hint="eastAsia" w:ascii="宋体" w:hAnsi="宋体" w:cs="新宋体"/>
                <w:color w:val="auto"/>
                <w:szCs w:val="21"/>
                <w:highlight w:val="none"/>
              </w:rPr>
              <w:t>未提及此项不得分。</w:t>
            </w:r>
          </w:p>
        </w:tc>
        <w:tc>
          <w:tcPr>
            <w:tcW w:w="576" w:type="dxa"/>
            <w:vAlign w:val="center"/>
          </w:tcPr>
          <w:p>
            <w:pPr>
              <w:tabs>
                <w:tab w:val="left" w:pos="780"/>
              </w:tabs>
              <w:jc w:val="center"/>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3</w:t>
            </w:r>
          </w:p>
        </w:tc>
        <w:tc>
          <w:tcPr>
            <w:tcW w:w="576" w:type="dxa"/>
            <w:vAlign w:val="center"/>
          </w:tcPr>
          <w:p>
            <w:pPr>
              <w:tabs>
                <w:tab w:val="left" w:pos="780"/>
              </w:tabs>
              <w:jc w:val="center"/>
              <w:textAlignment w:val="baseline"/>
              <w:rPr>
                <w:rFonts w:hint="eastAsia" w:ascii="宋体" w:hAnsi="宋体" w:cs="新宋体" w:eastAsiaTheme="minorEastAsia"/>
                <w:color w:val="auto"/>
                <w:szCs w:val="21"/>
                <w:highlight w:val="none"/>
                <w:lang w:val="en-US" w:eastAsia="zh-CN"/>
              </w:rPr>
            </w:pPr>
          </w:p>
        </w:tc>
        <w:tc>
          <w:tcPr>
            <w:tcW w:w="576" w:type="dxa"/>
            <w:vAlign w:val="center"/>
          </w:tcPr>
          <w:p>
            <w:pPr>
              <w:tabs>
                <w:tab w:val="left" w:pos="780"/>
              </w:tabs>
              <w:jc w:val="center"/>
              <w:textAlignment w:val="baseline"/>
              <w:rPr>
                <w:rFonts w:hint="eastAsia" w:ascii="宋体" w:hAnsi="宋体" w:cs="新宋体" w:eastAsiaTheme="minorEastAsia"/>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71" w:type="dxa"/>
            <w:vMerge w:val="continue"/>
            <w:vAlign w:val="center"/>
          </w:tcPr>
          <w:p>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133" w:type="dxa"/>
            <w:vAlign w:val="center"/>
          </w:tcPr>
          <w:p>
            <w:pPr>
              <w:snapToGri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cs="新宋体"/>
                <w:color w:val="auto"/>
                <w:szCs w:val="21"/>
                <w:highlight w:val="none"/>
                <w:lang w:val="en-US" w:eastAsia="zh-CN"/>
              </w:rPr>
              <w:t>服务响应</w:t>
            </w:r>
          </w:p>
        </w:tc>
        <w:tc>
          <w:tcPr>
            <w:tcW w:w="6319" w:type="dxa"/>
            <w:vAlign w:val="center"/>
          </w:tcPr>
          <w:p>
            <w:pPr>
              <w:widowControl/>
              <w:spacing w:line="24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根据投标人</w:t>
            </w:r>
            <w:r>
              <w:rPr>
                <w:rFonts w:hint="eastAsia" w:ascii="宋体" w:hAnsi="宋体" w:cs="宋体"/>
                <w:color w:val="auto"/>
                <w:spacing w:val="-4"/>
                <w:szCs w:val="21"/>
                <w:highlight w:val="none"/>
                <w:lang w:val="en-US" w:eastAsia="zh-CN"/>
              </w:rPr>
              <w:t>承诺的服务</w:t>
            </w:r>
            <w:r>
              <w:rPr>
                <w:rFonts w:hint="eastAsia" w:ascii="宋体" w:hAnsi="宋体" w:cs="宋体"/>
                <w:color w:val="auto"/>
                <w:spacing w:val="-4"/>
                <w:szCs w:val="21"/>
                <w:highlight w:val="none"/>
              </w:rPr>
              <w:t>响应时间等情况进行打分。</w:t>
            </w:r>
          </w:p>
          <w:p>
            <w:pPr>
              <w:widowControl/>
              <w:spacing w:line="240" w:lineRule="auto"/>
              <w:rPr>
                <w:rFonts w:hint="eastAsia" w:ascii="宋体" w:hAnsi="宋体" w:cs="宋体"/>
                <w:color w:val="auto"/>
                <w:spacing w:val="-4"/>
                <w:szCs w:val="21"/>
                <w:highlight w:val="none"/>
              </w:rPr>
            </w:pPr>
            <w:r>
              <w:rPr>
                <w:rFonts w:hint="eastAsia" w:ascii="宋体" w:hAnsi="宋体" w:cs="宋体"/>
                <w:color w:val="auto"/>
                <w:spacing w:val="-4"/>
                <w:szCs w:val="21"/>
                <w:highlight w:val="none"/>
              </w:rPr>
              <w:t>承诺</w:t>
            </w:r>
            <w:r>
              <w:rPr>
                <w:rFonts w:hint="eastAsia" w:ascii="宋体" w:hAnsi="宋体" w:cs="宋体"/>
                <w:color w:val="auto"/>
                <w:spacing w:val="-4"/>
                <w:szCs w:val="21"/>
                <w:highlight w:val="none"/>
                <w:lang w:val="en-US" w:eastAsia="zh-CN"/>
              </w:rPr>
              <w:t>接到采购方通知后，</w:t>
            </w:r>
            <w:r>
              <w:rPr>
                <w:rFonts w:hint="eastAsia" w:ascii="宋体" w:hAnsi="宋体" w:cs="宋体"/>
                <w:color w:val="auto"/>
                <w:spacing w:val="-4"/>
                <w:szCs w:val="21"/>
                <w:highlight w:val="none"/>
              </w:rPr>
              <w:t>在</w:t>
            </w:r>
            <w:r>
              <w:rPr>
                <w:rFonts w:hint="eastAsia" w:ascii="宋体" w:hAnsi="宋体" w:cs="宋体"/>
                <w:color w:val="auto"/>
                <w:spacing w:val="-4"/>
                <w:szCs w:val="21"/>
                <w:highlight w:val="none"/>
                <w:lang w:val="en-US" w:eastAsia="zh-CN"/>
              </w:rPr>
              <w:t>30分钟内</w:t>
            </w:r>
            <w:r>
              <w:rPr>
                <w:rFonts w:hint="eastAsia" w:ascii="宋体" w:hAnsi="宋体" w:cs="宋体"/>
                <w:color w:val="auto"/>
                <w:spacing w:val="-4"/>
                <w:szCs w:val="21"/>
                <w:highlight w:val="none"/>
              </w:rPr>
              <w:t>（含）到达现场的得</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分；</w:t>
            </w:r>
          </w:p>
          <w:p>
            <w:pPr>
              <w:widowControl/>
              <w:spacing w:line="240" w:lineRule="auto"/>
              <w:rPr>
                <w:rFonts w:hint="eastAsia" w:asciiTheme="minorEastAsia" w:hAnsiTheme="minorEastAsia" w:eastAsiaTheme="minorEastAsia" w:cstheme="minorEastAsia"/>
                <w:b/>
                <w:bCs/>
                <w:color w:val="auto"/>
                <w:sz w:val="21"/>
                <w:szCs w:val="21"/>
                <w:highlight w:val="none"/>
              </w:rPr>
            </w:pPr>
            <w:r>
              <w:rPr>
                <w:rFonts w:hint="eastAsia" w:ascii="宋体" w:hAnsi="宋体" w:cs="宋体"/>
                <w:color w:val="auto"/>
                <w:spacing w:val="-4"/>
                <w:szCs w:val="21"/>
                <w:highlight w:val="none"/>
                <w:lang w:val="en-US" w:eastAsia="zh-CN"/>
              </w:rPr>
              <w:t>接到采购方通知后，</w:t>
            </w:r>
            <w:r>
              <w:rPr>
                <w:rFonts w:hint="eastAsia" w:ascii="宋体" w:hAnsi="宋体" w:cs="宋体"/>
                <w:color w:val="auto"/>
                <w:spacing w:val="-4"/>
                <w:szCs w:val="21"/>
                <w:highlight w:val="none"/>
              </w:rPr>
              <w:t>超过</w:t>
            </w:r>
            <w:r>
              <w:rPr>
                <w:rFonts w:hint="eastAsia" w:ascii="宋体" w:hAnsi="宋体" w:cs="宋体"/>
                <w:color w:val="auto"/>
                <w:spacing w:val="-4"/>
                <w:szCs w:val="21"/>
                <w:highlight w:val="none"/>
                <w:lang w:val="en-US" w:eastAsia="zh-CN"/>
              </w:rPr>
              <w:t>30分钟</w:t>
            </w:r>
            <w:r>
              <w:rPr>
                <w:rFonts w:hint="eastAsia" w:ascii="宋体" w:hAnsi="宋体" w:cs="宋体"/>
                <w:color w:val="auto"/>
                <w:spacing w:val="-4"/>
                <w:szCs w:val="21"/>
                <w:highlight w:val="none"/>
              </w:rPr>
              <w:t>到达现场的或未提及此项不得分。</w:t>
            </w:r>
          </w:p>
        </w:tc>
        <w:tc>
          <w:tcPr>
            <w:tcW w:w="576" w:type="dxa"/>
            <w:vAlign w:val="center"/>
          </w:tcPr>
          <w:p>
            <w:pPr>
              <w:tabs>
                <w:tab w:val="left" w:pos="780"/>
              </w:tabs>
              <w:autoSpaceDE w:val="0"/>
              <w:autoSpaceDN w:val="0"/>
              <w:adjustRightInd w:val="0"/>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宋体" w:hAnsi="宋体" w:cs="新宋体"/>
                <w:color w:val="auto"/>
                <w:szCs w:val="21"/>
                <w:highlight w:val="none"/>
                <w:lang w:val="en-US" w:eastAsia="zh-CN"/>
              </w:rPr>
              <w:t>2</w:t>
            </w:r>
          </w:p>
        </w:tc>
        <w:tc>
          <w:tcPr>
            <w:tcW w:w="576" w:type="dxa"/>
            <w:vAlign w:val="center"/>
          </w:tcPr>
          <w:p>
            <w:pPr>
              <w:tabs>
                <w:tab w:val="left" w:pos="780"/>
              </w:tabs>
              <w:autoSpaceDE w:val="0"/>
              <w:autoSpaceDN w:val="0"/>
              <w:adjustRightInd w:val="0"/>
              <w:spacing w:line="240" w:lineRule="auto"/>
              <w:jc w:val="center"/>
              <w:rPr>
                <w:rFonts w:hint="eastAsia" w:ascii="宋体" w:hAnsi="宋体" w:cs="新宋体"/>
                <w:color w:val="auto"/>
                <w:szCs w:val="21"/>
                <w:highlight w:val="none"/>
                <w:lang w:val="en-US" w:eastAsia="zh-CN"/>
              </w:rPr>
            </w:pPr>
          </w:p>
        </w:tc>
        <w:tc>
          <w:tcPr>
            <w:tcW w:w="576" w:type="dxa"/>
            <w:vAlign w:val="center"/>
          </w:tcPr>
          <w:p>
            <w:pPr>
              <w:tabs>
                <w:tab w:val="left" w:pos="780"/>
              </w:tabs>
              <w:autoSpaceDE w:val="0"/>
              <w:autoSpaceDN w:val="0"/>
              <w:adjustRightInd w:val="0"/>
              <w:spacing w:line="240" w:lineRule="auto"/>
              <w:jc w:val="center"/>
              <w:rPr>
                <w:rFonts w:hint="eastAsia" w:ascii="宋体" w:hAnsi="宋体" w:cs="新宋体"/>
                <w:color w:val="auto"/>
                <w:szCs w:val="21"/>
                <w:highlight w:val="none"/>
                <w:lang w:val="en-US" w:eastAsia="zh-CN"/>
              </w:rPr>
            </w:pPr>
          </w:p>
        </w:tc>
      </w:tr>
    </w:tbl>
    <w:p>
      <w:pPr>
        <w:pStyle w:val="2"/>
        <w:rPr>
          <w:color w:val="auto"/>
          <w:highlight w:val="none"/>
          <w:lang w:val="zh-CN"/>
        </w:rPr>
      </w:pPr>
    </w:p>
    <w:p>
      <w:pPr>
        <w:pStyle w:val="39"/>
        <w:shd w:val="clear" w:color="auto" w:fill="FFFFFF"/>
        <w:spacing w:before="0" w:beforeAutospacing="0" w:after="0" w:afterAutospacing="0"/>
        <w:jc w:val="both"/>
        <w:rPr>
          <w:b/>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39"/>
        <w:shd w:val="clear" w:color="auto" w:fill="FFFFFF"/>
        <w:spacing w:before="0" w:beforeAutospacing="0" w:after="0" w:afterAutospacing="0"/>
        <w:jc w:val="both"/>
        <w:rPr>
          <w:b/>
          <w:color w:val="auto"/>
          <w:sz w:val="32"/>
          <w:szCs w:val="32"/>
          <w:highlight w:val="none"/>
        </w:rPr>
      </w:pPr>
      <w:r>
        <w:rPr>
          <w:rFonts w:hint="eastAsia"/>
          <w:b/>
          <w:color w:val="auto"/>
          <w:sz w:val="32"/>
          <w:szCs w:val="32"/>
          <w:highlight w:val="none"/>
        </w:rPr>
        <w:t>附件6：</w:t>
      </w:r>
    </w:p>
    <w:p>
      <w:pPr>
        <w:pStyle w:val="39"/>
        <w:shd w:val="clear" w:color="auto" w:fill="FFFFFF"/>
        <w:spacing w:before="0" w:beforeAutospacing="0" w:after="0" w:afterAutospacing="0"/>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39"/>
              <w:shd w:val="clear" w:color="auto" w:fill="FFFFFF"/>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pPr>
              <w:pStyle w:val="39"/>
              <w:shd w:val="clear" w:color="auto" w:fill="FFFFFF"/>
              <w:rPr>
                <w:bCs/>
                <w:color w:val="auto"/>
                <w:sz w:val="21"/>
                <w:szCs w:val="21"/>
                <w:highlight w:val="none"/>
              </w:rPr>
            </w:pPr>
          </w:p>
        </w:tc>
        <w:tc>
          <w:tcPr>
            <w:tcW w:w="2001" w:type="dxa"/>
            <w:gridSpan w:val="3"/>
          </w:tcPr>
          <w:p>
            <w:pPr>
              <w:pStyle w:val="39"/>
              <w:shd w:val="clear" w:color="auto" w:fill="FFFFFF"/>
              <w:rPr>
                <w:bCs/>
                <w:color w:val="auto"/>
                <w:sz w:val="21"/>
                <w:szCs w:val="21"/>
                <w:highlight w:val="none"/>
              </w:rPr>
            </w:pPr>
            <w:r>
              <w:rPr>
                <w:rFonts w:hint="eastAsia"/>
                <w:bCs/>
                <w:color w:val="auto"/>
                <w:spacing w:val="16"/>
                <w:sz w:val="21"/>
                <w:szCs w:val="21"/>
                <w:highlight w:val="none"/>
              </w:rPr>
              <w:t>法定代表人</w:t>
            </w:r>
          </w:p>
        </w:tc>
        <w:tc>
          <w:tcPr>
            <w:tcW w:w="2151" w:type="dxa"/>
            <w:gridSpan w:val="2"/>
          </w:tcPr>
          <w:p>
            <w:pPr>
              <w:pStyle w:val="39"/>
              <w:shd w:val="clear" w:color="auto" w:fill="FFFFFF"/>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pPr>
              <w:pStyle w:val="39"/>
              <w:shd w:val="clear" w:color="auto" w:fill="FFFFFF"/>
              <w:spacing w:before="0" w:beforeAutospacing="0" w:after="0" w:afterAutospacing="0"/>
              <w:rPr>
                <w:bCs/>
                <w:color w:val="auto"/>
                <w:spacing w:val="16"/>
                <w:sz w:val="21"/>
                <w:szCs w:val="21"/>
                <w:highlight w:val="none"/>
              </w:rPr>
            </w:pPr>
          </w:p>
        </w:tc>
        <w:tc>
          <w:tcPr>
            <w:tcW w:w="910" w:type="dxa"/>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pPr>
              <w:pStyle w:val="39"/>
              <w:shd w:val="clear" w:color="auto" w:fill="FFFFFF"/>
              <w:ind w:left="107"/>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39"/>
              <w:shd w:val="clear" w:color="auto" w:fill="FFFFFF"/>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pPr>
              <w:pStyle w:val="39"/>
              <w:shd w:val="clear" w:color="auto" w:fill="FFFFFF"/>
              <w:rPr>
                <w:bCs/>
                <w:color w:val="auto"/>
                <w:spacing w:val="16"/>
                <w:sz w:val="21"/>
                <w:szCs w:val="21"/>
                <w:highlight w:val="none"/>
              </w:rPr>
            </w:pPr>
          </w:p>
        </w:tc>
        <w:tc>
          <w:tcPr>
            <w:tcW w:w="910" w:type="dxa"/>
            <w:tcBorders>
              <w:top w:val="nil"/>
            </w:tcBorders>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vMerge w:val="restart"/>
          </w:tcPr>
          <w:p>
            <w:pPr>
              <w:pStyle w:val="39"/>
              <w:shd w:val="clear" w:color="auto" w:fill="FFFFFF"/>
              <w:spacing w:before="0" w:beforeAutospacing="0" w:after="0" w:afterAutospacing="0"/>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39"/>
              <w:shd w:val="clear" w:color="auto" w:fill="FFFFFF"/>
              <w:ind w:left="107"/>
              <w:rPr>
                <w:bCs/>
                <w:color w:val="auto"/>
                <w:sz w:val="21"/>
                <w:szCs w:val="21"/>
                <w:highlight w:val="none"/>
              </w:rPr>
            </w:pPr>
          </w:p>
        </w:tc>
        <w:tc>
          <w:tcPr>
            <w:tcW w:w="633" w:type="dxa"/>
            <w:vMerge w:val="continue"/>
          </w:tcPr>
          <w:p>
            <w:pPr>
              <w:pStyle w:val="39"/>
              <w:shd w:val="clear" w:color="auto" w:fill="FFFFFF"/>
              <w:rPr>
                <w:bCs/>
                <w:color w:val="auto"/>
                <w:spacing w:val="16"/>
                <w:sz w:val="21"/>
                <w:szCs w:val="21"/>
                <w:highlight w:val="none"/>
              </w:rPr>
            </w:pPr>
          </w:p>
        </w:tc>
        <w:tc>
          <w:tcPr>
            <w:tcW w:w="910"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pPr>
              <w:pStyle w:val="39"/>
              <w:shd w:val="clear" w:color="auto" w:fill="FFFFFF"/>
              <w:rPr>
                <w:bCs/>
                <w:color w:val="auto"/>
                <w:spacing w:val="16"/>
                <w:sz w:val="21"/>
                <w:szCs w:val="21"/>
                <w:highlight w:val="none"/>
              </w:rPr>
            </w:pPr>
          </w:p>
        </w:tc>
        <w:tc>
          <w:tcPr>
            <w:tcW w:w="2001" w:type="dxa"/>
            <w:gridSpan w:val="3"/>
            <w:vMerge w:val="continue"/>
          </w:tcPr>
          <w:p>
            <w:pPr>
              <w:pStyle w:val="39"/>
              <w:shd w:val="clear" w:color="auto" w:fill="FFFFFF"/>
              <w:rPr>
                <w:bCs/>
                <w:color w:val="auto"/>
                <w:spacing w:val="16"/>
                <w:sz w:val="21"/>
                <w:szCs w:val="21"/>
                <w:highlight w:val="none"/>
              </w:rPr>
            </w:pPr>
          </w:p>
        </w:tc>
        <w:tc>
          <w:tcPr>
            <w:tcW w:w="2151" w:type="dxa"/>
            <w:gridSpan w:val="2"/>
            <w:vMerge w:val="continue"/>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39"/>
              <w:shd w:val="clear" w:color="auto" w:fill="FFFFFF"/>
              <w:ind w:left="107"/>
              <w:rPr>
                <w:bCs/>
                <w:color w:val="auto"/>
                <w:sz w:val="21"/>
                <w:szCs w:val="21"/>
                <w:highlight w:val="none"/>
              </w:rPr>
            </w:pPr>
            <w:r>
              <w:rPr>
                <w:rFonts w:hint="eastAsia"/>
                <w:bCs/>
                <w:color w:val="auto"/>
                <w:sz w:val="21"/>
                <w:szCs w:val="21"/>
                <w:highlight w:val="none"/>
              </w:rPr>
              <w:t>一、</w:t>
            </w:r>
          </w:p>
          <w:p>
            <w:pPr>
              <w:pStyle w:val="39"/>
              <w:shd w:val="clear" w:color="auto" w:fill="FFFFFF"/>
              <w:ind w:left="107"/>
              <w:rPr>
                <w:bCs/>
                <w:color w:val="auto"/>
                <w:sz w:val="21"/>
                <w:szCs w:val="21"/>
                <w:highlight w:val="none"/>
              </w:rPr>
            </w:pPr>
            <w:r>
              <w:rPr>
                <w:rFonts w:hint="eastAsia"/>
                <w:bCs/>
                <w:color w:val="auto"/>
                <w:sz w:val="21"/>
                <w:szCs w:val="21"/>
                <w:highlight w:val="none"/>
              </w:rPr>
              <w:t>企</w:t>
            </w:r>
          </w:p>
          <w:p>
            <w:pPr>
              <w:pStyle w:val="39"/>
              <w:shd w:val="clear" w:color="auto" w:fill="FFFFFF"/>
              <w:ind w:left="107"/>
              <w:rPr>
                <w:bCs/>
                <w:color w:val="auto"/>
                <w:sz w:val="21"/>
                <w:szCs w:val="21"/>
                <w:highlight w:val="none"/>
              </w:rPr>
            </w:pPr>
            <w:r>
              <w:rPr>
                <w:rFonts w:hint="eastAsia"/>
                <w:bCs/>
                <w:color w:val="auto"/>
                <w:sz w:val="21"/>
                <w:szCs w:val="21"/>
                <w:highlight w:val="none"/>
              </w:rPr>
              <w:t>业</w:t>
            </w:r>
          </w:p>
          <w:p>
            <w:pPr>
              <w:pStyle w:val="39"/>
              <w:shd w:val="clear" w:color="auto" w:fill="FFFFFF"/>
              <w:ind w:left="107"/>
              <w:rPr>
                <w:bCs/>
                <w:color w:val="auto"/>
                <w:spacing w:val="27"/>
                <w:sz w:val="21"/>
                <w:szCs w:val="21"/>
                <w:highlight w:val="none"/>
              </w:rPr>
            </w:pPr>
            <w:r>
              <w:rPr>
                <w:rFonts w:hint="eastAsia"/>
                <w:bCs/>
                <w:color w:val="auto"/>
                <w:spacing w:val="27"/>
                <w:sz w:val="21"/>
                <w:szCs w:val="21"/>
                <w:highlight w:val="none"/>
              </w:rPr>
              <w:t>概</w:t>
            </w:r>
          </w:p>
          <w:p>
            <w:pPr>
              <w:pStyle w:val="39"/>
              <w:shd w:val="clear" w:color="auto" w:fill="FFFFFF"/>
              <w:ind w:left="107"/>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pPr>
              <w:pStyle w:val="39"/>
              <w:shd w:val="clear" w:color="auto" w:fill="FFFFFF"/>
              <w:rPr>
                <w:bCs/>
                <w:color w:val="auto"/>
                <w:spacing w:val="16"/>
                <w:sz w:val="21"/>
                <w:szCs w:val="21"/>
                <w:highlight w:val="none"/>
              </w:rPr>
            </w:pPr>
          </w:p>
        </w:tc>
        <w:tc>
          <w:tcPr>
            <w:tcW w:w="1163" w:type="dxa"/>
            <w:gridSpan w:val="2"/>
            <w:tcBorders>
              <w:top w:val="nil"/>
            </w:tcBorders>
          </w:tcPr>
          <w:p>
            <w:pPr>
              <w:pStyle w:val="39"/>
              <w:shd w:val="clear" w:color="auto" w:fill="FFFFFF"/>
              <w:spacing w:before="0" w:beforeAutospacing="0" w:after="0" w:afterAutospacing="0"/>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pPr>
              <w:widowControl/>
              <w:jc w:val="left"/>
              <w:rPr>
                <w:rFonts w:ascii="宋体" w:cs="宋体"/>
                <w:bCs/>
                <w:color w:val="auto"/>
                <w:spacing w:val="16"/>
                <w:kern w:val="0"/>
                <w:szCs w:val="21"/>
                <w:highlight w:val="none"/>
              </w:rPr>
            </w:pPr>
          </w:p>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rPr>
                <w:bCs/>
                <w:color w:val="auto"/>
                <w:sz w:val="21"/>
                <w:szCs w:val="21"/>
                <w:highlight w:val="none"/>
              </w:rPr>
            </w:pPr>
            <w:r>
              <w:rPr>
                <w:rFonts w:hint="eastAsia"/>
                <w:bCs/>
                <w:color w:val="auto"/>
                <w:spacing w:val="16"/>
                <w:sz w:val="21"/>
                <w:szCs w:val="21"/>
                <w:highlight w:val="none"/>
              </w:rPr>
              <w:t>占地面积</w:t>
            </w:r>
          </w:p>
        </w:tc>
        <w:tc>
          <w:tcPr>
            <w:tcW w:w="910" w:type="dxa"/>
          </w:tcPr>
          <w:p>
            <w:pPr>
              <w:pStyle w:val="39"/>
              <w:shd w:val="clear" w:color="auto" w:fill="FFFFFF"/>
              <w:rPr>
                <w:bCs/>
                <w:color w:val="auto"/>
                <w:sz w:val="21"/>
                <w:szCs w:val="21"/>
                <w:highlight w:val="none"/>
              </w:rPr>
            </w:pPr>
          </w:p>
        </w:tc>
        <w:tc>
          <w:tcPr>
            <w:tcW w:w="1163" w:type="dxa"/>
            <w:gridSpan w:val="2"/>
          </w:tcPr>
          <w:p>
            <w:pPr>
              <w:pStyle w:val="39"/>
              <w:shd w:val="clear" w:color="auto" w:fill="FFFFFF"/>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pPr>
              <w:pStyle w:val="39"/>
              <w:shd w:val="clear" w:color="auto" w:fill="FFFFFF"/>
              <w:rPr>
                <w:bCs/>
                <w:color w:val="auto"/>
                <w:sz w:val="21"/>
                <w:szCs w:val="21"/>
                <w:highlight w:val="none"/>
              </w:rPr>
            </w:pPr>
            <w:r>
              <w:rPr>
                <w:rFonts w:hint="eastAsia"/>
                <w:bCs/>
                <w:color w:val="auto"/>
                <w:sz w:val="21"/>
                <w:szCs w:val="21"/>
                <w:highlight w:val="none"/>
              </w:rPr>
              <w:t>平方米</w:t>
            </w:r>
          </w:p>
          <w:p>
            <w:pPr>
              <w:pStyle w:val="39"/>
              <w:shd w:val="clear" w:color="auto" w:fill="FFFFFF"/>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pPr>
              <w:pStyle w:val="39"/>
              <w:shd w:val="clear" w:color="auto" w:fill="FFFFFF"/>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pPr>
              <w:pStyle w:val="39"/>
              <w:shd w:val="clear" w:color="auto" w:fill="FFFFFF"/>
              <w:spacing w:before="0" w:beforeAutospacing="0" w:after="0" w:afterAutospacing="0"/>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ind w:left="2"/>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pPr>
              <w:pStyle w:val="39"/>
              <w:shd w:val="clear" w:color="auto" w:fill="FFFFFF"/>
              <w:ind w:left="2"/>
              <w:rPr>
                <w:bCs/>
                <w:color w:val="auto"/>
                <w:sz w:val="21"/>
                <w:szCs w:val="21"/>
                <w:highlight w:val="none"/>
              </w:rPr>
            </w:pPr>
          </w:p>
        </w:tc>
        <w:tc>
          <w:tcPr>
            <w:tcW w:w="1163" w:type="dxa"/>
            <w:gridSpan w:val="2"/>
          </w:tcPr>
          <w:p>
            <w:pPr>
              <w:pStyle w:val="39"/>
              <w:shd w:val="clear" w:color="auto" w:fill="FFFFFF"/>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pPr>
              <w:widowControl/>
              <w:jc w:val="left"/>
              <w:rPr>
                <w:rFonts w:ascii="宋体" w:cs="宋体"/>
                <w:bCs/>
                <w:color w:val="auto"/>
                <w:kern w:val="0"/>
                <w:szCs w:val="21"/>
                <w:highlight w:val="none"/>
              </w:rPr>
            </w:pPr>
          </w:p>
          <w:p>
            <w:pPr>
              <w:pStyle w:val="39"/>
              <w:shd w:val="clear" w:color="auto" w:fill="FFFFFF"/>
              <w:ind w:left="107"/>
              <w:rPr>
                <w:bCs/>
                <w:color w:val="auto"/>
                <w:sz w:val="21"/>
                <w:szCs w:val="21"/>
                <w:highlight w:val="none"/>
              </w:rPr>
            </w:pPr>
          </w:p>
        </w:tc>
        <w:tc>
          <w:tcPr>
            <w:tcW w:w="1218" w:type="dxa"/>
          </w:tcPr>
          <w:p>
            <w:pPr>
              <w:pStyle w:val="39"/>
              <w:shd w:val="clear" w:color="auto" w:fill="FFFFFF"/>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pPr>
              <w:pStyle w:val="39"/>
              <w:shd w:val="clear" w:color="auto" w:fill="FFFFFF"/>
              <w:ind w:left="107"/>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ind w:left="2"/>
              <w:rPr>
                <w:bCs/>
                <w:color w:val="auto"/>
                <w:sz w:val="21"/>
                <w:szCs w:val="21"/>
                <w:highlight w:val="none"/>
              </w:rPr>
            </w:pPr>
            <w:r>
              <w:rPr>
                <w:rFonts w:hint="eastAsia"/>
                <w:bCs/>
                <w:color w:val="auto"/>
                <w:sz w:val="21"/>
                <w:szCs w:val="21"/>
                <w:highlight w:val="none"/>
              </w:rPr>
              <w:t>核准经营范围</w:t>
            </w:r>
          </w:p>
        </w:tc>
        <w:tc>
          <w:tcPr>
            <w:tcW w:w="7430" w:type="dxa"/>
            <w:gridSpan w:val="10"/>
          </w:tcPr>
          <w:p>
            <w:pPr>
              <w:pStyle w:val="39"/>
              <w:shd w:val="clear" w:color="auto" w:fill="FFFFFF"/>
              <w:ind w:left="107"/>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39"/>
              <w:shd w:val="clear" w:color="auto" w:fill="FFFFFF"/>
              <w:ind w:left="107"/>
              <w:rPr>
                <w:bCs/>
                <w:color w:val="auto"/>
                <w:sz w:val="21"/>
                <w:szCs w:val="21"/>
                <w:highlight w:val="none"/>
              </w:rPr>
            </w:pPr>
          </w:p>
        </w:tc>
        <w:tc>
          <w:tcPr>
            <w:tcW w:w="8063" w:type="dxa"/>
            <w:gridSpan w:val="11"/>
          </w:tcPr>
          <w:p>
            <w:pPr>
              <w:pStyle w:val="39"/>
              <w:shd w:val="clear" w:color="auto" w:fill="FFFFFF"/>
              <w:rPr>
                <w:bCs/>
                <w:color w:val="auto"/>
                <w:spacing w:val="13"/>
                <w:sz w:val="21"/>
                <w:szCs w:val="21"/>
                <w:highlight w:val="none"/>
              </w:rPr>
            </w:pPr>
            <w:r>
              <w:rPr>
                <w:rFonts w:hint="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39"/>
              <w:shd w:val="clear" w:color="auto" w:fill="FFFFFF"/>
              <w:ind w:left="107"/>
              <w:rPr>
                <w:bCs/>
                <w:color w:val="auto"/>
                <w:sz w:val="21"/>
                <w:szCs w:val="21"/>
                <w:highlight w:val="none"/>
              </w:rPr>
            </w:pPr>
            <w:r>
              <w:rPr>
                <w:rFonts w:hint="eastAsia"/>
                <w:bCs/>
                <w:color w:val="auto"/>
                <w:sz w:val="21"/>
                <w:szCs w:val="21"/>
                <w:highlight w:val="none"/>
              </w:rPr>
              <w:t>二、</w:t>
            </w:r>
          </w:p>
          <w:p>
            <w:pPr>
              <w:pStyle w:val="39"/>
              <w:shd w:val="clear" w:color="auto" w:fill="FFFFFF"/>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pPr>
              <w:pStyle w:val="39"/>
              <w:shd w:val="clear" w:color="auto" w:fill="FFFFFF"/>
              <w:spacing w:before="0" w:beforeAutospacing="0" w:after="0" w:afterAutospacing="0"/>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pPr>
              <w:pStyle w:val="39"/>
              <w:shd w:val="clear" w:color="auto" w:fill="FFFFFF"/>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pPr>
              <w:pStyle w:val="39"/>
              <w:shd w:val="clear" w:color="auto" w:fill="FFFFFF"/>
              <w:spacing w:before="0" w:beforeAutospacing="0" w:after="0" w:afterAutospacing="0"/>
              <w:rPr>
                <w:bCs/>
                <w:color w:val="auto"/>
                <w:sz w:val="21"/>
                <w:szCs w:val="21"/>
                <w:highlight w:val="none"/>
              </w:rPr>
            </w:pPr>
            <w:r>
              <w:rPr>
                <w:rFonts w:hint="eastAsia"/>
                <w:bCs/>
                <w:color w:val="auto"/>
                <w:spacing w:val="16"/>
                <w:sz w:val="21"/>
                <w:szCs w:val="21"/>
                <w:highlight w:val="none"/>
              </w:rPr>
              <w:t>发证机关</w:t>
            </w:r>
          </w:p>
        </w:tc>
        <w:tc>
          <w:tcPr>
            <w:tcW w:w="1276" w:type="dxa"/>
          </w:tcPr>
          <w:p>
            <w:pPr>
              <w:pStyle w:val="39"/>
              <w:shd w:val="clear" w:color="auto" w:fill="FFFFFF"/>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pPr>
              <w:pStyle w:val="39"/>
              <w:shd w:val="clear" w:color="auto" w:fill="FFFFFF"/>
              <w:jc w:val="center"/>
              <w:rPr>
                <w:bCs/>
                <w:color w:val="auto"/>
                <w:sz w:val="21"/>
                <w:szCs w:val="21"/>
                <w:highlight w:val="none"/>
              </w:rPr>
            </w:pPr>
            <w:r>
              <w:rPr>
                <w:rFonts w:hint="eastAsia"/>
                <w:bCs/>
                <w:color w:val="auto"/>
                <w:spacing w:val="16"/>
                <w:sz w:val="21"/>
                <w:szCs w:val="21"/>
                <w:highlight w:val="none"/>
              </w:rPr>
              <w:t>发证时间</w:t>
            </w:r>
          </w:p>
        </w:tc>
        <w:tc>
          <w:tcPr>
            <w:tcW w:w="933" w:type="dxa"/>
          </w:tcPr>
          <w:p>
            <w:pPr>
              <w:pStyle w:val="39"/>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39"/>
              <w:shd w:val="clear" w:color="auto" w:fill="FFFFFF"/>
              <w:ind w:left="107"/>
              <w:rPr>
                <w:bCs/>
                <w:color w:val="auto"/>
                <w:sz w:val="21"/>
                <w:szCs w:val="21"/>
                <w:highlight w:val="none"/>
              </w:rPr>
            </w:pPr>
          </w:p>
        </w:tc>
        <w:tc>
          <w:tcPr>
            <w:tcW w:w="1854" w:type="dxa"/>
            <w:gridSpan w:val="3"/>
            <w:vMerge w:val="continue"/>
          </w:tcPr>
          <w:p>
            <w:pPr>
              <w:pStyle w:val="39"/>
              <w:shd w:val="clear" w:color="auto" w:fill="FFFFFF"/>
              <w:rPr>
                <w:bCs/>
                <w:color w:val="auto"/>
                <w:sz w:val="21"/>
                <w:szCs w:val="21"/>
                <w:highlight w:val="none"/>
              </w:rPr>
            </w:pPr>
          </w:p>
        </w:tc>
        <w:tc>
          <w:tcPr>
            <w:tcW w:w="964" w:type="dxa"/>
            <w:gridSpan w:val="2"/>
          </w:tcPr>
          <w:p>
            <w:pPr>
              <w:pStyle w:val="39"/>
              <w:shd w:val="clear" w:color="auto" w:fill="FFFFFF"/>
              <w:rPr>
                <w:bCs/>
                <w:color w:val="auto"/>
                <w:sz w:val="21"/>
                <w:szCs w:val="21"/>
                <w:highlight w:val="none"/>
              </w:rPr>
            </w:pPr>
          </w:p>
        </w:tc>
        <w:tc>
          <w:tcPr>
            <w:tcW w:w="1418" w:type="dxa"/>
            <w:gridSpan w:val="2"/>
          </w:tcPr>
          <w:p>
            <w:pPr>
              <w:pStyle w:val="39"/>
              <w:shd w:val="clear" w:color="auto" w:fill="FFFFFF"/>
              <w:rPr>
                <w:bCs/>
                <w:color w:val="auto"/>
                <w:sz w:val="21"/>
                <w:szCs w:val="21"/>
                <w:highlight w:val="none"/>
              </w:rPr>
            </w:pPr>
          </w:p>
        </w:tc>
        <w:tc>
          <w:tcPr>
            <w:tcW w:w="1276" w:type="dxa"/>
          </w:tcPr>
          <w:p>
            <w:pPr>
              <w:pStyle w:val="39"/>
              <w:shd w:val="clear" w:color="auto" w:fill="FFFFFF"/>
              <w:rPr>
                <w:bCs/>
                <w:color w:val="auto"/>
                <w:sz w:val="21"/>
                <w:szCs w:val="21"/>
                <w:highlight w:val="none"/>
              </w:rPr>
            </w:pPr>
          </w:p>
        </w:tc>
        <w:tc>
          <w:tcPr>
            <w:tcW w:w="2551" w:type="dxa"/>
            <w:gridSpan w:val="3"/>
          </w:tcPr>
          <w:p>
            <w:pPr>
              <w:pStyle w:val="39"/>
              <w:shd w:val="clear" w:color="auto" w:fill="FFFFFF"/>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39"/>
              <w:shd w:val="clear" w:color="auto" w:fill="FFFFFF"/>
              <w:ind w:left="107"/>
              <w:rPr>
                <w:bCs/>
                <w:color w:val="auto"/>
                <w:spacing w:val="16"/>
                <w:sz w:val="21"/>
                <w:szCs w:val="21"/>
                <w:highlight w:val="none"/>
              </w:rPr>
            </w:pPr>
          </w:p>
        </w:tc>
        <w:tc>
          <w:tcPr>
            <w:tcW w:w="1854" w:type="dxa"/>
            <w:gridSpan w:val="3"/>
          </w:tcPr>
          <w:p>
            <w:pPr>
              <w:pStyle w:val="39"/>
              <w:shd w:val="clear" w:color="auto" w:fill="FFFFFF"/>
              <w:spacing w:before="0" w:beforeAutospacing="0" w:after="0" w:afterAutospacing="0"/>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39"/>
              <w:shd w:val="clear" w:color="auto" w:fill="FFFFFF"/>
              <w:ind w:left="107"/>
              <w:rPr>
                <w:bCs/>
                <w:color w:val="auto"/>
                <w:spacing w:val="27"/>
                <w:sz w:val="21"/>
                <w:szCs w:val="21"/>
                <w:highlight w:val="none"/>
              </w:rPr>
            </w:pPr>
          </w:p>
        </w:tc>
        <w:tc>
          <w:tcPr>
            <w:tcW w:w="1854" w:type="dxa"/>
            <w:gridSpan w:val="3"/>
          </w:tcPr>
          <w:p>
            <w:pPr>
              <w:pStyle w:val="39"/>
              <w:shd w:val="clear" w:color="auto" w:fill="FFFFFF"/>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pPr>
              <w:pStyle w:val="39"/>
              <w:shd w:val="clear" w:color="auto" w:fill="FFFFFF"/>
              <w:rPr>
                <w:bCs/>
                <w:color w:val="auto"/>
                <w:spacing w:val="16"/>
                <w:sz w:val="21"/>
                <w:szCs w:val="21"/>
                <w:highlight w:val="none"/>
              </w:rPr>
            </w:pPr>
          </w:p>
        </w:tc>
      </w:tr>
    </w:tbl>
    <w:p>
      <w:pPr>
        <w:pStyle w:val="39"/>
        <w:shd w:val="clear" w:color="auto" w:fill="FFFFFF"/>
        <w:spacing w:before="0" w:beforeAutospacing="0" w:after="0" w:afterAutospacing="0" w:line="360" w:lineRule="auto"/>
        <w:rPr>
          <w:rFonts w:ascii="仿宋_GB2312" w:eastAsia="仿宋_GB2312"/>
          <w:color w:val="auto"/>
          <w:highlight w:val="none"/>
        </w:rPr>
      </w:pPr>
    </w:p>
    <w:p>
      <w:pPr>
        <w:pStyle w:val="39"/>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9"/>
        <w:shd w:val="clear" w:color="auto" w:fill="FFFFFF"/>
        <w:spacing w:before="0" w:beforeAutospacing="0" w:after="0" w:afterAutospacing="0" w:line="360" w:lineRule="auto"/>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ind w:firstLine="371" w:firstLineChars="177"/>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371" w:firstLineChars="177"/>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pStyle w:val="39"/>
        <w:shd w:val="clear" w:color="auto" w:fill="FFFFFF"/>
        <w:spacing w:before="0" w:beforeAutospacing="0" w:after="0" w:afterAutospacing="0" w:line="360" w:lineRule="auto"/>
        <w:ind w:firstLine="371" w:firstLineChars="177"/>
        <w:rPr>
          <w:color w:val="auto"/>
          <w:sz w:val="21"/>
          <w:szCs w:val="21"/>
          <w:highlight w:val="none"/>
        </w:rPr>
      </w:pPr>
      <w:r>
        <w:rPr>
          <w:rFonts w:hint="eastAsia"/>
          <w:color w:val="auto"/>
          <w:sz w:val="21"/>
          <w:szCs w:val="21"/>
          <w:highlight w:val="none"/>
        </w:rPr>
        <w:t>日期：</w:t>
      </w: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pPr>
        <w:pStyle w:val="39"/>
        <w:shd w:val="clear" w:color="auto" w:fill="FFFFFF"/>
        <w:spacing w:before="0" w:beforeAutospacing="0" w:after="0" w:afterAutospacing="0" w:line="360" w:lineRule="auto"/>
        <w:rPr>
          <w:color w:val="auto"/>
          <w:highlight w:val="none"/>
        </w:rPr>
      </w:pPr>
      <w:r>
        <w:rPr>
          <w:rFonts w:hint="eastAsia"/>
          <w:b/>
          <w:color w:val="auto"/>
          <w:sz w:val="28"/>
          <w:highlight w:val="none"/>
        </w:rPr>
        <w:t>附件7</w:t>
      </w:r>
    </w:p>
    <w:p>
      <w:pPr>
        <w:snapToGrid w:val="0"/>
        <w:spacing w:beforeLines="50" w:after="50" w:line="360" w:lineRule="auto"/>
        <w:jc w:val="center"/>
        <w:rPr>
          <w:rFonts w:ascii="宋体"/>
          <w:b/>
          <w:color w:val="auto"/>
          <w:sz w:val="36"/>
          <w:szCs w:val="36"/>
          <w:highlight w:val="none"/>
        </w:rPr>
      </w:pPr>
      <w:r>
        <w:rPr>
          <w:rFonts w:hint="eastAsia" w:ascii="宋体" w:hAnsi="宋体"/>
          <w:b/>
          <w:color w:val="auto"/>
          <w:sz w:val="32"/>
          <w:szCs w:val="32"/>
          <w:highlight w:val="none"/>
        </w:rPr>
        <w:t>项目实施人员一览表</w:t>
      </w:r>
    </w:p>
    <w:p>
      <w:pPr>
        <w:snapToGrid w:val="0"/>
        <w:spacing w:beforeLines="50" w:after="50" w:line="360" w:lineRule="auto"/>
        <w:ind w:firstLine="2400" w:firstLineChars="1000"/>
        <w:rPr>
          <w:rFonts w:asci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color w:val="auto"/>
                <w:szCs w:val="21"/>
                <w:highlight w:val="none"/>
              </w:rPr>
            </w:pPr>
            <w:r>
              <w:rPr>
                <w:rFonts w:hint="eastAsia" w:ascii="宋体" w:hAnsi="宋体"/>
                <w:b/>
                <w:color w:val="auto"/>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Cs w:val="21"/>
                <w:highlight w:val="none"/>
              </w:rPr>
            </w:pPr>
            <w:r>
              <w:rPr>
                <w:rFonts w:hint="eastAsia" w:ascii="宋体" w:hAnsi="宋体"/>
                <w:b/>
                <w:bCs/>
                <w:color w:val="auto"/>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color w:val="auto"/>
                <w:kern w:val="44"/>
                <w:szCs w:val="21"/>
                <w:highlight w:val="none"/>
              </w:rPr>
            </w:pPr>
          </w:p>
        </w:tc>
      </w:tr>
    </w:tbl>
    <w:p>
      <w:pPr>
        <w:spacing w:line="360" w:lineRule="auto"/>
        <w:rPr>
          <w:rFonts w:ascii="宋体"/>
          <w:b/>
          <w:color w:val="auto"/>
          <w:szCs w:val="21"/>
          <w:highlight w:val="none"/>
        </w:rPr>
      </w:pPr>
      <w:r>
        <w:rPr>
          <w:rFonts w:hint="eastAsia" w:ascii="宋体" w:hAnsi="宋体"/>
          <w:b/>
          <w:color w:val="auto"/>
          <w:szCs w:val="21"/>
          <w:highlight w:val="none"/>
        </w:rPr>
        <w:t>要求：</w:t>
      </w:r>
    </w:p>
    <w:p>
      <w:pPr>
        <w:spacing w:line="360" w:lineRule="auto"/>
        <w:rPr>
          <w:rFonts w:asci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w:t>
      </w:r>
      <w:r>
        <w:rPr>
          <w:rFonts w:hint="eastAsia" w:ascii="宋体" w:hAnsi="宋体"/>
          <w:color w:val="auto"/>
          <w:szCs w:val="21"/>
          <w:highlight w:val="none"/>
        </w:rPr>
        <w:t>在填写时，如本表格不适合投标单位的实际情况，可根据本表格式自行划表填写。</w:t>
      </w:r>
    </w:p>
    <w:p>
      <w:pPr>
        <w:pStyle w:val="40"/>
        <w:spacing w:line="360" w:lineRule="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、附人员证书复印件；</w:t>
      </w:r>
    </w:p>
    <w:p>
      <w:pPr>
        <w:pStyle w:val="40"/>
        <w:spacing w:line="360" w:lineRule="auto"/>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、出具上述人员在本单位服务的外部证明，如：投标截止日之前六个月以内的代缴个税税单、参加社会保险的《投保单》或《社会保险参保人员证明》等。</w:t>
      </w:r>
    </w:p>
    <w:p>
      <w:pPr>
        <w:spacing w:line="360" w:lineRule="auto"/>
        <w:ind w:left="420"/>
        <w:rPr>
          <w:rFonts w:ascii="宋体" w:hAns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rPr>
          <w:rFonts w:ascii="宋体"/>
          <w:color w:val="auto"/>
          <w:highlight w:val="none"/>
        </w:rPr>
      </w:pPr>
      <w:r>
        <w:rPr>
          <w:rFonts w:hint="eastAsia" w:ascii="宋体" w:hAnsi="宋体"/>
          <w:b/>
          <w:color w:val="auto"/>
          <w:sz w:val="28"/>
          <w:highlight w:val="none"/>
        </w:rPr>
        <w:t>附件8</w:t>
      </w:r>
    </w:p>
    <w:p>
      <w:pPr>
        <w:spacing w:line="360" w:lineRule="auto"/>
        <w:ind w:left="480"/>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项目负责人资格情况表</w:t>
      </w:r>
    </w:p>
    <w:p>
      <w:pPr>
        <w:spacing w:line="360" w:lineRule="auto"/>
        <w:rPr>
          <w:rFonts w:ascii="宋体"/>
          <w:color w:val="auto"/>
          <w:szCs w:val="21"/>
          <w:highlight w:val="none"/>
        </w:rPr>
      </w:pPr>
      <w:r>
        <w:rPr>
          <w:rFonts w:hint="eastAsia" w:ascii="宋体" w:hAnsi="宋体"/>
          <w:color w:val="auto"/>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rPr>
            </w:pPr>
            <w:r>
              <w:rPr>
                <w:rFonts w:hint="eastAsia" w:ascii="宋体" w:hAnsi="宋体"/>
                <w:color w:val="auto"/>
                <w:szCs w:val="21"/>
                <w:highlight w:val="none"/>
              </w:rPr>
              <w:t>注：业绩证明应提供旁证材料</w:t>
            </w:r>
          </w:p>
          <w:p>
            <w:pPr>
              <w:autoSpaceDE w:val="0"/>
              <w:autoSpaceDN w:val="0"/>
              <w:adjustRightInd w:val="0"/>
              <w:snapToGrid w:val="0"/>
              <w:spacing w:line="360" w:lineRule="auto"/>
              <w:jc w:val="center"/>
              <w:rPr>
                <w:rFonts w:ascii="宋体"/>
                <w:color w:val="auto"/>
                <w:szCs w:val="21"/>
                <w:highlight w:val="none"/>
                <w:lang w:val="zh-CN"/>
              </w:rPr>
            </w:pPr>
            <w:r>
              <w:rPr>
                <w:rFonts w:hint="eastAsia" w:ascii="宋体" w:hAnsi="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bl>
    <w:p>
      <w:pPr>
        <w:spacing w:line="360" w:lineRule="auto"/>
        <w:ind w:left="420"/>
        <w:rPr>
          <w:rFonts w:asci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napToGrid w:val="0"/>
        <w:spacing w:before="50" w:after="50" w:line="360" w:lineRule="auto"/>
        <w:rPr>
          <w:rFonts w:ascii="宋体"/>
          <w:b/>
          <w:color w:val="auto"/>
          <w:szCs w:val="21"/>
          <w:highlight w:val="none"/>
        </w:rPr>
      </w:pPr>
    </w:p>
    <w:p>
      <w:pPr>
        <w:pStyle w:val="2"/>
        <w:rPr>
          <w:color w:val="auto"/>
          <w:highlight w:val="none"/>
        </w:rPr>
      </w:pPr>
    </w:p>
    <w:p>
      <w:pPr>
        <w:pStyle w:val="2"/>
        <w:rPr>
          <w:color w:val="auto"/>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拟投入本项目的设备清单</w:t>
      </w:r>
    </w:p>
    <w:p>
      <w:pPr>
        <w:pStyle w:val="2"/>
        <w:spacing w:before="4" w:after="1"/>
        <w:rPr>
          <w:b/>
          <w:color w:val="auto"/>
          <w:sz w:val="16"/>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54"/>
        <w:gridCol w:w="2533"/>
        <w:gridCol w:w="1318"/>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1027" w:type="dxa"/>
          </w:tcPr>
          <w:p>
            <w:pPr>
              <w:pStyle w:val="61"/>
              <w:spacing w:before="12"/>
              <w:rPr>
                <w:b/>
                <w:color w:val="auto"/>
                <w:sz w:val="14"/>
                <w:highlight w:val="none"/>
                <w:lang w:eastAsia="zh-CN"/>
              </w:rPr>
            </w:pPr>
          </w:p>
          <w:p>
            <w:pPr>
              <w:pStyle w:val="61"/>
              <w:ind w:left="107"/>
              <w:rPr>
                <w:color w:val="auto"/>
                <w:sz w:val="21"/>
                <w:highlight w:val="none"/>
              </w:rPr>
            </w:pPr>
            <w:r>
              <w:rPr>
                <w:color w:val="auto"/>
                <w:sz w:val="21"/>
                <w:highlight w:val="none"/>
              </w:rPr>
              <w:t>序 号</w:t>
            </w:r>
          </w:p>
        </w:tc>
        <w:tc>
          <w:tcPr>
            <w:tcW w:w="2054" w:type="dxa"/>
          </w:tcPr>
          <w:p>
            <w:pPr>
              <w:pStyle w:val="61"/>
              <w:spacing w:before="12"/>
              <w:rPr>
                <w:b/>
                <w:color w:val="auto"/>
                <w:sz w:val="14"/>
                <w:highlight w:val="none"/>
              </w:rPr>
            </w:pPr>
          </w:p>
          <w:p>
            <w:pPr>
              <w:pStyle w:val="61"/>
              <w:ind w:left="794" w:right="789"/>
              <w:jc w:val="center"/>
              <w:rPr>
                <w:color w:val="auto"/>
                <w:sz w:val="21"/>
                <w:highlight w:val="none"/>
              </w:rPr>
            </w:pPr>
            <w:r>
              <w:rPr>
                <w:color w:val="auto"/>
                <w:sz w:val="21"/>
                <w:highlight w:val="none"/>
              </w:rPr>
              <w:t>名称</w:t>
            </w:r>
          </w:p>
        </w:tc>
        <w:tc>
          <w:tcPr>
            <w:tcW w:w="2533" w:type="dxa"/>
          </w:tcPr>
          <w:p>
            <w:pPr>
              <w:pStyle w:val="61"/>
              <w:spacing w:before="12"/>
              <w:rPr>
                <w:b/>
                <w:color w:val="auto"/>
                <w:sz w:val="14"/>
                <w:highlight w:val="none"/>
              </w:rPr>
            </w:pPr>
          </w:p>
          <w:p>
            <w:pPr>
              <w:pStyle w:val="61"/>
              <w:ind w:left="530"/>
              <w:rPr>
                <w:color w:val="auto"/>
                <w:sz w:val="21"/>
                <w:highlight w:val="none"/>
              </w:rPr>
            </w:pPr>
            <w:r>
              <w:rPr>
                <w:color w:val="auto"/>
                <w:sz w:val="21"/>
                <w:highlight w:val="none"/>
              </w:rPr>
              <w:t>产地/规格/型号</w:t>
            </w:r>
          </w:p>
        </w:tc>
        <w:tc>
          <w:tcPr>
            <w:tcW w:w="1318" w:type="dxa"/>
          </w:tcPr>
          <w:p>
            <w:pPr>
              <w:pStyle w:val="61"/>
              <w:spacing w:before="12"/>
              <w:rPr>
                <w:b/>
                <w:color w:val="auto"/>
                <w:sz w:val="14"/>
                <w:highlight w:val="none"/>
              </w:rPr>
            </w:pPr>
          </w:p>
          <w:p>
            <w:pPr>
              <w:pStyle w:val="61"/>
              <w:ind w:left="427" w:right="421"/>
              <w:jc w:val="center"/>
              <w:rPr>
                <w:color w:val="auto"/>
                <w:sz w:val="21"/>
                <w:highlight w:val="none"/>
              </w:rPr>
            </w:pPr>
            <w:r>
              <w:rPr>
                <w:color w:val="auto"/>
                <w:sz w:val="21"/>
                <w:highlight w:val="none"/>
              </w:rPr>
              <w:t>数量</w:t>
            </w:r>
          </w:p>
        </w:tc>
        <w:tc>
          <w:tcPr>
            <w:tcW w:w="2214" w:type="dxa"/>
          </w:tcPr>
          <w:p>
            <w:pPr>
              <w:pStyle w:val="61"/>
              <w:spacing w:before="12"/>
              <w:rPr>
                <w:b/>
                <w:color w:val="auto"/>
                <w:sz w:val="14"/>
                <w:highlight w:val="none"/>
              </w:rPr>
            </w:pPr>
          </w:p>
          <w:p>
            <w:pPr>
              <w:pStyle w:val="61"/>
              <w:ind w:left="823" w:right="816"/>
              <w:jc w:val="center"/>
              <w:rPr>
                <w:color w:val="auto"/>
                <w:sz w:val="21"/>
                <w:highlight w:val="none"/>
              </w:rPr>
            </w:pPr>
            <w:r>
              <w:rPr>
                <w:color w:val="auto"/>
                <w:sz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27" w:type="dxa"/>
          </w:tcPr>
          <w:p>
            <w:pPr>
              <w:pStyle w:val="61"/>
              <w:rPr>
                <w:color w:val="auto"/>
                <w:highlight w:val="none"/>
              </w:rPr>
            </w:pPr>
          </w:p>
        </w:tc>
        <w:tc>
          <w:tcPr>
            <w:tcW w:w="2054" w:type="dxa"/>
          </w:tcPr>
          <w:p>
            <w:pPr>
              <w:pStyle w:val="61"/>
              <w:rPr>
                <w:color w:val="auto"/>
                <w:highlight w:val="none"/>
              </w:rPr>
            </w:pPr>
          </w:p>
        </w:tc>
        <w:tc>
          <w:tcPr>
            <w:tcW w:w="2533" w:type="dxa"/>
          </w:tcPr>
          <w:p>
            <w:pPr>
              <w:pStyle w:val="61"/>
              <w:rPr>
                <w:color w:val="auto"/>
                <w:highlight w:val="none"/>
              </w:rPr>
            </w:pPr>
          </w:p>
        </w:tc>
        <w:tc>
          <w:tcPr>
            <w:tcW w:w="1318" w:type="dxa"/>
          </w:tcPr>
          <w:p>
            <w:pPr>
              <w:pStyle w:val="61"/>
              <w:rPr>
                <w:color w:val="auto"/>
                <w:highlight w:val="none"/>
              </w:rPr>
            </w:pPr>
          </w:p>
        </w:tc>
        <w:tc>
          <w:tcPr>
            <w:tcW w:w="2214" w:type="dxa"/>
          </w:tcPr>
          <w:p>
            <w:pPr>
              <w:pStyle w:val="61"/>
              <w:rPr>
                <w:color w:val="auto"/>
                <w:highlight w:val="none"/>
              </w:rPr>
            </w:pPr>
          </w:p>
        </w:tc>
      </w:tr>
    </w:tbl>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pStyle w:val="21"/>
        <w:rPr>
          <w:color w:val="auto"/>
          <w:highlight w:val="none"/>
        </w:rPr>
        <w:sectPr>
          <w:pgSz w:w="11906" w:h="16838"/>
          <w:pgMar w:top="1440" w:right="1800" w:bottom="1440" w:left="1800" w:header="851" w:footer="992" w:gutter="0"/>
          <w:cols w:space="425" w:num="1"/>
          <w:docGrid w:type="lines" w:linePitch="312" w:charSpace="0"/>
        </w:sectPr>
      </w:pPr>
    </w:p>
    <w:p>
      <w:pPr>
        <w:snapToGrid w:val="0"/>
        <w:spacing w:before="50" w:after="50" w:line="360" w:lineRule="auto"/>
        <w:rPr>
          <w:rFonts w:ascii="宋体"/>
          <w:b/>
          <w:color w:val="auto"/>
          <w:sz w:val="28"/>
          <w:highlight w:val="none"/>
        </w:rPr>
      </w:pPr>
      <w:r>
        <w:rPr>
          <w:rFonts w:hint="eastAsia" w:ascii="宋体" w:hAnsi="宋体"/>
          <w:b/>
          <w:color w:val="auto"/>
          <w:sz w:val="28"/>
          <w:highlight w:val="none"/>
        </w:rPr>
        <w:t>附件10</w:t>
      </w:r>
    </w:p>
    <w:p>
      <w:pPr>
        <w:spacing w:line="360" w:lineRule="auto"/>
        <w:ind w:left="480"/>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序号</w:t>
            </w:r>
          </w:p>
        </w:tc>
        <w:tc>
          <w:tcPr>
            <w:tcW w:w="1785" w:type="dxa"/>
            <w:vAlign w:val="center"/>
          </w:tcPr>
          <w:p>
            <w:pPr>
              <w:spacing w:line="360" w:lineRule="auto"/>
              <w:ind w:left="13" w:leftChars="6" w:firstLine="422" w:firstLineChars="200"/>
              <w:rPr>
                <w:rFonts w:ascii="宋体"/>
                <w:b/>
                <w:color w:val="auto"/>
                <w:szCs w:val="21"/>
                <w:highlight w:val="none"/>
              </w:rPr>
            </w:pPr>
            <w:r>
              <w:rPr>
                <w:rFonts w:hint="eastAsia" w:ascii="宋体" w:hAnsi="宋体"/>
                <w:b/>
                <w:color w:val="auto"/>
                <w:szCs w:val="21"/>
                <w:highlight w:val="none"/>
              </w:rPr>
              <w:t>名称</w:t>
            </w:r>
          </w:p>
        </w:tc>
        <w:tc>
          <w:tcPr>
            <w:tcW w:w="1449" w:type="dxa"/>
            <w:vAlign w:val="center"/>
          </w:tcPr>
          <w:p>
            <w:pPr>
              <w:spacing w:line="360" w:lineRule="auto"/>
              <w:ind w:left="52"/>
              <w:rPr>
                <w:rFonts w:ascii="宋体"/>
                <w:b/>
                <w:color w:val="auto"/>
                <w:szCs w:val="21"/>
                <w:highlight w:val="none"/>
              </w:rPr>
            </w:pPr>
            <w:r>
              <w:rPr>
                <w:rFonts w:hint="eastAsia" w:ascii="宋体" w:hAnsi="宋体"/>
                <w:b/>
                <w:color w:val="auto"/>
                <w:szCs w:val="21"/>
                <w:highlight w:val="none"/>
              </w:rPr>
              <w:t>规格型号</w:t>
            </w:r>
          </w:p>
        </w:tc>
        <w:tc>
          <w:tcPr>
            <w:tcW w:w="1560" w:type="dxa"/>
            <w:vAlign w:val="center"/>
          </w:tcPr>
          <w:p>
            <w:pPr>
              <w:spacing w:line="360" w:lineRule="auto"/>
              <w:ind w:left="152"/>
              <w:rPr>
                <w:rFonts w:ascii="宋体"/>
                <w:b/>
                <w:color w:val="auto"/>
                <w:szCs w:val="21"/>
                <w:highlight w:val="none"/>
              </w:rPr>
            </w:pPr>
            <w:r>
              <w:rPr>
                <w:rFonts w:hint="eastAsia" w:ascii="宋体" w:hAnsi="宋体"/>
                <w:b/>
                <w:color w:val="auto"/>
                <w:szCs w:val="21"/>
                <w:highlight w:val="none"/>
              </w:rPr>
              <w:t>招标参数</w:t>
            </w:r>
          </w:p>
        </w:tc>
        <w:tc>
          <w:tcPr>
            <w:tcW w:w="1401" w:type="dxa"/>
            <w:vAlign w:val="center"/>
          </w:tcPr>
          <w:p>
            <w:pPr>
              <w:spacing w:line="360" w:lineRule="auto"/>
              <w:rPr>
                <w:rFonts w:ascii="宋体"/>
                <w:b/>
                <w:color w:val="auto"/>
                <w:szCs w:val="21"/>
                <w:highlight w:val="none"/>
              </w:rPr>
            </w:pPr>
            <w:r>
              <w:rPr>
                <w:rFonts w:hint="eastAsia" w:ascii="宋体" w:hAnsi="宋体"/>
                <w:b/>
                <w:color w:val="auto"/>
                <w:szCs w:val="21"/>
                <w:highlight w:val="none"/>
              </w:rPr>
              <w:t>投标参数</w:t>
            </w:r>
          </w:p>
        </w:tc>
        <w:tc>
          <w:tcPr>
            <w:tcW w:w="136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bl>
    <w:p>
      <w:pPr>
        <w:pStyle w:val="41"/>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1"/>
        <w:tabs>
          <w:tab w:val="left" w:pos="360"/>
        </w:tabs>
        <w:spacing w:line="360" w:lineRule="auto"/>
        <w:ind w:right="84" w:rightChars="40" w:firstLine="420" w:firstLineChars="200"/>
        <w:rPr>
          <w:rFonts w:ascii="宋体"/>
          <w:color w:val="auto"/>
          <w:szCs w:val="21"/>
          <w:highlight w:val="none"/>
        </w:rPr>
      </w:pPr>
      <w:r>
        <w:rPr>
          <w:rFonts w:ascii="宋体"/>
          <w:color w:val="auto"/>
          <w:szCs w:val="21"/>
          <w:highlight w:val="none"/>
        </w:rPr>
        <w:t>1</w:t>
      </w:r>
      <w:r>
        <w:rPr>
          <w:rFonts w:hint="eastAsia" w:ascii="宋体"/>
          <w:color w:val="auto"/>
          <w:szCs w:val="21"/>
          <w:highlight w:val="none"/>
        </w:rPr>
        <w:t>、本表的名称须与《报价明细表》一致。</w:t>
      </w:r>
    </w:p>
    <w:p>
      <w:pPr>
        <w:pStyle w:val="41"/>
        <w:spacing w:line="360" w:lineRule="auto"/>
        <w:ind w:right="84" w:rightChars="40" w:firstLine="420" w:firstLineChars="200"/>
        <w:rPr>
          <w:rFonts w:ascii="宋体"/>
          <w:color w:val="auto"/>
          <w:szCs w:val="21"/>
          <w:highlight w:val="none"/>
        </w:rPr>
      </w:pPr>
      <w:r>
        <w:rPr>
          <w:rFonts w:ascii="宋体"/>
          <w:color w:val="auto"/>
          <w:szCs w:val="21"/>
          <w:highlight w:val="none"/>
        </w:rPr>
        <w:t>2</w:t>
      </w:r>
      <w:r>
        <w:rPr>
          <w:rFonts w:hint="eastAsia" w:ascii="宋体"/>
          <w:color w:val="auto"/>
          <w:szCs w:val="21"/>
          <w:highlight w:val="none"/>
        </w:rPr>
        <w:t>、本表参照本招标文件第四部分“招标需求”内第二条“具体技术需求”填制，投标人应根据投标设备的性能指标、服务指标，对照招标文件要求在“偏离情况”栏注明“正偏离”、“负偏离”或“无偏离”。</w:t>
      </w:r>
    </w:p>
    <w:p>
      <w:pPr>
        <w:pStyle w:val="41"/>
        <w:spacing w:line="360" w:lineRule="auto"/>
        <w:ind w:right="84" w:rightChars="40"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pStyle w:val="42"/>
        <w:spacing w:line="360" w:lineRule="auto"/>
        <w:jc w:val="left"/>
        <w:rPr>
          <w:rFonts w:ascii="宋体"/>
          <w:b/>
          <w:color w:val="auto"/>
          <w:sz w:val="28"/>
          <w:highlight w:val="none"/>
        </w:rPr>
      </w:pPr>
    </w:p>
    <w:p>
      <w:pPr>
        <w:pStyle w:val="42"/>
        <w:spacing w:line="360" w:lineRule="auto"/>
        <w:jc w:val="left"/>
        <w:rPr>
          <w:rFonts w:ascii="宋体"/>
          <w:b/>
          <w:color w:val="auto"/>
          <w:sz w:val="28"/>
          <w:highlight w:val="none"/>
        </w:rPr>
      </w:pPr>
      <w:r>
        <w:rPr>
          <w:rFonts w:hint="eastAsia" w:ascii="宋体" w:hAnsi="宋体"/>
          <w:b/>
          <w:color w:val="auto"/>
          <w:sz w:val="28"/>
          <w:highlight w:val="none"/>
        </w:rPr>
        <w:t>附件11</w:t>
      </w:r>
    </w:p>
    <w:p>
      <w:pPr>
        <w:pStyle w:val="43"/>
        <w:spacing w:line="360" w:lineRule="auto"/>
        <w:jc w:val="center"/>
        <w:rPr>
          <w:rFonts w:ascii="宋体"/>
          <w:b/>
          <w:color w:val="auto"/>
          <w:sz w:val="32"/>
          <w:szCs w:val="32"/>
          <w:highlight w:val="none"/>
        </w:rPr>
      </w:pPr>
      <w:r>
        <w:rPr>
          <w:rFonts w:hint="eastAsia" w:ascii="宋体" w:hAnsi="宋体"/>
          <w:b/>
          <w:color w:val="auto"/>
          <w:sz w:val="32"/>
          <w:szCs w:val="32"/>
          <w:highlight w:val="none"/>
        </w:rPr>
        <w:t>企业证书一览表</w:t>
      </w:r>
    </w:p>
    <w:p>
      <w:pPr>
        <w:pStyle w:val="43"/>
        <w:spacing w:line="360" w:lineRule="auto"/>
        <w:jc w:val="center"/>
        <w:rPr>
          <w:rFonts w:ascii="宋体" w:cs="Arial"/>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doub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doub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证书等级</w:t>
            </w:r>
          </w:p>
        </w:tc>
        <w:tc>
          <w:tcPr>
            <w:tcW w:w="2047" w:type="dxa"/>
            <w:tcBorders>
              <w:top w:val="double" w:color="auto" w:sz="4" w:space="0"/>
              <w:right w:val="sing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3"/>
              <w:spacing w:line="360" w:lineRule="auto"/>
              <w:jc w:val="center"/>
              <w:rPr>
                <w:rFonts w:ascii="宋体" w:cs="Arial"/>
                <w:color w:val="auto"/>
                <w:szCs w:val="21"/>
                <w:highlight w:val="none"/>
              </w:rPr>
            </w:pPr>
          </w:p>
        </w:tc>
        <w:tc>
          <w:tcPr>
            <w:tcW w:w="2258" w:type="dxa"/>
            <w:tcBorders>
              <w:bottom w:val="double" w:color="auto" w:sz="4" w:space="0"/>
            </w:tcBorders>
          </w:tcPr>
          <w:p>
            <w:pPr>
              <w:pStyle w:val="43"/>
              <w:spacing w:line="360" w:lineRule="auto"/>
              <w:jc w:val="center"/>
              <w:rPr>
                <w:rFonts w:ascii="宋体" w:cs="Arial"/>
                <w:color w:val="auto"/>
                <w:szCs w:val="21"/>
                <w:highlight w:val="none"/>
              </w:rPr>
            </w:pPr>
          </w:p>
        </w:tc>
        <w:tc>
          <w:tcPr>
            <w:tcW w:w="2260" w:type="dxa"/>
            <w:tcBorders>
              <w:bottom w:val="double" w:color="auto" w:sz="4" w:space="0"/>
            </w:tcBorders>
          </w:tcPr>
          <w:p>
            <w:pPr>
              <w:pStyle w:val="43"/>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43"/>
              <w:spacing w:line="360" w:lineRule="auto"/>
              <w:jc w:val="center"/>
              <w:rPr>
                <w:rFonts w:ascii="宋体" w:cs="Arial"/>
                <w:color w:val="auto"/>
                <w:szCs w:val="21"/>
                <w:highlight w:val="none"/>
              </w:rPr>
            </w:pPr>
          </w:p>
        </w:tc>
      </w:tr>
    </w:tbl>
    <w:p>
      <w:pPr>
        <w:pStyle w:val="43"/>
        <w:tabs>
          <w:tab w:val="left" w:pos="1050"/>
        </w:tabs>
        <w:spacing w:line="360" w:lineRule="auto"/>
        <w:rPr>
          <w:rFonts w:ascii="仿宋_GB2312" w:hAnsi="宋体" w:eastAsia="仿宋_GB2312"/>
          <w:color w:val="auto"/>
          <w:sz w:val="24"/>
          <w:highlight w:val="none"/>
        </w:rPr>
      </w:pPr>
    </w:p>
    <w:p>
      <w:pPr>
        <w:pStyle w:val="43"/>
        <w:tabs>
          <w:tab w:val="left" w:pos="1050"/>
        </w:tabs>
        <w:spacing w:line="360" w:lineRule="auto"/>
        <w:rPr>
          <w:rFonts w:ascii="宋体"/>
          <w:color w:val="auto"/>
          <w:szCs w:val="21"/>
          <w:highlight w:val="none"/>
        </w:rPr>
      </w:pPr>
      <w:r>
        <w:rPr>
          <w:rFonts w:hint="eastAsia" w:ascii="宋体" w:hAnsi="宋体"/>
          <w:b/>
          <w:color w:val="auto"/>
          <w:szCs w:val="21"/>
          <w:highlight w:val="none"/>
        </w:rPr>
        <w:t>要求：</w:t>
      </w:r>
    </w:p>
    <w:p>
      <w:pPr>
        <w:pStyle w:val="43"/>
        <w:tabs>
          <w:tab w:val="left" w:pos="1050"/>
        </w:tabs>
        <w:spacing w:line="360" w:lineRule="auto"/>
        <w:ind w:firstLine="424" w:firstLineChars="202"/>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、填写投标人获得资质、认证或企业信誉证书；</w:t>
      </w:r>
    </w:p>
    <w:p>
      <w:pPr>
        <w:pStyle w:val="43"/>
        <w:tabs>
          <w:tab w:val="left" w:pos="1050"/>
        </w:tabs>
        <w:spacing w:line="360" w:lineRule="auto"/>
        <w:ind w:firstLine="424" w:firstLineChars="202"/>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、附所列证书复印件或其他证明材料。</w:t>
      </w:r>
    </w:p>
    <w:p>
      <w:pPr>
        <w:pStyle w:val="43"/>
        <w:tabs>
          <w:tab w:val="left" w:pos="1050"/>
        </w:tabs>
        <w:spacing w:line="360" w:lineRule="auto"/>
        <w:ind w:firstLine="630" w:firstLineChars="300"/>
        <w:rPr>
          <w:rFonts w:ascii="仿宋_GB2312" w:hAnsi="宋体" w:eastAsia="仿宋_GB2312"/>
          <w:color w:val="auto"/>
          <w:szCs w:val="21"/>
          <w:highlight w:val="none"/>
        </w:rPr>
      </w:pPr>
    </w:p>
    <w:p>
      <w:pPr>
        <w:pStyle w:val="43"/>
        <w:tabs>
          <w:tab w:val="left" w:pos="1050"/>
        </w:tabs>
        <w:spacing w:line="360" w:lineRule="auto"/>
        <w:ind w:firstLine="630" w:firstLineChars="300"/>
        <w:rPr>
          <w:rFonts w:ascii="仿宋_GB2312" w:hAnsi="宋体" w:eastAsia="仿宋_GB2312"/>
          <w:color w:val="auto"/>
          <w:szCs w:val="21"/>
          <w:highlight w:val="none"/>
        </w:rPr>
      </w:pPr>
    </w:p>
    <w:p>
      <w:pPr>
        <w:pStyle w:val="43"/>
        <w:tabs>
          <w:tab w:val="left" w:pos="1050"/>
        </w:tabs>
        <w:spacing w:line="360" w:lineRule="auto"/>
        <w:ind w:firstLine="630" w:firstLineChars="300"/>
        <w:rPr>
          <w:rFonts w:ascii="仿宋_GB2312" w:hAnsi="宋体" w:eastAsia="仿宋_GB2312"/>
          <w:color w:val="auto"/>
          <w:szCs w:val="21"/>
          <w:highlight w:val="none"/>
        </w:rPr>
      </w:pPr>
    </w:p>
    <w:p>
      <w:pPr>
        <w:spacing w:line="360" w:lineRule="auto"/>
        <w:ind w:firstLine="371" w:firstLineChars="177"/>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371" w:firstLineChars="177"/>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pStyle w:val="39"/>
        <w:shd w:val="clear" w:color="auto" w:fill="FFFFFF"/>
        <w:spacing w:before="0" w:beforeAutospacing="0" w:after="0" w:afterAutospacing="0" w:line="360" w:lineRule="auto"/>
        <w:ind w:firstLine="371" w:firstLineChars="177"/>
        <w:rPr>
          <w:b/>
          <w:bCs/>
          <w:color w:val="auto"/>
          <w:spacing w:val="11"/>
          <w:sz w:val="21"/>
          <w:szCs w:val="21"/>
          <w:highlight w:val="none"/>
        </w:rPr>
      </w:pPr>
      <w:r>
        <w:rPr>
          <w:rFonts w:hint="eastAsia"/>
          <w:color w:val="auto"/>
          <w:sz w:val="21"/>
          <w:szCs w:val="21"/>
          <w:highlight w:val="none"/>
        </w:rPr>
        <w:t>日期：：</w:t>
      </w:r>
    </w:p>
    <w:p>
      <w:pPr>
        <w:spacing w:line="360" w:lineRule="auto"/>
        <w:rPr>
          <w:rFonts w:ascii="宋体"/>
          <w:b/>
          <w:color w:val="auto"/>
          <w:sz w:val="24"/>
          <w:highlight w:val="none"/>
        </w:rPr>
      </w:pPr>
    </w:p>
    <w:p>
      <w:pPr>
        <w:spacing w:line="360" w:lineRule="auto"/>
        <w:rPr>
          <w:rFonts w:ascii="宋体"/>
          <w:b/>
          <w:color w:val="auto"/>
          <w:sz w:val="28"/>
          <w:highlight w:val="none"/>
        </w:rPr>
      </w:pPr>
    </w:p>
    <w:p>
      <w:pPr>
        <w:pStyle w:val="2"/>
        <w:rPr>
          <w:rFonts w:ascii="宋体"/>
          <w:b/>
          <w:color w:val="auto"/>
          <w:sz w:val="28"/>
          <w:highlight w:val="none"/>
        </w:rPr>
      </w:pPr>
    </w:p>
    <w:p>
      <w:pPr>
        <w:pStyle w:val="2"/>
        <w:rPr>
          <w:rFonts w:ascii="宋体"/>
          <w:b/>
          <w:color w:val="auto"/>
          <w:sz w:val="28"/>
          <w:highlight w:val="none"/>
        </w:rPr>
      </w:pPr>
    </w:p>
    <w:p>
      <w:pPr>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2</w:t>
      </w:r>
    </w:p>
    <w:p>
      <w:pPr>
        <w:pStyle w:val="42"/>
        <w:spacing w:line="360" w:lineRule="auto"/>
        <w:jc w:val="center"/>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pPr>
        <w:pStyle w:val="42"/>
        <w:spacing w:line="360" w:lineRule="auto"/>
        <w:jc w:val="center"/>
        <w:rPr>
          <w:rFonts w:ascii="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bl>
    <w:p>
      <w:pPr>
        <w:autoSpaceDE w:val="0"/>
        <w:autoSpaceDN w:val="0"/>
        <w:adjustRightInd w:val="0"/>
        <w:spacing w:beforeLines="50" w:line="360" w:lineRule="auto"/>
        <w:rPr>
          <w:rFonts w:ascii="宋体" w:cs="宋体"/>
          <w:b/>
          <w:color w:val="auto"/>
          <w:szCs w:val="21"/>
          <w:highlight w:val="none"/>
        </w:rPr>
      </w:pPr>
      <w:r>
        <w:rPr>
          <w:rFonts w:hint="eastAsia" w:ascii="宋体" w:hAnsi="宋体" w:cs="宋体"/>
          <w:b/>
          <w:color w:val="auto"/>
          <w:szCs w:val="21"/>
          <w:highlight w:val="none"/>
        </w:rPr>
        <w:t>要求：</w:t>
      </w:r>
    </w:p>
    <w:p>
      <w:pPr>
        <w:autoSpaceDE w:val="0"/>
        <w:autoSpaceDN w:val="0"/>
        <w:adjustRightInd w:val="0"/>
        <w:spacing w:beforeLines="50" w:line="360" w:lineRule="auto"/>
        <w:ind w:firstLine="424" w:firstLineChars="202"/>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、业绩证明应提供证明材料（合同复印件可只提供首页、含金额页、盖章页并加盖投标人公章）；</w:t>
      </w:r>
    </w:p>
    <w:p>
      <w:pPr>
        <w:spacing w:line="360" w:lineRule="auto"/>
        <w:ind w:firstLine="424" w:firstLineChars="202"/>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、报价供应商可按此表格式复制。</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ind w:left="420"/>
        <w:rPr>
          <w:rFonts w:ascii="宋体" w:cs="宋体"/>
          <w:color w:val="auto"/>
          <w:szCs w:val="21"/>
          <w:highlight w:val="none"/>
          <w:u w:val="single"/>
        </w:rPr>
      </w:pPr>
      <w:r>
        <w:rPr>
          <w:rFonts w:hint="eastAsia" w:ascii="宋体" w:hAnsi="宋体" w:cs="宋体"/>
          <w:color w:val="auto"/>
          <w:szCs w:val="21"/>
          <w:highlight w:val="none"/>
        </w:rPr>
        <w:t>投标人名称（盖章）：</w:t>
      </w:r>
    </w:p>
    <w:p>
      <w:pPr>
        <w:spacing w:line="360" w:lineRule="auto"/>
        <w:ind w:left="420"/>
        <w:rPr>
          <w:rFonts w:ascii="宋体" w:cs="宋体"/>
          <w:color w:val="auto"/>
          <w:szCs w:val="21"/>
          <w:highlight w:val="none"/>
        </w:rPr>
      </w:pPr>
    </w:p>
    <w:p>
      <w:pPr>
        <w:spacing w:line="360" w:lineRule="auto"/>
        <w:ind w:firstLine="435"/>
        <w:rPr>
          <w:rFonts w:ascii="宋体" w:cs="宋体"/>
          <w:color w:val="auto"/>
          <w:szCs w:val="21"/>
          <w:highlight w:val="none"/>
        </w:rPr>
      </w:pPr>
      <w:r>
        <w:rPr>
          <w:rFonts w:hint="eastAsia" w:ascii="宋体" w:hAnsi="宋体" w:cs="宋体"/>
          <w:color w:val="auto"/>
          <w:szCs w:val="21"/>
          <w:highlight w:val="none"/>
        </w:rPr>
        <w:t>法定代表人或授权委托代理人（签字或盖章）：</w:t>
      </w:r>
    </w:p>
    <w:p>
      <w:pPr>
        <w:spacing w:line="360" w:lineRule="auto"/>
        <w:rPr>
          <w:rFonts w:ascii="宋体" w:cs="宋体"/>
          <w:color w:val="auto"/>
          <w:szCs w:val="21"/>
          <w:highlight w:val="none"/>
        </w:rPr>
      </w:pPr>
    </w:p>
    <w:p>
      <w:pPr>
        <w:spacing w:line="360" w:lineRule="auto"/>
        <w:ind w:firstLine="435"/>
        <w:rPr>
          <w:rFonts w:ascii="宋体" w:cs="宋体"/>
          <w:color w:val="auto"/>
          <w:szCs w:val="21"/>
          <w:highlight w:val="none"/>
        </w:rPr>
      </w:pPr>
      <w:r>
        <w:rPr>
          <w:rFonts w:hint="eastAsia" w:ascii="宋体" w:hAnsi="宋体" w:cs="宋体"/>
          <w:color w:val="auto"/>
          <w:szCs w:val="21"/>
          <w:highlight w:val="none"/>
        </w:rPr>
        <w:t>日期：</w:t>
      </w:r>
    </w:p>
    <w:p>
      <w:pPr>
        <w:spacing w:line="360" w:lineRule="auto"/>
        <w:jc w:val="center"/>
        <w:rPr>
          <w:rFonts w:ascii="仿宋" w:hAnsi="仿宋" w:eastAsia="仿宋"/>
          <w:snapToGrid w:val="0"/>
          <w:color w:val="auto"/>
          <w:kern w:val="0"/>
          <w:szCs w:val="21"/>
          <w:highlight w:val="none"/>
        </w:rPr>
      </w:pPr>
    </w:p>
    <w:p>
      <w:pPr>
        <w:pStyle w:val="43"/>
        <w:tabs>
          <w:tab w:val="left" w:pos="1050"/>
        </w:tabs>
        <w:spacing w:line="360" w:lineRule="auto"/>
        <w:rPr>
          <w:rFonts w:ascii="宋体"/>
          <w:b/>
          <w:color w:val="auto"/>
          <w:sz w:val="28"/>
          <w:highlight w:val="none"/>
        </w:rPr>
      </w:pPr>
    </w:p>
    <w:p>
      <w:pPr>
        <w:pStyle w:val="43"/>
        <w:tabs>
          <w:tab w:val="left" w:pos="1050"/>
        </w:tabs>
        <w:spacing w:line="360" w:lineRule="auto"/>
        <w:rPr>
          <w:rFonts w:ascii="宋体"/>
          <w:b/>
          <w:color w:val="auto"/>
          <w:sz w:val="28"/>
          <w:highlight w:val="none"/>
        </w:rPr>
      </w:pPr>
    </w:p>
    <w:p>
      <w:pPr>
        <w:pStyle w:val="43"/>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3</w:t>
      </w:r>
    </w:p>
    <w:p>
      <w:pPr>
        <w:spacing w:line="360" w:lineRule="auto"/>
        <w:ind w:left="360" w:hanging="361" w:hangingChars="171"/>
        <w:jc w:val="center"/>
        <w:rPr>
          <w:rFonts w:ascii="宋体"/>
          <w:b/>
          <w:color w:val="auto"/>
          <w:szCs w:val="21"/>
          <w:highlight w:val="none"/>
        </w:rPr>
      </w:pPr>
      <w:r>
        <w:rPr>
          <w:rFonts w:hint="eastAsia" w:ascii="宋体" w:hAnsi="宋体"/>
          <w:b/>
          <w:color w:val="auto"/>
          <w:szCs w:val="21"/>
          <w:highlight w:val="none"/>
        </w:rPr>
        <w:t>资信及商务需求响应表</w:t>
      </w:r>
    </w:p>
    <w:p>
      <w:pPr>
        <w:spacing w:line="360" w:lineRule="auto"/>
        <w:ind w:left="481" w:leftChars="229" w:firstLine="949" w:firstLineChars="450"/>
        <w:rPr>
          <w:rFonts w:ascii="宋体"/>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序号</w:t>
            </w:r>
          </w:p>
        </w:tc>
        <w:tc>
          <w:tcPr>
            <w:tcW w:w="2029" w:type="dxa"/>
            <w:vAlign w:val="center"/>
          </w:tcPr>
          <w:p>
            <w:pPr>
              <w:spacing w:line="360" w:lineRule="auto"/>
              <w:jc w:val="center"/>
              <w:rPr>
                <w:rFonts w:ascii="宋体"/>
                <w:b/>
                <w:color w:val="auto"/>
                <w:szCs w:val="21"/>
                <w:highlight w:val="none"/>
              </w:rPr>
            </w:pPr>
            <w:r>
              <w:rPr>
                <w:rFonts w:hint="eastAsia" w:ascii="宋体" w:hAnsi="宋体"/>
                <w:b/>
                <w:color w:val="auto"/>
                <w:szCs w:val="21"/>
                <w:highlight w:val="none"/>
              </w:rPr>
              <w:t>内容</w:t>
            </w:r>
          </w:p>
        </w:tc>
        <w:tc>
          <w:tcPr>
            <w:tcW w:w="1541" w:type="dxa"/>
            <w:vAlign w:val="center"/>
          </w:tcPr>
          <w:p>
            <w:pPr>
              <w:spacing w:line="360" w:lineRule="auto"/>
              <w:ind w:left="53" w:leftChars="25" w:firstLine="211" w:firstLineChars="100"/>
              <w:rPr>
                <w:rFonts w:ascii="宋体"/>
                <w:b/>
                <w:color w:val="auto"/>
                <w:szCs w:val="21"/>
                <w:highlight w:val="none"/>
              </w:rPr>
            </w:pPr>
            <w:r>
              <w:rPr>
                <w:rFonts w:hint="eastAsia" w:ascii="宋体" w:hAnsi="宋体"/>
                <w:b/>
                <w:color w:val="auto"/>
                <w:szCs w:val="21"/>
                <w:highlight w:val="none"/>
              </w:rPr>
              <w:t>招标需求</w:t>
            </w:r>
          </w:p>
        </w:tc>
        <w:tc>
          <w:tcPr>
            <w:tcW w:w="1365" w:type="dxa"/>
            <w:vAlign w:val="center"/>
          </w:tcPr>
          <w:p>
            <w:pPr>
              <w:spacing w:line="360" w:lineRule="auto"/>
              <w:ind w:left="152"/>
              <w:rPr>
                <w:rFonts w:ascii="宋体"/>
                <w:b/>
                <w:color w:val="auto"/>
                <w:szCs w:val="21"/>
                <w:highlight w:val="none"/>
              </w:rPr>
            </w:pPr>
            <w:r>
              <w:rPr>
                <w:rFonts w:hint="eastAsia" w:ascii="宋体" w:hAnsi="宋体"/>
                <w:b/>
                <w:color w:val="auto"/>
                <w:szCs w:val="21"/>
                <w:highlight w:val="none"/>
              </w:rPr>
              <w:t>是否响应</w:t>
            </w:r>
          </w:p>
        </w:tc>
        <w:tc>
          <w:tcPr>
            <w:tcW w:w="2625" w:type="dxa"/>
            <w:vAlign w:val="center"/>
          </w:tcPr>
          <w:p>
            <w:pPr>
              <w:spacing w:line="360" w:lineRule="auto"/>
              <w:jc w:val="center"/>
              <w:rPr>
                <w:rFonts w:asci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 xml:space="preserve"> 服务期</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ascii="宋体"/>
                <w:color w:val="auto"/>
                <w:szCs w:val="21"/>
                <w:highlight w:val="none"/>
              </w:rPr>
            </w:pPr>
          </w:p>
        </w:tc>
        <w:tc>
          <w:tcPr>
            <w:tcW w:w="2029" w:type="dxa"/>
          </w:tcPr>
          <w:p>
            <w:pPr>
              <w:snapToGrid w:val="0"/>
              <w:rPr>
                <w:rFonts w:ascii="宋体"/>
                <w:color w:val="auto"/>
                <w:szCs w:val="21"/>
                <w:highlight w:val="none"/>
              </w:rPr>
            </w:pP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Cs w:val="21"/>
                <w:highlight w:val="none"/>
              </w:rPr>
            </w:pPr>
          </w:p>
        </w:tc>
        <w:tc>
          <w:tcPr>
            <w:tcW w:w="2029" w:type="dxa"/>
          </w:tcPr>
          <w:p>
            <w:pPr>
              <w:snapToGrid w:val="0"/>
              <w:spacing w:line="360" w:lineRule="auto"/>
              <w:rPr>
                <w:rFonts w:ascii="宋体"/>
                <w:color w:val="auto"/>
                <w:szCs w:val="21"/>
                <w:highlight w:val="none"/>
              </w:rPr>
            </w:pP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bl>
    <w:p>
      <w:pPr>
        <w:spacing w:line="360" w:lineRule="auto"/>
        <w:ind w:left="420"/>
        <w:rPr>
          <w:rFonts w:ascii="宋体" w:hAns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ind w:firstLine="435"/>
        <w:rPr>
          <w:rFonts w:ascii="宋体"/>
          <w:color w:val="auto"/>
          <w:szCs w:val="21"/>
          <w:highlight w:val="none"/>
        </w:rPr>
      </w:pPr>
    </w:p>
    <w:p>
      <w:pPr>
        <w:spacing w:line="360" w:lineRule="auto"/>
        <w:ind w:firstLine="435"/>
        <w:rPr>
          <w:rFonts w:ascii="宋体"/>
          <w:color w:val="auto"/>
          <w:szCs w:val="21"/>
          <w:highlight w:val="none"/>
          <w:u w:val="single"/>
        </w:rPr>
      </w:pPr>
      <w:r>
        <w:rPr>
          <w:rFonts w:hint="eastAsia" w:ascii="宋体" w:hAnsi="宋体"/>
          <w:color w:val="auto"/>
          <w:szCs w:val="21"/>
          <w:highlight w:val="none"/>
        </w:rPr>
        <w:t>日期：</w:t>
      </w:r>
    </w:p>
    <w:p>
      <w:pPr>
        <w:tabs>
          <w:tab w:val="left" w:pos="2460"/>
        </w:tabs>
        <w:spacing w:line="360" w:lineRule="auto"/>
        <w:ind w:firstLine="435"/>
        <w:rPr>
          <w:rFonts w:ascii="宋体"/>
          <w:b/>
          <w:color w:val="auto"/>
          <w:sz w:val="28"/>
          <w:highlight w:val="none"/>
        </w:rPr>
      </w:pPr>
    </w:p>
    <w:p>
      <w:pPr>
        <w:tabs>
          <w:tab w:val="left" w:pos="2460"/>
        </w:tabs>
        <w:spacing w:line="360" w:lineRule="auto"/>
        <w:ind w:firstLine="435"/>
        <w:rPr>
          <w:rFonts w:ascii="宋体"/>
          <w:b/>
          <w:color w:val="auto"/>
          <w:sz w:val="28"/>
          <w:highlight w:val="none"/>
        </w:rPr>
      </w:pPr>
    </w:p>
    <w:p>
      <w:pPr>
        <w:tabs>
          <w:tab w:val="left" w:pos="2460"/>
        </w:tabs>
        <w:spacing w:line="360" w:lineRule="auto"/>
        <w:ind w:firstLine="435"/>
        <w:rPr>
          <w:rFonts w:ascii="宋体"/>
          <w:b/>
          <w:color w:val="auto"/>
          <w:sz w:val="28"/>
          <w:highlight w:val="none"/>
        </w:rPr>
      </w:pPr>
    </w:p>
    <w:p>
      <w:pPr>
        <w:pStyle w:val="2"/>
        <w:rPr>
          <w:rFonts w:ascii="宋体"/>
          <w:b/>
          <w:color w:val="auto"/>
          <w:sz w:val="28"/>
          <w:highlight w:val="none"/>
        </w:rPr>
      </w:pPr>
    </w:p>
    <w:p>
      <w:pPr>
        <w:pStyle w:val="2"/>
        <w:rPr>
          <w:rFonts w:ascii="宋体"/>
          <w:b/>
          <w:color w:val="auto"/>
          <w:sz w:val="28"/>
          <w:highlight w:val="none"/>
        </w:rPr>
      </w:pPr>
    </w:p>
    <w:p>
      <w:pPr>
        <w:tabs>
          <w:tab w:val="left" w:pos="2460"/>
        </w:tabs>
        <w:spacing w:line="360" w:lineRule="auto"/>
        <w:rPr>
          <w:rFonts w:ascii="宋体" w:hAnsi="宋体"/>
          <w:b/>
          <w:color w:val="auto"/>
          <w:sz w:val="28"/>
          <w:highlight w:val="none"/>
        </w:rPr>
      </w:pPr>
    </w:p>
    <w:p>
      <w:pPr>
        <w:pStyle w:val="51"/>
        <w:rPr>
          <w:color w:val="auto"/>
          <w:highlight w:val="none"/>
        </w:rPr>
      </w:pPr>
    </w:p>
    <w:p>
      <w:pPr>
        <w:rPr>
          <w:color w:val="auto"/>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4</w:t>
      </w:r>
      <w:r>
        <w:rPr>
          <w:rFonts w:ascii="宋体"/>
          <w:b/>
          <w:color w:val="auto"/>
          <w:sz w:val="28"/>
          <w:highlight w:val="none"/>
        </w:rPr>
        <w:tab/>
      </w:r>
    </w:p>
    <w:p>
      <w:pPr>
        <w:spacing w:line="360" w:lineRule="auto"/>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序号</w:t>
            </w:r>
          </w:p>
        </w:tc>
        <w:tc>
          <w:tcPr>
            <w:tcW w:w="2355"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项目</w:t>
            </w:r>
          </w:p>
        </w:tc>
        <w:tc>
          <w:tcPr>
            <w:tcW w:w="4061"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投标人情况</w:t>
            </w:r>
          </w:p>
        </w:tc>
        <w:tc>
          <w:tcPr>
            <w:tcW w:w="1373"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4"/>
              <w:spacing w:line="360" w:lineRule="auto"/>
              <w:jc w:val="center"/>
              <w:rPr>
                <w:rFonts w:ascii="宋体" w:cs="Arial"/>
                <w:bCs/>
                <w:color w:val="auto"/>
                <w:szCs w:val="21"/>
                <w:highlight w:val="none"/>
              </w:rPr>
            </w:pPr>
            <w:r>
              <w:rPr>
                <w:rFonts w:ascii="宋体" w:hAnsi="宋体" w:cs="Arial"/>
                <w:bCs/>
                <w:color w:val="auto"/>
                <w:szCs w:val="21"/>
                <w:highlight w:val="none"/>
              </w:rPr>
              <w:t>1</w:t>
            </w:r>
          </w:p>
        </w:tc>
        <w:tc>
          <w:tcPr>
            <w:tcW w:w="2355" w:type="dxa"/>
            <w:vAlign w:val="center"/>
          </w:tcPr>
          <w:p>
            <w:pPr>
              <w:pStyle w:val="44"/>
              <w:widowControl/>
              <w:spacing w:line="360" w:lineRule="auto"/>
              <w:jc w:val="left"/>
              <w:rPr>
                <w:rFonts w:ascii="宋体" w:cs="Arial"/>
                <w:bCs/>
                <w:color w:val="auto"/>
                <w:szCs w:val="21"/>
                <w:highlight w:val="none"/>
              </w:rPr>
            </w:pPr>
            <w:r>
              <w:rPr>
                <w:rFonts w:hint="eastAsia" w:ascii="宋体" w:hAnsi="宋体" w:cs="Arial"/>
                <w:bCs/>
                <w:color w:val="auto"/>
                <w:szCs w:val="21"/>
                <w:highlight w:val="none"/>
              </w:rPr>
              <w:t>质保期内售后服务情况</w:t>
            </w:r>
            <w:r>
              <w:rPr>
                <w:rFonts w:ascii="宋体" w:hAnsi="宋体" w:cs="Arial"/>
                <w:bCs/>
                <w:color w:val="auto"/>
                <w:szCs w:val="21"/>
                <w:highlight w:val="none"/>
              </w:rPr>
              <w:t>(</w:t>
            </w:r>
            <w:r>
              <w:rPr>
                <w:rFonts w:hint="eastAsia" w:ascii="宋体" w:hAnsi="宋体" w:cs="Arial"/>
                <w:bCs/>
                <w:color w:val="auto"/>
                <w:szCs w:val="21"/>
                <w:highlight w:val="none"/>
              </w:rPr>
              <w:t>服务方式、服务网点、售后服务的内容和措施等等，可用附页和宣传材料</w:t>
            </w:r>
            <w:r>
              <w:rPr>
                <w:rFonts w:ascii="宋体" w:hAnsi="宋体" w:cs="Arial"/>
                <w:bCs/>
                <w:color w:val="auto"/>
                <w:szCs w:val="21"/>
                <w:highlight w:val="none"/>
              </w:rPr>
              <w:t>)</w:t>
            </w:r>
          </w:p>
        </w:tc>
        <w:tc>
          <w:tcPr>
            <w:tcW w:w="4061" w:type="dxa"/>
          </w:tcPr>
          <w:p>
            <w:pPr>
              <w:pStyle w:val="44"/>
              <w:spacing w:line="360" w:lineRule="auto"/>
              <w:rPr>
                <w:rFonts w:ascii="宋体" w:cs="Arial"/>
                <w:bCs/>
                <w:color w:val="auto"/>
                <w:szCs w:val="21"/>
                <w:highlight w:val="none"/>
              </w:rPr>
            </w:pPr>
          </w:p>
        </w:tc>
        <w:tc>
          <w:tcPr>
            <w:tcW w:w="1373" w:type="dxa"/>
          </w:tcPr>
          <w:p>
            <w:pPr>
              <w:pStyle w:val="44"/>
              <w:spacing w:line="360" w:lineRule="auto"/>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4"/>
              <w:spacing w:line="360" w:lineRule="auto"/>
              <w:jc w:val="center"/>
              <w:rPr>
                <w:rFonts w:ascii="宋体" w:cs="Arial"/>
                <w:bCs/>
                <w:color w:val="auto"/>
                <w:szCs w:val="21"/>
                <w:highlight w:val="none"/>
              </w:rPr>
            </w:pPr>
            <w:r>
              <w:rPr>
                <w:rFonts w:ascii="宋体" w:hAnsi="宋体" w:cs="Arial"/>
                <w:bCs/>
                <w:color w:val="auto"/>
                <w:szCs w:val="21"/>
                <w:highlight w:val="none"/>
              </w:rPr>
              <w:t>2</w:t>
            </w:r>
          </w:p>
        </w:tc>
        <w:tc>
          <w:tcPr>
            <w:tcW w:w="2355" w:type="dxa"/>
            <w:vAlign w:val="center"/>
          </w:tcPr>
          <w:p>
            <w:pPr>
              <w:pStyle w:val="44"/>
              <w:spacing w:line="360" w:lineRule="auto"/>
              <w:rPr>
                <w:rFonts w:ascii="宋体" w:cs="Arial"/>
                <w:bCs/>
                <w:color w:val="auto"/>
                <w:szCs w:val="21"/>
                <w:highlight w:val="none"/>
              </w:rPr>
            </w:pPr>
            <w:r>
              <w:rPr>
                <w:rFonts w:hint="eastAsia" w:ascii="宋体" w:hAnsi="宋体" w:cs="Arial"/>
                <w:bCs/>
                <w:color w:val="auto"/>
                <w:szCs w:val="21"/>
                <w:highlight w:val="none"/>
              </w:rPr>
              <w:t>保修期后售后服务</w:t>
            </w:r>
          </w:p>
        </w:tc>
        <w:tc>
          <w:tcPr>
            <w:tcW w:w="4061" w:type="dxa"/>
          </w:tcPr>
          <w:p>
            <w:pPr>
              <w:pStyle w:val="44"/>
              <w:widowControl/>
              <w:spacing w:line="360" w:lineRule="auto"/>
              <w:jc w:val="left"/>
              <w:rPr>
                <w:rFonts w:ascii="宋体" w:cs="Arial"/>
                <w:bCs/>
                <w:color w:val="auto"/>
                <w:szCs w:val="21"/>
                <w:highlight w:val="none"/>
              </w:rPr>
            </w:pPr>
          </w:p>
          <w:p>
            <w:pPr>
              <w:pStyle w:val="44"/>
              <w:widowControl/>
              <w:spacing w:line="360" w:lineRule="auto"/>
              <w:jc w:val="left"/>
              <w:rPr>
                <w:rFonts w:ascii="宋体" w:cs="Arial"/>
                <w:bCs/>
                <w:color w:val="auto"/>
                <w:szCs w:val="21"/>
                <w:highlight w:val="none"/>
              </w:rPr>
            </w:pPr>
          </w:p>
          <w:p>
            <w:pPr>
              <w:pStyle w:val="44"/>
              <w:spacing w:line="360" w:lineRule="auto"/>
              <w:rPr>
                <w:rFonts w:ascii="宋体" w:cs="Arial"/>
                <w:bCs/>
                <w:color w:val="auto"/>
                <w:szCs w:val="21"/>
                <w:highlight w:val="none"/>
              </w:rPr>
            </w:pPr>
          </w:p>
        </w:tc>
        <w:tc>
          <w:tcPr>
            <w:tcW w:w="1373" w:type="dxa"/>
          </w:tcPr>
          <w:p>
            <w:pPr>
              <w:pStyle w:val="44"/>
              <w:widowControl/>
              <w:spacing w:line="360" w:lineRule="auto"/>
              <w:jc w:val="left"/>
              <w:rPr>
                <w:rFonts w:ascii="宋体" w:cs="Arial"/>
                <w:bCs/>
                <w:color w:val="auto"/>
                <w:szCs w:val="21"/>
                <w:highlight w:val="none"/>
              </w:rPr>
            </w:pPr>
          </w:p>
          <w:p>
            <w:pPr>
              <w:pStyle w:val="44"/>
              <w:widowControl/>
              <w:spacing w:line="360" w:lineRule="auto"/>
              <w:jc w:val="left"/>
              <w:rPr>
                <w:rFonts w:ascii="宋体" w:cs="Arial"/>
                <w:bCs/>
                <w:color w:val="auto"/>
                <w:szCs w:val="21"/>
                <w:highlight w:val="none"/>
              </w:rPr>
            </w:pPr>
          </w:p>
          <w:p>
            <w:pPr>
              <w:pStyle w:val="44"/>
              <w:spacing w:line="360" w:lineRule="auto"/>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4"/>
              <w:widowControl/>
              <w:spacing w:line="360" w:lineRule="auto"/>
              <w:jc w:val="left"/>
              <w:rPr>
                <w:rFonts w:ascii="宋体" w:cs="Arial"/>
                <w:bCs/>
                <w:color w:val="auto"/>
                <w:szCs w:val="21"/>
                <w:highlight w:val="none"/>
              </w:rPr>
            </w:pPr>
            <w:r>
              <w:rPr>
                <w:rFonts w:ascii="宋体" w:hAnsi="宋体" w:cs="Arial"/>
                <w:bCs/>
                <w:color w:val="auto"/>
                <w:szCs w:val="21"/>
                <w:highlight w:val="none"/>
              </w:rPr>
              <w:t xml:space="preserve"> 3</w:t>
            </w:r>
          </w:p>
        </w:tc>
        <w:tc>
          <w:tcPr>
            <w:tcW w:w="2355" w:type="dxa"/>
            <w:vAlign w:val="center"/>
          </w:tcPr>
          <w:p>
            <w:pPr>
              <w:pStyle w:val="44"/>
              <w:widowControl/>
              <w:spacing w:line="360" w:lineRule="auto"/>
              <w:jc w:val="left"/>
              <w:rPr>
                <w:rFonts w:ascii="宋体" w:cs="Arial"/>
                <w:bCs/>
                <w:color w:val="auto"/>
                <w:szCs w:val="21"/>
                <w:highlight w:val="none"/>
              </w:rPr>
            </w:pPr>
            <w:r>
              <w:rPr>
                <w:rFonts w:hint="eastAsia" w:ascii="宋体" w:hAnsi="宋体" w:cs="Arial"/>
                <w:bCs/>
                <w:color w:val="auto"/>
                <w:szCs w:val="21"/>
                <w:highlight w:val="none"/>
              </w:rPr>
              <w:t>培训方案（可用附页）</w:t>
            </w:r>
          </w:p>
        </w:tc>
        <w:tc>
          <w:tcPr>
            <w:tcW w:w="4061" w:type="dxa"/>
          </w:tcPr>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tc>
        <w:tc>
          <w:tcPr>
            <w:tcW w:w="1373" w:type="dxa"/>
          </w:tcPr>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4"/>
              <w:widowControl/>
              <w:spacing w:line="360" w:lineRule="auto"/>
              <w:jc w:val="left"/>
              <w:rPr>
                <w:rFonts w:ascii="宋体" w:cs="Arial"/>
                <w:bCs/>
                <w:color w:val="auto"/>
                <w:szCs w:val="21"/>
                <w:highlight w:val="none"/>
              </w:rPr>
            </w:pPr>
            <w:r>
              <w:rPr>
                <w:rFonts w:hint="eastAsia" w:ascii="宋体" w:cs="Arial"/>
                <w:bCs/>
                <w:color w:val="auto"/>
                <w:szCs w:val="21"/>
                <w:highlight w:val="none"/>
              </w:rPr>
              <w:t>……</w:t>
            </w:r>
          </w:p>
        </w:tc>
        <w:tc>
          <w:tcPr>
            <w:tcW w:w="2355" w:type="dxa"/>
            <w:tcBorders>
              <w:bottom w:val="single" w:color="auto" w:sz="4" w:space="0"/>
            </w:tcBorders>
            <w:vAlign w:val="center"/>
          </w:tcPr>
          <w:p>
            <w:pPr>
              <w:pStyle w:val="44"/>
              <w:widowControl/>
              <w:spacing w:line="360" w:lineRule="auto"/>
              <w:jc w:val="left"/>
              <w:rPr>
                <w:rFonts w:ascii="宋体" w:cs="Arial"/>
                <w:bCs/>
                <w:color w:val="auto"/>
                <w:szCs w:val="21"/>
                <w:highlight w:val="none"/>
              </w:rPr>
            </w:pPr>
            <w:r>
              <w:rPr>
                <w:rFonts w:hint="eastAsia" w:ascii="宋体" w:cs="Arial"/>
                <w:bCs/>
                <w:color w:val="auto"/>
                <w:szCs w:val="21"/>
                <w:highlight w:val="none"/>
              </w:rPr>
              <w:t>……</w:t>
            </w:r>
          </w:p>
        </w:tc>
        <w:tc>
          <w:tcPr>
            <w:tcW w:w="4061" w:type="dxa"/>
            <w:tcBorders>
              <w:bottom w:val="single" w:color="auto" w:sz="4" w:space="0"/>
            </w:tcBorders>
          </w:tcPr>
          <w:p>
            <w:pPr>
              <w:pStyle w:val="44"/>
              <w:widowControl/>
              <w:spacing w:line="360" w:lineRule="auto"/>
              <w:jc w:val="left"/>
              <w:rPr>
                <w:rFonts w:ascii="宋体" w:cs="Arial"/>
                <w:bCs/>
                <w:color w:val="auto"/>
                <w:szCs w:val="21"/>
                <w:highlight w:val="none"/>
              </w:rPr>
            </w:pPr>
          </w:p>
        </w:tc>
        <w:tc>
          <w:tcPr>
            <w:tcW w:w="1373" w:type="dxa"/>
            <w:tcBorders>
              <w:bottom w:val="single" w:color="auto" w:sz="4" w:space="0"/>
            </w:tcBorders>
          </w:tcPr>
          <w:p>
            <w:pPr>
              <w:pStyle w:val="44"/>
              <w:widowControl/>
              <w:spacing w:line="360" w:lineRule="auto"/>
              <w:jc w:val="left"/>
              <w:rPr>
                <w:rFonts w:ascii="宋体" w:cs="Arial"/>
                <w:bCs/>
                <w:color w:val="auto"/>
                <w:szCs w:val="21"/>
                <w:highlight w:val="none"/>
              </w:rPr>
            </w:pPr>
          </w:p>
        </w:tc>
      </w:tr>
    </w:tbl>
    <w:p>
      <w:pPr>
        <w:spacing w:line="360" w:lineRule="auto"/>
        <w:ind w:left="420"/>
        <w:rPr>
          <w:rFonts w:ascii="宋体"/>
          <w:color w:val="auto"/>
          <w:szCs w:val="21"/>
          <w:highlight w:val="none"/>
        </w:rPr>
      </w:pPr>
    </w:p>
    <w:p>
      <w:pPr>
        <w:spacing w:line="360" w:lineRule="auto"/>
        <w:ind w:left="420"/>
        <w:rPr>
          <w:rFonts w:ascii="宋体"/>
          <w:color w:val="auto"/>
          <w:szCs w:val="21"/>
          <w:highlight w:val="none"/>
        </w:rPr>
      </w:pPr>
    </w:p>
    <w:p>
      <w:pPr>
        <w:spacing w:line="360" w:lineRule="auto"/>
        <w:rPr>
          <w:rFonts w:ascii="宋体"/>
          <w:color w:val="auto"/>
          <w:szCs w:val="21"/>
          <w:highlight w:val="none"/>
        </w:rPr>
      </w:pPr>
    </w:p>
    <w:p>
      <w:pPr>
        <w:spacing w:line="360" w:lineRule="auto"/>
        <w:ind w:left="420"/>
        <w:rPr>
          <w:rFonts w:asci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 w:val="24"/>
          <w:highlight w:val="none"/>
          <w:u w:val="single"/>
        </w:rPr>
      </w:pPr>
      <w:r>
        <w:rPr>
          <w:rFonts w:hint="eastAsia" w:ascii="宋体" w:hAnsi="宋体"/>
          <w:color w:val="auto"/>
          <w:szCs w:val="21"/>
          <w:highlight w:val="none"/>
        </w:rPr>
        <w:t>日期：</w:t>
      </w:r>
    </w:p>
    <w:p>
      <w:pPr>
        <w:spacing w:line="360" w:lineRule="auto"/>
        <w:ind w:firstLine="435"/>
        <w:rPr>
          <w:rFonts w:ascii="宋体"/>
          <w:color w:val="auto"/>
          <w:sz w:val="24"/>
          <w:highlight w:val="none"/>
          <w:u w:val="single"/>
        </w:rPr>
      </w:pPr>
    </w:p>
    <w:p>
      <w:pPr>
        <w:pStyle w:val="45"/>
        <w:spacing w:line="360" w:lineRule="auto"/>
        <w:rPr>
          <w:rFonts w:hAnsi="宋体"/>
          <w:b/>
          <w:color w:val="auto"/>
          <w:sz w:val="28"/>
          <w:szCs w:val="28"/>
          <w:highlight w:val="none"/>
        </w:rPr>
      </w:pPr>
    </w:p>
    <w:p>
      <w:pPr>
        <w:spacing w:line="360" w:lineRule="auto"/>
        <w:ind w:right="-110"/>
        <w:jc w:val="left"/>
        <w:rPr>
          <w:rFonts w:ascii="宋体"/>
          <w:b/>
          <w:color w:val="auto"/>
          <w:sz w:val="28"/>
          <w:highlight w:val="none"/>
        </w:rPr>
      </w:pPr>
    </w:p>
    <w:p>
      <w:pPr>
        <w:spacing w:line="360" w:lineRule="auto"/>
        <w:ind w:right="-110"/>
        <w:jc w:val="left"/>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right="-110"/>
        <w:jc w:val="left"/>
        <w:outlineLvl w:val="9"/>
        <w:rPr>
          <w:rFonts w:ascii="宋体"/>
          <w:color w:val="auto"/>
          <w:spacing w:val="40"/>
          <w:sz w:val="52"/>
          <w:szCs w:val="52"/>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right="-110"/>
        <w:jc w:val="center"/>
        <w:rPr>
          <w:rFonts w:asci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jc w:val="center"/>
        <w:rPr>
          <w:rFonts w:ascii="宋体"/>
          <w:color w:val="auto"/>
          <w:sz w:val="36"/>
          <w:szCs w:val="36"/>
          <w:highlight w:val="none"/>
        </w:rPr>
      </w:pPr>
      <w:r>
        <w:rPr>
          <w:rFonts w:hint="eastAsia" w:ascii="宋体" w:hAnsi="宋体"/>
          <w:color w:val="auto"/>
          <w:sz w:val="36"/>
          <w:szCs w:val="36"/>
          <w:highlight w:val="none"/>
        </w:rPr>
        <w:t>项目编号：</w:t>
      </w:r>
    </w:p>
    <w:p>
      <w:pPr>
        <w:spacing w:after="100" w:afterAutospacing="1" w:line="360" w:lineRule="auto"/>
        <w:ind w:right="-108"/>
        <w:jc w:val="center"/>
        <w:rPr>
          <w:rFonts w:ascii="宋体"/>
          <w:b/>
          <w:color w:val="auto"/>
          <w:spacing w:val="40"/>
          <w:sz w:val="84"/>
          <w:szCs w:val="84"/>
          <w:highlight w:val="none"/>
        </w:rPr>
      </w:pP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color w:val="auto"/>
          <w:sz w:val="36"/>
          <w:szCs w:val="36"/>
          <w:highlight w:val="none"/>
        </w:rPr>
      </w:pPr>
    </w:p>
    <w:p>
      <w:pPr>
        <w:spacing w:line="360" w:lineRule="auto"/>
        <w:ind w:right="532"/>
        <w:rPr>
          <w:rFonts w:ascii="宋体"/>
          <w:color w:val="auto"/>
          <w:sz w:val="36"/>
          <w:szCs w:val="36"/>
          <w:highlight w:val="none"/>
        </w:rPr>
      </w:pP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地址：</w:t>
      </w:r>
    </w:p>
    <w:p>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时间：</w:t>
      </w:r>
    </w:p>
    <w:p>
      <w:pPr>
        <w:spacing w:line="360" w:lineRule="auto"/>
        <w:ind w:right="-108"/>
        <w:jc w:val="center"/>
        <w:rPr>
          <w:rFonts w:ascii="宋体" w:hAnsi="宋体"/>
          <w:b/>
          <w:color w:val="auto"/>
          <w:sz w:val="36"/>
          <w:szCs w:val="32"/>
          <w:highlight w:val="none"/>
        </w:rPr>
      </w:pPr>
    </w:p>
    <w:p>
      <w:pPr>
        <w:spacing w:line="360" w:lineRule="auto"/>
        <w:ind w:right="-108"/>
        <w:jc w:val="center"/>
        <w:outlineLvl w:val="1"/>
        <w:rPr>
          <w:rFonts w:ascii="宋体"/>
          <w:b/>
          <w:color w:val="auto"/>
          <w:sz w:val="36"/>
          <w:szCs w:val="32"/>
          <w:highlight w:val="none"/>
        </w:rPr>
      </w:pPr>
      <w:r>
        <w:rPr>
          <w:rFonts w:hint="eastAsia" w:ascii="宋体" w:hAnsi="宋体"/>
          <w:b/>
          <w:color w:val="auto"/>
          <w:sz w:val="36"/>
          <w:szCs w:val="32"/>
          <w:highlight w:val="none"/>
        </w:rPr>
        <w:t>报价文件目录</w:t>
      </w:r>
    </w:p>
    <w:p>
      <w:pPr>
        <w:snapToGrid w:val="0"/>
        <w:spacing w:line="360" w:lineRule="auto"/>
        <w:rPr>
          <w:rFonts w:ascii="宋体" w:cs="宋体"/>
          <w:color w:val="auto"/>
          <w:sz w:val="24"/>
          <w:highlight w:val="none"/>
        </w:rPr>
      </w:pPr>
    </w:p>
    <w:p>
      <w:pPr>
        <w:snapToGrid w:val="0"/>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、开标一览表（附件</w:t>
      </w:r>
      <w:r>
        <w:rPr>
          <w:rFonts w:ascii="宋体" w:hAnsi="宋体" w:cs="宋体"/>
          <w:color w:val="auto"/>
          <w:szCs w:val="21"/>
          <w:highlight w:val="none"/>
        </w:rPr>
        <w:t>1</w:t>
      </w:r>
      <w:r>
        <w:rPr>
          <w:rFonts w:hint="eastAsia" w:ascii="宋体" w:hAnsi="宋体" w:cs="宋体"/>
          <w:color w:val="auto"/>
          <w:szCs w:val="21"/>
          <w:highlight w:val="none"/>
        </w:rPr>
        <w:t>6）；</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2、报价明细表（附件17）；</w:t>
      </w:r>
    </w:p>
    <w:p>
      <w:pPr>
        <w:snapToGrid w:val="0"/>
        <w:spacing w:line="360" w:lineRule="auto"/>
        <w:rPr>
          <w:rFonts w:ascii="宋体" w:cs="宋体"/>
          <w:color w:val="auto"/>
          <w:szCs w:val="21"/>
          <w:highlight w:val="none"/>
        </w:rPr>
      </w:pPr>
      <w:r>
        <w:rPr>
          <w:rFonts w:hint="eastAsia" w:ascii="宋体" w:hAnsi="宋体" w:cs="宋体"/>
          <w:color w:val="auto"/>
          <w:szCs w:val="21"/>
          <w:highlight w:val="none"/>
        </w:rPr>
        <w:t>3、针对报价投标人认为其他需要说明的；</w:t>
      </w:r>
    </w:p>
    <w:p>
      <w:pPr>
        <w:pStyle w:val="46"/>
        <w:spacing w:line="360" w:lineRule="auto"/>
        <w:jc w:val="both"/>
        <w:rPr>
          <w:rFonts w:hAnsi="宋体" w:cs="宋体"/>
          <w:color w:val="auto"/>
          <w:highlight w:val="none"/>
        </w:rPr>
      </w:pPr>
      <w:r>
        <w:rPr>
          <w:rFonts w:hint="eastAsia" w:hAnsi="宋体" w:cs="宋体"/>
          <w:color w:val="auto"/>
          <w:highlight w:val="none"/>
        </w:rPr>
        <w:t>4、中小企业等声明函（附件18）；（如有需提供）</w:t>
      </w:r>
    </w:p>
    <w:p>
      <w:pPr>
        <w:pStyle w:val="47"/>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kern w:val="0"/>
          <w:szCs w:val="21"/>
          <w:highlight w:val="none"/>
        </w:rPr>
        <w:t>5、产品适用政府采购政策情况表</w:t>
      </w:r>
      <w:r>
        <w:rPr>
          <w:rFonts w:hint="eastAsia" w:ascii="宋体" w:hAnsi="宋体" w:cs="宋体"/>
          <w:color w:val="auto"/>
          <w:szCs w:val="21"/>
          <w:highlight w:val="none"/>
        </w:rPr>
        <w:t>（附件</w:t>
      </w:r>
      <w:r>
        <w:rPr>
          <w:rFonts w:ascii="宋体" w:hAnsi="宋体" w:cs="宋体"/>
          <w:color w:val="auto"/>
          <w:szCs w:val="21"/>
          <w:highlight w:val="none"/>
        </w:rPr>
        <w:t>1</w:t>
      </w:r>
      <w:r>
        <w:rPr>
          <w:rFonts w:hint="eastAsia" w:ascii="宋体" w:hAnsi="宋体" w:cs="宋体"/>
          <w:color w:val="auto"/>
          <w:szCs w:val="21"/>
          <w:highlight w:val="none"/>
        </w:rPr>
        <w:t>9）</w:t>
      </w:r>
      <w:r>
        <w:rPr>
          <w:rFonts w:hint="eastAsia" w:ascii="宋体" w:hAnsi="宋体" w:cs="宋体"/>
          <w:color w:val="auto"/>
          <w:kern w:val="0"/>
          <w:szCs w:val="21"/>
          <w:highlight w:val="none"/>
        </w:rPr>
        <w:t>。（如有需提供）</w:t>
      </w:r>
    </w:p>
    <w:p>
      <w:pPr>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6</w:t>
      </w:r>
    </w:p>
    <w:p>
      <w:pPr>
        <w:spacing w:line="360" w:lineRule="auto"/>
        <w:ind w:left="-2" w:hanging="2"/>
        <w:jc w:val="center"/>
        <w:rPr>
          <w:rFonts w:asci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b/>
          <w:color w:val="auto"/>
          <w:sz w:val="32"/>
          <w:szCs w:val="32"/>
          <w:highlight w:val="none"/>
        </w:rPr>
      </w:pPr>
    </w:p>
    <w:p>
      <w:pPr>
        <w:pStyle w:val="12"/>
        <w:spacing w:line="360" w:lineRule="auto"/>
        <w:rPr>
          <w:rFonts w:hAnsi="宋体"/>
          <w:b/>
          <w:color w:val="auto"/>
          <w:szCs w:val="21"/>
          <w:highlight w:val="none"/>
        </w:rPr>
      </w:pPr>
      <w:r>
        <w:rPr>
          <w:rFonts w:hint="eastAsia" w:hAnsi="宋体"/>
          <w:b/>
          <w:color w:val="auto"/>
          <w:szCs w:val="21"/>
          <w:highlight w:val="none"/>
        </w:rPr>
        <w:t>项目编号：</w:t>
      </w:r>
    </w:p>
    <w:p>
      <w:pPr>
        <w:pStyle w:val="48"/>
        <w:spacing w:line="360" w:lineRule="auto"/>
        <w:ind w:right="480"/>
        <w:jc w:val="left"/>
        <w:rPr>
          <w:rFonts w:hAnsi="宋体"/>
          <w:color w:val="auto"/>
          <w:szCs w:val="21"/>
          <w:highlight w:val="none"/>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olor w:val="auto"/>
                <w:szCs w:val="21"/>
                <w:highlight w:val="none"/>
              </w:rPr>
              <w:t>投标总报价</w:t>
            </w:r>
            <w:r>
              <w:rPr>
                <w:rFonts w:ascii="宋体" w:hAnsi="宋体"/>
                <w:color w:val="auto"/>
                <w:szCs w:val="21"/>
                <w:highlight w:val="none"/>
              </w:rPr>
              <w:t>(</w:t>
            </w:r>
            <w:r>
              <w:rPr>
                <w:rFonts w:hint="eastAsia" w:ascii="宋体" w:hAnsi="宋体"/>
                <w:color w:val="auto"/>
                <w:szCs w:val="21"/>
                <w:highlight w:val="none"/>
              </w:rPr>
              <w:t>元</w:t>
            </w:r>
            <w:r>
              <w:rPr>
                <w:rFonts w:ascii="宋体" w:hAnsi="宋体"/>
                <w:color w:val="auto"/>
                <w:szCs w:val="21"/>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360" w:lineRule="auto"/>
              <w:jc w:val="center"/>
              <w:textAlignment w:val="bottom"/>
              <w:rPr>
                <w:rFonts w:asci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spacing w:line="360" w:lineRule="auto"/>
              <w:rPr>
                <w:rFonts w:ascii="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ascii="宋体"/>
                <w:color w:val="auto"/>
                <w:szCs w:val="21"/>
                <w:highlight w:val="none"/>
              </w:rPr>
            </w:pPr>
          </w:p>
        </w:tc>
      </w:tr>
    </w:tbl>
    <w:p>
      <w:pPr>
        <w:spacing w:line="360" w:lineRule="auto"/>
        <w:rPr>
          <w:rFonts w:ascii="宋体"/>
          <w:color w:val="auto"/>
          <w:szCs w:val="21"/>
          <w:highlight w:val="none"/>
        </w:rPr>
      </w:pPr>
      <w:r>
        <w:rPr>
          <w:rFonts w:hint="eastAsia" w:ascii="宋体" w:hAnsi="宋体"/>
          <w:b/>
          <w:color w:val="auto"/>
          <w:szCs w:val="21"/>
          <w:highlight w:val="none"/>
        </w:rPr>
        <w:t>填报要求：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宋体" w:hAnsi="宋体"/>
          <w:color w:val="auto"/>
          <w:kern w:val="0"/>
          <w:szCs w:val="21"/>
          <w:highlight w:val="none"/>
        </w:rPr>
        <w:t>1、</w:t>
      </w:r>
      <w:r>
        <w:rPr>
          <w:rFonts w:hint="eastAsia" w:asciiTheme="minorEastAsia" w:hAnsiTheme="minorEastAsia" w:eastAsiaTheme="minorEastAsia" w:cstheme="minorEastAsia"/>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pPr>
        <w:spacing w:line="360" w:lineRule="auto"/>
        <w:ind w:firstLine="420" w:firstLineChars="200"/>
        <w:rPr>
          <w:rFonts w:ascii="宋体"/>
          <w:b/>
          <w:i/>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rPr>
        <w:t>、开标一览表，要求按格式填写，统一规范，不得自行增减内容。</w:t>
      </w:r>
    </w:p>
    <w:p>
      <w:pPr>
        <w:spacing w:line="360" w:lineRule="auto"/>
        <w:ind w:left="420"/>
        <w:rPr>
          <w:rFonts w:asci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cs="宋体"/>
          <w:color w:val="auto"/>
          <w:szCs w:val="21"/>
          <w:highlight w:val="none"/>
        </w:rPr>
      </w:pPr>
    </w:p>
    <w:p>
      <w:pPr>
        <w:spacing w:line="400" w:lineRule="exact"/>
        <w:rPr>
          <w:rFonts w:ascii="宋体" w:hAnsi="宋体"/>
          <w:b/>
          <w:color w:val="auto"/>
          <w:sz w:val="28"/>
          <w:highlight w:val="none"/>
        </w:rPr>
      </w:pPr>
    </w:p>
    <w:p>
      <w:pPr>
        <w:spacing w:line="400" w:lineRule="exact"/>
        <w:rPr>
          <w:rFonts w:ascii="宋体" w:hAnsi="宋体"/>
          <w:b/>
          <w:color w:val="auto"/>
          <w:sz w:val="28"/>
          <w:highlight w:val="none"/>
        </w:rPr>
      </w:pPr>
    </w:p>
    <w:p>
      <w:pPr>
        <w:spacing w:line="400" w:lineRule="exact"/>
        <w:rPr>
          <w:rFonts w:ascii="宋体" w:hAnsi="宋体"/>
          <w:b/>
          <w:color w:val="auto"/>
          <w:sz w:val="28"/>
          <w:highlight w:val="none"/>
        </w:rPr>
      </w:pPr>
    </w:p>
    <w:p>
      <w:pPr>
        <w:spacing w:line="400" w:lineRule="exact"/>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宋体" w:hAnsi="宋体"/>
          <w:b/>
          <w:color w:val="auto"/>
          <w:sz w:val="28"/>
          <w:highlight w:val="none"/>
        </w:rPr>
      </w:pPr>
      <w:r>
        <w:rPr>
          <w:rFonts w:hint="eastAsia" w:ascii="宋体" w:hAnsi="宋体"/>
          <w:b/>
          <w:color w:val="auto"/>
          <w:sz w:val="28"/>
          <w:highlight w:val="none"/>
        </w:rPr>
        <w:t>附件17</w:t>
      </w:r>
    </w:p>
    <w:p>
      <w:pPr>
        <w:snapToGrid w:val="0"/>
        <w:spacing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pPr>
        <w:pStyle w:val="12"/>
        <w:spacing w:line="360" w:lineRule="auto"/>
        <w:rPr>
          <w:rFonts w:hAnsi="宋体"/>
          <w:b/>
          <w:color w:val="auto"/>
          <w:szCs w:val="21"/>
          <w:highlight w:val="none"/>
        </w:rPr>
      </w:pPr>
      <w:r>
        <w:rPr>
          <w:rFonts w:hint="eastAsia" w:hAnsi="宋体"/>
          <w:b/>
          <w:color w:val="auto"/>
          <w:szCs w:val="21"/>
          <w:highlight w:val="none"/>
        </w:rPr>
        <w:t>项目编号：</w:t>
      </w:r>
    </w:p>
    <w:p>
      <w:pPr>
        <w:keepNext/>
        <w:keepLines/>
        <w:snapToGrid w:val="0"/>
        <w:rPr>
          <w:rFonts w:ascii="宋体" w:hAnsi="宋体"/>
          <w:b/>
          <w:color w:val="auto"/>
          <w:szCs w:val="21"/>
          <w:highlight w:val="none"/>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p>
    <w:tbl>
      <w:tblPr>
        <w:tblStyle w:val="22"/>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649"/>
        <w:gridCol w:w="2272"/>
        <w:gridCol w:w="1126"/>
        <w:gridCol w:w="1143"/>
        <w:gridCol w:w="1213"/>
        <w:gridCol w:w="753"/>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893"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名称</w:t>
            </w:r>
          </w:p>
        </w:tc>
        <w:tc>
          <w:tcPr>
            <w:tcW w:w="649"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序号</w:t>
            </w:r>
          </w:p>
        </w:tc>
        <w:tc>
          <w:tcPr>
            <w:tcW w:w="2272"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重要岗位</w:t>
            </w:r>
          </w:p>
        </w:tc>
        <w:tc>
          <w:tcPr>
            <w:tcW w:w="1126"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工作时间</w:t>
            </w:r>
          </w:p>
        </w:tc>
        <w:tc>
          <w:tcPr>
            <w:tcW w:w="1143"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工作人次</w:t>
            </w:r>
          </w:p>
        </w:tc>
        <w:tc>
          <w:tcPr>
            <w:tcW w:w="1213"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人均月薪</w:t>
            </w: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（30 天）</w:t>
            </w:r>
          </w:p>
        </w:tc>
        <w:tc>
          <w:tcPr>
            <w:tcW w:w="1677" w:type="dxa"/>
            <w:gridSpan w:val="2"/>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年费用</w:t>
            </w: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（1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93" w:type="dxa"/>
            <w:vMerge w:val="restart"/>
          </w:tcPr>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人工费用</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1677" w:type="dxa"/>
            <w:gridSpan w:val="2"/>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vMerge w:val="continue"/>
            <w:tcBorders>
              <w:top w:val="nil"/>
            </w:tcBorders>
          </w:tcPr>
          <w:p>
            <w:pPr>
              <w:autoSpaceDE w:val="0"/>
              <w:autoSpaceDN w:val="0"/>
              <w:jc w:val="center"/>
              <w:textAlignment w:val="bottom"/>
              <w:rPr>
                <w:rFonts w:ascii="宋体" w:hAnsi="宋体"/>
                <w:color w:val="auto"/>
                <w:szCs w:val="21"/>
                <w:highlight w:val="none"/>
              </w:rPr>
            </w:pP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1677" w:type="dxa"/>
            <w:gridSpan w:val="2"/>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893" w:type="dxa"/>
            <w:vMerge w:val="continue"/>
            <w:tcBorders>
              <w:top w:val="nil"/>
            </w:tcBorders>
          </w:tcPr>
          <w:p>
            <w:pPr>
              <w:rPr>
                <w:color w:val="auto"/>
                <w:sz w:val="2"/>
                <w:szCs w:val="2"/>
                <w:highlight w:val="none"/>
              </w:rPr>
            </w:pP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b/>
                <w:bCs/>
                <w:color w:val="auto"/>
                <w:szCs w:val="21"/>
                <w:highlight w:val="none"/>
              </w:rPr>
            </w:pP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管理人员（含项目经理）</w:t>
            </w: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由供应商根据实际配备</w:t>
            </w:r>
          </w:p>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情况填写</w:t>
            </w:r>
          </w:p>
        </w:tc>
        <w:tc>
          <w:tcPr>
            <w:tcW w:w="1213" w:type="dxa"/>
          </w:tcPr>
          <w:p>
            <w:pPr>
              <w:autoSpaceDE w:val="0"/>
              <w:autoSpaceDN w:val="0"/>
              <w:jc w:val="center"/>
              <w:textAlignment w:val="bottom"/>
              <w:rPr>
                <w:rFonts w:ascii="宋体" w:hAnsi="宋体"/>
                <w:color w:val="auto"/>
                <w:szCs w:val="21"/>
                <w:highlight w:val="none"/>
              </w:rPr>
            </w:pPr>
          </w:p>
        </w:tc>
        <w:tc>
          <w:tcPr>
            <w:tcW w:w="1677" w:type="dxa"/>
            <w:gridSpan w:val="2"/>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93" w:type="dxa"/>
            <w:vMerge w:val="continue"/>
            <w:tcBorders>
              <w:top w:val="nil"/>
            </w:tcBorders>
          </w:tcPr>
          <w:p>
            <w:pPr>
              <w:autoSpaceDE w:val="0"/>
              <w:autoSpaceDN w:val="0"/>
              <w:jc w:val="center"/>
              <w:textAlignment w:val="bottom"/>
              <w:rPr>
                <w:rFonts w:ascii="宋体" w:hAnsi="宋体"/>
                <w:color w:val="auto"/>
                <w:szCs w:val="21"/>
                <w:highlight w:val="none"/>
              </w:rPr>
            </w:pPr>
          </w:p>
        </w:tc>
        <w:tc>
          <w:tcPr>
            <w:tcW w:w="649" w:type="dxa"/>
          </w:tcPr>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w:t>
            </w: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1677" w:type="dxa"/>
            <w:gridSpan w:val="2"/>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名称</w:t>
            </w:r>
          </w:p>
        </w:tc>
        <w:tc>
          <w:tcPr>
            <w:tcW w:w="649"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序号</w:t>
            </w:r>
          </w:p>
        </w:tc>
        <w:tc>
          <w:tcPr>
            <w:tcW w:w="2272"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设备名称</w:t>
            </w:r>
          </w:p>
        </w:tc>
        <w:tc>
          <w:tcPr>
            <w:tcW w:w="1126"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品牌、型号</w:t>
            </w:r>
          </w:p>
        </w:tc>
        <w:tc>
          <w:tcPr>
            <w:tcW w:w="1143"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技术参数</w:t>
            </w:r>
          </w:p>
        </w:tc>
        <w:tc>
          <w:tcPr>
            <w:tcW w:w="1213"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数量</w:t>
            </w:r>
          </w:p>
        </w:tc>
        <w:tc>
          <w:tcPr>
            <w:tcW w:w="753"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单价</w:t>
            </w:r>
          </w:p>
        </w:tc>
        <w:tc>
          <w:tcPr>
            <w:tcW w:w="924" w:type="dxa"/>
          </w:tcPr>
          <w:p>
            <w:pPr>
              <w:autoSpaceDE w:val="0"/>
              <w:autoSpaceDN w:val="0"/>
              <w:jc w:val="center"/>
              <w:textAlignment w:val="bottom"/>
              <w:rPr>
                <w:rFonts w:ascii="宋体" w:hAnsi="宋体"/>
                <w:b/>
                <w:bCs/>
                <w:color w:val="auto"/>
                <w:szCs w:val="21"/>
                <w:highlight w:val="none"/>
              </w:rPr>
            </w:pPr>
            <w:r>
              <w:rPr>
                <w:rFonts w:hint="eastAsia" w:ascii="宋体" w:hAnsi="宋体"/>
                <w:b/>
                <w:bCs/>
                <w:color w:val="auto"/>
                <w:szCs w:val="21"/>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vMerge w:val="restart"/>
          </w:tcPr>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p>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设备费用</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vMerge w:val="continue"/>
            <w:tcBorders>
              <w:top w:val="nil"/>
            </w:tcBorders>
          </w:tcPr>
          <w:p>
            <w:pPr>
              <w:autoSpaceDE w:val="0"/>
              <w:autoSpaceDN w:val="0"/>
              <w:jc w:val="center"/>
              <w:textAlignment w:val="bottom"/>
              <w:rPr>
                <w:rFonts w:ascii="宋体" w:hAnsi="宋体"/>
                <w:color w:val="auto"/>
                <w:szCs w:val="21"/>
                <w:highlight w:val="none"/>
              </w:rPr>
            </w:pP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vMerge w:val="continue"/>
            <w:tcBorders>
              <w:top w:val="nil"/>
            </w:tcBorders>
          </w:tcPr>
          <w:p>
            <w:pPr>
              <w:autoSpaceDE w:val="0"/>
              <w:autoSpaceDN w:val="0"/>
              <w:jc w:val="center"/>
              <w:textAlignment w:val="bottom"/>
              <w:rPr>
                <w:rFonts w:ascii="宋体" w:hAnsi="宋体"/>
                <w:color w:val="auto"/>
                <w:szCs w:val="21"/>
                <w:highlight w:val="none"/>
              </w:rPr>
            </w:pP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93" w:type="dxa"/>
          </w:tcPr>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管理费</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tcPr>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税金</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93" w:type="dxa"/>
          </w:tcPr>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其他</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893" w:type="dxa"/>
          </w:tcPr>
          <w:p>
            <w:pPr>
              <w:autoSpaceDE w:val="0"/>
              <w:autoSpaceDN w:val="0"/>
              <w:jc w:val="center"/>
              <w:textAlignment w:val="bottom"/>
              <w:rPr>
                <w:rFonts w:ascii="宋体" w:hAnsi="宋体"/>
                <w:color w:val="auto"/>
                <w:szCs w:val="21"/>
                <w:highlight w:val="none"/>
              </w:rPr>
            </w:pPr>
            <w:r>
              <w:rPr>
                <w:rFonts w:hint="eastAsia" w:ascii="宋体" w:hAnsi="宋体"/>
                <w:color w:val="auto"/>
                <w:szCs w:val="21"/>
                <w:highlight w:val="none"/>
              </w:rPr>
              <w:t>...</w:t>
            </w:r>
          </w:p>
        </w:tc>
        <w:tc>
          <w:tcPr>
            <w:tcW w:w="649" w:type="dxa"/>
          </w:tcPr>
          <w:p>
            <w:pPr>
              <w:autoSpaceDE w:val="0"/>
              <w:autoSpaceDN w:val="0"/>
              <w:jc w:val="center"/>
              <w:textAlignment w:val="bottom"/>
              <w:rPr>
                <w:rFonts w:ascii="宋体" w:hAnsi="宋体"/>
                <w:color w:val="auto"/>
                <w:szCs w:val="21"/>
                <w:highlight w:val="none"/>
              </w:rPr>
            </w:pPr>
          </w:p>
        </w:tc>
        <w:tc>
          <w:tcPr>
            <w:tcW w:w="2272" w:type="dxa"/>
          </w:tcPr>
          <w:p>
            <w:pPr>
              <w:autoSpaceDE w:val="0"/>
              <w:autoSpaceDN w:val="0"/>
              <w:jc w:val="center"/>
              <w:textAlignment w:val="bottom"/>
              <w:rPr>
                <w:rFonts w:ascii="宋体" w:hAnsi="宋体"/>
                <w:color w:val="auto"/>
                <w:szCs w:val="21"/>
                <w:highlight w:val="none"/>
              </w:rPr>
            </w:pPr>
          </w:p>
        </w:tc>
        <w:tc>
          <w:tcPr>
            <w:tcW w:w="1126" w:type="dxa"/>
          </w:tcPr>
          <w:p>
            <w:pPr>
              <w:autoSpaceDE w:val="0"/>
              <w:autoSpaceDN w:val="0"/>
              <w:jc w:val="center"/>
              <w:textAlignment w:val="bottom"/>
              <w:rPr>
                <w:rFonts w:ascii="宋体" w:hAnsi="宋体"/>
                <w:color w:val="auto"/>
                <w:szCs w:val="21"/>
                <w:highlight w:val="none"/>
              </w:rPr>
            </w:pPr>
          </w:p>
        </w:tc>
        <w:tc>
          <w:tcPr>
            <w:tcW w:w="1143" w:type="dxa"/>
          </w:tcPr>
          <w:p>
            <w:pPr>
              <w:autoSpaceDE w:val="0"/>
              <w:autoSpaceDN w:val="0"/>
              <w:jc w:val="center"/>
              <w:textAlignment w:val="bottom"/>
              <w:rPr>
                <w:rFonts w:ascii="宋体" w:hAnsi="宋体"/>
                <w:color w:val="auto"/>
                <w:szCs w:val="21"/>
                <w:highlight w:val="none"/>
              </w:rPr>
            </w:pPr>
          </w:p>
        </w:tc>
        <w:tc>
          <w:tcPr>
            <w:tcW w:w="1213" w:type="dxa"/>
          </w:tcPr>
          <w:p>
            <w:pPr>
              <w:autoSpaceDE w:val="0"/>
              <w:autoSpaceDN w:val="0"/>
              <w:jc w:val="center"/>
              <w:textAlignment w:val="bottom"/>
              <w:rPr>
                <w:rFonts w:ascii="宋体" w:hAnsi="宋体"/>
                <w:color w:val="auto"/>
                <w:szCs w:val="21"/>
                <w:highlight w:val="none"/>
              </w:rPr>
            </w:pPr>
          </w:p>
        </w:tc>
        <w:tc>
          <w:tcPr>
            <w:tcW w:w="753" w:type="dxa"/>
          </w:tcPr>
          <w:p>
            <w:pPr>
              <w:autoSpaceDE w:val="0"/>
              <w:autoSpaceDN w:val="0"/>
              <w:jc w:val="center"/>
              <w:textAlignment w:val="bottom"/>
              <w:rPr>
                <w:rFonts w:ascii="宋体" w:hAnsi="宋体"/>
                <w:color w:val="auto"/>
                <w:szCs w:val="21"/>
                <w:highlight w:val="none"/>
              </w:rPr>
            </w:pPr>
          </w:p>
        </w:tc>
        <w:tc>
          <w:tcPr>
            <w:tcW w:w="924" w:type="dxa"/>
          </w:tcPr>
          <w:p>
            <w:pPr>
              <w:autoSpaceDE w:val="0"/>
              <w:autoSpaceDN w:val="0"/>
              <w:jc w:val="center"/>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973" w:type="dxa"/>
            <w:gridSpan w:val="8"/>
            <w:vAlign w:val="center"/>
          </w:tcPr>
          <w:p>
            <w:pPr>
              <w:autoSpaceDE w:val="0"/>
              <w:autoSpaceDN w:val="0"/>
              <w:textAlignment w:val="bottom"/>
              <w:rPr>
                <w:b/>
                <w:color w:val="auto"/>
                <w:highlight w:val="none"/>
              </w:rPr>
            </w:pPr>
            <w:r>
              <w:rPr>
                <w:rFonts w:hint="eastAsia"/>
                <w:b/>
                <w:color w:val="auto"/>
                <w:highlight w:val="none"/>
              </w:rPr>
              <w:t>报价合计：大写：</w:t>
            </w:r>
          </w:p>
          <w:p>
            <w:pPr>
              <w:autoSpaceDE w:val="0"/>
              <w:autoSpaceDN w:val="0"/>
              <w:ind w:firstLine="1054" w:firstLineChars="500"/>
              <w:textAlignment w:val="bottom"/>
              <w:rPr>
                <w:rFonts w:ascii="宋体" w:hAnsi="宋体"/>
                <w:color w:val="auto"/>
                <w:szCs w:val="21"/>
                <w:highlight w:val="none"/>
              </w:rPr>
            </w:pPr>
            <w:r>
              <w:rPr>
                <w:rFonts w:hint="eastAsia"/>
                <w:b/>
                <w:color w:val="auto"/>
                <w:highlight w:val="none"/>
              </w:rPr>
              <w:t>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left="435"/>
        <w:rPr>
          <w:rFonts w:ascii="宋体"/>
          <w:color w:val="auto"/>
          <w:szCs w:val="21"/>
          <w:highlight w:val="none"/>
          <w:lang w:val="zh-CN"/>
        </w:rPr>
      </w:pPr>
      <w:r>
        <w:rPr>
          <w:rFonts w:hint="eastAsia" w:ascii="宋体"/>
          <w:color w:val="auto"/>
          <w:szCs w:val="21"/>
          <w:highlight w:val="none"/>
        </w:rPr>
        <w:t>3、“报价合计”</w:t>
      </w:r>
      <w:r>
        <w:rPr>
          <w:rFonts w:hint="eastAsia" w:ascii="宋体"/>
          <w:color w:val="auto"/>
          <w:szCs w:val="21"/>
          <w:highlight w:val="none"/>
          <w:lang w:val="zh-CN"/>
        </w:rPr>
        <w:t>是根据招标文件要求包含所有员工工资、员工福利、员工服装和政府、   法律法规规定的各类保险和福利（如高温费、各类节假日加班工资等）及用工费用、税费、利润及其它相关所有费用。</w:t>
      </w:r>
    </w:p>
    <w:p>
      <w:pPr>
        <w:pStyle w:val="13"/>
        <w:ind w:left="0" w:leftChars="0"/>
        <w:rPr>
          <w:color w:val="auto"/>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pacing w:line="400" w:lineRule="exact"/>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仿宋_GB2312" w:hAnsi="宋体"/>
          <w:bCs/>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8</w:t>
      </w:r>
    </w:p>
    <w:p>
      <w:pPr>
        <w:spacing w:line="400" w:lineRule="exact"/>
        <w:jc w:val="center"/>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pPr>
        <w:pStyle w:val="2"/>
        <w:spacing w:before="5"/>
        <w:rPr>
          <w:rFonts w:ascii="宋体"/>
          <w:b/>
          <w:color w:val="auto"/>
          <w:sz w:val="18"/>
          <w:szCs w:val="18"/>
          <w:highlight w:val="none"/>
        </w:rPr>
      </w:pPr>
    </w:p>
    <w:p>
      <w:pPr>
        <w:pStyle w:val="2"/>
        <w:autoSpaceDE w:val="0"/>
        <w:autoSpaceDN w:val="0"/>
        <w:spacing w:line="360" w:lineRule="auto"/>
        <w:ind w:right="-54" w:firstLine="420" w:firstLineChars="200"/>
        <w:rPr>
          <w:rFonts w:ascii="宋体"/>
          <w:color w:val="auto"/>
          <w:szCs w:val="21"/>
          <w:highlight w:val="none"/>
          <w:lang w:val="zh-CN"/>
        </w:rPr>
      </w:pPr>
      <w:r>
        <w:rPr>
          <w:rFonts w:hint="eastAsia" w:ascii="宋体"/>
          <w:color w:val="auto"/>
          <w:szCs w:val="21"/>
          <w:highlight w:val="none"/>
          <w:lang w:val="zh-CN"/>
        </w:rPr>
        <w:t>本公司（联合体）郑重声明，根据《政府采购促进中小企业发展管理办法》（财库﹝2020﹞46号）的规定，本公司（联合体）参加</w:t>
      </w:r>
      <w:r>
        <w:rPr>
          <w:rFonts w:hAnsiTheme="minorEastAsia" w:eastAsiaTheme="minorEastAsia"/>
          <w:iCs/>
          <w:color w:val="auto"/>
          <w:szCs w:val="21"/>
          <w:highlight w:val="none"/>
          <w:u w:val="single"/>
        </w:rPr>
        <w:t>（单位名称）</w:t>
      </w:r>
      <w:r>
        <w:rPr>
          <w:rFonts w:hAnsiTheme="minorEastAsia" w:eastAsiaTheme="minorEastAsia"/>
          <w:color w:val="auto"/>
          <w:szCs w:val="21"/>
          <w:highlight w:val="none"/>
        </w:rPr>
        <w:t>的</w:t>
      </w:r>
      <w:r>
        <w:rPr>
          <w:rFonts w:hAnsiTheme="minorEastAsia" w:eastAsiaTheme="minorEastAsia"/>
          <w:iCs/>
          <w:color w:val="auto"/>
          <w:szCs w:val="21"/>
          <w:highlight w:val="none"/>
          <w:u w:val="single"/>
        </w:rPr>
        <w:t>（项目名称）</w:t>
      </w:r>
      <w:r>
        <w:rPr>
          <w:rFonts w:hAnsiTheme="minorEastAsia" w:eastAsiaTheme="minorEastAsia"/>
          <w:color w:val="auto"/>
          <w:szCs w:val="21"/>
          <w:highlight w:val="none"/>
        </w:rPr>
        <w:t>采购活动，</w:t>
      </w:r>
      <w:r>
        <w:rPr>
          <w:rFonts w:hint="eastAsia" w:ascii="宋体"/>
          <w:color w:val="auto"/>
          <w:szCs w:val="21"/>
          <w:highlight w:val="none"/>
          <w:lang w:val="zh-CN"/>
        </w:rPr>
        <w:t>服务全部由符合政策要求的中小企业承接。相关企业（含联合体中的中小企业、签订分包意向协议的中小企业）的具体情况如下：</w:t>
      </w:r>
    </w:p>
    <w:p>
      <w:pPr>
        <w:pStyle w:val="2"/>
        <w:autoSpaceDE w:val="0"/>
        <w:autoSpaceDN w:val="0"/>
        <w:spacing w:line="360" w:lineRule="auto"/>
        <w:ind w:right="-54" w:firstLine="402" w:firstLineChars="200"/>
        <w:rPr>
          <w:rFonts w:asciiTheme="minorEastAsia" w:hAnsiTheme="minorEastAsia" w:eastAsiaTheme="minorEastAsia" w:cstheme="minorEastAsia"/>
          <w:iCs/>
          <w:color w:val="auto"/>
          <w:w w:val="99"/>
          <w:szCs w:val="21"/>
          <w:highlight w:val="none"/>
        </w:rPr>
      </w:pPr>
      <w:r>
        <w:rPr>
          <w:rFonts w:hint="eastAsia" w:asciiTheme="minorEastAsia" w:hAnsiTheme="minorEastAsia" w:eastAsiaTheme="minorEastAsia" w:cstheme="minorEastAsia"/>
          <w:iCs/>
          <w:color w:val="auto"/>
          <w:w w:val="96"/>
          <w:szCs w:val="21"/>
          <w:highlight w:val="none"/>
        </w:rPr>
        <w:t>一、</w:t>
      </w:r>
      <w:r>
        <w:rPr>
          <w:rFonts w:hint="eastAsia" w:asciiTheme="minorEastAsia" w:hAnsiTheme="minorEastAsia" w:eastAsiaTheme="minorEastAsia" w:cstheme="minorEastAsia"/>
          <w:iCs/>
          <w:color w:val="auto"/>
          <w:w w:val="96"/>
          <w:szCs w:val="21"/>
          <w:highlight w:val="none"/>
          <w:u w:val="single"/>
        </w:rPr>
        <w:t>（标的名称）</w:t>
      </w:r>
      <w:r>
        <w:rPr>
          <w:rFonts w:hint="eastAsia" w:asciiTheme="minorEastAsia" w:hAnsiTheme="minorEastAsia" w:eastAsiaTheme="minorEastAsia" w:cstheme="minorEastAsia"/>
          <w:color w:val="auto"/>
          <w:w w:val="99"/>
          <w:szCs w:val="21"/>
          <w:highlight w:val="none"/>
        </w:rPr>
        <w:t>，属于</w:t>
      </w:r>
      <w:r>
        <w:rPr>
          <w:rFonts w:hint="eastAsia" w:asciiTheme="minorEastAsia" w:hAnsiTheme="minorEastAsia" w:eastAsiaTheme="minorEastAsia" w:cstheme="minorEastAsia"/>
          <w:iCs/>
          <w:color w:val="auto"/>
          <w:w w:val="96"/>
          <w:szCs w:val="21"/>
          <w:highlight w:val="none"/>
        </w:rPr>
        <w:t>（</w:t>
      </w:r>
      <w:r>
        <w:rPr>
          <w:rFonts w:hint="eastAsia" w:asciiTheme="minorEastAsia" w:hAnsiTheme="minorEastAsia" w:eastAsiaTheme="minorEastAsia" w:cstheme="minorEastAsia"/>
          <w:iCs/>
          <w:color w:val="auto"/>
          <w:w w:val="96"/>
          <w:szCs w:val="21"/>
          <w:highlight w:val="none"/>
          <w:u w:val="single"/>
        </w:rPr>
        <w:t>采购文件中明确的所属行业）</w:t>
      </w:r>
      <w:r>
        <w:rPr>
          <w:rFonts w:hint="eastAsia" w:asciiTheme="minorEastAsia" w:hAnsiTheme="minorEastAsia" w:eastAsiaTheme="minorEastAsia" w:cstheme="minorEastAsia"/>
          <w:color w:val="auto"/>
          <w:w w:val="99"/>
          <w:szCs w:val="21"/>
          <w:highlight w:val="none"/>
        </w:rPr>
        <w:t>；承建（承接）企业为</w:t>
      </w:r>
      <w:r>
        <w:rPr>
          <w:rFonts w:hint="eastAsia" w:asciiTheme="minorEastAsia" w:hAnsiTheme="minorEastAsia" w:eastAsiaTheme="minorEastAsia" w:cstheme="minorEastAsia"/>
          <w:iCs/>
          <w:color w:val="auto"/>
          <w:w w:val="96"/>
          <w:szCs w:val="21"/>
          <w:highlight w:val="none"/>
          <w:u w:val="single"/>
        </w:rPr>
        <w:t>（企业名称）</w:t>
      </w:r>
      <w:r>
        <w:rPr>
          <w:rFonts w:hint="eastAsia" w:asciiTheme="minorEastAsia" w:hAnsiTheme="minorEastAsia" w:eastAsiaTheme="minorEastAsia" w:cstheme="minorEastAsia"/>
          <w:color w:val="auto"/>
          <w:w w:val="99"/>
          <w:szCs w:val="21"/>
          <w:highlight w:val="none"/>
        </w:rPr>
        <w:t>，从业人员人，营业</w:t>
      </w:r>
      <w:r>
        <w:rPr>
          <w:rFonts w:hint="eastAsia" w:asciiTheme="minorEastAsia" w:hAnsiTheme="minorEastAsia" w:eastAsiaTheme="minorEastAsia" w:cstheme="minorEastAsia"/>
          <w:color w:val="auto"/>
          <w:szCs w:val="21"/>
          <w:highlight w:val="none"/>
        </w:rPr>
        <w:t>收入为万元，资产总额为</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万元</w:t>
      </w:r>
      <w:r>
        <w:rPr>
          <w:rFonts w:hint="eastAsia" w:asciiTheme="minorEastAsia" w:hAnsiTheme="minorEastAsia" w:eastAsiaTheme="minorEastAsia" w:cstheme="minorEastAsia"/>
          <w:color w:val="auto"/>
          <w:szCs w:val="21"/>
          <w:highlight w:val="none"/>
          <w:vertAlign w:val="superscript"/>
        </w:rPr>
        <w:t>1</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iCs/>
          <w:color w:val="auto"/>
          <w:szCs w:val="21"/>
          <w:highlight w:val="none"/>
          <w:u w:val="single"/>
        </w:rPr>
        <w:t>（中型企业、</w:t>
      </w:r>
      <w:r>
        <w:rPr>
          <w:rFonts w:hint="eastAsia" w:asciiTheme="minorEastAsia" w:hAnsiTheme="minorEastAsia" w:eastAsiaTheme="minorEastAsia" w:cstheme="minorEastAsia"/>
          <w:iCs/>
          <w:color w:val="auto"/>
          <w:w w:val="96"/>
          <w:szCs w:val="21"/>
          <w:highlight w:val="none"/>
          <w:u w:val="single"/>
        </w:rPr>
        <w:t>小型企业、微型企业）</w:t>
      </w:r>
      <w:r>
        <w:rPr>
          <w:rFonts w:hint="eastAsia" w:asciiTheme="minorEastAsia" w:hAnsiTheme="minorEastAsia" w:eastAsiaTheme="minorEastAsia" w:cstheme="minorEastAsia"/>
          <w:iCs/>
          <w:color w:val="auto"/>
          <w:w w:val="99"/>
          <w:szCs w:val="21"/>
          <w:highlight w:val="none"/>
        </w:rPr>
        <w:t>；</w:t>
      </w:r>
    </w:p>
    <w:p>
      <w:pPr>
        <w:pStyle w:val="2"/>
        <w:autoSpaceDE w:val="0"/>
        <w:autoSpaceDN w:val="0"/>
        <w:spacing w:line="360" w:lineRule="auto"/>
        <w:ind w:right="-54" w:firstLine="402" w:firstLineChars="200"/>
        <w:rPr>
          <w:rFonts w:eastAsiaTheme="minorEastAsia"/>
          <w:iCs/>
          <w:color w:val="auto"/>
          <w:w w:val="99"/>
          <w:szCs w:val="21"/>
          <w:highlight w:val="none"/>
        </w:rPr>
      </w:pPr>
      <w:r>
        <w:rPr>
          <w:rFonts w:hint="eastAsia" w:eastAsiaTheme="minorEastAsia"/>
          <w:iCs/>
          <w:color w:val="auto"/>
          <w:w w:val="96"/>
          <w:szCs w:val="21"/>
          <w:highlight w:val="none"/>
        </w:rPr>
        <w:t>二、</w:t>
      </w:r>
      <w:r>
        <w:rPr>
          <w:rFonts w:hAnsiTheme="minorEastAsia" w:eastAsiaTheme="minorEastAsia"/>
          <w:iCs/>
          <w:color w:val="auto"/>
          <w:w w:val="96"/>
          <w:szCs w:val="21"/>
          <w:highlight w:val="none"/>
          <w:u w:val="single"/>
        </w:rPr>
        <w:t>（标的名称）</w:t>
      </w:r>
      <w:r>
        <w:rPr>
          <w:rFonts w:hAnsiTheme="minorEastAsia" w:eastAsiaTheme="minorEastAsia"/>
          <w:color w:val="auto"/>
          <w:w w:val="99"/>
          <w:szCs w:val="21"/>
          <w:highlight w:val="none"/>
        </w:rPr>
        <w:t>，属于</w:t>
      </w:r>
      <w:r>
        <w:rPr>
          <w:rFonts w:hAnsiTheme="minorEastAsia" w:eastAsiaTheme="minorEastAsia"/>
          <w:iCs/>
          <w:color w:val="auto"/>
          <w:w w:val="96"/>
          <w:szCs w:val="21"/>
          <w:highlight w:val="none"/>
        </w:rPr>
        <w:t>（</w:t>
      </w:r>
      <w:r>
        <w:rPr>
          <w:rFonts w:hAnsiTheme="minorEastAsia" w:eastAsiaTheme="minorEastAsia"/>
          <w:iCs/>
          <w:color w:val="auto"/>
          <w:w w:val="96"/>
          <w:szCs w:val="21"/>
          <w:highlight w:val="none"/>
          <w:u w:val="single"/>
        </w:rPr>
        <w:t>采购文件中明确的所属行业）</w:t>
      </w:r>
      <w:r>
        <w:rPr>
          <w:rFonts w:hAnsiTheme="minorEastAsia" w:eastAsiaTheme="minorEastAsia"/>
          <w:color w:val="auto"/>
          <w:w w:val="99"/>
          <w:szCs w:val="21"/>
          <w:highlight w:val="none"/>
        </w:rPr>
        <w:t>；承建（承接）企业为</w:t>
      </w:r>
      <w:r>
        <w:rPr>
          <w:rFonts w:hAnsiTheme="minorEastAsia" w:eastAsiaTheme="minorEastAsia"/>
          <w:iCs/>
          <w:color w:val="auto"/>
          <w:w w:val="96"/>
          <w:szCs w:val="21"/>
          <w:highlight w:val="none"/>
          <w:u w:val="single"/>
        </w:rPr>
        <w:t>（企业名称）</w:t>
      </w:r>
      <w:r>
        <w:rPr>
          <w:rFonts w:hAnsiTheme="minorEastAsia" w:eastAsiaTheme="minorEastAsia"/>
          <w:color w:val="auto"/>
          <w:w w:val="99"/>
          <w:szCs w:val="21"/>
          <w:highlight w:val="none"/>
        </w:rPr>
        <w:t>，从业人员人，营业</w:t>
      </w:r>
      <w:r>
        <w:rPr>
          <w:rFonts w:hAnsiTheme="minorEastAsia" w:eastAsiaTheme="minorEastAsia"/>
          <w:color w:val="auto"/>
          <w:szCs w:val="21"/>
          <w:highlight w:val="none"/>
        </w:rPr>
        <w:t>收入为万元，资产总额为万元，属于</w:t>
      </w:r>
      <w:r>
        <w:rPr>
          <w:rFonts w:hAnsiTheme="minorEastAsia" w:eastAsiaTheme="minorEastAsia"/>
          <w:iCs/>
          <w:color w:val="auto"/>
          <w:szCs w:val="21"/>
          <w:highlight w:val="none"/>
          <w:u w:val="single"/>
        </w:rPr>
        <w:t>（中型企业、</w:t>
      </w:r>
      <w:r>
        <w:rPr>
          <w:rFonts w:hAnsiTheme="minorEastAsia" w:eastAsiaTheme="minorEastAsia"/>
          <w:iCs/>
          <w:color w:val="auto"/>
          <w:w w:val="96"/>
          <w:szCs w:val="21"/>
          <w:highlight w:val="none"/>
          <w:u w:val="single"/>
        </w:rPr>
        <w:t>小型企业、微型企业）</w:t>
      </w:r>
      <w:r>
        <w:rPr>
          <w:rFonts w:hAnsiTheme="minorEastAsia" w:eastAsiaTheme="minorEastAsia"/>
          <w:iCs/>
          <w:color w:val="auto"/>
          <w:w w:val="99"/>
          <w:szCs w:val="21"/>
          <w:highlight w:val="none"/>
        </w:rPr>
        <w:t>；</w:t>
      </w:r>
    </w:p>
    <w:p>
      <w:pPr>
        <w:pStyle w:val="2"/>
        <w:autoSpaceDE w:val="0"/>
        <w:autoSpaceDN w:val="0"/>
        <w:spacing w:line="360" w:lineRule="auto"/>
        <w:ind w:right="-54" w:firstLine="420" w:firstLineChars="200"/>
        <w:rPr>
          <w:rFonts w:eastAsiaTheme="minorEastAsia"/>
          <w:color w:val="auto"/>
          <w:szCs w:val="21"/>
          <w:highlight w:val="none"/>
        </w:rPr>
      </w:pPr>
      <w:r>
        <w:rPr>
          <w:rFonts w:eastAsiaTheme="minorEastAsia"/>
          <w:color w:val="auto"/>
          <w:szCs w:val="21"/>
          <w:highlight w:val="none"/>
        </w:rPr>
        <w:t>……</w:t>
      </w:r>
    </w:p>
    <w:p>
      <w:pPr>
        <w:pStyle w:val="2"/>
        <w:autoSpaceDE w:val="0"/>
        <w:autoSpaceDN w:val="0"/>
        <w:spacing w:line="360" w:lineRule="auto"/>
        <w:ind w:right="-54" w:firstLine="420" w:firstLineChars="200"/>
        <w:rPr>
          <w:rFonts w:eastAsiaTheme="minorEastAsia"/>
          <w:color w:val="auto"/>
          <w:szCs w:val="21"/>
          <w:highlight w:val="none"/>
        </w:rPr>
      </w:pPr>
      <w:r>
        <w:rPr>
          <w:rFonts w:hAnsiTheme="minorEastAsia" w:eastAsiaTheme="minorEastAsia"/>
          <w:color w:val="auto"/>
          <w:szCs w:val="21"/>
          <w:highlight w:val="none"/>
        </w:rPr>
        <w:t>以上企业，不属于大企业的分支机构，不存在控股股东为大企业的情形，也不存在与大企业的负责人为同一人的情形。</w:t>
      </w:r>
    </w:p>
    <w:p>
      <w:pPr>
        <w:pStyle w:val="2"/>
        <w:autoSpaceDE w:val="0"/>
        <w:autoSpaceDN w:val="0"/>
        <w:spacing w:line="360" w:lineRule="auto"/>
        <w:ind w:right="-54" w:firstLine="420" w:firstLineChars="200"/>
        <w:rPr>
          <w:rFonts w:eastAsiaTheme="minorEastAsia"/>
          <w:color w:val="auto"/>
          <w:szCs w:val="21"/>
          <w:highlight w:val="none"/>
        </w:rPr>
      </w:pPr>
      <w:r>
        <w:rPr>
          <w:rFonts w:hAnsiTheme="minorEastAsia" w:eastAsiaTheme="minorEastAsia"/>
          <w:color w:val="auto"/>
          <w:szCs w:val="21"/>
          <w:highlight w:val="none"/>
        </w:rPr>
        <w:t>本企业对上述声明内容的真实性负责。如有虚假，将依法承担相应责任。</w:t>
      </w:r>
    </w:p>
    <w:p>
      <w:pPr>
        <w:pStyle w:val="2"/>
        <w:autoSpaceDE w:val="0"/>
        <w:autoSpaceDN w:val="0"/>
        <w:spacing w:before="29" w:line="360" w:lineRule="auto"/>
        <w:ind w:left="4060" w:right="-54"/>
        <w:rPr>
          <w:rFonts w:eastAsiaTheme="minorEastAsia"/>
          <w:color w:val="auto"/>
          <w:w w:val="99"/>
          <w:szCs w:val="21"/>
          <w:highlight w:val="none"/>
        </w:rPr>
      </w:pPr>
    </w:p>
    <w:p>
      <w:pPr>
        <w:pStyle w:val="2"/>
        <w:autoSpaceDE w:val="0"/>
        <w:autoSpaceDN w:val="0"/>
        <w:spacing w:before="29" w:line="360" w:lineRule="auto"/>
        <w:ind w:left="4060" w:right="-54"/>
        <w:rPr>
          <w:rFonts w:eastAsiaTheme="minorEastAsia"/>
          <w:color w:val="auto"/>
          <w:w w:val="99"/>
          <w:szCs w:val="21"/>
          <w:highlight w:val="none"/>
        </w:rPr>
      </w:pPr>
    </w:p>
    <w:p>
      <w:pPr>
        <w:pStyle w:val="2"/>
        <w:autoSpaceDE w:val="0"/>
        <w:autoSpaceDN w:val="0"/>
        <w:spacing w:before="29" w:line="360" w:lineRule="auto"/>
        <w:ind w:right="-54" w:firstLine="3990" w:firstLineChars="1900"/>
        <w:rPr>
          <w:rFonts w:eastAsiaTheme="minorEastAsia"/>
          <w:color w:val="auto"/>
          <w:szCs w:val="21"/>
          <w:highlight w:val="none"/>
        </w:rPr>
      </w:pPr>
      <w:r>
        <w:rPr>
          <w:rFonts w:hAnsiTheme="minorEastAsia" w:eastAsiaTheme="minorEastAsia"/>
          <w:color w:val="auto"/>
          <w:szCs w:val="21"/>
          <w:highlight w:val="none"/>
        </w:rPr>
        <w:t>企业名称（盖章）：</w:t>
      </w:r>
    </w:p>
    <w:p>
      <w:pPr>
        <w:pStyle w:val="2"/>
        <w:autoSpaceDE w:val="0"/>
        <w:autoSpaceDN w:val="0"/>
        <w:spacing w:before="29" w:line="360" w:lineRule="auto"/>
        <w:ind w:right="-54" w:firstLine="3990" w:firstLineChars="1900"/>
        <w:rPr>
          <w:rFonts w:eastAsiaTheme="minorEastAsia"/>
          <w:color w:val="auto"/>
          <w:kern w:val="0"/>
          <w:szCs w:val="21"/>
          <w:highlight w:val="none"/>
        </w:rPr>
      </w:pPr>
      <w:r>
        <w:rPr>
          <w:rFonts w:hAnsiTheme="minorEastAsia" w:eastAsiaTheme="minorEastAsia"/>
          <w:color w:val="auto"/>
          <w:szCs w:val="21"/>
          <w:highlight w:val="none"/>
        </w:rPr>
        <w:t>日期：</w:t>
      </w:r>
    </w:p>
    <w:p>
      <w:pPr>
        <w:pStyle w:val="12"/>
        <w:spacing w:line="360" w:lineRule="auto"/>
        <w:rPr>
          <w:rFonts w:ascii="Times New Roman" w:hAnsi="Times New Roman"/>
          <w:b/>
          <w:color w:val="auto"/>
          <w:highlight w:val="none"/>
        </w:rPr>
      </w:pPr>
      <w:r>
        <w:rPr>
          <w:rFonts w:hint="eastAsia"/>
          <w:color w:val="auto"/>
          <w:szCs w:val="21"/>
          <w:highlight w:val="none"/>
        </w:rPr>
        <w:t>注：1、从业人员、营业收入、资产总额填报上一年度数据，无上一年度数据的新成立企业可不填报。</w:t>
      </w:r>
    </w:p>
    <w:p>
      <w:pPr>
        <w:pStyle w:val="49"/>
        <w:spacing w:line="360" w:lineRule="auto"/>
        <w:ind w:left="403"/>
        <w:rPr>
          <w:rFonts w:ascii="宋体" w:hAnsi="宋体" w:cs="宋体"/>
          <w:color w:val="auto"/>
          <w:spacing w:val="20"/>
          <w:kern w:val="0"/>
          <w:szCs w:val="21"/>
          <w:highlight w:val="none"/>
        </w:rPr>
      </w:pPr>
      <w:r>
        <w:rPr>
          <w:rFonts w:hint="eastAsia" w:ascii="宋体" w:hAnsi="Courier New" w:cstheme="minorBidi"/>
          <w:color w:val="auto"/>
          <w:szCs w:val="21"/>
          <w:highlight w:val="none"/>
        </w:rPr>
        <w:t>2、</w:t>
      </w:r>
      <w:r>
        <w:rPr>
          <w:rFonts w:hint="eastAsia" w:ascii="宋体" w:hAnsi="宋体" w:cs="宋体"/>
          <w:color w:val="auto"/>
          <w:spacing w:val="20"/>
          <w:kern w:val="0"/>
          <w:szCs w:val="21"/>
          <w:highlight w:val="none"/>
        </w:rPr>
        <w:t>投标人按各自参加投标的对应标包分别编制、分别成册、分别提交。</w:t>
      </w:r>
    </w:p>
    <w:p>
      <w:pPr>
        <w:pStyle w:val="12"/>
        <w:spacing w:line="360" w:lineRule="auto"/>
        <w:jc w:val="center"/>
        <w:rPr>
          <w:rFonts w:hAnsi="宋体"/>
          <w:b/>
          <w:color w:val="auto"/>
          <w:sz w:val="32"/>
          <w:szCs w:val="32"/>
          <w:highlight w:val="none"/>
          <w:lang w:val="en-GB"/>
        </w:rPr>
      </w:pPr>
    </w:p>
    <w:p>
      <w:pPr>
        <w:pStyle w:val="12"/>
        <w:spacing w:line="360" w:lineRule="auto"/>
        <w:jc w:val="center"/>
        <w:rPr>
          <w:rFonts w:hAnsi="宋体"/>
          <w:b/>
          <w:color w:val="auto"/>
          <w:sz w:val="32"/>
          <w:szCs w:val="32"/>
          <w:highlight w:val="none"/>
          <w:lang w:val="en-GB"/>
        </w:rPr>
      </w:pPr>
    </w:p>
    <w:p>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360" w:lineRule="auto"/>
        <w:ind w:firstLine="444" w:firstLineChars="200"/>
        <w:rPr>
          <w:rFonts w:asci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pacing w:val="6"/>
          <w:szCs w:val="21"/>
          <w:highlight w:val="none"/>
        </w:rPr>
        <w:t>2017</w:t>
      </w:r>
      <w:r>
        <w:rPr>
          <w:rFonts w:hint="eastAsia" w:ascii="宋体" w:hAnsi="宋体"/>
          <w:color w:val="auto"/>
          <w:spacing w:val="6"/>
          <w:szCs w:val="21"/>
          <w:highlight w:val="none"/>
        </w:rPr>
        <w:t>〕</w:t>
      </w:r>
      <w:r>
        <w:rPr>
          <w:rFonts w:ascii="宋体" w:hAnsi="宋体"/>
          <w:color w:val="auto"/>
          <w:spacing w:val="6"/>
          <w:szCs w:val="21"/>
          <w:highlight w:val="none"/>
        </w:rPr>
        <w:t xml:space="preserve"> 141</w:t>
      </w:r>
      <w:r>
        <w:rPr>
          <w:rFonts w:hint="eastAsia" w:ascii="宋体" w:hAnsi="宋体"/>
          <w:color w:val="auto"/>
          <w:spacing w:val="6"/>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spacing w:line="360" w:lineRule="auto"/>
        <w:ind w:firstLine="444" w:firstLineChars="200"/>
        <w:rPr>
          <w:rFonts w:asci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tabs>
          <w:tab w:val="left" w:pos="4860"/>
        </w:tabs>
        <w:spacing w:line="360" w:lineRule="auto"/>
        <w:ind w:right="1560" w:firstLine="444" w:firstLineChars="200"/>
        <w:jc w:val="center"/>
        <w:rPr>
          <w:rFonts w:ascii="宋体"/>
          <w:color w:val="auto"/>
          <w:spacing w:val="6"/>
          <w:szCs w:val="21"/>
          <w:highlight w:val="none"/>
        </w:rPr>
      </w:pPr>
    </w:p>
    <w:p>
      <w:pPr>
        <w:tabs>
          <w:tab w:val="left" w:pos="4860"/>
        </w:tabs>
        <w:spacing w:line="360" w:lineRule="auto"/>
        <w:ind w:right="1560" w:firstLine="444" w:firstLineChars="200"/>
        <w:jc w:val="center"/>
        <w:rPr>
          <w:rFonts w:asci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spacing w:line="360" w:lineRule="auto"/>
        <w:ind w:right="1560" w:firstLine="420" w:firstLineChars="200"/>
        <w:jc w:val="center"/>
        <w:rPr>
          <w:rFonts w:ascii="宋体" w:hAnsi="宋体"/>
          <w:color w:val="auto"/>
          <w:szCs w:val="21"/>
          <w:highlight w:val="none"/>
        </w:rPr>
      </w:pPr>
      <w:r>
        <w:rPr>
          <w:rFonts w:hint="eastAsia" w:ascii="宋体" w:hAnsi="宋体"/>
          <w:color w:val="auto"/>
          <w:szCs w:val="21"/>
          <w:highlight w:val="none"/>
        </w:rPr>
        <w:t>法定代表人（签章）：</w:t>
      </w:r>
    </w:p>
    <w:p>
      <w:pPr>
        <w:tabs>
          <w:tab w:val="left" w:pos="4860"/>
        </w:tabs>
        <w:spacing w:line="360" w:lineRule="auto"/>
        <w:ind w:right="1560" w:firstLine="444" w:firstLineChars="200"/>
        <w:jc w:val="center"/>
        <w:rPr>
          <w:rFonts w:ascii="宋体"/>
          <w:color w:val="auto"/>
          <w:szCs w:val="21"/>
          <w:highlight w:val="none"/>
        </w:rPr>
      </w:pPr>
      <w:r>
        <w:rPr>
          <w:rFonts w:hint="eastAsia" w:ascii="宋体" w:hAnsi="宋体"/>
          <w:color w:val="auto"/>
          <w:spacing w:val="6"/>
          <w:szCs w:val="21"/>
          <w:highlight w:val="none"/>
        </w:rPr>
        <w:t>日期：</w:t>
      </w: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r>
        <w:rPr>
          <w:rFonts w:hint="eastAsia" w:ascii="宋体" w:hAnsi="宋体"/>
          <w:b/>
          <w:color w:val="auto"/>
          <w:sz w:val="28"/>
          <w:szCs w:val="28"/>
          <w:highlight w:val="none"/>
        </w:rPr>
        <w:t>附件</w:t>
      </w:r>
      <w:r>
        <w:rPr>
          <w:rFonts w:ascii="宋体" w:hAnsi="宋体"/>
          <w:b/>
          <w:color w:val="auto"/>
          <w:sz w:val="28"/>
          <w:szCs w:val="28"/>
          <w:highlight w:val="none"/>
        </w:rPr>
        <w:t>1</w:t>
      </w:r>
      <w:r>
        <w:rPr>
          <w:rFonts w:hint="eastAsia" w:ascii="宋体" w:hAnsi="宋体"/>
          <w:b/>
          <w:color w:val="auto"/>
          <w:sz w:val="28"/>
          <w:szCs w:val="28"/>
          <w:highlight w:val="none"/>
        </w:rPr>
        <w:t>9</w:t>
      </w:r>
    </w:p>
    <w:p>
      <w:pPr>
        <w:pStyle w:val="50"/>
        <w:spacing w:line="360" w:lineRule="auto"/>
        <w:rPr>
          <w:color w:val="auto"/>
          <w:highlight w:val="none"/>
        </w:rPr>
      </w:pPr>
    </w:p>
    <w:p>
      <w:pPr>
        <w:pStyle w:val="47"/>
        <w:spacing w:line="360" w:lineRule="auto"/>
        <w:jc w:val="center"/>
        <w:rPr>
          <w:rFonts w:ascii="宋体" w:hAnsi="宋体" w:cstheme="minorBidi"/>
          <w:b/>
          <w:color w:val="auto"/>
          <w:sz w:val="32"/>
          <w:szCs w:val="32"/>
          <w:highlight w:val="none"/>
          <w:lang w:val="en-GB"/>
        </w:rPr>
      </w:pPr>
      <w:r>
        <w:rPr>
          <w:rFonts w:hint="eastAsia" w:ascii="宋体" w:hAnsi="宋体" w:cstheme="minorBidi"/>
          <w:b/>
          <w:color w:val="auto"/>
          <w:sz w:val="32"/>
          <w:szCs w:val="32"/>
          <w:highlight w:val="none"/>
          <w:lang w:val="en-GB"/>
        </w:rPr>
        <w:t>产品适用政府采购政策情况表</w:t>
      </w:r>
    </w:p>
    <w:p>
      <w:pPr>
        <w:pStyle w:val="47"/>
        <w:spacing w:line="360" w:lineRule="auto"/>
        <w:jc w:val="center"/>
        <w:rPr>
          <w:rFonts w:ascii="宋体"/>
          <w:b/>
          <w:color w:val="auto"/>
          <w:szCs w:val="21"/>
          <w:highlight w:val="none"/>
          <w:lang w:val="en-GB"/>
        </w:rPr>
      </w:pPr>
    </w:p>
    <w:tbl>
      <w:tblPr>
        <w:tblStyle w:val="2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小微企业扶持政策</w:t>
            </w:r>
          </w:p>
        </w:tc>
        <w:tc>
          <w:tcPr>
            <w:tcW w:w="8111" w:type="dxa"/>
            <w:gridSpan w:val="3"/>
            <w:vAlign w:val="center"/>
          </w:tcPr>
          <w:tbl>
            <w:tblPr>
              <w:tblStyle w:val="22"/>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47"/>
                    <w:tabs>
                      <w:tab w:val="left" w:pos="1260"/>
                    </w:tabs>
                    <w:spacing w:line="360" w:lineRule="auto"/>
                    <w:rPr>
                      <w:rFonts w:ascii="宋体"/>
                      <w:color w:val="auto"/>
                      <w:szCs w:val="21"/>
                      <w:highlight w:val="none"/>
                    </w:rPr>
                  </w:pPr>
                  <w:r>
                    <w:rPr>
                      <w:rFonts w:hint="eastAsia" w:ascii="宋体" w:hAnsi="宋体"/>
                      <w:b/>
                      <w:bCs/>
                      <w:color w:val="auto"/>
                      <w:szCs w:val="21"/>
                      <w:highlight w:val="none"/>
                    </w:rPr>
                    <w:t>小型、微型企业投标且所投产品（指货物、工程、服务）由本企业制造，或者所投产品（仅指货物）含有其他小型、微型企业制造的，应</w:t>
                  </w:r>
                  <w:r>
                    <w:rPr>
                      <w:rFonts w:hint="eastAsia" w:ascii="宋体" w:hAnsi="宋体"/>
                      <w:b/>
                      <w:bCs/>
                      <w:color w:val="auto"/>
                      <w:szCs w:val="21"/>
                      <w:highlight w:val="none"/>
                      <w:lang w:val="en-GB"/>
                    </w:rPr>
                    <w:t>按要求列出具体产品与金额。</w:t>
                  </w:r>
                </w:p>
              </w:tc>
            </w:tr>
          </w:tbl>
          <w:p>
            <w:pPr>
              <w:pStyle w:val="47"/>
              <w:tabs>
                <w:tab w:val="left" w:pos="1260"/>
              </w:tabs>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产品名称（品牌、型号）</w:t>
            </w:r>
          </w:p>
        </w:tc>
        <w:tc>
          <w:tcPr>
            <w:tcW w:w="3811"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制造企业名称</w:t>
            </w:r>
          </w:p>
        </w:tc>
        <w:tc>
          <w:tcPr>
            <w:tcW w:w="1621"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6490" w:type="dxa"/>
            <w:gridSpan w:val="2"/>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金额合计（元）</w:t>
            </w:r>
          </w:p>
          <w:p>
            <w:pPr>
              <w:spacing w:line="360" w:lineRule="auto"/>
              <w:rPr>
                <w:color w:val="auto"/>
                <w:szCs w:val="21"/>
                <w:highlight w:val="none"/>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bl>
    <w:p>
      <w:pPr>
        <w:pStyle w:val="47"/>
        <w:spacing w:line="360" w:lineRule="auto"/>
        <w:rPr>
          <w:rFonts w:ascii="宋体"/>
          <w:color w:val="auto"/>
          <w:szCs w:val="21"/>
          <w:highlight w:val="none"/>
          <w:lang w:val="en-GB"/>
        </w:rPr>
      </w:pPr>
    </w:p>
    <w:p>
      <w:pPr>
        <w:pStyle w:val="47"/>
        <w:spacing w:line="360" w:lineRule="auto"/>
        <w:rPr>
          <w:rFonts w:ascii="宋体"/>
          <w:color w:val="auto"/>
          <w:szCs w:val="21"/>
          <w:highlight w:val="none"/>
          <w:lang w:val="en-GB"/>
        </w:rPr>
      </w:pPr>
      <w:r>
        <w:rPr>
          <w:rFonts w:hint="eastAsia" w:ascii="宋体" w:hAnsi="宋体"/>
          <w:color w:val="auto"/>
          <w:szCs w:val="21"/>
          <w:highlight w:val="none"/>
          <w:lang w:val="en-GB"/>
        </w:rPr>
        <w:t>填报要求：</w:t>
      </w:r>
    </w:p>
    <w:p>
      <w:pPr>
        <w:pStyle w:val="47"/>
        <w:widowControl/>
        <w:spacing w:line="360" w:lineRule="auto"/>
        <w:ind w:right="84" w:rightChars="40"/>
        <w:jc w:val="left"/>
        <w:rPr>
          <w:rFonts w:asci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本表的产品名称、规格型号和注册商标、金额要与《报价明细表》一致。</w:t>
      </w:r>
    </w:p>
    <w:p>
      <w:pPr>
        <w:pStyle w:val="47"/>
        <w:widowControl/>
        <w:tabs>
          <w:tab w:val="left" w:pos="360"/>
        </w:tabs>
        <w:spacing w:line="360" w:lineRule="auto"/>
        <w:ind w:right="84" w:rightChars="40"/>
        <w:jc w:val="left"/>
        <w:rPr>
          <w:rFonts w:ascii="宋体"/>
          <w:color w:val="auto"/>
          <w:szCs w:val="21"/>
          <w:highlight w:val="none"/>
          <w:lang w:val="en-GB"/>
        </w:rPr>
      </w:pPr>
      <w:r>
        <w:rPr>
          <w:rFonts w:hint="eastAsia" w:ascii="宋体" w:hAnsi="宋体"/>
          <w:color w:val="auto"/>
          <w:szCs w:val="21"/>
          <w:highlight w:val="none"/>
        </w:rPr>
        <w:t>2、</w:t>
      </w:r>
      <w:r>
        <w:rPr>
          <w:rFonts w:hint="eastAsia" w:ascii="宋体" w:hAnsi="宋体"/>
          <w:color w:val="auto"/>
          <w:szCs w:val="21"/>
          <w:highlight w:val="none"/>
          <w:lang w:val="en-GB"/>
        </w:rPr>
        <w:t>制造商为小型或微型企业时才需要填“制造商企业类型”栏，填写内容为“小型”或“微型”。</w:t>
      </w:r>
    </w:p>
    <w:p>
      <w:pPr>
        <w:pStyle w:val="47"/>
        <w:widowControl/>
        <w:spacing w:line="360" w:lineRule="auto"/>
        <w:ind w:right="84" w:rightChars="40"/>
        <w:jc w:val="left"/>
        <w:rPr>
          <w:rFonts w:ascii="宋体"/>
          <w:color w:val="auto"/>
          <w:sz w:val="24"/>
          <w:highlight w:val="none"/>
          <w:lang w:val="en-GB"/>
        </w:rPr>
      </w:pPr>
      <w:r>
        <w:rPr>
          <w:rFonts w:hint="eastAsia" w:ascii="宋体" w:hAnsi="宋体"/>
          <w:color w:val="auto"/>
          <w:szCs w:val="21"/>
          <w:highlight w:val="none"/>
        </w:rPr>
        <w:t>3、</w:t>
      </w: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spacing w:line="360" w:lineRule="auto"/>
        <w:ind w:firstLine="4305" w:firstLineChars="2050"/>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rPr>
      <w:t>街道道路清扫保洁、垃圾清运和垃圾分类项目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49"/>
    <w:rsid w:val="0003476A"/>
    <w:rsid w:val="00055C56"/>
    <w:rsid w:val="0008396C"/>
    <w:rsid w:val="000E0D3F"/>
    <w:rsid w:val="001241E8"/>
    <w:rsid w:val="00141F5E"/>
    <w:rsid w:val="001532E0"/>
    <w:rsid w:val="00164E0E"/>
    <w:rsid w:val="001D744B"/>
    <w:rsid w:val="00213AED"/>
    <w:rsid w:val="00215442"/>
    <w:rsid w:val="0028159A"/>
    <w:rsid w:val="002C6DDC"/>
    <w:rsid w:val="00336278"/>
    <w:rsid w:val="00347902"/>
    <w:rsid w:val="00355AE1"/>
    <w:rsid w:val="003929D9"/>
    <w:rsid w:val="00394DDF"/>
    <w:rsid w:val="003B7913"/>
    <w:rsid w:val="003C6577"/>
    <w:rsid w:val="00406D33"/>
    <w:rsid w:val="0043417D"/>
    <w:rsid w:val="00446A93"/>
    <w:rsid w:val="00483265"/>
    <w:rsid w:val="004C3D04"/>
    <w:rsid w:val="005079B9"/>
    <w:rsid w:val="00521160"/>
    <w:rsid w:val="00532108"/>
    <w:rsid w:val="005C68A9"/>
    <w:rsid w:val="006052DD"/>
    <w:rsid w:val="00641C5C"/>
    <w:rsid w:val="00650A79"/>
    <w:rsid w:val="006A0EEB"/>
    <w:rsid w:val="006E681F"/>
    <w:rsid w:val="00703AFD"/>
    <w:rsid w:val="007C0A85"/>
    <w:rsid w:val="00814F1B"/>
    <w:rsid w:val="00842483"/>
    <w:rsid w:val="008C0515"/>
    <w:rsid w:val="00940F69"/>
    <w:rsid w:val="009A0346"/>
    <w:rsid w:val="009C6908"/>
    <w:rsid w:val="009D35C1"/>
    <w:rsid w:val="009E7B9B"/>
    <w:rsid w:val="009F1B59"/>
    <w:rsid w:val="00A1188A"/>
    <w:rsid w:val="00A76558"/>
    <w:rsid w:val="00A76DFF"/>
    <w:rsid w:val="00A84C7A"/>
    <w:rsid w:val="00AA5B66"/>
    <w:rsid w:val="00B136FA"/>
    <w:rsid w:val="00B3717B"/>
    <w:rsid w:val="00B6397E"/>
    <w:rsid w:val="00B706FD"/>
    <w:rsid w:val="00B7243C"/>
    <w:rsid w:val="00B8754F"/>
    <w:rsid w:val="00BA5BF9"/>
    <w:rsid w:val="00BE3149"/>
    <w:rsid w:val="00CB2BAC"/>
    <w:rsid w:val="00CE29D6"/>
    <w:rsid w:val="00D27694"/>
    <w:rsid w:val="00D43739"/>
    <w:rsid w:val="00DA72E6"/>
    <w:rsid w:val="00DC096F"/>
    <w:rsid w:val="00DC3A95"/>
    <w:rsid w:val="00DD40BE"/>
    <w:rsid w:val="00E00F49"/>
    <w:rsid w:val="00E04ED8"/>
    <w:rsid w:val="00E366F5"/>
    <w:rsid w:val="00E873B3"/>
    <w:rsid w:val="00EB0E14"/>
    <w:rsid w:val="00F05701"/>
    <w:rsid w:val="00F30D25"/>
    <w:rsid w:val="00F3299C"/>
    <w:rsid w:val="00F662D8"/>
    <w:rsid w:val="00F7750A"/>
    <w:rsid w:val="00FF74E6"/>
    <w:rsid w:val="014D4625"/>
    <w:rsid w:val="01B1296E"/>
    <w:rsid w:val="01DC112F"/>
    <w:rsid w:val="01F86678"/>
    <w:rsid w:val="02380D19"/>
    <w:rsid w:val="0270132A"/>
    <w:rsid w:val="043F7FC4"/>
    <w:rsid w:val="051F6421"/>
    <w:rsid w:val="065735EF"/>
    <w:rsid w:val="08390248"/>
    <w:rsid w:val="084A3762"/>
    <w:rsid w:val="087F5981"/>
    <w:rsid w:val="09107AD0"/>
    <w:rsid w:val="091240AB"/>
    <w:rsid w:val="094B2DCA"/>
    <w:rsid w:val="09E03F7D"/>
    <w:rsid w:val="09F33DD0"/>
    <w:rsid w:val="0AF64F0D"/>
    <w:rsid w:val="0C47494B"/>
    <w:rsid w:val="0D1F4CD0"/>
    <w:rsid w:val="0D5D654A"/>
    <w:rsid w:val="0D637812"/>
    <w:rsid w:val="0D9A128E"/>
    <w:rsid w:val="0F571106"/>
    <w:rsid w:val="0F7812F7"/>
    <w:rsid w:val="0F7E6199"/>
    <w:rsid w:val="0FE74D1C"/>
    <w:rsid w:val="10452B67"/>
    <w:rsid w:val="10860B6D"/>
    <w:rsid w:val="10B90D80"/>
    <w:rsid w:val="1127581D"/>
    <w:rsid w:val="121665CB"/>
    <w:rsid w:val="12EC03CE"/>
    <w:rsid w:val="13F45D5A"/>
    <w:rsid w:val="15D17152"/>
    <w:rsid w:val="168339D9"/>
    <w:rsid w:val="171D6CDD"/>
    <w:rsid w:val="17461D47"/>
    <w:rsid w:val="176F1112"/>
    <w:rsid w:val="177873A9"/>
    <w:rsid w:val="17B91B1C"/>
    <w:rsid w:val="17D2330C"/>
    <w:rsid w:val="18C150E9"/>
    <w:rsid w:val="19581AFB"/>
    <w:rsid w:val="195B5090"/>
    <w:rsid w:val="19CE3838"/>
    <w:rsid w:val="1A076244"/>
    <w:rsid w:val="1C6D212E"/>
    <w:rsid w:val="1C7E5C21"/>
    <w:rsid w:val="1CC61F19"/>
    <w:rsid w:val="1D1B615D"/>
    <w:rsid w:val="1D465475"/>
    <w:rsid w:val="1DB05BC4"/>
    <w:rsid w:val="1E600869"/>
    <w:rsid w:val="1F0417A0"/>
    <w:rsid w:val="1F162724"/>
    <w:rsid w:val="201C7B31"/>
    <w:rsid w:val="20ED3C16"/>
    <w:rsid w:val="224700DF"/>
    <w:rsid w:val="228511A4"/>
    <w:rsid w:val="22F6774D"/>
    <w:rsid w:val="25C5310A"/>
    <w:rsid w:val="26353EFB"/>
    <w:rsid w:val="274F2AC8"/>
    <w:rsid w:val="27D473F0"/>
    <w:rsid w:val="28FA6455"/>
    <w:rsid w:val="29367CF7"/>
    <w:rsid w:val="29861651"/>
    <w:rsid w:val="2A1E1287"/>
    <w:rsid w:val="2A2F00B6"/>
    <w:rsid w:val="2BA737D9"/>
    <w:rsid w:val="2E1924DD"/>
    <w:rsid w:val="2EDE036E"/>
    <w:rsid w:val="2F7B1BB4"/>
    <w:rsid w:val="30EB3632"/>
    <w:rsid w:val="31D71BF0"/>
    <w:rsid w:val="3231721E"/>
    <w:rsid w:val="323740AF"/>
    <w:rsid w:val="32A268C0"/>
    <w:rsid w:val="33413EC8"/>
    <w:rsid w:val="33554436"/>
    <w:rsid w:val="34772ADD"/>
    <w:rsid w:val="355B2A13"/>
    <w:rsid w:val="355D5C9E"/>
    <w:rsid w:val="36D706BD"/>
    <w:rsid w:val="37584051"/>
    <w:rsid w:val="37E4758B"/>
    <w:rsid w:val="399D7F8B"/>
    <w:rsid w:val="3A316D41"/>
    <w:rsid w:val="3A7A6F1E"/>
    <w:rsid w:val="3B194DD7"/>
    <w:rsid w:val="3B64677C"/>
    <w:rsid w:val="3C6623F3"/>
    <w:rsid w:val="3E41042A"/>
    <w:rsid w:val="3E642B43"/>
    <w:rsid w:val="3E6F7B1E"/>
    <w:rsid w:val="3F101ECF"/>
    <w:rsid w:val="3F1D6D60"/>
    <w:rsid w:val="3F654DFF"/>
    <w:rsid w:val="3F95513E"/>
    <w:rsid w:val="3FEF7449"/>
    <w:rsid w:val="41BF1F81"/>
    <w:rsid w:val="41E65070"/>
    <w:rsid w:val="41ED1EFE"/>
    <w:rsid w:val="42A16F0F"/>
    <w:rsid w:val="434118E3"/>
    <w:rsid w:val="4364349F"/>
    <w:rsid w:val="43AD217F"/>
    <w:rsid w:val="458B72B5"/>
    <w:rsid w:val="46D0725A"/>
    <w:rsid w:val="4797223C"/>
    <w:rsid w:val="47AA5886"/>
    <w:rsid w:val="47C11F07"/>
    <w:rsid w:val="48D11615"/>
    <w:rsid w:val="49D330BE"/>
    <w:rsid w:val="4BD6102D"/>
    <w:rsid w:val="4CF72E0A"/>
    <w:rsid w:val="4D0D668F"/>
    <w:rsid w:val="4DFA74A7"/>
    <w:rsid w:val="4E007FCD"/>
    <w:rsid w:val="4E0A1174"/>
    <w:rsid w:val="4E3623E0"/>
    <w:rsid w:val="4F632809"/>
    <w:rsid w:val="4F9A7897"/>
    <w:rsid w:val="504015F8"/>
    <w:rsid w:val="507706BC"/>
    <w:rsid w:val="50D628CB"/>
    <w:rsid w:val="517427A5"/>
    <w:rsid w:val="541425E1"/>
    <w:rsid w:val="54CF56D2"/>
    <w:rsid w:val="553E5FE2"/>
    <w:rsid w:val="55740069"/>
    <w:rsid w:val="557C0E2E"/>
    <w:rsid w:val="55AE418F"/>
    <w:rsid w:val="566555B3"/>
    <w:rsid w:val="57AE5C45"/>
    <w:rsid w:val="5801790F"/>
    <w:rsid w:val="585D74AD"/>
    <w:rsid w:val="58D35C9F"/>
    <w:rsid w:val="5A717E39"/>
    <w:rsid w:val="5B757733"/>
    <w:rsid w:val="5D191106"/>
    <w:rsid w:val="5D683466"/>
    <w:rsid w:val="5E973485"/>
    <w:rsid w:val="5ECD0CBA"/>
    <w:rsid w:val="5EEE1974"/>
    <w:rsid w:val="60CA0DE4"/>
    <w:rsid w:val="61EE3878"/>
    <w:rsid w:val="622136D2"/>
    <w:rsid w:val="62821D6C"/>
    <w:rsid w:val="62F63414"/>
    <w:rsid w:val="6406501C"/>
    <w:rsid w:val="64826984"/>
    <w:rsid w:val="650F02D7"/>
    <w:rsid w:val="66123FF3"/>
    <w:rsid w:val="66950943"/>
    <w:rsid w:val="673E235F"/>
    <w:rsid w:val="673F0D45"/>
    <w:rsid w:val="69EC61F5"/>
    <w:rsid w:val="6AD211AF"/>
    <w:rsid w:val="6B0242A5"/>
    <w:rsid w:val="6D643BB1"/>
    <w:rsid w:val="6EFF1686"/>
    <w:rsid w:val="6F52577A"/>
    <w:rsid w:val="6FB47993"/>
    <w:rsid w:val="71B34C63"/>
    <w:rsid w:val="720C7DC2"/>
    <w:rsid w:val="728901F5"/>
    <w:rsid w:val="73830D52"/>
    <w:rsid w:val="743D357C"/>
    <w:rsid w:val="748266FC"/>
    <w:rsid w:val="74BB1228"/>
    <w:rsid w:val="75514582"/>
    <w:rsid w:val="759A4515"/>
    <w:rsid w:val="76092670"/>
    <w:rsid w:val="763F781D"/>
    <w:rsid w:val="767D593D"/>
    <w:rsid w:val="770A7D21"/>
    <w:rsid w:val="779B3DF1"/>
    <w:rsid w:val="782C3106"/>
    <w:rsid w:val="78867147"/>
    <w:rsid w:val="78A54192"/>
    <w:rsid w:val="78DC3E7D"/>
    <w:rsid w:val="78E41C51"/>
    <w:rsid w:val="7929784F"/>
    <w:rsid w:val="7B376CA9"/>
    <w:rsid w:val="7BEB0099"/>
    <w:rsid w:val="7BFE39DD"/>
    <w:rsid w:val="7C710949"/>
    <w:rsid w:val="7E4E7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5">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6">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7">
    <w:name w:val="Normal Indent"/>
    <w:basedOn w:val="1"/>
    <w:next w:val="8"/>
    <w:qFormat/>
    <w:uiPriority w:val="0"/>
    <w:pPr>
      <w:ind w:firstLine="420"/>
    </w:pPr>
    <w:rPr>
      <w:szCs w:val="20"/>
    </w:rPr>
  </w:style>
  <w:style w:type="paragraph" w:styleId="8">
    <w:name w:val="toc 2"/>
    <w:basedOn w:val="1"/>
    <w:next w:val="1"/>
    <w:qFormat/>
    <w:uiPriority w:val="0"/>
    <w:pPr>
      <w:tabs>
        <w:tab w:val="right" w:leader="dot" w:pos="10070"/>
      </w:tabs>
      <w:spacing w:line="480" w:lineRule="auto"/>
      <w:ind w:left="200" w:leftChars="200"/>
    </w:pPr>
  </w:style>
  <w:style w:type="paragraph" w:styleId="9">
    <w:name w:val="annotation text"/>
    <w:basedOn w:val="1"/>
    <w:link w:val="62"/>
    <w:qFormat/>
    <w:uiPriority w:val="0"/>
    <w:pPr>
      <w:jc w:val="left"/>
    </w:pPr>
  </w:style>
  <w:style w:type="paragraph" w:styleId="10">
    <w:name w:val="Body Text Indent"/>
    <w:basedOn w:val="1"/>
    <w:next w:val="1"/>
    <w:link w:val="33"/>
    <w:qFormat/>
    <w:uiPriority w:val="99"/>
    <w:pPr>
      <w:spacing w:after="120"/>
      <w:ind w:left="420" w:leftChars="200"/>
    </w:pPr>
  </w:style>
  <w:style w:type="paragraph" w:styleId="11">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3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9"/>
    <w:next w:val="9"/>
    <w:link w:val="63"/>
    <w:semiHidden/>
    <w:unhideWhenUsed/>
    <w:qFormat/>
    <w:uiPriority w:val="99"/>
    <w:rPr>
      <w:b/>
      <w:bCs/>
    </w:rPr>
  </w:style>
  <w:style w:type="paragraph" w:styleId="21">
    <w:name w:val="Body Text First Indent 2"/>
    <w:basedOn w:val="10"/>
    <w:qFormat/>
    <w:uiPriority w:val="99"/>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ascii="Tahoma" w:hAnsi="Tahoma" w:cs="Tahoma"/>
      <w:b/>
      <w:sz w:val="24"/>
    </w:rPr>
  </w:style>
  <w:style w:type="character" w:styleId="26">
    <w:name w:val="page number"/>
    <w:basedOn w:val="24"/>
    <w:qFormat/>
    <w:uiPriority w:val="0"/>
  </w:style>
  <w:style w:type="character" w:styleId="27">
    <w:name w:val="Hyperlink"/>
    <w:unhideWhenUsed/>
    <w:qFormat/>
    <w:uiPriority w:val="0"/>
    <w:rPr>
      <w:color w:val="0000FF"/>
      <w:u w:val="single"/>
    </w:rPr>
  </w:style>
  <w:style w:type="character" w:styleId="28">
    <w:name w:val="annotation reference"/>
    <w:basedOn w:val="24"/>
    <w:semiHidden/>
    <w:unhideWhenUsed/>
    <w:qFormat/>
    <w:uiPriority w:val="99"/>
    <w:rPr>
      <w:sz w:val="21"/>
      <w:szCs w:val="21"/>
    </w:rPr>
  </w:style>
  <w:style w:type="paragraph" w:customStyle="1" w:styleId="29">
    <w:name w:val="Normal Indent1"/>
    <w:basedOn w:val="1"/>
    <w:qFormat/>
    <w:uiPriority w:val="0"/>
    <w:pPr>
      <w:ind w:firstLine="420" w:firstLineChars="200"/>
    </w:pPr>
  </w:style>
  <w:style w:type="character" w:customStyle="1" w:styleId="30">
    <w:name w:val="页眉 Char"/>
    <w:basedOn w:val="24"/>
    <w:link w:val="16"/>
    <w:qFormat/>
    <w:uiPriority w:val="99"/>
    <w:rPr>
      <w:sz w:val="18"/>
      <w:szCs w:val="18"/>
    </w:rPr>
  </w:style>
  <w:style w:type="character" w:customStyle="1" w:styleId="31">
    <w:name w:val="页脚 Char"/>
    <w:basedOn w:val="24"/>
    <w:link w:val="15"/>
    <w:qFormat/>
    <w:uiPriority w:val="99"/>
    <w:rPr>
      <w:sz w:val="18"/>
      <w:szCs w:val="18"/>
    </w:rPr>
  </w:style>
  <w:style w:type="character" w:customStyle="1" w:styleId="32">
    <w:name w:val="正文文本 Char"/>
    <w:basedOn w:val="24"/>
    <w:link w:val="2"/>
    <w:semiHidden/>
    <w:qFormat/>
    <w:uiPriority w:val="99"/>
    <w:rPr>
      <w:rFonts w:ascii="Times New Roman" w:hAnsi="Times New Roman" w:eastAsia="宋体" w:cs="Times New Roman"/>
      <w:szCs w:val="24"/>
    </w:rPr>
  </w:style>
  <w:style w:type="character" w:customStyle="1" w:styleId="33">
    <w:name w:val="正文文本缩进 Char"/>
    <w:basedOn w:val="24"/>
    <w:link w:val="10"/>
    <w:qFormat/>
    <w:uiPriority w:val="99"/>
    <w:rPr>
      <w:rFonts w:ascii="Times New Roman" w:hAnsi="Times New Roman" w:eastAsia="宋体" w:cs="Times New Roman"/>
      <w:szCs w:val="24"/>
    </w:rPr>
  </w:style>
  <w:style w:type="character" w:customStyle="1" w:styleId="34">
    <w:name w:val="批注框文本 Char"/>
    <w:basedOn w:val="24"/>
    <w:link w:val="14"/>
    <w:semiHidden/>
    <w:qFormat/>
    <w:uiPriority w:val="99"/>
    <w:rPr>
      <w:rFonts w:ascii="Times New Roman" w:hAnsi="Times New Roman" w:eastAsia="宋体" w:cs="Times New Roman"/>
      <w:sz w:val="18"/>
      <w:szCs w:val="18"/>
    </w:rPr>
  </w:style>
  <w:style w:type="character" w:customStyle="1" w:styleId="35">
    <w:name w:val="无"/>
    <w:qFormat/>
    <w:uiPriority w:val="99"/>
  </w:style>
  <w:style w:type="paragraph" w:customStyle="1" w:styleId="36">
    <w:name w:val="表格文字"/>
    <w:basedOn w:val="1"/>
    <w:next w:val="2"/>
    <w:qFormat/>
    <w:uiPriority w:val="99"/>
    <w:pPr>
      <w:adjustRightInd w:val="0"/>
      <w:spacing w:line="420" w:lineRule="atLeast"/>
      <w:jc w:val="left"/>
      <w:textAlignment w:val="baseline"/>
    </w:pPr>
    <w:rPr>
      <w:kern w:val="0"/>
    </w:rPr>
  </w:style>
  <w:style w:type="paragraph" w:customStyle="1" w:styleId="37">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99"/>
    <w:rPr>
      <w:rFonts w:ascii="Times New Roman" w:hAnsi="Times New Roman" w:eastAsia="宋体" w:cs="Times New Roman"/>
      <w:sz w:val="21"/>
      <w:szCs w:val="22"/>
      <w:lang w:val="en-US" w:eastAsia="zh-CN" w:bidi="ar-SA"/>
    </w:rPr>
  </w:style>
  <w:style w:type="paragraph" w:customStyle="1" w:styleId="4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99"/>
    <w:pPr>
      <w:widowControl/>
      <w:jc w:val="left"/>
    </w:pPr>
    <w:rPr>
      <w:rFonts w:ascii="宋体" w:hAnsi="Courier New"/>
      <w:szCs w:val="21"/>
    </w:rPr>
  </w:style>
  <w:style w:type="paragraph" w:customStyle="1" w:styleId="46">
    <w:name w:val="纯文本_0_1"/>
    <w:basedOn w:val="1"/>
    <w:qFormat/>
    <w:uiPriority w:val="99"/>
    <w:pPr>
      <w:widowControl/>
      <w:jc w:val="left"/>
    </w:pPr>
    <w:rPr>
      <w:rFonts w:ascii="宋体" w:hAnsi="Courier New"/>
      <w:szCs w:val="21"/>
    </w:rPr>
  </w:style>
  <w:style w:type="paragraph" w:customStyle="1" w:styleId="4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qFormat/>
    <w:uiPriority w:val="0"/>
    <w:pPr>
      <w:widowControl/>
    </w:pPr>
    <w:rPr>
      <w:rFonts w:ascii="Calibri" w:hAnsi="Calibri" w:cs="宋体"/>
      <w:kern w:val="0"/>
      <w:szCs w:val="21"/>
    </w:rPr>
  </w:style>
  <w:style w:type="paragraph" w:styleId="53">
    <w:name w:val="List Paragraph"/>
    <w:basedOn w:val="1"/>
    <w:qFormat/>
    <w:uiPriority w:val="0"/>
    <w:pPr>
      <w:ind w:firstLine="420" w:firstLineChars="200"/>
    </w:pPr>
  </w:style>
  <w:style w:type="paragraph" w:customStyle="1" w:styleId="54">
    <w:name w:val="正文（首行缩进2字符）"/>
    <w:basedOn w:val="1"/>
    <w:qFormat/>
    <w:uiPriority w:val="0"/>
    <w:pPr>
      <w:ind w:firstLine="480" w:firstLineChars="200"/>
    </w:pPr>
    <w:rPr>
      <w:sz w:val="24"/>
      <w:szCs w:val="20"/>
    </w:rPr>
  </w:style>
  <w:style w:type="paragraph" w:customStyle="1" w:styleId="55">
    <w:name w:val="ssfa 正文"/>
    <w:basedOn w:val="1"/>
    <w:qFormat/>
    <w:uiPriority w:val="0"/>
    <w:pPr>
      <w:spacing w:line="360" w:lineRule="auto"/>
      <w:ind w:firstLine="200" w:firstLineChars="200"/>
    </w:pPr>
    <w:rPr>
      <w:kern w:val="0"/>
      <w:sz w:val="24"/>
      <w:szCs w:val="28"/>
      <w:lang w:val="zh-CN"/>
    </w:rPr>
  </w:style>
  <w:style w:type="paragraph" w:customStyle="1" w:styleId="56">
    <w:name w:val="[Normal]"/>
    <w:qFormat/>
    <w:uiPriority w:val="0"/>
    <w:rPr>
      <w:rFonts w:ascii="宋体" w:hAnsi="宋体" w:eastAsia="宋体" w:cs="Times New Roman"/>
      <w:sz w:val="24"/>
      <w:szCs w:val="22"/>
      <w:lang w:val="zh-CN" w:eastAsia="zh-CN" w:bidi="ar-SA"/>
    </w:rPr>
  </w:style>
  <w:style w:type="character" w:customStyle="1" w:styleId="57">
    <w:name w:val="NormalCharacter"/>
    <w:semiHidden/>
    <w:qFormat/>
    <w:uiPriority w:val="0"/>
  </w:style>
  <w:style w:type="paragraph" w:customStyle="1" w:styleId="58">
    <w:name w:val="Body Text First Indent Char Char"/>
    <w:basedOn w:val="1"/>
    <w:qFormat/>
    <w:uiPriority w:val="0"/>
    <w:pPr>
      <w:spacing w:after="120"/>
      <w:ind w:firstLine="100" w:firstLineChars="100"/>
    </w:pPr>
    <w:rPr>
      <w:rFonts w:cs="宋体"/>
      <w:szCs w:val="21"/>
    </w:rPr>
  </w:style>
  <w:style w:type="paragraph" w:customStyle="1" w:styleId="59">
    <w:name w:val="列出段落1"/>
    <w:basedOn w:val="1"/>
    <w:qFormat/>
    <w:uiPriority w:val="34"/>
    <w:pPr>
      <w:ind w:firstLine="420" w:firstLineChars="200"/>
    </w:pPr>
  </w:style>
  <w:style w:type="paragraph" w:customStyle="1" w:styleId="60">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qFormat/>
    <w:uiPriority w:val="1"/>
    <w:pPr>
      <w:jc w:val="left"/>
    </w:pPr>
    <w:rPr>
      <w:kern w:val="0"/>
      <w:sz w:val="22"/>
      <w:lang w:eastAsia="en-US"/>
    </w:rPr>
  </w:style>
  <w:style w:type="character" w:customStyle="1" w:styleId="62">
    <w:name w:val="批注文字 Char"/>
    <w:basedOn w:val="24"/>
    <w:link w:val="9"/>
    <w:qFormat/>
    <w:uiPriority w:val="0"/>
    <w:rPr>
      <w:kern w:val="2"/>
      <w:sz w:val="21"/>
      <w:szCs w:val="24"/>
    </w:rPr>
  </w:style>
  <w:style w:type="character" w:customStyle="1" w:styleId="63">
    <w:name w:val="批注主题 Char"/>
    <w:basedOn w:val="62"/>
    <w:link w:val="20"/>
    <w:semiHidden/>
    <w:qFormat/>
    <w:uiPriority w:val="99"/>
    <w:rPr>
      <w:b/>
      <w:bCs/>
      <w:kern w:val="2"/>
      <w:sz w:val="21"/>
      <w:szCs w:val="24"/>
    </w:rPr>
  </w:style>
  <w:style w:type="paragraph" w:customStyle="1" w:styleId="64">
    <w:name w:val="正文首行缩进1"/>
    <w:basedOn w:val="2"/>
    <w:qFormat/>
    <w:uiPriority w:val="0"/>
    <w:pPr>
      <w:ind w:firstLine="420" w:firstLineChars="100"/>
    </w:pPr>
  </w:style>
  <w:style w:type="paragraph" w:customStyle="1" w:styleId="65">
    <w:name w:val="纯文本1"/>
    <w:basedOn w:val="51"/>
    <w:qFormat/>
    <w:uiPriority w:val="0"/>
    <w:pPr>
      <w:widowControl/>
      <w:jc w:val="left"/>
    </w:pPr>
    <w:rPr>
      <w:rFonts w:hAnsi="Courier New"/>
    </w:rPr>
  </w:style>
  <w:style w:type="paragraph" w:customStyle="1" w:styleId="66">
    <w:name w:val="正文2"/>
    <w:basedOn w:val="1"/>
    <w:qFormat/>
    <w:uiPriority w:val="0"/>
    <w:pPr>
      <w:spacing w:before="156" w:line="360" w:lineRule="auto"/>
      <w:ind w:firstLine="510" w:firstLineChars="200"/>
    </w:pPr>
    <w:rPr>
      <w:sz w:val="24"/>
      <w:szCs w:val="20"/>
    </w:rPr>
  </w:style>
  <w:style w:type="paragraph" w:customStyle="1" w:styleId="67">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AE407-2288-4587-9AEB-8C59A65BC2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7130</Words>
  <Characters>40644</Characters>
  <Lines>338</Lines>
  <Paragraphs>95</Paragraphs>
  <TotalTime>1</TotalTime>
  <ScaleCrop>false</ScaleCrop>
  <LinksUpToDate>false</LinksUpToDate>
  <CharactersWithSpaces>47679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2021-11-05T01:39:00Z</dcterms:created>
  <dc:creator>苏彬</dc:creator>
  <cp:lastModifiedBy>黄桃蛋挞</cp:lastModifiedBy>
  <cp:lastPrinted>2020-11-27T08:28:00Z</cp:lastPrinted>
  <dcterms:modified xsi:type="dcterms:W3CDTF">2021-11-17T07:55:00Z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C2CC86E3CE2D452C836D1FCF302C64CF</vt:lpwstr>
  </property>
</Properties>
</file>