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公开招标需求</w:t>
      </w:r>
    </w:p>
    <w:p>
      <w:pPr>
        <w:tabs>
          <w:tab w:val="left" w:pos="8280"/>
        </w:tabs>
        <w:autoSpaceDE w:val="0"/>
        <w:autoSpaceDN w:val="0"/>
        <w:adjustRightInd w:val="0"/>
        <w:spacing w:line="360" w:lineRule="auto"/>
        <w:ind w:right="25"/>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本次招标共</w:t>
      </w:r>
      <w:r>
        <w:rPr>
          <w:rFonts w:hint="eastAsia" w:asciiTheme="minorEastAsia" w:hAnsiTheme="minorEastAsia" w:eastAsiaTheme="minorEastAsia"/>
          <w:color w:val="000000" w:themeColor="text1"/>
          <w:szCs w:val="21"/>
          <w:highlight w:val="none"/>
          <w:u w:val="single"/>
          <w14:textFill>
            <w14:solidFill>
              <w14:schemeClr w14:val="tx1"/>
            </w14:solidFill>
          </w14:textFill>
        </w:rPr>
        <w:t xml:space="preserve"> 4 </w:t>
      </w:r>
      <w:r>
        <w:rPr>
          <w:rFonts w:hint="eastAsia" w:asciiTheme="minorEastAsia" w:hAnsiTheme="minorEastAsia" w:eastAsiaTheme="minorEastAsia"/>
          <w:color w:val="000000" w:themeColor="text1"/>
          <w:szCs w:val="21"/>
          <w:highlight w:val="none"/>
          <w14:textFill>
            <w14:solidFill>
              <w14:schemeClr w14:val="tx1"/>
            </w14:solidFill>
          </w14:textFill>
        </w:rPr>
        <w:t>个标段，具体内容如下表：</w:t>
      </w:r>
    </w:p>
    <w:tbl>
      <w:tblPr>
        <w:tblStyle w:val="5"/>
        <w:tblpPr w:leftFromText="180" w:rightFromText="180" w:vertAnchor="text" w:horzAnchor="page" w:tblpX="1772" w:tblpY="193"/>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333"/>
        <w:gridCol w:w="1684"/>
        <w:gridCol w:w="450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标段</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养护区域</w:t>
            </w:r>
          </w:p>
        </w:tc>
        <w:tc>
          <w:tcPr>
            <w:tcW w:w="1684"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采购预算</w:t>
            </w:r>
          </w:p>
          <w:p>
            <w:pPr>
              <w:jc w:val="cente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（两年）</w:t>
            </w:r>
          </w:p>
        </w:tc>
        <w:tc>
          <w:tcPr>
            <w:tcW w:w="45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服务期限</w:t>
            </w: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标段一</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区块一</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219.354万元</w:t>
            </w:r>
          </w:p>
        </w:tc>
        <w:tc>
          <w:tcPr>
            <w:tcW w:w="4507" w:type="dxa"/>
            <w:vMerge w:val="restart"/>
            <w:tcBorders>
              <w:top w:val="single" w:color="auto" w:sz="4" w:space="0"/>
              <w:left w:val="single" w:color="auto" w:sz="4" w:space="0"/>
              <w:right w:val="single" w:color="auto" w:sz="4" w:space="0"/>
            </w:tcBorders>
            <w:vAlign w:val="center"/>
          </w:tcPr>
          <w:p>
            <w:pPr>
              <w:spacing w:line="440" w:lineRule="exact"/>
              <w:rPr>
                <w:rFonts w:ascii="宋体" w:hAnsi="宋体" w:cs="Arial"/>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服务期限：两年，采用1+1方式。在第一年合同期满前一个月，业主方将根据中标方在上一阶段合同履约、考核情况</w:t>
            </w:r>
            <w:r>
              <w:rPr>
                <w:rFonts w:hint="eastAsia" w:ascii="宋体" w:hAnsi="宋体"/>
                <w:b/>
                <w:color w:val="000000" w:themeColor="text1"/>
                <w:szCs w:val="21"/>
                <w:highlight w:val="none"/>
                <w:lang w:eastAsia="zh-CN"/>
                <w14:textFill>
                  <w14:solidFill>
                    <w14:schemeClr w14:val="tx1"/>
                  </w14:solidFill>
                </w14:textFill>
              </w:rPr>
              <w:t>、项目绩效评价</w:t>
            </w:r>
            <w:r>
              <w:rPr>
                <w:rFonts w:hint="eastAsia" w:ascii="宋体" w:hAnsi="宋体"/>
                <w:b/>
                <w:color w:val="000000" w:themeColor="text1"/>
                <w:szCs w:val="21"/>
                <w:highlight w:val="none"/>
                <w14:textFill>
                  <w14:solidFill>
                    <w14:schemeClr w14:val="tx1"/>
                  </w14:solidFill>
                </w14:textFill>
              </w:rPr>
              <w:t>及财政资金审批情况决定是否续签。如中标方达到业主方各项考核标准，经双方协商，则合同承包期限顺延续签1年，管理服务费按原合同价不变。第2年按此规定延续，否则业主方将另行选择其他承包方。</w:t>
            </w:r>
          </w:p>
        </w:tc>
        <w:tc>
          <w:tcPr>
            <w:tcW w:w="1226" w:type="dxa"/>
            <w:vMerge w:val="restart"/>
            <w:tcBorders>
              <w:top w:val="single" w:color="auto" w:sz="4" w:space="0"/>
              <w:left w:val="single" w:color="auto" w:sz="4" w:space="0"/>
              <w:right w:val="single" w:color="auto" w:sz="4" w:space="0"/>
            </w:tcBorders>
            <w:vAlign w:val="center"/>
          </w:tcPr>
          <w:p>
            <w:pPr>
              <w:spacing w:line="44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详见</w:t>
            </w:r>
            <w:r>
              <w:rPr>
                <w:rFonts w:hint="eastAsia" w:ascii="宋体" w:hAnsi="宋体" w:cs="Arial"/>
                <w:color w:val="000000" w:themeColor="text1"/>
                <w:szCs w:val="21"/>
                <w:highlight w:val="none"/>
                <w:lang w:val="en-US" w:eastAsia="zh-CN"/>
                <w14:textFill>
                  <w14:solidFill>
                    <w14:schemeClr w14:val="tx1"/>
                  </w14:solidFill>
                </w14:textFill>
              </w:rPr>
              <w:t>公开招标需求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标段二</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区块二</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lang w:eastAsia="zh-CN"/>
                <w14:textFill>
                  <w14:solidFill>
                    <w14:schemeClr w14:val="tx1"/>
                  </w14:solidFill>
                </w14:textFill>
              </w:rPr>
              <w:t>241.602</w:t>
            </w:r>
            <w:r>
              <w:rPr>
                <w:rFonts w:hint="eastAsia" w:ascii="宋体"/>
                <w:color w:val="000000" w:themeColor="text1"/>
                <w:szCs w:val="21"/>
                <w:highlight w:val="none"/>
                <w14:textFill>
                  <w14:solidFill>
                    <w14:schemeClr w14:val="tx1"/>
                  </w14:solidFill>
                </w14:textFill>
              </w:rPr>
              <w:t>万元</w:t>
            </w:r>
          </w:p>
        </w:tc>
        <w:tc>
          <w:tcPr>
            <w:tcW w:w="4507" w:type="dxa"/>
            <w:vMerge w:val="continue"/>
            <w:tcBorders>
              <w:left w:val="single" w:color="auto" w:sz="4" w:space="0"/>
              <w:right w:val="single" w:color="auto" w:sz="4"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p>
        </w:tc>
        <w:tc>
          <w:tcPr>
            <w:tcW w:w="1226" w:type="dxa"/>
            <w:vMerge w:val="continue"/>
            <w:tcBorders>
              <w:left w:val="single" w:color="auto" w:sz="4" w:space="0"/>
              <w:right w:val="single" w:color="auto" w:sz="4" w:space="0"/>
            </w:tcBorders>
            <w:vAlign w:val="center"/>
          </w:tcPr>
          <w:p>
            <w:pPr>
              <w:spacing w:line="440" w:lineRule="exact"/>
              <w:rPr>
                <w:rFonts w:ascii="宋体" w:hAnsi="宋体"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标段三</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区块三</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277.2324万元</w:t>
            </w:r>
          </w:p>
        </w:tc>
        <w:tc>
          <w:tcPr>
            <w:tcW w:w="4507" w:type="dxa"/>
            <w:vMerge w:val="continue"/>
            <w:tcBorders>
              <w:left w:val="single" w:color="auto" w:sz="4" w:space="0"/>
              <w:right w:val="single" w:color="auto" w:sz="4"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p>
        </w:tc>
        <w:tc>
          <w:tcPr>
            <w:tcW w:w="1226" w:type="dxa"/>
            <w:vMerge w:val="continue"/>
            <w:tcBorders>
              <w:left w:val="single" w:color="auto" w:sz="4" w:space="0"/>
              <w:right w:val="single" w:color="auto" w:sz="4" w:space="0"/>
            </w:tcBorders>
            <w:vAlign w:val="center"/>
          </w:tcPr>
          <w:p>
            <w:pPr>
              <w:spacing w:line="440" w:lineRule="exact"/>
              <w:rPr>
                <w:rFonts w:ascii="宋体" w:hAnsi="宋体"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标段四</w:t>
            </w:r>
          </w:p>
        </w:tc>
        <w:tc>
          <w:tcPr>
            <w:tcW w:w="13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区块四</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257.8116万元</w:t>
            </w:r>
          </w:p>
        </w:tc>
        <w:tc>
          <w:tcPr>
            <w:tcW w:w="4507" w:type="dxa"/>
            <w:vMerge w:val="continue"/>
            <w:tcBorders>
              <w:left w:val="single" w:color="auto" w:sz="4" w:space="0"/>
              <w:bottom w:val="single" w:color="auto" w:sz="4" w:space="0"/>
              <w:right w:val="single" w:color="auto" w:sz="4" w:space="0"/>
            </w:tcBorders>
            <w:vAlign w:val="center"/>
          </w:tcPr>
          <w:p>
            <w:pPr>
              <w:spacing w:line="440" w:lineRule="exact"/>
              <w:rPr>
                <w:rFonts w:ascii="宋体" w:hAnsi="宋体" w:cs="宋体"/>
                <w:color w:val="000000" w:themeColor="text1"/>
                <w:szCs w:val="21"/>
                <w:highlight w:val="none"/>
                <w14:textFill>
                  <w14:solidFill>
                    <w14:schemeClr w14:val="tx1"/>
                  </w14:solidFill>
                </w14:textFill>
              </w:rPr>
            </w:pPr>
          </w:p>
        </w:tc>
        <w:tc>
          <w:tcPr>
            <w:tcW w:w="1226" w:type="dxa"/>
            <w:vMerge w:val="continue"/>
            <w:tcBorders>
              <w:left w:val="single" w:color="auto" w:sz="4" w:space="0"/>
              <w:bottom w:val="single" w:color="auto" w:sz="4" w:space="0"/>
              <w:right w:val="single" w:color="auto" w:sz="4" w:space="0"/>
            </w:tcBorders>
            <w:vAlign w:val="center"/>
          </w:tcPr>
          <w:p>
            <w:pPr>
              <w:spacing w:line="440" w:lineRule="exact"/>
              <w:rPr>
                <w:rFonts w:ascii="宋体" w:hAnsi="宋体" w:cs="Arial"/>
                <w:color w:val="000000" w:themeColor="text1"/>
                <w:szCs w:val="21"/>
                <w:highlight w:val="none"/>
                <w14:textFill>
                  <w14:solidFill>
                    <w14:schemeClr w14:val="tx1"/>
                  </w14:solidFill>
                </w14:textFill>
              </w:rPr>
            </w:pPr>
          </w:p>
        </w:tc>
      </w:tr>
    </w:tbl>
    <w:p>
      <w:pPr>
        <w:tabs>
          <w:tab w:val="left" w:pos="8280"/>
        </w:tabs>
        <w:autoSpaceDE w:val="0"/>
        <w:autoSpaceDN w:val="0"/>
        <w:adjustRightInd w:val="0"/>
        <w:spacing w:line="360" w:lineRule="auto"/>
        <w:ind w:right="25"/>
        <w:rPr>
          <w:rFonts w:asciiTheme="minorEastAsia" w:hAnsiTheme="minorEastAsia" w:eastAsiaTheme="minorEastAsia"/>
          <w:b/>
          <w:color w:val="000000" w:themeColor="text1"/>
          <w:sz w:val="24"/>
          <w:highlight w:val="none"/>
          <w14:textFill>
            <w14:solidFill>
              <w14:schemeClr w14:val="tx1"/>
            </w14:solidFill>
          </w14:textFill>
        </w:rPr>
      </w:pP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008"/>
        <w:gridCol w:w="131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91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养护名称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2600" w:type="dxa"/>
            <w:vAlign w:val="center"/>
          </w:tcPr>
          <w:p>
            <w:pPr>
              <w:tabs>
                <w:tab w:val="left" w:pos="8280"/>
              </w:tabs>
              <w:autoSpaceDE w:val="0"/>
              <w:autoSpaceDN w:val="0"/>
              <w:adjustRightInd w:val="0"/>
              <w:ind w:right="25" w:firstLine="24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行道树</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9684</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珍贵观赏性苗木</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88</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3000元/棵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绿地</w:t>
            </w:r>
          </w:p>
        </w:tc>
        <w:tc>
          <w:tcPr>
            <w:tcW w:w="1008"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689160</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平方米</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6元/平方米</w:t>
            </w:r>
          </w:p>
        </w:tc>
      </w:tr>
    </w:tbl>
    <w:p>
      <w:pPr>
        <w:spacing w:line="360" w:lineRule="auto"/>
        <w:rPr>
          <w:rFonts w:ascii="宋体" w:hAnsi="宋体" w:cs="宋体"/>
          <w:b/>
          <w:bCs/>
          <w:color w:val="000000" w:themeColor="text1"/>
          <w:szCs w:val="21"/>
          <w:highlight w:val="none"/>
          <w14:textFill>
            <w14:solidFill>
              <w14:schemeClr w14:val="tx1"/>
            </w14:solidFill>
          </w14:textFill>
        </w:rPr>
      </w:pPr>
      <w:bookmarkStart w:id="0" w:name="_Toc98821986"/>
      <w:r>
        <w:rPr>
          <w:rFonts w:hint="eastAsia" w:ascii="宋体" w:hAnsi="宋体" w:cs="宋体"/>
          <w:b/>
          <w:bCs/>
          <w:color w:val="000000" w:themeColor="text1"/>
          <w:szCs w:val="21"/>
          <w:highlight w:val="none"/>
          <w14:textFill>
            <w14:solidFill>
              <w14:schemeClr w14:val="tx1"/>
            </w14:solidFill>
          </w14:textFill>
        </w:rPr>
        <w:t>标段一：</w:t>
      </w:r>
    </w:p>
    <w:tbl>
      <w:tblPr>
        <w:tblStyle w:val="5"/>
        <w:tblpPr w:leftFromText="180" w:rightFromText="180" w:vertAnchor="text" w:horzAnchor="page" w:tblpX="1747" w:tblpY="250"/>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008"/>
        <w:gridCol w:w="131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91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养护名称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2600" w:type="dxa"/>
            <w:vAlign w:val="center"/>
          </w:tcPr>
          <w:p>
            <w:pPr>
              <w:tabs>
                <w:tab w:val="left" w:pos="8280"/>
              </w:tabs>
              <w:autoSpaceDE w:val="0"/>
              <w:autoSpaceDN w:val="0"/>
              <w:adjustRightInd w:val="0"/>
              <w:ind w:right="25" w:firstLine="24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行道树</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1267</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珍贵观赏性苗木</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0</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3000元/棵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绿地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170125</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平方米</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6元/平方米</w:t>
            </w:r>
          </w:p>
        </w:tc>
      </w:tr>
    </w:tbl>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标段二：</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008"/>
        <w:gridCol w:w="131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91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养护名称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2600" w:type="dxa"/>
            <w:vAlign w:val="center"/>
          </w:tcPr>
          <w:p>
            <w:pPr>
              <w:tabs>
                <w:tab w:val="left" w:pos="8280"/>
              </w:tabs>
              <w:autoSpaceDE w:val="0"/>
              <w:autoSpaceDN w:val="0"/>
              <w:adjustRightInd w:val="0"/>
              <w:ind w:right="25" w:firstLine="24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行道树</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1643</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珍贵观赏性苗木</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68</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3000元/棵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绿地</w:t>
            </w:r>
          </w:p>
        </w:tc>
        <w:tc>
          <w:tcPr>
            <w:tcW w:w="1008" w:type="dxa"/>
            <w:vAlign w:val="center"/>
          </w:tcPr>
          <w:p>
            <w:pPr>
              <w:tabs>
                <w:tab w:val="left" w:pos="8280"/>
              </w:tabs>
              <w:autoSpaceDE w:val="0"/>
              <w:autoSpaceDN w:val="0"/>
              <w:adjustRightInd w:val="0"/>
              <w:ind w:right="25"/>
              <w:jc w:val="cente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150905</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平方米</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6元/平方米</w:t>
            </w:r>
          </w:p>
        </w:tc>
      </w:tr>
    </w:tbl>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标段三：</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008"/>
        <w:gridCol w:w="131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91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养护名称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2600" w:type="dxa"/>
            <w:vAlign w:val="center"/>
          </w:tcPr>
          <w:p>
            <w:pPr>
              <w:tabs>
                <w:tab w:val="left" w:pos="8280"/>
              </w:tabs>
              <w:autoSpaceDE w:val="0"/>
              <w:autoSpaceDN w:val="0"/>
              <w:adjustRightInd w:val="0"/>
              <w:ind w:right="25" w:firstLine="24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行道树</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4113</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珍贵观赏性苗木</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3000元/棵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绿地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181397</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平方米</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6元/平方米</w:t>
            </w:r>
          </w:p>
        </w:tc>
      </w:tr>
    </w:tbl>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标段四：</w:t>
      </w:r>
    </w:p>
    <w:tbl>
      <w:tblPr>
        <w:tblStyle w:val="5"/>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6"/>
        <w:gridCol w:w="1008"/>
        <w:gridCol w:w="1314"/>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91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养护名称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数量</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单位</w:t>
            </w:r>
          </w:p>
        </w:tc>
        <w:tc>
          <w:tcPr>
            <w:tcW w:w="2600" w:type="dxa"/>
            <w:vAlign w:val="center"/>
          </w:tcPr>
          <w:p>
            <w:pPr>
              <w:tabs>
                <w:tab w:val="left" w:pos="8280"/>
              </w:tabs>
              <w:autoSpaceDE w:val="0"/>
              <w:autoSpaceDN w:val="0"/>
              <w:adjustRightInd w:val="0"/>
              <w:ind w:right="25" w:firstLine="240"/>
              <w:jc w:val="center"/>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行道树</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2661</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珍贵观赏性苗木</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棵</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3000元/棵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916"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bCs/>
                <w:color w:val="000000" w:themeColor="text1"/>
                <w:kern w:val="0"/>
                <w:sz w:val="22"/>
                <w:szCs w:val="22"/>
                <w:highlight w:val="none"/>
                <w:lang w:bidi="ar"/>
                <w14:textFill>
                  <w14:solidFill>
                    <w14:schemeClr w14:val="tx1"/>
                  </w14:solidFill>
                </w14:textFill>
              </w:rPr>
              <w:t>绿地</w:t>
            </w:r>
          </w:p>
        </w:tc>
        <w:tc>
          <w:tcPr>
            <w:tcW w:w="1008"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186733</w:t>
            </w:r>
          </w:p>
        </w:tc>
        <w:tc>
          <w:tcPr>
            <w:tcW w:w="1314"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平方米</w:t>
            </w:r>
          </w:p>
        </w:tc>
        <w:tc>
          <w:tcPr>
            <w:tcW w:w="2600" w:type="dxa"/>
            <w:vAlign w:val="center"/>
          </w:tcPr>
          <w:p>
            <w:pPr>
              <w:tabs>
                <w:tab w:val="left" w:pos="8280"/>
              </w:tabs>
              <w:autoSpaceDE w:val="0"/>
              <w:autoSpaceDN w:val="0"/>
              <w:adjustRightInd w:val="0"/>
              <w:ind w:right="25"/>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6元/平方米</w:t>
            </w:r>
          </w:p>
        </w:tc>
      </w:tr>
    </w:tbl>
    <w:p>
      <w:pPr>
        <w:rPr>
          <w:color w:val="000000" w:themeColor="text1"/>
          <w:highlight w:val="none"/>
          <w14:textFill>
            <w14:solidFill>
              <w14:schemeClr w14:val="tx1"/>
            </w14:solidFill>
          </w14:textFill>
        </w:rPr>
      </w:pPr>
    </w:p>
    <w:p>
      <w:pPr>
        <w:numPr>
          <w:ilvl w:val="0"/>
          <w:numId w:val="1"/>
        </w:num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招标范围</w:t>
      </w:r>
    </w:p>
    <w:p>
      <w:pPr>
        <w:spacing w:line="360" w:lineRule="auto"/>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本项目绿地养护管理总养护面积约</w:t>
      </w:r>
      <w:r>
        <w:rPr>
          <w:rFonts w:hint="eastAsia" w:ascii="宋体" w:hAnsi="宋体" w:cs="宋体"/>
          <w:color w:val="000000" w:themeColor="text1"/>
          <w:szCs w:val="21"/>
          <w:highlight w:val="none"/>
          <w:lang w:eastAsia="zh-CN"/>
          <w14:textFill>
            <w14:solidFill>
              <w14:schemeClr w14:val="tx1"/>
            </w14:solidFill>
          </w14:textFill>
        </w:rPr>
        <w:t>68.9</w:t>
      </w:r>
      <w:r>
        <w:rPr>
          <w:rFonts w:hint="eastAsia" w:ascii="宋体" w:hAnsi="宋体" w:cs="宋体"/>
          <w:color w:val="000000" w:themeColor="text1"/>
          <w:szCs w:val="21"/>
          <w:highlight w:val="none"/>
          <w14:textFill>
            <w14:solidFill>
              <w14:schemeClr w14:val="tx1"/>
            </w14:solidFill>
          </w14:textFill>
        </w:rPr>
        <w:t>万平方米，划分成区块一、区块二、区块三、区块四共四个标段，包括行道树9684棵、观赏性苗木88棵，绿地</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689160</w:t>
      </w:r>
      <w:r>
        <w:rPr>
          <w:rFonts w:hint="eastAsia" w:ascii="宋体" w:hAnsi="宋体" w:cs="宋体"/>
          <w:color w:val="000000" w:themeColor="text1"/>
          <w:szCs w:val="21"/>
          <w:highlight w:val="none"/>
          <w14:textFill>
            <w14:solidFill>
              <w14:schemeClr w14:val="tx1"/>
            </w14:solidFill>
          </w14:textFill>
        </w:rPr>
        <w:t>平方米，具体各个标段组成如下：</w:t>
      </w:r>
    </w:p>
    <w:p>
      <w:pPr>
        <w:spacing w:line="360" w:lineRule="auto"/>
        <w:rPr>
          <w:rFonts w:ascii="宋体" w:hAnsi="宋体" w:cs="宋体"/>
          <w:color w:val="000000" w:themeColor="text1"/>
          <w:szCs w:val="21"/>
          <w:highlight w:val="none"/>
          <w14:textFill>
            <w14:solidFill>
              <w14:schemeClr w14:val="tx1"/>
            </w14:solidFill>
          </w14:textFill>
        </w:rPr>
      </w:pPr>
    </w:p>
    <w:p>
      <w:pPr>
        <w:spacing w:line="360" w:lineRule="auto"/>
        <w:rPr>
          <w:rFonts w:eastAsiaTheme="minorEastAsia"/>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区块一：</w:t>
      </w:r>
      <w:r>
        <w:rPr>
          <w:rFonts w:hint="eastAsia"/>
          <w:color w:val="000000" w:themeColor="text1"/>
          <w:highlight w:val="none"/>
          <w14:textFill>
            <w14:solidFill>
              <w14:schemeClr w14:val="tx1"/>
            </w14:solidFill>
          </w14:textFill>
        </w:rPr>
        <w:t>包括</w:t>
      </w:r>
      <w:r>
        <w:rPr>
          <w:rFonts w:eastAsiaTheme="minorEastAsia"/>
          <w:color w:val="000000" w:themeColor="text1"/>
          <w:highlight w:val="none"/>
          <w14:textFill>
            <w14:solidFill>
              <w14:schemeClr w14:val="tx1"/>
            </w14:solidFill>
          </w14:textFill>
        </w:rPr>
        <w:t>路桥大道</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大环线</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电力大厦门口</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陨雨公园</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麦当劳西侧绿地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赵王村</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松塘交通岛</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浃里陈桥头</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数码城对面绿地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南官大道绿化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嘉绿苑南边赵王泾西边绿化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和平公园</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75省道</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河滨公园</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潞河路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永安广场</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永安广场东侧道路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商海街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永宁河河道两侧绿化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油漆街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马铺路</w:t>
      </w:r>
      <w:r>
        <w:rPr>
          <w:rFonts w:hint="eastAsia"/>
          <w:color w:val="000000" w:themeColor="text1"/>
          <w:highlight w:val="none"/>
          <w14:textFill>
            <w14:solidFill>
              <w14:schemeClr w14:val="tx1"/>
            </w14:solidFill>
          </w14:textFill>
        </w:rPr>
        <w:t>这些区块的绿化养护（行道树、珍贵观赏性苗木、绿地），其中行道树1267棵，绿地面积170125平方米。</w:t>
      </w:r>
    </w:p>
    <w:tbl>
      <w:tblPr>
        <w:tblStyle w:val="5"/>
        <w:tblW w:w="9820" w:type="dxa"/>
        <w:tblInd w:w="-503" w:type="dxa"/>
        <w:tblLayout w:type="fixed"/>
        <w:tblCellMar>
          <w:top w:w="0" w:type="dxa"/>
          <w:left w:w="0" w:type="dxa"/>
          <w:bottom w:w="0" w:type="dxa"/>
          <w:right w:w="0" w:type="dxa"/>
        </w:tblCellMar>
      </w:tblPr>
      <w:tblGrid>
        <w:gridCol w:w="1015"/>
        <w:gridCol w:w="1625"/>
        <w:gridCol w:w="1320"/>
        <w:gridCol w:w="1005"/>
        <w:gridCol w:w="795"/>
        <w:gridCol w:w="916"/>
        <w:gridCol w:w="944"/>
        <w:gridCol w:w="2200"/>
      </w:tblGrid>
      <w:tr>
        <w:tblPrEx>
          <w:tblCellMar>
            <w:top w:w="0" w:type="dxa"/>
            <w:left w:w="0" w:type="dxa"/>
            <w:bottom w:w="0" w:type="dxa"/>
            <w:right w:w="0" w:type="dxa"/>
          </w:tblCellMar>
        </w:tblPrEx>
        <w:trPr>
          <w:trHeight w:val="590" w:hRule="atLeast"/>
        </w:trPr>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序号</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绿地/道路               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起止/位置</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行道树</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珍贵观赏性苗木（棵）</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绿地面积</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365" w:hRule="atLeast"/>
        </w:trPr>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胸径  （CM）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数量（棵）</w:t>
            </w: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810" w:hRule="atLeast"/>
        </w:trPr>
        <w:tc>
          <w:tcPr>
            <w:tcW w:w="10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路桥大道</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松塘交通岛-电力大厦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13107</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香樟、杜英、红叶石楠等</w:t>
            </w:r>
          </w:p>
        </w:tc>
      </w:tr>
      <w:tr>
        <w:tblPrEx>
          <w:tblCellMar>
            <w:top w:w="0" w:type="dxa"/>
            <w:left w:w="0" w:type="dxa"/>
            <w:bottom w:w="0" w:type="dxa"/>
            <w:right w:w="0" w:type="dxa"/>
          </w:tblCellMar>
        </w:tblPrEx>
        <w:trPr>
          <w:trHeight w:val="810" w:hRule="atLeast"/>
        </w:trPr>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579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大环线</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电力大厦-财富大道</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16978</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香樟、侧柏、铁树、毛鹃等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电力大厦门口</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620</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香樟、桂花、铁树等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陨雨公园</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7885</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香樟、红叶李、海棠等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麦当劳西侧绿地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1900</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香樟、桂花、茶梅等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赵王村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永安广场对面楼房北侧绿地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988</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桂花、杜鹃、铁树等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松塘交通岛</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10484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香樟、铁树</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浃里陈桥头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松塘交通岛-路泽太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14915</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红花继木、毛鹃等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数码城对面绿地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1041</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香樟、鸡爪槭等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南官大道绿化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腾达路-路桥大道</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3404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桂花、杜英、毛鹃等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嘉绿苑南边赵王泾西边绿化</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马铺路-路桥大道            半岛风情东侧河道</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1059</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杜英、柳树等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和平公园</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和平苑东侧公园</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12464</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枫香、红叶石楠等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75省道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松塘交通岛-中石化加油站</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2047</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香樟、红花继木、沿阶草等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河滨公园</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南官大道-灵山街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32938</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香樟、红叶李、沿阶草等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潞河路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银安街-灵山街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71</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永安广场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8643</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杜英、侧柏、桂花、银杏等</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永安广场东侧道路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10" w:hRule="atLeast"/>
        </w:trPr>
        <w:tc>
          <w:tcPr>
            <w:tcW w:w="101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商海街</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双水路-路桥大道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1605</w:t>
            </w: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红花继木、毛鹃等</w:t>
            </w:r>
          </w:p>
        </w:tc>
      </w:tr>
      <w:tr>
        <w:tblPrEx>
          <w:tblCellMar>
            <w:top w:w="0" w:type="dxa"/>
            <w:left w:w="0" w:type="dxa"/>
            <w:bottom w:w="0" w:type="dxa"/>
            <w:right w:w="0" w:type="dxa"/>
          </w:tblCellMar>
        </w:tblPrEx>
        <w:trPr>
          <w:trHeight w:val="810" w:hRule="atLeast"/>
        </w:trPr>
        <w:tc>
          <w:tcPr>
            <w:tcW w:w="101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双水路-路桥大道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71</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永宁河河道两侧绿化</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墨池路-下里桥东路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40047</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81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油漆街</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商海街-银安街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88</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2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21</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马铺路</w:t>
            </w:r>
          </w:p>
        </w:tc>
        <w:tc>
          <w:tcPr>
            <w:tcW w:w="1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泰隆街-灵山街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389</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822" w:hRule="atLeast"/>
        </w:trPr>
        <w:tc>
          <w:tcPr>
            <w:tcW w:w="49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1267</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170125</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p>
        </w:tc>
      </w:tr>
    </w:tbl>
    <w:p>
      <w:pPr>
        <w:spacing w:line="360" w:lineRule="auto"/>
        <w:rPr>
          <w:rFonts w:ascii="宋体" w:hAnsi="宋体" w:cs="宋体"/>
          <w:b/>
          <w:bCs/>
          <w:color w:val="000000" w:themeColor="text1"/>
          <w:szCs w:val="21"/>
          <w:highlight w:val="none"/>
          <w14:textFill>
            <w14:solidFill>
              <w14:schemeClr w14:val="tx1"/>
            </w14:solidFill>
          </w14:textFill>
        </w:rPr>
      </w:pPr>
    </w:p>
    <w:p>
      <w:pPr>
        <w:spacing w:line="360" w:lineRule="auto"/>
        <w:rPr>
          <w:rFonts w:eastAsiaTheme="minorEastAsia"/>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区块二：</w:t>
      </w:r>
      <w:r>
        <w:rPr>
          <w:rFonts w:hint="eastAsia"/>
          <w:color w:val="000000" w:themeColor="text1"/>
          <w:highlight w:val="none"/>
          <w14:textFill>
            <w14:solidFill>
              <w14:schemeClr w14:val="tx1"/>
            </w14:solidFill>
          </w14:textFill>
        </w:rPr>
        <w:t>包括双水路中间河道两侧绿化、双水路东延、双水路与中心大道交叉口桥头绿地、双水路桥头接线及道路边线绿化、灵山北街、商海北街、珠光街、中心大道绿化、北环线、内环线4号立交交通岛绿化工程、内环路（内环南路新城段）、世纪广场、会展东路、会展西路、数码街、金洋路、水天街、腾达路、银安街、腾达路一路一景、路桥图书馆东侧道路、水月公园这些区块的绿化养护（行道树、珍贵观赏性苗木、绿地），其中行道树1643棵，珍贵观赏性苗木68棵，绿地面积</w:t>
      </w:r>
      <w:r>
        <w:rPr>
          <w:rFonts w:hint="eastAsia"/>
          <w:color w:val="000000" w:themeColor="text1"/>
          <w:highlight w:val="none"/>
          <w:lang w:eastAsia="zh-CN"/>
          <w14:textFill>
            <w14:solidFill>
              <w14:schemeClr w14:val="tx1"/>
            </w14:solidFill>
          </w14:textFill>
        </w:rPr>
        <w:t>150905</w:t>
      </w:r>
      <w:r>
        <w:rPr>
          <w:rFonts w:hint="eastAsia"/>
          <w:color w:val="000000" w:themeColor="text1"/>
          <w:highlight w:val="none"/>
          <w14:textFill>
            <w14:solidFill>
              <w14:schemeClr w14:val="tx1"/>
            </w14:solidFill>
          </w14:textFill>
        </w:rPr>
        <w:t>平方米。</w:t>
      </w:r>
    </w:p>
    <w:tbl>
      <w:tblPr>
        <w:tblStyle w:val="5"/>
        <w:tblW w:w="10045" w:type="dxa"/>
        <w:tblInd w:w="-548" w:type="dxa"/>
        <w:tblLayout w:type="fixed"/>
        <w:tblCellMar>
          <w:top w:w="0" w:type="dxa"/>
          <w:left w:w="0" w:type="dxa"/>
          <w:bottom w:w="0" w:type="dxa"/>
          <w:right w:w="0" w:type="dxa"/>
        </w:tblCellMar>
      </w:tblPr>
      <w:tblGrid>
        <w:gridCol w:w="690"/>
        <w:gridCol w:w="1785"/>
        <w:gridCol w:w="1440"/>
        <w:gridCol w:w="915"/>
        <w:gridCol w:w="900"/>
        <w:gridCol w:w="930"/>
        <w:gridCol w:w="981"/>
        <w:gridCol w:w="2404"/>
      </w:tblGrid>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绿地/道路               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起止/位置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行道树</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珍贵观赏性苗木（棵）</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绿地面积</w:t>
            </w:r>
          </w:p>
        </w:tc>
        <w:tc>
          <w:tcPr>
            <w:tcW w:w="24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22"/>
                <w:szCs w:val="22"/>
                <w:highlight w:val="none"/>
                <w:lang w:bidi="ar"/>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 xml:space="preserve">胸径  </w:t>
            </w:r>
          </w:p>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（CM）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数量（棵）</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w:t>
            </w:r>
          </w:p>
        </w:tc>
        <w:tc>
          <w:tcPr>
            <w:tcW w:w="24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双水路中间河道两侧绿化</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灵山北街-会展东路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20159</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香樟、桂花、水杉等</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7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双水路东延</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会展东路-珠光街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6978</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银杏、海棠、南天竹等</w:t>
            </w:r>
          </w:p>
        </w:tc>
      </w:tr>
      <w:tr>
        <w:tblPrEx>
          <w:tblCellMar>
            <w:top w:w="0" w:type="dxa"/>
            <w:left w:w="0" w:type="dxa"/>
            <w:bottom w:w="0" w:type="dxa"/>
            <w:right w:w="0" w:type="dxa"/>
          </w:tblCellMar>
        </w:tblPrEx>
        <w:trPr>
          <w:trHeight w:val="733" w:hRule="atLeast"/>
        </w:trPr>
        <w:tc>
          <w:tcPr>
            <w:tcW w:w="69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双水路与中心大道交叉口桥头绿地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627</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红叶石楠、红叶李、红花继木球等</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双水路桥头接线及道路边线绿化</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灵山北街-会展东路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8300</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无患子、红花继木、龟甲冬青等</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4525</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美国枫、香樟、杜鹃等</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91</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行道树：无患子</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17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商海北街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582</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紫薇、沿阶草</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67</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行道树：杜英        </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珠光街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腾达路-城市港湾附近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1688</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海桐球、花叶络石</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路桥大道-双水路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1785"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中心大道绿化</w:t>
            </w:r>
          </w:p>
        </w:tc>
        <w:tc>
          <w:tcPr>
            <w:tcW w:w="14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19456</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香樟、珍贵观赏性苗木</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110</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行道树：樱花</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北环线</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灵山北街-中心大道</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4597</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香樟、红叶石楠、紫薇等</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行道树：无患子              </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内环线4号立交交通岛绿化工程</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灵山北街与北环线路口</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29</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5000</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罗汉松、红花继木桩</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内环路（内环南路新城段）</w:t>
            </w:r>
          </w:p>
        </w:tc>
        <w:tc>
          <w:tcPr>
            <w:tcW w:w="14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灵山街-徐翁泾桥梁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3356</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玉兰</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世纪广场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34121</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榕树、香樟、海棠等</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w:t>
            </w:r>
          </w:p>
        </w:tc>
        <w:tc>
          <w:tcPr>
            <w:tcW w:w="17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会展东路</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南官大道-双水路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会展西路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南官大道-双水路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数码街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商海街-银安街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会展西路-商海街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行道树：杜英</w:t>
            </w:r>
          </w:p>
        </w:tc>
      </w:tr>
      <w:tr>
        <w:tblPrEx>
          <w:tblCellMar>
            <w:top w:w="0" w:type="dxa"/>
            <w:left w:w="0" w:type="dxa"/>
            <w:bottom w:w="0" w:type="dxa"/>
            <w:right w:w="0" w:type="dxa"/>
          </w:tblCellMar>
        </w:tblPrEx>
        <w:trPr>
          <w:trHeight w:val="733" w:hRule="atLeast"/>
        </w:trPr>
        <w:tc>
          <w:tcPr>
            <w:tcW w:w="69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金洋路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灵山北街-银安街</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行道树：红叶石楠树</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178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水天街</w:t>
            </w:r>
          </w:p>
        </w:tc>
        <w:tc>
          <w:tcPr>
            <w:tcW w:w="14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30-50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腾达路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75省道-路桥邮政分局西侧桥梁</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16532</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茶梅、香樟                      世纪广场南</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会展东路-会展西路</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46</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w:t>
            </w:r>
          </w:p>
        </w:tc>
        <w:tc>
          <w:tcPr>
            <w:tcW w:w="178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银安街</w:t>
            </w:r>
          </w:p>
        </w:tc>
        <w:tc>
          <w:tcPr>
            <w:tcW w:w="14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20-25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CellMar>
            <w:top w:w="0" w:type="dxa"/>
            <w:left w:w="0" w:type="dxa"/>
            <w:bottom w:w="0" w:type="dxa"/>
            <w:right w:w="0" w:type="dxa"/>
          </w:tblCellMar>
        </w:tblPrEx>
        <w:trPr>
          <w:trHeight w:val="73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腾达路一路一景</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路桥邮政分局西侧桥梁-蓝天学校西侧桥梁</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9496</w:t>
            </w:r>
          </w:p>
        </w:tc>
        <w:tc>
          <w:tcPr>
            <w:tcW w:w="24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香樟、桂花等</w:t>
            </w:r>
          </w:p>
        </w:tc>
      </w:tr>
      <w:tr>
        <w:tblPrEx>
          <w:tblCellMar>
            <w:top w:w="0" w:type="dxa"/>
            <w:left w:w="0" w:type="dxa"/>
            <w:bottom w:w="0" w:type="dxa"/>
            <w:right w:w="0" w:type="dxa"/>
          </w:tblCellMar>
        </w:tblPrEx>
        <w:trPr>
          <w:trHeight w:val="73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164</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行道树：无患子</w:t>
            </w:r>
          </w:p>
        </w:tc>
      </w:tr>
      <w:tr>
        <w:tblPrEx>
          <w:tblCellMar>
            <w:top w:w="0" w:type="dxa"/>
            <w:left w:w="0" w:type="dxa"/>
            <w:bottom w:w="0" w:type="dxa"/>
            <w:right w:w="0" w:type="dxa"/>
          </w:tblCellMar>
        </w:tblPrEx>
        <w:trPr>
          <w:trHeight w:val="73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w:t>
            </w:r>
          </w:p>
        </w:tc>
        <w:tc>
          <w:tcPr>
            <w:tcW w:w="17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路桥图书馆东侧道路</w:t>
            </w:r>
          </w:p>
        </w:tc>
        <w:tc>
          <w:tcPr>
            <w:tcW w:w="14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行道树：银杏</w:t>
            </w:r>
          </w:p>
        </w:tc>
      </w:tr>
      <w:tr>
        <w:tblPrEx>
          <w:tblCellMar>
            <w:top w:w="0" w:type="dxa"/>
            <w:left w:w="0" w:type="dxa"/>
            <w:bottom w:w="0" w:type="dxa"/>
            <w:right w:w="0" w:type="dxa"/>
          </w:tblCellMar>
        </w:tblPrEx>
        <w:trPr>
          <w:trHeight w:val="74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水月公园</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15488</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743" w:hRule="atLeast"/>
        </w:trPr>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1643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68</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2"/>
                <w:szCs w:val="22"/>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150905</w:t>
            </w:r>
          </w:p>
        </w:tc>
        <w:tc>
          <w:tcPr>
            <w:tcW w:w="2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bl>
    <w:p>
      <w:pPr>
        <w:rPr>
          <w:b/>
          <w:bCs/>
          <w:color w:val="000000" w:themeColor="text1"/>
          <w:highlight w:val="none"/>
          <w14:textFill>
            <w14:solidFill>
              <w14:schemeClr w14:val="tx1"/>
            </w14:solidFill>
          </w14:textFill>
        </w:rPr>
      </w:pPr>
    </w:p>
    <w:p>
      <w:pPr>
        <w:spacing w:line="360" w:lineRule="auto"/>
        <w:rPr>
          <w:rFonts w:eastAsiaTheme="minorEastAsia"/>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区块三：</w:t>
      </w:r>
      <w:r>
        <w:rPr>
          <w:rFonts w:hint="eastAsia"/>
          <w:color w:val="000000" w:themeColor="text1"/>
          <w:highlight w:val="none"/>
          <w14:textFill>
            <w14:solidFill>
              <w14:schemeClr w14:val="tx1"/>
            </w14:solidFill>
          </w14:textFill>
        </w:rPr>
        <w:t>包括</w:t>
      </w:r>
      <w:r>
        <w:rPr>
          <w:rFonts w:eastAsiaTheme="minorEastAsia"/>
          <w:color w:val="000000" w:themeColor="text1"/>
          <w:highlight w:val="none"/>
          <w14:textFill>
            <w14:solidFill>
              <w14:schemeClr w14:val="tx1"/>
            </w14:solidFill>
          </w14:textFill>
        </w:rPr>
        <w:t>机场门口绿化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迎宾大道</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应家绿色长廊</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内0+600杨戴道口</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杨戴交通岛绿化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原污水厂入口绿地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新安南街与泰隆街交叉口及附近绿地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吉利大道</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老路南办事处门口</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部队营房入口绿地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部队营房东大门绿地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公园路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下里桥路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黄石公园</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石浜公园及周边</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石浜钓鱼台及河岸零星绿地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实验中学东侧绿地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下里桥路两岸带状绿地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南洋新村绿地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五丰坛</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街心公园</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镇中二桥至文艺桥两岸及丁岙三角地绿化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泰隆街与石棋盘路交叉口三角绿地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石棋盘路河边（山水华庭北侧）</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路桥银座街绿化工程</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山水泾两侧零星绿化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党校东边滨河绿地（原规划处东侧滨河绿地）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党校南侧绿地（原规划处斜对面绿地）</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富仕小广场</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老街二期绿化</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泰隆街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新安南街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金鹊街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富士路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市场街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银座街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卖芝桥路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里王路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文昌路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商城街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妙智街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墨池街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月河街</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邮电路</w:t>
      </w:r>
      <w:r>
        <w:rPr>
          <w:rFonts w:hint="eastAsia"/>
          <w:color w:val="000000" w:themeColor="text1"/>
          <w:highlight w:val="none"/>
          <w14:textFill>
            <w14:solidFill>
              <w14:schemeClr w14:val="tx1"/>
            </w14:solidFill>
          </w14:textFill>
        </w:rPr>
        <w:t>、</w:t>
      </w:r>
      <w:r>
        <w:rPr>
          <w:rFonts w:eastAsiaTheme="minorEastAsia"/>
          <w:color w:val="000000" w:themeColor="text1"/>
          <w:highlight w:val="none"/>
          <w14:textFill>
            <w14:solidFill>
              <w14:schemeClr w14:val="tx1"/>
            </w14:solidFill>
          </w14:textFill>
        </w:rPr>
        <w:t>永跃街</w:t>
      </w:r>
      <w:r>
        <w:rPr>
          <w:rFonts w:hint="eastAsia"/>
          <w:color w:val="000000" w:themeColor="text1"/>
          <w:highlight w:val="none"/>
          <w14:textFill>
            <w14:solidFill>
              <w14:schemeClr w14:val="tx1"/>
            </w14:solidFill>
          </w14:textFill>
        </w:rPr>
        <w:t>这些区块的绿化养护（行道树、珍贵观赏性苗木、绿地），其中行道树4113棵，观赏性苗木17棵，绿地面积181397平方米。</w:t>
      </w:r>
    </w:p>
    <w:tbl>
      <w:tblPr>
        <w:tblStyle w:val="5"/>
        <w:tblW w:w="9733"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2014"/>
        <w:gridCol w:w="1427"/>
        <w:gridCol w:w="787"/>
        <w:gridCol w:w="788"/>
        <w:gridCol w:w="787"/>
        <w:gridCol w:w="78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序号</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绿地/道路               名称</w:t>
            </w:r>
          </w:p>
        </w:tc>
        <w:tc>
          <w:tcPr>
            <w:tcW w:w="1427"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起止/位置</w:t>
            </w:r>
          </w:p>
        </w:tc>
        <w:tc>
          <w:tcPr>
            <w:tcW w:w="1575"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行道树</w:t>
            </w:r>
          </w:p>
        </w:tc>
        <w:tc>
          <w:tcPr>
            <w:tcW w:w="787"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珍贵观赏性苗木（棵）</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绿地面积</w:t>
            </w:r>
          </w:p>
        </w:tc>
        <w:tc>
          <w:tcPr>
            <w:tcW w:w="2363"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427" w:type="dxa"/>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787" w:type="dxa"/>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胸径  （CM）</w:t>
            </w:r>
          </w:p>
        </w:tc>
        <w:tc>
          <w:tcPr>
            <w:tcW w:w="788" w:type="dxa"/>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数量（棵）</w:t>
            </w:r>
          </w:p>
        </w:tc>
        <w:tc>
          <w:tcPr>
            <w:tcW w:w="787"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w:t>
            </w:r>
          </w:p>
        </w:tc>
        <w:tc>
          <w:tcPr>
            <w:tcW w:w="2363" w:type="dxa"/>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机场门口绿化</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2912</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紫薇、罗汉松等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迎宾大道</w:t>
            </w:r>
          </w:p>
        </w:tc>
        <w:tc>
          <w:tcPr>
            <w:tcW w:w="14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东方大道-公园路</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55614</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无患子、香樟、红叶石楠等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859</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应家绿色长廊</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8636</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香樟、茶梅、红叶李等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内0+600杨戴道口</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新安西街与迎宾大道交叉口</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16438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海棠、香樟、杜英等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杨戴交通岛绿化</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新安西街与迎宾大道交叉口</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4988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杜英、红叶石楠等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原污水厂入口绿地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香樟、红叶李等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新安南街与泰隆街交叉口及附近绿地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718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吉利大道</w:t>
            </w:r>
          </w:p>
        </w:tc>
        <w:tc>
          <w:tcPr>
            <w:tcW w:w="14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迎宾大道-下里桥路</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10731</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香樟、棕榈、合欢等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176</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行道树：黄山栾树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老路南办事处门口</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吉利大道-路南劳保所</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2300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部队营房入口绿地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580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杜英、杜鹃、海棠等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部队营房东大门绿地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648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红叶石楠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公园路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迎宾大道-下里桥路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289</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7900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              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下里桥路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新安南街-石浜山洞</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1188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黑松、月季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吉利大道-石浜山洞</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508</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黄石公园</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18650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香樟、海棠、杨梅树等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石浜公园及周边</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13115</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香樟、红叶李、桂花等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石浜钓鱼台及河岸零星绿地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1576</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行道树：银杏                     柳树、桂花、沿阶草等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实验中学东侧绿地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740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下里桥路两岸带状绿地</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路桥三医院东侧河道</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南洋新村绿地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230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茶梅、香樟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五丰坛</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1863</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桂花、迎客松、杜英等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21</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街心公园</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4600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香樟、桂花、杜英等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22</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镇中二桥至文艺桥两岸及丁岙三角地绿化</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镇中二桥-文化路桥梁河道两侧绿地</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11204</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香樟、杜英、桂花等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23</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泰隆街与石棋盘路交叉口三角绿地</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三角马路南侧</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2208</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香樟、红花继木、沿阶草等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24</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石棋盘路河边（山水华庭北侧）</w:t>
            </w:r>
          </w:p>
        </w:tc>
        <w:tc>
          <w:tcPr>
            <w:tcW w:w="14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商城街-南官大道</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3300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香樟、桂花、红叶李等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28</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行道树：无患子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25</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路桥银座街绿化工程</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邮电路-腾达路</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香樟、桂花、白玉兰等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26</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山水泾两侧零星绿化</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973</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桂花、香樟、鸡爪槭等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27</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党校东边滨河绿地（原规划处东侧滨河绿地）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2400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香樟、杜英、广玉兰等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28</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党校南侧绿地（原规划处斜对面绿地）</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2455</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香樟、杜英、桂花等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29</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富仕小广场</w:t>
            </w:r>
          </w:p>
        </w:tc>
        <w:tc>
          <w:tcPr>
            <w:tcW w:w="1427"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700</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鸡爪槭、桂花、白玉兰等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30</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老街二期绿化</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中盛东侧</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630</w:t>
            </w:r>
          </w:p>
        </w:tc>
        <w:tc>
          <w:tcPr>
            <w:tcW w:w="2363"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31</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泰隆街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路桥大道-新安南街</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20-50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801</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32</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新安南街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卖芝桥路-金三角</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33</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金鹊街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卖芝桥路-邮电路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67</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富士路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银安街-商海街</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132</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35</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市场街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下里桥路-卖芝桥路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43</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36</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银座街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下里桥路-腾达路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330</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37</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w:t>
            </w:r>
          </w:p>
        </w:tc>
        <w:tc>
          <w:tcPr>
            <w:tcW w:w="14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新安南街-泰隆街</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95</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55</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38</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里王路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银座街-商城街</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60</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39</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文昌路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新安南街-泰隆街</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33</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40</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商城街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新安西街-路桥大道</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241</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41</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妙智街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卖芝桥路-邮电路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37</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42</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墨池街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卖芝桥路-邮电路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43</w:t>
            </w:r>
          </w:p>
        </w:tc>
        <w:tc>
          <w:tcPr>
            <w:tcW w:w="2014"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月河街</w:t>
            </w:r>
          </w:p>
        </w:tc>
        <w:tc>
          <w:tcPr>
            <w:tcW w:w="1427"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邮电路-路桥大道</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20-30</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行道树：梧桐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014"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27"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44</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邮电路</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月河街-金三角</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198</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78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45</w:t>
            </w:r>
          </w:p>
        </w:tc>
        <w:tc>
          <w:tcPr>
            <w:tcW w:w="2014"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永跃街</w:t>
            </w:r>
          </w:p>
        </w:tc>
        <w:tc>
          <w:tcPr>
            <w:tcW w:w="1427"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卖芝桥路-邮电路</w:t>
            </w:r>
          </w:p>
        </w:tc>
        <w:tc>
          <w:tcPr>
            <w:tcW w:w="787"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10-25</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64</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5008" w:type="dxa"/>
            <w:gridSpan w:val="4"/>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合计</w:t>
            </w:r>
          </w:p>
        </w:tc>
        <w:tc>
          <w:tcPr>
            <w:tcW w:w="78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4113</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17</w:t>
            </w:r>
          </w:p>
        </w:tc>
        <w:tc>
          <w:tcPr>
            <w:tcW w:w="787"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181397</w:t>
            </w:r>
          </w:p>
        </w:tc>
        <w:tc>
          <w:tcPr>
            <w:tcW w:w="2363"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p>
        </w:tc>
      </w:tr>
    </w:tbl>
    <w:p>
      <w:pPr>
        <w:rPr>
          <w:color w:val="000000" w:themeColor="text1"/>
          <w:highlight w:val="none"/>
          <w14:textFill>
            <w14:solidFill>
              <w14:schemeClr w14:val="tx1"/>
            </w14:solidFill>
          </w14:textFill>
        </w:rPr>
      </w:pPr>
    </w:p>
    <w:p>
      <w:pPr>
        <w:spacing w:line="360" w:lineRule="auto"/>
        <w:rPr>
          <w:rFonts w:eastAsiaTheme="minorEastAsia"/>
          <w:color w:val="000000" w:themeColor="text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区块四：</w:t>
      </w:r>
      <w:r>
        <w:rPr>
          <w:rFonts w:hint="eastAsia"/>
          <w:color w:val="000000" w:themeColor="text1"/>
          <w:highlight w:val="none"/>
          <w14:textFill>
            <w14:solidFill>
              <w14:schemeClr w14:val="tx1"/>
            </w14:solidFill>
          </w14:textFill>
        </w:rPr>
        <w:t>包括</w:t>
      </w:r>
      <w:r>
        <w:rPr>
          <w:color w:val="000000" w:themeColor="text1"/>
          <w:highlight w:val="none"/>
          <w14:textFill>
            <w14:solidFill>
              <w14:schemeClr w14:val="tx1"/>
            </w14:solidFill>
          </w14:textFill>
        </w:rPr>
        <w:t>文化路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新安西街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商海街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博爱医院交通岛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商海南街滨河绿地（幼儿园边）</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银安街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望景湾对面（银安街转角）</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灵山西街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灵山街吉利集团外（街头绿地）</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玉泉小区北侧区块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泰隆苑北侧区块</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避风塘公园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花鸟巷</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南官大道</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樱花路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金水路</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区政府第二办公区</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景瑞望府</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碧水豪庭</w:t>
      </w:r>
      <w:r>
        <w:rPr>
          <w:rFonts w:hint="eastAsia"/>
          <w:color w:val="000000" w:themeColor="text1"/>
          <w:highlight w:val="none"/>
          <w14:textFill>
            <w14:solidFill>
              <w14:schemeClr w14:val="tx1"/>
            </w14:solidFill>
          </w14:textFill>
        </w:rPr>
        <w:t>这些区块的绿化养护（行道树、珍贵观赏性苗木、绿地），其中行道树2661棵，观赏性苗木3棵，绿地面积186733平方米。</w:t>
      </w:r>
    </w:p>
    <w:tbl>
      <w:tblPr>
        <w:tblStyle w:val="5"/>
        <w:tblW w:w="9830" w:type="dxa"/>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485"/>
        <w:gridCol w:w="1740"/>
        <w:gridCol w:w="840"/>
        <w:gridCol w:w="900"/>
        <w:gridCol w:w="994"/>
        <w:gridCol w:w="768"/>
        <w:gridCol w:w="789"/>
        <w:gridCol w:w="78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序号</w:t>
            </w:r>
          </w:p>
        </w:tc>
        <w:tc>
          <w:tcPr>
            <w:tcW w:w="1485"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绿地/道路               名称</w:t>
            </w:r>
          </w:p>
        </w:tc>
        <w:tc>
          <w:tcPr>
            <w:tcW w:w="1740"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起止/位置</w:t>
            </w:r>
          </w:p>
        </w:tc>
        <w:tc>
          <w:tcPr>
            <w:tcW w:w="1740" w:type="dxa"/>
            <w:gridSpan w:val="2"/>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行道树</w:t>
            </w:r>
          </w:p>
        </w:tc>
        <w:tc>
          <w:tcPr>
            <w:tcW w:w="994"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珍贵观赏性苗木（棵）</w:t>
            </w:r>
          </w:p>
        </w:tc>
        <w:tc>
          <w:tcPr>
            <w:tcW w:w="768" w:type="dxa"/>
            <w:vMerge w:val="restart"/>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绿地面积（㎡）</w:t>
            </w:r>
          </w:p>
        </w:tc>
        <w:tc>
          <w:tcPr>
            <w:tcW w:w="2368" w:type="dxa"/>
            <w:gridSpan w:val="3"/>
            <w:vMerge w:val="restart"/>
            <w:shd w:val="clear" w:color="auto" w:fill="auto"/>
            <w:noWrap/>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1740" w:type="dxa"/>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胸径  （CM）</w:t>
            </w:r>
          </w:p>
        </w:tc>
        <w:tc>
          <w:tcPr>
            <w:tcW w:w="900" w:type="dxa"/>
            <w:shd w:val="clear" w:color="auto" w:fill="auto"/>
            <w:tcMar>
              <w:top w:w="15" w:type="dxa"/>
              <w:left w:w="15" w:type="dxa"/>
              <w:right w:w="15" w:type="dxa"/>
            </w:tcMar>
            <w:vAlign w:val="center"/>
          </w:tcPr>
          <w:p>
            <w:pPr>
              <w:widowControl/>
              <w:jc w:val="center"/>
              <w:textAlignment w:val="center"/>
              <w:rPr>
                <w:rFonts w:ascii="宋体" w:hAnsi="宋体" w:cs="宋体"/>
                <w:b/>
                <w:color w:val="000000" w:themeColor="text1"/>
                <w:kern w:val="0"/>
                <w:sz w:val="22"/>
                <w:szCs w:val="22"/>
                <w:highlight w:val="none"/>
                <w:lang w:bidi="ar"/>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数量</w:t>
            </w:r>
          </w:p>
          <w:p>
            <w:pPr>
              <w:widowControl/>
              <w:jc w:val="center"/>
              <w:textAlignment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lang w:bidi="ar"/>
                <w14:textFill>
                  <w14:solidFill>
                    <w14:schemeClr w14:val="tx1"/>
                  </w14:solidFill>
                </w14:textFill>
              </w:rPr>
              <w:t>（棵）</w:t>
            </w:r>
          </w:p>
        </w:tc>
        <w:tc>
          <w:tcPr>
            <w:tcW w:w="994"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768" w:type="dxa"/>
            <w:vMerge w:val="continue"/>
            <w:shd w:val="clear" w:color="auto" w:fill="auto"/>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c>
          <w:tcPr>
            <w:tcW w:w="2368" w:type="dxa"/>
            <w:gridSpan w:val="3"/>
            <w:vMerge w:val="continue"/>
            <w:shd w:val="clear" w:color="auto" w:fill="auto"/>
            <w:noWrap/>
            <w:tcMar>
              <w:top w:w="15" w:type="dxa"/>
              <w:left w:w="15" w:type="dxa"/>
              <w:right w:w="15" w:type="dxa"/>
            </w:tcMar>
            <w:vAlign w:val="center"/>
          </w:tcPr>
          <w:p>
            <w:pPr>
              <w:jc w:val="center"/>
              <w:rPr>
                <w:rFonts w:ascii="宋体" w:hAnsi="宋体" w:cs="宋体"/>
                <w:b/>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485"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文化路</w:t>
            </w:r>
          </w:p>
        </w:tc>
        <w:tc>
          <w:tcPr>
            <w:tcW w:w="174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石浜山洞-财富大道</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71209</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桂花、香樟、黄山栾树等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15-35</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165</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20-25</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22</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485"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w:t>
            </w:r>
          </w:p>
        </w:tc>
        <w:tc>
          <w:tcPr>
            <w:tcW w:w="174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南官大道-灵山街</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8937</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香樟、茶梅等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20-45</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344</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485" w:type="dxa"/>
            <w:vMerge w:val="restart"/>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商海街</w:t>
            </w:r>
          </w:p>
        </w:tc>
        <w:tc>
          <w:tcPr>
            <w:tcW w:w="1740"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路桥大道-十路线</w:t>
            </w:r>
          </w:p>
        </w:tc>
        <w:tc>
          <w:tcPr>
            <w:tcW w:w="840"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4733</w:t>
            </w: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龙柏球、黄杨等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路桥大道-十路线</w:t>
            </w:r>
          </w:p>
        </w:tc>
        <w:tc>
          <w:tcPr>
            <w:tcW w:w="84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15-40</w:t>
            </w:r>
          </w:p>
        </w:tc>
        <w:tc>
          <w:tcPr>
            <w:tcW w:w="90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532</w:t>
            </w:r>
          </w:p>
        </w:tc>
        <w:tc>
          <w:tcPr>
            <w:tcW w:w="994"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 xml:space="preserve">行道树：香樟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博爱医院交通岛</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1352</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垂丝海棠、金边麦冬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商海南街滨河绿地（幼儿园边）</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1380</w:t>
            </w:r>
          </w:p>
        </w:tc>
        <w:tc>
          <w:tcPr>
            <w:tcW w:w="2368" w:type="dxa"/>
            <w:gridSpan w:val="3"/>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w:t>
            </w:r>
          </w:p>
        </w:tc>
        <w:tc>
          <w:tcPr>
            <w:tcW w:w="1485" w:type="dxa"/>
            <w:vMerge w:val="restart"/>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银安街</w:t>
            </w:r>
          </w:p>
        </w:tc>
        <w:tc>
          <w:tcPr>
            <w:tcW w:w="1740"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文化路-路桥大道</w:t>
            </w:r>
          </w:p>
        </w:tc>
        <w:tc>
          <w:tcPr>
            <w:tcW w:w="840"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2785</w:t>
            </w: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杜英、红花继木、海桐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文化路-双水路</w:t>
            </w:r>
          </w:p>
        </w:tc>
        <w:tc>
          <w:tcPr>
            <w:tcW w:w="84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15-50</w:t>
            </w:r>
          </w:p>
        </w:tc>
        <w:tc>
          <w:tcPr>
            <w:tcW w:w="90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367</w:t>
            </w:r>
          </w:p>
        </w:tc>
        <w:tc>
          <w:tcPr>
            <w:tcW w:w="994"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FFFFFF"/>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双水路-北环线</w:t>
            </w:r>
          </w:p>
        </w:tc>
        <w:tc>
          <w:tcPr>
            <w:tcW w:w="84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20-25</w:t>
            </w:r>
          </w:p>
        </w:tc>
        <w:tc>
          <w:tcPr>
            <w:tcW w:w="900" w:type="dxa"/>
            <w:shd w:val="clear" w:color="auto" w:fill="FFFFFF"/>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35</w:t>
            </w:r>
          </w:p>
        </w:tc>
        <w:tc>
          <w:tcPr>
            <w:tcW w:w="994"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FFFFFF"/>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7</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望景湾对面（银安街转角）</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505</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香樟、杜英等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w:t>
            </w:r>
          </w:p>
        </w:tc>
        <w:tc>
          <w:tcPr>
            <w:tcW w:w="1485"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灵山西街</w:t>
            </w: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文化路-财富大道</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38150</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黄山栾树、红花继木、毛竹等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文化路-龙栖路</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179</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FFFFFF"/>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行道树：香樟、无患子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9</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灵山街吉利集团外（街头绿地）</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6640</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香樟、桂花、红叶李等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玉泉小区北侧区块</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4918</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香樟、玉兰、八角金盘等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泰隆苑北侧区块</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3482</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无患子、桂花等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避风塘公园</w:t>
            </w:r>
          </w:p>
        </w:tc>
        <w:tc>
          <w:tcPr>
            <w:tcW w:w="174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12000</w:t>
            </w: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香樟、合欢、桂花等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13</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花鸟巷</w:t>
            </w: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新安西街-文化路</w:t>
            </w: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15-45</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89</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14</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w:t>
            </w: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新安西街-腾达路</w:t>
            </w: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20-50</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290</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restart"/>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15</w:t>
            </w:r>
          </w:p>
        </w:tc>
        <w:tc>
          <w:tcPr>
            <w:tcW w:w="1485"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樱花路</w:t>
            </w:r>
          </w:p>
        </w:tc>
        <w:tc>
          <w:tcPr>
            <w:tcW w:w="1740" w:type="dxa"/>
            <w:vMerge w:val="restart"/>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南官大道-灵山街</w:t>
            </w: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20-40</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183</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vMerge w:val="continue"/>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485"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1740" w:type="dxa"/>
            <w:vMerge w:val="continue"/>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10-25</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119</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16</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环山北路</w:t>
            </w: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灵山街-龙栖路</w:t>
            </w: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15-20</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230</w:t>
            </w:r>
          </w:p>
        </w:tc>
        <w:tc>
          <w:tcPr>
            <w:tcW w:w="994" w:type="dxa"/>
            <w:shd w:val="clear" w:color="auto" w:fill="auto"/>
            <w:noWrap/>
            <w:tcMar>
              <w:top w:w="15" w:type="dxa"/>
              <w:left w:w="15" w:type="dxa"/>
              <w:right w:w="15" w:type="dxa"/>
            </w:tcMar>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行道树：银杏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17</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金水路</w:t>
            </w:r>
          </w:p>
        </w:tc>
        <w:tc>
          <w:tcPr>
            <w:tcW w:w="1740"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商海街-银安街</w:t>
            </w:r>
          </w:p>
        </w:tc>
        <w:tc>
          <w:tcPr>
            <w:tcW w:w="8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25-50</w:t>
            </w:r>
          </w:p>
        </w:tc>
        <w:tc>
          <w:tcPr>
            <w:tcW w:w="90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106</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2368" w:type="dxa"/>
            <w:gridSpan w:val="3"/>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行道树：香樟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18</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区政府第二办公区</w:t>
            </w:r>
          </w:p>
        </w:tc>
        <w:tc>
          <w:tcPr>
            <w:tcW w:w="17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10242</w:t>
            </w: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19</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景瑞望府</w:t>
            </w:r>
          </w:p>
        </w:tc>
        <w:tc>
          <w:tcPr>
            <w:tcW w:w="17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东侧以及南侧绿地</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11500</w:t>
            </w: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735"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20</w:t>
            </w:r>
          </w:p>
        </w:tc>
        <w:tc>
          <w:tcPr>
            <w:tcW w:w="1485" w:type="dxa"/>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碧水豪庭</w:t>
            </w:r>
          </w:p>
        </w:tc>
        <w:tc>
          <w:tcPr>
            <w:tcW w:w="1740"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东侧以及南侧绿地</w:t>
            </w:r>
          </w:p>
        </w:tc>
        <w:tc>
          <w:tcPr>
            <w:tcW w:w="84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8900</w:t>
            </w: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4800" w:type="dxa"/>
            <w:gridSpan w:val="4"/>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w:t>
            </w:r>
          </w:p>
        </w:tc>
        <w:tc>
          <w:tcPr>
            <w:tcW w:w="900"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2661</w:t>
            </w:r>
          </w:p>
        </w:tc>
        <w:tc>
          <w:tcPr>
            <w:tcW w:w="994" w:type="dxa"/>
            <w:shd w:val="clear" w:color="auto" w:fill="auto"/>
            <w:noWrap/>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768" w:type="dxa"/>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186733</w:t>
            </w: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89"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c>
          <w:tcPr>
            <w:tcW w:w="790" w:type="dxa"/>
            <w:shd w:val="clear" w:color="auto" w:fill="auto"/>
            <w:tcMar>
              <w:top w:w="15" w:type="dxa"/>
              <w:left w:w="15" w:type="dxa"/>
              <w:right w:w="15" w:type="dxa"/>
            </w:tcMar>
            <w:vAlign w:val="center"/>
          </w:tcPr>
          <w:p>
            <w:pPr>
              <w:jc w:val="center"/>
              <w:rPr>
                <w:rFonts w:ascii="宋体" w:hAnsi="宋体" w:cs="宋体"/>
                <w:color w:val="000000" w:themeColor="text1"/>
                <w:sz w:val="22"/>
                <w:szCs w:val="22"/>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spacing w:line="360" w:lineRule="auto"/>
        <w:jc w:val="left"/>
        <w:rPr>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注：以上数量暂定，具体按实结算。</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三、工作内容</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（一）管理要求</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1、绿地内大树的支撑良好、养护完善、成活率高，有较好的保护措施，死株</w:t>
      </w:r>
      <w:r>
        <w:rPr>
          <w:color w:val="000000" w:themeColor="text1"/>
          <w:highlight w:val="none"/>
          <w14:textFill>
            <w14:solidFill>
              <w14:schemeClr w14:val="tx1"/>
            </w14:solidFill>
          </w14:textFill>
        </w:rPr>
        <w:t>未及时补种按市场价</w:t>
      </w:r>
      <w:r>
        <w:rPr>
          <w:rFonts w:hint="eastAsia"/>
          <w:color w:val="000000" w:themeColor="text1"/>
          <w:highlight w:val="none"/>
          <w14:textFill>
            <w14:solidFill>
              <w14:schemeClr w14:val="tx1"/>
            </w14:solidFill>
          </w14:textFill>
        </w:rPr>
        <w:t>赔偿</w:t>
      </w:r>
      <w:r>
        <w:rPr>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2、针对病虫害的生长发育特征，在各个季节做好监测工作，贯彻“以防为主、综合治理”的方针，确保常年无病虫害发生，因</w:t>
      </w:r>
      <w:r>
        <w:rPr>
          <w:color w:val="000000" w:themeColor="text1"/>
          <w:highlight w:val="none"/>
          <w14:textFill>
            <w14:solidFill>
              <w14:schemeClr w14:val="tx1"/>
            </w14:solidFill>
          </w14:textFill>
        </w:rPr>
        <w:t>喷洒农药造成的人员损伤由乙方负责。</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3、定期施肥：初冬至翌年早春植物萌芽时全面施越冬肥一次，早春</w:t>
      </w:r>
      <w:r>
        <w:rPr>
          <w:color w:val="000000" w:themeColor="text1"/>
          <w:highlight w:val="none"/>
          <w14:textFill>
            <w14:solidFill>
              <w14:schemeClr w14:val="tx1"/>
            </w14:solidFill>
          </w14:textFill>
        </w:rPr>
        <w:t>后施肥一次，</w:t>
      </w:r>
      <w:r>
        <w:rPr>
          <w:rFonts w:hint="eastAsia"/>
          <w:color w:val="000000" w:themeColor="text1"/>
          <w:highlight w:val="none"/>
          <w14:textFill>
            <w14:solidFill>
              <w14:schemeClr w14:val="tx1"/>
            </w14:solidFill>
          </w14:textFill>
        </w:rPr>
        <w:t>一年内施肥不能少于2次；生长季节追肥3</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次，保证植株生长发育的良好势头，对于草坪应经常喷施叶面肥。</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4、适时浇水：保证高温季节不缺水，适时进行叶面喷施，保证植物生长能够获得足够的水分。</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5、草坪管养：草种生长良好，草坪整齐雅观，有较好的纯度和平整度；覆盖率达95％以上，杂草不多于3株/ m</w:t>
      </w:r>
      <w:r>
        <w:rPr>
          <w:rFonts w:hint="eastAsia"/>
          <w:color w:val="000000" w:themeColor="text1"/>
          <w:highlight w:val="none"/>
          <w:vertAlign w:val="superscript"/>
          <w14:textFill>
            <w14:solidFill>
              <w14:schemeClr w14:val="tx1"/>
            </w14:solidFill>
          </w14:textFill>
        </w:rPr>
        <w:t>2</w:t>
      </w:r>
      <w:r>
        <w:rPr>
          <w:rFonts w:hint="eastAsia"/>
          <w:color w:val="000000" w:themeColor="text1"/>
          <w:highlight w:val="none"/>
          <w14:textFill>
            <w14:solidFill>
              <w14:schemeClr w14:val="tx1"/>
            </w14:solidFill>
          </w14:textFill>
        </w:rPr>
        <w:t>，无坑洼积水，无裸露地；及时做好病虫害防治以及施肥工作。</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6、灌木和花卉管养：生长良好，花繁叶茂，造型美观，具有一定的艺术感和立体感；花坛轮廓美，无残缺、死株，绿篱无断层，经常除草和松土，清理死株和补植想结合，积极防治病虫害。时令草花更换由甲方负责，养护由甲方负责。</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7、乔木管养：生长良好，枝叶健壮，树形美观；行道树上缘线和下缘线整齐，修剪适度，无死株、缺株；无枯枝残叶，无张挂物件，景观效果良好；无病虫害；对罗汉松、红花继木桩、五针松等珍贵树种根据苗木的原有造型，进行艺术加工，因树制宜，做到造型优美，层次分明，整枝扎丝造型一年不少于两次，整枝扎丝造型后及时通知业主进行验收，验收不合格扣除当年养护费用的10%。</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8、园路管理：路面保持清洁美观、完好无损；及时清除路面垃圾杂物，要求路面干净、美观、以增强园林美化效果。</w:t>
      </w:r>
    </w:p>
    <w:p>
      <w:pPr>
        <w:spacing w:line="360" w:lineRule="auto"/>
        <w:ind w:firstLine="42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环境卫生：要求绿地清洁，无垃圾杂物，无石砾砖块，无干枯枝叶，无粪便暴露，无鼠洞和蚊蝇滋生地；绿地树木修剪、滚草、枯死枝的清理等绿地的垃圾当日清运完毕；要求实施12小时保洁制（早上６时至晚上６时），绿地保洁范围包括绿地范围内的游步道和</w:t>
      </w:r>
      <w:r>
        <w:rPr>
          <w:color w:val="000000" w:themeColor="text1"/>
          <w:highlight w:val="none"/>
          <w14:textFill>
            <w14:solidFill>
              <w14:schemeClr w14:val="tx1"/>
            </w14:solidFill>
          </w14:textFill>
        </w:rPr>
        <w:t>廊</w:t>
      </w:r>
      <w:r>
        <w:rPr>
          <w:rFonts w:hint="eastAsia"/>
          <w:color w:val="000000" w:themeColor="text1"/>
          <w:highlight w:val="none"/>
          <w14:textFill>
            <w14:solidFill>
              <w14:schemeClr w14:val="tx1"/>
            </w14:solidFill>
          </w14:textFill>
        </w:rPr>
        <w:t>亭</w:t>
      </w:r>
      <w:r>
        <w:rPr>
          <w:color w:val="000000" w:themeColor="text1"/>
          <w:highlight w:val="none"/>
          <w14:textFill>
            <w14:solidFill>
              <w14:schemeClr w14:val="tx1"/>
            </w14:solidFill>
          </w14:textFill>
        </w:rPr>
        <w:t>水榭等构建物</w:t>
      </w:r>
      <w:r>
        <w:rPr>
          <w:rFonts w:hint="eastAsia"/>
          <w:color w:val="000000" w:themeColor="text1"/>
          <w:highlight w:val="none"/>
          <w14:textFill>
            <w14:solidFill>
              <w14:schemeClr w14:val="tx1"/>
            </w14:solidFill>
          </w14:textFill>
        </w:rPr>
        <w:t>。</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10、绿地维护：绿地红线范围内不被侵占，绿地版图完整，对任何侵占和破坏行为加以制止并及时上报绿化管理部门；经上级批准临时借用的绿地，监督期限内恢复原状；无乱摆乱卖，乱停乱放现象。</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保护监管：要求设施完好无损，景观效果优良；保护绿化供水设施，防止绿化用水被盗用。安排专人全天候巡回管护、防止人为破坏，保证其完好、整洁。如有损坏或被偷窃，乙方应及时进行修补，要防止外来车辆进入绿地。</w:t>
      </w:r>
    </w:p>
    <w:p>
      <w:pPr>
        <w:spacing w:line="360" w:lineRule="auto"/>
        <w:ind w:firstLine="42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、针对</w:t>
      </w:r>
      <w:r>
        <w:rPr>
          <w:color w:val="000000" w:themeColor="text1"/>
          <w:highlight w:val="none"/>
          <w14:textFill>
            <w14:solidFill>
              <w14:schemeClr w14:val="tx1"/>
            </w14:solidFill>
          </w14:textFill>
        </w:rPr>
        <w:t>恶劣天气，</w:t>
      </w:r>
      <w:r>
        <w:rPr>
          <w:rFonts w:hint="eastAsia"/>
          <w:color w:val="000000" w:themeColor="text1"/>
          <w:highlight w:val="none"/>
          <w14:textFill>
            <w14:solidFill>
              <w14:schemeClr w14:val="tx1"/>
            </w14:solidFill>
          </w14:textFill>
        </w:rPr>
        <w:t>做好</w:t>
      </w:r>
      <w:r>
        <w:rPr>
          <w:color w:val="000000" w:themeColor="text1"/>
          <w:highlight w:val="none"/>
          <w14:textFill>
            <w14:solidFill>
              <w14:schemeClr w14:val="tx1"/>
            </w14:solidFill>
          </w14:textFill>
        </w:rPr>
        <w:t>抗寒、抗旱、抗淹</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抗积雪措施，</w:t>
      </w:r>
      <w:r>
        <w:rPr>
          <w:rFonts w:hint="eastAsia"/>
          <w:color w:val="000000" w:themeColor="text1"/>
          <w:highlight w:val="none"/>
          <w14:textFill>
            <w14:solidFill>
              <w14:schemeClr w14:val="tx1"/>
            </w14:solidFill>
          </w14:textFill>
        </w:rPr>
        <w:t>造成</w:t>
      </w:r>
      <w:r>
        <w:rPr>
          <w:color w:val="000000" w:themeColor="text1"/>
          <w:highlight w:val="none"/>
          <w14:textFill>
            <w14:solidFill>
              <w14:schemeClr w14:val="tx1"/>
            </w14:solidFill>
          </w14:textFill>
        </w:rPr>
        <w:t>植株死亡或者严重损伤的，按同规格植株补种，相关费用由乙方承担，</w:t>
      </w:r>
      <w:r>
        <w:rPr>
          <w:rFonts w:hint="eastAsia"/>
          <w:color w:val="000000" w:themeColor="text1"/>
          <w:highlight w:val="none"/>
          <w14:textFill>
            <w14:solidFill>
              <w14:schemeClr w14:val="tx1"/>
            </w14:solidFill>
          </w14:textFill>
        </w:rPr>
        <w:t>并</w:t>
      </w:r>
      <w:r>
        <w:rPr>
          <w:color w:val="000000" w:themeColor="text1"/>
          <w:highlight w:val="none"/>
          <w14:textFill>
            <w14:solidFill>
              <w14:schemeClr w14:val="tx1"/>
            </w14:solidFill>
          </w14:textFill>
        </w:rPr>
        <w:t>承担后期养护</w:t>
      </w:r>
      <w:r>
        <w:rPr>
          <w:rFonts w:hint="eastAsia"/>
          <w:color w:val="000000" w:themeColor="text1"/>
          <w:highlight w:val="none"/>
          <w14:textFill>
            <w14:solidFill>
              <w14:schemeClr w14:val="tx1"/>
            </w14:solidFill>
          </w14:textFill>
        </w:rPr>
        <w:t>职责</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台风季节和冬季要做好绿地防护措施，特别做好防台和台风过后恢复工作，台风过后一天内要做好</w:t>
      </w:r>
      <w:r>
        <w:rPr>
          <w:color w:val="000000" w:themeColor="text1"/>
          <w:highlight w:val="none"/>
          <w14:textFill>
            <w14:solidFill>
              <w14:schemeClr w14:val="tx1"/>
            </w14:solidFill>
          </w14:textFill>
        </w:rPr>
        <w:t>养护绿地内的枯枝断枝清理和垃圾清理工作。</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乙方应做好文明施工，养护工人须穿着统一服装，公园、道路等行人较多区域开展作业，须做好安全、有效的围挡，并亮牌作业（牌上须注明作业单位，作业内容，作业期限等内容），乙方作业人员须做好相应的安全措施，按章操作，如发生安全事故，由乙方自理。</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t>交通</w:t>
      </w:r>
      <w:r>
        <w:rPr>
          <w:rFonts w:hint="eastAsia"/>
          <w:color w:val="000000" w:themeColor="text1"/>
          <w:highlight w:val="none"/>
          <w14:textFill>
            <w14:solidFill>
              <w14:schemeClr w14:val="tx1"/>
            </w14:solidFill>
          </w14:textFill>
        </w:rPr>
        <w:t>事故</w:t>
      </w:r>
      <w:r>
        <w:rPr>
          <w:color w:val="000000" w:themeColor="text1"/>
          <w:highlight w:val="none"/>
          <w14:textFill>
            <w14:solidFill>
              <w14:schemeClr w14:val="tx1"/>
            </w14:solidFill>
          </w14:textFill>
        </w:rPr>
        <w:t>造成的树木</w:t>
      </w:r>
      <w:r>
        <w:rPr>
          <w:rFonts w:hint="eastAsia"/>
          <w:color w:val="000000" w:themeColor="text1"/>
          <w:highlight w:val="none"/>
          <w14:textFill>
            <w14:solidFill>
              <w14:schemeClr w14:val="tx1"/>
            </w14:solidFill>
          </w14:textFill>
        </w:rPr>
        <w:t>破坏</w:t>
      </w:r>
      <w:r>
        <w:rPr>
          <w:color w:val="000000" w:themeColor="text1"/>
          <w:highlight w:val="none"/>
          <w14:textFill>
            <w14:solidFill>
              <w14:schemeClr w14:val="tx1"/>
            </w14:solidFill>
          </w14:textFill>
        </w:rPr>
        <w:t>情况，乙方需在</w:t>
      </w:r>
      <w:r>
        <w:rPr>
          <w:rFonts w:hint="eastAsia"/>
          <w:color w:val="000000" w:themeColor="text1"/>
          <w:highlight w:val="none"/>
          <w14:textFill>
            <w14:solidFill>
              <w14:schemeClr w14:val="tx1"/>
            </w14:solidFill>
          </w14:textFill>
        </w:rPr>
        <w:t>8小时</w:t>
      </w:r>
      <w:r>
        <w:rPr>
          <w:color w:val="000000" w:themeColor="text1"/>
          <w:highlight w:val="none"/>
          <w14:textFill>
            <w14:solidFill>
              <w14:schemeClr w14:val="tx1"/>
            </w14:solidFill>
          </w14:textFill>
        </w:rPr>
        <w:t>内上报业主单位，未在</w:t>
      </w:r>
      <w:r>
        <w:rPr>
          <w:rFonts w:hint="eastAsia"/>
          <w:color w:val="000000" w:themeColor="text1"/>
          <w:highlight w:val="none"/>
          <w14:textFill>
            <w14:solidFill>
              <w14:schemeClr w14:val="tx1"/>
            </w14:solidFill>
          </w14:textFill>
        </w:rPr>
        <w:t>时间</w:t>
      </w:r>
      <w:r>
        <w:rPr>
          <w:color w:val="000000" w:themeColor="text1"/>
          <w:highlight w:val="none"/>
          <w14:textFill>
            <w14:solidFill>
              <w14:schemeClr w14:val="tx1"/>
            </w14:solidFill>
          </w14:textFill>
        </w:rPr>
        <w:t>要求内上报，</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需对</w:t>
      </w:r>
      <w:r>
        <w:rPr>
          <w:rFonts w:hint="eastAsia"/>
          <w:color w:val="000000" w:themeColor="text1"/>
          <w:highlight w:val="none"/>
          <w14:textFill>
            <w14:solidFill>
              <w14:schemeClr w14:val="tx1"/>
            </w14:solidFill>
          </w14:textFill>
        </w:rPr>
        <w:t>破坏</w:t>
      </w:r>
      <w:r>
        <w:rPr>
          <w:color w:val="000000" w:themeColor="text1"/>
          <w:highlight w:val="none"/>
          <w14:textFill>
            <w14:solidFill>
              <w14:schemeClr w14:val="tx1"/>
            </w14:solidFill>
          </w14:textFill>
        </w:rPr>
        <w:t>树木进行</w:t>
      </w:r>
      <w:r>
        <w:rPr>
          <w:rFonts w:hint="eastAsia"/>
          <w:color w:val="000000" w:themeColor="text1"/>
          <w:highlight w:val="none"/>
          <w14:textFill>
            <w14:solidFill>
              <w14:schemeClr w14:val="tx1"/>
            </w14:solidFill>
          </w14:textFill>
        </w:rPr>
        <w:t>更换</w:t>
      </w:r>
      <w:r>
        <w:rPr>
          <w:color w:val="000000" w:themeColor="text1"/>
          <w:highlight w:val="none"/>
          <w14:textFill>
            <w14:solidFill>
              <w14:schemeClr w14:val="tx1"/>
            </w14:solidFill>
          </w14:textFill>
        </w:rPr>
        <w:t>，更换费用由乙方负责</w:t>
      </w:r>
      <w:r>
        <w:rPr>
          <w:rFonts w:hint="eastAsia"/>
          <w:color w:val="000000" w:themeColor="text1"/>
          <w:highlight w:val="none"/>
          <w14:textFill>
            <w14:solidFill>
              <w14:schemeClr w14:val="tx1"/>
            </w14:solidFill>
          </w14:textFill>
        </w:rPr>
        <w:t>；事故</w:t>
      </w:r>
      <w:r>
        <w:rPr>
          <w:color w:val="000000" w:themeColor="text1"/>
          <w:highlight w:val="none"/>
          <w14:textFill>
            <w14:solidFill>
              <w14:schemeClr w14:val="tx1"/>
            </w14:solidFill>
          </w14:textFill>
        </w:rPr>
        <w:t>导致</w:t>
      </w:r>
      <w:r>
        <w:rPr>
          <w:rFonts w:hint="eastAsia"/>
          <w:color w:val="000000" w:themeColor="text1"/>
          <w:highlight w:val="none"/>
          <w14:textFill>
            <w14:solidFill>
              <w14:schemeClr w14:val="tx1"/>
            </w14:solidFill>
          </w14:textFill>
        </w:rPr>
        <w:t>树木</w:t>
      </w:r>
      <w:r>
        <w:rPr>
          <w:color w:val="000000" w:themeColor="text1"/>
          <w:highlight w:val="none"/>
          <w14:textFill>
            <w14:solidFill>
              <w14:schemeClr w14:val="tx1"/>
            </w14:solidFill>
          </w14:textFill>
        </w:rPr>
        <w:t>伤亡的，乙方</w:t>
      </w:r>
      <w:r>
        <w:rPr>
          <w:rFonts w:hint="eastAsia"/>
          <w:color w:val="000000" w:themeColor="text1"/>
          <w:highlight w:val="none"/>
          <w14:textFill>
            <w14:solidFill>
              <w14:schemeClr w14:val="tx1"/>
            </w14:solidFill>
          </w14:textFill>
        </w:rPr>
        <w:t>须在接到通知4小时内</w:t>
      </w:r>
      <w:r>
        <w:rPr>
          <w:color w:val="000000" w:themeColor="text1"/>
          <w:highlight w:val="none"/>
          <w14:textFill>
            <w14:solidFill>
              <w14:schemeClr w14:val="tx1"/>
            </w14:solidFill>
          </w14:textFill>
        </w:rPr>
        <w:t>负责现场清理</w:t>
      </w:r>
      <w:r>
        <w:rPr>
          <w:rFonts w:hint="eastAsia"/>
          <w:color w:val="000000" w:themeColor="text1"/>
          <w:highlight w:val="none"/>
          <w14:textFill>
            <w14:solidFill>
              <w14:schemeClr w14:val="tx1"/>
            </w14:solidFill>
          </w14:textFill>
        </w:rPr>
        <w:t>完毕</w:t>
      </w:r>
      <w:r>
        <w:rPr>
          <w:color w:val="000000" w:themeColor="text1"/>
          <w:highlight w:val="none"/>
          <w14:textFill>
            <w14:solidFill>
              <w14:schemeClr w14:val="tx1"/>
            </w14:solidFill>
          </w14:textFill>
        </w:rPr>
        <w:t>。</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15、各标段需</w:t>
      </w:r>
      <w:r>
        <w:rPr>
          <w:color w:val="000000" w:themeColor="text1"/>
          <w:highlight w:val="none"/>
          <w14:textFill>
            <w14:solidFill>
              <w14:schemeClr w14:val="tx1"/>
            </w14:solidFill>
          </w14:textFill>
        </w:rPr>
        <w:t>做好养护</w:t>
      </w:r>
      <w:r>
        <w:rPr>
          <w:rFonts w:hint="eastAsia"/>
          <w:color w:val="000000" w:themeColor="text1"/>
          <w:highlight w:val="none"/>
          <w14:textFill>
            <w14:solidFill>
              <w14:schemeClr w14:val="tx1"/>
            </w14:solidFill>
          </w14:textFill>
        </w:rPr>
        <w:t>记录，</w:t>
      </w:r>
      <w:r>
        <w:rPr>
          <w:color w:val="000000" w:themeColor="text1"/>
          <w:highlight w:val="none"/>
          <w14:textFill>
            <w14:solidFill>
              <w14:schemeClr w14:val="tx1"/>
            </w14:solidFill>
          </w14:textFill>
        </w:rPr>
        <w:t>每月初上报业主本月养护计划，</w:t>
      </w:r>
      <w:r>
        <w:rPr>
          <w:rFonts w:hint="eastAsia"/>
          <w:color w:val="000000" w:themeColor="text1"/>
          <w:highlight w:val="none"/>
          <w14:textFill>
            <w14:solidFill>
              <w14:schemeClr w14:val="tx1"/>
            </w14:solidFill>
          </w14:textFill>
        </w:rPr>
        <w:t>每个月</w:t>
      </w:r>
      <w:r>
        <w:rPr>
          <w:color w:val="000000" w:themeColor="text1"/>
          <w:highlight w:val="none"/>
          <w14:textFill>
            <w14:solidFill>
              <w14:schemeClr w14:val="tx1"/>
            </w14:solidFill>
          </w14:textFill>
        </w:rPr>
        <w:t>的第三个星期上交养护资料台账</w:t>
      </w:r>
      <w:r>
        <w:rPr>
          <w:rFonts w:hint="eastAsia"/>
          <w:color w:val="000000" w:themeColor="text1"/>
          <w:highlight w:val="none"/>
          <w14:textFill>
            <w14:solidFill>
              <w14:schemeClr w14:val="tx1"/>
            </w14:solidFill>
          </w14:textFill>
        </w:rPr>
        <w:t>（文字及照片），</w:t>
      </w:r>
      <w:r>
        <w:rPr>
          <w:color w:val="000000" w:themeColor="text1"/>
          <w:highlight w:val="none"/>
          <w14:textFill>
            <w14:solidFill>
              <w14:schemeClr w14:val="tx1"/>
            </w14:solidFill>
          </w14:textFill>
        </w:rPr>
        <w:t>包括安全</w:t>
      </w:r>
      <w:r>
        <w:rPr>
          <w:rFonts w:hint="eastAsia"/>
          <w:color w:val="000000" w:themeColor="text1"/>
          <w:highlight w:val="none"/>
          <w14:textFill>
            <w14:solidFill>
              <w14:schemeClr w14:val="tx1"/>
            </w14:solidFill>
          </w14:textFill>
        </w:rPr>
        <w:t>生产</w:t>
      </w:r>
      <w:r>
        <w:rPr>
          <w:color w:val="000000" w:themeColor="text1"/>
          <w:highlight w:val="none"/>
          <w14:textFill>
            <w14:solidFill>
              <w14:schemeClr w14:val="tx1"/>
            </w14:solidFill>
          </w14:textFill>
        </w:rPr>
        <w:t>、卫生清理等资料。</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16、树木养护管理时，因养护管理措施不当造成树木损失的，由乙方负责赔偿。考虑到南方植物，加拿利海枣的养护特殊性，乙方做好除虫、施药等养护工作，并在甲方鉴证、验收通过后，可免于赔偿。</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17、投标时承诺的车辆必须用于本工程的绿化养护。</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18、及时完成甲方交代的其它有关养护事务，未完成造成损失的乙方负责赔偿。</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19、乙方必须履行以上管理要求，甲方负责监督乙方的养护管理工作，乙方在每次除虫、施肥、整形修剪、除草等前后需通知甲方鉴证、验收，甲方做好记录。否则，甲方有权不予认可。</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、行道树、</w:t>
      </w:r>
      <w:r>
        <w:rPr>
          <w:color w:val="000000" w:themeColor="text1"/>
          <w:highlight w:val="none"/>
          <w14:textFill>
            <w14:solidFill>
              <w14:schemeClr w14:val="tx1"/>
            </w14:solidFill>
          </w14:textFill>
        </w:rPr>
        <w:t>乔木、</w:t>
      </w:r>
      <w:r>
        <w:rPr>
          <w:rFonts w:hint="eastAsia"/>
          <w:color w:val="000000" w:themeColor="text1"/>
          <w:highlight w:val="none"/>
          <w14:textFill>
            <w14:solidFill>
              <w14:schemeClr w14:val="tx1"/>
            </w14:solidFill>
          </w14:textFill>
        </w:rPr>
        <w:t>大灌木</w:t>
      </w:r>
      <w:r>
        <w:rPr>
          <w:color w:val="000000" w:themeColor="text1"/>
          <w:highlight w:val="none"/>
          <w14:textFill>
            <w14:solidFill>
              <w14:schemeClr w14:val="tx1"/>
            </w14:solidFill>
          </w14:textFill>
        </w:rPr>
        <w:t>死缺株补种在接到甲方通知后</w:t>
      </w:r>
      <w:r>
        <w:rPr>
          <w:rFonts w:hint="eastAsia"/>
          <w:color w:val="000000" w:themeColor="text1"/>
          <w:highlight w:val="none"/>
          <w14:textFill>
            <w14:solidFill>
              <w14:schemeClr w14:val="tx1"/>
            </w14:solidFill>
          </w14:textFill>
        </w:rPr>
        <w:t>5个</w:t>
      </w:r>
      <w:r>
        <w:rPr>
          <w:color w:val="000000" w:themeColor="text1"/>
          <w:highlight w:val="none"/>
          <w14:textFill>
            <w14:solidFill>
              <w14:schemeClr w14:val="tx1"/>
            </w14:solidFill>
          </w14:textFill>
        </w:rPr>
        <w:t>工作日内整改完成</w:t>
      </w:r>
      <w:r>
        <w:rPr>
          <w:rFonts w:hint="eastAsia"/>
          <w:color w:val="000000" w:themeColor="text1"/>
          <w:highlight w:val="none"/>
          <w14:textFill>
            <w14:solidFill>
              <w14:schemeClr w14:val="tx1"/>
            </w14:solidFill>
          </w14:textFill>
        </w:rPr>
        <w:t>。</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rFonts w:hint="eastAsia"/>
          <w:color w:val="000000" w:themeColor="text1"/>
          <w:highlight w:val="none"/>
          <w14:textFill>
            <w14:solidFill>
              <w14:schemeClr w14:val="tx1"/>
            </w14:solidFill>
          </w14:textFill>
        </w:rPr>
        <w:t>、无条件配合</w:t>
      </w:r>
      <w:r>
        <w:rPr>
          <w:color w:val="000000" w:themeColor="text1"/>
          <w:highlight w:val="none"/>
          <w14:textFill>
            <w14:solidFill>
              <w14:schemeClr w14:val="tx1"/>
            </w14:solidFill>
          </w14:textFill>
        </w:rPr>
        <w:t>做好影响到监控、</w:t>
      </w:r>
      <w:r>
        <w:rPr>
          <w:rFonts w:hint="eastAsia"/>
          <w:color w:val="000000" w:themeColor="text1"/>
          <w:highlight w:val="none"/>
          <w14:textFill>
            <w14:solidFill>
              <w14:schemeClr w14:val="tx1"/>
            </w14:solidFill>
          </w14:textFill>
        </w:rPr>
        <w:t>高压线</w:t>
      </w:r>
      <w:r>
        <w:rPr>
          <w:color w:val="000000" w:themeColor="text1"/>
          <w:highlight w:val="none"/>
          <w14:textFill>
            <w14:solidFill>
              <w14:schemeClr w14:val="tx1"/>
            </w14:solidFill>
          </w14:textFill>
        </w:rPr>
        <w:t>、路灯等行道树的修枝工作</w:t>
      </w:r>
      <w:r>
        <w:rPr>
          <w:rFonts w:hint="eastAsia"/>
          <w:color w:val="000000" w:themeColor="text1"/>
          <w:highlight w:val="none"/>
          <w14:textFill>
            <w14:solidFill>
              <w14:schemeClr w14:val="tx1"/>
            </w14:solidFill>
          </w14:textFill>
        </w:rPr>
        <w:t>。</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r>
        <w:rPr>
          <w:rFonts w:hint="eastAsia"/>
          <w:color w:val="000000" w:themeColor="text1"/>
          <w:highlight w:val="none"/>
          <w14:textFill>
            <w14:solidFill>
              <w14:schemeClr w14:val="tx1"/>
            </w14:solidFill>
          </w14:textFill>
        </w:rPr>
        <w:t>、做好</w:t>
      </w:r>
      <w:r>
        <w:rPr>
          <w:color w:val="000000" w:themeColor="text1"/>
          <w:highlight w:val="none"/>
          <w14:textFill>
            <w14:solidFill>
              <w14:schemeClr w14:val="tx1"/>
            </w14:solidFill>
          </w14:textFill>
        </w:rPr>
        <w:t>行道树的修剪、抹芽、治虫打药、冬季涂白</w:t>
      </w: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以及甲方交办的其他事项。</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w:t>
      </w:r>
      <w:r>
        <w:rPr>
          <w:rFonts w:hint="eastAsia"/>
          <w:color w:val="000000" w:themeColor="text1"/>
          <w:highlight w:val="none"/>
          <w14:textFill>
            <w14:solidFill>
              <w14:schemeClr w14:val="tx1"/>
            </w14:solidFill>
          </w14:textFill>
        </w:rPr>
        <w:t>、行道树</w:t>
      </w:r>
      <w:r>
        <w:rPr>
          <w:color w:val="000000" w:themeColor="text1"/>
          <w:highlight w:val="none"/>
          <w14:textFill>
            <w14:solidFill>
              <w14:schemeClr w14:val="tx1"/>
            </w14:solidFill>
          </w14:textFill>
        </w:rPr>
        <w:t>树池内的草坪和卵石</w:t>
      </w:r>
      <w:r>
        <w:rPr>
          <w:rFonts w:hint="eastAsia"/>
          <w:color w:val="000000" w:themeColor="text1"/>
          <w:highlight w:val="none"/>
          <w14:textFill>
            <w14:solidFill>
              <w14:schemeClr w14:val="tx1"/>
            </w14:solidFill>
          </w14:textFill>
        </w:rPr>
        <w:t>按</w:t>
      </w:r>
      <w:r>
        <w:rPr>
          <w:color w:val="000000" w:themeColor="text1"/>
          <w:highlight w:val="none"/>
          <w14:textFill>
            <w14:solidFill>
              <w14:schemeClr w14:val="tx1"/>
            </w14:solidFill>
          </w14:textFill>
        </w:rPr>
        <w:t>原状养护，如有损坏，按原状恢复。</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交办的行道树迁移由中标单位无偿实施，</w:t>
      </w:r>
      <w:r>
        <w:rPr>
          <w:rFonts w:hint="eastAsia"/>
          <w:color w:val="000000" w:themeColor="text1"/>
          <w:highlight w:val="none"/>
          <w14:textFill>
            <w14:solidFill>
              <w14:schemeClr w14:val="tx1"/>
            </w14:solidFill>
          </w14:textFill>
        </w:rPr>
        <w:t>新</w:t>
      </w:r>
      <w:r>
        <w:rPr>
          <w:color w:val="000000" w:themeColor="text1"/>
          <w:highlight w:val="none"/>
          <w14:textFill>
            <w14:solidFill>
              <w14:schemeClr w14:val="tx1"/>
            </w14:solidFill>
          </w14:textFill>
        </w:rPr>
        <w:t>迁移苗木</w:t>
      </w:r>
      <w:r>
        <w:rPr>
          <w:rFonts w:hint="eastAsia"/>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养护范围内的由中标单位负责养护</w:t>
      </w:r>
      <w:r>
        <w:rPr>
          <w:rFonts w:hint="eastAsia"/>
          <w:color w:val="000000" w:themeColor="text1"/>
          <w:highlight w:val="none"/>
          <w14:textFill>
            <w14:solidFill>
              <w14:schemeClr w14:val="tx1"/>
            </w14:solidFill>
          </w14:textFill>
        </w:rPr>
        <w:t>至</w:t>
      </w:r>
      <w:r>
        <w:rPr>
          <w:color w:val="000000" w:themeColor="text1"/>
          <w:highlight w:val="none"/>
          <w14:textFill>
            <w14:solidFill>
              <w14:schemeClr w14:val="tx1"/>
            </w14:solidFill>
          </w14:textFill>
        </w:rPr>
        <w:t>中标养护期结束</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适宜季节迁移（11 月至次年 4 月），存活率必须保证在 95％以上，非适宜季节迁移（5 月至 10 月）存活率必须保证在 85％以上。</w:t>
      </w:r>
    </w:p>
    <w:p>
      <w:pPr>
        <w:pStyle w:val="7"/>
        <w:rPr>
          <w:color w:val="000000" w:themeColor="text1"/>
          <w:highlight w:val="none"/>
          <w14:textFill>
            <w14:solidFill>
              <w14:schemeClr w14:val="tx1"/>
            </w14:solidFill>
          </w14:textFill>
        </w:rPr>
      </w:pP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（二）绿化补种、迁移</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各标段配备的绿地养护人员视为采购人间接聘用，车辆等设备视为采购人间接租赁，因此中标单位有义务对绿地内零星的草坪、地被植物、灌木色块的缺损进行修补（修补用的草坪、地被植物、灌木材料为绿地内间疏、迁移或用草皮草籽籽播），采购人不再支付任何费用（包括草皮草籽的费用也不再支付）。</w:t>
      </w:r>
    </w:p>
    <w:p>
      <w:pPr>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树木迁移（从其他地方迁移至标段范围内），由中标单位无偿实施。迁移苗木由中标单位负责养护保活至中标养护期结束。适宜季节迁移（11 月至次年 4 月），存活率必须保证在 95％以上，非适宜季节迁移（5 月至 10 月）存活率必须保证在 85％以上。</w:t>
      </w:r>
    </w:p>
    <w:p>
      <w:pPr>
        <w:spacing w:line="360" w:lineRule="auto"/>
        <w:rPr>
          <w:rFonts w:ascii="宋体" w:hAnsi="宋体"/>
          <w:b/>
          <w:color w:val="000000" w:themeColor="text1"/>
          <w:szCs w:val="2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（三）</w:t>
      </w:r>
      <w:r>
        <w:rPr>
          <w:rFonts w:hint="eastAsia" w:ascii="宋体" w:hAnsi="宋体"/>
          <w:b/>
          <w:color w:val="000000" w:themeColor="text1"/>
          <w:szCs w:val="21"/>
          <w:highlight w:val="none"/>
          <w14:textFill>
            <w14:solidFill>
              <w14:schemeClr w14:val="tx1"/>
            </w14:solidFill>
          </w14:textFill>
        </w:rPr>
        <w:t>栽（补）植标准：</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1、栽（补）植树干笔直，纵成行、横成排。</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2、行道树要有群体特色效果，选用的品种、规格相对统一，栽（补）植品种、规格（树高一致，胸径误差≤20%）也应保持一致，树冠必须保留骨架（3—4根一级主枝）。</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3、移植树木必须带土球，土球直径不小于胸径的8～10倍，且须根保留完好。</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4、树坑直径大于土球直径50cm以上,封土深度以盖住土球上部3～5cm为宜。</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5、栽前起挖、包装运输规范；栽后支撑、修剪、浇水等严格按规程操作。</w:t>
      </w:r>
    </w:p>
    <w:p>
      <w:pPr>
        <w:pStyle w:val="3"/>
        <w:spacing w:after="0"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6、树木成活率90%，树木保存率100%以上。</w:t>
      </w:r>
    </w:p>
    <w:p>
      <w:pPr>
        <w:pStyle w:val="7"/>
        <w:rPr>
          <w:color w:val="000000" w:themeColor="text1"/>
          <w:highlight w:val="none"/>
          <w14:textFill>
            <w14:solidFill>
              <w14:schemeClr w14:val="tx1"/>
            </w14:solidFill>
          </w14:textFill>
        </w:rPr>
      </w:pP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（四）工作量</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①工作量以招标文件规定范围，以中标后经采购人核定的数量为准。</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包含在招标中的部分绿地因其他原因而暂时不能接管的，均以实际移交接收开始之日起计算工作量；若养护过程中因开发建设或绿地改造等政府性项目需要，局部工作量有增减的，按投标单价按实结算，以业主指令为准（但中标单位的履约保证金不作调整，该部分财务成本请在报价中充分考虑）。</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在承包期范围内如涉及绿地改造、施工，绿地全面改造的将按实际改造面积、时间扣除该部分养护费用；如绿地进行局部改造（即绿地内部分植物保留的改造）、且采购人仍要求对未改造部分植物进行养护管理的，改造期内，养护费将按该区域中标养护价的 50％支付，并仍按原标准进行考核。</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（五）绿地养护项目部</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投标人在中标后一个月内须在路桥区内设立绿地养护项目部，组建专门绿地养护管理班子，有固定的办公场所。</w:t>
      </w: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（六）其他</w:t>
      </w:r>
    </w:p>
    <w:p>
      <w:pPr>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鉴于城区实施的数字城管体系，投标人应安排专职接收人员一名（工作时间与数字城管配套），以及时处置数字城管中心和园林中心的交办的有关突发事宜。</w:t>
      </w:r>
    </w:p>
    <w:p>
      <w:pPr>
        <w:rPr>
          <w:color w:val="000000" w:themeColor="text1"/>
          <w:highlight w:val="none"/>
          <w14:textFill>
            <w14:solidFill>
              <w14:schemeClr w14:val="tx1"/>
            </w14:solidFill>
          </w14:textFill>
        </w:rPr>
      </w:pPr>
    </w:p>
    <w:p>
      <w:pPr>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四、人员配备要求</w:t>
      </w:r>
    </w:p>
    <w:p>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1、投标人必须按每12000平方米不少于1人的数量进行配置。如检查</w:t>
      </w:r>
      <w:r>
        <w:rPr>
          <w:rFonts w:ascii="宋体" w:hAnsi="宋体"/>
          <w:b/>
          <w:color w:val="000000" w:themeColor="text1"/>
          <w:szCs w:val="21"/>
          <w:highlight w:val="none"/>
          <w14:textFill>
            <w14:solidFill>
              <w14:schemeClr w14:val="tx1"/>
            </w14:solidFill>
          </w14:textFill>
        </w:rPr>
        <w:t>过程中</w:t>
      </w:r>
      <w:r>
        <w:rPr>
          <w:rFonts w:hint="eastAsia" w:ascii="宋体" w:hAnsi="宋体"/>
          <w:b/>
          <w:color w:val="000000" w:themeColor="text1"/>
          <w:szCs w:val="21"/>
          <w:highlight w:val="none"/>
          <w14:textFill>
            <w14:solidFill>
              <w14:schemeClr w14:val="tx1"/>
            </w14:solidFill>
          </w14:textFill>
        </w:rPr>
        <w:t>乙方</w:t>
      </w:r>
      <w:r>
        <w:rPr>
          <w:rFonts w:ascii="宋体" w:hAnsi="宋体"/>
          <w:b/>
          <w:color w:val="000000" w:themeColor="text1"/>
          <w:szCs w:val="21"/>
          <w:highlight w:val="none"/>
          <w14:textFill>
            <w14:solidFill>
              <w14:schemeClr w14:val="tx1"/>
            </w14:solidFill>
          </w14:textFill>
        </w:rPr>
        <w:t>未按要求配备人员数量，甲方</w:t>
      </w:r>
      <w:r>
        <w:rPr>
          <w:rFonts w:hint="eastAsia" w:ascii="宋体" w:hAnsi="宋体"/>
          <w:b/>
          <w:color w:val="000000" w:themeColor="text1"/>
          <w:szCs w:val="21"/>
          <w:highlight w:val="none"/>
          <w14:textFill>
            <w14:solidFill>
              <w14:schemeClr w14:val="tx1"/>
            </w14:solidFill>
          </w14:textFill>
        </w:rPr>
        <w:t>临时</w:t>
      </w:r>
      <w:r>
        <w:rPr>
          <w:rFonts w:ascii="宋体" w:hAnsi="宋体"/>
          <w:b/>
          <w:color w:val="000000" w:themeColor="text1"/>
          <w:szCs w:val="21"/>
          <w:highlight w:val="none"/>
          <w14:textFill>
            <w14:solidFill>
              <w14:schemeClr w14:val="tx1"/>
            </w14:solidFill>
          </w14:textFill>
        </w:rPr>
        <w:t>招用的人员</w:t>
      </w:r>
      <w:r>
        <w:rPr>
          <w:rFonts w:hint="eastAsia" w:ascii="宋体" w:hAnsi="宋体"/>
          <w:b/>
          <w:color w:val="000000" w:themeColor="text1"/>
          <w:szCs w:val="21"/>
          <w:highlight w:val="none"/>
          <w14:textFill>
            <w14:solidFill>
              <w14:schemeClr w14:val="tx1"/>
            </w14:solidFill>
          </w14:textFill>
        </w:rPr>
        <w:t>工资</w:t>
      </w:r>
      <w:r>
        <w:rPr>
          <w:rFonts w:ascii="宋体" w:hAnsi="宋体"/>
          <w:b/>
          <w:color w:val="000000" w:themeColor="text1"/>
          <w:szCs w:val="21"/>
          <w:highlight w:val="none"/>
          <w14:textFill>
            <w14:solidFill>
              <w14:schemeClr w14:val="tx1"/>
            </w14:solidFill>
          </w14:textFill>
        </w:rPr>
        <w:t>由</w:t>
      </w:r>
      <w:r>
        <w:rPr>
          <w:rFonts w:hint="eastAsia" w:ascii="宋体" w:hAnsi="宋体"/>
          <w:b/>
          <w:color w:val="000000" w:themeColor="text1"/>
          <w:szCs w:val="21"/>
          <w:highlight w:val="none"/>
          <w14:textFill>
            <w14:solidFill>
              <w14:schemeClr w14:val="tx1"/>
            </w14:solidFill>
          </w14:textFill>
        </w:rPr>
        <w:t>乙方</w:t>
      </w:r>
      <w:r>
        <w:rPr>
          <w:rFonts w:ascii="宋体" w:hAnsi="宋体"/>
          <w:b/>
          <w:color w:val="000000" w:themeColor="text1"/>
          <w:szCs w:val="21"/>
          <w:highlight w:val="none"/>
          <w14:textFill>
            <w14:solidFill>
              <w14:schemeClr w14:val="tx1"/>
            </w14:solidFill>
          </w14:textFill>
        </w:rPr>
        <w:t>月养护经费中支出</w:t>
      </w:r>
      <w:r>
        <w:rPr>
          <w:rFonts w:hint="eastAsia" w:ascii="宋体" w:hAnsi="宋体"/>
          <w:b/>
          <w:color w:val="000000" w:themeColor="text1"/>
          <w:szCs w:val="21"/>
          <w:highlight w:val="none"/>
          <w14:textFill>
            <w14:solidFill>
              <w14:schemeClr w14:val="tx1"/>
            </w14:solidFill>
          </w14:textFill>
        </w:rPr>
        <w:t>。</w:t>
      </w:r>
    </w:p>
    <w:p>
      <w:pPr>
        <w:snapToGrid w:val="0"/>
        <w:spacing w:line="360" w:lineRule="auto"/>
        <w:ind w:firstLine="211" w:firstLineChars="1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*2、项目经理每周现场指导养护工作不得少于3天</w:t>
      </w:r>
    </w:p>
    <w:p>
      <w:pPr>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3、养护管理人员要求工作责任心强，身体健康，必须服从相关部门的日常检查、监督和指导。</w:t>
      </w:r>
    </w:p>
    <w:p>
      <w:pPr>
        <w:pStyle w:val="3"/>
        <w:spacing w:line="360" w:lineRule="auto"/>
        <w:ind w:firstLine="210" w:firstLineChars="1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4、如遇到劳资纠纷及委托期间发生人员伤亡等问题由中标单位自行解决。</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五、拟投入项目养护设备要求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983"/>
        <w:gridCol w:w="1919"/>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设备名称</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洒水车（10t）</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辆</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货车</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辆</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割草机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割灌机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绿篱机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打药机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吹风机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草坪梳草机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打孔机</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水泵</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储水桶</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套</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手推车</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辆</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三轮车</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辆</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p>
        </w:tc>
        <w:tc>
          <w:tcPr>
            <w:tcW w:w="398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登高车</w:t>
            </w:r>
          </w:p>
        </w:tc>
        <w:tc>
          <w:tcPr>
            <w:tcW w:w="191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辆</w:t>
            </w:r>
          </w:p>
        </w:tc>
        <w:tc>
          <w:tcPr>
            <w:tcW w:w="185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r>
    </w:tbl>
    <w:p>
      <w:pPr>
        <w:widowControl/>
        <w:jc w:val="left"/>
        <w:rPr>
          <w:rFonts w:ascii="宋体" w:hAnsi="宋体" w:cs="宋体"/>
          <w:color w:val="000000" w:themeColor="text1"/>
          <w:kern w:val="0"/>
          <w:szCs w:val="21"/>
          <w:highlight w:val="none"/>
          <w:lang w:bidi="ar"/>
          <w14:textFill>
            <w14:solidFill>
              <w14:schemeClr w14:val="tx1"/>
            </w14:solidFill>
          </w14:textFill>
        </w:rPr>
      </w:pPr>
    </w:p>
    <w:p>
      <w:pPr>
        <w:widowControl/>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▲自有车辆、设备必须是乙方或乙方法定代表人名下的车辆、设备，</w:t>
      </w:r>
      <w:r>
        <w:rPr>
          <w:rFonts w:ascii="宋体" w:hAnsi="宋体" w:cs="宋体"/>
          <w:color w:val="000000" w:themeColor="text1"/>
          <w:kern w:val="0"/>
          <w:szCs w:val="21"/>
          <w:highlight w:val="none"/>
          <w:lang w:bidi="ar"/>
          <w14:textFill>
            <w14:solidFill>
              <w14:schemeClr w14:val="tx1"/>
            </w14:solidFill>
          </w14:textFill>
        </w:rPr>
        <w:t>如租赁的还</w:t>
      </w:r>
      <w:r>
        <w:rPr>
          <w:rFonts w:hint="eastAsia" w:ascii="宋体" w:hAnsi="宋体" w:cs="宋体"/>
          <w:color w:val="000000" w:themeColor="text1"/>
          <w:kern w:val="0"/>
          <w:szCs w:val="21"/>
          <w:highlight w:val="none"/>
          <w:lang w:bidi="ar"/>
          <w14:textFill>
            <w14:solidFill>
              <w14:schemeClr w14:val="tx1"/>
            </w14:solidFill>
          </w14:textFill>
        </w:rPr>
        <w:t>须</w:t>
      </w:r>
      <w:r>
        <w:rPr>
          <w:rFonts w:ascii="宋体" w:hAnsi="宋体" w:cs="宋体"/>
          <w:color w:val="000000" w:themeColor="text1"/>
          <w:kern w:val="0"/>
          <w:szCs w:val="21"/>
          <w:highlight w:val="none"/>
          <w:lang w:bidi="ar"/>
          <w14:textFill>
            <w14:solidFill>
              <w14:schemeClr w14:val="tx1"/>
            </w14:solidFill>
          </w14:textFill>
        </w:rPr>
        <w:t>提供租赁合同</w:t>
      </w:r>
      <w:r>
        <w:rPr>
          <w:rFonts w:hint="eastAsia" w:ascii="宋体" w:hAnsi="宋体" w:cs="宋体"/>
          <w:color w:val="000000" w:themeColor="text1"/>
          <w:kern w:val="0"/>
          <w:szCs w:val="21"/>
          <w:highlight w:val="none"/>
          <w:lang w:bidi="ar"/>
          <w14:textFill>
            <w14:solidFill>
              <w14:schemeClr w14:val="tx1"/>
            </w14:solidFill>
          </w14:textFill>
        </w:rPr>
        <w:t>。</w:t>
      </w:r>
    </w:p>
    <w:p>
      <w:pPr>
        <w:spacing w:line="360" w:lineRule="auto"/>
        <w:rPr>
          <w:rFonts w:ascii="宋体" w:hAnsi="宋体" w:cs="宋体"/>
          <w:b/>
          <w:color w:val="000000" w:themeColor="text1"/>
          <w:szCs w:val="21"/>
          <w:highlight w:val="none"/>
          <w14:textFill>
            <w14:solidFill>
              <w14:schemeClr w14:val="tx1"/>
            </w14:solidFill>
          </w14:textFill>
        </w:rPr>
      </w:pPr>
    </w:p>
    <w:p>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六、考核办法</w:t>
      </w:r>
      <w:r>
        <w:rPr>
          <w:rFonts w:hint="eastAsia" w:ascii="宋体" w:hAnsi="宋体"/>
          <w:b/>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采购人有权根据实际情况作适当调整</w:t>
      </w:r>
      <w:r>
        <w:rPr>
          <w:rFonts w:hint="eastAsia" w:ascii="宋体" w:hAnsi="宋体"/>
          <w:b/>
          <w:bCs/>
          <w:color w:val="000000" w:themeColor="text1"/>
          <w:szCs w:val="21"/>
          <w:highlight w:val="none"/>
          <w14:textFill>
            <w14:solidFill>
              <w14:schemeClr w14:val="tx1"/>
            </w14:solidFill>
          </w14:textFill>
        </w:rPr>
        <w:t>）</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在养护管理期间，采购方每月不定期会同中标方全面检查若干次。检查的工作人员根据“绿化养护管理评分表”打分，双方共同签字认证，根据每月巡查考核得分计算出平均得分为当月考核得分（取整数，小数点后四舍五入），得分75分为基本合格，得分0～74分为不合格。</w:t>
      </w:r>
    </w:p>
    <w:p>
      <w:pPr>
        <w:spacing w:line="360" w:lineRule="auto"/>
        <w:ind w:firstLine="42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2、有以下两种情形时，采购方可单方与中标方解除合同：</w:t>
      </w:r>
    </w:p>
    <w:p>
      <w:pPr>
        <w:spacing w:line="360" w:lineRule="auto"/>
        <w:ind w:firstLine="630" w:firstLineChars="3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（1）、中标方1个月内巡查考核连续在基本合格以下达2次的；</w:t>
      </w:r>
    </w:p>
    <w:p>
      <w:pPr>
        <w:spacing w:line="360" w:lineRule="auto"/>
        <w:ind w:firstLine="630" w:firstLineChars="3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（2）、中标方12个月内月度考核不合格达2次的。</w:t>
      </w:r>
    </w:p>
    <w:tbl>
      <w:tblPr>
        <w:tblStyle w:val="5"/>
        <w:tblW w:w="10140" w:type="dxa"/>
        <w:jc w:val="center"/>
        <w:tblLayout w:type="fixed"/>
        <w:tblCellMar>
          <w:top w:w="15" w:type="dxa"/>
          <w:left w:w="15" w:type="dxa"/>
          <w:bottom w:w="15" w:type="dxa"/>
          <w:right w:w="15" w:type="dxa"/>
        </w:tblCellMar>
      </w:tblPr>
      <w:tblGrid>
        <w:gridCol w:w="845"/>
        <w:gridCol w:w="1621"/>
        <w:gridCol w:w="1612"/>
        <w:gridCol w:w="1975"/>
        <w:gridCol w:w="1446"/>
        <w:gridCol w:w="485"/>
        <w:gridCol w:w="2156"/>
      </w:tblGrid>
      <w:tr>
        <w:tblPrEx>
          <w:tblCellMar>
            <w:top w:w="15" w:type="dxa"/>
            <w:left w:w="15" w:type="dxa"/>
            <w:bottom w:w="15" w:type="dxa"/>
            <w:right w:w="15" w:type="dxa"/>
          </w:tblCellMar>
        </w:tblPrEx>
        <w:trPr>
          <w:trHeight w:val="911" w:hRule="atLeast"/>
          <w:jc w:val="center"/>
        </w:trPr>
        <w:tc>
          <w:tcPr>
            <w:tcW w:w="10140" w:type="dxa"/>
            <w:gridSpan w:val="7"/>
            <w:vAlign w:val="center"/>
          </w:tcPr>
          <w:p>
            <w:pPr>
              <w:widowControl/>
              <w:jc w:val="center"/>
              <w:textAlignment w:val="center"/>
              <w:rPr>
                <w:rFonts w:ascii="黑体" w:hAnsi="宋体" w:eastAsia="黑体" w:cs="黑体"/>
                <w:color w:val="000000" w:themeColor="text1"/>
                <w:sz w:val="36"/>
                <w:szCs w:val="36"/>
                <w:highlight w:val="none"/>
                <w:u w:val="single"/>
                <w14:textFill>
                  <w14:solidFill>
                    <w14:schemeClr w14:val="tx1"/>
                  </w14:solidFill>
                </w14:textFill>
              </w:rPr>
            </w:pPr>
            <w:r>
              <w:rPr>
                <w:rFonts w:hint="eastAsia" w:ascii="黑体" w:hAnsi="宋体" w:eastAsia="黑体" w:cs="黑体"/>
                <w:color w:val="000000" w:themeColor="text1"/>
                <w:kern w:val="0"/>
                <w:sz w:val="36"/>
                <w:szCs w:val="36"/>
                <w:highlight w:val="none"/>
                <w:u w:val="single"/>
                <w:lang w:bidi="ar"/>
                <w14:textFill>
                  <w14:solidFill>
                    <w14:schemeClr w14:val="tx1"/>
                  </w14:solidFill>
                </w14:textFill>
              </w:rPr>
              <w:t xml:space="preserve">  标段绿化养护评分表 </w:t>
            </w:r>
          </w:p>
        </w:tc>
      </w:tr>
      <w:tr>
        <w:tblPrEx>
          <w:tblCellMar>
            <w:top w:w="15" w:type="dxa"/>
            <w:left w:w="15" w:type="dxa"/>
            <w:bottom w:w="15" w:type="dxa"/>
            <w:right w:w="15" w:type="dxa"/>
          </w:tblCellMar>
        </w:tblPrEx>
        <w:trPr>
          <w:trHeight w:val="712"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评分栏目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检 查 内 容</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评分标准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    分</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得    分</w:t>
            </w: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备    注</w:t>
            </w:r>
          </w:p>
        </w:tc>
      </w:tr>
      <w:tr>
        <w:tblPrEx>
          <w:tblCellMar>
            <w:top w:w="15" w:type="dxa"/>
            <w:left w:w="15" w:type="dxa"/>
            <w:bottom w:w="15" w:type="dxa"/>
            <w:right w:w="15" w:type="dxa"/>
          </w:tblCellMar>
        </w:tblPrEx>
        <w:trPr>
          <w:trHeight w:val="693"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一、园林植物日常管理</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1、绿地占用现象（包括居民毁绿种菜、侵占绿地晾晒等行为）</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发现一处扣1分，占用面积大于20平方扣3分，可叠加</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9</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93"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2、绿地泥土裸露、存在积水，草坪枯死</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按每0.5平方扣1分计算，不足0.5平方按0.5平方计算</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1067"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3、按植物生长要求适时施肥（每年施肥不低于2次，春季3月，冬季11-12月）</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发现未按时追肥或施肥不规范的,扣5分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施肥后及时通知业主进行现场检查，未通知视为没有施肥，现场检查发现施肥数量不足视为未按规定施肥。</w:t>
            </w:r>
          </w:p>
        </w:tc>
      </w:tr>
      <w:tr>
        <w:tblPrEx>
          <w:tblCellMar>
            <w:top w:w="15" w:type="dxa"/>
            <w:left w:w="15" w:type="dxa"/>
            <w:bottom w:w="15" w:type="dxa"/>
            <w:right w:w="15" w:type="dxa"/>
          </w:tblCellMar>
        </w:tblPrEx>
        <w:trPr>
          <w:trHeight w:val="1448"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Style w:val="8"/>
                <w:rFonts w:hint="default"/>
                <w:color w:val="000000" w:themeColor="text1"/>
                <w:highlight w:val="none"/>
                <w:lang w:bidi="ar"/>
                <w14:textFill>
                  <w14:solidFill>
                    <w14:schemeClr w14:val="tx1"/>
                  </w14:solidFill>
                </w14:textFill>
              </w:rPr>
              <w:t>4、及时进行除草，草坪及时修剪,平整度好,杂草每m</w:t>
            </w:r>
            <w:r>
              <w:rPr>
                <w:rStyle w:val="9"/>
                <w:rFonts w:hint="default"/>
                <w:color w:val="000000" w:themeColor="text1"/>
                <w:highlight w:val="none"/>
                <w:lang w:bidi="ar"/>
                <w14:textFill>
                  <w14:solidFill>
                    <w14:schemeClr w14:val="tx1"/>
                  </w14:solidFill>
                </w14:textFill>
              </w:rPr>
              <w:t>2</w:t>
            </w:r>
            <w:r>
              <w:rPr>
                <w:rStyle w:val="8"/>
                <w:rFonts w:hint="default"/>
                <w:color w:val="000000" w:themeColor="text1"/>
                <w:highlight w:val="none"/>
                <w:lang w:bidi="ar"/>
                <w14:textFill>
                  <w14:solidFill>
                    <w14:schemeClr w14:val="tx1"/>
                  </w14:solidFill>
                </w14:textFill>
              </w:rPr>
              <w:t>不多于3棵</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每平方草坪发现杂草超过3株/平方，每发现一处扣5分，草木生长旺季，业主告知标段5日内处理完毕所养护范围的杂草，未按时完成，扣10分。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15</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日常巡查发现问题也按要求扣分。</w:t>
            </w:r>
          </w:p>
        </w:tc>
      </w:tr>
      <w:tr>
        <w:tblPrEx>
          <w:tblCellMar>
            <w:top w:w="15" w:type="dxa"/>
            <w:left w:w="15" w:type="dxa"/>
            <w:bottom w:w="15" w:type="dxa"/>
            <w:right w:w="15" w:type="dxa"/>
          </w:tblCellMar>
        </w:tblPrEx>
        <w:trPr>
          <w:trHeight w:val="1334"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乔木：无死株、无缠绕及攀援性藤本、无枯枝、损伤枝、病枝；及时修剪、抹芽、保持植株的完整性；支撑良好，保持植株的美观性；修剪强度不当，绿篱、整形植物未形成规定的几何图形；未及时调整植物形体差异的</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发现一处扣1分，扣完为止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16</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903"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6、因未及时预防，造成园林植物发生病虫害，在治理时，因农药使用不当，植物产生药害且未及时采取补救措施而引起植株器官缺损。</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发现一处扣1分，扣完为止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39"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7、冬季乔木应涂白，检查地段高度不一致，涂白粗糙浓度不一，出现遗漏的</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发现一处扣1分，扣完为止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436" w:hRule="atLeast"/>
          <w:jc w:val="center"/>
        </w:trPr>
        <w:tc>
          <w:tcPr>
            <w:tcW w:w="8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二、园林设施管理及绿地保洁</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1、园灯、花坛、坐椅及侧石完好、整洁</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发现损坏一处扣1分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19" w:hRule="atLeast"/>
          <w:jc w:val="center"/>
        </w:trPr>
        <w:tc>
          <w:tcPr>
            <w:tcW w:w="8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2、绿地整洁、卫生、无杂物和脏物（水体内无漂浮物、无严重沉淀物）</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发现一处垃圾扣1分，扣完为止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10</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39" w:hRule="atLeast"/>
          <w:jc w:val="center"/>
        </w:trPr>
        <w:tc>
          <w:tcPr>
            <w:tcW w:w="84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三、制度管理</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1、养护管理落实责任制，有养护管理网络，负责本网格的日常施工和安全管理</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现场无安全负责人与联络人的扣2分，扣完为止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39"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2、工作有记录，按要求上报养护计划和养护台账资料</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发现无养护计划的，未及时上交台账资料扣完4分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39"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3、每日须有巡查记录（文字及照片）</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无每日巡查记录的，发现一次扣1分，扣完为止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727"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4、按要求做好文明施工、安全作业</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发现每次每人未按要求作业时，扣2分，扣完为止</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583"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5、对业主单位提出的整改意见落实良好</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良好得6分，一般得4分，差得0分</w:t>
            </w:r>
          </w:p>
        </w:tc>
        <w:tc>
          <w:tcPr>
            <w:tcW w:w="14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w:t>
            </w:r>
          </w:p>
        </w:tc>
        <w:tc>
          <w:tcPr>
            <w:tcW w:w="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524"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6、及时落实甲方交办有关数字城管案件</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未及时完成的，每次扣当月养护费2%</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483"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7、对甲方交代的其他临时性、突发性情况的处理</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在规定的时间内未完成的，每次扣当月养护费5%-8%</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19"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8、遇擅自挖掘占用绿地的</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未及时制止或上报的，每次扣当月养护费2%</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19"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Style w:val="10"/>
                <w:rFonts w:hint="default"/>
                <w:color w:val="000000" w:themeColor="text1"/>
                <w:highlight w:val="none"/>
                <w:lang w:bidi="ar"/>
                <w14:textFill>
                  <w14:solidFill>
                    <w14:schemeClr w14:val="tx1"/>
                  </w14:solidFill>
                </w14:textFill>
              </w:rPr>
              <w:t>9</w:t>
            </w:r>
            <w:r>
              <w:rPr>
                <w:rStyle w:val="8"/>
                <w:rFonts w:hint="default"/>
                <w:color w:val="000000" w:themeColor="text1"/>
                <w:highlight w:val="none"/>
                <w:lang w:bidi="ar"/>
                <w14:textFill>
                  <w14:solidFill>
                    <w14:schemeClr w14:val="tx1"/>
                  </w14:solidFill>
                </w14:textFill>
              </w:rPr>
              <w:t>、及时清理因事故造成的损坏、伤亡的植株</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未及时清理扣除当月养护费2%</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725" w:hRule="atLeast"/>
          <w:jc w:val="center"/>
        </w:trPr>
        <w:tc>
          <w:tcPr>
            <w:tcW w:w="845" w:type="dxa"/>
            <w:vMerge w:val="continue"/>
            <w:tcBorders>
              <w:left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接到业主通知后对罗汉松、红花</w:t>
            </w:r>
            <w:r>
              <w:rPr>
                <w:rFonts w:hint="eastAsia"/>
                <w:color w:val="000000" w:themeColor="text1"/>
                <w:highlight w:val="none"/>
                <w14:textFill>
                  <w14:solidFill>
                    <w14:schemeClr w14:val="tx1"/>
                  </w14:solidFill>
                </w14:textFill>
              </w:rPr>
              <w:t>继</w:t>
            </w:r>
            <w:r>
              <w:rPr>
                <w:color w:val="000000" w:themeColor="text1"/>
                <w:highlight w:val="none"/>
                <w14:textFill>
                  <w14:solidFill>
                    <w14:schemeClr w14:val="tx1"/>
                  </w14:solidFill>
                </w14:textFill>
              </w:rPr>
              <w:t>木等珍贵树种进行</w:t>
            </w:r>
            <w:r>
              <w:rPr>
                <w:rFonts w:hint="eastAsia"/>
                <w:color w:val="000000" w:themeColor="text1"/>
                <w:highlight w:val="none"/>
                <w14:textFill>
                  <w14:solidFill>
                    <w14:schemeClr w14:val="tx1"/>
                  </w14:solidFill>
                </w14:textFill>
              </w:rPr>
              <w:t>整枝扎丝造型，事后通知业主验收</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验收不通过扣除当年养护费用的10%</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19" w:hRule="atLeast"/>
          <w:jc w:val="center"/>
        </w:trPr>
        <w:tc>
          <w:tcPr>
            <w:tcW w:w="84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四、特别扣款项</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1、管护不善,被新闻媒体曝光或受到政府有关部门通报批评</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无正当理由的，每次扣当月养护费5%-8%；受表扬的，当月总分加3-5分/次</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2258" w:hRule="atLeast"/>
          <w:jc w:val="center"/>
        </w:trPr>
        <w:tc>
          <w:tcPr>
            <w:tcW w:w="845"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2、整改要求：</w:t>
            </w:r>
          </w:p>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1、行道树、乔木、大灌木死缺株在接到整改通知单起计，5个工作日内整改完成；</w:t>
            </w:r>
          </w:p>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2、无条件配合做好影响到监控、高压线、路灯等行道树的修枝工作；</w:t>
            </w:r>
          </w:p>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3、片植灌木、地被、草坪、草花等死缺株在3个工作日内整改完成；</w:t>
            </w:r>
          </w:p>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4、卫生垃圾半个工作日整改完成；</w:t>
            </w:r>
          </w:p>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5、其他设施7个工作日内整改完成。</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未达到甲方要求的，每次扣除每月养护经费的</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6%</w:t>
            </w:r>
            <w:r>
              <w:rPr>
                <w:rFonts w:hint="eastAsia" w:ascii="宋体" w:hAnsi="宋体" w:cs="宋体"/>
                <w:color w:val="000000" w:themeColor="text1"/>
                <w:kern w:val="0"/>
                <w:sz w:val="20"/>
                <w:szCs w:val="20"/>
                <w:highlight w:val="none"/>
                <w:lang w:bidi="ar"/>
                <w14:textFill>
                  <w14:solidFill>
                    <w14:schemeClr w14:val="tx1"/>
                  </w14:solidFill>
                </w14:textFill>
              </w:rPr>
              <w:t>，按累计叠加计算</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877" w:hRule="atLeast"/>
          <w:jc w:val="center"/>
        </w:trPr>
        <w:tc>
          <w:tcPr>
            <w:tcW w:w="84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 w:val="20"/>
                <w:szCs w:val="20"/>
                <w:highlight w:val="none"/>
                <w:lang w:bidi="ar"/>
                <w14:textFill>
                  <w14:solidFill>
                    <w14:schemeClr w14:val="tx1"/>
                  </w14:solidFill>
                </w14:textFill>
              </w:rPr>
            </w:pP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3、</w:t>
            </w:r>
            <w:r>
              <w:rPr>
                <w:rFonts w:ascii="宋体" w:hAnsi="宋体" w:cs="宋体"/>
                <w:color w:val="000000" w:themeColor="text1"/>
                <w:kern w:val="0"/>
                <w:sz w:val="20"/>
                <w:szCs w:val="20"/>
                <w:highlight w:val="none"/>
                <w:lang w:bidi="ar"/>
                <w14:textFill>
                  <w14:solidFill>
                    <w14:schemeClr w14:val="tx1"/>
                  </w14:solidFill>
                </w14:textFill>
              </w:rPr>
              <w:t>养护人员不足</w:t>
            </w:r>
          </w:p>
        </w:tc>
        <w:tc>
          <w:tcPr>
            <w:tcW w:w="342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kern w:val="0"/>
                <w:sz w:val="20"/>
                <w:szCs w:val="20"/>
                <w:highlight w:val="none"/>
                <w:lang w:bidi="ar"/>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发现人员未按养护要求养护的，每人每次扣当月养护费的</w:t>
            </w:r>
            <w:r>
              <w:rPr>
                <w:rFonts w:hint="eastAsia" w:ascii="宋体" w:hAnsi="宋体" w:cs="宋体"/>
                <w:color w:val="000000" w:themeColor="text1"/>
                <w:kern w:val="0"/>
                <w:sz w:val="20"/>
                <w:szCs w:val="20"/>
                <w:highlight w:val="none"/>
                <w:lang w:val="en-US" w:eastAsia="zh-CN" w:bidi="ar"/>
                <w14:textFill>
                  <w14:solidFill>
                    <w14:schemeClr w14:val="tx1"/>
                  </w14:solidFill>
                </w14:textFill>
              </w:rPr>
              <w:t>1%</w:t>
            </w:r>
            <w:r>
              <w:rPr>
                <w:rFonts w:hint="eastAsia" w:ascii="宋体" w:hAnsi="宋体" w:cs="宋体"/>
                <w:color w:val="000000" w:themeColor="text1"/>
                <w:kern w:val="0"/>
                <w:sz w:val="20"/>
                <w:szCs w:val="20"/>
                <w:highlight w:val="none"/>
                <w:lang w:bidi="ar"/>
                <w14:textFill>
                  <w14:solidFill>
                    <w14:schemeClr w14:val="tx1"/>
                  </w14:solidFill>
                </w14:textFill>
              </w:rPr>
              <w:t>，按累计叠加计算</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r>
        <w:tblPrEx>
          <w:tblCellMar>
            <w:top w:w="15" w:type="dxa"/>
            <w:left w:w="15" w:type="dxa"/>
            <w:bottom w:w="15" w:type="dxa"/>
            <w:right w:w="15" w:type="dxa"/>
          </w:tblCellMar>
        </w:tblPrEx>
        <w:trPr>
          <w:trHeight w:val="619"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总得分</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themeColor="text1"/>
                <w:sz w:val="20"/>
                <w:szCs w:val="20"/>
                <w:highlight w:val="none"/>
                <w14:textFill>
                  <w14:solidFill>
                    <w14:schemeClr w14:val="tx1"/>
                  </w14:solidFill>
                </w14:textFill>
              </w:rPr>
            </w:pPr>
          </w:p>
        </w:tc>
        <w:tc>
          <w:tcPr>
            <w:tcW w:w="503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甲方检查人员:</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负责人:</w:t>
            </w:r>
          </w:p>
        </w:tc>
      </w:tr>
      <w:tr>
        <w:tblPrEx>
          <w:tblCellMar>
            <w:top w:w="15" w:type="dxa"/>
            <w:left w:w="15" w:type="dxa"/>
            <w:bottom w:w="15" w:type="dxa"/>
            <w:right w:w="15" w:type="dxa"/>
          </w:tblCellMar>
        </w:tblPrEx>
        <w:trPr>
          <w:trHeight w:val="662" w:hRule="atLeast"/>
          <w:jc w:val="center"/>
        </w:trPr>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评分日期</w:t>
            </w:r>
          </w:p>
        </w:tc>
        <w:tc>
          <w:tcPr>
            <w:tcW w:w="1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themeColor="text1"/>
                <w:sz w:val="20"/>
                <w:szCs w:val="20"/>
                <w:highlight w:val="none"/>
                <w14:textFill>
                  <w14:solidFill>
                    <w14:schemeClr w14:val="tx1"/>
                  </w14:solidFill>
                </w14:textFill>
              </w:rPr>
            </w:pPr>
          </w:p>
        </w:tc>
        <w:tc>
          <w:tcPr>
            <w:tcW w:w="503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themeColor="text1"/>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lang w:bidi="ar"/>
                <w14:textFill>
                  <w14:solidFill>
                    <w14:schemeClr w14:val="tx1"/>
                  </w14:solidFill>
                </w14:textFill>
              </w:rPr>
              <w:t>乙方签字</w:t>
            </w:r>
          </w:p>
        </w:tc>
        <w:tc>
          <w:tcPr>
            <w:tcW w:w="264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 w:val="20"/>
                <w:szCs w:val="20"/>
                <w:highlight w:val="none"/>
                <w14:textFill>
                  <w14:solidFill>
                    <w14:schemeClr w14:val="tx1"/>
                  </w14:solidFill>
                </w14:textFill>
              </w:rPr>
            </w:pPr>
          </w:p>
        </w:tc>
      </w:tr>
    </w:tbl>
    <w:p>
      <w:pPr>
        <w:spacing w:line="360" w:lineRule="auto"/>
        <w:rPr>
          <w:b/>
          <w:bCs/>
          <w:color w:val="000000" w:themeColor="text1"/>
          <w:highlight w:val="none"/>
          <w14:textFill>
            <w14:solidFill>
              <w14:schemeClr w14:val="tx1"/>
            </w14:solidFill>
          </w14:textFill>
        </w:rPr>
      </w:pPr>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七、管理服务期限：</w:t>
      </w:r>
      <w:r>
        <w:rPr>
          <w:rFonts w:hint="eastAsia" w:ascii="宋体" w:hAnsi="宋体"/>
          <w:b/>
          <w:color w:val="000000" w:themeColor="text1"/>
          <w:szCs w:val="21"/>
          <w:highlight w:val="none"/>
          <w14:textFill>
            <w14:solidFill>
              <w14:schemeClr w14:val="tx1"/>
            </w14:solidFill>
          </w14:textFill>
        </w:rPr>
        <w:t>两年，采用1+1方式。在第一年合同期满前一个月，业主方将根据中标方在上一阶段合同履约、考核情况</w:t>
      </w:r>
      <w:r>
        <w:rPr>
          <w:rFonts w:hint="eastAsia" w:ascii="宋体" w:hAnsi="宋体"/>
          <w:b/>
          <w:color w:val="000000" w:themeColor="text1"/>
          <w:szCs w:val="21"/>
          <w:highlight w:val="none"/>
          <w:lang w:eastAsia="zh-CN"/>
          <w14:textFill>
            <w14:solidFill>
              <w14:schemeClr w14:val="tx1"/>
            </w14:solidFill>
          </w14:textFill>
        </w:rPr>
        <w:t>、项目绩效评价</w:t>
      </w:r>
      <w:r>
        <w:rPr>
          <w:rFonts w:hint="eastAsia" w:ascii="宋体" w:hAnsi="宋体"/>
          <w:b/>
          <w:color w:val="000000" w:themeColor="text1"/>
          <w:szCs w:val="21"/>
          <w:highlight w:val="none"/>
          <w14:textFill>
            <w14:solidFill>
              <w14:schemeClr w14:val="tx1"/>
            </w14:solidFill>
          </w14:textFill>
        </w:rPr>
        <w:t>及财政资金审批情况决定是否续签。如中标方达到业主方各项考核标准，经双方协商，则合同承包期限顺延续签1年，管理服务费按原合同价不变。第2年按此规定延续，否则业主方将另行选择其他承包方。</w:t>
      </w:r>
    </w:p>
    <w:p>
      <w:pPr>
        <w:spacing w:line="360" w:lineRule="auto"/>
        <w:textAlignment w:val="baseline"/>
        <w:rPr>
          <w:rFonts w:ascii="宋体" w:hAnsi="宋体" w:cs="宋体"/>
          <w:b/>
          <w:color w:val="000000" w:themeColor="text1"/>
          <w:szCs w:val="21"/>
          <w:highlight w:val="none"/>
          <w14:textFill>
            <w14:solidFill>
              <w14:schemeClr w14:val="tx1"/>
            </w14:solidFill>
          </w14:textFill>
        </w:rPr>
      </w:pPr>
    </w:p>
    <w:p>
      <w:pPr>
        <w:spacing w:line="360" w:lineRule="auto"/>
        <w:textAlignment w:val="baseline"/>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八、其它要求</w:t>
      </w:r>
    </w:p>
    <w:p>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color w:val="000000" w:themeColor="text1"/>
          <w:highlight w:val="none"/>
          <w14:textFill>
            <w14:solidFill>
              <w14:schemeClr w14:val="tx1"/>
            </w14:solidFill>
          </w14:textFill>
        </w:rPr>
        <w:t>如遇政府行为绿地需增减，中标方须无条件接受，并按实际绿地面积计算养护费（单价同投标价）。</w:t>
      </w:r>
    </w:p>
    <w:p>
      <w:pPr>
        <w:pStyle w:val="3"/>
        <w:spacing w:after="0" w:line="360" w:lineRule="auto"/>
        <w:ind w:firstLine="422" w:firstLineChars="200"/>
        <w:rPr>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2、若中标，中标单位在合同签订之前，洒水车需购置到位，并提供自身拥有核定载质量为10吨及10吨以上的洒水车购置合同，或提供洒水车租赁合同，如未购置（租赁）到位，取消其中标资格。</w:t>
      </w:r>
    </w:p>
    <w:p>
      <w:pPr>
        <w:pStyle w:val="4"/>
        <w:ind w:firstLine="2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w:t>
      </w:r>
      <w:r>
        <w:rPr>
          <w:color w:val="000000" w:themeColor="text1"/>
          <w:highlight w:val="none"/>
          <w14:textFill>
            <w14:solidFill>
              <w14:schemeClr w14:val="tx1"/>
            </w14:solidFill>
          </w14:textFill>
        </w:rPr>
        <w:t>项目经理每周在现场不少于</w:t>
      </w:r>
      <w:r>
        <w:rPr>
          <w:rFonts w:hint="eastAsia"/>
          <w:color w:val="000000" w:themeColor="text1"/>
          <w:highlight w:val="none"/>
          <w14:textFill>
            <w14:solidFill>
              <w14:schemeClr w14:val="tx1"/>
            </w14:solidFill>
          </w14:textFill>
        </w:rPr>
        <w:t>3天</w:t>
      </w:r>
      <w:r>
        <w:rPr>
          <w:color w:val="000000" w:themeColor="text1"/>
          <w:highlight w:val="none"/>
          <w14:textFill>
            <w14:solidFill>
              <w14:schemeClr w14:val="tx1"/>
            </w14:solidFill>
          </w14:textFill>
        </w:rPr>
        <w:t>。</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4、日常</w:t>
      </w:r>
      <w:r>
        <w:rPr>
          <w:color w:val="000000" w:themeColor="text1"/>
          <w:highlight w:val="none"/>
          <w14:textFill>
            <w14:solidFill>
              <w14:schemeClr w14:val="tx1"/>
            </w14:solidFill>
          </w14:textFill>
        </w:rPr>
        <w:t>养护人员不足养护要求的，甲方自行</w:t>
      </w:r>
      <w:r>
        <w:rPr>
          <w:rFonts w:hint="eastAsia"/>
          <w:color w:val="000000" w:themeColor="text1"/>
          <w:highlight w:val="none"/>
          <w14:textFill>
            <w14:solidFill>
              <w14:schemeClr w14:val="tx1"/>
            </w14:solidFill>
          </w14:textFill>
        </w:rPr>
        <w:t>招募，</w:t>
      </w:r>
      <w:r>
        <w:rPr>
          <w:color w:val="000000" w:themeColor="text1"/>
          <w:highlight w:val="none"/>
          <w14:textFill>
            <w14:solidFill>
              <w14:schemeClr w14:val="tx1"/>
            </w14:solidFill>
          </w14:textFill>
        </w:rPr>
        <w:t>不足的人员费用</w:t>
      </w:r>
      <w:r>
        <w:rPr>
          <w:rFonts w:hint="eastAsia"/>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中标单位养护费用中列支，并按</w:t>
      </w:r>
      <w:r>
        <w:rPr>
          <w:rFonts w:hint="eastAsia"/>
          <w:bCs/>
          <w:color w:val="000000" w:themeColor="text1"/>
          <w:highlight w:val="none"/>
          <w14:textFill>
            <w14:solidFill>
              <w14:schemeClr w14:val="tx1"/>
            </w14:solidFill>
          </w14:textFill>
        </w:rPr>
        <w:t>“绿化养护管理评分表”</w:t>
      </w:r>
      <w:r>
        <w:rPr>
          <w:rFonts w:hint="eastAsia"/>
          <w:color w:val="000000" w:themeColor="text1"/>
          <w:highlight w:val="none"/>
          <w14:textFill>
            <w14:solidFill>
              <w14:schemeClr w14:val="tx1"/>
            </w14:solidFill>
          </w14:textFill>
        </w:rPr>
        <w:t>进行</w:t>
      </w:r>
      <w:r>
        <w:rPr>
          <w:color w:val="000000" w:themeColor="text1"/>
          <w:highlight w:val="none"/>
          <w14:textFill>
            <w14:solidFill>
              <w14:schemeClr w14:val="tx1"/>
            </w14:solidFill>
          </w14:textFill>
        </w:rPr>
        <w:t>考核。</w:t>
      </w:r>
    </w:p>
    <w:p>
      <w:pPr>
        <w:spacing w:line="360" w:lineRule="auto"/>
        <w:ind w:firstLine="422" w:firstLineChars="200"/>
        <w:rPr>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5</w:t>
      </w:r>
      <w:r>
        <w:rPr>
          <w:rFonts w:hint="eastAsia"/>
          <w:b/>
          <w:bCs/>
          <w:color w:val="000000" w:themeColor="text1"/>
          <w:highlight w:val="none"/>
          <w14:textFill>
            <w14:solidFill>
              <w14:schemeClr w14:val="tx1"/>
            </w14:solidFill>
          </w14:textFill>
        </w:rPr>
        <w:t>、付款方式：</w:t>
      </w:r>
      <w:r>
        <w:rPr>
          <w:rFonts w:hint="eastAsia"/>
          <w:bCs/>
          <w:color w:val="000000" w:themeColor="text1"/>
          <w:highlight w:val="none"/>
          <w14:textFill>
            <w14:solidFill>
              <w14:schemeClr w14:val="tx1"/>
            </w14:solidFill>
          </w14:textFill>
        </w:rPr>
        <w:t>在养护管理期间，采购方每月不定期会同中标方全面检查若干次。检查的工作人员根据“绿化养护管理评分表”打分，双方共同签字认证，根据每月巡查考核得分计算出平均得分为当月考核得分（取整数，小数点后四舍五入），得分75分为基本合格，得分0～74分为不合格。</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以下</w:t>
      </w:r>
      <w:r>
        <w:rPr>
          <w:bCs/>
          <w:color w:val="000000" w:themeColor="text1"/>
          <w:highlight w:val="none"/>
          <w14:textFill>
            <w14:solidFill>
              <w14:schemeClr w14:val="tx1"/>
            </w14:solidFill>
          </w14:textFill>
        </w:rPr>
        <w:t>按阶梯式扣分：</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月度平均得分90分及90分以上给付当月100%养护费；</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月度平均得分89～</w:t>
      </w:r>
      <w:r>
        <w:rPr>
          <w:bCs/>
          <w:color w:val="000000" w:themeColor="text1"/>
          <w:highlight w:val="none"/>
          <w14:textFill>
            <w14:solidFill>
              <w14:schemeClr w14:val="tx1"/>
            </w14:solidFill>
          </w14:textFill>
        </w:rPr>
        <w:t>85</w:t>
      </w:r>
      <w:r>
        <w:rPr>
          <w:rFonts w:hint="eastAsia"/>
          <w:bCs/>
          <w:color w:val="000000" w:themeColor="text1"/>
          <w:highlight w:val="none"/>
          <w14:textFill>
            <w14:solidFill>
              <w14:schemeClr w14:val="tx1"/>
            </w14:solidFill>
          </w14:textFill>
        </w:rPr>
        <w:t>分时，以月度平均得分90分为基点，每减少１分扣除当月</w:t>
      </w:r>
      <w:r>
        <w:rPr>
          <w:bCs/>
          <w:color w:val="000000" w:themeColor="text1"/>
          <w:highlight w:val="none"/>
          <w14:textFill>
            <w14:solidFill>
              <w14:schemeClr w14:val="tx1"/>
            </w14:solidFill>
          </w14:textFill>
        </w:rPr>
        <w:t>1</w:t>
      </w:r>
      <w:r>
        <w:rPr>
          <w:rFonts w:hint="eastAsia"/>
          <w:bCs/>
          <w:color w:val="000000" w:themeColor="text1"/>
          <w:highlight w:val="none"/>
          <w14:textFill>
            <w14:solidFill>
              <w14:schemeClr w14:val="tx1"/>
            </w14:solidFill>
          </w14:textFill>
        </w:rPr>
        <w:t>%养护费；</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月度平均得分8</w:t>
      </w:r>
      <w:r>
        <w:rPr>
          <w:bCs/>
          <w:color w:val="000000" w:themeColor="text1"/>
          <w:highlight w:val="none"/>
          <w14:textFill>
            <w14:solidFill>
              <w14:schemeClr w14:val="tx1"/>
            </w14:solidFill>
          </w14:textFill>
        </w:rPr>
        <w:t>4</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80</w:t>
      </w:r>
      <w:r>
        <w:rPr>
          <w:rFonts w:hint="eastAsia"/>
          <w:bCs/>
          <w:color w:val="000000" w:themeColor="text1"/>
          <w:highlight w:val="none"/>
          <w14:textFill>
            <w14:solidFill>
              <w14:schemeClr w14:val="tx1"/>
            </w14:solidFill>
          </w14:textFill>
        </w:rPr>
        <w:t>分时，以月度平均得分</w:t>
      </w:r>
      <w:r>
        <w:rPr>
          <w:bCs/>
          <w:color w:val="000000" w:themeColor="text1"/>
          <w:highlight w:val="none"/>
          <w14:textFill>
            <w14:solidFill>
              <w14:schemeClr w14:val="tx1"/>
            </w14:solidFill>
          </w14:textFill>
        </w:rPr>
        <w:t>85</w:t>
      </w:r>
      <w:r>
        <w:rPr>
          <w:rFonts w:hint="eastAsia"/>
          <w:bCs/>
          <w:color w:val="000000" w:themeColor="text1"/>
          <w:highlight w:val="none"/>
          <w14:textFill>
            <w14:solidFill>
              <w14:schemeClr w14:val="tx1"/>
            </w14:solidFill>
          </w14:textFill>
        </w:rPr>
        <w:t>分为基点，每减少１分扣除当月</w:t>
      </w:r>
      <w:r>
        <w:rPr>
          <w:bCs/>
          <w:color w:val="000000" w:themeColor="text1"/>
          <w:highlight w:val="none"/>
          <w14:textFill>
            <w14:solidFill>
              <w14:schemeClr w14:val="tx1"/>
            </w14:solidFill>
          </w14:textFill>
        </w:rPr>
        <w:t>2</w:t>
      </w:r>
      <w:r>
        <w:rPr>
          <w:rFonts w:hint="eastAsia"/>
          <w:bCs/>
          <w:color w:val="000000" w:themeColor="text1"/>
          <w:highlight w:val="none"/>
          <w14:textFill>
            <w14:solidFill>
              <w14:schemeClr w14:val="tx1"/>
            </w14:solidFill>
          </w14:textFill>
        </w:rPr>
        <w:t>%养护费；</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w:t>
      </w:r>
      <w:r>
        <w:rPr>
          <w:bCs/>
          <w:color w:val="000000" w:themeColor="text1"/>
          <w:highlight w:val="none"/>
          <w14:textFill>
            <w14:solidFill>
              <w14:schemeClr w14:val="tx1"/>
            </w14:solidFill>
          </w14:textFill>
        </w:rPr>
        <w:t>79</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76</w:t>
      </w:r>
      <w:r>
        <w:rPr>
          <w:rFonts w:hint="eastAsia"/>
          <w:bCs/>
          <w:color w:val="000000" w:themeColor="text1"/>
          <w:highlight w:val="none"/>
          <w14:textFill>
            <w14:solidFill>
              <w14:schemeClr w14:val="tx1"/>
            </w14:solidFill>
          </w14:textFill>
        </w:rPr>
        <w:t>分时，以月度平均得分</w:t>
      </w:r>
      <w:r>
        <w:rPr>
          <w:bCs/>
          <w:color w:val="000000" w:themeColor="text1"/>
          <w:highlight w:val="none"/>
          <w14:textFill>
            <w14:solidFill>
              <w14:schemeClr w14:val="tx1"/>
            </w14:solidFill>
          </w14:textFill>
        </w:rPr>
        <w:t>80</w:t>
      </w:r>
      <w:r>
        <w:rPr>
          <w:rFonts w:hint="eastAsia"/>
          <w:bCs/>
          <w:color w:val="000000" w:themeColor="text1"/>
          <w:highlight w:val="none"/>
          <w14:textFill>
            <w14:solidFill>
              <w14:schemeClr w14:val="tx1"/>
            </w14:solidFill>
          </w14:textFill>
        </w:rPr>
        <w:t>分为基点，每减少１分扣除当月</w:t>
      </w:r>
      <w:r>
        <w:rPr>
          <w:bCs/>
          <w:color w:val="000000" w:themeColor="text1"/>
          <w:highlight w:val="none"/>
          <w14:textFill>
            <w14:solidFill>
              <w14:schemeClr w14:val="tx1"/>
            </w14:solidFill>
          </w14:textFill>
        </w:rPr>
        <w:t>3</w:t>
      </w:r>
      <w:r>
        <w:rPr>
          <w:rFonts w:hint="eastAsia"/>
          <w:bCs/>
          <w:color w:val="000000" w:themeColor="text1"/>
          <w:highlight w:val="none"/>
          <w14:textFill>
            <w14:solidFill>
              <w14:schemeClr w14:val="tx1"/>
            </w14:solidFill>
          </w14:textFill>
        </w:rPr>
        <w:t>%养护费；</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月度平均得分75分时，扣除当月50%养护费；</w:t>
      </w:r>
    </w:p>
    <w:p>
      <w:pPr>
        <w:spacing w:line="360" w:lineRule="auto"/>
        <w:ind w:firstLine="42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月度平均得分74分及74分以下扣除当月100%养护费。</w:t>
      </w:r>
    </w:p>
    <w:p>
      <w:pPr>
        <w:spacing w:line="360" w:lineRule="auto"/>
        <w:ind w:firstLine="420" w:firstLineChars="200"/>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每次付款时扣除其它费用。</w:t>
      </w:r>
    </w:p>
    <w:p>
      <w:pPr>
        <w:pStyle w:val="3"/>
        <w:spacing w:after="0"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6</w:t>
      </w:r>
      <w:r>
        <w:rPr>
          <w:rFonts w:hint="eastAsia"/>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中标供应商在合同期内不得以任何理由进行转包或分包，否则采购方有权单方面解除合同，并向中标方收取中标价的百分之三十的违约金。</w:t>
      </w:r>
    </w:p>
    <w:p>
      <w:pPr>
        <w:pStyle w:val="4"/>
        <w:ind w:firstLine="422" w:firstLineChars="200"/>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7、</w:t>
      </w:r>
      <w:r>
        <w:rPr>
          <w:rFonts w:hint="eastAsia" w:ascii="宋体" w:hAnsi="宋体" w:eastAsia="宋体" w:cs="Times New Roman"/>
          <w:b/>
          <w:color w:val="000000" w:themeColor="text1"/>
          <w:kern w:val="2"/>
          <w:sz w:val="21"/>
          <w:szCs w:val="21"/>
          <w:highlight w:val="none"/>
          <w:lang w:val="en-US" w:eastAsia="zh-CN" w:bidi="ar-SA"/>
          <w14:textFill>
            <w14:solidFill>
              <w14:schemeClr w14:val="tx1"/>
            </w14:solidFill>
          </w14:textFill>
        </w:rPr>
        <w:t>本项目为绿化养护项目，考虑到养护服务的特殊性，新养护服务时间定于2021年2月8日起，各投标单位务必考虑本项因素。</w:t>
      </w:r>
    </w:p>
    <w:p>
      <w:pPr>
        <w:pStyle w:val="4"/>
        <w:ind w:firstLine="210"/>
        <w:rPr>
          <w:color w:val="000000" w:themeColor="text1"/>
          <w:highlight w:val="none"/>
          <w14:textFill>
            <w14:solidFill>
              <w14:schemeClr w14:val="tx1"/>
            </w14:solidFill>
          </w14:textFill>
        </w:rPr>
      </w:pPr>
    </w:p>
    <w:p>
      <w:r>
        <w:rPr>
          <w:rFonts w:hint="eastAsia" w:ascii="宋体" w:hAnsi="宋体"/>
          <w:b/>
          <w:color w:val="000000" w:themeColor="text1"/>
          <w:szCs w:val="21"/>
          <w:highlight w:val="none"/>
          <w14:textFill>
            <w14:solidFill>
              <w14:schemeClr w14:val="tx1"/>
            </w14:solidFill>
          </w14:textFill>
        </w:rPr>
        <w:t>九、本项目中标（成交）供应商应在浙江政府采购网（http://zfcg.czt.zj.gov.cn）上注册成为“政府采购供应商”，如不按要求注册的，采购方有权延期发布中标（成交）通知书和中标（成交）公告，后果由供应商自行承担</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6589F6"/>
    <w:multiLevelType w:val="singleLevel"/>
    <w:tmpl w:val="AB6589F6"/>
    <w:lvl w:ilvl="0" w:tentative="0">
      <w:start w:val="2"/>
      <w:numFmt w:val="chineseCounting"/>
      <w:suff w:val="nothing"/>
      <w:lvlText w:val="%1、"/>
      <w:lvlJc w:val="left"/>
      <w:rPr>
        <w:rFonts w:hint="eastAsia"/>
      </w:rPr>
    </w:lvl>
  </w:abstractNum>
  <w:abstractNum w:abstractNumId="1">
    <w:nsid w:val="75840B6E"/>
    <w:multiLevelType w:val="singleLevel"/>
    <w:tmpl w:val="75840B6E"/>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0283A"/>
    <w:rsid w:val="7440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styleId="4">
    <w:name w:val="Body Text First Indent"/>
    <w:basedOn w:val="3"/>
    <w:next w:val="1"/>
    <w:qFormat/>
    <w:uiPriority w:val="0"/>
    <w:pPr>
      <w:ind w:firstLine="420" w:firstLineChars="100"/>
    </w:pPr>
  </w:style>
  <w:style w:type="paragraph" w:customStyle="1" w:styleId="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vertAlign w:val="superscript"/>
    </w:rPr>
  </w:style>
  <w:style w:type="character" w:customStyle="1" w:styleId="10">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2021-01-13T05:12:00Z</dcterms:created>
  <dc:creator>小陈</dc:creator>
  <cp:lastModifiedBy>小陈</cp:lastModifiedBy>
  <dcterms:modified xsi:type="dcterms:W3CDTF">2021-01-13T05:12:33Z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