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宋体" w:hAnsi="宋体"/>
          <w:b/>
          <w:bCs/>
          <w:color w:val="auto"/>
          <w:sz w:val="36"/>
          <w:szCs w:val="36"/>
          <w:highlight w:val="none"/>
        </w:rPr>
      </w:pPr>
      <w:bookmarkStart w:id="482" w:name="_GoBack"/>
    </w:p>
    <w:p>
      <w:pPr>
        <w:spacing w:before="120" w:beforeLines="50"/>
        <w:jc w:val="center"/>
        <w:rPr>
          <w:rFonts w:ascii="宋体" w:hAnsi="宋体"/>
          <w:b/>
          <w:bCs/>
          <w:color w:val="auto"/>
          <w:sz w:val="36"/>
          <w:szCs w:val="36"/>
          <w:highlight w:val="none"/>
        </w:rPr>
      </w:pPr>
    </w:p>
    <w:p>
      <w:pPr>
        <w:spacing w:before="120" w:beforeLines="50"/>
        <w:jc w:val="right"/>
        <w:rPr>
          <w:rFonts w:ascii="宋体" w:hAnsi="宋体"/>
          <w:b/>
          <w:bCs/>
          <w:color w:val="auto"/>
          <w:sz w:val="36"/>
          <w:szCs w:val="36"/>
          <w:highlight w:val="none"/>
        </w:rPr>
      </w:pPr>
      <w:r>
        <w:rPr>
          <w:rFonts w:ascii="宋体" w:hAnsi="宋体"/>
          <w:b/>
          <w:bCs/>
          <w:color w:val="auto"/>
          <w:sz w:val="36"/>
          <w:szCs w:val="36"/>
          <w:highlight w:val="none"/>
        </w:rPr>
        <w:drawing>
          <wp:inline distT="0" distB="0" distL="0" distR="0">
            <wp:extent cx="1853565" cy="5422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53565" cy="542290"/>
                    </a:xfrm>
                    <a:prstGeom prst="rect">
                      <a:avLst/>
                    </a:prstGeom>
                    <a:noFill/>
                  </pic:spPr>
                </pic:pic>
              </a:graphicData>
            </a:graphic>
          </wp:inline>
        </w:drawing>
      </w:r>
    </w:p>
    <w:p>
      <w:pPr>
        <w:spacing w:before="120" w:beforeLines="50"/>
        <w:jc w:val="center"/>
        <w:rPr>
          <w:rFonts w:ascii="宋体" w:hAnsi="宋体"/>
          <w:b/>
          <w:bCs/>
          <w:color w:val="auto"/>
          <w:sz w:val="48"/>
          <w:szCs w:val="48"/>
          <w:highlight w:val="none"/>
        </w:rPr>
      </w:pPr>
    </w:p>
    <w:p>
      <w:pPr>
        <w:spacing w:before="120" w:beforeLines="50"/>
        <w:jc w:val="center"/>
        <w:rPr>
          <w:rFonts w:hint="eastAsia" w:ascii="宋体" w:hAnsi="宋体" w:eastAsia="宋体"/>
          <w:color w:val="auto"/>
          <w:sz w:val="44"/>
          <w:szCs w:val="44"/>
          <w:highlight w:val="none"/>
          <w:lang w:eastAsia="zh-CN"/>
        </w:rPr>
      </w:pPr>
      <w:bookmarkStart w:id="0" w:name="OLE_LINK1"/>
      <w:bookmarkStart w:id="1" w:name="OLE_LINK2"/>
      <w:r>
        <w:rPr>
          <w:rFonts w:hint="eastAsia" w:ascii="宋体" w:hAnsi="宋体"/>
          <w:b/>
          <w:bCs/>
          <w:color w:val="auto"/>
          <w:sz w:val="44"/>
          <w:szCs w:val="44"/>
          <w:highlight w:val="none"/>
          <w:lang w:eastAsia="zh-CN"/>
        </w:rPr>
        <w:t>台州市第一中学食堂二楼备餐间、洗碗间和新疆班卫生间改造工程项目</w:t>
      </w:r>
    </w:p>
    <w:bookmarkEnd w:id="0"/>
    <w:bookmarkEnd w:id="1"/>
    <w:p>
      <w:pPr>
        <w:spacing w:before="120" w:beforeLines="50"/>
        <w:jc w:val="center"/>
        <w:rPr>
          <w:rFonts w:ascii="宋体" w:hAnsi="宋体"/>
          <w:color w:val="auto"/>
          <w:sz w:val="52"/>
          <w:szCs w:val="52"/>
          <w:highlight w:val="none"/>
        </w:rPr>
      </w:pPr>
    </w:p>
    <w:p>
      <w:pPr>
        <w:spacing w:before="120" w:beforeLines="50"/>
        <w:rPr>
          <w:rFonts w:ascii="宋体" w:hAnsi="宋体"/>
          <w:color w:val="auto"/>
          <w:sz w:val="52"/>
          <w:szCs w:val="52"/>
          <w:highlight w:val="none"/>
        </w:rPr>
      </w:pPr>
    </w:p>
    <w:p>
      <w:pPr>
        <w:snapToGrid w:val="0"/>
        <w:spacing w:before="120" w:beforeLines="50"/>
        <w:jc w:val="center"/>
        <w:rPr>
          <w:rFonts w:ascii="宋体" w:hAnsi="宋体"/>
          <w:color w:val="auto"/>
          <w:sz w:val="30"/>
          <w:szCs w:val="72"/>
          <w:highlight w:val="none"/>
        </w:rPr>
      </w:pPr>
      <w:r>
        <w:rPr>
          <w:rFonts w:hint="eastAsia" w:ascii="宋体" w:hAnsi="宋体"/>
          <w:color w:val="auto"/>
          <w:sz w:val="84"/>
          <w:szCs w:val="84"/>
          <w:highlight w:val="none"/>
        </w:rPr>
        <w:t>竞争性磋商文件</w:t>
      </w:r>
    </w:p>
    <w:p>
      <w:pPr>
        <w:snapToGrid w:val="0"/>
        <w:jc w:val="center"/>
        <w:rPr>
          <w:rFonts w:ascii="宋体" w:hAnsi="宋体"/>
          <w:color w:val="auto"/>
          <w:sz w:val="48"/>
          <w:szCs w:val="48"/>
          <w:highlight w:val="none"/>
        </w:rPr>
      </w:pPr>
      <w:r>
        <w:rPr>
          <w:rFonts w:ascii="宋体" w:hAnsi="宋体"/>
          <w:color w:val="auto"/>
          <w:sz w:val="48"/>
          <w:szCs w:val="48"/>
          <w:highlight w:val="none"/>
        </w:rPr>
        <w:t>（电子招投标）</w:t>
      </w:r>
    </w:p>
    <w:p>
      <w:pPr>
        <w:snapToGrid w:val="0"/>
        <w:spacing w:before="120" w:beforeLines="50" w:line="360" w:lineRule="auto"/>
        <w:rPr>
          <w:rFonts w:ascii="宋体" w:hAnsi="宋体"/>
          <w:color w:val="auto"/>
          <w:sz w:val="30"/>
          <w:szCs w:val="72"/>
          <w:highlight w:val="none"/>
        </w:rPr>
      </w:pPr>
    </w:p>
    <w:p>
      <w:pPr>
        <w:pStyle w:val="15"/>
        <w:snapToGrid w:val="0"/>
        <w:spacing w:before="120" w:after="120" w:line="360" w:lineRule="auto"/>
        <w:ind w:firstLine="556"/>
        <w:rPr>
          <w:rFonts w:hAnsi="宋体"/>
          <w:b/>
          <w:bCs/>
          <w:color w:val="auto"/>
          <w:w w:val="95"/>
          <w:sz w:val="30"/>
          <w:szCs w:val="30"/>
          <w:highlight w:val="none"/>
        </w:rPr>
      </w:pPr>
    </w:p>
    <w:p>
      <w:pPr>
        <w:pStyle w:val="16"/>
        <w:ind w:left="5250"/>
        <w:rPr>
          <w:color w:val="auto"/>
          <w:highlight w:val="none"/>
        </w:rPr>
      </w:pPr>
    </w:p>
    <w:p>
      <w:pPr>
        <w:rPr>
          <w:color w:val="auto"/>
          <w:highlight w:val="none"/>
        </w:rPr>
      </w:pPr>
    </w:p>
    <w:p>
      <w:pPr>
        <w:pStyle w:val="15"/>
        <w:snapToGrid w:val="0"/>
        <w:spacing w:before="120" w:after="120" w:line="360" w:lineRule="auto"/>
        <w:ind w:firstLine="556"/>
        <w:jc w:val="center"/>
        <w:rPr>
          <w:rFonts w:hAnsi="宋体"/>
          <w:b/>
          <w:bCs/>
          <w:color w:val="auto"/>
          <w:w w:val="95"/>
          <w:sz w:val="30"/>
          <w:szCs w:val="30"/>
          <w:highlight w:val="none"/>
        </w:rPr>
      </w:pPr>
    </w:p>
    <w:p>
      <w:pPr>
        <w:pStyle w:val="15"/>
        <w:snapToGrid w:val="0"/>
        <w:spacing w:before="120" w:after="120" w:line="360" w:lineRule="auto"/>
        <w:ind w:left="1275" w:leftChars="607" w:firstLine="563"/>
        <w:rPr>
          <w:rFonts w:hAnsi="宋体"/>
          <w:b/>
          <w:bCs/>
          <w:color w:val="auto"/>
          <w:w w:val="95"/>
          <w:sz w:val="30"/>
          <w:szCs w:val="30"/>
          <w:highlight w:val="none"/>
        </w:rPr>
      </w:pPr>
      <w:r>
        <w:rPr>
          <w:rFonts w:hint="eastAsia" w:hAnsi="宋体"/>
          <w:b/>
          <w:bCs/>
          <w:color w:val="auto"/>
          <w:w w:val="95"/>
          <w:sz w:val="30"/>
          <w:szCs w:val="30"/>
          <w:highlight w:val="none"/>
        </w:rPr>
        <w:t>采 购 人：台州市第一中学</w:t>
      </w:r>
    </w:p>
    <w:p>
      <w:pPr>
        <w:pStyle w:val="15"/>
        <w:snapToGrid w:val="0"/>
        <w:spacing w:before="120" w:after="120" w:line="360" w:lineRule="auto"/>
        <w:ind w:left="1275" w:leftChars="607" w:firstLine="563"/>
        <w:rPr>
          <w:rFonts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浙江中永工程咨询有限公司</w:t>
      </w:r>
    </w:p>
    <w:p>
      <w:pPr>
        <w:snapToGrid w:val="0"/>
        <w:spacing w:before="120" w:beforeLines="50" w:line="360" w:lineRule="auto"/>
        <w:jc w:val="center"/>
        <w:rPr>
          <w:rFonts w:ascii="宋体"/>
          <w:b/>
          <w:color w:val="auto"/>
          <w:kern w:val="0"/>
          <w:sz w:val="10"/>
          <w:highlight w:val="none"/>
        </w:rPr>
      </w:pPr>
      <w:r>
        <w:rPr>
          <w:rFonts w:hint="eastAsia" w:ascii="宋体" w:hAnsi="宋体"/>
          <w:b/>
          <w:bCs/>
          <w:color w:val="auto"/>
          <w:w w:val="95"/>
          <w:sz w:val="30"/>
          <w:szCs w:val="30"/>
          <w:highlight w:val="none"/>
        </w:rPr>
        <w:t>二○二五年六月</w:t>
      </w:r>
    </w:p>
    <w:p>
      <w:pPr>
        <w:widowControl/>
        <w:jc w:val="left"/>
        <w:rPr>
          <w:b/>
          <w:bCs/>
          <w:color w:val="auto"/>
          <w:sz w:val="48"/>
          <w:szCs w:val="48"/>
          <w:highlight w:val="none"/>
        </w:rPr>
      </w:pPr>
      <w:r>
        <w:rPr>
          <w:b/>
          <w:bCs/>
          <w:color w:val="auto"/>
          <w:sz w:val="48"/>
          <w:szCs w:val="48"/>
          <w:highlight w:val="none"/>
        </w:rPr>
        <w:br w:type="page"/>
      </w:r>
    </w:p>
    <w:p>
      <w:pPr>
        <w:spacing w:line="360" w:lineRule="auto"/>
        <w:rPr>
          <w:color w:val="auto"/>
          <w:highlight w:val="none"/>
        </w:rPr>
        <w:sectPr>
          <w:headerReference r:id="rId3" w:type="default"/>
          <w:footerReference r:id="rId4" w:type="default"/>
          <w:pgSz w:w="11906" w:h="16838"/>
          <w:pgMar w:top="1701" w:right="1418" w:bottom="1440" w:left="1418" w:header="851" w:footer="851" w:gutter="0"/>
          <w:cols w:space="720" w:num="1"/>
          <w:docGrid w:linePitch="312" w:charSpace="0"/>
        </w:sectPr>
      </w:pPr>
    </w:p>
    <w:sdt>
      <w:sdtPr>
        <w:rPr>
          <w:rFonts w:hint="eastAsia" w:ascii="宋体" w:hAnsi="宋体" w:cs="宋体"/>
          <w:color w:val="auto"/>
          <w:sz w:val="32"/>
          <w:szCs w:val="32"/>
          <w:highlight w:val="none"/>
        </w:rPr>
        <w:id w:val="147453465"/>
        <w:docPartObj>
          <w:docPartGallery w:val="Table of Contents"/>
          <w:docPartUnique/>
        </w:docPartObj>
      </w:sdtPr>
      <w:sdtEndPr>
        <w:rPr>
          <w:rFonts w:hint="eastAsia" w:ascii="Times New Roman" w:hAnsi="Times New Roman" w:cs="Times New Roman"/>
          <w:color w:val="auto"/>
          <w:sz w:val="32"/>
          <w:szCs w:val="32"/>
          <w:highlight w:val="none"/>
        </w:rPr>
      </w:sdtEndPr>
      <w:sdtContent>
        <w:p>
          <w:pPr>
            <w:jc w:val="center"/>
            <w:rPr>
              <w:rFonts w:ascii="宋体" w:hAnsi="宋体" w:cs="宋体"/>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rFonts w:hint="eastAsia" w:cs="宋体" w:asciiTheme="minorEastAsia" w:hAnsiTheme="minorEastAsia" w:eastAsiaTheme="minorEastAsia"/>
              <w:b/>
              <w:bCs/>
              <w:color w:val="auto"/>
              <w:kern w:val="0"/>
              <w:sz w:val="28"/>
              <w:szCs w:val="28"/>
              <w:highlight w:val="none"/>
            </w:rPr>
            <w:fldChar w:fldCharType="begin"/>
          </w:r>
          <w:r>
            <w:rPr>
              <w:rFonts w:hint="eastAsia" w:cs="宋体" w:asciiTheme="minorEastAsia" w:hAnsiTheme="minorEastAsia" w:eastAsiaTheme="minorEastAsia"/>
              <w:b/>
              <w:bCs/>
              <w:color w:val="auto"/>
              <w:sz w:val="28"/>
              <w:szCs w:val="28"/>
              <w:highlight w:val="none"/>
            </w:rPr>
            <w:instrText xml:space="preserve">TOC \o "1-1" \h \u </w:instrText>
          </w:r>
          <w:r>
            <w:rPr>
              <w:rFonts w:hint="eastAsia" w:cs="宋体" w:asciiTheme="minorEastAsia" w:hAnsiTheme="minorEastAsia" w:eastAsiaTheme="minorEastAsia"/>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"_Toc101280592"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第一章</w:t>
          </w:r>
          <w:r>
            <w:rPr>
              <w:rStyle w:val="34"/>
              <w:rFonts w:hint="eastAsia" w:asciiTheme="minorEastAsia" w:hAnsiTheme="minorEastAsia" w:eastAsiaTheme="minorEastAsia"/>
              <w:b/>
              <w:bCs/>
              <w:color w:val="auto"/>
              <w:kern w:val="0"/>
              <w:sz w:val="24"/>
              <w:highlight w:val="none"/>
            </w:rPr>
            <w:t xml:space="preserve"> 磋商邀请</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_Toc101280592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"_Toc101280593"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第二章 供应商须知</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_Toc101280593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6</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"_Toc101280594"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第三章 项目需求</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_Toc101280594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17</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"_Toc101280595"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第四章 磋商</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_Toc101280595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21</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"_Toc101280596"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第五章</w:t>
          </w:r>
          <w:r>
            <w:rPr>
              <w:rStyle w:val="34"/>
              <w:rFonts w:asciiTheme="minorEastAsia" w:hAnsiTheme="minorEastAsia" w:eastAsiaTheme="minorEastAsia"/>
              <w:b/>
              <w:bCs/>
              <w:color w:val="auto"/>
              <w:sz w:val="24"/>
              <w:highlight w:val="none"/>
            </w:rPr>
            <w:t xml:space="preserve"> </w:t>
          </w:r>
          <w:r>
            <w:rPr>
              <w:rStyle w:val="34"/>
              <w:rFonts w:hint="eastAsia" w:asciiTheme="minorEastAsia" w:hAnsiTheme="minorEastAsia" w:eastAsiaTheme="minorEastAsia"/>
              <w:b/>
              <w:bCs/>
              <w:color w:val="auto"/>
              <w:sz w:val="24"/>
              <w:highlight w:val="none"/>
            </w:rPr>
            <w:t>拟签订的合同文本</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_Toc101280596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28</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"_Toc101280597"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第六章</w:t>
          </w:r>
          <w:r>
            <w:rPr>
              <w:rStyle w:val="34"/>
              <w:rFonts w:asciiTheme="minorEastAsia" w:hAnsiTheme="minorEastAsia" w:eastAsiaTheme="minorEastAsia"/>
              <w:b/>
              <w:bCs/>
              <w:color w:val="auto"/>
              <w:sz w:val="24"/>
              <w:highlight w:val="none"/>
            </w:rPr>
            <w:t xml:space="preserve"> </w:t>
          </w:r>
          <w:bookmarkStart w:id="2" w:name="OLE_LINK93"/>
          <w:bookmarkStart w:id="3" w:name="OLE_LINK94"/>
          <w:r>
            <w:rPr>
              <w:rStyle w:val="34"/>
              <w:rFonts w:hint="eastAsia" w:asciiTheme="minorEastAsia" w:hAnsiTheme="minorEastAsia" w:eastAsiaTheme="minorEastAsia"/>
              <w:b/>
              <w:bCs/>
              <w:color w:val="auto"/>
              <w:sz w:val="24"/>
              <w:highlight w:val="none"/>
            </w:rPr>
            <w:t>响应文件格式</w:t>
          </w:r>
          <w:bookmarkEnd w:id="2"/>
          <w:bookmarkEnd w:id="3"/>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_Toc101280597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54</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spacing w:line="360" w:lineRule="auto"/>
            <w:rPr>
              <w:color w:val="auto"/>
              <w:sz w:val="32"/>
              <w:szCs w:val="32"/>
              <w:highlight w:val="none"/>
            </w:rPr>
          </w:pPr>
          <w:r>
            <w:rPr>
              <w:rFonts w:hint="eastAsia" w:cs="宋体" w:asciiTheme="minorEastAsia" w:hAnsiTheme="minorEastAsia" w:eastAsiaTheme="minorEastAsia"/>
              <w:b/>
              <w:bCs/>
              <w:color w:val="auto"/>
              <w:sz w:val="28"/>
              <w:szCs w:val="28"/>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8"/>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sz w:val="36"/>
          <w:szCs w:val="36"/>
          <w:highlight w:val="none"/>
        </w:rPr>
      </w:pPr>
      <w:bookmarkStart w:id="4" w:name="_Toc101280592"/>
      <w:r>
        <w:rPr>
          <w:rFonts w:hint="eastAsia" w:asciiTheme="majorEastAsia" w:hAnsiTheme="majorEastAsia" w:eastAsiaTheme="majorEastAsia"/>
          <w:b/>
          <w:color w:val="auto"/>
          <w:kern w:val="0"/>
          <w:sz w:val="36"/>
          <w:szCs w:val="36"/>
          <w:highlight w:val="none"/>
        </w:rPr>
        <w:t>磋商</w:t>
      </w:r>
      <w:bookmarkEnd w:id="4"/>
      <w:r>
        <w:rPr>
          <w:rFonts w:hint="eastAsia" w:asciiTheme="majorEastAsia" w:hAnsiTheme="majorEastAsia" w:eastAsiaTheme="majorEastAsia"/>
          <w:b/>
          <w:color w:val="auto"/>
          <w:kern w:val="0"/>
          <w:sz w:val="36"/>
          <w:szCs w:val="36"/>
          <w:highlight w:val="none"/>
        </w:rPr>
        <w:t>邀请</w:t>
      </w:r>
    </w:p>
    <w:p>
      <w:pPr>
        <w:spacing w:line="360" w:lineRule="auto"/>
        <w:ind w:firstLine="480" w:firstLineChars="200"/>
        <w:rPr>
          <w:rFonts w:ascii="宋体" w:hAnsi="宋体" w:cs="宋体"/>
          <w:color w:val="auto"/>
          <w:sz w:val="24"/>
          <w:highlight w:val="none"/>
        </w:rPr>
      </w:pPr>
      <w:bookmarkStart w:id="5" w:name="_Toc28359002"/>
      <w:bookmarkStart w:id="6" w:name="_Toc35393621"/>
      <w:bookmarkStart w:id="7" w:name="_Toc28359079"/>
      <w:bookmarkStart w:id="8" w:name="_Toc35393790"/>
      <w:bookmarkStart w:id="9" w:name="_Hlk24379207"/>
      <w:r>
        <w:rPr>
          <w:rFonts w:hint="eastAsia" w:ascii="宋体" w:hAnsi="宋体" w:cs="宋体"/>
          <w:color w:val="auto"/>
          <w:sz w:val="24"/>
          <w:highlight w:val="none"/>
        </w:rPr>
        <w:t>浙江中永工程咨询有限公司受台州市第一中学委托，就</w:t>
      </w:r>
      <w:r>
        <w:rPr>
          <w:rFonts w:hint="eastAsia" w:ascii="宋体" w:hAnsi="宋体" w:cs="宋体"/>
          <w:color w:val="auto"/>
          <w:sz w:val="24"/>
          <w:highlight w:val="none"/>
          <w:lang w:eastAsia="zh-CN"/>
        </w:rPr>
        <w:t>台州市第一中学食堂二楼备餐间、洗碗间和新疆班卫生间改造工程项目</w:t>
      </w:r>
      <w:r>
        <w:rPr>
          <w:rFonts w:hint="eastAsia" w:ascii="宋体" w:hAnsi="宋体" w:cs="宋体"/>
          <w:color w:val="auto"/>
          <w:sz w:val="24"/>
          <w:highlight w:val="none"/>
        </w:rPr>
        <w:t>进行竞争性磋商，欢迎符合资格条件的国内供应商前来磋商。</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bookmarkEnd w:id="5"/>
      <w:bookmarkEnd w:id="6"/>
      <w:bookmarkEnd w:id="7"/>
      <w:bookmarkEnd w:id="8"/>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bookmarkEnd w:id="9"/>
      <w:r>
        <w:rPr>
          <w:rFonts w:hint="eastAsia" w:asciiTheme="minorEastAsia" w:hAnsiTheme="minorEastAsia" w:eastAsiaTheme="minorEastAsia" w:cstheme="minorEastAsia"/>
          <w:color w:val="auto"/>
          <w:sz w:val="24"/>
          <w:highlight w:val="none"/>
          <w:lang w:eastAsia="zh-CN"/>
        </w:rPr>
        <w:t>ZYZFCG〔2025〕017</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宋体" w:eastAsiaTheme="minorEastAsia"/>
          <w:color w:val="auto"/>
          <w:kern w:val="0"/>
          <w:sz w:val="24"/>
          <w:highlight w:val="none"/>
          <w:lang w:eastAsia="zh-CN"/>
        </w:rPr>
        <w:t>台州市第一中学食堂二楼备餐间、洗碗间和新疆班卫生间改造工程项目</w:t>
      </w:r>
    </w:p>
    <w:tbl>
      <w:tblPr>
        <w:tblStyle w:val="2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504"/>
        <w:gridCol w:w="786"/>
        <w:gridCol w:w="808"/>
        <w:gridCol w:w="1320"/>
        <w:gridCol w:w="130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6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bookmarkStart w:id="10" w:name="_Toc35393791"/>
            <w:bookmarkStart w:id="11" w:name="_Toc28359003"/>
            <w:bookmarkStart w:id="12" w:name="_Toc28359080"/>
            <w:bookmarkStart w:id="13" w:name="_Toc35393622"/>
            <w:r>
              <w:rPr>
                <w:rFonts w:hint="eastAsia" w:asciiTheme="minorEastAsia" w:hAnsiTheme="minorEastAsia" w:eastAsiaTheme="minorEastAsia" w:cstheme="minorEastAsia"/>
                <w:bCs/>
                <w:color w:val="auto"/>
                <w:sz w:val="24"/>
                <w:highlight w:val="none"/>
              </w:rPr>
              <w:t>标项号</w:t>
            </w:r>
          </w:p>
        </w:tc>
        <w:tc>
          <w:tcPr>
            <w:tcW w:w="2504"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标项名称</w:t>
            </w:r>
          </w:p>
        </w:tc>
        <w:tc>
          <w:tcPr>
            <w:tcW w:w="78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数量</w:t>
            </w:r>
          </w:p>
        </w:tc>
        <w:tc>
          <w:tcPr>
            <w:tcW w:w="808"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单位</w:t>
            </w:r>
          </w:p>
        </w:tc>
        <w:tc>
          <w:tcPr>
            <w:tcW w:w="1320"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305" w:type="dxa"/>
            <w:vAlign w:val="center"/>
          </w:tcPr>
          <w:p>
            <w:pPr>
              <w:jc w:val="center"/>
              <w:rPr>
                <w:rFonts w:asciiTheme="minorEastAsia" w:hAnsiTheme="minorEastAsia" w:eastAsiaTheme="minorEastAsia" w:cstheme="minorEastAsia"/>
                <w:b/>
                <w:color w:val="auto"/>
                <w:sz w:val="24"/>
                <w:highlight w:val="none"/>
              </w:rPr>
            </w:pPr>
            <w:bookmarkStart w:id="14" w:name="OLE_LINK42"/>
            <w:bookmarkStart w:id="15" w:name="OLE_LINK43"/>
            <w:r>
              <w:rPr>
                <w:rFonts w:hint="eastAsia" w:asciiTheme="minorEastAsia" w:hAnsiTheme="minorEastAsia" w:eastAsiaTheme="minorEastAsia" w:cstheme="minorEastAsia"/>
                <w:b/>
                <w:color w:val="auto"/>
                <w:sz w:val="24"/>
                <w:highlight w:val="none"/>
              </w:rPr>
              <w:t>最高限价</w:t>
            </w:r>
            <w:bookmarkEnd w:id="14"/>
            <w:bookmarkEnd w:id="15"/>
            <w:r>
              <w:rPr>
                <w:rFonts w:hint="eastAsia" w:asciiTheme="minorEastAsia" w:hAnsiTheme="minorEastAsia" w:eastAsiaTheme="minorEastAsia" w:cstheme="minorEastAsia"/>
                <w:b/>
                <w:color w:val="auto"/>
                <w:sz w:val="24"/>
                <w:highlight w:val="none"/>
              </w:rPr>
              <w:t>（万元）</w:t>
            </w:r>
          </w:p>
        </w:tc>
        <w:tc>
          <w:tcPr>
            <w:tcW w:w="1810" w:type="dxa"/>
            <w:vAlign w:val="center"/>
          </w:tcPr>
          <w:p>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6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2504"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台州市第一中学食堂二楼备餐间、洗碗间和新疆班卫生间改造工程项目</w:t>
            </w:r>
          </w:p>
        </w:tc>
        <w:tc>
          <w:tcPr>
            <w:tcW w:w="78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808"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项</w:t>
            </w:r>
          </w:p>
        </w:tc>
        <w:tc>
          <w:tcPr>
            <w:tcW w:w="1320"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84</w:t>
            </w:r>
          </w:p>
        </w:tc>
        <w:tc>
          <w:tcPr>
            <w:tcW w:w="1305"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
                <w:color w:val="auto"/>
                <w:sz w:val="24"/>
                <w:highlight w:val="none"/>
                <w:lang w:val="en-US" w:eastAsia="zh-CN"/>
              </w:rPr>
            </w:pPr>
            <w:r>
              <w:rPr>
                <w:rFonts w:hint="eastAsia" w:ascii="宋体" w:hAnsi="宋体" w:cs="宋体"/>
                <w:b/>
                <w:color w:val="auto"/>
                <w:sz w:val="24"/>
                <w:highlight w:val="none"/>
                <w:lang w:val="en-US" w:eastAsia="zh-CN"/>
              </w:rPr>
              <w:t>87.362</w:t>
            </w:r>
          </w:p>
        </w:tc>
        <w:tc>
          <w:tcPr>
            <w:tcW w:w="1810" w:type="dxa"/>
            <w:vAlign w:val="center"/>
          </w:tcPr>
          <w:p>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详见磋商需求</w:t>
            </w:r>
          </w:p>
        </w:tc>
      </w:tr>
    </w:tbl>
    <w:p>
      <w:pPr>
        <w:pStyle w:val="28"/>
        <w:spacing w:after="0" w:line="360" w:lineRule="auto"/>
        <w:ind w:left="0" w:leftChars="0" w:firstLine="482" w:firstLineChars="200"/>
        <w:rPr>
          <w:rFonts w:ascii="宋体" w:hAnsi="宋体" w:cs="宋体"/>
          <w:b/>
          <w:color w:val="auto"/>
          <w:sz w:val="24"/>
          <w:highlight w:val="none"/>
        </w:rPr>
      </w:pPr>
      <w:bookmarkStart w:id="16" w:name="OLE_LINK108"/>
      <w:bookmarkStart w:id="17" w:name="OLE_LINK8"/>
      <w:bookmarkStart w:id="18" w:name="OLE_LINK25"/>
      <w:r>
        <w:rPr>
          <w:rFonts w:hint="eastAsia" w:ascii="宋体" w:hAnsi="宋体" w:cs="宋体"/>
          <w:b/>
          <w:color w:val="auto"/>
          <w:sz w:val="24"/>
          <w:highlight w:val="none"/>
        </w:rPr>
        <w:t>注：上表预算</w:t>
      </w:r>
      <w:r>
        <w:rPr>
          <w:rFonts w:hint="eastAsia" w:ascii="宋体" w:hAnsi="宋体" w:cs="宋体"/>
          <w:b/>
          <w:color w:val="auto"/>
          <w:sz w:val="24"/>
          <w:highlight w:val="none"/>
          <w:lang w:val="en-US" w:eastAsia="zh-CN"/>
        </w:rPr>
        <w:t>84</w:t>
      </w:r>
      <w:r>
        <w:rPr>
          <w:rFonts w:hint="eastAsia" w:ascii="宋体" w:hAnsi="宋体" w:cs="宋体"/>
          <w:b/>
          <w:color w:val="auto"/>
          <w:sz w:val="24"/>
          <w:highlight w:val="none"/>
        </w:rPr>
        <w:t>万元是指财政预算，非施工图预算，</w:t>
      </w:r>
      <w:bookmarkStart w:id="19" w:name="OLE_LINK37"/>
      <w:r>
        <w:rPr>
          <w:rFonts w:hint="eastAsia" w:ascii="宋体" w:hAnsi="宋体" w:cs="宋体"/>
          <w:b/>
          <w:color w:val="auto"/>
          <w:sz w:val="24"/>
          <w:highlight w:val="none"/>
        </w:rPr>
        <w:t>本项目施工图预算为</w:t>
      </w:r>
      <w:r>
        <w:rPr>
          <w:rFonts w:hint="eastAsia" w:ascii="宋体" w:hAnsi="宋体" w:cs="宋体"/>
          <w:b/>
          <w:color w:val="auto"/>
          <w:sz w:val="24"/>
          <w:highlight w:val="none"/>
          <w:lang w:val="en-US" w:eastAsia="zh-CN"/>
        </w:rPr>
        <w:t>873620</w:t>
      </w:r>
      <w:r>
        <w:rPr>
          <w:rFonts w:hint="eastAsia" w:ascii="宋体" w:hAnsi="宋体" w:cs="宋体"/>
          <w:b/>
          <w:color w:val="auto"/>
          <w:sz w:val="24"/>
          <w:highlight w:val="none"/>
        </w:rPr>
        <w:t>元，最高投标限价：</w:t>
      </w:r>
      <w:bookmarkStart w:id="20" w:name="OLE_LINK7"/>
      <w:r>
        <w:rPr>
          <w:rFonts w:hint="eastAsia" w:ascii="宋体" w:hAnsi="宋体" w:cs="宋体"/>
          <w:b/>
          <w:color w:val="auto"/>
          <w:sz w:val="24"/>
          <w:highlight w:val="none"/>
          <w:lang w:val="en-US" w:eastAsia="zh-CN"/>
        </w:rPr>
        <w:t>76</w:t>
      </w:r>
      <w:bookmarkEnd w:id="20"/>
      <w:r>
        <w:rPr>
          <w:rFonts w:hint="eastAsia" w:ascii="宋体" w:hAnsi="宋体" w:cs="宋体"/>
          <w:b/>
          <w:color w:val="auto"/>
          <w:sz w:val="24"/>
          <w:highlight w:val="none"/>
          <w:lang w:val="en-US" w:eastAsia="zh-CN"/>
        </w:rPr>
        <w:t>8786</w:t>
      </w:r>
      <w:r>
        <w:rPr>
          <w:rFonts w:hint="eastAsia" w:ascii="宋体" w:hAnsi="宋体" w:cs="宋体"/>
          <w:b/>
          <w:color w:val="auto"/>
          <w:sz w:val="24"/>
          <w:highlight w:val="none"/>
        </w:rPr>
        <w:t>元（施工图预算价×88%)。</w:t>
      </w:r>
      <w:bookmarkEnd w:id="19"/>
    </w:p>
    <w:bookmarkEnd w:id="16"/>
    <w:bookmarkEnd w:id="17"/>
    <w:bookmarkEnd w:id="18"/>
    <w:p>
      <w:pPr>
        <w:pStyle w:val="28"/>
        <w:spacing w:before="120" w:beforeLines="50"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二、供应商的资格要求</w:t>
      </w:r>
      <w:bookmarkEnd w:id="10"/>
      <w:bookmarkEnd w:id="11"/>
      <w:bookmarkEnd w:id="12"/>
      <w:bookmarkEnd w:id="13"/>
    </w:p>
    <w:p>
      <w:pPr>
        <w:spacing w:line="360" w:lineRule="auto"/>
        <w:ind w:firstLine="480" w:firstLineChars="200"/>
        <w:rPr>
          <w:rFonts w:ascii="宋体" w:hAnsi="宋体" w:cs="宋体"/>
          <w:color w:val="auto"/>
          <w:sz w:val="24"/>
          <w:highlight w:val="none"/>
        </w:rPr>
      </w:pPr>
      <w:bookmarkStart w:id="21" w:name="_Toc28359004"/>
      <w:bookmarkStart w:id="22" w:name="_Toc35393623"/>
      <w:bookmarkStart w:id="23" w:name="_Toc28359081"/>
      <w:bookmarkStart w:id="24" w:name="_Toc35393792"/>
      <w:r>
        <w:rPr>
          <w:rFonts w:hint="eastAsia" w:ascii="宋体" w:hAnsi="宋体" w:cs="宋体"/>
          <w:color w:val="auto"/>
          <w:sz w:val="24"/>
          <w:highlight w:val="none"/>
        </w:rPr>
        <w:t>（一）满足《中华人民共和国政府采购法》第二十二条规定；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（二）本项目的特定资格要求：</w:t>
      </w:r>
    </w:p>
    <w:bookmarkEnd w:id="21"/>
    <w:bookmarkEnd w:id="22"/>
    <w:bookmarkEnd w:id="23"/>
    <w:bookmarkEnd w:id="24"/>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供应商应同时具备以下要求：</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（1）具有建筑装修装饰工程专业承包二级及以上资质（对应资质应在“浙江省建筑市场监管公共服务系统”上动态核查结果处于“合格”状态）；</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（2）具有有效的企业《安全生产许可证》。</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（3）如为省外企业还应具有《省外企业进浙承接业务备案证明》或在“浙江省建筑市场监管公共服务系统”备案通过。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w:t>
      </w:r>
      <w:bookmarkStart w:id="25" w:name="OLE_LINK39"/>
      <w:bookmarkStart w:id="26" w:name="OLE_LINK40"/>
      <w:r>
        <w:rPr>
          <w:rFonts w:hint="eastAsia" w:ascii="宋体" w:hAnsi="宋体" w:cs="宋体"/>
          <w:b/>
          <w:color w:val="auto"/>
          <w:sz w:val="24"/>
          <w:highlight w:val="none"/>
        </w:rPr>
        <w:t>本项目（是）专门面向中小企业</w:t>
      </w:r>
      <w:bookmarkEnd w:id="25"/>
      <w:bookmarkEnd w:id="26"/>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（五）信用记录：未被列入“信用中国”失信被执行人或重大税收违法失信主体；未处于“中国政府采购网”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三、获取磋商文件</w:t>
      </w:r>
    </w:p>
    <w:p>
      <w:pPr>
        <w:pStyle w:val="37"/>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（一）时间：</w:t>
      </w:r>
      <w:r>
        <w:rPr>
          <w:rFonts w:hint="eastAsia" w:ascii="宋体" w:hAnsi="宋体" w:eastAsia="宋体" w:cs="宋体"/>
          <w:color w:val="auto"/>
          <w:sz w:val="24"/>
          <w:szCs w:val="24"/>
          <w:highlight w:val="none"/>
          <w:u w:val="single"/>
        </w:rPr>
        <w:t>以浙江政府采购网（http://zfcg.czt.zj.gov.cn）公告时间为准</w:t>
      </w:r>
    </w:p>
    <w:p>
      <w:pPr>
        <w:pStyle w:val="37"/>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（二）方式：</w:t>
      </w:r>
      <w:bookmarkStart w:id="27" w:name="OLE_LINK48"/>
      <w:bookmarkStart w:id="28" w:name="OLE_LINK47"/>
      <w:r>
        <w:rPr>
          <w:rFonts w:hint="eastAsia" w:ascii="宋体" w:hAnsi="宋体" w:eastAsia="宋体" w:cs="宋体"/>
          <w:color w:val="auto"/>
          <w:sz w:val="24"/>
          <w:szCs w:val="24"/>
          <w:highlight w:val="none"/>
          <w:u w:val="single"/>
        </w:rPr>
        <w:t>浙江政府采购网</w:t>
      </w:r>
      <w:r>
        <w:rPr>
          <w:rFonts w:hint="eastAsia" w:ascii="宋体" w:hAnsi="宋体" w:eastAsia="宋体" w:cs="宋体"/>
          <w:color w:val="auto"/>
          <w:kern w:val="2"/>
          <w:sz w:val="24"/>
          <w:szCs w:val="24"/>
          <w:highlight w:val="none"/>
          <w:u w:val="single"/>
        </w:rPr>
        <w:t>（https://zfcg.czt.zj.gov.cn）</w:t>
      </w:r>
      <w:bookmarkEnd w:id="27"/>
      <w:bookmarkEnd w:id="28"/>
      <w:r>
        <w:rPr>
          <w:rFonts w:hint="eastAsia" w:ascii="宋体" w:hAnsi="宋体" w:eastAsia="宋体" w:cs="宋体"/>
          <w:color w:val="auto"/>
          <w:sz w:val="24"/>
          <w:szCs w:val="24"/>
          <w:highlight w:val="none"/>
          <w:u w:val="single"/>
        </w:rPr>
        <w:t>免费下载</w:t>
      </w:r>
    </w:p>
    <w:p>
      <w:pPr>
        <w:pStyle w:val="28"/>
        <w:spacing w:after="0" w:line="360" w:lineRule="auto"/>
        <w:ind w:left="0" w:leftChars="0" w:firstLine="482" w:firstLineChars="200"/>
        <w:rPr>
          <w:rFonts w:ascii="宋体" w:hAnsi="宋体" w:cs="宋体"/>
          <w:b/>
          <w:bCs/>
          <w:color w:val="auto"/>
          <w:kern w:val="0"/>
          <w:sz w:val="24"/>
          <w:highlight w:val="none"/>
        </w:rPr>
      </w:pPr>
      <w:bookmarkStart w:id="29" w:name="_Toc28359082"/>
      <w:bookmarkStart w:id="30" w:name="_Toc35393793"/>
      <w:bookmarkStart w:id="31" w:name="_Toc35393624"/>
      <w:bookmarkStart w:id="32" w:name="_Toc28359005"/>
      <w:r>
        <w:rPr>
          <w:rFonts w:hint="eastAsia" w:ascii="宋体" w:hAnsi="宋体" w:cs="宋体"/>
          <w:b/>
          <w:bCs/>
          <w:color w:val="auto"/>
          <w:kern w:val="0"/>
          <w:sz w:val="24"/>
          <w:highlight w:val="none"/>
        </w:rPr>
        <w:t>四、提交磋商响应文件</w:t>
      </w:r>
      <w:bookmarkEnd w:id="29"/>
      <w:bookmarkEnd w:id="30"/>
      <w:bookmarkEnd w:id="31"/>
      <w:bookmarkEnd w:id="32"/>
    </w:p>
    <w:p>
      <w:pPr>
        <w:spacing w:line="360" w:lineRule="auto"/>
        <w:ind w:firstLine="480" w:firstLineChars="200"/>
        <w:rPr>
          <w:rFonts w:ascii="宋体" w:hAnsi="宋体" w:cs="宋体"/>
          <w:iCs/>
          <w:color w:val="auto"/>
          <w:sz w:val="24"/>
          <w:highlight w:val="none"/>
          <w:u w:val="single"/>
        </w:rPr>
      </w:pPr>
      <w:bookmarkStart w:id="33" w:name="_Toc35393794"/>
      <w:bookmarkStart w:id="34" w:name="_Toc35393625"/>
      <w:bookmarkStart w:id="35" w:name="_Toc28359084"/>
      <w:bookmarkStart w:id="36" w:name="_Toc28359007"/>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rPr>
        <w:t>以浙江政府采购网（http://zfcg.czt.zj.gov.cn）公告时间为准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（二）提交网址：</w:t>
      </w:r>
      <w:bookmarkStart w:id="37" w:name="OLE_LINK62"/>
      <w:bookmarkStart w:id="38" w:name="OLE_LINK63"/>
      <w:r>
        <w:rPr>
          <w:rFonts w:hint="eastAsia" w:ascii="宋体" w:hAnsi="宋体" w:cs="宋体"/>
          <w:color w:val="auto"/>
          <w:sz w:val="24"/>
          <w:szCs w:val="24"/>
          <w:highlight w:val="none"/>
        </w:rPr>
        <w:t>浙江政府采购云平台（http://www.zcygov.cn）</w:t>
      </w:r>
      <w:bookmarkEnd w:id="37"/>
      <w:bookmarkEnd w:id="38"/>
    </w:p>
    <w:bookmarkEnd w:id="33"/>
    <w:bookmarkEnd w:id="34"/>
    <w:bookmarkEnd w:id="35"/>
    <w:bookmarkEnd w:id="36"/>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8"/>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bookmarkStart w:id="39" w:name="_Toc35393626"/>
      <w:bookmarkStart w:id="40" w:name="_Toc35393795"/>
      <w:r>
        <w:rPr>
          <w:rFonts w:hint="eastAsia" w:asciiTheme="minorEastAsia" w:hAnsiTheme="minorEastAsia" w:eastAsiaTheme="minorEastAsia" w:cstheme="minorEastAsia"/>
          <w:color w:val="auto"/>
          <w:kern w:val="0"/>
          <w:sz w:val="24"/>
          <w:highlight w:val="none"/>
        </w:rPr>
        <w:t>（一）公告网址：浙江政府采购网（</w:t>
      </w:r>
      <w:r>
        <w:rPr>
          <w:rFonts w:hint="eastAsia" w:asciiTheme="minorEastAsia" w:hAnsiTheme="minorEastAsia" w:eastAsiaTheme="minorEastAsia" w:cstheme="minorEastAsia"/>
          <w:color w:val="auto"/>
          <w:sz w:val="24"/>
          <w:highlight w:val="none"/>
        </w:rPr>
        <w:t>https://zfcg.czt.zj.gov.cn</w:t>
      </w:r>
      <w:r>
        <w:rPr>
          <w:rFonts w:hint="eastAsia" w:asciiTheme="minorEastAsia" w:hAnsiTheme="minorEastAsia" w:eastAsiaTheme="minorEastAsia" w:cstheme="minorEastAsia"/>
          <w:color w:val="auto"/>
          <w:kern w:val="0"/>
          <w:sz w:val="24"/>
          <w:highlight w:val="none"/>
        </w:rPr>
        <w:t>）。</w:t>
      </w:r>
    </w:p>
    <w:p>
      <w:pPr>
        <w:pStyle w:val="28"/>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（二）公告期限：本公告期限自发布之日起三个工作日</w:t>
      </w:r>
    </w:p>
    <w:bookmarkEnd w:id="39"/>
    <w:bookmarkEnd w:id="40"/>
    <w:p>
      <w:pPr>
        <w:pStyle w:val="28"/>
        <w:spacing w:after="0" w:line="360" w:lineRule="auto"/>
        <w:ind w:left="0" w:leftChars="0" w:firstLine="482" w:firstLineChars="200"/>
        <w:rPr>
          <w:rFonts w:ascii="宋体" w:hAnsi="宋体" w:cs="宋体"/>
          <w:b/>
          <w:bCs/>
          <w:color w:val="auto"/>
          <w:kern w:val="0"/>
          <w:sz w:val="24"/>
          <w:highlight w:val="none"/>
        </w:rPr>
      </w:pPr>
      <w:bookmarkStart w:id="41" w:name="_Toc28359010"/>
      <w:bookmarkStart w:id="42" w:name="_Toc28359087"/>
      <w:r>
        <w:rPr>
          <w:rFonts w:hint="eastAsia" w:ascii="宋体" w:hAnsi="宋体" w:cs="宋体"/>
          <w:b/>
          <w:bCs/>
          <w:color w:val="auto"/>
          <w:kern w:val="0"/>
          <w:sz w:val="24"/>
          <w:highlight w:val="none"/>
        </w:rPr>
        <w:t>六、注册报名</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参与政府采购项目的供应商，需登录浙江省政府采购网（https://zfcg.czt.zj.gov.cn/）进行注册后报名。</w:t>
      </w:r>
    </w:p>
    <w:p>
      <w:pPr>
        <w:pStyle w:val="28"/>
        <w:spacing w:after="0" w:line="360" w:lineRule="auto"/>
        <w:ind w:left="0" w:leftChars="0" w:firstLine="482" w:firstLineChars="200"/>
        <w:rPr>
          <w:rFonts w:ascii="宋体" w:hAnsi="宋体" w:cs="宋体"/>
          <w:b/>
          <w:bCs/>
          <w:color w:val="auto"/>
          <w:kern w:val="0"/>
          <w:sz w:val="24"/>
          <w:highlight w:val="none"/>
        </w:rPr>
      </w:pPr>
      <w:bookmarkStart w:id="43" w:name="_Toc35393627"/>
      <w:bookmarkStart w:id="44" w:name="_Toc28359008"/>
      <w:bookmarkStart w:id="45" w:name="_Toc35393796"/>
      <w:bookmarkStart w:id="46" w:name="_Toc28359085"/>
      <w:r>
        <w:rPr>
          <w:rFonts w:hint="eastAsia" w:ascii="宋体" w:hAnsi="宋体" w:cs="宋体"/>
          <w:b/>
          <w:bCs/>
          <w:color w:val="auto"/>
          <w:kern w:val="0"/>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八、联系</w:t>
      </w:r>
      <w:bookmarkEnd w:id="43"/>
      <w:bookmarkEnd w:id="44"/>
      <w:bookmarkEnd w:id="45"/>
      <w:bookmarkEnd w:id="46"/>
      <w:r>
        <w:rPr>
          <w:rFonts w:hint="eastAsia" w:ascii="宋体" w:hAnsi="宋体" w:cs="宋体"/>
          <w:b/>
          <w:bCs/>
          <w:color w:val="auto"/>
          <w:kern w:val="0"/>
          <w:sz w:val="24"/>
          <w:highlight w:val="none"/>
        </w:rPr>
        <w:t>方式</w:t>
      </w:r>
    </w:p>
    <w:p>
      <w:pPr>
        <w:snapToGrid w:val="0"/>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（一）采购人（受理磋商文件相关质疑及答复）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u w:val="single"/>
        </w:rPr>
        <w:t>台州市第一中学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地点：</w:t>
      </w:r>
      <w:r>
        <w:rPr>
          <w:rFonts w:ascii="宋体" w:hAnsi="宋体"/>
          <w:color w:val="auto"/>
          <w:sz w:val="24"/>
          <w:highlight w:val="none"/>
          <w:u w:val="single"/>
        </w:rPr>
        <w:t>台州市椒江区</w:t>
      </w:r>
      <w:r>
        <w:rPr>
          <w:rFonts w:hint="eastAsia" w:ascii="宋体" w:hAnsi="宋体"/>
          <w:color w:val="auto"/>
          <w:sz w:val="24"/>
          <w:highlight w:val="none"/>
          <w:u w:val="single"/>
        </w:rPr>
        <w:t>枫南东路388</w:t>
      </w:r>
      <w:r>
        <w:rPr>
          <w:rFonts w:ascii="宋体" w:hAnsi="宋体"/>
          <w:color w:val="auto"/>
          <w:sz w:val="24"/>
          <w:highlight w:val="none"/>
          <w:u w:val="single"/>
        </w:rPr>
        <w:t>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倪老师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w:t>
      </w:r>
      <w:bookmarkStart w:id="47" w:name="OLE_LINK68"/>
      <w:bookmarkStart w:id="48" w:name="OLE_LINK69"/>
      <w:r>
        <w:rPr>
          <w:rFonts w:hint="eastAsia" w:ascii="宋体" w:hAnsi="宋体" w:cs="宋体"/>
          <w:color w:val="auto"/>
          <w:sz w:val="24"/>
          <w:highlight w:val="none"/>
          <w:u w:val="single"/>
        </w:rPr>
        <w:t>0576-89058617</w:t>
      </w:r>
      <w:r>
        <w:rPr>
          <w:rFonts w:hint="eastAsia" w:ascii="宋体" w:hAnsi="宋体"/>
          <w:color w:val="auto"/>
          <w:sz w:val="24"/>
          <w:highlight w:val="none"/>
        </w:rPr>
        <w:t xml:space="preserve"> </w:t>
      </w:r>
      <w:bookmarkEnd w:id="47"/>
      <w:bookmarkEnd w:id="4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bookmarkStart w:id="49" w:name="OLE_LINK70"/>
      <w:r>
        <w:rPr>
          <w:rFonts w:hint="eastAsia" w:ascii="宋体" w:hAnsi="宋体" w:cs="宋体"/>
          <w:color w:val="auto"/>
          <w:sz w:val="24"/>
          <w:highlight w:val="none"/>
          <w:u w:val="single"/>
        </w:rPr>
        <w:t>李老师</w:t>
      </w:r>
      <w:bookmarkEnd w:id="4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bookmarkStart w:id="50" w:name="OLE_LINK72"/>
      <w:bookmarkStart w:id="51" w:name="OLE_LINK71"/>
      <w:r>
        <w:rPr>
          <w:rFonts w:hint="eastAsia" w:ascii="宋体" w:hAnsi="宋体"/>
          <w:color w:val="auto"/>
          <w:sz w:val="24"/>
          <w:highlight w:val="none"/>
          <w:u w:val="single"/>
        </w:rPr>
        <w:t>0576-89058618</w:t>
      </w:r>
      <w:bookmarkEnd w:id="50"/>
      <w:bookmarkEnd w:id="5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b/>
          <w:bCs/>
          <w:color w:val="auto"/>
          <w:sz w:val="24"/>
          <w:highlight w:val="none"/>
        </w:rPr>
        <w:t>采购组织机构</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浙江中永工程咨询有限公司</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地　址：</w:t>
      </w:r>
      <w:bookmarkStart w:id="52" w:name="OLE_LINK76"/>
      <w:bookmarkStart w:id="53" w:name="OLE_LINK73"/>
      <w:r>
        <w:rPr>
          <w:rFonts w:hint="eastAsia" w:ascii="宋体" w:hAnsi="宋体" w:cs="宋体"/>
          <w:color w:val="auto"/>
          <w:sz w:val="24"/>
          <w:highlight w:val="none"/>
          <w:u w:val="single"/>
        </w:rPr>
        <w:t>浙江省台州市椒江区海洋广场1幢5层</w:t>
      </w:r>
      <w:bookmarkEnd w:id="52"/>
      <w:bookmarkEnd w:id="53"/>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lang w:val="en-US" w:eastAsia="zh-CN"/>
        </w:rPr>
        <w:t>李女士</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联系电话（询问）：</w:t>
      </w:r>
      <w:r>
        <w:rPr>
          <w:rFonts w:hint="eastAsia" w:ascii="宋体" w:hAnsi="宋体" w:cs="宋体"/>
          <w:color w:val="auto"/>
          <w:sz w:val="24"/>
          <w:highlight w:val="none"/>
          <w:u w:val="single"/>
        </w:rPr>
        <w:t>0576-88</w:t>
      </w:r>
      <w:r>
        <w:rPr>
          <w:rFonts w:hint="eastAsia" w:ascii="宋体" w:hAnsi="宋体" w:cs="宋体"/>
          <w:color w:val="auto"/>
          <w:sz w:val="24"/>
          <w:highlight w:val="none"/>
          <w:u w:val="single"/>
          <w:lang w:val="en-US" w:eastAsia="zh-CN"/>
        </w:rPr>
        <w:t>601616</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rPr>
        <w:t>邱女士（受理注册、磋商结果相关质疑及答复）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rPr>
        <w:t>0576-88589196</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（三）同级政府采购监管机构</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bookmarkStart w:id="54" w:name="OLE_LINK78"/>
      <w:bookmarkStart w:id="55" w:name="OLE_LINK77"/>
      <w:r>
        <w:rPr>
          <w:rFonts w:hint="eastAsia" w:asciiTheme="minorEastAsia" w:hAnsiTheme="minorEastAsia" w:eastAsiaTheme="minorEastAsia" w:cstheme="minorEastAsia"/>
          <w:color w:val="auto"/>
          <w:sz w:val="24"/>
          <w:highlight w:val="none"/>
          <w:u w:val="single"/>
        </w:rPr>
        <w:t>台州市财政局政府采监处</w:t>
      </w:r>
      <w:bookmarkEnd w:id="54"/>
      <w:bookmarkEnd w:id="55"/>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台州市椒江区纬一路66号</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陈工、李工</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u w:val="single"/>
        </w:rPr>
        <w:t>0576-88206705、88206731</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（四）政采云平台</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u w:val="single"/>
        </w:rPr>
        <w:t>95763</w:t>
      </w:r>
      <w:r>
        <w:rPr>
          <w:rFonts w:asciiTheme="minorEastAsia" w:hAnsiTheme="minorEastAsia" w:eastAsiaTheme="minorEastAsia" w:cstheme="minorEastAsia"/>
          <w:color w:val="auto"/>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 xml:space="preserve">                                  </w:t>
      </w: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bookmarkEnd w:id="41"/>
    <w:bookmarkEnd w:id="42"/>
    <w:p>
      <w:pPr>
        <w:widowControl/>
        <w:jc w:val="left"/>
        <w:rPr>
          <w:rFonts w:asciiTheme="minorEastAsia" w:hAnsiTheme="minorEastAsia" w:eastAsiaTheme="minorEastAsia"/>
          <w:b/>
          <w:color w:val="auto"/>
          <w:sz w:val="36"/>
          <w:szCs w:val="36"/>
          <w:highlight w:val="none"/>
        </w:rPr>
      </w:pPr>
      <w:bookmarkStart w:id="56" w:name="_Toc101280593"/>
      <w:r>
        <w:rPr>
          <w:rFonts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供应商须知</w:t>
      </w:r>
      <w:bookmarkEnd w:id="56"/>
    </w:p>
    <w:p>
      <w:pPr>
        <w:numPr>
          <w:ilvl w:val="0"/>
          <w:numId w:val="5"/>
        </w:num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9"/>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szCs w:val="21"/>
                <w:highlight w:val="none"/>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答疑会或</w:t>
            </w:r>
          </w:p>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不组织，</w:t>
            </w:r>
            <w:r>
              <w:rPr>
                <w:rFonts w:hint="eastAsia" w:ascii="宋体" w:hAnsi="宋体" w:cs="宋体"/>
                <w:color w:val="auto"/>
                <w:szCs w:val="21"/>
                <w:highlight w:val="none"/>
              </w:rPr>
              <w:t>建议供应商自行前往现场踏勘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20" w:firstLineChars="200"/>
              <w:rPr>
                <w:color w:val="auto"/>
                <w:highlight w:val="none"/>
              </w:rPr>
            </w:pPr>
            <w:r>
              <w:rPr>
                <w:rFonts w:hint="eastAsia"/>
                <w:color w:val="auto"/>
                <w:highlight w:val="none"/>
              </w:rPr>
              <w:t>请供应商仔细阅读“政府采购项目电子交易操作指南”。</w:t>
            </w:r>
          </w:p>
          <w:p>
            <w:pPr>
              <w:ind w:firstLine="420" w:firstLineChars="200"/>
              <w:rPr>
                <w:color w:val="auto"/>
                <w:highlight w:val="none"/>
              </w:rPr>
            </w:pPr>
            <w:r>
              <w:rPr>
                <w:rFonts w:hint="eastAsia"/>
                <w:color w:val="auto"/>
                <w:highlight w:val="none"/>
              </w:rPr>
              <w:t>1.响应文件的制作：供应商按照本项目磋商文件和政采云平台的要求,通过政采云电子交易客户端编制、加密并递交响应文件（下载网址：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pPr>
              <w:ind w:firstLine="420" w:firstLineChars="200"/>
              <w:rPr>
                <w:color w:val="auto"/>
                <w:highlight w:val="none"/>
              </w:rPr>
            </w:pPr>
            <w:r>
              <w:rPr>
                <w:rFonts w:hint="eastAsia"/>
                <w:color w:val="auto"/>
                <w:highlight w:val="none"/>
              </w:rPr>
              <w:t>▲2.递交响应文件：供应商应当在响应截止时间前（详见竞争性磋商公告）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highlight w:val="none"/>
              </w:rPr>
              <w:t>递交</w:t>
            </w:r>
            <w:r>
              <w:rPr>
                <w:rFonts w:hint="eastAsia"/>
                <w:color w:val="auto"/>
                <w:highlight w:val="none"/>
              </w:rPr>
              <w:t>的，视为撤回响应文件。</w:t>
            </w:r>
          </w:p>
          <w:p>
            <w:pPr>
              <w:ind w:firstLine="420" w:firstLineChars="200"/>
              <w:rPr>
                <w:rFonts w:ascii="宋体" w:hAnsi="宋体" w:cs="宋体"/>
                <w:color w:val="auto"/>
                <w:kern w:val="0"/>
                <w:szCs w:val="21"/>
                <w:highlight w:val="none"/>
              </w:rPr>
            </w:pPr>
            <w:r>
              <w:rPr>
                <w:rFonts w:hint="eastAsia"/>
                <w:color w:val="auto"/>
                <w:highlight w:val="none"/>
              </w:rPr>
              <w:t>3.响应文件解密：在代理机构开启解密后30分钟内完成解密。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8"/>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备份响应文件是通过</w:t>
            </w:r>
            <w:r>
              <w:rPr>
                <w:rFonts w:hint="eastAsia"/>
                <w:color w:val="auto"/>
                <w:highlight w:val="none"/>
              </w:rPr>
              <w:t>“政采云电子交易客户端”</w:t>
            </w:r>
            <w:r>
              <w:rPr>
                <w:rFonts w:hint="eastAsia" w:ascii="宋体" w:hAnsi="宋体" w:cs="宋体"/>
                <w:color w:val="auto"/>
                <w:szCs w:val="21"/>
                <w:highlight w:val="none"/>
              </w:rPr>
              <w:t>制作（政采云平台加密处理）响应文件产生的备份文件，请供应商自行妥善保管。</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1.使用前提：供应商自行在线解密操作失败无法按时寻求技术人员帮助解密，或者寻求技术人员帮助仍无法按时完成解密。</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2.递交截止时间：同响应截止时间。</w:t>
            </w:r>
          </w:p>
          <w:p>
            <w:pPr>
              <w:pStyle w:val="28"/>
              <w:spacing w:after="0"/>
              <w:ind w:left="0" w:leftChars="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3.投递邮箱：</w:t>
            </w:r>
            <w:r>
              <w:rPr>
                <w:rFonts w:hint="eastAsia" w:ascii="宋体" w:hAnsi="宋体" w:cs="宋体"/>
                <w:b/>
                <w:color w:val="auto"/>
                <w:szCs w:val="21"/>
                <w:highlight w:val="none"/>
                <w:lang w:eastAsia="zh-CN"/>
              </w:rPr>
              <w:t>1664495357@qq.com</w:t>
            </w:r>
          </w:p>
          <w:p>
            <w:pPr>
              <w:pStyle w:val="28"/>
              <w:spacing w:after="0"/>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4. 备份响应文件由供应商自行确定是否提交，供应商自行承担未提交备份文件的相关风险，因备份响应文件未加密而造成失密等情况，采购组织机构概不负责。未在系统上提交响应文件而仅提交备份响应文件的，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cs="宋体"/>
                <w:color w:val="auto"/>
                <w:kern w:val="0"/>
                <w:szCs w:val="21"/>
                <w:highlight w:val="none"/>
              </w:rPr>
            </w:pPr>
            <w:r>
              <w:rPr>
                <w:rFonts w:hint="eastAsia" w:ascii="宋体" w:hAnsi="宋体" w:cs="宋体"/>
                <w:color w:val="auto"/>
                <w:szCs w:val="21"/>
                <w:highlight w:val="none"/>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ind w:firstLine="420" w:firstLineChars="200"/>
              <w:jc w:val="both"/>
              <w:rPr>
                <w:rFonts w:hint="default" w:cs="宋体"/>
                <w:color w:val="auto"/>
                <w:szCs w:val="21"/>
                <w:highlight w:val="none"/>
              </w:rPr>
            </w:pPr>
            <w:r>
              <w:rPr>
                <w:rFonts w:cs="宋体"/>
                <w:color w:val="auto"/>
                <w:sz w:val="21"/>
                <w:szCs w:val="21"/>
                <w:highlight w:val="none"/>
              </w:rPr>
              <w:t>采购组织机构按照磋商文件规定的时间通过“政采云平台”组织开标，所有供应商均应当准时在线参加。如未参加，</w:t>
            </w:r>
            <w:r>
              <w:rPr>
                <w:rFonts w:cs="宋体"/>
                <w:bCs/>
                <w:color w:val="auto"/>
                <w:sz w:val="21"/>
                <w:szCs w:val="21"/>
                <w:highlight w:val="none"/>
              </w:rPr>
              <w:t>造成无法递交响应文件、递交失败等后果由供应商自行承担。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auto"/>
                <w:szCs w:val="21"/>
                <w:highlight w:val="none"/>
              </w:rPr>
            </w:pPr>
            <w:r>
              <w:rPr>
                <w:rFonts w:hint="eastAsia" w:ascii="宋体" w:hAnsi="宋体" w:cs="宋体"/>
                <w:color w:val="auto"/>
                <w:szCs w:val="21"/>
                <w:highlight w:val="none"/>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本项目无需提供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远程在线演示</w:t>
            </w:r>
          </w:p>
          <w:p>
            <w:pPr>
              <w:jc w:val="center"/>
              <w:rPr>
                <w:color w:val="auto"/>
                <w:szCs w:val="21"/>
                <w:highlight w:val="none"/>
              </w:rPr>
            </w:pPr>
            <w:r>
              <w:rPr>
                <w:rFonts w:hint="eastAsia"/>
                <w:color w:val="auto"/>
                <w:szCs w:val="21"/>
                <w:highlight w:val="none"/>
              </w:rPr>
              <w:t>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jc w:val="both"/>
              <w:rPr>
                <w:color w:val="auto"/>
                <w:szCs w:val="21"/>
                <w:highlight w:val="none"/>
              </w:rPr>
            </w:pPr>
            <w:r>
              <w:rPr>
                <w:rFonts w:hint="eastAsia"/>
                <w:color w:val="auto"/>
                <w:szCs w:val="21"/>
                <w:highlight w:val="none"/>
              </w:rPr>
              <w:t>本项目无此项要求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1.本项目实行电子采购，采用电子响应文件。若供应商参与本项目，自行承担磋商活动一切费用。</w:t>
            </w:r>
          </w:p>
          <w:p>
            <w:pPr>
              <w:pStyle w:val="15"/>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信用信息查询</w:t>
            </w:r>
          </w:p>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r>
              <w:rPr>
                <w:rFonts w:hint="eastAsia"/>
                <w:color w:val="auto"/>
                <w:highlight w:val="none"/>
              </w:rPr>
              <w:t>中小企业预留</w:t>
            </w:r>
          </w:p>
          <w:p>
            <w:pPr>
              <w:autoSpaceDE w:val="0"/>
              <w:autoSpaceDN w:val="0"/>
              <w:adjustRightInd w:val="0"/>
              <w:jc w:val="center"/>
              <w:rPr>
                <w:rFonts w:ascii="宋体" w:hAnsi="宋体" w:cs="宋体"/>
                <w:color w:val="auto"/>
                <w:szCs w:val="21"/>
                <w:highlight w:val="none"/>
              </w:rPr>
            </w:pPr>
            <w:r>
              <w:rPr>
                <w:rFonts w:hint="eastAsia"/>
                <w:color w:val="auto"/>
                <w:highlight w:val="none"/>
              </w:rPr>
              <w:t>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黑体" w:hAnsi="黑体" w:eastAsia="黑体" w:cs="黑体"/>
                <w:color w:val="auto"/>
                <w:szCs w:val="21"/>
                <w:highlight w:val="none"/>
                <w:shd w:val="clear" w:color="auto" w:fill="FFFFFF"/>
              </w:rPr>
            </w:pPr>
            <w:r>
              <w:rPr>
                <w:rFonts w:hint="eastAsia" w:ascii="宋体" w:hAnsi="宋体" w:cs="宋体"/>
                <w:color w:val="auto"/>
                <w:szCs w:val="21"/>
                <w:highlight w:val="none"/>
              </w:rPr>
              <w:t>本项目属于专门面向中小企业采购的项目。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中小企业优惠</w:t>
            </w:r>
          </w:p>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措施</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b/>
                <w:color w:val="auto"/>
                <w:szCs w:val="21"/>
                <w:highlight w:val="none"/>
              </w:rPr>
              <w:t>工程类</w:t>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ascii="宋体" w:hAnsi="宋体" w:cs="宋体"/>
                <w:color w:val="auto"/>
                <w:szCs w:val="21"/>
                <w:highlight w:val="none"/>
              </w:rPr>
              <w:t>2.中小企业划分标准所属行业（具体根据《中小企业划型标准规定》执行）</w:t>
            </w:r>
          </w:p>
          <w:p>
            <w:pPr>
              <w:pStyle w:val="3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w:t>
            </w:r>
            <w:r>
              <w:rPr>
                <w:rFonts w:hint="eastAsia" w:ascii="宋体" w:hAnsi="宋体" w:eastAsia="宋体" w:cs="宋体"/>
                <w:b/>
                <w:color w:val="auto"/>
                <w:sz w:val="21"/>
                <w:szCs w:val="21"/>
                <w:highlight w:val="none"/>
                <w:lang w:eastAsia="zh-CN"/>
              </w:rPr>
              <w:t>台州市第一中学食堂二楼备餐间、洗碗间和新疆班卫生间改造工程项目</w:t>
            </w:r>
            <w:r>
              <w:rPr>
                <w:rFonts w:hint="eastAsia" w:ascii="宋体" w:hAnsi="宋体" w:eastAsia="宋体" w:cs="宋体"/>
                <w:b/>
                <w:color w:val="auto"/>
                <w:sz w:val="21"/>
                <w:szCs w:val="21"/>
                <w:highlight w:val="none"/>
              </w:rPr>
              <w:t xml:space="preserve">，所属行业：建筑业。      </w:t>
            </w:r>
          </w:p>
          <w:p>
            <w:pPr>
              <w:snapToGrid w:val="0"/>
              <w:rPr>
                <w:rFonts w:cs="Arial" w:asciiTheme="minorEastAsia" w:hAnsiTheme="minorEastAsia" w:eastAsiaTheme="minorEastAsia"/>
                <w:color w:val="auto"/>
                <w:szCs w:val="21"/>
                <w:highlight w:val="none"/>
              </w:rPr>
            </w:pPr>
            <w:r>
              <w:rPr>
                <w:rFonts w:hint="eastAsia" w:ascii="宋体" w:hAnsi="宋体" w:cs="宋体"/>
                <w:color w:val="auto"/>
                <w:szCs w:val="21"/>
                <w:highlight w:val="none"/>
              </w:rPr>
              <w:t>3.</w:t>
            </w:r>
            <w:r>
              <w:rPr>
                <w:rFonts w:hint="eastAsia" w:cs="Arial" w:asciiTheme="minorEastAsia" w:hAnsiTheme="minorEastAsia" w:eastAsiaTheme="minorEastAsia"/>
                <w:color w:val="auto"/>
                <w:szCs w:val="21"/>
                <w:highlight w:val="none"/>
              </w:rPr>
              <w:t>本项目根据《政府采购促进中小企业发展管理办法》（财库〔2020〕46号）第八条的规定，将采购项目整体专门面向中小企业采购，供应商应为中小微企业、监狱企业、残疾人福利性单位，同时需提供《中小企业声明函》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bookmarkStart w:id="57" w:name="OLE_LINK66"/>
            <w:bookmarkStart w:id="58" w:name="OLE_LINK67"/>
            <w:r>
              <w:rPr>
                <w:rFonts w:hint="eastAsia"/>
                <w:color w:val="auto"/>
                <w:highlight w:val="none"/>
              </w:rPr>
              <w:t>本项目代理服务费参照计价格【2002】1980号文件，按照中标通知书确定的中标金额，对照收费标准的60%取（低于陆仟元按陆仟元计取），在发中标通知书时由成交供应商支付，供应商在报价时综合考虑。</w:t>
            </w:r>
            <w:bookmarkEnd w:id="57"/>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Cs w:val="21"/>
                <w:highlight w:val="none"/>
              </w:rPr>
            </w:pPr>
            <w:r>
              <w:rPr>
                <w:rFonts w:hint="eastAsia" w:ascii="宋体" w:hAnsi="宋体" w:cs="宋体"/>
                <w:color w:val="auto"/>
                <w:szCs w:val="21"/>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bookmarkStart w:id="59" w:name="OLE_LINK65"/>
            <w:bookmarkStart w:id="60" w:name="OLE_LINK64"/>
            <w:r>
              <w:rPr>
                <w:rFonts w:hint="eastAsia" w:ascii="宋体" w:hAnsi="宋体" w:cs="宋体"/>
                <w:color w:val="auto"/>
                <w:szCs w:val="21"/>
                <w:highlight w:val="none"/>
              </w:rPr>
              <w:t>1.成交供应商需要在领取《成交通知书》时提供与电子响应文件一致的纸质响应文件</w:t>
            </w:r>
            <w:r>
              <w:rPr>
                <w:rFonts w:ascii="宋体" w:hAnsi="宋体" w:cs="宋体"/>
                <w:color w:val="auto"/>
                <w:szCs w:val="21"/>
                <w:highlight w:val="none"/>
              </w:rPr>
              <w:t>3份（一正二副）用于书面存档。</w:t>
            </w:r>
          </w:p>
          <w:p>
            <w:pPr>
              <w:autoSpaceDE w:val="0"/>
              <w:autoSpaceDN w:val="0"/>
              <w:adjustRightInd w:val="0"/>
              <w:rPr>
                <w:rFonts w:ascii="宋体" w:hAnsi="宋体" w:cs="宋体"/>
                <w:color w:val="auto"/>
                <w:szCs w:val="21"/>
                <w:highlight w:val="none"/>
              </w:rPr>
            </w:pPr>
            <w:r>
              <w:rPr>
                <w:rFonts w:hint="eastAsia" w:ascii="宋体" w:hAnsi="宋体" w:cs="宋体"/>
                <w:b/>
                <w:color w:val="auto"/>
                <w:szCs w:val="21"/>
                <w:highlight w:val="none"/>
              </w:rPr>
              <w:t>2.本工程采用一般计税法，税率为9%，供应商如为小规模纳税人，应承担税率不同产生的风险。</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合同价的2%，履约保证金可以用银行保函、保险机构保证保险保单和融资担保公司保函或现金。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Cs w:val="21"/>
                <w:highlight w:val="none"/>
              </w:rPr>
              <w:t>20</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成交供应商如有融资需求，可使用以下银行的政采贷服务。</w:t>
            </w:r>
          </w:p>
          <w:p>
            <w:pPr>
              <w:adjustRightInd w:val="0"/>
              <w:snapToGrid w:val="0"/>
              <w:spacing w:line="480" w:lineRule="exact"/>
              <w:jc w:val="center"/>
              <w:rPr>
                <w:rFonts w:ascii="宋体" w:hAnsi="宋体" w:cs="宋体"/>
                <w:b/>
                <w:bCs/>
                <w:color w:val="auto"/>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9"/>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贷款年利率</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联系人</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中国工商银行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卢嘉诚</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88588246  </w:t>
                  </w:r>
                  <w:r>
                    <w:rPr>
                      <w:rFonts w:ascii="宋体" w:hAnsi="宋体" w:cs="宋体"/>
                      <w:color w:val="auto"/>
                      <w:sz w:val="18"/>
                      <w:szCs w:val="18"/>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中国农业银行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龚盛</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中国建设银行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梅晶晶</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88525339</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w:t>
                  </w:r>
                </w:p>
              </w:tc>
              <w:tc>
                <w:tcPr>
                  <w:tcW w:w="1567" w:type="dxa"/>
                  <w:vAlign w:val="center"/>
                </w:tcPr>
                <w:p>
                  <w:pPr>
                    <w:snapToGrid w:val="0"/>
                    <w:jc w:val="center"/>
                    <w:rPr>
                      <w:rFonts w:ascii="宋体" w:hAnsi="宋体" w:cs="宋体"/>
                      <w:color w:val="auto"/>
                      <w:sz w:val="18"/>
                      <w:szCs w:val="18"/>
                      <w:highlight w:val="none"/>
                    </w:rPr>
                  </w:pPr>
                  <w:r>
                    <w:rPr>
                      <w:rFonts w:ascii="宋体" w:hAnsi="宋体" w:cs="宋体"/>
                      <w:color w:val="auto"/>
                      <w:sz w:val="18"/>
                      <w:szCs w:val="18"/>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王渊</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浦发银行椒江分行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孙瑞华</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交通银行台州分行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周翔宇</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招商银行台州分行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4.32%起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王海玲</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浙商银行台州分行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5.01%起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章涉漪</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81880185</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中信银行台州分行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4.15%起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陈金园</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华夏银行台州分行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邱明达</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81871518</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泰隆银行开发区支行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梁宛莉</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民泰银行椒江支行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陈慧珠</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绍兴银行台州分行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郭庭斌</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温州银行台州分行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王晓波</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平安银行台州分行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6.53%起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李俊丽</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宁波银行台州分行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戴莉丽</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金华银行台州分行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金雪婷</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81886670</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台州银行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洪婷</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15858624999</w:t>
                  </w:r>
                </w:p>
              </w:tc>
            </w:tr>
          </w:tbl>
          <w:p>
            <w:pPr>
              <w:adjustRightInd w:val="0"/>
              <w:snapToGrid w:val="0"/>
              <w:spacing w:line="480" w:lineRule="exact"/>
              <w:jc w:val="left"/>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color w:val="auto"/>
                <w:sz w:val="21"/>
                <w:szCs w:val="21"/>
                <w:highlight w:val="none"/>
              </w:rPr>
            </w:pPr>
            <w:r>
              <w:rPr>
                <w:rFonts w:hint="eastAsia" w:ascii="宋体" w:hAnsi="宋体" w:cs="Arial"/>
                <w:color w:val="auto"/>
                <w:sz w:val="21"/>
                <w:szCs w:val="21"/>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30"/>
              <w:tblW w:w="6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701"/>
              <w:gridCol w:w="84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84"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保险公司名称</w:t>
                  </w:r>
                </w:p>
              </w:tc>
              <w:tc>
                <w:tcPr>
                  <w:tcW w:w="1701"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保费率</w:t>
                  </w:r>
                </w:p>
              </w:tc>
              <w:tc>
                <w:tcPr>
                  <w:tcW w:w="846"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联系人</w:t>
                  </w:r>
                </w:p>
              </w:tc>
              <w:tc>
                <w:tcPr>
                  <w:tcW w:w="1376"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徐凌</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永诚财产保险股份有限公司台州分公司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尹刚强</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华泰财产保险有限公司台州中心支公司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年费率0.5%，最低保费1000元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王灵芳</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中国大地财产保险股份有限公司台州中心支公司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年费率1.5%，最低保费1000元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徐小明</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林高明</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中华联合财产保险股份有限公司台州中心支公司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年费率2%，最低保费500元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王仙高</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中国人民财产保险股份有限公司台州中心支公司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王仙春</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永安财产保险股份有限公司台州中心支公司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王春宇</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13676675331</w:t>
                  </w:r>
                </w:p>
              </w:tc>
            </w:tr>
          </w:tbl>
          <w:p>
            <w:pPr>
              <w:adjustRightInd w:val="0"/>
              <w:snapToGri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color w:val="auto"/>
                <w:sz w:val="21"/>
                <w:szCs w:val="21"/>
                <w:highlight w:val="none"/>
              </w:rPr>
            </w:pPr>
            <w:r>
              <w:rPr>
                <w:rFonts w:hint="eastAsia" w:ascii="宋体" w:hAnsi="宋体" w:cs="Arial"/>
                <w:color w:val="auto"/>
                <w:sz w:val="21"/>
                <w:szCs w:val="21"/>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30"/>
              <w:tblW w:w="6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701"/>
              <w:gridCol w:w="84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84"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保险公司名称</w:t>
                  </w:r>
                </w:p>
              </w:tc>
              <w:tc>
                <w:tcPr>
                  <w:tcW w:w="1701"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保费率</w:t>
                  </w:r>
                </w:p>
              </w:tc>
              <w:tc>
                <w:tcPr>
                  <w:tcW w:w="848"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联系人</w:t>
                  </w:r>
                </w:p>
              </w:tc>
              <w:tc>
                <w:tcPr>
                  <w:tcW w:w="1374"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年费率3%，最低保费500元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徐凌</w:t>
                  </w:r>
                </w:p>
              </w:tc>
              <w:tc>
                <w:tcPr>
                  <w:tcW w:w="1374" w:type="dxa"/>
                </w:tcPr>
                <w:p>
                  <w:pPr>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林高明</w:t>
                  </w:r>
                </w:p>
              </w:tc>
              <w:tc>
                <w:tcPr>
                  <w:tcW w:w="1374" w:type="dxa"/>
                </w:tcPr>
                <w:p>
                  <w:pPr>
                    <w:rPr>
                      <w:rFonts w:ascii="Arial" w:hAnsi="Arial"/>
                      <w:color w:val="auto"/>
                      <w:sz w:val="18"/>
                      <w:szCs w:val="18"/>
                      <w:highlight w:val="none"/>
                    </w:rPr>
                  </w:pPr>
                  <w:r>
                    <w:rPr>
                      <w:rFonts w:hint="eastAsia" w:ascii="Arial" w:hAnsi="Arial"/>
                      <w:color w:val="auto"/>
                      <w:sz w:val="18"/>
                      <w:szCs w:val="18"/>
                      <w:highlight w:val="none"/>
                    </w:rPr>
                    <w:t>1</w:t>
                  </w:r>
                  <w:r>
                    <w:rPr>
                      <w:rFonts w:ascii="Arial" w:hAnsi="Arial"/>
                      <w:color w:val="auto"/>
                      <w:sz w:val="18"/>
                      <w:szCs w:val="18"/>
                      <w:highlight w:val="none"/>
                    </w:rPr>
                    <w:t>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天安财产保险股份有限公司台州中心支公司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年费率1%-2%，最低保费500元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罗赛</w:t>
                  </w:r>
                </w:p>
              </w:tc>
              <w:tc>
                <w:tcPr>
                  <w:tcW w:w="1374" w:type="dxa"/>
                </w:tcPr>
                <w:p>
                  <w:pPr>
                    <w:rPr>
                      <w:rFonts w:ascii="Arial" w:hAnsi="Arial"/>
                      <w:color w:val="auto"/>
                      <w:sz w:val="18"/>
                      <w:szCs w:val="18"/>
                      <w:highlight w:val="none"/>
                    </w:rPr>
                  </w:pPr>
                  <w:r>
                    <w:rPr>
                      <w:rFonts w:hint="eastAsia" w:ascii="Arial" w:hAnsi="Arial"/>
                      <w:color w:val="auto"/>
                      <w:sz w:val="18"/>
                      <w:szCs w:val="18"/>
                      <w:highlight w:val="none"/>
                    </w:rPr>
                    <w:t>13736605643</w:t>
                  </w:r>
                </w:p>
              </w:tc>
            </w:tr>
          </w:tbl>
          <w:p>
            <w:pPr>
              <w:adjustRightInd w:val="0"/>
              <w:snapToGrid w:val="0"/>
              <w:jc w:val="center"/>
              <w:rPr>
                <w:color w:val="auto"/>
                <w:sz w:val="18"/>
                <w:szCs w:val="18"/>
                <w:highlight w:val="none"/>
              </w:rPr>
            </w:pPr>
          </w:p>
        </w:tc>
      </w:tr>
    </w:tbl>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由此引起的一切后果应由响应</w:t>
      </w:r>
      <w:r>
        <w:rPr>
          <w:rFonts w:asciiTheme="minorEastAsia" w:hAnsiTheme="minorEastAsia" w:eastAsiaTheme="minorEastAsia"/>
          <w:color w:val="auto"/>
          <w:sz w:val="24"/>
          <w:highlight w:val="none"/>
        </w:rPr>
        <w:t>供应商</w:t>
      </w:r>
      <w:r>
        <w:rPr>
          <w:rFonts w:hint="eastAsia"/>
          <w:color w:val="auto"/>
          <w:sz w:val="24"/>
          <w:highlight w:val="none"/>
        </w:rPr>
        <w:t>承担</w:t>
      </w:r>
      <w:r>
        <w:rPr>
          <w:rFonts w:asciiTheme="minorEastAsia" w:hAnsiTheme="minorEastAsia" w:eastAsiaTheme="minorEastAsia"/>
          <w:color w:val="auto"/>
          <w:sz w:val="24"/>
          <w:highlight w:val="none"/>
        </w:rPr>
        <w:t>。</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pPr>
        <w:pStyle w:val="9"/>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pPr>
        <w:pStyle w:val="16"/>
        <w:spacing w:line="360" w:lineRule="auto"/>
        <w:ind w:left="482" w:left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1.采购人：是指依法进行政府采购的国家机关、事业单位和团体组织。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2.采购组织机构：是指采购人委托组织磋商的浙江中永工程咨询有限公司。</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3.供应商/投标人：是指向采购人提供货物、工程或者服务的法人、其他组织或者自然人</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供应商/中标人：是指经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pPr>
        <w:pStyle w:val="28"/>
        <w:spacing w:after="0" w:line="360" w:lineRule="auto"/>
        <w:ind w:left="0" w:leftChars="0" w:firstLine="480" w:firstLineChars="20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w:t>
      </w:r>
      <w:r>
        <w:rPr>
          <w:rFonts w:hint="eastAsia"/>
          <w:b/>
          <w:bCs/>
          <w:color w:val="auto"/>
          <w:sz w:val="24"/>
          <w:highlight w:val="none"/>
        </w:rPr>
        <w:t>磋商</w:t>
      </w:r>
      <w:r>
        <w:rPr>
          <w:b/>
          <w:bCs/>
          <w:color w:val="auto"/>
          <w:sz w:val="24"/>
          <w:highlight w:val="none"/>
        </w:rPr>
        <w:t>的，应符合以下规定（本项目不适用）：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w:t>
      </w:r>
      <w:r>
        <w:rPr>
          <w:rFonts w:hint="eastAsia"/>
          <w:color w:val="auto"/>
          <w:sz w:val="24"/>
          <w:highlight w:val="none"/>
        </w:rPr>
        <w:t>磋商响应</w:t>
      </w:r>
      <w:r>
        <w:rPr>
          <w:color w:val="auto"/>
          <w:sz w:val="24"/>
          <w:highlight w:val="none"/>
        </w:rPr>
        <w:t>文件组成分部分。</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w:t>
      </w:r>
      <w:r>
        <w:rPr>
          <w:rFonts w:hint="eastAsia"/>
          <w:color w:val="auto"/>
          <w:sz w:val="24"/>
          <w:highlight w:val="none"/>
        </w:rPr>
        <w:t>响应</w:t>
      </w:r>
      <w:r>
        <w:rPr>
          <w:color w:val="auto"/>
          <w:sz w:val="24"/>
          <w:highlight w:val="none"/>
        </w:rPr>
        <w:t>文件中提供联合体各方的相关证明材料。</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5.联合体各方不得再以自己名义单独参加同一</w:t>
      </w:r>
      <w:r>
        <w:rPr>
          <w:rFonts w:hint="eastAsia" w:ascii="宋体" w:hAnsi="宋体" w:cs="宋体"/>
          <w:color w:val="auto"/>
          <w:sz w:val="24"/>
          <w:highlight w:val="none"/>
        </w:rPr>
        <w:t>合同项</w:t>
      </w:r>
      <w:r>
        <w:rPr>
          <w:rFonts w:hint="eastAsia" w:asciiTheme="minorEastAsia" w:hAnsiTheme="minorEastAsia" w:eastAsiaTheme="minorEastAsia"/>
          <w:color w:val="auto"/>
          <w:sz w:val="24"/>
          <w:highlight w:val="none"/>
        </w:rPr>
        <w:t>，也不得组成新的联合体参加同一项目。</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7.磋商</w:t>
      </w:r>
      <w:r>
        <w:rPr>
          <w:color w:val="auto"/>
          <w:sz w:val="24"/>
          <w:highlight w:val="none"/>
        </w:rPr>
        <w:t>时，应以联合体协议中确定的主体方名义</w:t>
      </w:r>
      <w:r>
        <w:rPr>
          <w:rFonts w:hint="eastAsia" w:asciiTheme="minorEastAsia" w:hAnsiTheme="minorEastAsia" w:eastAsiaTheme="minorEastAsia"/>
          <w:color w:val="auto"/>
          <w:sz w:val="24"/>
          <w:highlight w:val="none"/>
        </w:rPr>
        <w:t>磋商</w:t>
      </w:r>
      <w:r>
        <w:rPr>
          <w:color w:val="auto"/>
          <w:sz w:val="24"/>
          <w:highlight w:val="none"/>
        </w:rPr>
        <w:t>，对联合体各方均具有约束力。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pStyle w:val="38"/>
        <w:tabs>
          <w:tab w:val="left" w:pos="437"/>
        </w:tabs>
        <w:spacing w:line="360" w:lineRule="auto"/>
        <w:ind w:firstLine="482"/>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（七）特别说明</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1.供应商磋商</w:t>
      </w:r>
      <w:r>
        <w:rPr>
          <w:rFonts w:hAnsi="宋体"/>
          <w:color w:val="auto"/>
          <w:sz w:val="24"/>
          <w:highlight w:val="none"/>
        </w:rPr>
        <w:t>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w:t>
      </w:r>
      <w:r>
        <w:rPr>
          <w:rFonts w:hint="eastAsia" w:hAnsi="宋体"/>
          <w:color w:val="auto"/>
          <w:sz w:val="24"/>
          <w:highlight w:val="none"/>
        </w:rPr>
        <w:t>供应商磋商</w:t>
      </w:r>
      <w:r>
        <w:rPr>
          <w:rFonts w:hAnsi="宋体"/>
          <w:color w:val="auto"/>
          <w:sz w:val="24"/>
          <w:highlight w:val="none"/>
        </w:rPr>
        <w:t>所使用的采购项目实施人员必须为本法人员工。</w:t>
      </w:r>
      <w:r>
        <w:rPr>
          <w:rFonts w:hint="eastAsia" w:hAnsi="宋体"/>
          <w:color w:val="auto"/>
          <w:sz w:val="24"/>
          <w:highlight w:val="none"/>
        </w:rPr>
        <w:t>▲其中涉及资格条件的如非本法人所拥有，则投标无效。</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3.本磋商文件中关于电子磋商、响应内容、流程如与政采云系统中最新的内容、操作不一致的，以政采云系统中的要求为准。</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4.磋商文件中指出的工艺、材料、设备、服务等标准以及推荐、参照的品牌或型号仅起说明作用（除实质性必须响应的除外），并没有任何限制性。供应商在磋商响应时可以选用替代标准、品牌或型号，但这些替代要实质上满足或超过磋商文件的要求。</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5.供应商在政府采购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6.供应商不得相互串通投标报价，不得妨碍其他供应商的公平竞争，不得损害采购人或其他供应商的合法权益，供应商不得以向采购人、评标委员会成员行贿或者采取其他不正当手段谋取成交。</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7.为采购项目提供整体设计、规范编制或者项目管理、监理、检测等服务的供应商，不得再参加该采购项目的其他采购活动。</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8.响应文件格式中的表格式样可以根据项目差别做适当调整,但应当保持表格样式基本形态不变。</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9.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10.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供应商承担不利后果。</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11.本项目不允许转包、分包（不含劳务分包）。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三、磋商文件</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pPr>
        <w:pStyle w:val="38"/>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响应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四、响应文件</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（一）响应文件的编制</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。【特别提示：如在磋商响应时有要求提供资料原件的，将原件扫描放入响应文件。】</w:t>
      </w:r>
      <w:r>
        <w:rPr>
          <w:rFonts w:hint="eastAsia" w:asciiTheme="minorEastAsia" w:hAnsiTheme="minorEastAsia" w:eastAsiaTheme="minorEastAsia"/>
          <w:bCs/>
          <w:color w:val="auto"/>
          <w:kern w:val="0"/>
          <w:sz w:val="24"/>
          <w:highlight w:val="none"/>
        </w:rPr>
        <w:t>本磋商文件中若有多标项的，若参与多标项磋商的，则按每个标项分别独立编制磋商响应文件。</w:t>
      </w:r>
    </w:p>
    <w:p>
      <w:pPr>
        <w:snapToGrid w:val="0"/>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1.资格证明内容的组成：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w:t>
      </w:r>
      <w:r>
        <w:rPr>
          <w:rFonts w:hint="eastAsia" w:ascii="宋体" w:hAnsi="宋体" w:cs="宋体"/>
          <w:color w:val="auto"/>
          <w:sz w:val="24"/>
          <w:highlight w:val="none"/>
        </w:rPr>
        <w:t>磋商声明书（格式见附件）；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w:t>
      </w:r>
      <w:r>
        <w:rPr>
          <w:rFonts w:hint="eastAsia" w:ascii="宋体" w:hAnsi="宋体" w:cs="宋体"/>
          <w:color w:val="auto"/>
          <w:sz w:val="24"/>
          <w:highlight w:val="none"/>
        </w:rPr>
        <w:t>授权委托书（格式见附件，法定代表人或负责人亲自办理磋商事宜的，则仅需提供身份证扫描件或影印件，无需提交本授权书)；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w:t>
      </w:r>
      <w:r>
        <w:rPr>
          <w:rFonts w:hint="eastAsia" w:ascii="宋体" w:hAnsi="宋体" w:cs="宋体"/>
          <w:color w:val="auto"/>
          <w:sz w:val="24"/>
          <w:highlight w:val="none"/>
        </w:rPr>
        <w:t>法人或者其他组织的营业执照等证明文件；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w:t>
      </w:r>
      <w:r>
        <w:rPr>
          <w:rFonts w:hint="eastAsia" w:ascii="宋体" w:hAnsi="宋体" w:cs="宋体"/>
          <w:color w:val="auto"/>
          <w:sz w:val="24"/>
          <w:highlight w:val="none"/>
        </w:rPr>
        <w:t>符合参与政府采购活动的资格条件、具备良好的商业信誉和健全的财务会计制度并且没有税收缴纳、社会保障等方面的失信记录的承诺函（格式见附件）；</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color w:val="auto"/>
          <w:sz w:val="24"/>
          <w:highlight w:val="none"/>
        </w:rPr>
        <w:t>▲</w:t>
      </w:r>
      <w:r>
        <w:rPr>
          <w:rFonts w:hint="eastAsia" w:ascii="宋体" w:hAnsi="宋体" w:cs="宋体"/>
          <w:color w:val="auto"/>
          <w:sz w:val="24"/>
          <w:highlight w:val="none"/>
        </w:rPr>
        <w:t>具备履行合同所必需的设备和专业技术能力的承诺函(格式见附件)；</w:t>
      </w:r>
    </w:p>
    <w:p>
      <w:pPr>
        <w:snapToGrid w:val="0"/>
        <w:spacing w:line="360" w:lineRule="auto"/>
        <w:ind w:firstLine="480" w:firstLineChars="200"/>
        <w:rPr>
          <w:rFonts w:ascii="宋体" w:hAnsi="宋体"/>
          <w:color w:val="auto"/>
          <w:kern w:val="0"/>
          <w:sz w:val="24"/>
          <w:highlight w:val="none"/>
        </w:rPr>
      </w:pPr>
      <w:bookmarkStart w:id="61" w:name="OLE_LINK91"/>
      <w:bookmarkStart w:id="62" w:name="OLE_LINK92"/>
      <w:r>
        <w:rPr>
          <w:rFonts w:hint="eastAsia" w:ascii="宋体" w:hAnsi="宋体"/>
          <w:color w:val="auto"/>
          <w:kern w:val="0"/>
          <w:sz w:val="24"/>
          <w:highlight w:val="none"/>
        </w:rPr>
        <w:t>（6）</w:t>
      </w:r>
      <w:r>
        <w:rPr>
          <w:rFonts w:hint="eastAsia" w:ascii="宋体" w:hAnsi="宋体" w:cs="宋体"/>
          <w:b/>
          <w:color w:val="auto"/>
          <w:sz w:val="24"/>
          <w:highlight w:val="none"/>
        </w:rPr>
        <w:t>▲</w:t>
      </w:r>
      <w:bookmarkStart w:id="63" w:name="OLE_LINK55"/>
      <w:bookmarkStart w:id="64" w:name="OLE_LINK54"/>
      <w:r>
        <w:rPr>
          <w:rFonts w:hint="eastAsia" w:ascii="宋体" w:hAnsi="宋体"/>
          <w:color w:val="auto"/>
          <w:kern w:val="0"/>
          <w:sz w:val="24"/>
          <w:highlight w:val="none"/>
        </w:rPr>
        <w:t>《</w:t>
      </w:r>
      <w:bookmarkStart w:id="65" w:name="OLE_LINK56"/>
      <w:r>
        <w:rPr>
          <w:rFonts w:hint="eastAsia" w:ascii="宋体" w:hAnsi="宋体"/>
          <w:color w:val="auto"/>
          <w:kern w:val="0"/>
          <w:sz w:val="24"/>
          <w:highlight w:val="none"/>
        </w:rPr>
        <w:t>建筑业企业资质证书</w:t>
      </w:r>
      <w:bookmarkEnd w:id="65"/>
      <w:r>
        <w:rPr>
          <w:rFonts w:hint="eastAsia" w:ascii="宋体" w:hAnsi="宋体"/>
          <w:color w:val="auto"/>
          <w:kern w:val="0"/>
          <w:sz w:val="24"/>
          <w:highlight w:val="none"/>
        </w:rPr>
        <w:t>》扫描件</w:t>
      </w:r>
      <w:bookmarkEnd w:id="63"/>
      <w:bookmarkEnd w:id="64"/>
      <w:r>
        <w:rPr>
          <w:rFonts w:hint="eastAsia" w:ascii="宋体" w:hAnsi="宋体"/>
          <w:color w:val="auto"/>
          <w:kern w:val="0"/>
          <w:sz w:val="24"/>
          <w:highlight w:val="none"/>
        </w:rPr>
        <w:t>或影印件（若为住房和城乡建设部同意企业资质电子化试点的省、市可提供企业电子资质证书或网页截图），《建筑业企业资质证书》上的有关内容均以全国建筑市场监管公共服务平台查询网址：</w:t>
      </w:r>
      <w:r>
        <w:rPr>
          <w:rFonts w:ascii="宋体" w:hAnsi="宋体"/>
          <w:color w:val="auto"/>
          <w:kern w:val="0"/>
          <w:sz w:val="24"/>
          <w:highlight w:val="none"/>
        </w:rPr>
        <w:t>http://jzsc.mohurd.gov.cn/</w:t>
      </w:r>
      <w:r>
        <w:rPr>
          <w:rFonts w:hint="eastAsia" w:ascii="宋体" w:hAnsi="宋体"/>
          <w:color w:val="auto"/>
          <w:kern w:val="0"/>
          <w:sz w:val="24"/>
          <w:highlight w:val="none"/>
        </w:rPr>
        <w:t>中查询结果为准。</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w:t>
      </w:r>
      <w:r>
        <w:rPr>
          <w:rFonts w:hint="eastAsia" w:ascii="宋体" w:hAnsi="宋体" w:cs="宋体"/>
          <w:b/>
          <w:color w:val="auto"/>
          <w:sz w:val="24"/>
          <w:highlight w:val="none"/>
        </w:rPr>
        <w:t>▲</w:t>
      </w:r>
      <w:r>
        <w:rPr>
          <w:rFonts w:hint="eastAsia" w:ascii="宋体" w:hAnsi="宋体" w:cs="宋体"/>
          <w:color w:val="auto"/>
          <w:sz w:val="24"/>
          <w:highlight w:val="none"/>
        </w:rPr>
        <w:t>供应商</w:t>
      </w:r>
      <w:r>
        <w:rPr>
          <w:rFonts w:hint="eastAsia" w:ascii="宋体" w:hAnsi="宋体"/>
          <w:color w:val="auto"/>
          <w:kern w:val="0"/>
          <w:sz w:val="24"/>
          <w:highlight w:val="none"/>
        </w:rPr>
        <w:t>在响应截止当周</w:t>
      </w:r>
      <w:r>
        <w:rPr>
          <w:rFonts w:hint="eastAsia" w:ascii="宋体" w:hAnsi="宋体"/>
          <w:color w:val="auto"/>
          <w:kern w:val="0"/>
          <w:sz w:val="24"/>
          <w:highlight w:val="none"/>
          <w:lang w:val="en-US" w:eastAsia="zh-CN"/>
        </w:rPr>
        <w:t>或前一周</w:t>
      </w:r>
      <w:r>
        <w:rPr>
          <w:rFonts w:hint="eastAsia" w:ascii="宋体" w:hAnsi="宋体"/>
          <w:color w:val="auto"/>
          <w:kern w:val="0"/>
          <w:sz w:val="24"/>
          <w:highlight w:val="none"/>
        </w:rPr>
        <w:t>的周一在“浙江省建筑市场监管公共服务系统”</w:t>
      </w:r>
      <w:r>
        <w:rPr>
          <w:rFonts w:hint="eastAsia" w:ascii="宋体" w:hAnsi="宋体" w:cs="宋体"/>
          <w:color w:val="auto"/>
          <w:kern w:val="0"/>
          <w:sz w:val="24"/>
          <w:highlight w:val="none"/>
        </w:rPr>
        <w:t>上动态核查结果处于“合格”状态</w:t>
      </w:r>
      <w:r>
        <w:rPr>
          <w:rFonts w:hint="eastAsia" w:ascii="宋体" w:hAnsi="宋体"/>
          <w:color w:val="auto"/>
          <w:kern w:val="0"/>
          <w:sz w:val="24"/>
          <w:highlight w:val="none"/>
        </w:rPr>
        <w:t>证明扫描件或影印件。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w:t>
      </w:r>
      <w:bookmarkStart w:id="66" w:name="OLE_LINK9"/>
      <w:bookmarkStart w:id="67" w:name="OLE_LINK10"/>
      <w:r>
        <w:rPr>
          <w:rFonts w:hint="eastAsia" w:ascii="宋体" w:hAnsi="宋体" w:cs="宋体"/>
          <w:b/>
          <w:color w:val="auto"/>
          <w:sz w:val="24"/>
          <w:highlight w:val="none"/>
        </w:rPr>
        <w:t>▲</w:t>
      </w:r>
      <w:bookmarkEnd w:id="66"/>
      <w:bookmarkEnd w:id="67"/>
      <w:r>
        <w:rPr>
          <w:rFonts w:hint="eastAsia" w:ascii="宋体" w:hAnsi="宋体"/>
          <w:color w:val="auto"/>
          <w:kern w:val="0"/>
          <w:sz w:val="24"/>
          <w:highlight w:val="none"/>
        </w:rPr>
        <w:t>安全生产许可证副本扫描件或影印件；</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（9）</w:t>
      </w:r>
      <w:r>
        <w:rPr>
          <w:rFonts w:hint="eastAsia" w:ascii="宋体" w:hAnsi="宋体" w:cs="宋体"/>
          <w:b/>
          <w:color w:val="auto"/>
          <w:sz w:val="24"/>
          <w:highlight w:val="none"/>
        </w:rPr>
        <w:t>▲</w:t>
      </w:r>
      <w:r>
        <w:rPr>
          <w:rFonts w:hint="eastAsia" w:ascii="宋体" w:hAnsi="宋体"/>
          <w:color w:val="auto"/>
          <w:kern w:val="0"/>
          <w:sz w:val="24"/>
          <w:highlight w:val="none"/>
        </w:rPr>
        <w:t>如为浙江省省外企业还须还应具有《省外企业进浙承接业务备案证明》扫描件或“浙江省建筑市场监管公共服务系统”对外发布的通过审核形成的备案信息网页截图；</w:t>
      </w:r>
    </w:p>
    <w:bookmarkEnd w:id="61"/>
    <w:bookmarkEnd w:id="62"/>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（10）</w:t>
      </w:r>
      <w:bookmarkStart w:id="68" w:name="OLE_LINK12"/>
      <w:bookmarkStart w:id="69" w:name="OLE_LINK11"/>
      <w:r>
        <w:rPr>
          <w:rFonts w:hint="eastAsia" w:ascii="宋体" w:hAnsi="宋体" w:cs="宋体"/>
          <w:b/>
          <w:color w:val="auto"/>
          <w:sz w:val="24"/>
          <w:highlight w:val="none"/>
        </w:rPr>
        <w:t>▲</w:t>
      </w:r>
      <w:bookmarkEnd w:id="68"/>
      <w:bookmarkEnd w:id="69"/>
      <w:r>
        <w:rPr>
          <w:rFonts w:hint="eastAsia" w:ascii="宋体" w:hAnsi="宋体" w:cs="宋体"/>
          <w:color w:val="auto"/>
          <w:sz w:val="24"/>
          <w:highlight w:val="none"/>
        </w:rPr>
        <w:t>落实政府采购政策需满足资格要求声明函等[提供中小企业声明函（格式见附件）或残疾人福利性单位声明函（格式见附件）或监狱企业证明文件]；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olor w:val="auto"/>
          <w:kern w:val="0"/>
          <w:sz w:val="24"/>
          <w:highlight w:val="none"/>
        </w:rPr>
        <w:t>需要说明的其他资料（如有）。</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（1）评分索引表（格式见附件）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（3）供应商基本情况表（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（5）《项目组成员一览表》（</w:t>
      </w:r>
      <w:r>
        <w:rPr>
          <w:rFonts w:ascii="宋体" w:hAnsi="宋体"/>
          <w:color w:val="auto"/>
          <w:sz w:val="24"/>
          <w:highlight w:val="none"/>
        </w:rPr>
        <w:t>格式</w:t>
      </w:r>
      <w:r>
        <w:rPr>
          <w:rFonts w:hint="eastAsia" w:ascii="宋体" w:hAnsi="宋体"/>
          <w:color w:val="auto"/>
          <w:sz w:val="24"/>
          <w:highlight w:val="none"/>
        </w:rPr>
        <w:t>见附件）及相关证明材料</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项目负责人的建造师注册证书扫描件或影印件，若为住房和城乡建设部同意的建设领域从业人员有关证书电子化试点的省、市，可只提供电子证书影印件或网页截图；若委派项目负责人为一级建造师的，须提供电子证书。一级建造师注册证书须执行住房和城乡建设部的文件（建办市[2021]40号）的相关规定。一级建造师电子证书打印后，应在个人签名处手写本人签名，未手写签名或与签名图像笔迹不一致的，该电子证书无效；</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b/>
          <w:color w:val="auto"/>
          <w:sz w:val="24"/>
          <w:highlight w:val="none"/>
        </w:rPr>
        <w:t>▲</w:t>
      </w:r>
      <w:r>
        <w:rPr>
          <w:rFonts w:hint="eastAsia" w:ascii="宋体" w:hAnsi="宋体"/>
          <w:color w:val="auto"/>
          <w:sz w:val="24"/>
          <w:highlight w:val="none"/>
        </w:rPr>
        <w:t>商务与技术</w:t>
      </w:r>
      <w:r>
        <w:rPr>
          <w:rFonts w:ascii="宋体" w:hAnsi="宋体"/>
          <w:color w:val="auto"/>
          <w:sz w:val="24"/>
          <w:highlight w:val="none"/>
        </w:rPr>
        <w:t>需求响应表（填制时对应第</w:t>
      </w:r>
      <w:r>
        <w:rPr>
          <w:rFonts w:hint="eastAsia" w:ascii="宋体" w:hAnsi="宋体"/>
          <w:color w:val="auto"/>
          <w:sz w:val="24"/>
          <w:highlight w:val="none"/>
        </w:rPr>
        <w:t>三章</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格式</w:t>
      </w:r>
      <w:r>
        <w:rPr>
          <w:rFonts w:hint="eastAsia" w:ascii="宋体" w:hAnsi="宋体"/>
          <w:color w:val="auto"/>
          <w:sz w:val="24"/>
          <w:highlight w:val="none"/>
        </w:rPr>
        <w:t>见附件）；</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（9）对应评审方法磋商供应商认为需要提供的其他资料或需要说明的其他内容（如有，格式自拟）。</w:t>
      </w:r>
    </w:p>
    <w:p>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w:t>
      </w:r>
      <w:r>
        <w:rPr>
          <w:rFonts w:hint="eastAsia" w:ascii="宋体" w:hAnsi="宋体" w:cs="宋体"/>
          <w:b/>
          <w:color w:val="auto"/>
          <w:sz w:val="24"/>
          <w:highlight w:val="none"/>
        </w:rPr>
        <w:t>▲</w:t>
      </w:r>
      <w:r>
        <w:rPr>
          <w:rFonts w:hint="eastAsia" w:asciiTheme="minorEastAsia" w:hAnsiTheme="minorEastAsia" w:eastAsiaTheme="minorEastAsia"/>
          <w:color w:val="auto"/>
          <w:kern w:val="0"/>
          <w:sz w:val="24"/>
          <w:highlight w:val="none"/>
        </w:rPr>
        <w:t>首次报价一览表（</w:t>
      </w:r>
      <w:r>
        <w:rPr>
          <w:rFonts w:asciiTheme="minorEastAsia" w:hAnsiTheme="minorEastAsia" w:eastAsiaTheme="minorEastAsia" w:cstheme="minorBidi"/>
          <w:color w:val="auto"/>
          <w:sz w:val="24"/>
          <w:highlight w:val="none"/>
        </w:rPr>
        <w:t>格式</w:t>
      </w:r>
      <w:r>
        <w:rPr>
          <w:rFonts w:hint="eastAsia" w:asciiTheme="minorEastAsia" w:hAnsiTheme="minorEastAsia" w:eastAsiaTheme="minorEastAsia" w:cstheme="minorBidi"/>
          <w:color w:val="auto"/>
          <w:sz w:val="24"/>
          <w:highlight w:val="none"/>
        </w:rPr>
        <w:t>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（2）针对报价供应商认为其他需要说明的内容（如有）。</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（二）报价</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1.供应商应按照采购需求内容、责任范围以及合同条款进行报价。并按规定的格式报出总价。总价中不得包含磋商文件要求以外的内容，否则，在评审时不予核减。</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2.磋商报价包括本项目采购需求和投入使用的所有费用，</w:t>
      </w:r>
      <w:r>
        <w:rPr>
          <w:rFonts w:hint="eastAsia" w:ascii="宋体" w:hAnsi="宋体" w:cs="宋体"/>
          <w:color w:val="auto"/>
          <w:kern w:val="0"/>
          <w:sz w:val="24"/>
          <w:highlight w:val="none"/>
        </w:rPr>
        <w:t>包括</w:t>
      </w:r>
      <w:r>
        <w:rPr>
          <w:rFonts w:hint="eastAsia" w:asciiTheme="minorEastAsia" w:hAnsiTheme="minorEastAsia" w:eastAsiaTheme="minorEastAsia"/>
          <w:bCs/>
          <w:color w:val="auto"/>
          <w:kern w:val="0"/>
          <w:sz w:val="24"/>
          <w:highlight w:val="none"/>
        </w:rPr>
        <w:t>分部分项工程费、措施项目费、其他项目费、规费和税金等</w:t>
      </w:r>
      <w:r>
        <w:rPr>
          <w:rFonts w:hint="eastAsia" w:ascii="宋体" w:hAnsi="宋体" w:cs="宋体"/>
          <w:color w:val="auto"/>
          <w:kern w:val="0"/>
          <w:sz w:val="24"/>
          <w:highlight w:val="none"/>
        </w:rPr>
        <w:t>完成磋商文件规定的所有工作内容的所有费用</w:t>
      </w:r>
      <w:r>
        <w:rPr>
          <w:rFonts w:hint="eastAsia" w:asciiTheme="minorEastAsia" w:hAnsiTheme="minorEastAsia" w:eastAsiaTheme="minorEastAsia"/>
          <w:bCs/>
          <w:color w:val="auto"/>
          <w:kern w:val="0"/>
          <w:sz w:val="24"/>
          <w:highlight w:val="none"/>
        </w:rPr>
        <w:t>。</w:t>
      </w:r>
      <w:r>
        <w:rPr>
          <w:rFonts w:hint="eastAsia" w:ascii="宋体" w:hAnsi="宋体"/>
          <w:bCs/>
          <w:color w:val="auto"/>
          <w:kern w:val="0"/>
          <w:sz w:val="24"/>
          <w:highlight w:val="none"/>
        </w:rPr>
        <w:t>供应商应根据采购人提供的全套施工图纸、技术资料、预算以及本工程实际情况和自身的综合实力，竞报投标报价</w:t>
      </w:r>
      <w:r>
        <w:rPr>
          <w:rFonts w:hint="eastAsia" w:asciiTheme="minorEastAsia" w:hAnsiTheme="minorEastAsia" w:eastAsiaTheme="minorEastAsia"/>
          <w:bCs/>
          <w:color w:val="auto"/>
          <w:kern w:val="0"/>
          <w:sz w:val="24"/>
          <w:highlight w:val="none"/>
        </w:rPr>
        <w:t>。</w:t>
      </w:r>
    </w:p>
    <w:p>
      <w:pPr>
        <w:pStyle w:val="7"/>
        <w:spacing w:line="360" w:lineRule="auto"/>
        <w:ind w:firstLine="480" w:firstLineChars="200"/>
        <w:rPr>
          <w:rFonts w:ascii="宋体" w:hAnsi="宋体"/>
          <w:b/>
          <w:bCs/>
          <w:color w:val="auto"/>
          <w:kern w:val="0"/>
          <w:sz w:val="24"/>
          <w:highlight w:val="none"/>
        </w:rPr>
      </w:pPr>
      <w:r>
        <w:rPr>
          <w:rFonts w:hint="eastAsia" w:ascii="宋体" w:hAnsi="宋体"/>
          <w:bCs/>
          <w:color w:val="auto"/>
          <w:kern w:val="0"/>
          <w:sz w:val="24"/>
          <w:highlight w:val="none"/>
        </w:rPr>
        <w:t>3.</w:t>
      </w:r>
      <w:r>
        <w:rPr>
          <w:rFonts w:hint="eastAsia" w:ascii="宋体" w:hAnsi="宋体"/>
          <w:b/>
          <w:bCs/>
          <w:color w:val="auto"/>
          <w:kern w:val="0"/>
          <w:sz w:val="24"/>
          <w:highlight w:val="none"/>
        </w:rPr>
        <w:t>本工程采用一般计税法，税率为9%，供应商如为小规模纳税人，应承担税率不同产生的风险。</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宋体" w:hAnsi="宋体"/>
          <w:bCs/>
          <w:color w:val="auto"/>
          <w:kern w:val="0"/>
          <w:sz w:val="24"/>
          <w:highlight w:val="none"/>
        </w:rPr>
        <w:t>▲4</w:t>
      </w:r>
      <w:r>
        <w:rPr>
          <w:rFonts w:hint="eastAsia" w:asciiTheme="minorEastAsia" w:hAnsiTheme="minorEastAsia" w:eastAsiaTheme="minorEastAsia"/>
          <w:bCs/>
          <w:color w:val="auto"/>
          <w:kern w:val="0"/>
          <w:sz w:val="24"/>
          <w:highlight w:val="none"/>
        </w:rPr>
        <w:t>.磋商报价不得为选择性报价和附有条件的报价。</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（三）响应文件的有效期</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1.响应文件有效期为磋商</w:t>
      </w:r>
      <w:r>
        <w:rPr>
          <w:rFonts w:hint="eastAsia" w:ascii="宋体" w:hAnsi="宋体"/>
          <w:color w:val="auto"/>
          <w:sz w:val="24"/>
          <w:highlight w:val="none"/>
          <w:lang w:val="en-GB"/>
        </w:rPr>
        <w:t>截止日起90天。</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p>
    <w:p>
      <w:pPr>
        <w:pStyle w:val="7"/>
        <w:spacing w:line="360" w:lineRule="auto"/>
        <w:ind w:firstLine="480" w:firstLineChars="200"/>
        <w:rPr>
          <w:rFonts w:ascii="宋体" w:hAnsi="宋体"/>
          <w:color w:val="auto"/>
          <w:sz w:val="24"/>
          <w:highlight w:val="none"/>
        </w:rPr>
      </w:pPr>
      <w:bookmarkStart w:id="70" w:name="_Toc8754"/>
      <w:bookmarkStart w:id="71" w:name="_Toc92976594"/>
      <w:r>
        <w:rPr>
          <w:rFonts w:hint="eastAsia" w:ascii="宋体" w:hAnsi="宋体"/>
          <w:color w:val="auto"/>
          <w:sz w:val="24"/>
          <w:highlight w:val="none"/>
        </w:rPr>
        <w:t>3.成交供应商</w:t>
      </w:r>
      <w:r>
        <w:rPr>
          <w:rFonts w:ascii="宋体" w:hAnsi="宋体"/>
          <w:color w:val="auto"/>
          <w:sz w:val="24"/>
          <w:highlight w:val="none"/>
        </w:rPr>
        <w:t>的</w:t>
      </w:r>
      <w:r>
        <w:rPr>
          <w:rFonts w:hint="eastAsia" w:ascii="宋体" w:hAnsi="宋体"/>
          <w:color w:val="auto"/>
          <w:sz w:val="24"/>
          <w:highlight w:val="none"/>
        </w:rPr>
        <w:t>磋商响应文件</w:t>
      </w:r>
      <w:r>
        <w:rPr>
          <w:rFonts w:ascii="宋体" w:hAnsi="宋体"/>
          <w:color w:val="auto"/>
          <w:sz w:val="24"/>
          <w:highlight w:val="none"/>
        </w:rPr>
        <w:t>自开标之日起至合同履行完毕均应保持有效。</w:t>
      </w:r>
      <w:bookmarkEnd w:id="70"/>
      <w:bookmarkEnd w:id="71"/>
    </w:p>
    <w:p>
      <w:pPr>
        <w:autoSpaceDE w:val="0"/>
        <w:autoSpaceDN w:val="0"/>
        <w:adjustRightInd w:val="0"/>
        <w:spacing w:line="360" w:lineRule="auto"/>
        <w:ind w:firstLine="482" w:firstLineChars="200"/>
        <w:rPr>
          <w:rFonts w:asciiTheme="minorEastAsia" w:hAnsiTheme="minorEastAsia"/>
          <w:b/>
          <w:bCs/>
          <w:color w:val="auto"/>
          <w:sz w:val="24"/>
          <w:highlight w:val="none"/>
        </w:rPr>
      </w:pPr>
      <w:bookmarkStart w:id="72" w:name="_Toc14235"/>
      <w:bookmarkStart w:id="73" w:name="_Toc92976595"/>
      <w:r>
        <w:rPr>
          <w:rFonts w:hint="eastAsia" w:asciiTheme="minorEastAsia" w:hAnsiTheme="minorEastAsia"/>
          <w:b/>
          <w:bCs/>
          <w:color w:val="auto"/>
          <w:sz w:val="24"/>
          <w:highlight w:val="none"/>
        </w:rPr>
        <w:t>（四）响应文件的签署</w:t>
      </w:r>
      <w:bookmarkEnd w:id="72"/>
      <w:bookmarkEnd w:id="73"/>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宋体" w:hAnsi="宋体" w:cs="宋体"/>
          <w:b/>
          <w:color w:val="auto"/>
          <w:sz w:val="24"/>
          <w:highlight w:val="none"/>
        </w:rPr>
        <w:t xml:space="preserve"> ▲</w:t>
      </w:r>
      <w:r>
        <w:rPr>
          <w:rFonts w:hint="eastAsia" w:asciiTheme="minorEastAsia" w:hAnsiTheme="minorEastAsia" w:eastAsiaTheme="minorEastAsia"/>
          <w:bCs/>
          <w:color w:val="auto"/>
          <w:kern w:val="0"/>
          <w:sz w:val="24"/>
          <w:highlight w:val="none"/>
        </w:rPr>
        <w:t>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color w:val="auto"/>
          <w:kern w:val="0"/>
          <w:sz w:val="24"/>
          <w:highlight w:val="none"/>
        </w:rPr>
        <w:t>响应</w:t>
      </w:r>
      <w:r>
        <w:rPr>
          <w:rFonts w:hint="eastAsia" w:asciiTheme="minorEastAsia" w:hAnsiTheme="minorEastAsia" w:eastAsiaTheme="minorEastAsia"/>
          <w:b/>
          <w:bCs/>
          <w:color w:val="auto"/>
          <w:sz w:val="24"/>
          <w:highlight w:val="none"/>
        </w:rPr>
        <w:t>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如采购组织机构延长截止时间和磋商时间，采购组织机构和供应商的权利和义务将受到新的截止时间和磋商时间的约束。</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（六）演示（本项目不适用）</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若需要演示的，供应商应提前做好演示准备（包括演示设备）。</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五、</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（一）磋商开始时间到后，主持人准时组织磋商；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（二）宣布磋商纪律；</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（三）宣布采购组织机构工作人员；</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（四）供应商登录政采云平台，用“项目采购-开标评标”功能对响应文件进行在线解密。在线解密响应文件时间为磋商时间起半个小时内；</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（五）采购组织机构工作人员当众宣布磋商响应供应商名称和磋商文件规定的需要宣布的其他内容；</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（六）磋商(详见第四章)；</w:t>
      </w:r>
    </w:p>
    <w:p>
      <w:pPr>
        <w:pStyle w:val="15"/>
        <w:snapToGrid w:val="0"/>
        <w:spacing w:line="360" w:lineRule="auto"/>
        <w:ind w:firstLine="480" w:firstLineChars="200"/>
        <w:rPr>
          <w:rFonts w:hAnsi="宋体" w:cs="宋体"/>
          <w:color w:val="auto"/>
          <w:sz w:val="24"/>
          <w:highlight w:val="none"/>
        </w:rPr>
      </w:pPr>
      <w:r>
        <w:rPr>
          <w:rFonts w:hint="eastAsia" w:hAnsi="宋体" w:cs="宋体"/>
          <w:bCs/>
          <w:color w:val="auto"/>
          <w:sz w:val="24"/>
          <w:highlight w:val="none"/>
        </w:rPr>
        <w:t>（七）磋商结果公告。</w:t>
      </w:r>
    </w:p>
    <w:p>
      <w:pPr>
        <w:pStyle w:val="7"/>
        <w:spacing w:line="360" w:lineRule="auto"/>
        <w:ind w:firstLine="482" w:firstLineChars="200"/>
        <w:rPr>
          <w:b/>
          <w:bCs/>
          <w:color w:val="auto"/>
          <w:sz w:val="24"/>
          <w:szCs w:val="24"/>
          <w:highlight w:val="none"/>
        </w:rPr>
      </w:pPr>
      <w:r>
        <w:rPr>
          <w:rFonts w:hint="eastAsia"/>
          <w:b/>
          <w:bCs/>
          <w:color w:val="auto"/>
          <w:sz w:val="24"/>
          <w:szCs w:val="24"/>
          <w:highlight w:val="none"/>
        </w:rPr>
        <w:t>六、磋商异议</w:t>
      </w:r>
    </w:p>
    <w:p>
      <w:pPr>
        <w:pStyle w:val="7"/>
        <w:spacing w:line="360" w:lineRule="auto"/>
        <w:ind w:firstLine="480" w:firstLineChars="200"/>
        <w:rPr>
          <w:color w:val="auto"/>
          <w:sz w:val="24"/>
          <w:szCs w:val="24"/>
          <w:highlight w:val="none"/>
        </w:rPr>
      </w:pPr>
      <w:r>
        <w:rPr>
          <w:rFonts w:hint="eastAsia"/>
          <w:color w:val="auto"/>
          <w:sz w:val="24"/>
          <w:szCs w:val="24"/>
          <w:highlight w:val="none"/>
        </w:rPr>
        <w:t>供应商代表对磋商过程和磋商结果有质疑，可以在知道或者应知其权益受到损害之日起7个工作日内，以书面形式一次性针对同一环节向采购人、采购代理机构提出质疑。</w:t>
      </w:r>
    </w:p>
    <w:p>
      <w:pPr>
        <w:pStyle w:val="26"/>
        <w:spacing w:before="0" w:beforeAutospacing="0" w:after="0" w:afterAutospacing="0" w:line="360" w:lineRule="auto"/>
        <w:ind w:firstLine="482" w:firstLineChars="200"/>
        <w:jc w:val="both"/>
        <w:rPr>
          <w:rFonts w:hint="default" w:asciiTheme="minorEastAsia" w:hAnsiTheme="minorEastAsia"/>
          <w:b/>
          <w:color w:val="auto"/>
          <w:highlight w:val="none"/>
        </w:rPr>
      </w:pPr>
      <w:r>
        <w:rPr>
          <w:rFonts w:asciiTheme="minorEastAsia" w:hAnsiTheme="minorEastAsia" w:eastAsiaTheme="minorEastAsia"/>
          <w:b/>
          <w:color w:val="auto"/>
          <w:highlight w:val="none"/>
        </w:rPr>
        <w:t>七、</w:t>
      </w:r>
      <w:r>
        <w:rPr>
          <w:b/>
          <w:color w:val="auto"/>
          <w:highlight w:val="none"/>
        </w:rPr>
        <w:t>磋商结果确定</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确定成交供应商。</w:t>
      </w:r>
      <w:r>
        <w:rPr>
          <w:rFonts w:asciiTheme="minorEastAsia" w:hAnsiTheme="minorEastAsia" w:eastAsiaTheme="minorEastAsia"/>
          <w:color w:val="auto"/>
          <w:highlight w:val="none"/>
        </w:rPr>
        <w:t>磋商小组根据采购单位的</w:t>
      </w:r>
      <w:r>
        <w:rPr>
          <w:color w:val="auto"/>
          <w:highlight w:val="none"/>
        </w:rPr>
        <w:t>《授权意见确认书》</w:t>
      </w:r>
      <w:r>
        <w:rPr>
          <w:rFonts w:asciiTheme="minorEastAsia" w:hAnsiTheme="minorEastAsia" w:eastAsiaTheme="minorEastAsia"/>
          <w:color w:val="auto"/>
          <w:highlight w:val="none"/>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发布成交结果公告。采购组织机构自成交供应商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成交结果，成交</w:t>
      </w:r>
      <w:r>
        <w:rPr>
          <w:color w:val="auto"/>
          <w:sz w:val="24"/>
          <w:highlight w:val="none"/>
        </w:rPr>
        <w:t>结果公告期为 1 个工作日</w:t>
      </w:r>
      <w:r>
        <w:rPr>
          <w:rFonts w:hint="eastAsia" w:ascii="宋体" w:hAnsi="宋体"/>
          <w:color w:val="auto"/>
          <w:kern w:val="0"/>
          <w:sz w:val="24"/>
          <w:highlight w:val="none"/>
        </w:rPr>
        <w:t>。</w:t>
      </w:r>
    </w:p>
    <w:p>
      <w:pPr>
        <w:pStyle w:val="8"/>
        <w:spacing w:line="360" w:lineRule="auto"/>
        <w:ind w:firstLine="480" w:firstLineChars="200"/>
        <w:jc w:val="both"/>
        <w:rPr>
          <w:color w:val="auto"/>
          <w:highlight w:val="none"/>
        </w:rPr>
      </w:pPr>
      <w:r>
        <w:rPr>
          <w:rFonts w:hint="eastAsia" w:ascii="宋体" w:hAnsi="宋体"/>
          <w:color w:val="auto"/>
          <w:kern w:val="0"/>
          <w:sz w:val="24"/>
          <w:highlight w:val="none"/>
        </w:rPr>
        <w:t>（三）发放成交通知书。采购组织机构在发布成交结果公告的同时，</w:t>
      </w:r>
      <w:r>
        <w:rPr>
          <w:rFonts w:hint="eastAsia"/>
          <w:color w:val="auto"/>
          <w:sz w:val="24"/>
          <w:highlight w:val="none"/>
        </w:rPr>
        <w:t>通过政采云平台向成交供应商发放成交通知书</w:t>
      </w:r>
      <w:r>
        <w:rPr>
          <w:rFonts w:hint="eastAsia" w:ascii="宋体" w:hAnsi="宋体"/>
          <w:color w:val="auto"/>
          <w:kern w:val="0"/>
          <w:sz w:val="24"/>
          <w:highlight w:val="none"/>
        </w:rPr>
        <w:t>。</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（一）签订合同</w:t>
      </w:r>
    </w:p>
    <w:p>
      <w:pPr>
        <w:spacing w:line="360" w:lineRule="auto"/>
        <w:ind w:firstLine="420" w:firstLineChars="200"/>
        <w:rPr>
          <w:rFonts w:hint="default"/>
          <w:color w:val="auto"/>
          <w:highlight w:val="none"/>
        </w:rPr>
      </w:pPr>
      <w:r>
        <w:rPr>
          <w:color w:val="auto"/>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2.采购人不得向成交供应商提出任何不合理的要求作为签订合同的条件。</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3.成交供应商无故拖延、拒签合同的,将取消成交资格。</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5.询问或者质疑事项可能影响成交结果的，采购人应当暂停签订合同，已经签订合同的，应当中止履行合同。</w:t>
      </w:r>
    </w:p>
    <w:p>
      <w:pPr>
        <w:pStyle w:val="26"/>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2.采购人应当自政府采购合同签订之日起7个工作日内，</w:t>
      </w:r>
      <w:r>
        <w:rPr>
          <w:rFonts w:hint="eastAsia"/>
          <w:color w:val="auto"/>
          <w:sz w:val="24"/>
          <w:highlight w:val="none"/>
        </w:rPr>
        <w:t>将政府采购合同通过政采云平台提交至</w:t>
      </w:r>
      <w:r>
        <w:rPr>
          <w:rFonts w:hint="eastAsia" w:ascii="宋体" w:hAnsi="宋体"/>
          <w:color w:val="auto"/>
          <w:sz w:val="24"/>
          <w:highlight w:val="none"/>
        </w:rPr>
        <w:t>同级人民政府财政部门备案存档。</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九、询问、质疑与投诉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磋商供应商对政府采购活动事项（磋商文件、采购过程和成交结果）有疑问的，可以向采购人或采购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机构提出询问，采购人或采购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机构的名称、地址和联系方式”。</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1.报名本项目的供应商认为磋商文件、采购过程和成交结果使自己的权益受到损害的，以书面形式或政采云平台的质疑系统一次性针对同一环节向采购人或采购组织机构书面提出质疑：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（1）供应商认为磋商文件的内容损害其权益的，应当自采购文件获取之日或采购文件公告期限届满之日起7个工作日内提出质疑；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（3）供应商对成交结果提出质疑的，应当在成交结果公告期限届满之日起7个工作日内提出质疑；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机构在收到磋商供应商的书面质疑后7个工作日内作出答复，并以书面形式通知质疑磋商供应商和其他有关磋商供应商，但答复内容不涉及商业秘密。</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机构的质疑答复不满意或在规定时间内未得到答复的，可以在答复期满后15个工作日内，向同级政府采购监督管理机构投诉。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十、澄清与错误修正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一</w:t>
      </w:r>
      <w:r>
        <w:rPr>
          <w:rFonts w:ascii="宋体" w:hAnsi="宋体"/>
          <w:color w:val="auto"/>
          <w:sz w:val="24"/>
          <w:highlight w:val="none"/>
        </w:rPr>
        <w:t>）澄清问题的形式</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磋商供应商的澄清、说明或者补正应当采用线上形式或期限内书面形式递交，并加盖公章，或者由法定代理人或其授权的代表签字，并不得超出磋商响应文件的范围或者改变磋商响应文件的实质性内容。</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二</w:t>
      </w:r>
      <w:r>
        <w:rPr>
          <w:rFonts w:ascii="宋体" w:hAnsi="宋体"/>
          <w:color w:val="auto"/>
          <w:sz w:val="24"/>
          <w:highlight w:val="none"/>
        </w:rPr>
        <w:t>）错误修正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磋商响应文件报价出现前后不一致的，除磋商采购文件另有规定外，按照下列规定修正：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磋商响应文件中首次报价一览表内容与磋商响应文件中相应内容不一致的，以首次报价一览表为准；</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大写金额和小写金额不一致的，以大写金额为准；</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单价金额小数点或者百分比有明显错位的，以首次报价一览表的总价为准，并修改单价；</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总价金额与按单价汇总金额不一致的，以单价金额计算结果为准。</w:t>
      </w:r>
    </w:p>
    <w:p>
      <w:pPr>
        <w:pStyle w:val="8"/>
        <w:spacing w:line="360" w:lineRule="auto"/>
        <w:ind w:firstLine="480" w:firstLineChars="200"/>
        <w:jc w:val="both"/>
        <w:rPr>
          <w:rFonts w:asciiTheme="minorEastAsia" w:hAnsiTheme="minorEastAsia" w:eastAsiaTheme="minorEastAsia"/>
          <w:b/>
          <w:color w:val="auto"/>
          <w:sz w:val="36"/>
          <w:szCs w:val="36"/>
          <w:highlight w:val="none"/>
        </w:rPr>
      </w:pPr>
      <w:r>
        <w:rPr>
          <w:rFonts w:ascii="宋体" w:hAnsi="宋体"/>
          <w:color w:val="auto"/>
          <w:sz w:val="24"/>
          <w:highlight w:val="none"/>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或未在规定时间内进行有效澄清的，将终止磋商。</w:t>
      </w: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74" w:name="_Toc101280594"/>
      <w:r>
        <w:rPr>
          <w:rFonts w:hint="eastAsia" w:asciiTheme="minorEastAsia" w:hAnsiTheme="minorEastAsia" w:eastAsiaTheme="minorEastAsia"/>
          <w:b/>
          <w:color w:val="auto"/>
          <w:sz w:val="36"/>
          <w:szCs w:val="36"/>
          <w:highlight w:val="none"/>
        </w:rPr>
        <w:t>项目需求</w:t>
      </w:r>
      <w:bookmarkEnd w:id="74"/>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一、项目一览表</w:t>
      </w:r>
    </w:p>
    <w:tbl>
      <w:tblPr>
        <w:tblStyle w:val="2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040"/>
        <w:gridCol w:w="795"/>
        <w:gridCol w:w="930"/>
        <w:gridCol w:w="1470"/>
        <w:gridCol w:w="162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58"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2040" w:type="dxa"/>
            <w:vAlign w:val="center"/>
          </w:tcPr>
          <w:p>
            <w:pPr>
              <w:tabs>
                <w:tab w:val="left" w:pos="8280"/>
              </w:tabs>
              <w:autoSpaceDE w:val="0"/>
              <w:autoSpaceDN w:val="0"/>
              <w:adjustRightInd w:val="0"/>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标项名称</w:t>
            </w:r>
          </w:p>
        </w:tc>
        <w:tc>
          <w:tcPr>
            <w:tcW w:w="795"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930"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470" w:type="dxa"/>
            <w:vAlign w:val="center"/>
          </w:tcPr>
          <w:p>
            <w:pPr>
              <w:jc w:val="center"/>
              <w:rPr>
                <w:rFonts w:ascii="宋体" w:hAnsi="宋体" w:cs="宋体"/>
                <w:b/>
                <w:color w:val="auto"/>
                <w:sz w:val="24"/>
                <w:highlight w:val="none"/>
              </w:rPr>
            </w:pPr>
            <w:bookmarkStart w:id="75" w:name="OLE_LINK112"/>
            <w:bookmarkStart w:id="76" w:name="OLE_LINK111"/>
            <w:r>
              <w:rPr>
                <w:rFonts w:hint="eastAsia" w:asciiTheme="minorEastAsia" w:hAnsiTheme="minorEastAsia" w:eastAsiaTheme="minorEastAsia" w:cstheme="minorEastAsia"/>
                <w:b/>
                <w:color w:val="auto"/>
                <w:sz w:val="24"/>
                <w:highlight w:val="none"/>
              </w:rPr>
              <w:t>最高限价</w:t>
            </w:r>
            <w:bookmarkEnd w:id="75"/>
            <w:bookmarkEnd w:id="76"/>
            <w:r>
              <w:rPr>
                <w:rFonts w:hint="eastAsia" w:asciiTheme="minorEastAsia" w:hAnsiTheme="minorEastAsia" w:eastAsiaTheme="minorEastAsia" w:cstheme="minorEastAsia"/>
                <w:b/>
                <w:color w:val="auto"/>
                <w:sz w:val="24"/>
                <w:highlight w:val="none"/>
              </w:rPr>
              <w:t>（万元）</w:t>
            </w:r>
          </w:p>
        </w:tc>
        <w:tc>
          <w:tcPr>
            <w:tcW w:w="1620" w:type="dxa"/>
            <w:vAlign w:val="center"/>
          </w:tcPr>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工期</w:t>
            </w:r>
          </w:p>
        </w:tc>
        <w:tc>
          <w:tcPr>
            <w:tcW w:w="1683" w:type="dxa"/>
            <w:vAlign w:val="center"/>
          </w:tcPr>
          <w:p>
            <w:pPr>
              <w:widowControl/>
              <w:jc w:val="center"/>
              <w:rPr>
                <w:rFonts w:ascii="宋体" w:hAnsi="宋体" w:cs="宋体"/>
                <w:b/>
                <w:color w:val="auto"/>
                <w:sz w:val="24"/>
                <w:highlight w:val="none"/>
              </w:rPr>
            </w:pPr>
            <w:r>
              <w:rPr>
                <w:rFonts w:hint="eastAsia" w:ascii="宋体" w:hAnsi="宋体" w:cs="宋体"/>
                <w:b/>
                <w:color w:val="auto"/>
                <w:sz w:val="24"/>
                <w:highlight w:val="none"/>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58"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040" w:type="dxa"/>
            <w:vAlign w:val="center"/>
          </w:tcPr>
          <w:p>
            <w:pPr>
              <w:tabs>
                <w:tab w:val="left" w:pos="8280"/>
              </w:tabs>
              <w:autoSpaceDE w:val="0"/>
              <w:autoSpaceDN w:val="0"/>
              <w:adjustRightIn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台州市第一中学食堂二楼备餐间、洗碗间和新疆班卫生间改造工程项目</w:t>
            </w:r>
          </w:p>
        </w:tc>
        <w:tc>
          <w:tcPr>
            <w:tcW w:w="795"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30" w:type="dxa"/>
            <w:vAlign w:val="center"/>
          </w:tcPr>
          <w:p>
            <w:pPr>
              <w:tabs>
                <w:tab w:val="left" w:pos="8280"/>
              </w:tabs>
              <w:autoSpaceDE w:val="0"/>
              <w:autoSpaceDN w:val="0"/>
              <w:adjustRightInd w:val="0"/>
              <w:jc w:val="center"/>
              <w:rPr>
                <w:rFonts w:ascii="宋体" w:hAnsi="宋体" w:cs="宋体"/>
                <w:color w:val="auto"/>
                <w:sz w:val="24"/>
                <w:highlight w:val="none"/>
              </w:rPr>
            </w:pPr>
            <w:r>
              <w:rPr>
                <w:rFonts w:ascii="宋体" w:hAnsi="宋体" w:cs="宋体"/>
                <w:color w:val="auto"/>
                <w:sz w:val="24"/>
                <w:highlight w:val="none"/>
              </w:rPr>
              <w:t>项</w:t>
            </w:r>
          </w:p>
        </w:tc>
        <w:tc>
          <w:tcPr>
            <w:tcW w:w="1470" w:type="dxa"/>
            <w:vAlign w:val="center"/>
          </w:tcPr>
          <w:p>
            <w:pPr>
              <w:tabs>
                <w:tab w:val="left" w:pos="8280"/>
              </w:tabs>
              <w:autoSpaceDE w:val="0"/>
              <w:autoSpaceDN w:val="0"/>
              <w:adjustRightInd w:val="0"/>
              <w:jc w:val="center"/>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lang w:val="en-US" w:eastAsia="zh-CN"/>
              </w:rPr>
              <w:t>768786</w:t>
            </w:r>
            <w:r>
              <w:rPr>
                <w:rFonts w:hint="eastAsia" w:ascii="宋体" w:hAnsi="宋体" w:cs="宋体"/>
                <w:b/>
                <w:color w:val="auto"/>
                <w:sz w:val="24"/>
                <w:highlight w:val="none"/>
              </w:rPr>
              <w:t>元</w:t>
            </w:r>
          </w:p>
        </w:tc>
        <w:tc>
          <w:tcPr>
            <w:tcW w:w="1620" w:type="dxa"/>
            <w:vAlign w:val="center"/>
          </w:tcPr>
          <w:p>
            <w:pPr>
              <w:autoSpaceDE w:val="0"/>
              <w:autoSpaceDN w:val="0"/>
              <w:adjustRightInd w:val="0"/>
              <w:snapToGrid w:val="0"/>
              <w:jc w:val="center"/>
              <w:rPr>
                <w:rFonts w:ascii="宋体" w:hAnsi="宋体" w:cs="宋体"/>
                <w:color w:val="auto"/>
                <w:sz w:val="24"/>
                <w:highlight w:val="none"/>
              </w:rPr>
            </w:pPr>
            <w:bookmarkStart w:id="77" w:name="OLE_LINK145"/>
            <w:bookmarkStart w:id="78" w:name="OLE_LINK144"/>
            <w:bookmarkStart w:id="79" w:name="OLE_LINK36"/>
            <w:bookmarkStart w:id="80" w:name="OLE_LINK35"/>
            <w:r>
              <w:rPr>
                <w:rFonts w:hint="eastAsia" w:asciiTheme="minorEastAsia" w:hAnsiTheme="minorEastAsia" w:eastAsiaTheme="minorEastAsia" w:cstheme="minorEastAsia"/>
                <w:b/>
                <w:color w:val="auto"/>
                <w:sz w:val="24"/>
                <w:highlight w:val="none"/>
              </w:rPr>
              <w:t>不超过</w:t>
            </w:r>
            <w:bookmarkEnd w:id="77"/>
            <w:bookmarkEnd w:id="78"/>
            <w:r>
              <w:rPr>
                <w:rFonts w:hint="eastAsia" w:asciiTheme="minorEastAsia" w:hAnsiTheme="minorEastAsia" w:eastAsiaTheme="minorEastAsia" w:cstheme="minorEastAsia"/>
                <w:b/>
                <w:color w:val="auto"/>
                <w:sz w:val="24"/>
                <w:highlight w:val="none"/>
                <w:lang w:val="en-US" w:eastAsia="zh-CN"/>
              </w:rPr>
              <w:t>30</w:t>
            </w:r>
            <w:r>
              <w:rPr>
                <w:rFonts w:hint="eastAsia" w:asciiTheme="minorEastAsia" w:hAnsiTheme="minorEastAsia" w:eastAsiaTheme="minorEastAsia" w:cstheme="minorEastAsia"/>
                <w:b/>
                <w:color w:val="auto"/>
                <w:sz w:val="24"/>
                <w:highlight w:val="none"/>
              </w:rPr>
              <w:t>日历天</w:t>
            </w:r>
            <w:bookmarkEnd w:id="79"/>
            <w:bookmarkEnd w:id="80"/>
          </w:p>
        </w:tc>
        <w:tc>
          <w:tcPr>
            <w:tcW w:w="1683" w:type="dxa"/>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台州市第一中学内</w:t>
            </w:r>
          </w:p>
        </w:tc>
      </w:tr>
    </w:tbl>
    <w:p>
      <w:pPr>
        <w:pStyle w:val="28"/>
        <w:spacing w:after="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w:t>
      </w:r>
      <w:bookmarkStart w:id="81" w:name="OLE_LINK6"/>
      <w:r>
        <w:rPr>
          <w:rFonts w:hint="eastAsia" w:ascii="宋体" w:hAnsi="宋体" w:cs="宋体"/>
          <w:b/>
          <w:color w:val="auto"/>
          <w:sz w:val="24"/>
          <w:highlight w:val="none"/>
        </w:rPr>
        <w:t>本项目施工图预算为</w:t>
      </w:r>
      <w:r>
        <w:rPr>
          <w:rFonts w:hint="eastAsia" w:ascii="宋体" w:hAnsi="宋体" w:cs="宋体"/>
          <w:b/>
          <w:color w:val="auto"/>
          <w:sz w:val="24"/>
          <w:highlight w:val="none"/>
          <w:lang w:val="en-US" w:eastAsia="zh-CN"/>
        </w:rPr>
        <w:t>873620</w:t>
      </w:r>
      <w:r>
        <w:rPr>
          <w:rFonts w:hint="eastAsia" w:ascii="宋体" w:hAnsi="宋体" w:cs="宋体"/>
          <w:b/>
          <w:color w:val="auto"/>
          <w:sz w:val="24"/>
          <w:highlight w:val="none"/>
        </w:rPr>
        <w:t>元，最高投标限价：</w:t>
      </w:r>
      <w:r>
        <w:rPr>
          <w:rFonts w:hint="eastAsia" w:ascii="宋体" w:hAnsi="宋体" w:cs="宋体"/>
          <w:b/>
          <w:color w:val="auto"/>
          <w:sz w:val="24"/>
          <w:highlight w:val="none"/>
          <w:lang w:val="en-US" w:eastAsia="zh-CN"/>
        </w:rPr>
        <w:t>768786</w:t>
      </w:r>
      <w:r>
        <w:rPr>
          <w:rFonts w:hint="eastAsia" w:ascii="宋体" w:hAnsi="宋体" w:cs="宋体"/>
          <w:b/>
          <w:color w:val="auto"/>
          <w:sz w:val="24"/>
          <w:highlight w:val="none"/>
        </w:rPr>
        <w:t>元（施工图预算价×88%)。</w:t>
      </w:r>
    </w:p>
    <w:bookmarkEnd w:id="81"/>
    <w:p>
      <w:pPr>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二、技术需求</w:t>
      </w:r>
    </w:p>
    <w:p>
      <w:pPr>
        <w:spacing w:line="360" w:lineRule="auto"/>
        <w:ind w:firstLine="482" w:firstLineChars="200"/>
        <w:rPr>
          <w:rFonts w:asciiTheme="minorEastAsia" w:hAnsiTheme="minorEastAsia" w:eastAsiaTheme="minorEastAsia"/>
          <w:b/>
          <w:color w:val="auto"/>
          <w:sz w:val="24"/>
          <w:highlight w:val="none"/>
        </w:rPr>
      </w:pPr>
      <w:bookmarkStart w:id="82" w:name="_Toc357768544"/>
      <w:bookmarkStart w:id="83" w:name="_Toc442181514"/>
      <w:bookmarkStart w:id="84" w:name="_Toc392754199"/>
      <w:bookmarkStart w:id="85" w:name="_Toc8780"/>
      <w:bookmarkStart w:id="86" w:name="_Toc157410883"/>
      <w:r>
        <w:rPr>
          <w:rFonts w:hint="eastAsia" w:asciiTheme="minorEastAsia" w:hAnsiTheme="minorEastAsia" w:eastAsiaTheme="minorEastAsia"/>
          <w:b/>
          <w:color w:val="auto"/>
          <w:sz w:val="24"/>
          <w:highlight w:val="none"/>
        </w:rPr>
        <w:t>（一）</w:t>
      </w:r>
      <w:bookmarkEnd w:id="82"/>
      <w:bookmarkEnd w:id="83"/>
      <w:bookmarkEnd w:id="84"/>
      <w:bookmarkEnd w:id="85"/>
      <w:r>
        <w:rPr>
          <w:rFonts w:hint="eastAsia" w:asciiTheme="minorEastAsia" w:hAnsiTheme="minorEastAsia" w:eastAsiaTheme="minorEastAsia"/>
          <w:b/>
          <w:color w:val="auto"/>
          <w:sz w:val="24"/>
          <w:highlight w:val="none"/>
        </w:rPr>
        <w:t>工程内容</w:t>
      </w:r>
    </w:p>
    <w:p>
      <w:pPr>
        <w:pStyle w:val="77"/>
        <w:adjustRightInd w:val="0"/>
        <w:snapToGrid w:val="0"/>
        <w:spacing w:line="360" w:lineRule="auto"/>
        <w:ind w:firstLine="480"/>
        <w:rPr>
          <w:rFonts w:ascii="宋体" w:hAnsi="宋体" w:cs="Times New Roman"/>
          <w:color w:val="auto"/>
          <w:sz w:val="24"/>
          <w:szCs w:val="24"/>
          <w:highlight w:val="none"/>
        </w:rPr>
      </w:pPr>
      <w:bookmarkStart w:id="87" w:name="OLE_LINK22"/>
      <w:r>
        <w:rPr>
          <w:rFonts w:hint="eastAsia" w:ascii="宋体" w:hAnsi="宋体" w:cs="Times New Roman"/>
          <w:color w:val="auto"/>
          <w:sz w:val="24"/>
          <w:szCs w:val="24"/>
          <w:highlight w:val="none"/>
        </w:rPr>
        <w:t>1.</w:t>
      </w:r>
      <w:bookmarkStart w:id="88" w:name="OLE_LINK27"/>
      <w:bookmarkStart w:id="89" w:name="OLE_LINK28"/>
      <w:r>
        <w:rPr>
          <w:rFonts w:hint="eastAsia" w:ascii="宋体" w:hAnsi="宋体" w:cs="Times New Roman"/>
          <w:color w:val="auto"/>
          <w:sz w:val="24"/>
          <w:szCs w:val="24"/>
          <w:highlight w:val="none"/>
          <w:lang w:val="en-US" w:eastAsia="zh-CN"/>
        </w:rPr>
        <w:t>二楼食堂备餐间、洗碗间等改造</w:t>
      </w:r>
      <w:r>
        <w:rPr>
          <w:rFonts w:hint="eastAsia" w:ascii="宋体" w:hAnsi="宋体" w:cs="Times New Roman"/>
          <w:color w:val="auto"/>
          <w:sz w:val="24"/>
          <w:szCs w:val="24"/>
          <w:highlight w:val="none"/>
        </w:rPr>
        <w:t>，</w:t>
      </w:r>
      <w:bookmarkEnd w:id="88"/>
      <w:bookmarkEnd w:id="89"/>
      <w:r>
        <w:rPr>
          <w:rFonts w:hint="eastAsia" w:ascii="宋体" w:hAnsi="宋体" w:cs="Times New Roman"/>
          <w:color w:val="auto"/>
          <w:sz w:val="24"/>
          <w:szCs w:val="24"/>
          <w:highlight w:val="none"/>
        </w:rPr>
        <w:t>工程内容</w:t>
      </w:r>
      <w:r>
        <w:rPr>
          <w:rFonts w:hint="eastAsia" w:ascii="宋体" w:hAnsi="宋体" w:cs="Times New Roman"/>
          <w:color w:val="auto"/>
          <w:sz w:val="24"/>
          <w:szCs w:val="24"/>
          <w:highlight w:val="none"/>
          <w:lang w:val="en-US" w:eastAsia="zh-CN"/>
        </w:rPr>
        <w:t>为</w:t>
      </w:r>
      <w:r>
        <w:rPr>
          <w:rFonts w:hint="eastAsia" w:ascii="宋体" w:hAnsi="宋体" w:cs="Times New Roman"/>
          <w:color w:val="auto"/>
          <w:sz w:val="24"/>
          <w:szCs w:val="24"/>
          <w:highlight w:val="none"/>
        </w:rPr>
        <w:t>拆除工程、室外隔油池、二层更衣室、备餐间、消洗间等改造及水电安装工程等，</w:t>
      </w:r>
      <w:bookmarkStart w:id="90" w:name="OLE_LINK26"/>
      <w:bookmarkStart w:id="91" w:name="OLE_LINK21"/>
      <w:bookmarkStart w:id="92" w:name="OLE_LINK20"/>
      <w:r>
        <w:rPr>
          <w:rFonts w:hint="eastAsia" w:ascii="宋体" w:hAnsi="宋体" w:cs="Times New Roman"/>
          <w:color w:val="auto"/>
          <w:sz w:val="24"/>
          <w:szCs w:val="24"/>
          <w:highlight w:val="none"/>
        </w:rPr>
        <w:t>详见采购人提供的图纸及预算书</w:t>
      </w:r>
      <w:bookmarkStart w:id="93" w:name="OLE_LINK16"/>
      <w:bookmarkStart w:id="94" w:name="OLE_LINK15"/>
      <w:r>
        <w:rPr>
          <w:rFonts w:hint="eastAsia" w:ascii="宋体" w:hAnsi="宋体" w:cs="Times New Roman"/>
          <w:color w:val="auto"/>
          <w:sz w:val="24"/>
          <w:szCs w:val="24"/>
          <w:highlight w:val="none"/>
        </w:rPr>
        <w:t>（详招标文件附件一）</w:t>
      </w:r>
      <w:bookmarkEnd w:id="93"/>
      <w:bookmarkEnd w:id="94"/>
      <w:r>
        <w:rPr>
          <w:rFonts w:hint="eastAsia" w:ascii="宋体" w:hAnsi="宋体" w:cs="Times New Roman"/>
          <w:color w:val="auto"/>
          <w:sz w:val="24"/>
          <w:szCs w:val="24"/>
          <w:highlight w:val="none"/>
        </w:rPr>
        <w:t>；</w:t>
      </w:r>
      <w:bookmarkEnd w:id="90"/>
      <w:bookmarkEnd w:id="91"/>
      <w:bookmarkEnd w:id="92"/>
    </w:p>
    <w:p>
      <w:pPr>
        <w:pStyle w:val="77"/>
        <w:adjustRightInd w:val="0"/>
        <w:snapToGrid w:val="0"/>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w:t>
      </w:r>
      <w:r>
        <w:rPr>
          <w:rFonts w:hint="eastAsia"/>
          <w:color w:val="auto"/>
          <w:highlight w:val="none"/>
        </w:rPr>
        <w:t xml:space="preserve"> </w:t>
      </w:r>
      <w:bookmarkStart w:id="95" w:name="OLE_LINK29"/>
      <w:r>
        <w:rPr>
          <w:rFonts w:hint="eastAsia" w:ascii="宋体" w:hAnsi="宋体" w:cs="Times New Roman"/>
          <w:color w:val="auto"/>
          <w:sz w:val="24"/>
          <w:szCs w:val="24"/>
          <w:highlight w:val="none"/>
        </w:rPr>
        <w:t>新疆班卫生间改造，工程内容</w:t>
      </w:r>
      <w:bookmarkEnd w:id="95"/>
      <w:bookmarkStart w:id="96" w:name="OLE_LINK19"/>
      <w:r>
        <w:rPr>
          <w:rFonts w:hint="eastAsia" w:ascii="宋体" w:hAnsi="宋体" w:cs="Times New Roman"/>
          <w:color w:val="auto"/>
          <w:sz w:val="24"/>
          <w:szCs w:val="24"/>
          <w:highlight w:val="none"/>
          <w:lang w:val="en-US" w:eastAsia="zh-CN"/>
        </w:rPr>
        <w:t>为</w:t>
      </w:r>
      <w:bookmarkEnd w:id="96"/>
      <w:r>
        <w:rPr>
          <w:rFonts w:hint="eastAsia" w:ascii="宋体" w:hAnsi="宋体" w:cs="Times New Roman"/>
          <w:color w:val="auto"/>
          <w:sz w:val="24"/>
          <w:szCs w:val="24"/>
          <w:highlight w:val="none"/>
          <w:lang w:val="en-US" w:eastAsia="zh-CN"/>
        </w:rPr>
        <w:t>新疆班卫生间装修改造、水电安装</w:t>
      </w:r>
      <w:r>
        <w:rPr>
          <w:rFonts w:hint="eastAsia" w:ascii="宋体" w:hAnsi="宋体" w:cs="Times New Roman"/>
          <w:color w:val="auto"/>
          <w:sz w:val="24"/>
          <w:szCs w:val="24"/>
          <w:highlight w:val="none"/>
        </w:rPr>
        <w:t>等，详见采购人提供的图纸及预算书</w:t>
      </w:r>
      <w:bookmarkStart w:id="97" w:name="OLE_LINK18"/>
      <w:bookmarkStart w:id="98" w:name="OLE_LINK17"/>
      <w:r>
        <w:rPr>
          <w:rFonts w:hint="eastAsia" w:ascii="宋体" w:hAnsi="宋体" w:cs="Times New Roman"/>
          <w:color w:val="auto"/>
          <w:sz w:val="24"/>
          <w:szCs w:val="24"/>
          <w:highlight w:val="none"/>
        </w:rPr>
        <w:t>（详招标文件附件二）</w:t>
      </w:r>
      <w:bookmarkEnd w:id="97"/>
      <w:bookmarkEnd w:id="98"/>
      <w:r>
        <w:rPr>
          <w:rFonts w:hint="eastAsia" w:ascii="宋体" w:hAnsi="宋体" w:cs="Times New Roman"/>
          <w:color w:val="auto"/>
          <w:sz w:val="24"/>
          <w:szCs w:val="24"/>
          <w:highlight w:val="none"/>
        </w:rPr>
        <w:t>；</w:t>
      </w:r>
    </w:p>
    <w:bookmarkEnd w:id="87"/>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（二）技术规范及标准</w:t>
      </w:r>
    </w:p>
    <w:p>
      <w:pPr>
        <w:pStyle w:val="76"/>
        <w:spacing w:line="360" w:lineRule="auto"/>
        <w:ind w:firstLine="480"/>
        <w:rPr>
          <w:rFonts w:ascii="Times New Roman"/>
          <w:color w:val="auto"/>
          <w:highlight w:val="none"/>
        </w:rPr>
      </w:pPr>
      <w:r>
        <w:rPr>
          <w:rFonts w:hint="eastAsia" w:hAnsi="宋体"/>
          <w:color w:val="auto"/>
          <w:szCs w:val="24"/>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76"/>
        <w:spacing w:line="360" w:lineRule="auto"/>
        <w:ind w:firstLine="480"/>
        <w:rPr>
          <w:rFonts w:hint="eastAsia" w:ascii="Times New Roman"/>
          <w:color w:val="auto"/>
          <w:highlight w:val="none"/>
          <w:lang w:eastAsia="zh-CN"/>
        </w:rPr>
      </w:pPr>
      <w:r>
        <w:rPr>
          <w:rFonts w:hint="eastAsia" w:ascii="Times New Roman"/>
          <w:color w:val="auto"/>
          <w:highlight w:val="none"/>
        </w:rPr>
        <w:t>《建筑给水排水设计规范》GB50015-2003</w:t>
      </w:r>
      <w:r>
        <w:rPr>
          <w:rFonts w:hint="eastAsia" w:ascii="Times New Roman"/>
          <w:color w:val="auto"/>
          <w:highlight w:val="none"/>
          <w:lang w:eastAsia="zh-CN"/>
        </w:rPr>
        <w:t>（</w:t>
      </w:r>
      <w:r>
        <w:rPr>
          <w:rFonts w:hint="eastAsia" w:ascii="Times New Roman"/>
          <w:color w:val="auto"/>
          <w:highlight w:val="none"/>
        </w:rPr>
        <w:t>2009年版</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《建筑给水排水及采暖工程施工质量验收规范》</w:t>
      </w:r>
      <w:r>
        <w:rPr>
          <w:rFonts w:hint="eastAsia" w:ascii="Times New Roman"/>
          <w:color w:val="auto"/>
          <w:highlight w:val="none"/>
          <w:lang w:eastAsia="zh-CN"/>
        </w:rPr>
        <w:t>（</w:t>
      </w:r>
      <w:r>
        <w:rPr>
          <w:rFonts w:hint="eastAsia" w:ascii="Times New Roman"/>
          <w:color w:val="auto"/>
          <w:highlight w:val="none"/>
        </w:rPr>
        <w:t>GB50242-2002</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《建筑灭火器配置设计规范》GB50140-2005</w:t>
      </w:r>
      <w:r>
        <w:rPr>
          <w:rFonts w:hint="eastAsia" w:ascii="Times New Roman"/>
          <w:color w:val="auto"/>
          <w:highlight w:val="none"/>
          <w:lang w:eastAsia="zh-CN"/>
        </w:rPr>
        <w:t>（</w:t>
      </w:r>
      <w:r>
        <w:rPr>
          <w:rFonts w:hint="eastAsia" w:ascii="Times New Roman"/>
          <w:color w:val="auto"/>
          <w:highlight w:val="none"/>
        </w:rPr>
        <w:t>2005 年版</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《建筑给水排水及采暖工程施工质量验收规范》</w:t>
      </w:r>
      <w:r>
        <w:rPr>
          <w:rFonts w:hint="eastAsia" w:ascii="Times New Roman"/>
          <w:color w:val="auto"/>
          <w:highlight w:val="none"/>
          <w:lang w:eastAsia="zh-CN"/>
        </w:rPr>
        <w:t>（</w:t>
      </w:r>
      <w:r>
        <w:rPr>
          <w:rFonts w:hint="eastAsia" w:ascii="Times New Roman"/>
          <w:color w:val="auto"/>
          <w:highlight w:val="none"/>
        </w:rPr>
        <w:t>GB 50242-2002</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《建筑装修工程施工及验收规范》</w:t>
      </w:r>
      <w:r>
        <w:rPr>
          <w:rFonts w:hint="eastAsia" w:ascii="Times New Roman"/>
          <w:color w:val="auto"/>
          <w:highlight w:val="none"/>
          <w:lang w:eastAsia="zh-CN"/>
        </w:rPr>
        <w:t>（</w:t>
      </w:r>
      <w:r>
        <w:rPr>
          <w:rFonts w:hint="eastAsia" w:ascii="Times New Roman"/>
          <w:color w:val="auto"/>
          <w:highlight w:val="none"/>
        </w:rPr>
        <w:t>GB.50210-2001</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《建筑内部装修防火规范》</w:t>
      </w:r>
      <w:r>
        <w:rPr>
          <w:rFonts w:hint="eastAsia" w:ascii="Times New Roman"/>
          <w:color w:val="auto"/>
          <w:highlight w:val="none"/>
          <w:lang w:eastAsia="zh-CN"/>
        </w:rPr>
        <w:t>（</w:t>
      </w:r>
      <w:r>
        <w:rPr>
          <w:rFonts w:hint="eastAsia" w:ascii="Times New Roman"/>
          <w:color w:val="auto"/>
          <w:highlight w:val="none"/>
        </w:rPr>
        <w:t>GB50222-95</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《安全防范工程技术规范》</w:t>
      </w:r>
      <w:r>
        <w:rPr>
          <w:rFonts w:hint="eastAsia" w:ascii="Times New Roman"/>
          <w:color w:val="auto"/>
          <w:highlight w:val="none"/>
          <w:lang w:eastAsia="zh-CN"/>
        </w:rPr>
        <w:t>（</w:t>
      </w:r>
      <w:r>
        <w:rPr>
          <w:rFonts w:hint="eastAsia" w:ascii="Times New Roman"/>
          <w:color w:val="auto"/>
          <w:highlight w:val="none"/>
        </w:rPr>
        <w:t>GB. 50348-2004</w:t>
      </w:r>
      <w:r>
        <w:rPr>
          <w:rFonts w:hint="eastAsia" w:ascii="Times New Roman"/>
          <w:color w:val="auto"/>
          <w:highlight w:val="none"/>
          <w:lang w:eastAsia="zh-CN"/>
        </w:rPr>
        <w:t>）</w:t>
      </w:r>
    </w:p>
    <w:p>
      <w:pPr>
        <w:pStyle w:val="76"/>
        <w:spacing w:line="360" w:lineRule="auto"/>
        <w:ind w:firstLine="480"/>
        <w:rPr>
          <w:rFonts w:hint="eastAsia" w:ascii="Times New Roman"/>
          <w:color w:val="auto"/>
          <w:highlight w:val="none"/>
        </w:rPr>
      </w:pPr>
      <w:r>
        <w:rPr>
          <w:rFonts w:hint="eastAsia" w:ascii="Times New Roman"/>
          <w:color w:val="auto"/>
          <w:highlight w:val="none"/>
        </w:rPr>
        <w:t>《建设电气安装工程质量检验评定标准》</w:t>
      </w:r>
      <w:r>
        <w:rPr>
          <w:rFonts w:hint="eastAsia" w:ascii="Times New Roman"/>
          <w:color w:val="auto"/>
          <w:highlight w:val="none"/>
          <w:lang w:eastAsia="zh-CN"/>
        </w:rPr>
        <w:t>（</w:t>
      </w:r>
      <w:r>
        <w:rPr>
          <w:rFonts w:hint="eastAsia" w:ascii="Times New Roman"/>
          <w:color w:val="auto"/>
          <w:highlight w:val="none"/>
        </w:rPr>
        <w:t>GB50303-2002</w:t>
      </w:r>
      <w:r>
        <w:rPr>
          <w:rFonts w:hint="eastAsia" w:ascii="Times New Roman"/>
          <w:color w:val="auto"/>
          <w:highlight w:val="none"/>
          <w:lang w:eastAsia="zh-CN"/>
        </w:rPr>
        <w:t>）</w:t>
      </w:r>
    </w:p>
    <w:p>
      <w:pPr>
        <w:pStyle w:val="76"/>
        <w:spacing w:line="360" w:lineRule="auto"/>
        <w:ind w:firstLine="480"/>
        <w:rPr>
          <w:rFonts w:ascii="Times New Roman"/>
          <w:color w:val="auto"/>
          <w:highlight w:val="none"/>
        </w:rPr>
      </w:pPr>
      <w:r>
        <w:rPr>
          <w:rFonts w:hint="eastAsia" w:ascii="Times New Roman"/>
          <w:color w:val="auto"/>
          <w:highlight w:val="none"/>
        </w:rPr>
        <w:t>其他国家及地方有关设计规范、规定</w:t>
      </w:r>
    </w:p>
    <w:p>
      <w:pPr>
        <w:pStyle w:val="76"/>
        <w:spacing w:line="360" w:lineRule="auto"/>
        <w:ind w:firstLine="480"/>
        <w:rPr>
          <w:rFonts w:hAnsi="宋体"/>
          <w:color w:val="auto"/>
          <w:szCs w:val="24"/>
          <w:highlight w:val="none"/>
        </w:rPr>
      </w:pPr>
      <w:r>
        <w:rPr>
          <w:rFonts w:hint="eastAsia" w:hAnsi="宋体"/>
          <w:color w:val="auto"/>
          <w:szCs w:val="24"/>
          <w:highlight w:val="none"/>
        </w:rPr>
        <w:t>……</w:t>
      </w:r>
    </w:p>
    <w:p>
      <w:pPr>
        <w:pStyle w:val="76"/>
        <w:spacing w:line="360" w:lineRule="auto"/>
        <w:ind w:firstLine="480"/>
        <w:rPr>
          <w:rFonts w:hAnsi="宋体"/>
          <w:color w:val="auto"/>
          <w:szCs w:val="24"/>
          <w:highlight w:val="none"/>
        </w:rPr>
      </w:pPr>
      <w:r>
        <w:rPr>
          <w:rFonts w:hint="eastAsia" w:hAnsi="宋体"/>
          <w:color w:val="auto"/>
          <w:szCs w:val="24"/>
          <w:highlight w:val="none"/>
        </w:rPr>
        <w:t>2.以上技术规范由供应商自备，如有不足之处或未能达到国家最新标准时，供应商应使施工及选用的设备和材料符合最新版本的国家标准、规范。</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（三）材料质量要求</w:t>
      </w:r>
    </w:p>
    <w:p>
      <w:pPr>
        <w:pStyle w:val="76"/>
        <w:spacing w:line="360" w:lineRule="auto"/>
        <w:ind w:firstLine="480"/>
        <w:rPr>
          <w:rFonts w:hAnsi="宋体"/>
          <w:color w:val="auto"/>
          <w:szCs w:val="24"/>
          <w:highlight w:val="none"/>
        </w:rPr>
      </w:pPr>
      <w:r>
        <w:rPr>
          <w:rFonts w:hint="eastAsia" w:hAnsi="宋体"/>
          <w:color w:val="auto"/>
          <w:szCs w:val="24"/>
          <w:highlight w:val="none"/>
        </w:rPr>
        <w:t>1.材料选择</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）合同中“主要设备材料备选品牌一览表</w:t>
      </w:r>
      <w:r>
        <w:rPr>
          <w:rFonts w:hAnsi="宋体"/>
          <w:color w:val="auto"/>
          <w:szCs w:val="24"/>
          <w:highlight w:val="none"/>
        </w:rPr>
        <w:t>”</w:t>
      </w:r>
      <w:r>
        <w:rPr>
          <w:rFonts w:hint="eastAsia" w:hAnsi="宋体"/>
          <w:color w:val="auto"/>
          <w:szCs w:val="24"/>
          <w:highlight w:val="none"/>
        </w:rPr>
        <w:t>，供应商在磋商响应时必须按表中所列的备选品牌之一进行报价（如投标响应优于文件要求的，按响应文件承诺为准，如低于文件要求的，按文件要求执行）。</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本采购文件涉及的其他主要材料及零星材料，各供应商须根据设计施工图的要求中高档的用材标准进行选材并报价，所有建筑材料要求采用在行业内有一定知名度的品牌，并符合环保要求，严禁选择不合设计要求的低档材料进行报价及组织施工实施。</w:t>
      </w:r>
    </w:p>
    <w:p>
      <w:pPr>
        <w:pStyle w:val="76"/>
        <w:spacing w:line="360" w:lineRule="auto"/>
        <w:ind w:firstLine="480"/>
        <w:rPr>
          <w:rFonts w:hAnsi="宋体"/>
          <w:color w:val="auto"/>
          <w:szCs w:val="24"/>
          <w:highlight w:val="none"/>
        </w:rPr>
      </w:pPr>
      <w:r>
        <w:rPr>
          <w:rFonts w:hint="eastAsia" w:hAnsi="宋体"/>
          <w:color w:val="auto"/>
          <w:szCs w:val="24"/>
          <w:highlight w:val="none"/>
        </w:rPr>
        <w:t>2.材料的质量保证</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）在免费保修期内，中标供应商对有缺陷的部位必须无偿地给予修理与更换，并承担一切由此引起的对采购人或第三者的直接损失，除非该缺陷是由于人为破坏或合同规定的不可抗力因素造成的损坏。</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）中标供应必须对所承包的工程的质量负全部责任，其责任不因其他材料生产商提供的保证书而减轻或更改。</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3</w:t>
      </w:r>
      <w:r>
        <w:rPr>
          <w:rFonts w:hint="eastAsia" w:hAnsi="宋体"/>
          <w:color w:val="auto"/>
          <w:szCs w:val="24"/>
          <w:highlight w:val="none"/>
        </w:rPr>
        <w:t>）材料检验结果证明其有害物质含量指标超标的产品不得在工程上使用。</w:t>
      </w:r>
    </w:p>
    <w:p>
      <w:pPr>
        <w:pStyle w:val="76"/>
        <w:spacing w:line="360" w:lineRule="auto"/>
        <w:ind w:firstLine="480"/>
        <w:rPr>
          <w:rFonts w:hAnsi="宋体"/>
          <w:color w:val="auto"/>
          <w:szCs w:val="24"/>
          <w:highlight w:val="none"/>
        </w:rPr>
      </w:pPr>
      <w:r>
        <w:rPr>
          <w:rFonts w:hint="eastAsia" w:hAnsi="宋体"/>
          <w:color w:val="auto"/>
          <w:szCs w:val="24"/>
          <w:highlight w:val="none"/>
        </w:rPr>
        <w:t>3.供应要求</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本次承包范围内的建筑施工材料均由中标供应商根据本采购文件、设计图纸和国家有关规定的具体要求进行采购、运输、检验、保管，但采购人保留变更和指定材料的权利；所有建筑材料须有产品合格证和质量保证书，应先送样品，样品经设计方、监理方、采购人确认与采购要求一致后封存，批量供应时应与样品一致，并经相关部门检验合格后方可使用。</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）由中标供应商采购的主要建筑材料，当中标供应商选定的产品质量达不到设计要求和预期质量目标时，采购人保留更换的权利，且中标价不予调整。</w:t>
      </w:r>
    </w:p>
    <w:p>
      <w:pPr>
        <w:spacing w:line="360" w:lineRule="auto"/>
        <w:ind w:firstLine="482" w:firstLineChars="200"/>
        <w:rPr>
          <w:rFonts w:asciiTheme="minorEastAsia" w:hAnsiTheme="minorEastAsia" w:eastAsiaTheme="minorEastAsia"/>
          <w:b/>
          <w:color w:val="auto"/>
          <w:sz w:val="24"/>
          <w:highlight w:val="none"/>
        </w:rPr>
      </w:pPr>
      <w:bookmarkStart w:id="99" w:name="OLE_LINK50"/>
      <w:bookmarkStart w:id="100" w:name="OLE_LINK51"/>
      <w:r>
        <w:rPr>
          <w:rFonts w:hint="eastAsia" w:asciiTheme="minorEastAsia" w:hAnsiTheme="minorEastAsia" w:eastAsiaTheme="minorEastAsia"/>
          <w:b/>
          <w:color w:val="auto"/>
          <w:sz w:val="24"/>
          <w:highlight w:val="none"/>
        </w:rPr>
        <w:t>（四）工程管理的要求</w:t>
      </w:r>
    </w:p>
    <w:bookmarkEnd w:id="99"/>
    <w:bookmarkEnd w:id="100"/>
    <w:p>
      <w:pPr>
        <w:widowControl/>
        <w:spacing w:line="360" w:lineRule="auto"/>
        <w:ind w:firstLine="420" w:firstLineChars="200"/>
        <w:jc w:val="left"/>
        <w:rPr>
          <w:rFonts w:ascii="宋体" w:hAnsi="宋体" w:cs="宋体"/>
          <w:b/>
          <w:color w:val="auto"/>
          <w:kern w:val="0"/>
          <w:sz w:val="24"/>
          <w:highlight w:val="none"/>
        </w:rPr>
      </w:pPr>
      <w:r>
        <w:rPr>
          <w:rFonts w:hint="eastAsia" w:asciiTheme="minorEastAsia" w:hAnsiTheme="minorEastAsia" w:eastAsiaTheme="minorEastAsia"/>
          <w:color w:val="auto"/>
          <w:highlight w:val="none"/>
        </w:rPr>
        <w:t>▲</w:t>
      </w:r>
      <w:r>
        <w:rPr>
          <w:rFonts w:hint="eastAsia" w:ascii="宋体" w:hAnsi="宋体"/>
          <w:b/>
          <w:color w:val="auto"/>
          <w:sz w:val="24"/>
          <w:highlight w:val="none"/>
        </w:rPr>
        <w:t>1.</w:t>
      </w:r>
      <w:r>
        <w:rPr>
          <w:rFonts w:hint="eastAsia" w:ascii="宋体" w:hAnsi="宋体" w:cs="宋体"/>
          <w:b/>
          <w:color w:val="auto"/>
          <w:kern w:val="0"/>
          <w:sz w:val="24"/>
          <w:highlight w:val="none"/>
        </w:rPr>
        <w:t>拟派的项目负责人应具备以下要求：</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应具有建筑工程专业注册建造师二级及以上资格（建造师临时执业证书无效）；</w:t>
      </w:r>
    </w:p>
    <w:p>
      <w:pPr>
        <w:pStyle w:val="77"/>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2.本工程发包范围内的工程项目，未经采购人同意一律不得分包。一经发现立即取消承包资格，作违约处理，并承担由此引起的一切经济损失。</w:t>
      </w:r>
    </w:p>
    <w:p>
      <w:pPr>
        <w:pStyle w:val="77"/>
        <w:spacing w:line="360" w:lineRule="auto"/>
        <w:ind w:firstLine="480"/>
        <w:rPr>
          <w:color w:val="auto"/>
          <w:highlight w:val="none"/>
        </w:rPr>
      </w:pPr>
      <w:r>
        <w:rPr>
          <w:rFonts w:hint="eastAsia" w:ascii="宋体" w:hAnsi="宋体" w:cs="Times New Roman"/>
          <w:color w:val="auto"/>
          <w:sz w:val="24"/>
          <w:szCs w:val="24"/>
          <w:highlight w:val="none"/>
        </w:rPr>
        <w:t>3.中标供应商应严格按已确认设计图纸和施工技术方案组织施工，并无条件地接受采购人委托的监理单位对施工质量的监督和管理。在项目施工过程中，中标供应商应严格控制造价，变更造价及时申报，工程结算造价不得超过合同总额的10%，否则不予认可。</w:t>
      </w:r>
    </w:p>
    <w:bookmarkEnd w:id="86"/>
    <w:p>
      <w:pPr>
        <w:tabs>
          <w:tab w:val="left" w:pos="8280"/>
        </w:tabs>
        <w:autoSpaceDE w:val="0"/>
        <w:autoSpaceDN w:val="0"/>
        <w:adjustRightInd w:val="0"/>
        <w:spacing w:line="360" w:lineRule="auto"/>
        <w:ind w:right="25" w:firstLine="482" w:firstLineChars="200"/>
        <w:rPr>
          <w:rFonts w:ascii="宋体" w:hAnsi="宋体" w:cs="宋体"/>
          <w:b/>
          <w:color w:val="auto"/>
          <w:sz w:val="24"/>
          <w:highlight w:val="none"/>
        </w:rPr>
      </w:pPr>
      <w:r>
        <w:rPr>
          <w:rFonts w:hint="eastAsia" w:ascii="宋体" w:hAnsi="宋体" w:cs="宋体"/>
          <w:b/>
          <w:color w:val="auto"/>
          <w:sz w:val="24"/>
          <w:highlight w:val="none"/>
        </w:rPr>
        <w:t>三、商务需求</w:t>
      </w:r>
    </w:p>
    <w:p>
      <w:pPr>
        <w:pStyle w:val="9"/>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(一）报价要求：</w:t>
      </w:r>
    </w:p>
    <w:p>
      <w:pPr>
        <w:pStyle w:val="9"/>
        <w:spacing w:line="360" w:lineRule="auto"/>
        <w:ind w:firstLine="480" w:firstLineChars="200"/>
        <w:rPr>
          <w:rFonts w:ascii="宋体" w:hAnsi="宋体" w:cs="Arial"/>
          <w:color w:val="auto"/>
          <w:highlight w:val="none"/>
        </w:rPr>
      </w:pPr>
      <w:r>
        <w:rPr>
          <w:rFonts w:hint="eastAsia" w:ascii="宋体" w:hAnsi="宋体" w:cs="Arial"/>
          <w:color w:val="auto"/>
          <w:highlight w:val="none"/>
        </w:rPr>
        <w:t>1.报价要求：本项目采用固定结算率，结算时工程量按实计算，单价按照施工图预算的计量依据、组价方式、取费标准、工料机单价等进行计算，最后乘以结算率。</w:t>
      </w:r>
      <w:r>
        <w:rPr>
          <w:rFonts w:hint="eastAsia" w:ascii="宋体" w:hAnsi="宋体"/>
          <w:color w:val="auto"/>
          <w:kern w:val="0"/>
          <w:highlight w:val="none"/>
        </w:rPr>
        <w:t>供应商的报价应是采购文件所确定的采购需求内全部工作内容的表现。包括分部分项工程费、措施项目费、其他项目费、规费和税金等。供应商应根据采购人提供的全套施工图纸、技术资料、预算以及本工程实际情况和自身的综合实力，竞报投标报价。</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2.本工程在施工过程中中标人须听从采购人安排，进场施工时需做好配合交叉施工事宜及其他与本工程施工相关的工作，相关费用在报价时综合考虑，不再另计。</w:t>
      </w:r>
    </w:p>
    <w:p>
      <w:pPr>
        <w:snapToGrid w:val="0"/>
        <w:spacing w:line="360" w:lineRule="auto"/>
        <w:ind w:firstLine="480" w:firstLineChars="200"/>
        <w:jc w:val="left"/>
        <w:rPr>
          <w:rFonts w:ascii="宋体" w:hAnsi="宋体"/>
          <w:color w:val="auto"/>
          <w:kern w:val="0"/>
          <w:highlight w:val="none"/>
        </w:rPr>
      </w:pPr>
      <w:r>
        <w:rPr>
          <w:rFonts w:hint="eastAsia" w:ascii="宋体" w:hAnsi="宋体" w:cs="Arial"/>
          <w:color w:val="auto"/>
          <w:sz w:val="24"/>
          <w:highlight w:val="none"/>
        </w:rPr>
        <w:t>3.供应商自行踏勘现场，采购人按现场地交付，施工过程中用水、电转接费用由成交供应商自行协商解决，在报价时综合考虑，实际发生时不再另行计费。</w:t>
      </w:r>
    </w:p>
    <w:p>
      <w:pPr>
        <w:pStyle w:val="9"/>
        <w:spacing w:line="360" w:lineRule="auto"/>
        <w:ind w:firstLine="482" w:firstLineChars="200"/>
        <w:rPr>
          <w:rFonts w:ascii="宋体" w:hAnsi="宋体"/>
          <w:b/>
          <w:bCs/>
          <w:color w:val="auto"/>
          <w:kern w:val="0"/>
          <w:highlight w:val="none"/>
        </w:rPr>
      </w:pPr>
      <w:r>
        <w:rPr>
          <w:rFonts w:hint="eastAsia" w:ascii="宋体" w:hAnsi="宋体"/>
          <w:b/>
          <w:bCs/>
          <w:color w:val="auto"/>
          <w:kern w:val="0"/>
          <w:highlight w:val="none"/>
        </w:rPr>
        <w:t>（二）工期及建设地点</w:t>
      </w:r>
    </w:p>
    <w:p>
      <w:pPr>
        <w:pStyle w:val="9"/>
        <w:spacing w:line="360" w:lineRule="auto"/>
        <w:ind w:firstLine="480" w:firstLineChars="200"/>
        <w:rPr>
          <w:rFonts w:ascii="宋体" w:hAnsi="宋体"/>
          <w:color w:val="auto"/>
          <w:kern w:val="0"/>
          <w:highlight w:val="none"/>
        </w:rPr>
      </w:pPr>
      <w:bookmarkStart w:id="101" w:name="OLE_LINK3"/>
      <w:bookmarkStart w:id="102" w:name="OLE_LINK4"/>
      <w:r>
        <w:rPr>
          <w:rFonts w:hint="eastAsia" w:asciiTheme="minorEastAsia" w:hAnsiTheme="minorEastAsia" w:eastAsiaTheme="minorEastAsia"/>
          <w:color w:val="auto"/>
          <w:highlight w:val="none"/>
        </w:rPr>
        <w:t>▲</w:t>
      </w:r>
      <w:bookmarkEnd w:id="101"/>
      <w:bookmarkEnd w:id="102"/>
      <w:r>
        <w:rPr>
          <w:rFonts w:hint="eastAsia" w:ascii="宋体" w:hAnsi="宋体"/>
          <w:color w:val="auto"/>
          <w:kern w:val="0"/>
          <w:highlight w:val="none"/>
        </w:rPr>
        <w:t>工期：</w:t>
      </w:r>
      <w:r>
        <w:rPr>
          <w:rFonts w:hint="eastAsia" w:ascii="宋体" w:hAnsi="宋体"/>
          <w:b/>
          <w:color w:val="auto"/>
          <w:highlight w:val="none"/>
        </w:rPr>
        <w:t>不超过</w:t>
      </w:r>
      <w:r>
        <w:rPr>
          <w:rFonts w:hint="eastAsia" w:ascii="宋体" w:hAnsi="宋体"/>
          <w:b/>
          <w:color w:val="auto"/>
          <w:highlight w:val="none"/>
          <w:lang w:val="en-US" w:eastAsia="zh-CN"/>
        </w:rPr>
        <w:t>30</w:t>
      </w:r>
      <w:r>
        <w:rPr>
          <w:rFonts w:hint="eastAsia" w:ascii="宋体" w:hAnsi="宋体"/>
          <w:b/>
          <w:color w:val="auto"/>
          <w:highlight w:val="none"/>
        </w:rPr>
        <w:t>日历天</w:t>
      </w:r>
      <w:r>
        <w:rPr>
          <w:rFonts w:hint="eastAsia" w:ascii="宋体" w:hAnsi="宋体"/>
          <w:color w:val="auto"/>
          <w:kern w:val="0"/>
          <w:highlight w:val="none"/>
        </w:rPr>
        <w:t>。</w:t>
      </w:r>
    </w:p>
    <w:p>
      <w:pPr>
        <w:pStyle w:val="9"/>
        <w:spacing w:line="360" w:lineRule="auto"/>
        <w:ind w:firstLine="480" w:firstLineChars="200"/>
        <w:rPr>
          <w:rFonts w:ascii="宋体" w:hAnsi="宋体"/>
          <w:color w:val="auto"/>
          <w:kern w:val="0"/>
          <w:highlight w:val="none"/>
        </w:rPr>
      </w:pPr>
      <w:r>
        <w:rPr>
          <w:rFonts w:hint="eastAsia" w:ascii="宋体" w:hAnsi="宋体"/>
          <w:color w:val="auto"/>
          <w:kern w:val="0"/>
          <w:highlight w:val="none"/>
        </w:rPr>
        <w:t>建设地点：</w:t>
      </w:r>
      <w:r>
        <w:rPr>
          <w:rFonts w:hint="eastAsia" w:ascii="宋体" w:hAnsi="宋体" w:cs="宋体"/>
          <w:color w:val="auto"/>
          <w:highlight w:val="none"/>
        </w:rPr>
        <w:t>台州市第一中学内。</w:t>
      </w:r>
    </w:p>
    <w:p>
      <w:pPr>
        <w:pStyle w:val="21"/>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（三）质量标准及质量保修期</w:t>
      </w:r>
    </w:p>
    <w:p>
      <w:pPr>
        <w:pStyle w:val="21"/>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w:t>
      </w:r>
      <w:r>
        <w:rPr>
          <w:rFonts w:hint="eastAsia" w:ascii="宋体" w:hAnsi="宋体"/>
          <w:b/>
          <w:bCs/>
          <w:color w:val="auto"/>
          <w:kern w:val="0"/>
          <w:sz w:val="24"/>
          <w:highlight w:val="none"/>
        </w:rPr>
        <w:t>质量标准：</w:t>
      </w:r>
      <w:r>
        <w:rPr>
          <w:rFonts w:hint="eastAsia" w:ascii="宋体" w:hAnsi="宋体"/>
          <w:color w:val="auto"/>
          <w:kern w:val="0"/>
          <w:sz w:val="24"/>
          <w:highlight w:val="none"/>
        </w:rPr>
        <w:t>合格</w:t>
      </w:r>
    </w:p>
    <w:p>
      <w:pPr>
        <w:snapToGrid w:val="0"/>
        <w:spacing w:line="360" w:lineRule="auto"/>
        <w:ind w:firstLine="482" w:firstLineChars="200"/>
        <w:jc w:val="left"/>
        <w:rPr>
          <w:rFonts w:ascii="宋体" w:hAnsi="宋体"/>
          <w:color w:val="auto"/>
          <w:kern w:val="0"/>
          <w:sz w:val="24"/>
          <w:highlight w:val="none"/>
        </w:rPr>
      </w:pPr>
      <w:r>
        <w:rPr>
          <w:rFonts w:hint="eastAsia" w:ascii="宋体" w:hAnsi="宋体" w:cs="Arial"/>
          <w:b/>
          <w:bCs/>
          <w:color w:val="auto"/>
          <w:sz w:val="24"/>
          <w:highlight w:val="none"/>
        </w:rPr>
        <w:t>质量保修期：按合同附件《工程质量保修书》约定</w:t>
      </w:r>
      <w:r>
        <w:rPr>
          <w:rFonts w:hint="eastAsia" w:ascii="宋体" w:hAnsi="宋体"/>
          <w:color w:val="auto"/>
          <w:kern w:val="0"/>
          <w:sz w:val="24"/>
          <w:highlight w:val="none"/>
        </w:rPr>
        <w:t>。</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（1）在免费保修期内，成交供应商对有缺陷的部位必须无偿地给予修理与更换，并承担一切由此引起的对采购人或第三方的直接损失，除非该缺陷是由于人为破坏或合同规定的不可抗因素造成的损坏。</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（2）成交供应商必须对所承揽的工程的质量负全部责任，其责任不因其他材料生产商提供的保证书而减轻或更改。</w:t>
      </w:r>
    </w:p>
    <w:p>
      <w:pPr>
        <w:pStyle w:val="77"/>
        <w:spacing w:line="360" w:lineRule="auto"/>
        <w:ind w:firstLine="480"/>
        <w:rPr>
          <w:rFonts w:ascii="宋体" w:hAnsi="宋体"/>
          <w:b/>
          <w:color w:val="auto"/>
          <w:sz w:val="24"/>
          <w:szCs w:val="24"/>
          <w:highlight w:val="none"/>
        </w:rPr>
      </w:pPr>
      <w:r>
        <w:rPr>
          <w:rFonts w:hint="eastAsia" w:ascii="宋体" w:hAnsi="宋体" w:cs="Arial"/>
          <w:color w:val="auto"/>
          <w:sz w:val="24"/>
          <w:szCs w:val="24"/>
          <w:highlight w:val="none"/>
        </w:rPr>
        <w:t>（3）材料检验结果证明其有害物质含量指标超标的产品不得在工程上使用。</w:t>
      </w:r>
    </w:p>
    <w:p>
      <w:pPr>
        <w:snapToGrid w:val="0"/>
        <w:spacing w:line="360" w:lineRule="auto"/>
        <w:ind w:firstLine="482" w:firstLineChars="200"/>
        <w:jc w:val="left"/>
        <w:rPr>
          <w:rFonts w:ascii="宋体" w:hAnsi="宋体" w:cs="Arial"/>
          <w:color w:val="auto"/>
          <w:sz w:val="24"/>
          <w:highlight w:val="none"/>
        </w:rPr>
      </w:pPr>
      <w:r>
        <w:rPr>
          <w:rFonts w:hint="eastAsia" w:ascii="宋体" w:hAnsi="宋体" w:cs="Arial"/>
          <w:b/>
          <w:bCs/>
          <w:color w:val="auto"/>
          <w:sz w:val="24"/>
          <w:highlight w:val="none"/>
        </w:rPr>
        <w:t>（四）付款条件：</w:t>
      </w:r>
      <w:r>
        <w:rPr>
          <w:rFonts w:hint="eastAsia" w:ascii="宋体" w:hAnsi="宋体" w:cs="Arial"/>
          <w:color w:val="auto"/>
          <w:sz w:val="24"/>
          <w:highlight w:val="none"/>
        </w:rPr>
        <w:t>合同签订并人员、机械设备进场后7日历天内支付合同总价的40%作为预付款，同时供应商需提交相应金额的预付款担保（预付款担保可以用银行、保险公司、融资担保公司出具的预付款保函）；工程竣工验收合格后付至合同价款的85%；成交供应商结算报送并经发包人或相关部门审核后，付至审定金额的100%(采购人支付完成最后工程结算付款前，成交供应商提供质量保证金保函)。</w:t>
      </w:r>
    </w:p>
    <w:p>
      <w:pPr>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　　</w:t>
      </w:r>
      <w:r>
        <w:rPr>
          <w:rFonts w:hint="eastAsia" w:ascii="宋体" w:hAnsi="宋体" w:cs="Arial"/>
          <w:b/>
          <w:bCs/>
          <w:color w:val="auto"/>
          <w:sz w:val="24"/>
          <w:highlight w:val="none"/>
        </w:rPr>
        <w:t>（五）履约保证金：</w:t>
      </w:r>
      <w:r>
        <w:rPr>
          <w:rFonts w:hint="eastAsia" w:ascii="宋体" w:hAnsi="宋体" w:cs="Arial"/>
          <w:color w:val="auto"/>
          <w:sz w:val="24"/>
          <w:highlight w:val="none"/>
        </w:rPr>
        <w:t>成交供应商须提交合同总价2%的履约担保，履约保证金可以用银行保函、保险机构保证保险保单和融资担保公司保函或现金。履约保证金如为现金的，在项目通过竣工验收合格且扣除相应的违约责任后，14天内无息退还。采用保单保函的，应保证其有效期超过项目履行期届满之日【30】日。</w:t>
      </w:r>
    </w:p>
    <w:p>
      <w:pPr>
        <w:pStyle w:val="28"/>
        <w:rPr>
          <w:color w:val="auto"/>
          <w:highlight w:val="none"/>
        </w:rPr>
      </w:pPr>
    </w:p>
    <w:p>
      <w:pPr>
        <w:pStyle w:val="28"/>
        <w:rPr>
          <w:color w:val="auto"/>
          <w:highlight w:val="none"/>
        </w:rPr>
      </w:pPr>
    </w:p>
    <w:p>
      <w:pPr>
        <w:widowControl/>
        <w:jc w:val="left"/>
        <w:rPr>
          <w:color w:val="auto"/>
          <w:highlight w:val="none"/>
        </w:rPr>
      </w:pPr>
      <w:r>
        <w:rPr>
          <w:color w:val="auto"/>
          <w:highlight w:val="none"/>
        </w:rPr>
        <w:br w:type="page"/>
      </w:r>
    </w:p>
    <w:p>
      <w:pPr>
        <w:rPr>
          <w:color w:val="auto"/>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103" w:name="_Toc101280595"/>
      <w:r>
        <w:rPr>
          <w:rFonts w:hint="eastAsia" w:asciiTheme="minorEastAsia" w:hAnsiTheme="minorEastAsia" w:eastAsiaTheme="minorEastAsia"/>
          <w:b/>
          <w:color w:val="auto"/>
          <w:sz w:val="36"/>
          <w:szCs w:val="36"/>
          <w:highlight w:val="none"/>
        </w:rPr>
        <w:t>磋商</w:t>
      </w:r>
      <w:bookmarkEnd w:id="103"/>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一、磋商原则</w:t>
      </w:r>
    </w:p>
    <w:p>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二、评审方法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综合评分法,是指响应文件满足磋商文件全部实质性要求且按照评审因素的量化指标评审得分最高的供应商为成交候选人的评标方法。</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r>
        <w:rPr>
          <w:rFonts w:hint="eastAsia" w:asciiTheme="minorEastAsia" w:hAnsiTheme="minorEastAsia" w:eastAsiaTheme="minorEastAsia" w:cstheme="minorBidi"/>
          <w:color w:val="auto"/>
          <w:sz w:val="24"/>
          <w:szCs w:val="24"/>
          <w:highlight w:val="none"/>
        </w:rPr>
        <w:t>磋商小组</w:t>
      </w:r>
      <w:r>
        <w:rPr>
          <w:rFonts w:asciiTheme="minorEastAsia" w:hAnsiTheme="minorEastAsia" w:eastAsiaTheme="minorEastAsia"/>
          <w:color w:val="auto"/>
          <w:sz w:val="24"/>
          <w:szCs w:val="24"/>
          <w:highlight w:val="none"/>
        </w:rPr>
        <w:t>由</w:t>
      </w:r>
      <w:r>
        <w:rPr>
          <w:rFonts w:hint="eastAsia" w:asciiTheme="minorEastAsia" w:hAnsiTheme="minorEastAsia" w:eastAsiaTheme="minorEastAsia"/>
          <w:color w:val="auto"/>
          <w:sz w:val="24"/>
          <w:szCs w:val="24"/>
          <w:highlight w:val="none"/>
        </w:rPr>
        <w:t>采购人代表和评审专家共3人以上单数</w:t>
      </w:r>
      <w:r>
        <w:rPr>
          <w:rFonts w:asciiTheme="minorEastAsia" w:hAnsiTheme="minorEastAsia" w:eastAsiaTheme="minorEastAsia"/>
          <w:color w:val="auto"/>
          <w:sz w:val="24"/>
          <w:szCs w:val="24"/>
          <w:highlight w:val="none"/>
        </w:rPr>
        <w:t>组成</w:t>
      </w:r>
      <w:r>
        <w:rPr>
          <w:rFonts w:hint="eastAsia" w:asciiTheme="minorEastAsia" w:hAnsiTheme="minorEastAsia" w:eastAsiaTheme="minorEastAsia"/>
          <w:color w:val="auto"/>
          <w:sz w:val="24"/>
          <w:szCs w:val="24"/>
          <w:highlight w:val="none"/>
        </w:rPr>
        <w:t>。</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成员</w:t>
      </w:r>
      <w:r>
        <w:rPr>
          <w:rFonts w:hint="eastAsia" w:cs="宋体" w:asciiTheme="minorEastAsia" w:hAnsiTheme="minorEastAsia" w:eastAsiaTheme="minorEastAsia"/>
          <w:color w:val="auto"/>
          <w:sz w:val="24"/>
          <w:szCs w:val="24"/>
          <w:highlight w:val="none"/>
        </w:rPr>
        <w:t>与参与磋商的供应商</w:t>
      </w:r>
      <w:r>
        <w:rPr>
          <w:rFonts w:hint="eastAsia" w:asciiTheme="minorEastAsia" w:hAnsiTheme="minorEastAsia" w:eastAsiaTheme="minorEastAsia"/>
          <w:color w:val="auto"/>
          <w:sz w:val="24"/>
          <w:szCs w:val="24"/>
          <w:highlight w:val="none"/>
        </w:rPr>
        <w:t>有下列情形之一的，应当回避：</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1.参加采购活动前3年内与供应商存在劳动关系；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2.参加采购活动前3年内担任供应商的董事、监事；</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3.参加采购活动前3年内是供应商的控股股东或者实际控制人；</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负责具体评审事务，并独立履行下列职责：</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1.审查、评价响应文件是否符合磋商文件的商务、技术等实质性要求；</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2.要求供应商对响应文件有关事项作出澄清或者说明；</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3.对响应文件进行比较和评价；</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4.确定成交候选人名单，以及根据采购人委托直接确定成交供应商；</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5.向采购人、采购</w:t>
      </w:r>
      <w:r>
        <w:rPr>
          <w:rFonts w:hint="eastAsia" w:asciiTheme="minorEastAsia" w:hAnsiTheme="minorEastAsia" w:eastAsiaTheme="minorEastAsia" w:cstheme="minorBidi"/>
          <w:color w:val="auto"/>
          <w:sz w:val="24"/>
          <w:szCs w:val="24"/>
          <w:highlight w:val="none"/>
        </w:rPr>
        <w:t>组织</w:t>
      </w:r>
      <w:r>
        <w:rPr>
          <w:rFonts w:hint="eastAsia" w:asciiTheme="minorEastAsia" w:hAnsiTheme="minorEastAsia" w:eastAsiaTheme="minorEastAsia"/>
          <w:color w:val="auto"/>
          <w:sz w:val="24"/>
          <w:szCs w:val="24"/>
          <w:highlight w:val="none"/>
        </w:rPr>
        <w:t>机构或者有关部门报告评审中发现的违法行为；</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6.法律法规规定的其他职责。</w:t>
      </w:r>
    </w:p>
    <w:p>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四、磋商要求</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（一）采购人、采购代理机构不得对磋商小组中的评审专家作倾向性、误导性的解释或者说明。</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（二）磋商小组所有成员应当集中与单一供应商分别进行磋商，并给予所有参加磋商的供应商平等的磋商机会。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（四）对磋商文件作出的实质性变动是磋商文件的有效组成部分，磋商小组应当及时以书面形式同时通知所有参加磋商的供应商。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（六）已提交响应文件的供应商，在提交最后报价之前，可以根据磋商情况退出磋商。</w:t>
      </w:r>
    </w:p>
    <w:p>
      <w:pPr>
        <w:pStyle w:val="26"/>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五、无效响应情形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olor w:val="auto"/>
          <w:kern w:val="0"/>
          <w:sz w:val="24"/>
          <w:highlight w:val="none"/>
        </w:rPr>
        <w:t>报价文件中报价的货物或服务跟商务与技术文件中的响应的货物或服务出现重大偏差的；</w:t>
      </w:r>
    </w:p>
    <w:p>
      <w:pPr>
        <w:pStyle w:val="2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（二）不具备磋商文件中规定的资格要求的；</w:t>
      </w:r>
      <w:r>
        <w:rPr>
          <w:rFonts w:hint="default" w:asciiTheme="minorEastAsia" w:hAnsiTheme="minorEastAsia" w:eastAsiaTheme="minorEastAsia"/>
          <w:color w:val="auto"/>
          <w:highlight w:val="none"/>
        </w:rPr>
        <w:tab/>
      </w:r>
    </w:p>
    <w:p>
      <w:pPr>
        <w:pStyle w:val="2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（三）响应文件含有采购人不能接受的附加条件的；</w:t>
      </w:r>
    </w:p>
    <w:p>
      <w:pPr>
        <w:pStyle w:val="8"/>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磋商小组认为供应商的报价明显低于其他通过符合性审查供应商的报价，有可能影响产品质量或者不能诚信履约的，供应商在限定的时间内不能证明其报价合理性的，磋商小组应当将其作为无效响应处理；</w:t>
      </w:r>
    </w:p>
    <w:p>
      <w:pPr>
        <w:pStyle w:val="2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（五）报价超过磋商文件中规定的预算金额/最高限(单)价；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（六）</w:t>
      </w:r>
      <w:r>
        <w:rPr>
          <w:rFonts w:hint="eastAsia" w:asciiTheme="minorEastAsia" w:hAnsiTheme="minorEastAsia" w:eastAsiaTheme="minorEastAsia"/>
          <w:color w:val="auto"/>
          <w:kern w:val="0"/>
          <w:sz w:val="24"/>
          <w:highlight w:val="none"/>
        </w:rPr>
        <w:t>响应参数未如实填写；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（七）响应文件</w:t>
      </w:r>
      <w:r>
        <w:rPr>
          <w:rFonts w:hint="eastAsia" w:asciiTheme="minorEastAsia" w:hAnsiTheme="minorEastAsia" w:eastAsiaTheme="minorEastAsia"/>
          <w:color w:val="auto"/>
          <w:kern w:val="0"/>
          <w:sz w:val="24"/>
          <w:highlight w:val="none"/>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（九）不同供应商委托同一单位或者个人办理磋商事宜；</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（十）不同供应商的响应文件载明的项目管理成员或者联系人员为同一人；</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（十一）不同供应商的响应文件异常一致或者磋商报价呈规律性差异；</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（十三）</w:t>
      </w:r>
      <w:r>
        <w:rPr>
          <w:rFonts w:cs="宋体" w:asciiTheme="minorEastAsia" w:hAnsiTheme="minorEastAsia" w:eastAsiaTheme="minorEastAsia"/>
          <w:color w:val="auto"/>
          <w:highlight w:val="none"/>
        </w:rPr>
        <w:t>实质性要求（磋商文件中打“▲”内容）</w:t>
      </w:r>
      <w:r>
        <w:rPr>
          <w:rFonts w:cs="宋体"/>
          <w:color w:val="auto"/>
          <w:highlight w:val="none"/>
        </w:rPr>
        <w:t>不响应或响应不符合要求的</w:t>
      </w:r>
      <w:r>
        <w:rPr>
          <w:rFonts w:cs="宋体" w:asciiTheme="minorEastAsia" w:hAnsiTheme="minorEastAsia" w:eastAsiaTheme="minorEastAsia"/>
          <w:color w:val="auto"/>
          <w:highlight w:val="none"/>
        </w:rPr>
        <w:t>；</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（十四）</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（十五）</w:t>
      </w:r>
      <w:r>
        <w:rPr>
          <w:rFonts w:hint="eastAsia" w:asciiTheme="minorEastAsia" w:hAnsiTheme="minorEastAsia" w:eastAsiaTheme="minorEastAsia"/>
          <w:color w:val="auto"/>
          <w:kern w:val="0"/>
          <w:sz w:val="24"/>
          <w:szCs w:val="24"/>
          <w:highlight w:val="none"/>
        </w:rPr>
        <w:t>逾期或未按要求提交</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（十六）</w:t>
      </w:r>
      <w:r>
        <w:rPr>
          <w:rFonts w:hint="eastAsia" w:asciiTheme="minorEastAsia" w:hAnsiTheme="minorEastAsia" w:eastAsiaTheme="minorEastAsia"/>
          <w:color w:val="auto"/>
          <w:kern w:val="0"/>
          <w:sz w:val="24"/>
          <w:szCs w:val="24"/>
          <w:highlight w:val="none"/>
        </w:rPr>
        <w:t>其他</w:t>
      </w:r>
      <w:r>
        <w:rPr>
          <w:rFonts w:cs="宋体" w:asciiTheme="minorEastAsia" w:hAnsiTheme="minorEastAsia" w:eastAsiaTheme="minorEastAsia"/>
          <w:color w:val="auto"/>
          <w:sz w:val="24"/>
          <w:szCs w:val="24"/>
          <w:highlight w:val="none"/>
        </w:rPr>
        <w:t>不符合法律、法规相关规定的</w:t>
      </w:r>
      <w:r>
        <w:rPr>
          <w:rFonts w:hint="eastAsia" w:cs="宋体" w:asciiTheme="minorEastAsia" w:hAnsiTheme="minorEastAsia" w:eastAsiaTheme="minorEastAsia"/>
          <w:color w:val="auto"/>
          <w:sz w:val="24"/>
          <w:szCs w:val="24"/>
          <w:highlight w:val="none"/>
        </w:rPr>
        <w:t>。</w:t>
      </w:r>
    </w:p>
    <w:p>
      <w:pPr>
        <w:autoSpaceDE w:val="0"/>
        <w:autoSpaceDN w:val="0"/>
        <w:adjustRightIn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六、终止磋商情形</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（一）出现影响采购公正的违法、违规行为的；</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（二）磋商小组发现磋商文件存在歧义、重大缺陷导致评审工作无法进行，或者磋商文件内容违反国家有关强制性规定的；</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（三）因重大变故，采购任务取消的；</w:t>
      </w:r>
    </w:p>
    <w:p>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（五）法律、法规和磋商文件规定的其他导致评审结果无效的。</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七、磋商</w:t>
      </w:r>
      <w:r>
        <w:rPr>
          <w:rFonts w:asciiTheme="minorEastAsia" w:hAnsiTheme="minorEastAsia" w:eastAsiaTheme="minorEastAsia"/>
          <w:b/>
          <w:color w:val="auto"/>
          <w:sz w:val="24"/>
          <w:highlight w:val="none"/>
        </w:rPr>
        <w:t>过程的监控</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p>
    <w:p>
      <w:pPr>
        <w:pStyle w:val="26"/>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八、</w:t>
      </w:r>
      <w:r>
        <w:rPr>
          <w:b/>
          <w:bCs/>
          <w:color w:val="auto"/>
          <w:highlight w:val="none"/>
        </w:rPr>
        <w:t>政府采购政策落实</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本项目为专门面向中小企业采购项目，不进行小微企业的价格扣除。</w:t>
      </w:r>
      <w:r>
        <w:rPr>
          <w:rFonts w:cs="宋体" w:asciiTheme="minorEastAsia" w:hAnsiTheme="minorEastAsia" w:eastAsiaTheme="minorEastAsia"/>
          <w:color w:val="auto"/>
          <w:highlight w:val="none"/>
        </w:rPr>
        <w:t xml:space="preserve"> </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九、评审</w:t>
      </w:r>
      <w:r>
        <w:rPr>
          <w:rFonts w:asciiTheme="minorEastAsia" w:hAnsiTheme="minorEastAsia" w:eastAsiaTheme="minorEastAsia"/>
          <w:b/>
          <w:bCs/>
          <w:color w:val="auto"/>
          <w:sz w:val="24"/>
          <w:highlight w:val="none"/>
        </w:rPr>
        <w:t>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响应文件解密后</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的资格进行审查，对审查发现无效的进行必要的询标，</w:t>
      </w:r>
      <w:r>
        <w:rPr>
          <w:rFonts w:hint="eastAsia" w:asciiTheme="minorEastAsia" w:hAnsiTheme="minorEastAsia" w:eastAsiaTheme="minorEastAsia"/>
          <w:color w:val="auto"/>
          <w:sz w:val="24"/>
          <w:highlight w:val="none"/>
        </w:rPr>
        <w:t>在政采云平台公布</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无效的原因。</w:t>
      </w:r>
    </w:p>
    <w:tbl>
      <w:tblPr>
        <w:tblStyle w:val="2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7138" w:type="dxa"/>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04" w:name="OLE_LINK80"/>
            <w:bookmarkStart w:id="105" w:name="OLE_LINK81"/>
            <w:bookmarkStart w:id="106" w:name="OLE_LINK79"/>
            <w:r>
              <w:rPr>
                <w:rFonts w:hint="eastAsia" w:asciiTheme="minorEastAsia" w:hAnsiTheme="minorEastAsia" w:eastAsiaTheme="minorEastAsia"/>
                <w:color w:val="auto"/>
                <w:szCs w:val="21"/>
                <w:highlight w:val="none"/>
              </w:rPr>
              <w:t>在中华人民共和国境内注册的法人或其他组织或自然人，磋商时提交有效的营业执照（或事业法人登记证或身份证等相关证明）副本扫描件。</w:t>
            </w:r>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7138" w:type="dxa"/>
            <w:vMerge w:val="restart"/>
            <w:shd w:val="clear" w:color="auto" w:fill="F6F6F6"/>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07" w:name="OLE_LINK82"/>
            <w:bookmarkStart w:id="108" w:name="OLE_LINK83"/>
            <w:r>
              <w:rPr>
                <w:rFonts w:hint="eastAsia"/>
                <w:color w:val="auto"/>
                <w:szCs w:val="21"/>
                <w:highlight w:val="none"/>
              </w:rPr>
              <w:t>符合参与政府采购活动的资格条件、具备良好的商业信誉和健全的财务会计制度并且没有税收缴纳、社会保障等方面的失信记录的承诺函（格式见附件）</w:t>
            </w:r>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7138" w:type="dxa"/>
            <w:vMerge w:val="continue"/>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履行合同所必需的设备和专业技术能力</w:t>
            </w:r>
          </w:p>
        </w:tc>
        <w:tc>
          <w:tcPr>
            <w:tcW w:w="7138" w:type="dxa"/>
            <w:shd w:val="clear" w:color="auto" w:fill="F6F6F6"/>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09" w:name="OLE_LINK84"/>
            <w:bookmarkStart w:id="110" w:name="OLE_LINK85"/>
            <w:r>
              <w:rPr>
                <w:rFonts w:hint="eastAsia" w:asciiTheme="minorEastAsia" w:hAnsiTheme="minorEastAsia" w:eastAsiaTheme="minorEastAsia"/>
                <w:color w:val="auto"/>
                <w:szCs w:val="21"/>
                <w:highlight w:val="none"/>
              </w:rPr>
              <w:t>承诺函（格式见附件）</w:t>
            </w:r>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参加采购活动前</w:t>
            </w:r>
            <w:r>
              <w:rPr>
                <w:rFonts w:hint="eastAsia" w:asciiTheme="minorEastAsia" w:hAnsiTheme="minorEastAsia" w:eastAsiaTheme="minorEastAsia"/>
                <w:color w:val="auto"/>
                <w:w w:val="110"/>
                <w:szCs w:val="21"/>
                <w:highlight w:val="none"/>
              </w:rPr>
              <w:t>3</w:t>
            </w:r>
            <w:r>
              <w:rPr>
                <w:rFonts w:hint="eastAsia" w:asciiTheme="minorEastAsia" w:hAnsiTheme="minorEastAsia" w:eastAsiaTheme="minorEastAsia"/>
                <w:color w:val="auto"/>
                <w:szCs w:val="21"/>
                <w:highlight w:val="none"/>
              </w:rPr>
              <w:t>年内，在经营活动中没有重大违法记录</w:t>
            </w:r>
          </w:p>
        </w:tc>
        <w:tc>
          <w:tcPr>
            <w:tcW w:w="7138" w:type="dxa"/>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11" w:name="OLE_LINK86"/>
            <w:bookmarkStart w:id="112" w:name="OLE_LINK87"/>
            <w:bookmarkStart w:id="113" w:name="OLE_LINK88"/>
            <w:r>
              <w:rPr>
                <w:rFonts w:hint="eastAsia" w:asciiTheme="minorEastAsia" w:hAnsiTheme="minorEastAsia" w:eastAsiaTheme="minorEastAsia"/>
                <w:color w:val="auto"/>
                <w:szCs w:val="21"/>
                <w:highlight w:val="none"/>
              </w:rPr>
              <w:t>在磋商声明书（格式见附件）中承诺相关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color w:val="auto"/>
                <w:szCs w:val="21"/>
                <w:highlight w:val="none"/>
              </w:rPr>
              <w:t>信用记录</w:t>
            </w:r>
          </w:p>
        </w:tc>
        <w:tc>
          <w:tcPr>
            <w:tcW w:w="7138" w:type="dxa"/>
            <w:vAlign w:val="center"/>
          </w:tcPr>
          <w:p>
            <w:pPr>
              <w:pStyle w:val="57"/>
              <w:spacing w:line="400" w:lineRule="exact"/>
              <w:ind w:right="147"/>
              <w:rPr>
                <w:color w:val="auto"/>
                <w:szCs w:val="21"/>
                <w:highlight w:val="none"/>
              </w:rPr>
            </w:pPr>
            <w:r>
              <w:rPr>
                <w:rFonts w:hint="eastAsia"/>
                <w:color w:val="auto"/>
                <w:szCs w:val="21"/>
                <w:highlight w:val="none"/>
              </w:rPr>
              <w:t>1.</w:t>
            </w:r>
            <w:r>
              <w:rPr>
                <w:color w:val="auto"/>
                <w:szCs w:val="21"/>
                <w:highlight w:val="none"/>
              </w:rPr>
              <w:t>截止时点：</w:t>
            </w:r>
            <w:r>
              <w:rPr>
                <w:rFonts w:hint="eastAsia"/>
                <w:color w:val="auto"/>
                <w:szCs w:val="21"/>
                <w:highlight w:val="none"/>
              </w:rPr>
              <w:t>开标后评标前</w:t>
            </w:r>
            <w:r>
              <w:rPr>
                <w:color w:val="auto"/>
                <w:szCs w:val="21"/>
                <w:highlight w:val="none"/>
              </w:rPr>
              <w:t>。</w:t>
            </w:r>
          </w:p>
          <w:p>
            <w:pPr>
              <w:pStyle w:val="57"/>
              <w:spacing w:line="400" w:lineRule="exact"/>
              <w:ind w:right="147"/>
              <w:rPr>
                <w:color w:val="auto"/>
                <w:szCs w:val="21"/>
                <w:highlight w:val="none"/>
              </w:rPr>
            </w:pPr>
            <w:r>
              <w:rPr>
                <w:rFonts w:hint="eastAsia"/>
                <w:color w:val="auto"/>
                <w:szCs w:val="21"/>
                <w:highlight w:val="none"/>
              </w:rPr>
              <w:t>2.</w:t>
            </w:r>
            <w:r>
              <w:rPr>
                <w:color w:val="auto"/>
                <w:szCs w:val="21"/>
                <w:highlight w:val="none"/>
              </w:rPr>
              <w:t>信用信息查询记录和证据留存的具体方式：由采购组织机构在规定查询时间内打印信用信息查询记录并归入项目档案。</w:t>
            </w:r>
          </w:p>
          <w:p>
            <w:pPr>
              <w:pStyle w:val="57"/>
              <w:spacing w:line="400" w:lineRule="exact"/>
              <w:ind w:right="147"/>
              <w:rPr>
                <w:color w:val="auto"/>
                <w:szCs w:val="21"/>
                <w:highlight w:val="none"/>
              </w:rPr>
            </w:pPr>
            <w:r>
              <w:rPr>
                <w:rFonts w:hint="eastAsia"/>
                <w:color w:val="auto"/>
                <w:szCs w:val="21"/>
                <w:highlight w:val="none"/>
              </w:rPr>
              <w:t>3.</w:t>
            </w:r>
            <w:r>
              <w:rPr>
                <w:color w:val="auto"/>
                <w:szCs w:val="21"/>
                <w:highlight w:val="none"/>
              </w:rPr>
              <w:t>使用规则</w:t>
            </w:r>
            <w:r>
              <w:rPr>
                <w:rFonts w:hint="eastAsia"/>
                <w:color w:val="auto"/>
                <w:szCs w:val="21"/>
                <w:highlight w:val="none"/>
              </w:rPr>
              <w:t>：投标人</w:t>
            </w:r>
            <w:r>
              <w:rPr>
                <w:color w:val="auto"/>
                <w:szCs w:val="21"/>
                <w:highlight w:val="none"/>
              </w:rPr>
              <w:t>未被列入“信用中国”失信被执行人或重大税收违法失信主体；</w:t>
            </w:r>
            <w:r>
              <w:rPr>
                <w:rFonts w:hint="eastAsia"/>
                <w:color w:val="auto"/>
                <w:szCs w:val="21"/>
                <w:highlight w:val="none"/>
              </w:rPr>
              <w:t>未</w:t>
            </w:r>
            <w:r>
              <w:rPr>
                <w:color w:val="auto"/>
                <w:szCs w:val="21"/>
                <w:highlight w:val="none"/>
              </w:rPr>
              <w:t>处于“中国政府采购网”政府采购严重违法失信行为信息记录中的禁止参加政府采购活动期间。（以联合体形式投标时，联合体各方均须满足该条款）</w:t>
            </w:r>
          </w:p>
          <w:p>
            <w:pPr>
              <w:pStyle w:val="57"/>
              <w:spacing w:line="400" w:lineRule="exact"/>
              <w:ind w:right="147"/>
              <w:rPr>
                <w:color w:val="auto"/>
                <w:kern w:val="0"/>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查询渠道：</w:t>
            </w:r>
            <w:r>
              <w:rPr>
                <w:rFonts w:hint="eastAsia"/>
                <w:color w:val="auto"/>
                <w:kern w:val="0"/>
                <w:szCs w:val="21"/>
                <w:highlight w:val="none"/>
              </w:rPr>
              <w:t>“信用中国”（www.creditchina.gov.cn）、中国政府采购网（www.ccgp.gov.cn）</w:t>
            </w:r>
          </w:p>
          <w:p>
            <w:pPr>
              <w:pStyle w:val="57"/>
              <w:spacing w:line="400" w:lineRule="exact"/>
              <w:ind w:right="147"/>
              <w:rPr>
                <w:rFonts w:asciiTheme="minorEastAsia" w:hAnsiTheme="minorEastAsia" w:eastAsiaTheme="minorEastAsia"/>
                <w:b/>
                <w:color w:val="auto"/>
                <w:szCs w:val="21"/>
                <w:highlight w:val="none"/>
              </w:rPr>
            </w:pPr>
            <w:r>
              <w:rPr>
                <w:rFonts w:hint="eastAsia"/>
                <w:b/>
                <w:color w:val="auto"/>
                <w:szCs w:val="21"/>
                <w:highlight w:val="none"/>
              </w:rPr>
              <w:t>注：供应商无须单独提供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供应商必须符合法律、行政法规规定的其他条件</w:t>
            </w:r>
          </w:p>
        </w:tc>
        <w:tc>
          <w:tcPr>
            <w:tcW w:w="7138" w:type="dxa"/>
            <w:shd w:val="clear" w:color="auto" w:fill="F6F6F6"/>
            <w:vAlign w:val="center"/>
          </w:tcPr>
          <w:p>
            <w:pPr>
              <w:pStyle w:val="57"/>
              <w:spacing w:line="400" w:lineRule="exact"/>
              <w:ind w:right="147"/>
              <w:rPr>
                <w:color w:val="auto"/>
                <w:spacing w:val="-3"/>
                <w:szCs w:val="21"/>
                <w:highlight w:val="none"/>
              </w:rPr>
            </w:pPr>
            <w:r>
              <w:rPr>
                <w:rFonts w:hint="eastAsia"/>
                <w:color w:val="auto"/>
                <w:szCs w:val="21"/>
                <w:highlight w:val="none"/>
              </w:rPr>
              <w:t>1.单位负责人为同一人或者存在直接控股、管理关系的不同供应商，不得参加同一合同项下的政府采购活动</w:t>
            </w:r>
            <w:r>
              <w:rPr>
                <w:rFonts w:hint="eastAsia"/>
                <w:color w:val="auto"/>
                <w:spacing w:val="-3"/>
                <w:szCs w:val="21"/>
                <w:highlight w:val="none"/>
              </w:rPr>
              <w:t>。</w:t>
            </w:r>
          </w:p>
          <w:p>
            <w:pPr>
              <w:pStyle w:val="57"/>
              <w:spacing w:line="400" w:lineRule="exact"/>
              <w:ind w:right="147"/>
              <w:rPr>
                <w:color w:val="auto"/>
                <w:szCs w:val="21"/>
                <w:highlight w:val="none"/>
              </w:rPr>
            </w:pPr>
            <w:r>
              <w:rPr>
                <w:rFonts w:hint="eastAsia"/>
                <w:color w:val="auto"/>
                <w:spacing w:val="-3"/>
                <w:szCs w:val="21"/>
                <w:highlight w:val="none"/>
              </w:rPr>
              <w:t>2.为本项目提供整体设计、规范编制或者项目管理、监理、检测等服务的供应商</w:t>
            </w:r>
            <w:r>
              <w:rPr>
                <w:rFonts w:hint="eastAsia"/>
                <w:color w:val="auto"/>
                <w:spacing w:val="1"/>
                <w:szCs w:val="21"/>
                <w:highlight w:val="none"/>
              </w:rPr>
              <w:t>，不得再参与本项目磋商。</w:t>
            </w:r>
          </w:p>
          <w:p>
            <w:pPr>
              <w:pStyle w:val="57"/>
              <w:spacing w:line="400" w:lineRule="exact"/>
              <w:ind w:right="147"/>
              <w:rPr>
                <w:color w:val="auto"/>
                <w:spacing w:val="1"/>
                <w:szCs w:val="21"/>
                <w:highlight w:val="none"/>
              </w:rPr>
            </w:pPr>
            <w:r>
              <w:rPr>
                <w:rFonts w:hint="eastAsia"/>
                <w:color w:val="auto"/>
                <w:spacing w:val="1"/>
                <w:szCs w:val="21"/>
                <w:highlight w:val="none"/>
              </w:rPr>
              <w:t>3</w:t>
            </w:r>
            <w:r>
              <w:rPr>
                <w:color w:val="auto"/>
                <w:spacing w:val="1"/>
                <w:szCs w:val="21"/>
                <w:highlight w:val="none"/>
              </w:rPr>
              <w:t>.</w:t>
            </w:r>
            <w:r>
              <w:rPr>
                <w:rFonts w:hint="eastAsia"/>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pStyle w:val="57"/>
              <w:spacing w:line="400" w:lineRule="exact"/>
              <w:ind w:right="147"/>
              <w:rPr>
                <w:rFonts w:asciiTheme="minorEastAsia" w:hAnsiTheme="minorEastAsia" w:eastAsiaTheme="minorEastAsia"/>
                <w:color w:val="auto"/>
                <w:szCs w:val="21"/>
                <w:highlight w:val="none"/>
              </w:rPr>
            </w:pPr>
            <w:r>
              <w:rPr>
                <w:rFonts w:hint="eastAsia"/>
                <w:color w:val="auto"/>
                <w:spacing w:val="1"/>
                <w:szCs w:val="21"/>
                <w:highlight w:val="none"/>
              </w:rPr>
              <w:t>4.</w:t>
            </w:r>
            <w:r>
              <w:rPr>
                <w:rFonts w:hint="eastAsia"/>
                <w:color w:val="auto"/>
                <w:szCs w:val="21"/>
                <w:highlight w:val="none"/>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联合体参与磋商</w:t>
            </w:r>
          </w:p>
        </w:tc>
        <w:tc>
          <w:tcPr>
            <w:tcW w:w="7138" w:type="dxa"/>
            <w:vAlign w:val="center"/>
          </w:tcPr>
          <w:p>
            <w:pPr>
              <w:pStyle w:val="57"/>
              <w:adjustRightInd w:val="0"/>
              <w:snapToGrid w:val="0"/>
              <w:spacing w:line="400" w:lineRule="exact"/>
              <w:ind w:firstLine="420" w:firstLineChars="200"/>
              <w:rPr>
                <w:color w:val="auto"/>
                <w:szCs w:val="21"/>
                <w:highlight w:val="none"/>
              </w:rPr>
            </w:pPr>
            <w:r>
              <w:rPr>
                <w:rFonts w:hint="eastAsia" w:asciiTheme="minorEastAsia" w:hAnsiTheme="minorEastAsia" w:eastAsiaTheme="minorEastAsia"/>
                <w:color w:val="auto"/>
                <w:szCs w:val="21"/>
                <w:highlight w:val="none"/>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tcBorders>
              <w:bottom w:val="single" w:color="auto" w:sz="4" w:space="0"/>
            </w:tcBorders>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特定资格要求</w:t>
            </w:r>
          </w:p>
        </w:tc>
        <w:tc>
          <w:tcPr>
            <w:tcW w:w="7138" w:type="dxa"/>
            <w:tcBorders>
              <w:bottom w:val="single" w:color="auto" w:sz="4" w:space="0"/>
            </w:tcBorders>
            <w:shd w:val="clear" w:color="auto" w:fill="F6F6F6"/>
            <w:vAlign w:val="center"/>
          </w:tcPr>
          <w:p>
            <w:pPr>
              <w:pStyle w:val="57"/>
              <w:adjustRightInd w:val="0"/>
              <w:snapToGrid w:val="0"/>
              <w:spacing w:line="400" w:lineRule="exact"/>
              <w:rPr>
                <w:rFonts w:asciiTheme="minorEastAsia" w:hAnsiTheme="minorEastAsia" w:eastAsiaTheme="minorEastAsia"/>
                <w:b/>
                <w:color w:val="auto"/>
                <w:szCs w:val="21"/>
                <w:highlight w:val="none"/>
              </w:rPr>
            </w:pPr>
            <w:bookmarkStart w:id="114" w:name="OLE_LINK89"/>
            <w:bookmarkStart w:id="115" w:name="OLE_LINK90"/>
            <w:r>
              <w:rPr>
                <w:rFonts w:hint="eastAsia" w:asciiTheme="minorEastAsia" w:hAnsiTheme="minorEastAsia" w:eastAsiaTheme="minorEastAsia"/>
                <w:b/>
                <w:color w:val="auto"/>
                <w:szCs w:val="21"/>
                <w:highlight w:val="none"/>
              </w:rPr>
              <w:t>供应商应同时具备以下要求：</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（1）具有建筑装修装饰工程专业承包二级及以上资质（对应资质应在“浙江省建筑市场监管公共服务系统”上动态核查结果处于“合格”状态）；</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（2）具有有效的企业《安全生产许可证》。</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（3）如为浙江省省外企业还须还应具有《省外企业进浙承接业务备案证明》扫描件或“浙江省建筑市场监管公共服务系统”对外发布的通过审核形成的备案信息网页截图。</w:t>
            </w:r>
          </w:p>
          <w:bookmarkEnd w:id="114"/>
          <w:bookmarkEnd w:id="115"/>
          <w:p>
            <w:pPr>
              <w:pStyle w:val="57"/>
              <w:adjustRightInd w:val="0"/>
              <w:snapToGrid w:val="0"/>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法定代表人/负责人资格证明书或法定代表人授权委托书</w:t>
            </w:r>
          </w:p>
        </w:tc>
        <w:tc>
          <w:tcPr>
            <w:tcW w:w="7138"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法定代表人/负责人资格证明书（身份证）或法定代表人授权委托书，按对应格式文件签署、盖章。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落实政府采购政策需满足的资格要求</w:t>
            </w:r>
          </w:p>
        </w:tc>
        <w:tc>
          <w:tcPr>
            <w:tcW w:w="7138"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提供中小企业声明函（格式见附件）或残疾人福利性单位声明函（格式见附件）或监狱企业证明文件。</w:t>
            </w:r>
          </w:p>
        </w:tc>
      </w:tr>
    </w:tbl>
    <w:p>
      <w:pPr>
        <w:pStyle w:val="8"/>
        <w:spacing w:before="120" w:beforeLines="50" w:line="360" w:lineRule="auto"/>
        <w:ind w:firstLine="482" w:firstLineChars="200"/>
        <w:jc w:val="both"/>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p>
    <w:tbl>
      <w:tblPr>
        <w:tblStyle w:val="2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“▲”实质性条款</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磋商响应有效期</w:t>
            </w:r>
          </w:p>
        </w:tc>
        <w:tc>
          <w:tcPr>
            <w:tcW w:w="7476" w:type="dxa"/>
            <w:shd w:val="clear" w:color="auto" w:fill="F6F6F6"/>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附加条件</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不存在采购文件规定的其他无效情形。</w:t>
            </w:r>
          </w:p>
        </w:tc>
      </w:tr>
    </w:tbl>
    <w:p>
      <w:pPr>
        <w:autoSpaceDE w:val="0"/>
        <w:autoSpaceDN w:val="0"/>
        <w:spacing w:before="120" w:beforeLines="50"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w:t>
      </w:r>
      <w:r>
        <w:rPr>
          <w:rFonts w:hint="eastAsia" w:asciiTheme="minorEastAsia" w:hAnsiTheme="minorEastAsia" w:eastAsiaTheme="minorEastAsia"/>
          <w:b/>
          <w:color w:val="auto"/>
          <w:sz w:val="24"/>
          <w:highlight w:val="none"/>
        </w:rPr>
        <w:t>商务与技术</w:t>
      </w:r>
      <w:r>
        <w:rPr>
          <w:rFonts w:hint="eastAsia" w:asciiTheme="minorEastAsia" w:hAnsiTheme="minorEastAsia" w:eastAsiaTheme="minorEastAsia"/>
          <w:b/>
          <w:bCs/>
          <w:color w:val="auto"/>
          <w:sz w:val="24"/>
          <w:highlight w:val="none"/>
        </w:rPr>
        <w:t>及价格评审</w:t>
      </w:r>
    </w:p>
    <w:p>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本项目评审方法为综合评分法，总计100分，评</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kern w:val="0"/>
          <w:sz w:val="24"/>
          <w:highlight w:val="none"/>
        </w:rPr>
        <w:t>按以下标准及要求进行：</w:t>
      </w:r>
    </w:p>
    <w:p>
      <w:pPr>
        <w:autoSpaceDE w:val="0"/>
        <w:autoSpaceDN w:val="0"/>
        <w:adjustRightInd w:val="0"/>
        <w:spacing w:line="360" w:lineRule="auto"/>
        <w:ind w:right="8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1.评分标准</w:t>
      </w:r>
    </w:p>
    <w:tbl>
      <w:tblPr>
        <w:tblStyle w:val="29"/>
        <w:tblW w:w="100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8238"/>
        <w:gridCol w:w="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blHeader/>
          <w:jc w:val="center"/>
        </w:trPr>
        <w:tc>
          <w:tcPr>
            <w:tcW w:w="1070" w:type="dxa"/>
            <w:shd w:val="pct20" w:color="auto" w:fill="auto"/>
            <w:vAlign w:val="center"/>
          </w:tcPr>
          <w:p>
            <w:pPr>
              <w:widowControl/>
              <w:jc w:val="center"/>
              <w:rPr>
                <w:rFonts w:hint="eastAsia" w:ascii="宋体" w:hAnsi="宋体" w:eastAsia="宋体" w:cs="宋体"/>
                <w:b/>
                <w:color w:val="auto"/>
                <w:szCs w:val="21"/>
                <w:highlight w:val="none"/>
              </w:rPr>
            </w:pPr>
            <w:bookmarkStart w:id="116" w:name="OLE_LINK33"/>
            <w:bookmarkStart w:id="117" w:name="OLE_LINK34"/>
            <w:bookmarkStart w:id="118" w:name="OLE_LINK116"/>
            <w:r>
              <w:rPr>
                <w:rFonts w:hint="eastAsia" w:ascii="宋体" w:hAnsi="宋体" w:eastAsia="宋体" w:cs="宋体"/>
                <w:b/>
                <w:color w:val="auto"/>
                <w:szCs w:val="21"/>
                <w:highlight w:val="none"/>
              </w:rPr>
              <w:t>评分</w:t>
            </w:r>
          </w:p>
          <w:p>
            <w:pPr>
              <w:widowControl/>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项目</w:t>
            </w:r>
          </w:p>
        </w:tc>
        <w:tc>
          <w:tcPr>
            <w:tcW w:w="8238" w:type="dxa"/>
            <w:shd w:val="pct20" w:color="auto" w:fill="auto"/>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c>
          <w:tcPr>
            <w:tcW w:w="722" w:type="dxa"/>
            <w:shd w:val="pct20" w:color="auto" w:fill="auto"/>
            <w:vAlign w:val="center"/>
          </w:tcPr>
          <w:p>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1070" w:type="dxa"/>
            <w:tcBorders>
              <w:top w:val="single" w:color="auto" w:sz="4" w:space="0"/>
            </w:tcBorders>
            <w:vAlign w:val="center"/>
          </w:tcPr>
          <w:p>
            <w:pPr>
              <w:widowControl/>
              <w:jc w:val="center"/>
              <w:rPr>
                <w:rFonts w:hint="eastAsia" w:ascii="宋体" w:hAnsi="宋体" w:eastAsia="宋体" w:cs="宋体"/>
                <w:color w:val="auto"/>
                <w:szCs w:val="21"/>
                <w:highlight w:val="none"/>
              </w:rPr>
            </w:pPr>
            <w:bookmarkStart w:id="119" w:name="_Hlk199947983"/>
            <w:bookmarkStart w:id="120" w:name="OLE_LINK31" w:colFirst="1" w:colLast="2"/>
            <w:r>
              <w:rPr>
                <w:rFonts w:hint="eastAsia" w:ascii="宋体" w:hAnsi="宋体" w:eastAsia="宋体" w:cs="宋体"/>
                <w:bCs/>
                <w:color w:val="auto"/>
                <w:szCs w:val="21"/>
                <w:highlight w:val="none"/>
              </w:rPr>
              <w:t>响应供应商</w:t>
            </w:r>
            <w:r>
              <w:rPr>
                <w:rFonts w:hint="eastAsia" w:ascii="宋体" w:hAnsi="宋体" w:eastAsia="宋体" w:cs="宋体"/>
                <w:color w:val="auto"/>
                <w:szCs w:val="21"/>
                <w:highlight w:val="none"/>
              </w:rPr>
              <w:t>资信</w:t>
            </w:r>
          </w:p>
        </w:tc>
        <w:tc>
          <w:tcPr>
            <w:tcW w:w="8238" w:type="dxa"/>
            <w:vAlign w:val="center"/>
          </w:tcPr>
          <w:p>
            <w:pPr>
              <w:tabs>
                <w:tab w:val="center" w:pos="3289"/>
              </w:tabs>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tabs>
                <w:tab w:val="center" w:pos="3289"/>
              </w:tabs>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响应供应商</w:t>
            </w:r>
            <w:r>
              <w:rPr>
                <w:rFonts w:hint="eastAsia" w:ascii="宋体" w:hAnsi="宋体" w:eastAsia="宋体" w:cs="宋体"/>
                <w:color w:val="auto"/>
                <w:szCs w:val="21"/>
                <w:highlight w:val="none"/>
              </w:rPr>
              <w:t>具有环境管理体系认证证书、职业健康安全管理体系认证证书、质量管理体系认证证书的，每提供其中一个证书得1分（本项最多得3分）。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注：需提供有效证书影印件或扫描件和在全国认证认可信息公共服务平台(http://cx.cnca.cn/CertECloud/result/skipResultList）查询到有效的相关证书信息截图，否则不得分。</w:t>
            </w:r>
          </w:p>
        </w:tc>
        <w:tc>
          <w:tcPr>
            <w:tcW w:w="722"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bookmarkEnd w:id="1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1070" w:type="dxa"/>
            <w:tcBorders>
              <w:top w:val="single" w:color="auto" w:sz="4" w:space="0"/>
            </w:tcBorders>
            <w:vAlign w:val="center"/>
          </w:tcPr>
          <w:p>
            <w:pPr>
              <w:widowControl/>
              <w:adjustRightInd w:val="0"/>
              <w:snapToGrid w:val="0"/>
              <w:jc w:val="center"/>
              <w:rPr>
                <w:rFonts w:hint="eastAsia" w:ascii="宋体" w:hAnsi="宋体" w:eastAsia="宋体" w:cs="宋体"/>
                <w:color w:val="auto"/>
                <w:szCs w:val="21"/>
                <w:highlight w:val="none"/>
              </w:rPr>
            </w:pPr>
            <w:bookmarkStart w:id="121" w:name="_Hlk199947998"/>
            <w:r>
              <w:rPr>
                <w:rFonts w:hint="eastAsia" w:ascii="宋体" w:hAnsi="宋体" w:eastAsia="宋体" w:cs="宋体"/>
                <w:bCs/>
                <w:color w:val="auto"/>
                <w:szCs w:val="21"/>
                <w:highlight w:val="none"/>
              </w:rPr>
              <w:t>响应供应商</w:t>
            </w:r>
            <w:r>
              <w:rPr>
                <w:rFonts w:hint="eastAsia" w:ascii="宋体" w:hAnsi="宋体" w:eastAsia="宋体" w:cs="宋体"/>
                <w:color w:val="auto"/>
                <w:szCs w:val="21"/>
                <w:highlight w:val="none"/>
              </w:rPr>
              <w:t>业绩</w:t>
            </w:r>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供应商自2022年1月1日以来（以合同签订时间为准）承担过同类项目</w:t>
            </w:r>
            <w:bookmarkStart w:id="122" w:name="OLE_LINK32"/>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装修或改造</w:t>
            </w:r>
            <w:r>
              <w:rPr>
                <w:rFonts w:hint="eastAsia" w:ascii="宋体" w:hAnsi="宋体" w:cs="宋体"/>
                <w:color w:val="auto"/>
                <w:szCs w:val="21"/>
                <w:highlight w:val="none"/>
                <w:lang w:eastAsia="zh-CN"/>
              </w:rPr>
              <w:t>）</w:t>
            </w:r>
            <w:bookmarkEnd w:id="122"/>
            <w:r>
              <w:rPr>
                <w:rFonts w:hint="eastAsia" w:ascii="宋体" w:hAnsi="宋体" w:eastAsia="宋体" w:cs="宋体"/>
                <w:color w:val="auto"/>
                <w:szCs w:val="21"/>
                <w:highlight w:val="none"/>
              </w:rPr>
              <w:t>施工业绩的，每个得1分，最高得3分。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附合同</w:t>
            </w:r>
            <w:r>
              <w:rPr>
                <w:rFonts w:hint="eastAsia" w:ascii="宋体" w:hAnsi="宋体" w:eastAsia="宋体" w:cs="宋体"/>
                <w:b/>
                <w:bCs/>
                <w:color w:val="auto"/>
                <w:szCs w:val="21"/>
                <w:highlight w:val="none"/>
                <w:lang w:eastAsia="zh-Hans"/>
              </w:rPr>
              <w:t>和竣工证明材料</w:t>
            </w:r>
            <w:r>
              <w:rPr>
                <w:rFonts w:hint="eastAsia" w:ascii="宋体" w:hAnsi="宋体" w:eastAsia="宋体" w:cs="宋体"/>
                <w:b/>
                <w:color w:val="auto"/>
                <w:szCs w:val="21"/>
                <w:highlight w:val="none"/>
              </w:rPr>
              <w:t>影印件或扫描件</w:t>
            </w:r>
            <w:r>
              <w:rPr>
                <w:rFonts w:hint="eastAsia" w:ascii="宋体" w:hAnsi="宋体" w:eastAsia="宋体" w:cs="宋体"/>
                <w:b/>
                <w:bCs/>
                <w:color w:val="auto"/>
                <w:szCs w:val="21"/>
                <w:highlight w:val="none"/>
              </w:rPr>
              <w:t>，未提供的不得分。</w:t>
            </w:r>
          </w:p>
        </w:tc>
        <w:tc>
          <w:tcPr>
            <w:tcW w:w="722" w:type="dxa"/>
            <w:vAlign w:val="center"/>
          </w:tcPr>
          <w:p>
            <w:pPr>
              <w:widowControl/>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bookmarkEnd w:id="1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70" w:type="dxa"/>
            <w:tcBorders>
              <w:bottom w:val="single" w:color="auto" w:sz="4" w:space="0"/>
            </w:tcBorders>
            <w:vAlign w:val="center"/>
          </w:tcPr>
          <w:p>
            <w:pPr>
              <w:spacing w:line="360" w:lineRule="auto"/>
              <w:jc w:val="center"/>
              <w:rPr>
                <w:rFonts w:hint="eastAsia" w:ascii="宋体" w:hAnsi="宋体" w:eastAsia="宋体" w:cs="宋体"/>
                <w:b/>
                <w:bCs/>
                <w:color w:val="auto"/>
                <w:szCs w:val="21"/>
                <w:highlight w:val="none"/>
              </w:rPr>
            </w:pPr>
            <w:bookmarkStart w:id="123" w:name="_Hlk199948018"/>
            <w:r>
              <w:rPr>
                <w:rFonts w:hint="eastAsia" w:ascii="宋体" w:hAnsi="宋体" w:eastAsia="宋体" w:cs="宋体"/>
                <w:color w:val="auto"/>
                <w:szCs w:val="21"/>
                <w:highlight w:val="none"/>
              </w:rPr>
              <w:t>管理人员配置</w:t>
            </w:r>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根据本项目的特点派驻现场的工程技术管理人员的专业配置是否齐全（同时提供岗位证书和响应供应商为其缴纳的社保证明扫描件或影印件的证明材料），分三档打分。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第一档：人员专业配置齐全、能满足项目实施需求的得6-8分；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第二档：人员专业配置较齐全、能满足项目实施需求的得3.9-5.9分；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第三档：人员专业配置不齐全、但能基本满足项目实施需求的得1.8-3.8分；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未提供该项内容不得分。</w:t>
            </w:r>
          </w:p>
        </w:tc>
        <w:tc>
          <w:tcPr>
            <w:tcW w:w="7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bookmarkEnd w:id="12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1070"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bookmarkStart w:id="124" w:name="OLE_LINK57"/>
            <w:bookmarkStart w:id="125" w:name="OLE_LINK53"/>
            <w:bookmarkStart w:id="126" w:name="_Hlk199948048"/>
            <w:r>
              <w:rPr>
                <w:rFonts w:hint="eastAsia" w:ascii="宋体" w:hAnsi="宋体" w:eastAsia="宋体" w:cs="宋体"/>
                <w:color w:val="auto"/>
                <w:highlight w:val="none"/>
              </w:rPr>
              <w:t>各专业工种的配置和劳动力的投入</w:t>
            </w:r>
            <w:bookmarkEnd w:id="124"/>
            <w:bookmarkEnd w:id="125"/>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78"/>
              <w:spacing w:line="240" w:lineRule="auto"/>
              <w:ind w:firstLine="0" w:firstLineChars="0"/>
              <w:jc w:val="both"/>
              <w:rPr>
                <w:rFonts w:hint="eastAsia" w:ascii="宋体" w:hAnsi="宋体" w:eastAsia="宋体" w:cs="宋体"/>
                <w:color w:val="auto"/>
                <w:kern w:val="2"/>
                <w:sz w:val="21"/>
                <w:szCs w:val="24"/>
                <w:highlight w:val="none"/>
              </w:rPr>
            </w:pPr>
            <w:bookmarkStart w:id="127" w:name="OLE_LINK59"/>
            <w:bookmarkStart w:id="128" w:name="OLE_LINK58"/>
            <w:r>
              <w:rPr>
                <w:rFonts w:hint="eastAsia" w:ascii="宋体" w:hAnsi="宋体" w:eastAsia="宋体" w:cs="宋体"/>
                <w:color w:val="auto"/>
                <w:kern w:val="2"/>
                <w:sz w:val="21"/>
                <w:szCs w:val="24"/>
                <w:highlight w:val="none"/>
              </w:rPr>
              <w:t>根据本项目的特点各专业工种的配置和劳动力的投入是否能满足工程需要，分三档打分。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第一档：各专业工种的配置和劳动力的投入能满足项目实施需求的得5-8分；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第二档：各专业工种的配置和劳动力的投入能基本满足项目实施需求的得1.9-4.9分；</w:t>
            </w:r>
          </w:p>
          <w:p>
            <w:pPr>
              <w:pStyle w:val="78"/>
              <w:spacing w:line="240" w:lineRule="auto"/>
              <w:ind w:firstLine="0" w:firstLineChars="0"/>
              <w:jc w:val="both"/>
              <w:rPr>
                <w:rFonts w:hint="eastAsia" w:ascii="宋体" w:hAnsi="宋体" w:eastAsia="宋体" w:cs="宋体"/>
                <w:b/>
                <w:color w:val="auto"/>
                <w:szCs w:val="21"/>
                <w:highlight w:val="none"/>
              </w:rPr>
            </w:pPr>
            <w:r>
              <w:rPr>
                <w:rFonts w:hint="eastAsia" w:ascii="宋体" w:hAnsi="宋体" w:eastAsia="宋体" w:cs="宋体"/>
                <w:color w:val="auto"/>
                <w:kern w:val="2"/>
                <w:sz w:val="21"/>
                <w:szCs w:val="24"/>
                <w:highlight w:val="none"/>
              </w:rPr>
              <w:t>第三档：各专业工种的配置和劳动力的投入不能满足项目实施需求或未提供该项内容的0分。</w:t>
            </w:r>
            <w:bookmarkEnd w:id="127"/>
            <w:bookmarkEnd w:id="128"/>
          </w:p>
        </w:tc>
        <w:tc>
          <w:tcPr>
            <w:tcW w:w="7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bookmarkEnd w:id="12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1070" w:type="dxa"/>
            <w:tcBorders>
              <w:bottom w:val="single" w:color="auto" w:sz="4" w:space="0"/>
            </w:tcBorders>
            <w:vAlign w:val="center"/>
          </w:tcPr>
          <w:p>
            <w:pPr>
              <w:adjustRightInd w:val="0"/>
              <w:snapToGrid w:val="0"/>
              <w:jc w:val="center"/>
              <w:rPr>
                <w:rFonts w:hint="eastAsia" w:ascii="宋体" w:hAnsi="宋体" w:eastAsia="宋体" w:cs="宋体"/>
                <w:color w:val="auto"/>
                <w:highlight w:val="none"/>
              </w:rPr>
            </w:pPr>
            <w:bookmarkStart w:id="129" w:name="_Hlk199948063"/>
            <w:r>
              <w:rPr>
                <w:rFonts w:hint="eastAsia" w:ascii="宋体" w:hAnsi="宋体" w:eastAsia="宋体" w:cs="宋体"/>
                <w:color w:val="auto"/>
                <w:szCs w:val="21"/>
                <w:highlight w:val="none"/>
              </w:rPr>
              <w:t>施工进度保证措施</w:t>
            </w:r>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bookmarkStart w:id="130" w:name="OLE_LINK52"/>
            <w:bookmarkStart w:id="131" w:name="OLE_LINK49"/>
            <w:r>
              <w:rPr>
                <w:rFonts w:hint="eastAsia" w:ascii="宋体" w:hAnsi="宋体" w:eastAsia="宋体" w:cs="宋体"/>
                <w:color w:val="auto"/>
                <w:highlight w:val="none"/>
              </w:rPr>
              <w:t>根据提供的施工进度计划、关键节点和线路的保证措施是否具有针对性和可行性，分三档打分。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第一档：施工进度计划、关键节点和线路设置合理，工程进度保证措施</w:t>
            </w:r>
            <w:r>
              <w:rPr>
                <w:rFonts w:hint="eastAsia" w:ascii="宋体" w:hAnsi="宋体" w:eastAsia="宋体" w:cs="宋体"/>
                <w:color w:val="auto"/>
                <w:szCs w:val="21"/>
                <w:highlight w:val="none"/>
              </w:rPr>
              <w:t>可行性强</w:t>
            </w:r>
            <w:r>
              <w:rPr>
                <w:rFonts w:hint="eastAsia" w:ascii="宋体" w:hAnsi="宋体" w:eastAsia="宋体" w:cs="宋体"/>
                <w:color w:val="auto"/>
                <w:highlight w:val="none"/>
              </w:rPr>
              <w:t>的得7-10分；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第二档：施工进度计划、关键节点和线路设置较合理，工程进度保证措施</w:t>
            </w:r>
            <w:r>
              <w:rPr>
                <w:rFonts w:hint="eastAsia" w:ascii="宋体" w:hAnsi="宋体" w:eastAsia="宋体" w:cs="宋体"/>
                <w:color w:val="auto"/>
                <w:szCs w:val="21"/>
                <w:highlight w:val="none"/>
              </w:rPr>
              <w:t>可行性较强</w:t>
            </w:r>
            <w:r>
              <w:rPr>
                <w:rFonts w:hint="eastAsia" w:ascii="宋体" w:hAnsi="宋体" w:eastAsia="宋体" w:cs="宋体"/>
                <w:color w:val="auto"/>
                <w:highlight w:val="none"/>
              </w:rPr>
              <w:t>的得3.9-6.9分；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第三档：施工进度计划、关键节点和线路设置较普通，工程进度保证措施</w:t>
            </w:r>
            <w:r>
              <w:rPr>
                <w:rFonts w:hint="eastAsia" w:ascii="宋体" w:hAnsi="宋体" w:eastAsia="宋体" w:cs="宋体"/>
                <w:color w:val="auto"/>
                <w:szCs w:val="21"/>
                <w:highlight w:val="none"/>
              </w:rPr>
              <w:t>可行性差</w:t>
            </w:r>
            <w:r>
              <w:rPr>
                <w:rFonts w:hint="eastAsia" w:ascii="宋体" w:hAnsi="宋体" w:eastAsia="宋体" w:cs="宋体"/>
                <w:color w:val="auto"/>
                <w:highlight w:val="none"/>
              </w:rPr>
              <w:t>的得1.8-3.8分；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未提供该项内容不得分。</w:t>
            </w:r>
            <w:bookmarkEnd w:id="130"/>
            <w:bookmarkEnd w:id="131"/>
          </w:p>
        </w:tc>
        <w:tc>
          <w:tcPr>
            <w:tcW w:w="7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0-10</w:t>
            </w:r>
          </w:p>
        </w:tc>
      </w:tr>
      <w:bookmarkEnd w:id="12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1070"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bookmarkStart w:id="132" w:name="_Hlk199948082"/>
            <w:r>
              <w:rPr>
                <w:rFonts w:hint="eastAsia" w:ascii="宋体" w:hAnsi="宋体" w:eastAsia="宋体" w:cs="宋体"/>
                <w:color w:val="auto"/>
                <w:highlight w:val="none"/>
              </w:rPr>
              <w:t>投入本项目产品技术性能</w:t>
            </w:r>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根据供应商拟投入本项目的材料设备</w:t>
            </w:r>
            <w:r>
              <w:rPr>
                <w:rFonts w:hint="eastAsia" w:ascii="宋体" w:hAnsi="宋体" w:eastAsia="宋体" w:cs="宋体"/>
                <w:color w:val="auto"/>
                <w:kern w:val="2"/>
                <w:sz w:val="21"/>
                <w:szCs w:val="24"/>
                <w:highlight w:val="none"/>
              </w:rPr>
              <w:t>[</w:t>
            </w:r>
            <w:bookmarkStart w:id="133" w:name="OLE_LINK30"/>
            <w:r>
              <w:rPr>
                <w:rFonts w:hint="eastAsia" w:ascii="宋体" w:hAnsi="宋体" w:eastAsia="宋体" w:cs="宋体"/>
                <w:color w:val="auto"/>
                <w:kern w:val="2"/>
                <w:sz w:val="21"/>
                <w:szCs w:val="24"/>
                <w:highlight w:val="none"/>
              </w:rPr>
              <w:t>包含但不限于</w:t>
            </w:r>
            <w:bookmarkStart w:id="134" w:name="OLE_LINK23"/>
            <w:r>
              <w:rPr>
                <w:rFonts w:hint="eastAsia" w:ascii="宋体" w:hAnsi="宋体" w:eastAsia="宋体" w:cs="宋体"/>
                <w:color w:val="auto"/>
                <w:kern w:val="2"/>
                <w:sz w:val="21"/>
                <w:szCs w:val="24"/>
                <w:highlight w:val="none"/>
              </w:rPr>
              <w:t>水泥、乳胶漆、灯具、开关、插座、板材、电线电缆、管材管件、瓷砖、铝扣板、轻钢龙骨、</w:t>
            </w:r>
            <w:r>
              <w:rPr>
                <w:rFonts w:hint="eastAsia" w:ascii="Times New Roman"/>
                <w:color w:val="auto"/>
                <w:kern w:val="2"/>
                <w:sz w:val="21"/>
                <w:szCs w:val="24"/>
                <w:highlight w:val="none"/>
                <w:lang w:val="en-US" w:eastAsia="zh-CN"/>
              </w:rPr>
              <w:t>人造石</w:t>
            </w:r>
            <w:r>
              <w:rPr>
                <w:rFonts w:hint="eastAsia" w:ascii="Times New Roman"/>
                <w:color w:val="auto"/>
                <w:kern w:val="2"/>
                <w:sz w:val="21"/>
                <w:szCs w:val="24"/>
                <w:highlight w:val="none"/>
                <w:lang w:eastAsia="zh-CN"/>
              </w:rPr>
              <w:t>、</w:t>
            </w:r>
            <w:r>
              <w:rPr>
                <w:rFonts w:hint="eastAsia" w:ascii="宋体" w:hAnsi="宋体" w:eastAsia="宋体" w:cs="宋体"/>
                <w:color w:val="auto"/>
                <w:kern w:val="2"/>
                <w:sz w:val="21"/>
                <w:szCs w:val="24"/>
                <w:highlight w:val="none"/>
              </w:rPr>
              <w:t>防水涂料</w:t>
            </w:r>
            <w:bookmarkEnd w:id="134"/>
            <w:r>
              <w:rPr>
                <w:rFonts w:hint="eastAsia" w:ascii="宋体" w:hAnsi="宋体" w:eastAsia="宋体" w:cs="宋体"/>
                <w:color w:val="auto"/>
                <w:kern w:val="2"/>
                <w:sz w:val="21"/>
                <w:szCs w:val="24"/>
                <w:highlight w:val="none"/>
              </w:rPr>
              <w:t>等</w:t>
            </w:r>
            <w:bookmarkEnd w:id="133"/>
            <w:r>
              <w:rPr>
                <w:rFonts w:hint="eastAsia" w:ascii="宋体" w:hAnsi="宋体" w:eastAsia="宋体" w:cs="宋体"/>
                <w:color w:val="auto"/>
                <w:kern w:val="2"/>
                <w:sz w:val="21"/>
                <w:szCs w:val="24"/>
                <w:highlight w:val="none"/>
              </w:rPr>
              <w:t>]打分</w:t>
            </w:r>
            <w:r>
              <w:rPr>
                <w:rFonts w:hint="eastAsia" w:ascii="宋体" w:hAnsi="宋体" w:eastAsia="宋体" w:cs="宋体"/>
                <w:color w:val="auto"/>
                <w:kern w:val="2"/>
                <w:sz w:val="21"/>
                <w:szCs w:val="24"/>
                <w:highlight w:val="none"/>
              </w:rPr>
              <w:t>，品牌选择符合招标文件要求、技术性能稳定、产品质量稳定、可靠性好、材料技术性能均优的得1</w:t>
            </w:r>
            <w:r>
              <w:rPr>
                <w:rFonts w:hint="eastAsia" w:hAnsi="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rPr>
              <w:t>分，材料设备存在品牌、技术性能、产品质量、可靠性、材料技术性等存在缺陷的每项材料扣1分，未提供该项内容不得分。</w:t>
            </w:r>
          </w:p>
        </w:tc>
        <w:tc>
          <w:tcPr>
            <w:tcW w:w="722"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0-1</w:t>
            </w:r>
            <w:r>
              <w:rPr>
                <w:rFonts w:hint="eastAsia" w:ascii="宋体" w:hAnsi="宋体" w:cs="宋体"/>
                <w:color w:val="auto"/>
                <w:szCs w:val="21"/>
                <w:highlight w:val="none"/>
                <w:lang w:val="en-US" w:eastAsia="zh-CN"/>
              </w:rPr>
              <w:t>3</w:t>
            </w:r>
          </w:p>
        </w:tc>
      </w:tr>
      <w:bookmarkEnd w:id="13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070" w:type="dxa"/>
            <w:tcBorders>
              <w:bottom w:val="single" w:color="auto" w:sz="4" w:space="0"/>
            </w:tcBorders>
            <w:vAlign w:val="center"/>
          </w:tcPr>
          <w:p>
            <w:pPr>
              <w:adjustRightInd w:val="0"/>
              <w:snapToGrid w:val="0"/>
              <w:jc w:val="center"/>
              <w:rPr>
                <w:rFonts w:hint="eastAsia" w:ascii="宋体" w:hAnsi="宋体" w:eastAsia="宋体" w:cs="宋体"/>
                <w:color w:val="auto"/>
                <w:szCs w:val="21"/>
                <w:highlight w:val="none"/>
              </w:rPr>
            </w:pPr>
            <w:bookmarkStart w:id="135" w:name="_Hlk199948108"/>
            <w:r>
              <w:rPr>
                <w:rFonts w:hint="eastAsia" w:ascii="宋体" w:hAnsi="宋体" w:eastAsia="宋体" w:cs="宋体"/>
                <w:color w:val="auto"/>
                <w:szCs w:val="21"/>
                <w:highlight w:val="none"/>
              </w:rPr>
              <w:t>技术方案和质量保证措施</w:t>
            </w:r>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根据供应商提供的技术方案和质量保证措施是否具有针对性和科学性，分三档打分。</w:t>
            </w:r>
          </w:p>
          <w:p>
            <w:pPr>
              <w:adjustRightInd w:val="0"/>
              <w:snapToGrid w:val="0"/>
              <w:rPr>
                <w:rFonts w:hint="eastAsia" w:ascii="宋体" w:hAnsi="宋体" w:eastAsia="宋体" w:cs="宋体"/>
                <w:color w:val="auto"/>
                <w:highlight w:val="none"/>
              </w:rPr>
            </w:pPr>
            <w:bookmarkStart w:id="136" w:name="OLE_LINK60"/>
            <w:bookmarkStart w:id="137" w:name="OLE_LINK61"/>
            <w:r>
              <w:rPr>
                <w:rFonts w:hint="eastAsia" w:ascii="宋体" w:hAnsi="宋体" w:eastAsia="宋体" w:cs="宋体"/>
                <w:color w:val="auto"/>
                <w:highlight w:val="none"/>
              </w:rPr>
              <w:t>第一档：技术方案和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措施可行性强的、科学合理的得6-8分；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第二档：技术方案和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措施可行性较强的、较科学合理的得3.9-5.9分；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第三档：技术方案和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措施可行性低的得1.8-3.8分。</w:t>
            </w:r>
          </w:p>
          <w:p>
            <w:pPr>
              <w:adjustRightInd w:val="0"/>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未提供该项内容不得分。</w:t>
            </w:r>
            <w:bookmarkEnd w:id="136"/>
            <w:bookmarkEnd w:id="137"/>
          </w:p>
        </w:tc>
        <w:tc>
          <w:tcPr>
            <w:tcW w:w="7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bookmarkEnd w:id="13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1070" w:type="dxa"/>
            <w:tcBorders>
              <w:bottom w:val="single" w:color="auto" w:sz="4" w:space="0"/>
            </w:tcBorders>
            <w:vAlign w:val="center"/>
          </w:tcPr>
          <w:p>
            <w:pPr>
              <w:adjustRightInd w:val="0"/>
              <w:snapToGrid w:val="0"/>
              <w:jc w:val="center"/>
              <w:rPr>
                <w:rFonts w:hint="eastAsia" w:ascii="宋体" w:hAnsi="宋体" w:eastAsia="宋体" w:cs="宋体"/>
                <w:b/>
                <w:bCs/>
                <w:color w:val="auto"/>
                <w:szCs w:val="21"/>
                <w:highlight w:val="none"/>
              </w:rPr>
            </w:pPr>
            <w:bookmarkStart w:id="138" w:name="_Hlk199948118"/>
            <w:r>
              <w:rPr>
                <w:rFonts w:hint="eastAsia" w:ascii="宋体" w:hAnsi="宋体" w:eastAsia="宋体" w:cs="宋体"/>
                <w:color w:val="auto"/>
                <w:szCs w:val="21"/>
                <w:highlight w:val="none"/>
              </w:rPr>
              <w:t>安全文明施工保证措施</w:t>
            </w:r>
          </w:p>
        </w:tc>
        <w:tc>
          <w:tcPr>
            <w:tcW w:w="8238"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根据供应商提供的安全文明施工方案和保证措施是否具有针对性和科学性，分三档打分。</w:t>
            </w:r>
          </w:p>
          <w:p>
            <w:pPr>
              <w:adjustRightInd w:val="0"/>
              <w:snapToGrid w:val="0"/>
              <w:rPr>
                <w:rFonts w:hint="eastAsia" w:ascii="宋体" w:hAnsi="宋体" w:eastAsia="宋体" w:cs="宋体"/>
                <w:color w:val="auto"/>
                <w:highlight w:val="none"/>
              </w:rPr>
            </w:pPr>
            <w:bookmarkStart w:id="139" w:name="OLE_LINK75"/>
            <w:bookmarkStart w:id="140" w:name="OLE_LINK74"/>
            <w:r>
              <w:rPr>
                <w:rFonts w:hint="eastAsia" w:ascii="宋体" w:hAnsi="宋体" w:eastAsia="宋体" w:cs="宋体"/>
                <w:color w:val="auto"/>
                <w:highlight w:val="none"/>
              </w:rPr>
              <w:t>第一档：安全文明施工方案和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措施可行性强的、科学合理的得6-8分；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第二档：安全文明施工方案和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措施可行性较强的、较科学合理的得3.9-5.9分；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第三档：安全文明施工方案和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措施可行性低的得1.8-3.8分。</w:t>
            </w:r>
          </w:p>
          <w:bookmarkEnd w:id="139"/>
          <w:bookmarkEnd w:id="140"/>
          <w:p>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highlight w:val="none"/>
              </w:rPr>
              <w:t>未提供该项内容不得分。</w:t>
            </w:r>
          </w:p>
        </w:tc>
        <w:tc>
          <w:tcPr>
            <w:tcW w:w="7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bookmarkEnd w:id="13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0" w:type="dxa"/>
            <w:vAlign w:val="center"/>
          </w:tcPr>
          <w:p>
            <w:pPr>
              <w:adjustRightInd w:val="0"/>
              <w:snapToGrid w:val="0"/>
              <w:jc w:val="center"/>
              <w:rPr>
                <w:rFonts w:hint="eastAsia" w:ascii="宋体" w:hAnsi="宋体" w:eastAsia="宋体" w:cs="宋体"/>
                <w:b/>
                <w:bCs/>
                <w:color w:val="auto"/>
                <w:szCs w:val="21"/>
                <w:highlight w:val="none"/>
              </w:rPr>
            </w:pPr>
            <w:bookmarkStart w:id="141" w:name="_Hlk199948145"/>
            <w:r>
              <w:rPr>
                <w:rFonts w:hint="eastAsia" w:ascii="宋体" w:hAnsi="宋体" w:eastAsia="宋体" w:cs="宋体"/>
                <w:color w:val="auto"/>
                <w:szCs w:val="21"/>
                <w:highlight w:val="none"/>
              </w:rPr>
              <w:t>质量保修期响应时间的承诺</w:t>
            </w:r>
          </w:p>
        </w:tc>
        <w:tc>
          <w:tcPr>
            <w:tcW w:w="8238" w:type="dxa"/>
            <w:vAlign w:val="center"/>
          </w:tcPr>
          <w:p>
            <w:pPr>
              <w:adjustRightInd w:val="0"/>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根据供应商拟定的保修服务方案，提供后期免费维修承诺，根据维修方案是否及时、完整合理、长效可行，分三档打分。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第一档：维修响应时间≤2小时，质保服务方案长效可行的得</w:t>
            </w:r>
            <w:r>
              <w:rPr>
                <w:rFonts w:hint="eastAsia" w:ascii="宋体" w:hAnsi="宋体" w:eastAsia="宋体" w:cs="宋体"/>
                <w:color w:val="auto"/>
                <w:highlight w:val="none"/>
              </w:rPr>
              <w:t>6-</w:t>
            </w:r>
            <w:r>
              <w:rPr>
                <w:rFonts w:hint="eastAsia" w:ascii="宋体" w:hAnsi="宋体" w:cs="宋体"/>
                <w:color w:val="auto"/>
                <w:highlight w:val="none"/>
                <w:lang w:val="en-US" w:eastAsia="zh-CN"/>
              </w:rPr>
              <w:t>9</w:t>
            </w:r>
            <w:r>
              <w:rPr>
                <w:rFonts w:hint="eastAsia" w:ascii="宋体" w:hAnsi="宋体" w:eastAsia="宋体" w:cs="宋体"/>
                <w:color w:val="auto"/>
                <w:szCs w:val="21"/>
                <w:highlight w:val="none"/>
              </w:rPr>
              <w:t>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第二档：2小时＜维修响应时间≤8小时，质保服务方案合理有可操作性的得</w:t>
            </w:r>
            <w:r>
              <w:rPr>
                <w:rFonts w:hint="eastAsia" w:ascii="宋体" w:hAnsi="宋体" w:eastAsia="宋体" w:cs="宋体"/>
                <w:color w:val="auto"/>
                <w:highlight w:val="none"/>
              </w:rPr>
              <w:t>3.9-5.9</w:t>
            </w:r>
            <w:r>
              <w:rPr>
                <w:rFonts w:hint="eastAsia" w:ascii="宋体" w:hAnsi="宋体" w:eastAsia="宋体" w:cs="宋体"/>
                <w:color w:val="auto"/>
                <w:szCs w:val="21"/>
                <w:highlight w:val="none"/>
              </w:rPr>
              <w:t>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第三档：维修时间＞8小时，质保服务方案操作性较低且无实质性承诺的得</w:t>
            </w:r>
            <w:r>
              <w:rPr>
                <w:rFonts w:hint="eastAsia" w:ascii="宋体" w:hAnsi="宋体" w:eastAsia="宋体" w:cs="宋体"/>
                <w:color w:val="auto"/>
                <w:highlight w:val="none"/>
              </w:rPr>
              <w:t>1.8-3.8</w:t>
            </w:r>
            <w:r>
              <w:rPr>
                <w:rFonts w:hint="eastAsia" w:ascii="宋体" w:hAnsi="宋体" w:eastAsia="宋体" w:cs="宋体"/>
                <w:color w:val="auto"/>
                <w:szCs w:val="21"/>
                <w:highlight w:val="none"/>
              </w:rPr>
              <w:t>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未提供该项内容不得分。</w:t>
            </w:r>
          </w:p>
        </w:tc>
        <w:tc>
          <w:tcPr>
            <w:tcW w:w="722" w:type="dxa"/>
            <w:vAlign w:val="center"/>
          </w:tcPr>
          <w:p>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9</w:t>
            </w:r>
          </w:p>
        </w:tc>
      </w:tr>
      <w:bookmarkEnd w:id="120"/>
      <w:bookmarkEnd w:id="14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0" w:type="dxa"/>
            <w:vAlign w:val="center"/>
          </w:tcPr>
          <w:p>
            <w:pPr>
              <w:widowControl/>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w:t>
            </w:r>
          </w:p>
        </w:tc>
        <w:tc>
          <w:tcPr>
            <w:tcW w:w="8238" w:type="dxa"/>
            <w:vAlign w:val="center"/>
          </w:tcPr>
          <w:p>
            <w:pPr>
              <w:widowControl/>
              <w:spacing w:line="23"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以响应合格供应商有效报价中的最终报价最低价为基准价，基准价为30分。报价得分＝（评标基准价/最终报价）×30%×100（小数点后保留2位小数）。</w:t>
            </w:r>
          </w:p>
        </w:tc>
        <w:tc>
          <w:tcPr>
            <w:tcW w:w="722" w:type="dxa"/>
            <w:vAlign w:val="center"/>
          </w:tcPr>
          <w:p>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0-30</w:t>
            </w:r>
          </w:p>
        </w:tc>
      </w:tr>
      <w:bookmarkEnd w:id="116"/>
      <w:bookmarkEnd w:id="117"/>
      <w:bookmarkEnd w:id="118"/>
    </w:tbl>
    <w:p>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注：合同、证书、报告及其他相关证明材料，将原件扫描上传至响应文件，并加盖电子印章。</w:t>
      </w:r>
    </w:p>
    <w:p>
      <w:pPr>
        <w:spacing w:before="120" w:beforeLines="50"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2.最后报价</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pPr>
        <w:pStyle w:val="37"/>
        <w:spacing w:line="360" w:lineRule="auto"/>
        <w:ind w:firstLine="480" w:firstLineChars="200"/>
        <w:jc w:val="both"/>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(1)磋商小组应当按照磋商文件中规定的评标方法和标准，对符合性审查合格的响应文件的商务部分和技术部分进行综合比较与评价，其中</w:t>
      </w:r>
      <w:r>
        <w:rPr>
          <w:rFonts w:hint="eastAsia" w:asciiTheme="minorEastAsia" w:hAnsiTheme="minorEastAsia" w:eastAsiaTheme="minorEastAsia"/>
          <w:bCs/>
          <w:color w:val="auto"/>
          <w:sz w:val="24"/>
          <w:highlight w:val="none"/>
          <w:lang w:val="zh-CN"/>
        </w:rPr>
        <w:t>客观</w:t>
      </w:r>
      <w:r>
        <w:rPr>
          <w:rFonts w:hint="eastAsia" w:asciiTheme="minorEastAsia" w:hAnsiTheme="minorEastAsia" w:eastAsiaTheme="minorEastAsia"/>
          <w:bCs/>
          <w:color w:val="auto"/>
          <w:sz w:val="24"/>
          <w:highlight w:val="none"/>
        </w:rPr>
        <w:t>评分项的分值</w:t>
      </w:r>
      <w:r>
        <w:rPr>
          <w:rFonts w:hint="eastAsia" w:asciiTheme="minorEastAsia" w:hAnsiTheme="minorEastAsia" w:eastAsiaTheme="minorEastAsia"/>
          <w:bCs/>
          <w:color w:val="auto"/>
          <w:sz w:val="24"/>
          <w:highlight w:val="none"/>
          <w:lang w:val="zh-CN"/>
        </w:rPr>
        <w:t>应当一致。</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（四）结果汇总及排序</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技术方案和质量保证措施”分数由高到低的顺序推荐。</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（五）编写评审报告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磋商小组根据全体评审人员签字的原始记录和得分情况编写评审报告。</w:t>
      </w:r>
    </w:p>
    <w:p>
      <w:pPr>
        <w:pStyle w:val="37"/>
        <w:spacing w:line="360" w:lineRule="auto"/>
        <w:ind w:firstLine="200"/>
        <w:jc w:val="both"/>
        <w:rPr>
          <w:rFonts w:asciiTheme="minorEastAsia" w:hAnsiTheme="minorEastAsia" w:eastAsiaTheme="minorEastAsia"/>
          <w:color w:val="auto"/>
          <w:sz w:val="24"/>
          <w:szCs w:val="24"/>
          <w:highlight w:val="none"/>
        </w:rPr>
      </w:pPr>
    </w:p>
    <w:p>
      <w:pPr>
        <w:widowControl/>
        <w:jc w:val="left"/>
        <w:rPr>
          <w:rFonts w:asciiTheme="minorEastAsia" w:hAnsiTheme="minorEastAsia" w:eastAsiaTheme="minorEastAsia"/>
          <w:b/>
          <w:color w:val="auto"/>
          <w:sz w:val="36"/>
          <w:szCs w:val="36"/>
          <w:highlight w:val="none"/>
        </w:rPr>
      </w:pPr>
      <w:bookmarkStart w:id="142" w:name="_Toc101280596"/>
      <w:r>
        <w:rPr>
          <w:rFonts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36"/>
          <w:szCs w:val="36"/>
          <w:highlight w:val="none"/>
        </w:rPr>
        <w:t>第五章  拟签订的合同文本</w:t>
      </w:r>
      <w:bookmarkEnd w:id="142"/>
    </w:p>
    <w:p>
      <w:pPr>
        <w:spacing w:line="420" w:lineRule="exact"/>
        <w:rPr>
          <w:rFonts w:ascii="宋体" w:hAnsi="宋体"/>
          <w:color w:val="auto"/>
          <w:sz w:val="24"/>
          <w:highlight w:val="none"/>
        </w:rPr>
      </w:pPr>
      <w:bookmarkStart w:id="143" w:name="_Toc5481_WPSOffice_Level1"/>
      <w:r>
        <w:rPr>
          <w:rFonts w:hint="eastAsia" w:ascii="宋体" w:hAnsi="宋体"/>
          <w:color w:val="auto"/>
          <w:sz w:val="24"/>
          <w:highlight w:val="none"/>
        </w:rPr>
        <w:t>合同文本采用《建设工程施工合同（示范文本）》（GF-2017-0201）。</w:t>
      </w:r>
    </w:p>
    <w:p>
      <w:pPr>
        <w:spacing w:line="420" w:lineRule="exact"/>
        <w:rPr>
          <w:rFonts w:ascii="宋体" w:hAnsi="宋体"/>
          <w:color w:val="auto"/>
          <w:sz w:val="24"/>
          <w:highlight w:val="none"/>
        </w:rPr>
      </w:pPr>
      <w:r>
        <w:rPr>
          <w:rFonts w:hint="eastAsia" w:ascii="宋体" w:hAnsi="宋体"/>
          <w:color w:val="auto"/>
          <w:sz w:val="24"/>
          <w:highlight w:val="none"/>
        </w:rPr>
        <w:t>合同通用条款采用《建设工程施工合同（示范文本）》的通用条款（GF-2017-0201）。</w:t>
      </w:r>
    </w:p>
    <w:p>
      <w:pPr>
        <w:spacing w:line="420" w:lineRule="exact"/>
        <w:rPr>
          <w:rFonts w:ascii="宋体" w:hAnsi="宋体"/>
          <w:color w:val="auto"/>
          <w:kern w:val="0"/>
          <w:sz w:val="24"/>
          <w:szCs w:val="21"/>
          <w:highlight w:val="none"/>
        </w:rPr>
      </w:pPr>
      <w:r>
        <w:rPr>
          <w:rFonts w:hint="eastAsia" w:ascii="宋体" w:hAnsi="宋体"/>
          <w:color w:val="auto"/>
          <w:sz w:val="24"/>
          <w:highlight w:val="none"/>
        </w:rPr>
        <w:t>合同专用条款中的主要条款将由采购人(发包人)与成交供应商(承包人)根据响应文件签订。</w:t>
      </w:r>
    </w:p>
    <w:p>
      <w:pPr>
        <w:pStyle w:val="79"/>
        <w:ind w:firstLine="640"/>
        <w:jc w:val="center"/>
        <w:rPr>
          <w:b/>
          <w:bCs/>
          <w:color w:val="auto"/>
          <w:sz w:val="32"/>
          <w:szCs w:val="32"/>
          <w:highlight w:val="none"/>
        </w:rPr>
      </w:pPr>
      <w:bookmarkStart w:id="144" w:name="_Toc69749040"/>
      <w:bookmarkStart w:id="145" w:name="_Toc437_WPSOffice_Level2"/>
      <w:bookmarkStart w:id="146" w:name="_Toc1255"/>
      <w:bookmarkStart w:id="147" w:name="_Toc18424"/>
      <w:bookmarkStart w:id="148" w:name="_Toc461025087"/>
      <w:bookmarkStart w:id="149" w:name="_Toc464545405"/>
      <w:bookmarkStart w:id="150" w:name="_Toc68093034"/>
      <w:bookmarkStart w:id="151" w:name="_Toc394573945"/>
      <w:bookmarkStart w:id="152" w:name="_Toc14613"/>
      <w:bookmarkStart w:id="153" w:name="_Toc69749207"/>
      <w:bookmarkStart w:id="154" w:name="_Toc228163249"/>
      <w:r>
        <w:rPr>
          <w:rFonts w:hint="eastAsia"/>
          <w:b/>
          <w:bCs/>
          <w:color w:val="auto"/>
          <w:sz w:val="32"/>
          <w:szCs w:val="32"/>
          <w:highlight w:val="none"/>
        </w:rPr>
        <w:t>第一部分　　合同协议书</w:t>
      </w:r>
      <w:bookmarkEnd w:id="144"/>
      <w:bookmarkEnd w:id="145"/>
      <w:bookmarkEnd w:id="146"/>
      <w:bookmarkEnd w:id="147"/>
      <w:bookmarkEnd w:id="148"/>
      <w:bookmarkEnd w:id="149"/>
      <w:bookmarkEnd w:id="150"/>
      <w:bookmarkEnd w:id="151"/>
      <w:bookmarkEnd w:id="152"/>
      <w:bookmarkEnd w:id="153"/>
    </w:p>
    <w:p>
      <w:pPr>
        <w:spacing w:line="360" w:lineRule="auto"/>
        <w:rPr>
          <w:rFonts w:eastAsia="仿宋_GB2312"/>
          <w:color w:val="auto"/>
          <w:sz w:val="24"/>
          <w:highlight w:val="none"/>
          <w:u w:val="single"/>
        </w:rPr>
      </w:pPr>
    </w:p>
    <w:bookmarkEnd w:id="154"/>
    <w:p>
      <w:pPr>
        <w:spacing w:line="360" w:lineRule="exact"/>
        <w:ind w:firstLine="420" w:firstLineChars="200"/>
        <w:rPr>
          <w:color w:val="auto"/>
          <w:szCs w:val="21"/>
          <w:highlight w:val="none"/>
          <w:u w:val="single"/>
        </w:rPr>
      </w:pPr>
      <w:bookmarkStart w:id="155" w:name="_Toc351203652"/>
      <w:r>
        <w:rPr>
          <w:rFonts w:hint="eastAsia"/>
          <w:color w:val="auto"/>
          <w:szCs w:val="21"/>
          <w:highlight w:val="none"/>
        </w:rPr>
        <w:t>发包人（全称）：</w:t>
      </w:r>
      <w:r>
        <w:rPr>
          <w:rFonts w:hint="eastAsia"/>
          <w:color w:val="auto"/>
          <w:szCs w:val="21"/>
          <w:highlight w:val="none"/>
          <w:u w:val="single"/>
        </w:rPr>
        <w:t xml:space="preserve"> 台州市第一中学 </w:t>
      </w:r>
    </w:p>
    <w:p>
      <w:pPr>
        <w:spacing w:line="360" w:lineRule="exact"/>
        <w:ind w:firstLine="420" w:firstLineChars="200"/>
        <w:rPr>
          <w:color w:val="auto"/>
          <w:szCs w:val="21"/>
          <w:highlight w:val="none"/>
          <w:u w:val="single"/>
        </w:rPr>
      </w:pPr>
      <w:r>
        <w:rPr>
          <w:rFonts w:hint="eastAsia"/>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exact"/>
        <w:ind w:firstLine="420" w:firstLineChars="20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rFonts w:hint="eastAsia"/>
          <w:color w:val="auto"/>
          <w:szCs w:val="21"/>
          <w:highlight w:val="none"/>
          <w:u w:val="single"/>
          <w:lang w:eastAsia="zh-CN"/>
        </w:rPr>
        <w:t>台州市第一中学食堂二楼备餐间、洗碗间和新疆班卫生间改造工程项目</w:t>
      </w:r>
      <w:r>
        <w:rPr>
          <w:rFonts w:hint="eastAsia"/>
          <w:color w:val="auto"/>
          <w:szCs w:val="21"/>
          <w:highlight w:val="none"/>
        </w:rPr>
        <w:t>施工及有关事项协商一致，共同达成如下协议：</w:t>
      </w:r>
    </w:p>
    <w:p>
      <w:pPr>
        <w:spacing w:line="360" w:lineRule="exact"/>
        <w:ind w:firstLine="420" w:firstLineChars="200"/>
        <w:rPr>
          <w:color w:val="auto"/>
          <w:szCs w:val="21"/>
          <w:highlight w:val="none"/>
        </w:rPr>
      </w:pPr>
      <w:r>
        <w:rPr>
          <w:color w:val="auto"/>
          <w:szCs w:val="21"/>
          <w:highlight w:val="none"/>
        </w:rPr>
        <w:t xml:space="preserve"> </w:t>
      </w:r>
      <w:bookmarkStart w:id="156" w:name="_Toc351203481"/>
      <w:r>
        <w:rPr>
          <w:rFonts w:hint="eastAsia"/>
          <w:color w:val="auto"/>
          <w:szCs w:val="21"/>
          <w:highlight w:val="none"/>
        </w:rPr>
        <w:t>一、工程概况</w:t>
      </w:r>
      <w:bookmarkEnd w:id="156"/>
    </w:p>
    <w:p>
      <w:pPr>
        <w:spacing w:line="360" w:lineRule="exact"/>
        <w:ind w:firstLine="420" w:firstLineChars="200"/>
        <w:rPr>
          <w:color w:val="auto"/>
          <w:szCs w:val="21"/>
          <w:highlight w:val="none"/>
          <w:u w:val="single"/>
        </w:rPr>
      </w:pPr>
      <w:r>
        <w:rPr>
          <w:color w:val="auto"/>
          <w:szCs w:val="21"/>
          <w:highlight w:val="none"/>
        </w:rPr>
        <w:t>1.</w:t>
      </w:r>
      <w:r>
        <w:rPr>
          <w:rFonts w:hint="eastAsia"/>
          <w:color w:val="auto"/>
          <w:szCs w:val="21"/>
          <w:highlight w:val="none"/>
        </w:rPr>
        <w:t>工程名称：</w:t>
      </w:r>
      <w:r>
        <w:rPr>
          <w:rFonts w:hint="eastAsia"/>
          <w:color w:val="auto"/>
          <w:szCs w:val="21"/>
          <w:highlight w:val="none"/>
          <w:u w:val="single"/>
          <w:lang w:eastAsia="zh-CN"/>
        </w:rPr>
        <w:t>台州市第一中学食堂二楼备餐间、洗碗间和新疆班卫生间改造工程项目</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工程地点：</w:t>
      </w:r>
      <w:r>
        <w:rPr>
          <w:rFonts w:hint="eastAsia"/>
          <w:color w:val="auto"/>
          <w:szCs w:val="21"/>
          <w:highlight w:val="none"/>
          <w:u w:val="single"/>
        </w:rPr>
        <w:t>台州市第一中学内。</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工程立项批准文号：</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4.</w:t>
      </w:r>
      <w:r>
        <w:rPr>
          <w:rFonts w:hint="eastAsia"/>
          <w:color w:val="auto"/>
          <w:szCs w:val="21"/>
          <w:highlight w:val="none"/>
        </w:rPr>
        <w:t>资金来源：</w:t>
      </w:r>
      <w:r>
        <w:rPr>
          <w:rFonts w:hint="eastAsia"/>
          <w:color w:val="auto"/>
          <w:szCs w:val="21"/>
          <w:highlight w:val="none"/>
          <w:u w:val="single"/>
        </w:rPr>
        <w:t>财政</w:t>
      </w:r>
      <w:r>
        <w:rPr>
          <w:rFonts w:hint="eastAsia"/>
          <w:color w:val="auto"/>
          <w:szCs w:val="21"/>
          <w:highlight w:val="none"/>
        </w:rPr>
        <w:t>。</w:t>
      </w:r>
    </w:p>
    <w:p>
      <w:pPr>
        <w:spacing w:line="360" w:lineRule="exact"/>
        <w:ind w:firstLine="420" w:firstLineChars="200"/>
        <w:rPr>
          <w:rFonts w:hint="eastAsia" w:eastAsia="宋体"/>
          <w:color w:val="auto"/>
          <w:szCs w:val="21"/>
          <w:highlight w:val="none"/>
          <w:u w:val="single"/>
          <w:shd w:val="clear" w:color="auto" w:fill="FFFF00"/>
          <w:lang w:eastAsia="zh-CN"/>
        </w:rPr>
      </w:pPr>
      <w:r>
        <w:rPr>
          <w:color w:val="auto"/>
          <w:szCs w:val="21"/>
          <w:highlight w:val="none"/>
        </w:rPr>
        <w:t>5.</w:t>
      </w:r>
      <w:r>
        <w:rPr>
          <w:rFonts w:hint="eastAsia"/>
          <w:color w:val="auto"/>
          <w:szCs w:val="21"/>
          <w:highlight w:val="none"/>
        </w:rPr>
        <w:t>工程内容：</w:t>
      </w:r>
      <w:r>
        <w:rPr>
          <w:rFonts w:hint="eastAsia"/>
          <w:color w:val="auto"/>
          <w:szCs w:val="21"/>
          <w:highlight w:val="none"/>
          <w:u w:val="single"/>
        </w:rPr>
        <w:t>二楼食堂备餐间、洗碗间等改造，工程内容为拆除工程、室外隔油池、二层更衣室、备餐间、消洗间等改造及水电安装工程等；新疆班卫生间改造，工程内容为新疆班卫生间装修改造、水电安装等</w:t>
      </w:r>
      <w:r>
        <w:rPr>
          <w:rFonts w:hint="eastAsia"/>
          <w:color w:val="auto"/>
          <w:szCs w:val="21"/>
          <w:highlight w:val="none"/>
          <w:u w:val="single"/>
          <w:lang w:eastAsia="zh-CN"/>
        </w:rPr>
        <w:t>。</w:t>
      </w:r>
    </w:p>
    <w:p>
      <w:pPr>
        <w:spacing w:line="360" w:lineRule="exact"/>
        <w:ind w:firstLine="420" w:firstLineChars="200"/>
        <w:rPr>
          <w:color w:val="auto"/>
          <w:szCs w:val="21"/>
          <w:highlight w:val="none"/>
        </w:rPr>
      </w:pPr>
      <w:r>
        <w:rPr>
          <w:rFonts w:hint="eastAsia"/>
          <w:color w:val="auto"/>
          <w:szCs w:val="21"/>
          <w:highlight w:val="none"/>
        </w:rPr>
        <w:t>群体工程应附《承包人承揽工程项目一览表》（附件</w:t>
      </w:r>
      <w:r>
        <w:rPr>
          <w:color w:val="auto"/>
          <w:szCs w:val="21"/>
          <w:highlight w:val="none"/>
        </w:rPr>
        <w:t>1</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6.工程承包范围：</w:t>
      </w:r>
      <w:bookmarkStart w:id="157" w:name="_Toc351203482"/>
      <w:r>
        <w:rPr>
          <w:rFonts w:hint="eastAsia"/>
          <w:color w:val="auto"/>
          <w:szCs w:val="21"/>
          <w:highlight w:val="none"/>
          <w:u w:val="single"/>
        </w:rPr>
        <w:t>详见发包人提供的图纸及预算书。</w:t>
      </w:r>
    </w:p>
    <w:p>
      <w:pPr>
        <w:spacing w:line="360" w:lineRule="exact"/>
        <w:ind w:firstLine="420" w:firstLineChars="200"/>
        <w:rPr>
          <w:color w:val="auto"/>
          <w:szCs w:val="21"/>
          <w:highlight w:val="none"/>
        </w:rPr>
      </w:pPr>
      <w:r>
        <w:rPr>
          <w:rFonts w:hint="eastAsia"/>
          <w:color w:val="auto"/>
          <w:szCs w:val="21"/>
          <w:highlight w:val="none"/>
        </w:rPr>
        <w:t>二、合同工期</w:t>
      </w:r>
      <w:bookmarkEnd w:id="157"/>
    </w:p>
    <w:p>
      <w:pPr>
        <w:spacing w:line="360" w:lineRule="exact"/>
        <w:ind w:firstLine="420" w:firstLineChars="200"/>
        <w:rPr>
          <w:color w:val="auto"/>
          <w:szCs w:val="21"/>
          <w:highlight w:val="none"/>
        </w:rPr>
      </w:pPr>
      <w:r>
        <w:rPr>
          <w:rFonts w:hint="eastAsia"/>
          <w:color w:val="auto"/>
          <w:szCs w:val="21"/>
          <w:highlight w:val="none"/>
        </w:rPr>
        <w:t>计划开工日期：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exact"/>
        <w:ind w:firstLine="420" w:firstLineChars="20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exact"/>
        <w:ind w:firstLine="420" w:firstLineChars="20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天。工期总日历天数与根据前述计划开竣工日期计算的工期天数不一致的，以工期总日历天数为准。</w:t>
      </w:r>
    </w:p>
    <w:p>
      <w:pPr>
        <w:spacing w:line="360" w:lineRule="exact"/>
        <w:ind w:firstLine="420" w:firstLineChars="200"/>
        <w:rPr>
          <w:color w:val="auto"/>
          <w:szCs w:val="21"/>
          <w:highlight w:val="none"/>
        </w:rPr>
      </w:pPr>
      <w:bookmarkStart w:id="158" w:name="_Toc351203483"/>
      <w:r>
        <w:rPr>
          <w:rFonts w:hint="eastAsia"/>
          <w:color w:val="auto"/>
          <w:szCs w:val="21"/>
          <w:highlight w:val="none"/>
        </w:rPr>
        <w:t>三、质量标准</w:t>
      </w:r>
      <w:bookmarkEnd w:id="158"/>
    </w:p>
    <w:p>
      <w:pPr>
        <w:spacing w:line="360" w:lineRule="exact"/>
        <w:ind w:firstLine="420" w:firstLineChars="200"/>
        <w:rPr>
          <w:color w:val="auto"/>
          <w:szCs w:val="21"/>
          <w:highlight w:val="none"/>
        </w:rPr>
      </w:pPr>
      <w:r>
        <w:rPr>
          <w:rFonts w:hint="eastAsia"/>
          <w:color w:val="auto"/>
          <w:szCs w:val="21"/>
          <w:highlight w:val="none"/>
        </w:rPr>
        <w:t>工程质量符合</w:t>
      </w:r>
      <w:r>
        <w:rPr>
          <w:color w:val="auto"/>
          <w:szCs w:val="21"/>
          <w:highlight w:val="none"/>
          <w:u w:val="single"/>
        </w:rPr>
        <w:t xml:space="preserve"> </w:t>
      </w:r>
      <w:r>
        <w:rPr>
          <w:rFonts w:hint="eastAsia"/>
          <w:color w:val="auto"/>
          <w:szCs w:val="21"/>
          <w:highlight w:val="none"/>
          <w:u w:val="single"/>
        </w:rPr>
        <w:t>合格</w:t>
      </w:r>
      <w:r>
        <w:rPr>
          <w:color w:val="auto"/>
          <w:szCs w:val="21"/>
          <w:highlight w:val="none"/>
          <w:u w:val="single"/>
        </w:rPr>
        <w:t xml:space="preserve">  </w:t>
      </w:r>
      <w:r>
        <w:rPr>
          <w:rFonts w:hint="eastAsia"/>
          <w:color w:val="auto"/>
          <w:szCs w:val="21"/>
          <w:highlight w:val="none"/>
        </w:rPr>
        <w:t>标准。</w:t>
      </w:r>
    </w:p>
    <w:p>
      <w:pPr>
        <w:spacing w:line="360" w:lineRule="exact"/>
        <w:ind w:firstLine="420" w:firstLineChars="200"/>
        <w:rPr>
          <w:color w:val="auto"/>
          <w:szCs w:val="21"/>
          <w:highlight w:val="none"/>
        </w:rPr>
      </w:pPr>
      <w:bookmarkStart w:id="159" w:name="_Toc351203484"/>
      <w:r>
        <w:rPr>
          <w:rFonts w:hint="eastAsia"/>
          <w:color w:val="auto"/>
          <w:szCs w:val="21"/>
          <w:highlight w:val="none"/>
        </w:rPr>
        <w:t>四、签约合同价与合同价格形式</w:t>
      </w:r>
      <w:bookmarkEnd w:id="159"/>
      <w:r>
        <w:rPr>
          <w:color w:val="auto"/>
          <w:szCs w:val="21"/>
          <w:highlight w:val="none"/>
        </w:rPr>
        <w:tab/>
      </w:r>
    </w:p>
    <w:p>
      <w:pPr>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签约合同价为：</w:t>
      </w:r>
    </w:p>
    <w:p>
      <w:pPr>
        <w:spacing w:line="360" w:lineRule="exact"/>
        <w:ind w:firstLine="420" w:firstLineChars="20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color w:val="auto"/>
          <w:szCs w:val="21"/>
          <w:highlight w:val="none"/>
        </w:rPr>
        <w:t>(</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r>
        <w:rPr>
          <w:color w:val="auto"/>
          <w:szCs w:val="21"/>
          <w:highlight w:val="non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合同价格形式：</w:t>
      </w:r>
      <w:r>
        <w:rPr>
          <w:color w:val="auto"/>
          <w:szCs w:val="21"/>
          <w:highlight w:val="none"/>
          <w:u w:val="single"/>
        </w:rPr>
        <w:t xml:space="preserve">  </w:t>
      </w:r>
      <w:r>
        <w:rPr>
          <w:rFonts w:hint="eastAsia"/>
          <w:color w:val="auto"/>
          <w:szCs w:val="21"/>
          <w:highlight w:val="none"/>
          <w:u w:val="single"/>
        </w:rPr>
        <w:t>固定单价合同（固定结算率）</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．发包人向承包人支付工程价款及其他应当支付的款项均须汇入承包人合同协议书中的银行账户。</w:t>
      </w:r>
    </w:p>
    <w:p>
      <w:pPr>
        <w:spacing w:line="360" w:lineRule="exact"/>
        <w:ind w:firstLine="420" w:firstLineChars="200"/>
        <w:rPr>
          <w:color w:val="auto"/>
          <w:szCs w:val="21"/>
          <w:highlight w:val="none"/>
        </w:rPr>
      </w:pPr>
      <w:r>
        <w:rPr>
          <w:rFonts w:hint="eastAsia"/>
          <w:color w:val="auto"/>
          <w:szCs w:val="21"/>
          <w:highlight w:val="none"/>
        </w:rPr>
        <w:t>承包人完成本合同项下应税行为的计税方式按以下第</w:t>
      </w:r>
      <w:r>
        <w:rPr>
          <w:rFonts w:hint="eastAsia"/>
          <w:color w:val="auto"/>
          <w:szCs w:val="21"/>
          <w:highlight w:val="none"/>
          <w:u w:val="single"/>
        </w:rPr>
        <w:t>（1）</w:t>
      </w:r>
      <w:r>
        <w:rPr>
          <w:rFonts w:hint="eastAsia"/>
          <w:color w:val="auto"/>
          <w:szCs w:val="21"/>
          <w:highlight w:val="none"/>
        </w:rPr>
        <w:t>种方法，并与工程计价时采用的计税方法一致。</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）一般计税方法。</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）简易计税方法。</w:t>
      </w:r>
    </w:p>
    <w:p>
      <w:pPr>
        <w:spacing w:line="360" w:lineRule="exact"/>
        <w:ind w:firstLine="420" w:firstLineChars="200"/>
        <w:rPr>
          <w:color w:val="auto"/>
          <w:szCs w:val="21"/>
          <w:highlight w:val="none"/>
        </w:rPr>
      </w:pPr>
      <w:bookmarkStart w:id="160" w:name="_Toc351203485"/>
      <w:r>
        <w:rPr>
          <w:rFonts w:hint="eastAsia"/>
          <w:color w:val="auto"/>
          <w:szCs w:val="21"/>
          <w:highlight w:val="none"/>
        </w:rPr>
        <w:t>五、</w:t>
      </w:r>
      <w:bookmarkEnd w:id="160"/>
      <w:r>
        <w:rPr>
          <w:rFonts w:hint="eastAsia"/>
          <w:color w:val="auto"/>
          <w:szCs w:val="21"/>
          <w:highlight w:val="none"/>
        </w:rPr>
        <w:t>项目经理</w:t>
      </w:r>
    </w:p>
    <w:p>
      <w:pPr>
        <w:spacing w:line="360" w:lineRule="exact"/>
        <w:ind w:firstLine="420" w:firstLineChars="200"/>
        <w:rPr>
          <w:color w:val="auto"/>
          <w:szCs w:val="21"/>
          <w:highlight w:val="none"/>
        </w:rPr>
      </w:pPr>
      <w:r>
        <w:rPr>
          <w:rFonts w:hint="eastAsia"/>
          <w:color w:val="auto"/>
          <w:szCs w:val="21"/>
          <w:highlight w:val="none"/>
        </w:rPr>
        <w:t>承包人项目经理：</w:t>
      </w:r>
      <w:r>
        <w:rPr>
          <w:rFonts w:hint="eastAsia"/>
          <w:color w:val="auto"/>
          <w:szCs w:val="21"/>
          <w:highlight w:val="none"/>
          <w:u w:val="single"/>
        </w:rPr>
        <w:t>　　　　　</w:t>
      </w:r>
      <w:r>
        <w:rPr>
          <w:rFonts w:hint="eastAsia"/>
          <w:color w:val="auto"/>
          <w:szCs w:val="21"/>
          <w:highlight w:val="none"/>
        </w:rPr>
        <w:t>。</w:t>
      </w:r>
    </w:p>
    <w:p>
      <w:pPr>
        <w:spacing w:line="360" w:lineRule="exact"/>
        <w:ind w:firstLine="420" w:firstLineChars="200"/>
        <w:rPr>
          <w:color w:val="auto"/>
          <w:szCs w:val="21"/>
          <w:highlight w:val="none"/>
        </w:rPr>
      </w:pPr>
      <w:bookmarkStart w:id="161" w:name="_Toc351203486"/>
      <w:r>
        <w:rPr>
          <w:rFonts w:hint="eastAsia"/>
          <w:color w:val="auto"/>
          <w:szCs w:val="21"/>
          <w:highlight w:val="none"/>
        </w:rPr>
        <w:t>六、合同文件构成</w:t>
      </w:r>
      <w:bookmarkEnd w:id="161"/>
    </w:p>
    <w:p>
      <w:pPr>
        <w:spacing w:line="360" w:lineRule="exact"/>
        <w:ind w:firstLine="420" w:firstLineChars="200"/>
        <w:rPr>
          <w:color w:val="auto"/>
          <w:szCs w:val="21"/>
          <w:highlight w:val="none"/>
        </w:rPr>
      </w:pPr>
      <w:r>
        <w:rPr>
          <w:rFonts w:hint="eastAsia"/>
          <w:color w:val="auto"/>
          <w:szCs w:val="21"/>
          <w:highlight w:val="none"/>
        </w:rPr>
        <w:t>本协议书与下列文件一起构成合同文件：</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）成交通知书（如果有）；</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）投标函及其附录（如果有）；</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）专用合同条款及其附件；</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）通用合同条款；</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）技术标准和要求；</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）图纸；</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）已标价工程量清单或预算书；</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）其他合同文件。</w:t>
      </w:r>
    </w:p>
    <w:p>
      <w:pPr>
        <w:spacing w:line="360" w:lineRule="exact"/>
        <w:ind w:firstLine="420" w:firstLineChars="200"/>
        <w:rPr>
          <w:color w:val="auto"/>
          <w:szCs w:val="21"/>
          <w:highlight w:val="none"/>
        </w:rPr>
      </w:pPr>
      <w:r>
        <w:rPr>
          <w:rFonts w:hint="eastAsia"/>
          <w:color w:val="auto"/>
          <w:szCs w:val="21"/>
          <w:highlight w:val="none"/>
        </w:rPr>
        <w:t>在合同订立及履行过程中形成的与合同有关的文件均构成合同文件组成部分。</w:t>
      </w:r>
    </w:p>
    <w:p>
      <w:pPr>
        <w:spacing w:line="360" w:lineRule="exact"/>
        <w:ind w:firstLine="420" w:firstLineChars="200"/>
        <w:rPr>
          <w:color w:val="auto"/>
          <w:szCs w:val="21"/>
          <w:highlight w:val="none"/>
        </w:rPr>
      </w:pPr>
      <w:r>
        <w:rPr>
          <w:rFonts w:hint="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exact"/>
        <w:ind w:firstLine="420" w:firstLineChars="200"/>
        <w:rPr>
          <w:color w:val="auto"/>
          <w:szCs w:val="21"/>
          <w:highlight w:val="none"/>
        </w:rPr>
      </w:pPr>
      <w:r>
        <w:rPr>
          <w:rFonts w:hint="eastAsia"/>
          <w:color w:val="auto"/>
          <w:szCs w:val="21"/>
          <w:highlight w:val="none"/>
        </w:rPr>
        <w:t>除专用合同条款另有约定外，组成本合同的文件及优先解释顺序与本合同第二部分《通用条款》第</w:t>
      </w:r>
      <w:r>
        <w:rPr>
          <w:color w:val="auto"/>
          <w:szCs w:val="21"/>
          <w:highlight w:val="none"/>
        </w:rPr>
        <w:t>1.5</w:t>
      </w:r>
      <w:r>
        <w:rPr>
          <w:rFonts w:hint="eastAsia"/>
          <w:color w:val="auto"/>
          <w:szCs w:val="21"/>
          <w:highlight w:val="none"/>
        </w:rPr>
        <w:t>款赋予的规定一致。</w:t>
      </w:r>
    </w:p>
    <w:p>
      <w:pPr>
        <w:spacing w:line="360" w:lineRule="exact"/>
        <w:ind w:firstLine="420" w:firstLineChars="200"/>
        <w:rPr>
          <w:bCs/>
          <w:color w:val="auto"/>
          <w:szCs w:val="21"/>
          <w:highlight w:val="none"/>
        </w:rPr>
      </w:pPr>
      <w:r>
        <w:rPr>
          <w:rFonts w:hint="eastAsia"/>
          <w:bCs/>
          <w:color w:val="auto"/>
          <w:szCs w:val="21"/>
          <w:highlight w:val="none"/>
        </w:rPr>
        <w:t>七、创优目标</w:t>
      </w:r>
    </w:p>
    <w:p>
      <w:pPr>
        <w:spacing w:line="360" w:lineRule="exact"/>
        <w:ind w:firstLine="420" w:firstLineChars="200"/>
        <w:rPr>
          <w:color w:val="auto"/>
          <w:szCs w:val="21"/>
          <w:highlight w:val="none"/>
          <w:u w:val="single"/>
        </w:rPr>
      </w:pPr>
      <w:r>
        <w:rPr>
          <w:rFonts w:hint="eastAsia"/>
          <w:color w:val="auto"/>
          <w:szCs w:val="21"/>
          <w:highlight w:val="none"/>
        </w:rPr>
        <w:t>工程质量创</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安全文明施工创</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rFonts w:hint="eastAsia"/>
          <w:bCs/>
          <w:color w:val="auto"/>
          <w:szCs w:val="21"/>
          <w:highlight w:val="none"/>
        </w:rPr>
        <w:t>八、承诺</w:t>
      </w:r>
    </w:p>
    <w:p>
      <w:pPr>
        <w:spacing w:line="360" w:lineRule="exact"/>
        <w:ind w:firstLine="420" w:firstLineChars="200"/>
        <w:rPr>
          <w:bCs/>
          <w:color w:val="auto"/>
          <w:szCs w:val="21"/>
          <w:highlight w:val="none"/>
        </w:rPr>
      </w:pPr>
      <w:r>
        <w:rPr>
          <w:bCs/>
          <w:color w:val="auto"/>
          <w:szCs w:val="21"/>
          <w:highlight w:val="none"/>
        </w:rPr>
        <w:t>1</w:t>
      </w:r>
      <w:r>
        <w:rPr>
          <w:rFonts w:hint="eastAsia"/>
          <w:bCs/>
          <w:color w:val="auto"/>
          <w:szCs w:val="21"/>
          <w:highlight w:val="none"/>
        </w:rPr>
        <w:t>．发包人承诺按照法律规定履行项目审批手续、筹集工程建设资金并按照合同约定的期限和方式支付合同价款。</w:t>
      </w:r>
    </w:p>
    <w:p>
      <w:pPr>
        <w:spacing w:line="360" w:lineRule="exact"/>
        <w:ind w:firstLine="420" w:firstLineChars="200"/>
        <w:rPr>
          <w:bCs/>
          <w:color w:val="auto"/>
          <w:szCs w:val="21"/>
          <w:highlight w:val="none"/>
        </w:rPr>
      </w:pPr>
      <w:r>
        <w:rPr>
          <w:bCs/>
          <w:color w:val="auto"/>
          <w:szCs w:val="21"/>
          <w:highlight w:val="none"/>
        </w:rPr>
        <w:t>2</w:t>
      </w:r>
      <w:r>
        <w:rPr>
          <w:rFonts w:hint="eastAsia"/>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color w:val="auto"/>
          <w:szCs w:val="21"/>
          <w:highlight w:val="none"/>
        </w:rPr>
      </w:pPr>
      <w:r>
        <w:rPr>
          <w:bCs/>
          <w:color w:val="auto"/>
          <w:szCs w:val="21"/>
          <w:highlight w:val="none"/>
        </w:rPr>
        <w:t xml:space="preserve">3. </w:t>
      </w:r>
      <w:r>
        <w:rPr>
          <w:rFonts w:hint="eastAsia"/>
          <w:color w:val="auto"/>
          <w:szCs w:val="21"/>
          <w:highlight w:val="none"/>
        </w:rPr>
        <w:t>承包人</w:t>
      </w:r>
      <w:r>
        <w:rPr>
          <w:rFonts w:hint="eastAsia"/>
          <w:bCs/>
          <w:color w:val="auto"/>
          <w:szCs w:val="21"/>
          <w:highlight w:val="none"/>
        </w:rPr>
        <w:t>承诺</w:t>
      </w:r>
      <w:r>
        <w:rPr>
          <w:rFonts w:hint="eastAsia"/>
          <w:color w:val="auto"/>
          <w:szCs w:val="21"/>
          <w:highlight w:val="none"/>
        </w:rPr>
        <w:t>不拖欠工人工资，因拖欠工资造成的一切后果，均由承包人承担，发包人有权将应拔付的工程款，先代付工资。</w:t>
      </w:r>
    </w:p>
    <w:p>
      <w:pPr>
        <w:spacing w:line="360" w:lineRule="exact"/>
        <w:ind w:firstLine="420" w:firstLineChars="200"/>
        <w:rPr>
          <w:bCs/>
          <w:color w:val="auto"/>
          <w:szCs w:val="21"/>
          <w:highlight w:val="none"/>
        </w:rPr>
      </w:pPr>
      <w:r>
        <w:rPr>
          <w:bCs/>
          <w:color w:val="auto"/>
          <w:szCs w:val="21"/>
          <w:highlight w:val="none"/>
        </w:rPr>
        <w:t>4</w:t>
      </w:r>
      <w:r>
        <w:rPr>
          <w:rFonts w:hint="eastAsia"/>
          <w:bCs/>
          <w:color w:val="auto"/>
          <w:szCs w:val="21"/>
          <w:highlight w:val="none"/>
        </w:rPr>
        <w:t>．发包人和承包人通过招投标形式签订合同的，双方理解并承诺不再就同一工程另行签订与合同实质性内容相背离的协议。另行签订的协议不能作为结算依据。</w:t>
      </w:r>
    </w:p>
    <w:p>
      <w:pPr>
        <w:spacing w:line="360" w:lineRule="exact"/>
        <w:ind w:firstLine="420" w:firstLineChars="200"/>
        <w:rPr>
          <w:bCs/>
          <w:color w:val="auto"/>
          <w:szCs w:val="21"/>
          <w:highlight w:val="none"/>
        </w:rPr>
      </w:pPr>
      <w:r>
        <w:rPr>
          <w:rFonts w:hint="eastAsia"/>
          <w:color w:val="auto"/>
          <w:szCs w:val="21"/>
          <w:highlight w:val="none"/>
        </w:rPr>
        <w:t>九、词语含义</w:t>
      </w:r>
    </w:p>
    <w:p>
      <w:pPr>
        <w:spacing w:line="360" w:lineRule="exact"/>
        <w:ind w:firstLine="420" w:firstLineChars="200"/>
        <w:rPr>
          <w:bCs/>
          <w:color w:val="auto"/>
          <w:szCs w:val="21"/>
          <w:highlight w:val="none"/>
        </w:rPr>
      </w:pPr>
      <w:r>
        <w:rPr>
          <w:rFonts w:hint="eastAsia"/>
          <w:bCs/>
          <w:color w:val="auto"/>
          <w:szCs w:val="21"/>
          <w:highlight w:val="none"/>
        </w:rPr>
        <w:t>本协议书中词语含义与第二部分通用合同条款中赋予的含义相同。</w:t>
      </w:r>
    </w:p>
    <w:p>
      <w:pPr>
        <w:spacing w:line="360" w:lineRule="exact"/>
        <w:ind w:firstLine="420" w:firstLineChars="200"/>
        <w:rPr>
          <w:b/>
          <w:color w:val="auto"/>
          <w:szCs w:val="21"/>
          <w:highlight w:val="none"/>
        </w:rPr>
      </w:pPr>
      <w:r>
        <w:rPr>
          <w:rFonts w:hint="eastAsia"/>
          <w:bCs/>
          <w:color w:val="auto"/>
          <w:szCs w:val="21"/>
          <w:highlight w:val="none"/>
        </w:rPr>
        <w:t>十、签订时间</w:t>
      </w:r>
    </w:p>
    <w:p>
      <w:pPr>
        <w:spacing w:line="360" w:lineRule="exact"/>
        <w:ind w:firstLine="420" w:firstLineChars="200"/>
        <w:rPr>
          <w:bCs/>
          <w:color w:val="auto"/>
          <w:szCs w:val="21"/>
          <w:highlight w:val="none"/>
        </w:rPr>
      </w:pPr>
      <w:r>
        <w:rPr>
          <w:rFonts w:hint="eastAsia"/>
          <w:bCs/>
          <w:color w:val="auto"/>
          <w:szCs w:val="21"/>
          <w:highlight w:val="none"/>
        </w:rPr>
        <w:t>本合同于</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日签订。</w:t>
      </w:r>
    </w:p>
    <w:p>
      <w:pPr>
        <w:spacing w:line="360" w:lineRule="exact"/>
        <w:ind w:firstLine="420" w:firstLineChars="200"/>
        <w:rPr>
          <w:b/>
          <w:color w:val="auto"/>
          <w:szCs w:val="21"/>
          <w:highlight w:val="none"/>
        </w:rPr>
      </w:pPr>
      <w:r>
        <w:rPr>
          <w:rFonts w:hint="eastAsia"/>
          <w:bCs/>
          <w:color w:val="auto"/>
          <w:szCs w:val="21"/>
          <w:highlight w:val="none"/>
        </w:rPr>
        <w:t>十一、签订地点</w:t>
      </w:r>
    </w:p>
    <w:p>
      <w:pPr>
        <w:spacing w:line="360" w:lineRule="exact"/>
        <w:ind w:firstLine="420" w:firstLineChars="200"/>
        <w:rPr>
          <w:bCs/>
          <w:color w:val="auto"/>
          <w:szCs w:val="21"/>
          <w:highlight w:val="none"/>
        </w:rPr>
      </w:pPr>
      <w:r>
        <w:rPr>
          <w:rFonts w:hint="eastAsia"/>
          <w:bCs/>
          <w:color w:val="auto"/>
          <w:szCs w:val="21"/>
          <w:highlight w:val="none"/>
        </w:rPr>
        <w:t>本合同在</w:t>
      </w:r>
      <w:r>
        <w:rPr>
          <w:bCs/>
          <w:color w:val="auto"/>
          <w:szCs w:val="21"/>
          <w:highlight w:val="none"/>
          <w:u w:val="single"/>
        </w:rPr>
        <w:t xml:space="preserve">                                    </w:t>
      </w:r>
      <w:r>
        <w:rPr>
          <w:rFonts w:hint="eastAsia"/>
          <w:bCs/>
          <w:color w:val="auto"/>
          <w:szCs w:val="21"/>
          <w:highlight w:val="none"/>
        </w:rPr>
        <w:t>签订。</w:t>
      </w:r>
    </w:p>
    <w:p>
      <w:pPr>
        <w:spacing w:line="360" w:lineRule="exact"/>
        <w:ind w:firstLine="420" w:firstLineChars="200"/>
        <w:rPr>
          <w:b/>
          <w:color w:val="auto"/>
          <w:szCs w:val="21"/>
          <w:highlight w:val="none"/>
        </w:rPr>
      </w:pPr>
      <w:r>
        <w:rPr>
          <w:rFonts w:hint="eastAsia"/>
          <w:bCs/>
          <w:color w:val="auto"/>
          <w:szCs w:val="21"/>
          <w:highlight w:val="none"/>
        </w:rPr>
        <w:t>十二、补充协议</w:t>
      </w:r>
    </w:p>
    <w:p>
      <w:pPr>
        <w:spacing w:line="360" w:lineRule="exact"/>
        <w:ind w:firstLine="420" w:firstLineChars="200"/>
        <w:rPr>
          <w:b/>
          <w:bCs/>
          <w:color w:val="auto"/>
          <w:szCs w:val="21"/>
          <w:highlight w:val="none"/>
        </w:rPr>
      </w:pPr>
      <w:r>
        <w:rPr>
          <w:rFonts w:hint="eastAsia"/>
          <w:bCs/>
          <w:color w:val="auto"/>
          <w:szCs w:val="21"/>
          <w:highlight w:val="none"/>
        </w:rPr>
        <w:t>合同未尽事宜，合同当事人另行签订补充协议，补充协议是合同的组成部分。</w:t>
      </w:r>
    </w:p>
    <w:p>
      <w:pPr>
        <w:spacing w:line="360" w:lineRule="exact"/>
        <w:ind w:firstLine="420" w:firstLineChars="200"/>
        <w:rPr>
          <w:b/>
          <w:color w:val="auto"/>
          <w:szCs w:val="21"/>
          <w:highlight w:val="none"/>
        </w:rPr>
      </w:pPr>
      <w:r>
        <w:rPr>
          <w:rFonts w:hint="eastAsia"/>
          <w:bCs/>
          <w:color w:val="auto"/>
          <w:szCs w:val="21"/>
          <w:highlight w:val="none"/>
        </w:rPr>
        <w:t>十三、合同生效</w:t>
      </w:r>
    </w:p>
    <w:p>
      <w:pPr>
        <w:spacing w:line="360" w:lineRule="exact"/>
        <w:ind w:firstLine="420" w:firstLineChars="200"/>
        <w:rPr>
          <w:bCs/>
          <w:color w:val="auto"/>
          <w:szCs w:val="21"/>
          <w:highlight w:val="none"/>
        </w:rPr>
      </w:pPr>
      <w:r>
        <w:rPr>
          <w:rFonts w:hint="eastAsia"/>
          <w:bCs/>
          <w:color w:val="auto"/>
          <w:szCs w:val="21"/>
          <w:highlight w:val="none"/>
        </w:rPr>
        <w:t>本合同自</w:t>
      </w:r>
      <w:r>
        <w:rPr>
          <w:rFonts w:hint="eastAsia"/>
          <w:bCs/>
          <w:color w:val="auto"/>
          <w:szCs w:val="21"/>
          <w:highlight w:val="none"/>
          <w:u w:val="single"/>
        </w:rPr>
        <w:t>双方法定代表人或委托代理人签字或盖章并加盖公章后生效。</w:t>
      </w:r>
    </w:p>
    <w:p>
      <w:pPr>
        <w:spacing w:line="360" w:lineRule="exact"/>
        <w:ind w:firstLine="420" w:firstLineChars="200"/>
        <w:rPr>
          <w:b/>
          <w:color w:val="auto"/>
          <w:szCs w:val="21"/>
          <w:highlight w:val="none"/>
        </w:rPr>
      </w:pPr>
      <w:r>
        <w:rPr>
          <w:rFonts w:hint="eastAsia"/>
          <w:bCs/>
          <w:color w:val="auto"/>
          <w:szCs w:val="21"/>
          <w:highlight w:val="none"/>
        </w:rPr>
        <w:t>十四、合同份数</w:t>
      </w:r>
    </w:p>
    <w:p>
      <w:pPr>
        <w:spacing w:line="360" w:lineRule="exact"/>
        <w:ind w:firstLine="420" w:firstLineChars="200"/>
        <w:rPr>
          <w:bCs/>
          <w:color w:val="auto"/>
          <w:szCs w:val="21"/>
          <w:highlight w:val="none"/>
        </w:rPr>
      </w:pPr>
      <w:r>
        <w:rPr>
          <w:rFonts w:hint="eastAsia"/>
          <w:bCs/>
          <w:color w:val="auto"/>
          <w:szCs w:val="21"/>
          <w:highlight w:val="none"/>
        </w:rPr>
        <w:t>本合同一式</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份，均具有同等法律效力，发包人执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份，承包人执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w:t>
      </w:r>
    </w:p>
    <w:p>
      <w:pPr>
        <w:spacing w:line="360" w:lineRule="exact"/>
        <w:ind w:firstLine="420" w:firstLineChars="200"/>
        <w:rPr>
          <w:color w:val="auto"/>
          <w:szCs w:val="21"/>
          <w:highlight w:val="none"/>
        </w:rPr>
      </w:pPr>
      <w:r>
        <w:rPr>
          <w:rFonts w:hint="eastAsia"/>
          <w:color w:val="auto"/>
          <w:szCs w:val="21"/>
          <w:highlight w:val="none"/>
        </w:rPr>
        <w:t>以下无正文</w:t>
      </w: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发包人：</w:t>
      </w:r>
      <w:r>
        <w:rPr>
          <w:color w:val="auto"/>
          <w:szCs w:val="21"/>
          <w:highlight w:val="none"/>
        </w:rPr>
        <w:t xml:space="preserve">  </w:t>
      </w:r>
      <w:r>
        <w:rPr>
          <w:rFonts w:hint="eastAsia"/>
          <w:color w:val="auto"/>
          <w:szCs w:val="21"/>
          <w:highlight w:val="none"/>
        </w:rPr>
        <w:t>（公章）</w:t>
      </w:r>
      <w:r>
        <w:rPr>
          <w:color w:val="auto"/>
          <w:szCs w:val="21"/>
          <w:highlight w:val="none"/>
        </w:rPr>
        <w:t xml:space="preserve">                 </w:t>
      </w:r>
      <w:r>
        <w:rPr>
          <w:rFonts w:hint="eastAsia"/>
          <w:color w:val="auto"/>
          <w:szCs w:val="21"/>
          <w:highlight w:val="none"/>
        </w:rPr>
        <w:t>承包人：</w:t>
      </w:r>
      <w:r>
        <w:rPr>
          <w:color w:val="auto"/>
          <w:szCs w:val="21"/>
          <w:highlight w:val="none"/>
        </w:rPr>
        <w:t xml:space="preserve">  </w:t>
      </w:r>
      <w:r>
        <w:rPr>
          <w:rFonts w:hint="eastAsia"/>
          <w:color w:val="auto"/>
          <w:szCs w:val="21"/>
          <w:highlight w:val="none"/>
        </w:rPr>
        <w:t>（公章）</w:t>
      </w:r>
    </w:p>
    <w:p>
      <w:pPr>
        <w:spacing w:line="360" w:lineRule="exact"/>
        <w:ind w:firstLine="420" w:firstLineChars="200"/>
        <w:rPr>
          <w:color w:val="auto"/>
          <w:szCs w:val="21"/>
          <w:highlight w:val="none"/>
          <w:u w:val="singl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法定代表人或其委托代理人：</w:t>
      </w:r>
      <w:r>
        <w:rPr>
          <w:color w:val="auto"/>
          <w:szCs w:val="21"/>
          <w:highlight w:val="none"/>
        </w:rPr>
        <w:t xml:space="preserve">    </w:t>
      </w:r>
      <w:r>
        <w:rPr>
          <w:rFonts w:hint="eastAsia"/>
          <w:color w:val="auto"/>
          <w:szCs w:val="21"/>
          <w:highlight w:val="none"/>
        </w:rPr>
        <w:t xml:space="preserve">                法定代表人或其委托代理人：</w:t>
      </w:r>
    </w:p>
    <w:p>
      <w:pPr>
        <w:spacing w:line="360" w:lineRule="exact"/>
        <w:ind w:firstLine="420" w:firstLineChars="200"/>
        <w:rPr>
          <w:color w:val="auto"/>
          <w:szCs w:val="21"/>
          <w:highlight w:val="none"/>
        </w:rPr>
      </w:pPr>
      <w:r>
        <w:rPr>
          <w:rFonts w:hint="eastAsia"/>
          <w:color w:val="auto"/>
          <w:szCs w:val="21"/>
          <w:highlight w:val="none"/>
        </w:rPr>
        <w:t>（签字或盖章）</w:t>
      </w:r>
      <w:r>
        <w:rPr>
          <w:color w:val="auto"/>
          <w:szCs w:val="21"/>
          <w:highlight w:val="none"/>
        </w:rPr>
        <w:t xml:space="preserve">                </w:t>
      </w:r>
      <w:r>
        <w:rPr>
          <w:rFonts w:hint="eastAsia"/>
          <w:color w:val="auto"/>
          <w:szCs w:val="21"/>
          <w:highlight w:val="none"/>
        </w:rPr>
        <w:t xml:space="preserve">                （签字或盖章）</w:t>
      </w:r>
    </w:p>
    <w:p>
      <w:pPr>
        <w:spacing w:line="360" w:lineRule="exact"/>
        <w:ind w:firstLine="420" w:firstLineChars="200"/>
        <w:rPr>
          <w:color w:val="auto"/>
          <w:szCs w:val="21"/>
          <w:highlight w:val="none"/>
        </w:rPr>
      </w:pPr>
      <w:r>
        <w:rPr>
          <w:rFonts w:hint="eastAsia"/>
          <w:color w:val="auto"/>
          <w:szCs w:val="21"/>
          <w:highlight w:val="none"/>
        </w:rPr>
        <w:t xml:space="preserve">统一社会信用代码： </w:t>
      </w:r>
      <w:r>
        <w:rPr>
          <w:color w:val="auto"/>
          <w:szCs w:val="21"/>
          <w:highlight w:val="none"/>
        </w:rPr>
        <w:t xml:space="preserve">           </w:t>
      </w:r>
      <w:r>
        <w:rPr>
          <w:rFonts w:hint="eastAsia"/>
          <w:color w:val="auto"/>
          <w:szCs w:val="21"/>
          <w:highlight w:val="none"/>
        </w:rPr>
        <w:t xml:space="preserve">                统一社会信用代码：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地</w:t>
      </w:r>
      <w:r>
        <w:rPr>
          <w:color w:val="auto"/>
          <w:szCs w:val="21"/>
          <w:highlight w:val="none"/>
        </w:rPr>
        <w:t xml:space="preserve">  </w:t>
      </w:r>
      <w:r>
        <w:rPr>
          <w:rFonts w:hint="eastAsia"/>
          <w:color w:val="auto"/>
          <w:szCs w:val="21"/>
          <w:highlight w:val="none"/>
        </w:rPr>
        <w:t xml:space="preserve">址：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邮政编码：</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邮政编码：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法定代表人：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法定代表人：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委托代理人：  </w:t>
      </w:r>
      <w:r>
        <w:rPr>
          <w:color w:val="auto"/>
          <w:szCs w:val="21"/>
          <w:highlight w:val="none"/>
        </w:rPr>
        <w:t xml:space="preserve">                </w:t>
      </w:r>
      <w:r>
        <w:rPr>
          <w:rFonts w:hint="eastAsia"/>
          <w:color w:val="auto"/>
          <w:szCs w:val="21"/>
          <w:highlight w:val="none"/>
        </w:rPr>
        <w:t xml:space="preserve">                委托代理人：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 xml:space="preserve">话：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电</w:t>
      </w:r>
      <w:r>
        <w:rPr>
          <w:color w:val="auto"/>
          <w:szCs w:val="21"/>
          <w:highlight w:val="none"/>
        </w:rPr>
        <w:t xml:space="preserve">  </w:t>
      </w:r>
      <w:r>
        <w:rPr>
          <w:rFonts w:hint="eastAsia"/>
          <w:color w:val="auto"/>
          <w:szCs w:val="21"/>
          <w:highlight w:val="none"/>
        </w:rPr>
        <w:t xml:space="preserve">话：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 xml:space="preserve">真： </w:t>
      </w:r>
      <w:r>
        <w:rPr>
          <w:color w:val="auto"/>
          <w:szCs w:val="21"/>
          <w:highlight w:val="none"/>
        </w:rPr>
        <w:t xml:space="preserve">                     </w:t>
      </w:r>
      <w:r>
        <w:rPr>
          <w:rFonts w:hint="eastAsia"/>
          <w:color w:val="auto"/>
          <w:szCs w:val="21"/>
          <w:highlight w:val="none"/>
        </w:rPr>
        <w:t xml:space="preserve">                传</w:t>
      </w:r>
      <w:r>
        <w:rPr>
          <w:color w:val="auto"/>
          <w:szCs w:val="21"/>
          <w:highlight w:val="none"/>
        </w:rPr>
        <w:t xml:space="preserve">  </w:t>
      </w:r>
      <w:r>
        <w:rPr>
          <w:rFonts w:hint="eastAsia"/>
          <w:color w:val="auto"/>
          <w:szCs w:val="21"/>
          <w:highlight w:val="none"/>
        </w:rPr>
        <w:t xml:space="preserve">真：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电子信箱：</w:t>
      </w:r>
      <w:r>
        <w:rPr>
          <w:color w:val="auto"/>
          <w:szCs w:val="21"/>
          <w:highlight w:val="none"/>
        </w:rPr>
        <w:t xml:space="preserve">                    </w:t>
      </w:r>
      <w:r>
        <w:rPr>
          <w:rFonts w:hint="eastAsia"/>
          <w:color w:val="auto"/>
          <w:szCs w:val="21"/>
          <w:highlight w:val="none"/>
        </w:rPr>
        <w:t xml:space="preserve">                电子信箱：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开户银行： </w:t>
      </w:r>
      <w:r>
        <w:rPr>
          <w:color w:val="auto"/>
          <w:szCs w:val="21"/>
          <w:highlight w:val="none"/>
        </w:rPr>
        <w:t xml:space="preserve">                   </w:t>
      </w:r>
      <w:r>
        <w:rPr>
          <w:rFonts w:hint="eastAsia"/>
          <w:color w:val="auto"/>
          <w:szCs w:val="21"/>
          <w:highlight w:val="none"/>
        </w:rPr>
        <w:t xml:space="preserve">                开户银行：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账</w:t>
      </w:r>
      <w:r>
        <w:rPr>
          <w:color w:val="auto"/>
          <w:szCs w:val="21"/>
          <w:highlight w:val="none"/>
        </w:rPr>
        <w:t xml:space="preserve">  </w:t>
      </w:r>
      <w:r>
        <w:rPr>
          <w:rFonts w:hint="eastAsia"/>
          <w:color w:val="auto"/>
          <w:szCs w:val="21"/>
          <w:highlight w:val="none"/>
        </w:rPr>
        <w:t xml:space="preserve">号： </w:t>
      </w:r>
      <w:r>
        <w:rPr>
          <w:color w:val="auto"/>
          <w:szCs w:val="21"/>
          <w:highlight w:val="none"/>
        </w:rPr>
        <w:t xml:space="preserve">                     </w:t>
      </w:r>
      <w:r>
        <w:rPr>
          <w:rFonts w:hint="eastAsia"/>
          <w:color w:val="auto"/>
          <w:szCs w:val="21"/>
          <w:highlight w:val="none"/>
        </w:rPr>
        <w:t xml:space="preserve">                账</w:t>
      </w:r>
      <w:r>
        <w:rPr>
          <w:color w:val="auto"/>
          <w:szCs w:val="21"/>
          <w:highlight w:val="none"/>
        </w:rPr>
        <w:t xml:space="preserve">  </w:t>
      </w:r>
      <w:r>
        <w:rPr>
          <w:rFonts w:hint="eastAsia"/>
          <w:color w:val="auto"/>
          <w:szCs w:val="21"/>
          <w:highlight w:val="none"/>
        </w:rPr>
        <w:t xml:space="preserve">号： </w:t>
      </w:r>
      <w:r>
        <w:rPr>
          <w:color w:val="auto"/>
          <w:szCs w:val="21"/>
          <w:highlight w:val="none"/>
        </w:rPr>
        <w:t xml:space="preserve">                     </w:t>
      </w:r>
    </w:p>
    <w:p>
      <w:pPr>
        <w:keepNext/>
        <w:keepLines/>
        <w:spacing w:before="100" w:line="400" w:lineRule="exact"/>
        <w:jc w:val="center"/>
        <w:outlineLvl w:val="1"/>
        <w:rPr>
          <w:rFonts w:eastAsia="黑体" w:cs="宋体"/>
          <w:color w:val="auto"/>
          <w:szCs w:val="32"/>
          <w:highlight w:val="none"/>
        </w:rPr>
      </w:pPr>
      <w:bookmarkStart w:id="162" w:name="_Toc228163246"/>
      <w:bookmarkStart w:id="163" w:name="_Toc372899875"/>
      <w:r>
        <w:rPr>
          <w:b/>
          <w:bCs/>
          <w:color w:val="auto"/>
          <w:szCs w:val="21"/>
          <w:highlight w:val="none"/>
        </w:rPr>
        <w:br w:type="page"/>
      </w:r>
      <w:bookmarkStart w:id="164" w:name="_Toc19546676"/>
      <w:bookmarkStart w:id="165" w:name="_Toc54349420"/>
      <w:r>
        <w:rPr>
          <w:rFonts w:hint="eastAsia" w:ascii="宋体" w:hAnsi="宋体" w:cs="宋体"/>
          <w:b/>
          <w:bCs/>
          <w:color w:val="auto"/>
          <w:sz w:val="32"/>
          <w:szCs w:val="32"/>
          <w:highlight w:val="none"/>
        </w:rPr>
        <w:t>第二部分  通用条款</w:t>
      </w:r>
      <w:bookmarkEnd w:id="162"/>
      <w:r>
        <w:rPr>
          <w:rFonts w:hint="eastAsia" w:ascii="宋体" w:hAnsi="宋体" w:cs="宋体"/>
          <w:b/>
          <w:bCs/>
          <w:color w:val="auto"/>
          <w:sz w:val="32"/>
          <w:szCs w:val="32"/>
          <w:highlight w:val="none"/>
        </w:rPr>
        <w:t>（略）</w:t>
      </w:r>
      <w:bookmarkEnd w:id="163"/>
      <w:bookmarkEnd w:id="164"/>
      <w:bookmarkEnd w:id="165"/>
    </w:p>
    <w:p>
      <w:pPr>
        <w:spacing w:line="360" w:lineRule="exact"/>
        <w:ind w:firstLine="420" w:firstLineChars="200"/>
        <w:rPr>
          <w:color w:val="auto"/>
          <w:szCs w:val="21"/>
          <w:highlight w:val="none"/>
        </w:rPr>
      </w:pPr>
    </w:p>
    <w:p>
      <w:pPr>
        <w:keepNext/>
        <w:keepLines/>
        <w:spacing w:before="100" w:line="400" w:lineRule="exact"/>
        <w:jc w:val="center"/>
        <w:outlineLvl w:val="1"/>
        <w:rPr>
          <w:rFonts w:ascii="宋体" w:hAnsi="宋体" w:cs="宋体"/>
          <w:b/>
          <w:bCs/>
          <w:color w:val="auto"/>
          <w:sz w:val="32"/>
          <w:szCs w:val="32"/>
          <w:highlight w:val="none"/>
        </w:rPr>
      </w:pPr>
      <w:bookmarkStart w:id="166" w:name="_Toc19546677"/>
      <w:bookmarkStart w:id="167" w:name="_Toc54349421"/>
      <w:r>
        <w:rPr>
          <w:rFonts w:hint="eastAsia" w:ascii="宋体" w:hAnsi="宋体" w:cs="宋体"/>
          <w:b/>
          <w:bCs/>
          <w:color w:val="auto"/>
          <w:sz w:val="32"/>
          <w:szCs w:val="32"/>
          <w:highlight w:val="none"/>
        </w:rPr>
        <w:t>第三部分 专用合同条款</w:t>
      </w:r>
      <w:bookmarkEnd w:id="166"/>
      <w:bookmarkEnd w:id="167"/>
    </w:p>
    <w:p>
      <w:pPr>
        <w:spacing w:line="360" w:lineRule="exact"/>
        <w:ind w:firstLine="422" w:firstLineChars="200"/>
        <w:rPr>
          <w:b/>
          <w:bCs/>
          <w:color w:val="auto"/>
          <w:szCs w:val="21"/>
          <w:highlight w:val="none"/>
        </w:rPr>
      </w:pPr>
      <w:bookmarkStart w:id="168" w:name="_Toc351203633"/>
      <w:r>
        <w:rPr>
          <w:b/>
          <w:bCs/>
          <w:color w:val="auto"/>
          <w:szCs w:val="21"/>
          <w:highlight w:val="none"/>
        </w:rPr>
        <w:t>1</w:t>
      </w:r>
      <w:bookmarkStart w:id="169" w:name="_Toc296890984"/>
      <w:bookmarkStart w:id="170" w:name="_Toc296944495"/>
      <w:bookmarkStart w:id="171" w:name="_Toc296347155"/>
      <w:bookmarkStart w:id="172" w:name="_Toc292559866"/>
      <w:bookmarkStart w:id="173" w:name="_Toc297120456"/>
      <w:bookmarkStart w:id="174" w:name="_Toc297048342"/>
      <w:bookmarkStart w:id="175" w:name="_Toc296503156"/>
      <w:bookmarkStart w:id="176" w:name="_Toc296891196"/>
      <w:bookmarkStart w:id="177" w:name="_Toc292559361"/>
      <w:bookmarkStart w:id="178" w:name="_Toc296346657"/>
      <w:r>
        <w:rPr>
          <w:b/>
          <w:bCs/>
          <w:color w:val="auto"/>
          <w:szCs w:val="21"/>
          <w:highlight w:val="none"/>
        </w:rPr>
        <w:t>. 一般约定</w:t>
      </w:r>
      <w:bookmarkEnd w:id="168"/>
    </w:p>
    <w:bookmarkEnd w:id="169"/>
    <w:bookmarkEnd w:id="170"/>
    <w:bookmarkEnd w:id="171"/>
    <w:bookmarkEnd w:id="172"/>
    <w:bookmarkEnd w:id="173"/>
    <w:bookmarkEnd w:id="174"/>
    <w:bookmarkEnd w:id="175"/>
    <w:bookmarkEnd w:id="176"/>
    <w:bookmarkEnd w:id="177"/>
    <w:bookmarkEnd w:id="178"/>
    <w:p>
      <w:pPr>
        <w:spacing w:line="360" w:lineRule="exact"/>
        <w:ind w:firstLine="420" w:firstLineChars="200"/>
        <w:rPr>
          <w:color w:val="auto"/>
          <w:szCs w:val="21"/>
          <w:highlight w:val="none"/>
        </w:rPr>
      </w:pPr>
      <w:r>
        <w:rPr>
          <w:color w:val="auto"/>
          <w:szCs w:val="21"/>
          <w:highlight w:val="none"/>
        </w:rPr>
        <w:t>1.1 词语定义</w:t>
      </w:r>
    </w:p>
    <w:p>
      <w:pPr>
        <w:spacing w:line="360" w:lineRule="exact"/>
        <w:ind w:firstLine="420" w:firstLineChars="200"/>
        <w:rPr>
          <w:color w:val="auto"/>
          <w:szCs w:val="21"/>
          <w:highlight w:val="none"/>
        </w:rPr>
      </w:pPr>
      <w:r>
        <w:rPr>
          <w:color w:val="auto"/>
          <w:szCs w:val="21"/>
          <w:highlight w:val="none"/>
        </w:rPr>
        <w:t>1.1.1合同</w:t>
      </w:r>
    </w:p>
    <w:p>
      <w:pPr>
        <w:spacing w:line="360" w:lineRule="exact"/>
        <w:ind w:firstLine="420" w:firstLineChars="200"/>
        <w:rPr>
          <w:color w:val="auto"/>
          <w:szCs w:val="21"/>
          <w:highlight w:val="none"/>
          <w:u w:val="single"/>
        </w:rPr>
      </w:pPr>
      <w:r>
        <w:rPr>
          <w:color w:val="auto"/>
          <w:szCs w:val="21"/>
          <w:highlight w:val="none"/>
        </w:rPr>
        <w:t>1.1.1.10其他合同文件包括：</w:t>
      </w:r>
      <w:r>
        <w:rPr>
          <w:rFonts w:hint="eastAsia"/>
          <w:color w:val="auto"/>
          <w:szCs w:val="21"/>
          <w:highlight w:val="none"/>
          <w:u w:val="single"/>
        </w:rPr>
        <w:t xml:space="preserve"> 工程采购文件、除投标函及其附录和已标价工程量清单或预算书外的其它响应文件。</w:t>
      </w:r>
    </w:p>
    <w:p>
      <w:pPr>
        <w:spacing w:line="360" w:lineRule="exact"/>
        <w:ind w:firstLine="420" w:firstLineChars="200"/>
        <w:rPr>
          <w:color w:val="auto"/>
          <w:szCs w:val="21"/>
          <w:highlight w:val="none"/>
        </w:rPr>
      </w:pPr>
      <w:r>
        <w:rPr>
          <w:color w:val="auto"/>
          <w:szCs w:val="21"/>
          <w:highlight w:val="none"/>
        </w:rPr>
        <w:t>1.1.2 合同当事人及其他相关方</w:t>
      </w:r>
    </w:p>
    <w:p>
      <w:pPr>
        <w:spacing w:line="360" w:lineRule="exact"/>
        <w:ind w:firstLine="420" w:firstLineChars="200"/>
        <w:rPr>
          <w:color w:val="auto"/>
          <w:szCs w:val="21"/>
          <w:highlight w:val="none"/>
        </w:rPr>
      </w:pPr>
      <w:r>
        <w:rPr>
          <w:color w:val="auto"/>
          <w:szCs w:val="21"/>
          <w:highlight w:val="none"/>
        </w:rPr>
        <w:t>1.1.2.4监理人：</w:t>
      </w:r>
    </w:p>
    <w:p>
      <w:pPr>
        <w:spacing w:line="36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以监理合同为准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1.1.2.5 设计人：</w:t>
      </w:r>
    </w:p>
    <w:p>
      <w:pPr>
        <w:spacing w:line="360" w:lineRule="exact"/>
        <w:ind w:firstLine="420" w:firstLineChars="200"/>
        <w:rPr>
          <w:color w:val="auto"/>
          <w:szCs w:val="21"/>
          <w:highlight w:val="none"/>
        </w:rPr>
      </w:pPr>
      <w:r>
        <w:rPr>
          <w:color w:val="auto"/>
          <w:szCs w:val="21"/>
          <w:highlight w:val="none"/>
        </w:rPr>
        <w:t>名    称：</w:t>
      </w:r>
      <w:r>
        <w:rPr>
          <w:rFonts w:hint="eastAsia"/>
          <w:color w:val="auto"/>
          <w:szCs w:val="21"/>
          <w:highlight w:val="none"/>
          <w:u w:val="single"/>
        </w:rPr>
        <w:t xml:space="preserve">         以设计合同为准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资质类别和等级：</w:t>
      </w:r>
      <w:r>
        <w:rPr>
          <w:rFonts w:hint="eastAsia"/>
          <w:color w:val="auto"/>
          <w:szCs w:val="21"/>
          <w:highlight w:val="none"/>
          <w:u w:val="single"/>
        </w:rPr>
        <w:t xml:space="preserve">           /                   </w:t>
      </w:r>
      <w:r>
        <w:rPr>
          <w:bCs/>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 工程和设备</w:t>
      </w:r>
    </w:p>
    <w:p>
      <w:pPr>
        <w:spacing w:line="360" w:lineRule="exact"/>
        <w:ind w:firstLine="420" w:firstLineChars="200"/>
        <w:rPr>
          <w:color w:val="auto"/>
          <w:szCs w:val="21"/>
          <w:highlight w:val="none"/>
        </w:rPr>
      </w:pPr>
      <w:r>
        <w:rPr>
          <w:color w:val="auto"/>
          <w:szCs w:val="21"/>
          <w:highlight w:val="none"/>
        </w:rPr>
        <w:t>1.1.3.7 作为施工现场组成部分的其他场所包括：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1.1.3.9 永久占地包括：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1.1.3.10 临时占地包括：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1.3法律 </w:t>
      </w:r>
    </w:p>
    <w:p>
      <w:pPr>
        <w:spacing w:line="360" w:lineRule="exact"/>
        <w:ind w:firstLine="420" w:firstLineChars="200"/>
        <w:rPr>
          <w:color w:val="auto"/>
          <w:szCs w:val="21"/>
          <w:highlight w:val="none"/>
        </w:rPr>
      </w:pPr>
      <w:r>
        <w:rPr>
          <w:color w:val="auto"/>
          <w:szCs w:val="21"/>
          <w:highlight w:val="none"/>
        </w:rPr>
        <w:t>适用于合同的其他规范性文件：</w:t>
      </w:r>
      <w:r>
        <w:rPr>
          <w:rFonts w:hint="eastAsia" w:ascii="宋体" w:hAnsi="宋体"/>
          <w:color w:val="auto"/>
          <w:szCs w:val="21"/>
          <w:highlight w:val="none"/>
          <w:u w:val="single"/>
        </w:rPr>
        <w:t>工程所在地现行的有关工程造价方面规定文件等。</w:t>
      </w:r>
    </w:p>
    <w:p>
      <w:pPr>
        <w:spacing w:line="360" w:lineRule="exact"/>
        <w:ind w:firstLine="422" w:firstLineChars="200"/>
        <w:rPr>
          <w:b/>
          <w:color w:val="auto"/>
          <w:szCs w:val="21"/>
          <w:highlight w:val="none"/>
        </w:rPr>
      </w:pPr>
      <w:r>
        <w:rPr>
          <w:b/>
          <w:color w:val="auto"/>
          <w:szCs w:val="21"/>
          <w:highlight w:val="none"/>
        </w:rPr>
        <w:t>1.4 标准和规范</w:t>
      </w:r>
    </w:p>
    <w:p>
      <w:pPr>
        <w:spacing w:line="360" w:lineRule="exact"/>
        <w:ind w:firstLine="420" w:firstLineChars="200"/>
        <w:rPr>
          <w:color w:val="auto"/>
          <w:szCs w:val="21"/>
          <w:highlight w:val="none"/>
        </w:rPr>
      </w:pPr>
      <w:r>
        <w:rPr>
          <w:color w:val="auto"/>
          <w:szCs w:val="21"/>
          <w:highlight w:val="none"/>
        </w:rPr>
        <w:t>1.4.1适用于工程的标准规范包括：</w:t>
      </w:r>
      <w:r>
        <w:rPr>
          <w:color w:val="auto"/>
          <w:szCs w:val="21"/>
          <w:highlight w:val="none"/>
          <w:u w:val="single"/>
        </w:rPr>
        <w:t>按现行的国家、省、市施工验收规范、质量评定标准及有关规定。合同工期内的标准、规范，采购文件中的技术要求等</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 xml:space="preserve">1.4.2 </w:t>
      </w:r>
      <w:r>
        <w:rPr>
          <w:rFonts w:hint="eastAsia"/>
          <w:color w:val="auto"/>
          <w:szCs w:val="21"/>
          <w:highlight w:val="none"/>
        </w:rPr>
        <w:t>发包人提供国外标准、规范的名称：</w:t>
      </w:r>
      <w:r>
        <w:rPr>
          <w:rFonts w:hint="eastAsia"/>
          <w:color w:val="auto"/>
          <w:szCs w:val="21"/>
          <w:highlight w:val="none"/>
          <w:u w:val="single"/>
        </w:rPr>
        <w:t xml:space="preserve"> 承包人自行解决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发包人提供国外标准、规范的份数：</w:t>
      </w:r>
      <w:r>
        <w:rPr>
          <w:rFonts w:hint="eastAsia"/>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发包人提供国外标准、规范的名称：</w:t>
      </w:r>
      <w:r>
        <w:rPr>
          <w:rFonts w:hint="eastAsia"/>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1.4.3发包人对工程的技术标准和功能要求的特殊要求：</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 合同文件的优先顺序</w:t>
      </w:r>
    </w:p>
    <w:p>
      <w:pPr>
        <w:spacing w:line="360" w:lineRule="exact"/>
        <w:ind w:firstLine="420" w:firstLineChars="200"/>
        <w:rPr>
          <w:color w:val="auto"/>
          <w:szCs w:val="21"/>
          <w:highlight w:val="none"/>
        </w:rPr>
      </w:pPr>
      <w:r>
        <w:rPr>
          <w:color w:val="auto"/>
          <w:szCs w:val="21"/>
          <w:highlight w:val="none"/>
        </w:rPr>
        <w:t>合同文件组成及优先顺序为：</w:t>
      </w:r>
      <w:r>
        <w:rPr>
          <w:rFonts w:hint="eastAsia"/>
          <w:color w:val="auto"/>
          <w:szCs w:val="21"/>
          <w:highlight w:val="none"/>
          <w:u w:val="single"/>
        </w:rPr>
        <w:t xml:space="preserve"> 按合同通用条款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1.6 图纸和承包人文件</w:t>
      </w:r>
      <w:r>
        <w:rPr>
          <w:color w:val="auto"/>
          <w:szCs w:val="21"/>
          <w:highlight w:val="none"/>
        </w:rPr>
        <w:tab/>
      </w:r>
    </w:p>
    <w:p>
      <w:pPr>
        <w:spacing w:line="360" w:lineRule="exact"/>
        <w:ind w:firstLine="420" w:firstLineChars="200"/>
        <w:rPr>
          <w:color w:val="auto"/>
          <w:szCs w:val="21"/>
          <w:highlight w:val="none"/>
        </w:rPr>
      </w:pPr>
      <w:r>
        <w:rPr>
          <w:color w:val="auto"/>
          <w:szCs w:val="21"/>
          <w:highlight w:val="none"/>
        </w:rPr>
        <w:t>1.6.1 图纸的提供</w:t>
      </w:r>
    </w:p>
    <w:p>
      <w:pPr>
        <w:spacing w:line="360" w:lineRule="exact"/>
        <w:ind w:firstLine="420" w:firstLineChars="200"/>
        <w:rPr>
          <w:color w:val="auto"/>
          <w:szCs w:val="21"/>
          <w:highlight w:val="none"/>
        </w:rPr>
      </w:pPr>
      <w:r>
        <w:rPr>
          <w:color w:val="auto"/>
          <w:szCs w:val="21"/>
          <w:highlight w:val="none"/>
        </w:rPr>
        <w:t>发包人向承包人提供图纸的期限：</w:t>
      </w:r>
      <w:r>
        <w:rPr>
          <w:rFonts w:hint="eastAsia"/>
          <w:color w:val="auto"/>
          <w:szCs w:val="21"/>
          <w:highlight w:val="none"/>
          <w:u w:val="single"/>
        </w:rPr>
        <w:t xml:space="preserve"> 开工日期14天前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发包人向承包人提供图纸的数量：</w:t>
      </w:r>
      <w:r>
        <w:rPr>
          <w:rFonts w:hint="eastAsia"/>
          <w:color w:val="auto"/>
          <w:szCs w:val="21"/>
          <w:highlight w:val="none"/>
          <w:u w:val="single"/>
        </w:rPr>
        <w:t xml:space="preserve"> 纸质施工图叁套并附目录清单及与其一致的电子版施工图。</w:t>
      </w:r>
    </w:p>
    <w:p>
      <w:pPr>
        <w:spacing w:line="360" w:lineRule="exact"/>
        <w:ind w:firstLine="420" w:firstLineChars="200"/>
        <w:rPr>
          <w:color w:val="auto"/>
          <w:szCs w:val="21"/>
          <w:highlight w:val="none"/>
        </w:rPr>
      </w:pPr>
      <w:r>
        <w:rPr>
          <w:color w:val="auto"/>
          <w:szCs w:val="21"/>
          <w:highlight w:val="none"/>
        </w:rPr>
        <w:t>发包人向承包人提供图纸的内容：</w:t>
      </w:r>
      <w:r>
        <w:rPr>
          <w:rFonts w:hint="eastAsia"/>
          <w:color w:val="auto"/>
          <w:szCs w:val="21"/>
          <w:highlight w:val="none"/>
          <w:u w:val="single"/>
        </w:rPr>
        <w:t xml:space="preserve"> 合同承包范围内所有完整图纸，施工过程中设计变更图等涉及工程施工所需的所有图纸</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1.6.4 承包人文件</w:t>
      </w:r>
    </w:p>
    <w:p>
      <w:pPr>
        <w:spacing w:line="360" w:lineRule="exact"/>
        <w:ind w:firstLine="420" w:firstLineChars="200"/>
        <w:rPr>
          <w:color w:val="auto"/>
          <w:szCs w:val="21"/>
          <w:highlight w:val="none"/>
          <w:u w:val="single"/>
        </w:rPr>
      </w:pPr>
      <w:r>
        <w:rPr>
          <w:color w:val="auto"/>
          <w:szCs w:val="21"/>
          <w:highlight w:val="none"/>
        </w:rPr>
        <w:t>需要由承包人提供的文件，包括：</w:t>
      </w:r>
      <w:r>
        <w:rPr>
          <w:rFonts w:hint="eastAsia"/>
          <w:color w:val="auto"/>
          <w:szCs w:val="21"/>
          <w:highlight w:val="none"/>
          <w:u w:val="single"/>
        </w:rPr>
        <w:t xml:space="preserve"> 按发包人要求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承包人提供的文件的期限为：</w:t>
      </w:r>
      <w:r>
        <w:rPr>
          <w:rFonts w:hint="eastAsia"/>
          <w:color w:val="auto"/>
          <w:szCs w:val="21"/>
          <w:highlight w:val="none"/>
          <w:u w:val="single"/>
        </w:rPr>
        <w:t xml:space="preserve"> 按发包人要求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承包人提供的文件的数量为：</w:t>
      </w:r>
      <w:r>
        <w:rPr>
          <w:rFonts w:hint="eastAsia"/>
          <w:color w:val="auto"/>
          <w:szCs w:val="21"/>
          <w:highlight w:val="none"/>
          <w:u w:val="single"/>
        </w:rPr>
        <w:t xml:space="preserve"> 按发包人要求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承包人提供的文件的形式为：</w:t>
      </w:r>
      <w:r>
        <w:rPr>
          <w:rFonts w:hint="eastAsia"/>
          <w:color w:val="auto"/>
          <w:szCs w:val="21"/>
          <w:highlight w:val="none"/>
          <w:u w:val="single"/>
        </w:rPr>
        <w:t xml:space="preserve"> 纸质及电子版本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w:t>
      </w:r>
      <w:r>
        <w:rPr>
          <w:rFonts w:hint="eastAsia"/>
          <w:color w:val="auto"/>
          <w:szCs w:val="21"/>
          <w:highlight w:val="none"/>
        </w:rPr>
        <w:t>审批</w:t>
      </w:r>
      <w:r>
        <w:rPr>
          <w:color w:val="auto"/>
          <w:szCs w:val="21"/>
          <w:highlight w:val="none"/>
        </w:rPr>
        <w:t>承包人文件的期限：</w:t>
      </w:r>
      <w:r>
        <w:rPr>
          <w:rFonts w:hint="eastAsia"/>
          <w:color w:val="auto"/>
          <w:szCs w:val="21"/>
          <w:highlight w:val="none"/>
          <w:u w:val="single"/>
        </w:rPr>
        <w:t xml:space="preserve"> 收到相应文件后7天内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1.6.5 现场图纸准备</w:t>
      </w:r>
    </w:p>
    <w:p>
      <w:pPr>
        <w:spacing w:line="360" w:lineRule="exact"/>
        <w:ind w:firstLine="420" w:firstLineChars="200"/>
        <w:rPr>
          <w:color w:val="auto"/>
          <w:szCs w:val="21"/>
          <w:highlight w:val="none"/>
          <w:u w:val="single"/>
        </w:rPr>
      </w:pPr>
      <w:r>
        <w:rPr>
          <w:color w:val="auto"/>
          <w:szCs w:val="21"/>
          <w:highlight w:val="none"/>
        </w:rPr>
        <w:t>关于现场图纸准备的约定：</w:t>
      </w:r>
      <w:r>
        <w:rPr>
          <w:rFonts w:hint="eastAsia"/>
          <w:color w:val="auto"/>
          <w:szCs w:val="21"/>
          <w:highlight w:val="none"/>
          <w:u w:val="single"/>
        </w:rPr>
        <w:t xml:space="preserve"> 由监理人在现场保管一套完整施工图，供发包人、监理人及有关人员进行工程检查等活动时使用</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1.7 联络</w:t>
      </w:r>
    </w:p>
    <w:p>
      <w:pPr>
        <w:spacing w:line="360" w:lineRule="exact"/>
        <w:ind w:firstLine="420" w:firstLineChars="200"/>
        <w:rPr>
          <w:color w:val="auto"/>
          <w:szCs w:val="21"/>
          <w:highlight w:val="none"/>
        </w:rPr>
      </w:pPr>
      <w:r>
        <w:rPr>
          <w:color w:val="auto"/>
          <w:szCs w:val="21"/>
          <w:highlight w:val="none"/>
        </w:rPr>
        <w:t>1.7.1发包人和承包人应当在</w:t>
      </w:r>
      <w:r>
        <w:rPr>
          <w:color w:val="auto"/>
          <w:szCs w:val="21"/>
          <w:highlight w:val="none"/>
          <w:u w:val="single"/>
        </w:rPr>
        <w:t></w:t>
      </w:r>
      <w:r>
        <w:rPr>
          <w:rFonts w:hint="eastAsia"/>
          <w:color w:val="auto"/>
          <w:szCs w:val="21"/>
          <w:highlight w:val="none"/>
          <w:u w:val="single"/>
        </w:rPr>
        <w:t>7</w:t>
      </w:r>
      <w:r>
        <w:rPr>
          <w:color w:val="auto"/>
          <w:szCs w:val="21"/>
          <w:highlight w:val="none"/>
          <w:u w:val="single"/>
        </w:rPr>
        <w:t xml:space="preserve">  </w:t>
      </w:r>
      <w:r>
        <w:rPr>
          <w:color w:val="auto"/>
          <w:szCs w:val="21"/>
          <w:highlight w:val="none"/>
        </w:rPr>
        <w:t>天内将与合同有关的通知、批准、证明、证书、指示、指令、要求、请求、同意、意见、确定和决定等书面函件送达对方当事人</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1.7.2 发包人接收文件的地点：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承包人接收文件的地点：</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监理人接收文件的地点：</w:t>
      </w:r>
      <w:r>
        <w:rPr>
          <w:rFonts w:hint="eastAsia"/>
          <w:color w:val="auto"/>
          <w:szCs w:val="21"/>
          <w:highlight w:val="none"/>
          <w:u w:val="single"/>
        </w:rPr>
        <w:t xml:space="preserve">现场办公室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监理人指定的接收人为：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1.10 交通运输</w:t>
      </w:r>
    </w:p>
    <w:p>
      <w:pPr>
        <w:spacing w:line="360" w:lineRule="exact"/>
        <w:ind w:firstLine="420" w:firstLineChars="200"/>
        <w:rPr>
          <w:color w:val="auto"/>
          <w:szCs w:val="21"/>
          <w:highlight w:val="none"/>
        </w:rPr>
      </w:pPr>
      <w:r>
        <w:rPr>
          <w:color w:val="auto"/>
          <w:szCs w:val="21"/>
          <w:highlight w:val="none"/>
        </w:rPr>
        <w:t>1.10.1 出入现场的权利</w:t>
      </w:r>
    </w:p>
    <w:p>
      <w:pPr>
        <w:spacing w:line="360" w:lineRule="exact"/>
        <w:ind w:firstLine="420" w:firstLineChars="200"/>
        <w:rPr>
          <w:color w:val="auto"/>
          <w:szCs w:val="21"/>
          <w:highlight w:val="none"/>
          <w:u w:val="single"/>
        </w:rPr>
      </w:pPr>
      <w:r>
        <w:rPr>
          <w:color w:val="auto"/>
          <w:szCs w:val="21"/>
          <w:highlight w:val="none"/>
        </w:rPr>
        <w:t>关于出入现场的权利的约定：</w:t>
      </w:r>
      <w:r>
        <w:rPr>
          <w:rFonts w:hint="eastAsia"/>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1.10.3 场内交通</w:t>
      </w:r>
    </w:p>
    <w:p>
      <w:pPr>
        <w:spacing w:line="360" w:lineRule="exact"/>
        <w:ind w:firstLine="420" w:firstLineChars="200"/>
        <w:rPr>
          <w:color w:val="auto"/>
          <w:szCs w:val="21"/>
          <w:highlight w:val="none"/>
        </w:rPr>
      </w:pPr>
      <w:r>
        <w:rPr>
          <w:color w:val="auto"/>
          <w:szCs w:val="21"/>
          <w:highlight w:val="none"/>
        </w:rPr>
        <w:t>关于场外交通和场内交通的边界的约定：</w:t>
      </w:r>
      <w:r>
        <w:rPr>
          <w:rFonts w:hint="eastAsia"/>
          <w:b/>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关</w:t>
      </w:r>
      <w:r>
        <w:rPr>
          <w:color w:val="auto"/>
          <w:szCs w:val="21"/>
          <w:highlight w:val="none"/>
        </w:rPr>
        <w:t>于发包人向承包人免费提供满足工程施工需要的场内道路和交通设施的约定：</w:t>
      </w:r>
      <w:r>
        <w:rPr>
          <w:rFonts w:hint="eastAsia"/>
          <w:color w:val="auto"/>
          <w:szCs w:val="21"/>
          <w:highlight w:val="none"/>
          <w:u w:val="single"/>
        </w:rPr>
        <w:t>发包人提供的施工条件为现状，承包人自行组织现场踏勘了解，施工期间的维护、管理及相应费用由承包人承担</w:t>
      </w:r>
      <w:r>
        <w:rPr>
          <w:rFonts w:hint="eastAsia"/>
          <w:color w:val="auto"/>
          <w:szCs w:val="21"/>
          <w:highlight w:val="none"/>
        </w:rPr>
        <w:t>。</w:t>
      </w:r>
      <w:bookmarkStart w:id="179" w:name="_Toc318581157"/>
    </w:p>
    <w:p>
      <w:pPr>
        <w:spacing w:line="360" w:lineRule="exact"/>
        <w:ind w:firstLine="420" w:firstLineChars="200"/>
        <w:rPr>
          <w:color w:val="auto"/>
          <w:szCs w:val="21"/>
          <w:highlight w:val="none"/>
        </w:rPr>
      </w:pPr>
      <w:r>
        <w:rPr>
          <w:color w:val="auto"/>
          <w:szCs w:val="21"/>
          <w:highlight w:val="none"/>
        </w:rPr>
        <w:t>1.10.4超大件和超重件的运输</w:t>
      </w:r>
    </w:p>
    <w:p>
      <w:pPr>
        <w:spacing w:line="360" w:lineRule="exact"/>
        <w:ind w:firstLine="420" w:firstLineChars="200"/>
        <w:rPr>
          <w:color w:val="auto"/>
          <w:szCs w:val="21"/>
          <w:highlight w:val="none"/>
        </w:rPr>
      </w:pPr>
      <w:r>
        <w:rPr>
          <w:color w:val="auto"/>
          <w:szCs w:val="21"/>
          <w:highlight w:val="none"/>
        </w:rPr>
        <w:t>运输超大件或超重件所需的道路和桥梁临时加固改造费用和其他有关费用由</w:t>
      </w:r>
      <w:r>
        <w:rPr>
          <w:rFonts w:hint="eastAsia"/>
          <w:color w:val="auto"/>
          <w:szCs w:val="21"/>
          <w:highlight w:val="none"/>
          <w:u w:val="single"/>
        </w:rPr>
        <w:t>承包人在报价中综合考虑，并承担相应费用</w:t>
      </w:r>
      <w:r>
        <w:rPr>
          <w:rFonts w:hint="eastAsia"/>
          <w:color w:val="auto"/>
          <w:szCs w:val="21"/>
          <w:highlight w:val="none"/>
        </w:rPr>
        <w:t>。</w:t>
      </w:r>
    </w:p>
    <w:bookmarkEnd w:id="179"/>
    <w:p>
      <w:pPr>
        <w:spacing w:line="360" w:lineRule="exact"/>
        <w:ind w:firstLine="420" w:firstLineChars="200"/>
        <w:rPr>
          <w:color w:val="auto"/>
          <w:szCs w:val="21"/>
          <w:highlight w:val="none"/>
        </w:rPr>
      </w:pPr>
      <w:r>
        <w:rPr>
          <w:color w:val="auto"/>
          <w:szCs w:val="21"/>
          <w:highlight w:val="none"/>
        </w:rPr>
        <w:t>1.11 知识产权</w:t>
      </w:r>
    </w:p>
    <w:p>
      <w:pPr>
        <w:spacing w:line="360" w:lineRule="exact"/>
        <w:ind w:firstLine="420" w:firstLineChars="200"/>
        <w:rPr>
          <w:color w:val="auto"/>
          <w:szCs w:val="21"/>
          <w:highlight w:val="none"/>
        </w:rPr>
      </w:pPr>
      <w:r>
        <w:rPr>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color w:val="auto"/>
          <w:szCs w:val="21"/>
          <w:highlight w:val="none"/>
          <w:u w:val="single"/>
        </w:rPr>
        <w:t xml:space="preserve"> </w:t>
      </w:r>
      <w:r>
        <w:rPr>
          <w:color w:val="auto"/>
          <w:szCs w:val="21"/>
          <w:highlight w:val="none"/>
          <w:u w:val="single"/>
        </w:rPr>
        <w:t xml:space="preserve">按合同通用条款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关于发包人提供的上述文件的使用限制的要求：</w:t>
      </w:r>
      <w:r>
        <w:rPr>
          <w:color w:val="auto"/>
          <w:szCs w:val="21"/>
          <w:highlight w:val="none"/>
          <w:u w:val="single"/>
        </w:rPr>
        <w:t xml:space="preserve"> 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1.11.2 关于承包人为实施工程所编制文件的著作权的归属：</w:t>
      </w:r>
      <w:r>
        <w:rPr>
          <w:color w:val="auto"/>
          <w:szCs w:val="21"/>
          <w:highlight w:val="none"/>
          <w:u w:val="single"/>
        </w:rPr>
        <w:t xml:space="preserve"> 发包人</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关于承包人提供的上述文件的使用限制的要求：</w:t>
      </w:r>
      <w:r>
        <w:rPr>
          <w:rFonts w:hint="eastAsia"/>
          <w:color w:val="auto"/>
          <w:szCs w:val="21"/>
          <w:highlight w:val="none"/>
          <w:u w:val="single"/>
        </w:rPr>
        <w:t xml:space="preserve"> </w:t>
      </w:r>
      <w:r>
        <w:rPr>
          <w:color w:val="auto"/>
          <w:szCs w:val="21"/>
          <w:highlight w:val="none"/>
          <w:u w:val="single"/>
        </w:rPr>
        <w:t>按合同通用条款</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1.11.4 承包人在施工过程中所采用的专利、专有技术、技术秘密的使用费的承担方式：</w:t>
      </w:r>
      <w:r>
        <w:rPr>
          <w:color w:val="auto"/>
          <w:szCs w:val="21"/>
          <w:highlight w:val="none"/>
          <w:u w:val="single"/>
        </w:rPr>
        <w:t xml:space="preserve">包含在签约合同价内  </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1.13工程量清单错误的修正：</w:t>
      </w:r>
      <w:r>
        <w:rPr>
          <w:rFonts w:hint="eastAsia"/>
          <w:color w:val="auto"/>
          <w:szCs w:val="21"/>
          <w:highlight w:val="none"/>
          <w:u w:val="single"/>
        </w:rPr>
        <w:t>调整。</w:t>
      </w:r>
    </w:p>
    <w:p>
      <w:pPr>
        <w:spacing w:line="360" w:lineRule="exact"/>
        <w:ind w:firstLine="420" w:firstLineChars="200"/>
        <w:rPr>
          <w:bCs/>
          <w:color w:val="auto"/>
          <w:szCs w:val="21"/>
          <w:highlight w:val="none"/>
        </w:rPr>
      </w:pPr>
      <w:r>
        <w:rPr>
          <w:bCs/>
          <w:color w:val="auto"/>
          <w:szCs w:val="21"/>
          <w:highlight w:val="none"/>
        </w:rPr>
        <w:t>2. 发包人</w:t>
      </w:r>
    </w:p>
    <w:p>
      <w:pPr>
        <w:spacing w:line="360" w:lineRule="exact"/>
        <w:ind w:firstLine="420" w:firstLineChars="200"/>
        <w:rPr>
          <w:color w:val="auto"/>
          <w:szCs w:val="21"/>
          <w:highlight w:val="none"/>
        </w:rPr>
      </w:pPr>
      <w:r>
        <w:rPr>
          <w:color w:val="auto"/>
          <w:szCs w:val="21"/>
          <w:highlight w:val="none"/>
        </w:rPr>
        <w:t>2.2 发包人代表</w:t>
      </w:r>
    </w:p>
    <w:p>
      <w:pPr>
        <w:spacing w:line="360" w:lineRule="exact"/>
        <w:ind w:firstLine="420" w:firstLineChars="200"/>
        <w:rPr>
          <w:color w:val="auto"/>
          <w:szCs w:val="21"/>
          <w:highlight w:val="none"/>
        </w:rPr>
      </w:pPr>
      <w:r>
        <w:rPr>
          <w:color w:val="auto"/>
          <w:szCs w:val="21"/>
          <w:highlight w:val="none"/>
        </w:rPr>
        <w:t>发包人代表：</w:t>
      </w:r>
    </w:p>
    <w:p>
      <w:pPr>
        <w:spacing w:line="360" w:lineRule="exact"/>
        <w:ind w:firstLine="420" w:firstLineChars="200"/>
        <w:rPr>
          <w:color w:val="auto"/>
          <w:szCs w:val="21"/>
          <w:highlight w:val="none"/>
        </w:rPr>
      </w:pPr>
      <w:r>
        <w:rPr>
          <w:color w:val="auto"/>
          <w:szCs w:val="21"/>
          <w:highlight w:val="none"/>
        </w:rPr>
        <w:t>姓    名：</w:t>
      </w:r>
      <w:r>
        <w:rPr>
          <w:color w:val="auto"/>
          <w:szCs w:val="21"/>
          <w:highlight w:val="none"/>
          <w:u w:val="single"/>
        </w:rPr>
        <w:t>以发包人通知为准</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身份证号：</w:t>
      </w:r>
      <w:r>
        <w:rPr>
          <w:color w:val="auto"/>
          <w:szCs w:val="21"/>
          <w:highlight w:val="none"/>
          <w:u w:val="single"/>
        </w:rPr>
        <w:t></w:t>
      </w:r>
      <w:r>
        <w:rPr>
          <w:rFonts w:hint="eastAsia"/>
          <w:color w:val="auto"/>
          <w:szCs w:val="21"/>
          <w:highlight w:val="none"/>
          <w:u w:val="single"/>
        </w:rPr>
        <w:t>/</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职    务：</w:t>
      </w:r>
      <w:r>
        <w:rPr>
          <w:color w:val="auto"/>
          <w:szCs w:val="21"/>
          <w:highlight w:val="none"/>
          <w:u w:val="single"/>
        </w:rPr>
        <w:t></w:t>
      </w:r>
      <w:r>
        <w:rPr>
          <w:rFonts w:hint="eastAsia"/>
          <w:color w:val="auto"/>
          <w:szCs w:val="21"/>
          <w:highlight w:val="none"/>
          <w:u w:val="single"/>
        </w:rPr>
        <w:t>/</w:t>
      </w:r>
      <w:r>
        <w:rPr>
          <w:color w:val="auto"/>
          <w:szCs w:val="21"/>
          <w:highlight w:val="none"/>
          <w:u w:val="single"/>
        </w:rPr>
        <w:t>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color w:val="auto"/>
          <w:szCs w:val="21"/>
          <w:highlight w:val="none"/>
          <w:u w:val="single"/>
        </w:rPr>
        <w:t>  </w:t>
      </w:r>
      <w:r>
        <w:rPr>
          <w:rFonts w:hint="eastAsia"/>
          <w:color w:val="auto"/>
          <w:szCs w:val="21"/>
          <w:highlight w:val="none"/>
          <w:u w:val="single"/>
        </w:rPr>
        <w:t>/</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color w:val="auto"/>
          <w:szCs w:val="21"/>
          <w:highlight w:val="none"/>
          <w:u w:val="single"/>
        </w:rPr>
        <w:t>  </w:t>
      </w:r>
      <w:r>
        <w:rPr>
          <w:rFonts w:hint="eastAsia"/>
          <w:color w:val="auto"/>
          <w:szCs w:val="21"/>
          <w:highlight w:val="none"/>
          <w:u w:val="single"/>
        </w:rPr>
        <w:t>/</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color w:val="auto"/>
          <w:szCs w:val="21"/>
          <w:highlight w:val="none"/>
          <w:u w:val="single"/>
        </w:rPr>
        <w:t></w:t>
      </w:r>
      <w:r>
        <w:rPr>
          <w:rFonts w:hint="eastAsia"/>
          <w:color w:val="auto"/>
          <w:szCs w:val="21"/>
          <w:highlight w:val="none"/>
          <w:u w:val="single"/>
        </w:rPr>
        <w:t>/</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发包人对发包人代表的授权范围如下：</w:t>
      </w:r>
      <w:r>
        <w:rPr>
          <w:rFonts w:hint="eastAsia"/>
          <w:color w:val="auto"/>
          <w:szCs w:val="21"/>
          <w:highlight w:val="none"/>
          <w:u w:val="single"/>
        </w:rPr>
        <w:t>承包人将施工工期、工程量复核、设计变更及施工联系单、工程款支付签证等交至监理人审核，监理人签署后报发包人代表负责审核及签署。发包人代表同时负责监理及施工项目班子人员管理及施工现场的服务、协调、督查工作</w:t>
      </w:r>
      <w:r>
        <w:rPr>
          <w:color w:val="auto"/>
          <w:szCs w:val="21"/>
          <w:highlight w:val="none"/>
          <w:u w:val="single"/>
        </w:rPr>
        <w:t>。</w:t>
      </w:r>
      <w:r>
        <w:rPr>
          <w:rFonts w:hint="eastAsia"/>
          <w:color w:val="auto"/>
          <w:szCs w:val="21"/>
          <w:highlight w:val="none"/>
          <w:u w:val="single"/>
        </w:rPr>
        <w:t xml:space="preserve"> </w:t>
      </w:r>
    </w:p>
    <w:p>
      <w:pPr>
        <w:spacing w:line="360" w:lineRule="exact"/>
        <w:ind w:firstLine="420" w:firstLineChars="200"/>
        <w:rPr>
          <w:color w:val="auto"/>
          <w:szCs w:val="21"/>
          <w:highlight w:val="none"/>
        </w:rPr>
      </w:pPr>
      <w:r>
        <w:rPr>
          <w:color w:val="auto"/>
          <w:szCs w:val="21"/>
          <w:highlight w:val="none"/>
        </w:rPr>
        <w:t>2.4 施工现场、施工条件和基础资料的提供</w:t>
      </w:r>
    </w:p>
    <w:p>
      <w:pPr>
        <w:spacing w:line="360" w:lineRule="exact"/>
        <w:ind w:firstLine="420" w:firstLineChars="200"/>
        <w:rPr>
          <w:color w:val="auto"/>
          <w:szCs w:val="21"/>
          <w:highlight w:val="none"/>
        </w:rPr>
      </w:pPr>
      <w:r>
        <w:rPr>
          <w:color w:val="auto"/>
          <w:szCs w:val="21"/>
          <w:highlight w:val="none"/>
        </w:rPr>
        <w:t>2.4.1 提供施工现场</w:t>
      </w:r>
    </w:p>
    <w:p>
      <w:pPr>
        <w:spacing w:line="360" w:lineRule="exact"/>
        <w:ind w:firstLine="420" w:firstLineChars="200"/>
        <w:rPr>
          <w:color w:val="auto"/>
          <w:szCs w:val="21"/>
          <w:highlight w:val="none"/>
        </w:rPr>
      </w:pPr>
      <w:r>
        <w:rPr>
          <w:color w:val="auto"/>
          <w:szCs w:val="21"/>
          <w:highlight w:val="none"/>
        </w:rPr>
        <w:t>关于发包人移交施工现场的期限要求：</w:t>
      </w:r>
      <w:r>
        <w:rPr>
          <w:color w:val="auto"/>
          <w:szCs w:val="21"/>
          <w:highlight w:val="none"/>
          <w:u w:val="single"/>
        </w:rPr>
        <w:t></w:t>
      </w:r>
      <w:r>
        <w:rPr>
          <w:rFonts w:hint="eastAsia"/>
          <w:color w:val="auto"/>
          <w:szCs w:val="21"/>
          <w:highlight w:val="none"/>
          <w:u w:val="single"/>
        </w:rPr>
        <w:t>开工日期14天前</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2.4.2 提供施工条件</w:t>
      </w:r>
    </w:p>
    <w:p>
      <w:pPr>
        <w:spacing w:line="360" w:lineRule="exact"/>
        <w:ind w:firstLine="420" w:firstLineChars="200"/>
        <w:rPr>
          <w:rFonts w:ascii="宋体" w:hAnsi="宋体" w:cs="宋体"/>
          <w:color w:val="auto"/>
          <w:szCs w:val="21"/>
          <w:highlight w:val="none"/>
          <w:u w:val="single"/>
        </w:rPr>
      </w:pPr>
      <w:r>
        <w:rPr>
          <w:color w:val="auto"/>
          <w:szCs w:val="21"/>
          <w:highlight w:val="none"/>
        </w:rPr>
        <w:t>关于发包人应负责提供施工</w:t>
      </w:r>
      <w:r>
        <w:rPr>
          <w:rFonts w:hint="eastAsia"/>
          <w:color w:val="auto"/>
          <w:szCs w:val="21"/>
          <w:highlight w:val="none"/>
        </w:rPr>
        <w:t>所需要的条件，</w:t>
      </w:r>
      <w:r>
        <w:rPr>
          <w:color w:val="auto"/>
          <w:szCs w:val="21"/>
          <w:highlight w:val="none"/>
        </w:rPr>
        <w:t>包括：</w:t>
      </w:r>
      <w:r>
        <w:rPr>
          <w:rFonts w:hint="eastAsia"/>
          <w:color w:val="auto"/>
          <w:szCs w:val="21"/>
          <w:highlight w:val="none"/>
          <w:u w:val="single"/>
        </w:rPr>
        <w:t>发包人提供的施工条件为现状，承包人自行组织现场踏勘了解，涉及施工用电、用水等相关接入费用不再另行计取。</w:t>
      </w:r>
    </w:p>
    <w:p>
      <w:pPr>
        <w:spacing w:line="360" w:lineRule="exact"/>
        <w:ind w:firstLine="420" w:firstLineChars="200"/>
        <w:rPr>
          <w:color w:val="auto"/>
          <w:szCs w:val="21"/>
          <w:highlight w:val="none"/>
        </w:rPr>
      </w:pPr>
      <w:r>
        <w:rPr>
          <w:color w:val="auto"/>
          <w:szCs w:val="21"/>
          <w:highlight w:val="none"/>
        </w:rPr>
        <w:t>2.5 资金来源证明及支付担保</w:t>
      </w:r>
    </w:p>
    <w:p>
      <w:pPr>
        <w:spacing w:line="360" w:lineRule="exact"/>
        <w:ind w:firstLine="420" w:firstLineChars="200"/>
        <w:rPr>
          <w:color w:val="auto"/>
          <w:szCs w:val="21"/>
          <w:highlight w:val="none"/>
        </w:rPr>
      </w:pPr>
      <w:r>
        <w:rPr>
          <w:color w:val="auto"/>
          <w:szCs w:val="21"/>
          <w:highlight w:val="none"/>
        </w:rPr>
        <w:t>发包人提供资金来源证明的期限要求：</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发包人是否提供支付担保：</w:t>
      </w:r>
      <w:r>
        <w:rPr>
          <w:rFonts w:hint="eastAsia"/>
          <w:color w:val="auto"/>
          <w:szCs w:val="21"/>
          <w:highlight w:val="none"/>
          <w:u w:val="single"/>
        </w:rPr>
        <w:t xml:space="preserve">  否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发包人提供支付担保的形式：</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3. 承包人</w:t>
      </w:r>
    </w:p>
    <w:p>
      <w:pPr>
        <w:spacing w:line="360" w:lineRule="exact"/>
        <w:ind w:firstLine="420" w:firstLineChars="200"/>
        <w:rPr>
          <w:color w:val="auto"/>
          <w:szCs w:val="21"/>
          <w:highlight w:val="none"/>
        </w:rPr>
      </w:pPr>
      <w:r>
        <w:rPr>
          <w:color w:val="auto"/>
          <w:szCs w:val="21"/>
          <w:highlight w:val="none"/>
        </w:rPr>
        <w:t>3.1 承包人的一般义务</w:t>
      </w:r>
    </w:p>
    <w:p>
      <w:pPr>
        <w:spacing w:line="360" w:lineRule="exact"/>
        <w:ind w:firstLine="420" w:firstLineChars="200"/>
        <w:rPr>
          <w:color w:val="auto"/>
          <w:szCs w:val="21"/>
          <w:highlight w:val="none"/>
        </w:rPr>
      </w:pPr>
      <w:r>
        <w:rPr>
          <w:color w:val="auto"/>
          <w:szCs w:val="21"/>
          <w:highlight w:val="none"/>
        </w:rPr>
        <w:t>（</w:t>
      </w:r>
      <w:r>
        <w:rPr>
          <w:rFonts w:hint="eastAsia"/>
          <w:color w:val="auto"/>
          <w:szCs w:val="21"/>
          <w:highlight w:val="none"/>
        </w:rPr>
        <w:t>9</w:t>
      </w:r>
      <w:r>
        <w:rPr>
          <w:color w:val="auto"/>
          <w:szCs w:val="21"/>
          <w:highlight w:val="none"/>
        </w:rPr>
        <w:t>）承包人提交的竣工资料的内容：</w:t>
      </w:r>
      <w:r>
        <w:rPr>
          <w:rFonts w:hint="eastAsia"/>
          <w:color w:val="auto"/>
          <w:szCs w:val="21"/>
          <w:highlight w:val="none"/>
          <w:u w:val="single"/>
        </w:rPr>
        <w:t>向发包人提交按规范规定应由承包人编制部分的竣工资料，包括含施工过程中验收、检查时拍摄或录制的相片、影像资料等，并符合建设工程资料存档要求</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承包人需要提交的竣工资料套数：</w:t>
      </w:r>
      <w:r>
        <w:rPr>
          <w:rFonts w:hint="eastAsia"/>
          <w:color w:val="auto"/>
          <w:szCs w:val="21"/>
          <w:highlight w:val="none"/>
          <w:u w:val="single"/>
        </w:rPr>
        <w:t>两套</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承包人提交的竣工资料的费用承担：</w:t>
      </w:r>
      <w:r>
        <w:rPr>
          <w:rFonts w:hint="eastAsia"/>
          <w:color w:val="auto"/>
          <w:szCs w:val="21"/>
          <w:highlight w:val="none"/>
          <w:u w:val="single"/>
        </w:rPr>
        <w:t>由承包人承担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承包人提交的竣工资料移交时间：</w:t>
      </w:r>
      <w:r>
        <w:rPr>
          <w:rFonts w:hint="eastAsia"/>
          <w:color w:val="auto"/>
          <w:szCs w:val="21"/>
          <w:highlight w:val="none"/>
          <w:u w:val="single"/>
        </w:rPr>
        <w:t>工程竣工验收合格后7天内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承包人提交的竣工资料形式要求：</w:t>
      </w:r>
      <w:r>
        <w:rPr>
          <w:rFonts w:hint="eastAsia"/>
          <w:color w:val="auto"/>
          <w:szCs w:val="21"/>
          <w:highlight w:val="none"/>
          <w:u w:val="single"/>
        </w:rPr>
        <w:t>纸质及相关电子数据</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w:t>
      </w:r>
      <w:r>
        <w:rPr>
          <w:rFonts w:hint="eastAsia"/>
          <w:color w:val="auto"/>
          <w:szCs w:val="21"/>
          <w:highlight w:val="none"/>
        </w:rPr>
        <w:t>10</w:t>
      </w:r>
      <w:r>
        <w:rPr>
          <w:color w:val="auto"/>
          <w:szCs w:val="21"/>
          <w:highlight w:val="none"/>
        </w:rPr>
        <w:t>）承包人应履行的其他义务：</w:t>
      </w:r>
    </w:p>
    <w:p>
      <w:pPr>
        <w:spacing w:line="360" w:lineRule="exact"/>
        <w:ind w:firstLine="420" w:firstLineChars="200"/>
        <w:rPr>
          <w:color w:val="auto"/>
          <w:szCs w:val="21"/>
          <w:highlight w:val="none"/>
          <w:u w:val="single"/>
        </w:rPr>
      </w:pPr>
      <w:r>
        <w:rPr>
          <w:color w:val="auto"/>
          <w:szCs w:val="21"/>
          <w:highlight w:val="none"/>
          <w:u w:val="single"/>
        </w:rPr>
        <w:t>a.在施工中必须严格按照规范操作，并针对邻近建筑物实际情况，采取相应防护措施，对不按规范要求施工或未采取防护措施的，造成的损失由承包人承担。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color w:val="auto"/>
          <w:szCs w:val="21"/>
          <w:highlight w:val="none"/>
          <w:u w:val="single"/>
        </w:rPr>
      </w:pPr>
      <w:r>
        <w:rPr>
          <w:color w:val="auto"/>
          <w:szCs w:val="21"/>
          <w:highlight w:val="none"/>
          <w:u w:val="single"/>
        </w:rPr>
        <w:t>b.本项目施工安全由承包人负总责。</w:t>
      </w:r>
    </w:p>
    <w:p>
      <w:pPr>
        <w:spacing w:line="360" w:lineRule="exact"/>
        <w:ind w:firstLine="420" w:firstLineChars="200"/>
        <w:rPr>
          <w:color w:val="auto"/>
          <w:szCs w:val="21"/>
          <w:highlight w:val="none"/>
          <w:u w:val="single"/>
        </w:rPr>
      </w:pPr>
      <w:r>
        <w:rPr>
          <w:color w:val="auto"/>
          <w:szCs w:val="21"/>
          <w:highlight w:val="none"/>
          <w:u w:val="single"/>
        </w:rPr>
        <w:t>c.</w:t>
      </w:r>
      <w:r>
        <w:rPr>
          <w:rFonts w:hint="eastAsia"/>
          <w:color w:val="auto"/>
          <w:szCs w:val="21"/>
          <w:highlight w:val="none"/>
          <w:u w:val="single"/>
        </w:rPr>
        <w:t>其他：</w:t>
      </w:r>
    </w:p>
    <w:p>
      <w:pPr>
        <w:spacing w:line="360" w:lineRule="exact"/>
        <w:ind w:firstLine="420" w:firstLineChars="200"/>
        <w:rPr>
          <w:color w:val="auto"/>
          <w:szCs w:val="21"/>
          <w:highlight w:val="none"/>
          <w:u w:val="single"/>
        </w:rPr>
      </w:pPr>
      <w:r>
        <w:rPr>
          <w:rFonts w:hint="eastAsia"/>
          <w:color w:val="auto"/>
          <w:szCs w:val="21"/>
          <w:highlight w:val="none"/>
          <w:u w:val="single"/>
        </w:rPr>
        <w:t>①对发包人的现场监督工作予以充分的配合与协助。承包人服从发包人、监理公司的管理，做好交叉施工事宜及其他与本工程施工相关的工作，不得由此向发包人提出相关费用的要求。</w:t>
      </w:r>
    </w:p>
    <w:p>
      <w:pPr>
        <w:spacing w:line="360" w:lineRule="exact"/>
        <w:ind w:firstLine="420" w:firstLineChars="200"/>
        <w:rPr>
          <w:color w:val="auto"/>
          <w:szCs w:val="21"/>
          <w:highlight w:val="none"/>
          <w:u w:val="single"/>
        </w:rPr>
      </w:pPr>
      <w:r>
        <w:rPr>
          <w:rFonts w:hint="eastAsia"/>
          <w:color w:val="auto"/>
          <w:szCs w:val="21"/>
          <w:highlight w:val="none"/>
          <w:u w:val="single"/>
        </w:rPr>
        <w:t>②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地施工单位进台州的施工备案费用、排污管理费、噪声管理费、垃圾管理费等。</w:t>
      </w:r>
    </w:p>
    <w:p>
      <w:pPr>
        <w:spacing w:line="360" w:lineRule="exact"/>
        <w:ind w:firstLine="420" w:firstLineChars="200"/>
        <w:rPr>
          <w:color w:val="auto"/>
          <w:szCs w:val="21"/>
          <w:highlight w:val="none"/>
          <w:u w:val="single"/>
        </w:rPr>
      </w:pPr>
      <w:r>
        <w:rPr>
          <w:rFonts w:hint="eastAsia"/>
          <w:color w:val="auto"/>
          <w:szCs w:val="21"/>
          <w:highlight w:val="none"/>
          <w:u w:val="single"/>
        </w:rPr>
        <w:t>③重大活动期间以及发包人需要的时间段内，可能对施工做出某些限制和配合要求，承包人应按照要求做出必要的配合，并承担有可能因此而引起工效降低所需增加的费用。相关费用含在合同价款中。</w:t>
      </w:r>
    </w:p>
    <w:p>
      <w:pPr>
        <w:spacing w:line="360" w:lineRule="exact"/>
        <w:ind w:firstLine="420" w:firstLineChars="200"/>
        <w:rPr>
          <w:color w:val="auto"/>
          <w:szCs w:val="21"/>
          <w:highlight w:val="none"/>
          <w:u w:val="single"/>
        </w:rPr>
      </w:pPr>
      <w:r>
        <w:rPr>
          <w:rFonts w:hint="eastAsia"/>
          <w:color w:val="auto"/>
          <w:szCs w:val="21"/>
          <w:highlight w:val="none"/>
          <w:u w:val="single"/>
        </w:rPr>
        <w:t>④由于施工产生的建筑垃圾及时进行清运。</w:t>
      </w:r>
    </w:p>
    <w:p>
      <w:pPr>
        <w:spacing w:line="360" w:lineRule="exact"/>
        <w:ind w:firstLine="420" w:firstLineChars="200"/>
        <w:rPr>
          <w:color w:val="auto"/>
          <w:szCs w:val="21"/>
          <w:highlight w:val="none"/>
          <w:u w:val="single"/>
        </w:rPr>
      </w:pPr>
      <w:r>
        <w:rPr>
          <w:rFonts w:hint="eastAsia"/>
          <w:color w:val="auto"/>
          <w:szCs w:val="21"/>
          <w:highlight w:val="none"/>
          <w:u w:val="single"/>
        </w:rPr>
        <w:t>⑤承包人在合同履行过程中，应严格遵守和执行发包人制定的各项管理制度和规定，严格执行发包人关于工程设计变更、签证等方面的审批程序及制度。</w:t>
      </w:r>
    </w:p>
    <w:p>
      <w:pPr>
        <w:spacing w:line="360" w:lineRule="exact"/>
        <w:ind w:firstLine="420" w:firstLineChars="200"/>
        <w:rPr>
          <w:color w:val="auto"/>
          <w:szCs w:val="21"/>
          <w:highlight w:val="none"/>
          <w:u w:val="single"/>
        </w:rPr>
      </w:pPr>
      <w:r>
        <w:rPr>
          <w:rFonts w:hint="eastAsia"/>
          <w:color w:val="auto"/>
          <w:szCs w:val="21"/>
          <w:highlight w:val="none"/>
          <w:u w:val="single"/>
        </w:rPr>
        <w:t>⑥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pacing w:line="360" w:lineRule="exact"/>
        <w:ind w:firstLine="420" w:firstLineChars="200"/>
        <w:rPr>
          <w:color w:val="auto"/>
          <w:szCs w:val="21"/>
          <w:highlight w:val="none"/>
          <w:u w:val="single"/>
        </w:rPr>
      </w:pPr>
      <w:r>
        <w:rPr>
          <w:rFonts w:hint="eastAsia"/>
          <w:color w:val="auto"/>
          <w:szCs w:val="21"/>
          <w:highlight w:val="none"/>
          <w:u w:val="single"/>
        </w:rPr>
        <w:t>⑦承包人应协助办理竣工验收备案、工程档案移交、工程项目移交的相关手续。承包人协助组织施工过程中的专项验收、竣工验收等，相关费用含在本合同价款中，发包人不再另行支付。</w:t>
      </w:r>
    </w:p>
    <w:p>
      <w:pPr>
        <w:spacing w:line="360" w:lineRule="exact"/>
        <w:ind w:firstLine="420" w:firstLineChars="200"/>
        <w:rPr>
          <w:color w:val="auto"/>
          <w:szCs w:val="21"/>
          <w:highlight w:val="none"/>
          <w:u w:val="single"/>
        </w:rPr>
      </w:pPr>
      <w:r>
        <w:rPr>
          <w:rFonts w:hint="eastAsia"/>
          <w:color w:val="auto"/>
          <w:szCs w:val="21"/>
          <w:highlight w:val="none"/>
          <w:u w:val="single"/>
        </w:rPr>
        <w:t>⑧承包人应专人负责妥善处理因施工引起的、对相邻或周边的建筑物或环境的各种影响，并承担相关的索赔费用。</w:t>
      </w:r>
    </w:p>
    <w:p>
      <w:pPr>
        <w:spacing w:line="360" w:lineRule="exact"/>
        <w:ind w:firstLine="420" w:firstLineChars="200"/>
        <w:rPr>
          <w:color w:val="auto"/>
          <w:szCs w:val="21"/>
          <w:highlight w:val="none"/>
          <w:u w:val="single"/>
        </w:rPr>
      </w:pPr>
      <w:r>
        <w:rPr>
          <w:rFonts w:hint="eastAsia" w:ascii="宋体" w:hAnsi="宋体"/>
          <w:color w:val="auto"/>
          <w:szCs w:val="21"/>
          <w:highlight w:val="none"/>
          <w:u w:val="single"/>
        </w:rPr>
        <w:t>⑨</w:t>
      </w:r>
      <w:r>
        <w:rPr>
          <w:rFonts w:hint="eastAsia"/>
          <w:color w:val="auto"/>
          <w:szCs w:val="21"/>
          <w:highlight w:val="none"/>
          <w:u w:val="single"/>
        </w:rPr>
        <w:t>承包人负责组织本工程的移交工作，移交期间现场安全、成品保护、水电费等可能发生的其他费用由承包人承担。承包人应在移交前负责完成承包范围内的卫生清理、保洁工作，保洁标准应经发包人验收确认，费用含在合同价款中。</w:t>
      </w:r>
    </w:p>
    <w:p>
      <w:pPr>
        <w:spacing w:line="360" w:lineRule="exact"/>
        <w:ind w:firstLine="420"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pPr>
        <w:spacing w:line="360" w:lineRule="exact"/>
        <w:ind w:firstLine="420"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pPr>
        <w:spacing w:line="360" w:lineRule="exact"/>
        <w:ind w:firstLine="420" w:firstLineChars="200"/>
        <w:rPr>
          <w:color w:val="auto"/>
          <w:szCs w:val="21"/>
          <w:highlight w:val="none"/>
        </w:rPr>
      </w:pPr>
      <w:bookmarkStart w:id="180" w:name="_Toc300934980"/>
      <w:bookmarkStart w:id="181" w:name="_Toc280868656"/>
      <w:bookmarkStart w:id="182" w:name="_Toc303539137"/>
      <w:bookmarkStart w:id="183" w:name="_Toc297120468"/>
      <w:bookmarkStart w:id="184" w:name="_Toc297048354"/>
      <w:bookmarkStart w:id="185" w:name="_Toc297216187"/>
      <w:bookmarkStart w:id="186" w:name="_Toc318581173"/>
      <w:bookmarkStart w:id="187" w:name="_Toc280868655"/>
      <w:bookmarkStart w:id="188" w:name="_Toc296347167"/>
      <w:bookmarkStart w:id="189" w:name="_Toc312677494"/>
      <w:bookmarkStart w:id="190" w:name="_Toc296944507"/>
      <w:bookmarkStart w:id="191" w:name="_Toc267251424"/>
      <w:bookmarkStart w:id="192" w:name="_Toc304295557"/>
      <w:bookmarkStart w:id="193" w:name="_Toc296890996"/>
      <w:bookmarkStart w:id="194" w:name="_Toc296503168"/>
      <w:bookmarkStart w:id="195" w:name="_Toc312678020"/>
      <w:bookmarkStart w:id="196" w:name="_Toc296891208"/>
      <w:bookmarkStart w:id="197" w:name="_Toc296346669"/>
      <w:bookmarkStart w:id="198" w:name="_Toc297123528"/>
      <w:r>
        <w:rPr>
          <w:color w:val="auto"/>
          <w:szCs w:val="21"/>
          <w:highlight w:val="none"/>
        </w:rPr>
        <w:t>3.2 项目经理</w:t>
      </w:r>
    </w:p>
    <w:p>
      <w:pPr>
        <w:spacing w:line="360" w:lineRule="exact"/>
        <w:ind w:firstLine="420" w:firstLineChars="200"/>
        <w:rPr>
          <w:color w:val="auto"/>
          <w:szCs w:val="21"/>
          <w:highlight w:val="none"/>
        </w:rPr>
      </w:pPr>
      <w:r>
        <w:rPr>
          <w:color w:val="auto"/>
          <w:szCs w:val="21"/>
          <w:highlight w:val="none"/>
        </w:rPr>
        <w:t>3.2.1 项目经理：</w:t>
      </w:r>
    </w:p>
    <w:p>
      <w:pPr>
        <w:spacing w:line="360" w:lineRule="exact"/>
        <w:ind w:firstLine="420" w:firstLineChars="20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身份证号：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建造师执业资格等级：</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建造师注册证书号：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建造师执业印章号：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安全生产考核合格证书号：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承包人对项目经理的授权范围如下：</w:t>
      </w:r>
      <w:r>
        <w:rPr>
          <w:rFonts w:hint="eastAsia"/>
          <w:color w:val="auto"/>
          <w:szCs w:val="21"/>
          <w:highlight w:val="none"/>
          <w:u w:val="single"/>
        </w:rPr>
        <w:t>负责质量、进度、安全及协调工作；负责办理变更、洽商相关手续</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关于项目经理每月在施工现场的时间要求：</w:t>
      </w:r>
      <w:r>
        <w:rPr>
          <w:color w:val="auto"/>
          <w:szCs w:val="21"/>
          <w:highlight w:val="none"/>
          <w:u w:val="single"/>
        </w:rPr>
        <w:t>月到岗须达</w:t>
      </w:r>
      <w:r>
        <w:rPr>
          <w:rFonts w:hint="eastAsia"/>
          <w:color w:val="auto"/>
          <w:szCs w:val="21"/>
          <w:highlight w:val="none"/>
          <w:u w:val="single"/>
        </w:rPr>
        <w:t>24天，月到岗达不到约定天数，按相关行业主管部发布的规定处理。遇有工程检查、验收或参观等活动时，无特殊原因不得离开施工现场</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承包人未提交劳动合同，以及没有为项目经理缴纳社会保险证明的违约责任：</w:t>
      </w:r>
      <w:r>
        <w:rPr>
          <w:rFonts w:hint="eastAsia"/>
          <w:color w:val="auto"/>
          <w:szCs w:val="21"/>
          <w:highlight w:val="none"/>
          <w:u w:val="single"/>
        </w:rPr>
        <w:t>按通用合同条款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项目经理未经批准，擅自离开施工现场的违约责任：</w:t>
      </w:r>
      <w:r>
        <w:rPr>
          <w:color w:val="auto"/>
          <w:szCs w:val="21"/>
          <w:highlight w:val="none"/>
          <w:u w:val="single"/>
        </w:rPr>
        <w:t>月到岗须达</w:t>
      </w:r>
      <w:r>
        <w:rPr>
          <w:rFonts w:hint="eastAsia"/>
          <w:color w:val="auto"/>
          <w:szCs w:val="21"/>
          <w:highlight w:val="none"/>
          <w:u w:val="single"/>
        </w:rPr>
        <w:t>24天</w:t>
      </w:r>
      <w:r>
        <w:rPr>
          <w:color w:val="auto"/>
          <w:szCs w:val="21"/>
          <w:highlight w:val="none"/>
          <w:u w:val="single"/>
        </w:rPr>
        <w:t>，不足天数，每天扣除</w:t>
      </w:r>
      <w:r>
        <w:rPr>
          <w:rFonts w:hint="eastAsia"/>
          <w:color w:val="auto"/>
          <w:szCs w:val="21"/>
          <w:highlight w:val="none"/>
          <w:u w:val="single"/>
        </w:rPr>
        <w:t>500元</w:t>
      </w:r>
      <w:r>
        <w:rPr>
          <w:color w:val="auto"/>
          <w:szCs w:val="21"/>
          <w:highlight w:val="none"/>
          <w:u w:val="single"/>
        </w:rPr>
        <w:t>，每月结算，在当期工程款支付时扣除。</w:t>
      </w:r>
    </w:p>
    <w:p>
      <w:pPr>
        <w:spacing w:line="360" w:lineRule="exact"/>
        <w:ind w:firstLine="420" w:firstLineChars="200"/>
        <w:rPr>
          <w:color w:val="auto"/>
          <w:szCs w:val="21"/>
          <w:highlight w:val="none"/>
          <w:u w:val="single"/>
        </w:rPr>
      </w:pPr>
      <w:r>
        <w:rPr>
          <w:color w:val="auto"/>
          <w:szCs w:val="21"/>
          <w:highlight w:val="none"/>
        </w:rPr>
        <w:t>3.2.3 承包人擅自更换项目经理的违约责任：</w:t>
      </w:r>
      <w:r>
        <w:rPr>
          <w:rFonts w:hint="eastAsia"/>
          <w:color w:val="auto"/>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w:t>
      </w:r>
      <w:r>
        <w:rPr>
          <w:color w:val="auto"/>
          <w:szCs w:val="21"/>
          <w:highlight w:val="none"/>
          <w:u w:val="single"/>
        </w:rPr>
        <w:t>承包人擅自更换</w:t>
      </w:r>
      <w:r>
        <w:rPr>
          <w:rFonts w:hint="eastAsia"/>
          <w:color w:val="auto"/>
          <w:szCs w:val="21"/>
          <w:highlight w:val="none"/>
          <w:u w:val="single"/>
        </w:rPr>
        <w:t>，按每更换一人次扣除履约担保金额的</w:t>
      </w:r>
      <w:r>
        <w:rPr>
          <w:color w:val="auto"/>
          <w:szCs w:val="21"/>
          <w:highlight w:val="none"/>
          <w:u w:val="single"/>
        </w:rPr>
        <w:t>20</w:t>
      </w:r>
      <w:r>
        <w:rPr>
          <w:rFonts w:hint="eastAsia"/>
          <w:color w:val="auto"/>
          <w:szCs w:val="21"/>
          <w:highlight w:val="none"/>
          <w:u w:val="single"/>
        </w:rPr>
        <w:t>%；及至发包人可通知承包人全部解除合同，所有履约担保金归发包人，并赔偿发包人损失。</w:t>
      </w:r>
    </w:p>
    <w:p>
      <w:pPr>
        <w:spacing w:line="360" w:lineRule="exact"/>
        <w:ind w:firstLine="420" w:firstLineChars="200"/>
        <w:rPr>
          <w:color w:val="auto"/>
          <w:szCs w:val="21"/>
          <w:highlight w:val="none"/>
        </w:rPr>
      </w:pPr>
      <w:r>
        <w:rPr>
          <w:color w:val="auto"/>
          <w:szCs w:val="21"/>
          <w:highlight w:val="none"/>
        </w:rPr>
        <w:t>3.2.4 承包人无正当理由拒绝更换项目经理的违约责任：</w:t>
      </w:r>
      <w:r>
        <w:rPr>
          <w:rFonts w:hint="eastAsia"/>
          <w:color w:val="auto"/>
          <w:szCs w:val="21"/>
          <w:highlight w:val="none"/>
          <w:u w:val="single"/>
        </w:rPr>
        <w:t>发包人可通知承包人全部解除合同，所有履约担保金归发包人，同时赔偿发包人损失。</w:t>
      </w:r>
    </w:p>
    <w:p>
      <w:pPr>
        <w:spacing w:line="360" w:lineRule="exact"/>
        <w:ind w:firstLine="420" w:firstLineChars="200"/>
        <w:rPr>
          <w:color w:val="auto"/>
          <w:szCs w:val="21"/>
          <w:highlight w:val="none"/>
        </w:rPr>
      </w:pPr>
      <w:r>
        <w:rPr>
          <w:color w:val="auto"/>
          <w:szCs w:val="21"/>
          <w:highlight w:val="none"/>
        </w:rPr>
        <w:t>3.3 承包人人员</w:t>
      </w:r>
    </w:p>
    <w:p>
      <w:pPr>
        <w:spacing w:line="360" w:lineRule="exact"/>
        <w:ind w:firstLine="420" w:firstLineChars="200"/>
        <w:rPr>
          <w:color w:val="auto"/>
          <w:szCs w:val="21"/>
          <w:highlight w:val="none"/>
        </w:rPr>
      </w:pPr>
      <w:r>
        <w:rPr>
          <w:color w:val="auto"/>
          <w:szCs w:val="21"/>
          <w:highlight w:val="none"/>
        </w:rPr>
        <w:t>3.3.1 承包人提交项目管理机构及施工现场管理人员安排报告的期限：</w:t>
      </w:r>
      <w:r>
        <w:rPr>
          <w:color w:val="auto"/>
          <w:szCs w:val="21"/>
          <w:highlight w:val="none"/>
          <w:u w:val="single"/>
        </w:rPr>
        <w:t xml:space="preserve"> 接到开工通知（或确定开工日期）后7天内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3.3.3 承包人无正当理由拒绝撤换主要施工管理人员的违约责任：</w:t>
      </w:r>
      <w:r>
        <w:rPr>
          <w:rFonts w:hint="eastAsia"/>
          <w:color w:val="auto"/>
          <w:szCs w:val="21"/>
          <w:highlight w:val="none"/>
          <w:u w:val="single"/>
        </w:rPr>
        <w:t>发包人可通知承包人全部解除合同，在工程款中扣除所有履约担保金。</w:t>
      </w:r>
    </w:p>
    <w:p>
      <w:pPr>
        <w:spacing w:line="360" w:lineRule="exact"/>
        <w:ind w:firstLine="420" w:firstLineChars="200"/>
        <w:rPr>
          <w:color w:val="auto"/>
          <w:szCs w:val="21"/>
          <w:highlight w:val="none"/>
          <w:u w:val="single"/>
        </w:rPr>
      </w:pPr>
      <w:r>
        <w:rPr>
          <w:color w:val="auto"/>
          <w:szCs w:val="21"/>
          <w:highlight w:val="none"/>
        </w:rPr>
        <w:t>3.3.4 承包人主要施工管理人员离开施工现场的批准要求：</w:t>
      </w:r>
      <w:r>
        <w:rPr>
          <w:color w:val="auto"/>
          <w:szCs w:val="21"/>
          <w:highlight w:val="none"/>
          <w:u w:val="single"/>
        </w:rPr>
        <w:t>按通用条款执行；另遇有工程检查、验收或参观等活动时，无特殊原因不得请假</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3.3.5承包人擅自更换主要施工管理人员的违约责任：</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color w:val="auto"/>
          <w:szCs w:val="21"/>
          <w:highlight w:val="none"/>
        </w:rPr>
        <w:t>承包人主要施工管理人员擅自离开施工现场的违约责任：</w:t>
      </w:r>
      <w:r>
        <w:rPr>
          <w:rFonts w:hint="eastAsia"/>
          <w:color w:val="auto"/>
          <w:szCs w:val="21"/>
          <w:highlight w:val="none"/>
          <w:u w:val="single"/>
        </w:rPr>
        <w:t>/</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3</w:t>
      </w:r>
      <w:bookmarkStart w:id="199" w:name="_Toc303539102"/>
      <w:bookmarkStart w:id="200" w:name="_Toc304295523"/>
      <w:bookmarkStart w:id="201" w:name="_Toc300934945"/>
      <w:bookmarkStart w:id="202" w:name="_Toc312677988"/>
      <w:bookmarkStart w:id="203" w:name="_Toc297048345"/>
      <w:bookmarkStart w:id="204" w:name="_Toc296503159"/>
      <w:bookmarkStart w:id="205" w:name="_Toc297123492"/>
      <w:bookmarkStart w:id="206" w:name="_Toc296347158"/>
      <w:bookmarkStart w:id="207" w:name="_Toc292559869"/>
      <w:bookmarkStart w:id="208" w:name="_Toc296346660"/>
      <w:bookmarkStart w:id="209" w:name="_Toc297216151"/>
      <w:bookmarkStart w:id="210" w:name="_Toc296891199"/>
      <w:bookmarkStart w:id="211" w:name="_Toc292559364"/>
      <w:bookmarkStart w:id="212" w:name="_Toc297120459"/>
      <w:bookmarkStart w:id="213" w:name="_Toc296890987"/>
      <w:bookmarkStart w:id="214" w:name="_Toc296944498"/>
      <w:r>
        <w:rPr>
          <w:color w:val="auto"/>
          <w:szCs w:val="21"/>
          <w:highlight w:val="none"/>
        </w:rPr>
        <w:t>.5 分包</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Pr>
        <w:spacing w:line="360" w:lineRule="exact"/>
        <w:ind w:firstLine="420" w:firstLineChars="200"/>
        <w:rPr>
          <w:color w:val="auto"/>
          <w:szCs w:val="21"/>
          <w:highlight w:val="none"/>
        </w:rPr>
      </w:pPr>
      <w:bookmarkStart w:id="215" w:name="_Toc318581159"/>
      <w:bookmarkStart w:id="216" w:name="_Toc312677990"/>
      <w:r>
        <w:rPr>
          <w:color w:val="auto"/>
          <w:szCs w:val="21"/>
          <w:highlight w:val="none"/>
        </w:rPr>
        <w:t>3</w:t>
      </w:r>
      <w:bookmarkStart w:id="217" w:name="_Toc296346661"/>
      <w:bookmarkStart w:id="218" w:name="_Toc296347159"/>
      <w:bookmarkStart w:id="219" w:name="_Toc297048346"/>
      <w:bookmarkStart w:id="220" w:name="_Toc292559365"/>
      <w:bookmarkStart w:id="221" w:name="_Toc297123493"/>
      <w:bookmarkStart w:id="222" w:name="_Toc296890988"/>
      <w:bookmarkStart w:id="223" w:name="_Toc297120460"/>
      <w:bookmarkStart w:id="224" w:name="_Toc296503160"/>
      <w:bookmarkStart w:id="225" w:name="_Toc303539103"/>
      <w:bookmarkStart w:id="226" w:name="_Toc292559870"/>
      <w:bookmarkStart w:id="227" w:name="_Toc304295524"/>
      <w:bookmarkStart w:id="228" w:name="_Toc296891200"/>
      <w:bookmarkStart w:id="229" w:name="_Toc296944499"/>
      <w:bookmarkStart w:id="230" w:name="_Toc300934946"/>
      <w:bookmarkStart w:id="231" w:name="_Toc297216152"/>
      <w:bookmarkStart w:id="232" w:name="_Toc312677989"/>
      <w:bookmarkStart w:id="233" w:name="_Toc318581158"/>
      <w:r>
        <w:rPr>
          <w:color w:val="auto"/>
          <w:szCs w:val="21"/>
          <w:highlight w:val="none"/>
        </w:rPr>
        <w:t>.5.1 分包的一般约定</w:t>
      </w:r>
    </w:p>
    <w:p>
      <w:pPr>
        <w:spacing w:line="360" w:lineRule="exact"/>
        <w:ind w:firstLine="420" w:firstLineChars="200"/>
        <w:rPr>
          <w:color w:val="auto"/>
          <w:szCs w:val="21"/>
          <w:highlight w:val="none"/>
        </w:rPr>
      </w:pPr>
      <w:r>
        <w:rPr>
          <w:color w:val="auto"/>
          <w:szCs w:val="21"/>
          <w:highlight w:val="none"/>
        </w:rPr>
        <w:t>禁止分包的工程包括：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主体结构、关键性工作的范围：</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Start w:id="234" w:name="_Toc296347160"/>
      <w:bookmarkStart w:id="235" w:name="_Toc296503161"/>
      <w:bookmarkStart w:id="236" w:name="_Toc300934947"/>
      <w:bookmarkStart w:id="237" w:name="_Toc297048347"/>
      <w:bookmarkStart w:id="238" w:name="_Toc296890989"/>
      <w:bookmarkStart w:id="239" w:name="_Toc297123494"/>
      <w:bookmarkStart w:id="240" w:name="_Toc296346662"/>
      <w:bookmarkStart w:id="241" w:name="_Toc296891201"/>
      <w:bookmarkStart w:id="242" w:name="_Toc304295525"/>
      <w:bookmarkStart w:id="243" w:name="_Toc296944500"/>
      <w:bookmarkStart w:id="244" w:name="_Toc297120461"/>
      <w:bookmarkStart w:id="245" w:name="_Toc303539104"/>
      <w:bookmarkStart w:id="246" w:name="_Toc297216153"/>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Pr>
        <w:spacing w:line="360" w:lineRule="exact"/>
        <w:ind w:firstLine="420" w:firstLineChars="200"/>
        <w:rPr>
          <w:color w:val="auto"/>
          <w:szCs w:val="21"/>
          <w:highlight w:val="none"/>
        </w:rPr>
      </w:pPr>
      <w:r>
        <w:rPr>
          <w:color w:val="auto"/>
          <w:szCs w:val="21"/>
          <w:highlight w:val="none"/>
        </w:rPr>
        <w:t>3.5.2分包的确定</w:t>
      </w:r>
    </w:p>
    <w:p>
      <w:pPr>
        <w:spacing w:line="360" w:lineRule="exact"/>
        <w:ind w:firstLine="420" w:firstLineChars="200"/>
        <w:rPr>
          <w:color w:val="auto"/>
          <w:szCs w:val="21"/>
          <w:highlight w:val="none"/>
          <w:u w:val="single"/>
        </w:rPr>
      </w:pPr>
      <w:r>
        <w:rPr>
          <w:color w:val="auto"/>
          <w:szCs w:val="21"/>
          <w:highlight w:val="none"/>
        </w:rPr>
        <w:t>允许分包的专业工程包括：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其他关于分包的约定：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3.5.4 分包合同价款</w:t>
      </w:r>
    </w:p>
    <w:p>
      <w:pPr>
        <w:spacing w:line="360" w:lineRule="exact"/>
        <w:ind w:firstLine="420" w:firstLineChars="200"/>
        <w:rPr>
          <w:color w:val="auto"/>
          <w:szCs w:val="21"/>
          <w:highlight w:val="none"/>
        </w:rPr>
      </w:pPr>
      <w:r>
        <w:rPr>
          <w:color w:val="auto"/>
          <w:szCs w:val="21"/>
          <w:highlight w:val="none"/>
        </w:rPr>
        <w:t>关于分包合同价款支付的约定：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bookmarkEnd w:id="215"/>
    <w:bookmarkEnd w:id="216"/>
    <w:p>
      <w:pPr>
        <w:spacing w:line="360" w:lineRule="exact"/>
        <w:ind w:firstLine="420" w:firstLineChars="200"/>
        <w:rPr>
          <w:color w:val="auto"/>
          <w:szCs w:val="21"/>
          <w:highlight w:val="none"/>
        </w:rPr>
      </w:pPr>
      <w:r>
        <w:rPr>
          <w:color w:val="auto"/>
          <w:szCs w:val="21"/>
          <w:highlight w:val="none"/>
        </w:rPr>
        <w:t>3.6 工程照管与成品、半成品保护</w:t>
      </w:r>
    </w:p>
    <w:p>
      <w:pPr>
        <w:spacing w:line="360" w:lineRule="exact"/>
        <w:ind w:firstLine="420" w:firstLineChars="200"/>
        <w:rPr>
          <w:color w:val="auto"/>
          <w:szCs w:val="21"/>
          <w:highlight w:val="none"/>
          <w:u w:val="single"/>
        </w:rPr>
      </w:pPr>
      <w:r>
        <w:rPr>
          <w:color w:val="auto"/>
          <w:szCs w:val="21"/>
          <w:highlight w:val="none"/>
        </w:rPr>
        <w:t>承包人负责照管工程及工程相关的材料、工程设备的起始时间：</w:t>
      </w:r>
      <w:r>
        <w:rPr>
          <w:color w:val="auto"/>
          <w:szCs w:val="21"/>
          <w:highlight w:val="none"/>
          <w:u w:val="single"/>
        </w:rPr>
        <w:t>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3.7 履约担保</w:t>
      </w:r>
    </w:p>
    <w:p>
      <w:pPr>
        <w:spacing w:line="360" w:lineRule="exact"/>
        <w:ind w:firstLine="420" w:firstLineChars="200"/>
        <w:rPr>
          <w:color w:val="auto"/>
          <w:szCs w:val="21"/>
          <w:highlight w:val="none"/>
        </w:rPr>
      </w:pPr>
      <w:bookmarkStart w:id="247" w:name="_Toc351203636"/>
      <w:r>
        <w:rPr>
          <w:rFonts w:hint="eastAsia"/>
          <w:color w:val="auto"/>
          <w:szCs w:val="21"/>
          <w:highlight w:val="none"/>
        </w:rPr>
        <w:t>承包人是否提供履约担保：</w:t>
      </w:r>
      <w:r>
        <w:rPr>
          <w:rFonts w:hint="eastAsia"/>
          <w:color w:val="auto"/>
          <w:szCs w:val="21"/>
          <w:highlight w:val="none"/>
          <w:u w:val="single"/>
        </w:rPr>
        <w:t xml:space="preserve"> 是 </w:t>
      </w:r>
      <w:r>
        <w:rPr>
          <w:rFonts w:hint="eastAsia"/>
          <w:color w:val="auto"/>
          <w:szCs w:val="21"/>
          <w:highlight w:val="non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承包人提供履约担保的形式、金额及期限的：履约担保为签约合同价的2%，履约担保期限至本工程竣工验收为止，履约担保期间不计息。如承包人发生违约情形，直接在工程款中扣除</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承包人提供履约担保的期限：</w:t>
      </w:r>
      <w:r>
        <w:rPr>
          <w:rFonts w:hint="eastAsia" w:ascii="宋体" w:hAnsi="宋体" w:cs="宋体"/>
          <w:color w:val="auto"/>
          <w:szCs w:val="21"/>
          <w:highlight w:val="none"/>
          <w:u w:val="single"/>
        </w:rPr>
        <w:t>履约保证金如为非保函和担保形式的，合同到期后，发包人在所有工程竣工验收后14天内退还履约担保（扣除相应的违约责任后）。</w:t>
      </w:r>
    </w:p>
    <w:p>
      <w:pPr>
        <w:spacing w:line="360" w:lineRule="exact"/>
        <w:ind w:firstLine="422" w:firstLineChars="200"/>
        <w:rPr>
          <w:b/>
          <w:bCs/>
          <w:color w:val="auto"/>
          <w:szCs w:val="21"/>
          <w:highlight w:val="none"/>
        </w:rPr>
      </w:pPr>
      <w:r>
        <w:rPr>
          <w:b/>
          <w:bCs/>
          <w:color w:val="auto"/>
          <w:szCs w:val="21"/>
          <w:highlight w:val="none"/>
        </w:rPr>
        <w:t>4</w:t>
      </w:r>
      <w:bookmarkStart w:id="248" w:name="_Toc297048348"/>
      <w:bookmarkStart w:id="249" w:name="_Toc296890990"/>
      <w:bookmarkStart w:id="250" w:name="_Toc292559366"/>
      <w:bookmarkStart w:id="251" w:name="_Toc267251413"/>
      <w:bookmarkStart w:id="252" w:name="_Toc296891202"/>
      <w:bookmarkStart w:id="253" w:name="_Toc296347161"/>
      <w:bookmarkStart w:id="254" w:name="_Toc292559871"/>
      <w:bookmarkStart w:id="255" w:name="_Toc296503162"/>
      <w:bookmarkStart w:id="256" w:name="_Toc297120462"/>
      <w:bookmarkStart w:id="257" w:name="_Toc296944501"/>
      <w:bookmarkStart w:id="258" w:name="_Toc296346663"/>
      <w:r>
        <w:rPr>
          <w:b/>
          <w:bCs/>
          <w:color w:val="auto"/>
          <w:szCs w:val="21"/>
          <w:highlight w:val="none"/>
        </w:rPr>
        <w:t>. 监</w:t>
      </w:r>
      <w:bookmarkEnd w:id="248"/>
      <w:bookmarkEnd w:id="249"/>
      <w:bookmarkEnd w:id="250"/>
      <w:bookmarkEnd w:id="251"/>
      <w:bookmarkEnd w:id="252"/>
      <w:bookmarkEnd w:id="253"/>
      <w:bookmarkEnd w:id="254"/>
      <w:bookmarkEnd w:id="255"/>
      <w:bookmarkEnd w:id="256"/>
      <w:bookmarkEnd w:id="257"/>
      <w:bookmarkEnd w:id="258"/>
      <w:r>
        <w:rPr>
          <w:b/>
          <w:bCs/>
          <w:color w:val="auto"/>
          <w:szCs w:val="21"/>
          <w:highlight w:val="none"/>
        </w:rPr>
        <w:t>理人</w:t>
      </w:r>
      <w:bookmarkEnd w:id="247"/>
    </w:p>
    <w:p>
      <w:pPr>
        <w:spacing w:line="360" w:lineRule="exact"/>
        <w:ind w:firstLine="420" w:firstLineChars="200"/>
        <w:rPr>
          <w:color w:val="auto"/>
          <w:szCs w:val="21"/>
          <w:highlight w:val="none"/>
        </w:rPr>
      </w:pPr>
      <w:r>
        <w:rPr>
          <w:color w:val="auto"/>
          <w:szCs w:val="21"/>
          <w:highlight w:val="none"/>
        </w:rPr>
        <w:t>4.1监理人的一般规定</w:t>
      </w:r>
    </w:p>
    <w:p>
      <w:pPr>
        <w:spacing w:line="360" w:lineRule="exact"/>
        <w:ind w:firstLine="420" w:firstLineChars="200"/>
        <w:rPr>
          <w:color w:val="auto"/>
          <w:szCs w:val="21"/>
          <w:highlight w:val="none"/>
        </w:rPr>
      </w:pPr>
      <w:r>
        <w:rPr>
          <w:color w:val="auto"/>
          <w:szCs w:val="21"/>
          <w:highlight w:val="none"/>
        </w:rPr>
        <w:t>关于监理人的监理内容：</w:t>
      </w:r>
      <w:r>
        <w:rPr>
          <w:color w:val="auto"/>
          <w:szCs w:val="21"/>
          <w:highlight w:val="none"/>
          <w:u w:val="single"/>
        </w:rPr>
        <w:t xml:space="preserve"> 按本工程监理合同约定内容</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关于监理人的监理权限：</w:t>
      </w:r>
      <w:r>
        <w:rPr>
          <w:color w:val="auto"/>
          <w:szCs w:val="21"/>
          <w:highlight w:val="none"/>
          <w:u w:val="single"/>
        </w:rPr>
        <w:t>按本工程监理合同约定内容，涉及工程变更（含设计变更等参建各方变更）均需报发包人审批后生效</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关于监理人在施工现场的办公场所、生活场所的提供和费用承担的约定：</w:t>
      </w:r>
      <w:r>
        <w:rPr>
          <w:color w:val="auto"/>
          <w:szCs w:val="21"/>
          <w:highlight w:val="none"/>
          <w:u w:val="single"/>
        </w:rPr>
        <w:t>由承包人免费提供办公室1间使用。</w:t>
      </w:r>
    </w:p>
    <w:p>
      <w:pPr>
        <w:spacing w:line="360" w:lineRule="exact"/>
        <w:ind w:firstLine="420" w:firstLineChars="200"/>
        <w:rPr>
          <w:color w:val="auto"/>
          <w:szCs w:val="21"/>
          <w:highlight w:val="none"/>
        </w:rPr>
      </w:pPr>
      <w:r>
        <w:rPr>
          <w:color w:val="auto"/>
          <w:szCs w:val="21"/>
          <w:highlight w:val="none"/>
        </w:rPr>
        <w:t>4.2 监理人员</w:t>
      </w:r>
    </w:p>
    <w:p>
      <w:pPr>
        <w:spacing w:line="360" w:lineRule="exact"/>
        <w:ind w:firstLine="420" w:firstLineChars="200"/>
        <w:rPr>
          <w:color w:val="auto"/>
          <w:szCs w:val="21"/>
          <w:highlight w:val="none"/>
        </w:rPr>
      </w:pPr>
      <w:r>
        <w:rPr>
          <w:color w:val="auto"/>
          <w:szCs w:val="21"/>
          <w:highlight w:val="none"/>
        </w:rPr>
        <w:t>总监理工程师：</w:t>
      </w:r>
    </w:p>
    <w:p>
      <w:pPr>
        <w:spacing w:line="360" w:lineRule="exact"/>
        <w:ind w:firstLine="420" w:firstLineChars="200"/>
        <w:rPr>
          <w:color w:val="auto"/>
          <w:szCs w:val="21"/>
          <w:highlight w:val="none"/>
        </w:rPr>
      </w:pPr>
      <w:r>
        <w:rPr>
          <w:color w:val="auto"/>
          <w:szCs w:val="21"/>
          <w:highlight w:val="none"/>
        </w:rPr>
        <w:t>姓    名：</w:t>
      </w:r>
      <w:r>
        <w:rPr>
          <w:rFonts w:hint="eastAsia"/>
          <w:color w:val="auto"/>
          <w:szCs w:val="21"/>
          <w:highlight w:val="none"/>
          <w:u w:val="single"/>
        </w:rPr>
        <w:t xml:space="preserve">     以监理合同为准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职    务：</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监理工程师执业资格证书号：</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rFonts w:hint="eastAsia"/>
          <w:color w:val="auto"/>
          <w:szCs w:val="21"/>
          <w:highlight w:val="none"/>
          <w:u w:val="single"/>
        </w:rPr>
        <w:t xml:space="preserve">   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rFonts w:hint="eastAsia"/>
          <w:color w:val="auto"/>
          <w:szCs w:val="21"/>
          <w:highlight w:val="none"/>
          <w:u w:val="single"/>
        </w:rPr>
        <w:t xml:space="preserve">     /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关于监理人的其他约定：</w:t>
      </w:r>
    </w:p>
    <w:p>
      <w:pPr>
        <w:spacing w:line="360" w:lineRule="exact"/>
        <w:ind w:firstLine="420" w:firstLineChars="200"/>
        <w:rPr>
          <w:color w:val="auto"/>
          <w:szCs w:val="21"/>
          <w:highlight w:val="none"/>
          <w:u w:val="single"/>
        </w:rPr>
      </w:pPr>
      <w:r>
        <w:rPr>
          <w:color w:val="auto"/>
          <w:szCs w:val="21"/>
          <w:highlight w:val="none"/>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color w:val="auto"/>
          <w:szCs w:val="21"/>
          <w:highlight w:val="none"/>
          <w:u w:val="single"/>
        </w:rPr>
      </w:pPr>
      <w:r>
        <w:rPr>
          <w:color w:val="auto"/>
          <w:szCs w:val="21"/>
          <w:highlight w:val="none"/>
          <w:u w:val="single"/>
        </w:rPr>
        <w:t>（2）对于监理人更换其委派的监理人员的，监理人在征得发包人同意后应当提前48小时书面通知承包人；</w:t>
      </w:r>
    </w:p>
    <w:p>
      <w:pPr>
        <w:spacing w:line="360" w:lineRule="exact"/>
        <w:ind w:firstLine="420" w:firstLineChars="200"/>
        <w:rPr>
          <w:color w:val="auto"/>
          <w:szCs w:val="21"/>
          <w:highlight w:val="none"/>
        </w:rPr>
      </w:pPr>
      <w:r>
        <w:rPr>
          <w:color w:val="auto"/>
          <w:szCs w:val="21"/>
          <w:highlight w:val="none"/>
          <w:u w:val="single"/>
        </w:rPr>
        <w:t>（3）监理人对其监理人员的任何授权，承包人均应当要求监理人提供书面的授权，否则，承包人有权拒绝接受监理人员的指示。</w:t>
      </w:r>
    </w:p>
    <w:p>
      <w:pPr>
        <w:spacing w:line="360" w:lineRule="exact"/>
        <w:ind w:firstLine="420" w:firstLineChars="200"/>
        <w:rPr>
          <w:color w:val="auto"/>
          <w:szCs w:val="21"/>
          <w:highlight w:val="none"/>
        </w:rPr>
      </w:pPr>
      <w:r>
        <w:rPr>
          <w:color w:val="auto"/>
          <w:szCs w:val="21"/>
          <w:highlight w:val="none"/>
        </w:rPr>
        <w:t>4.4 商定或确定</w:t>
      </w:r>
    </w:p>
    <w:p>
      <w:pPr>
        <w:spacing w:line="360" w:lineRule="exact"/>
        <w:ind w:firstLine="420" w:firstLineChars="200"/>
        <w:rPr>
          <w:color w:val="auto"/>
          <w:szCs w:val="21"/>
          <w:highlight w:val="none"/>
        </w:rPr>
      </w:pPr>
      <w:r>
        <w:rPr>
          <w:color w:val="auto"/>
          <w:szCs w:val="21"/>
          <w:highlight w:val="none"/>
        </w:rPr>
        <w:t>在发包人和承包人不能通过协商达成一致意见时，发包人授权监理人对以下事项进行确定：</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w:t>
      </w:r>
      <w:r>
        <w:rPr>
          <w:color w:val="auto"/>
          <w:szCs w:val="21"/>
          <w:highlight w:val="none"/>
        </w:rPr>
        <w:t>3）</w:t>
      </w:r>
      <w:r>
        <w:rPr>
          <w:color w:val="auto"/>
          <w:szCs w:val="21"/>
          <w:highlight w:val="none"/>
          <w:u w:val="single"/>
        </w:rPr>
        <w:t xml:space="preserve">      /    </w:t>
      </w:r>
      <w:r>
        <w:rPr>
          <w:rFonts w:hint="eastAsia"/>
          <w:color w:val="auto"/>
          <w:szCs w:val="21"/>
          <w:highlight w:val="none"/>
        </w:rPr>
        <w:t>。</w:t>
      </w:r>
    </w:p>
    <w:p>
      <w:pPr>
        <w:spacing w:line="360" w:lineRule="exact"/>
        <w:ind w:firstLine="422" w:firstLineChars="200"/>
        <w:rPr>
          <w:b/>
          <w:bCs/>
          <w:color w:val="auto"/>
          <w:szCs w:val="21"/>
          <w:highlight w:val="none"/>
        </w:rPr>
      </w:pPr>
      <w:bookmarkStart w:id="259" w:name="_Toc351203637"/>
      <w:r>
        <w:rPr>
          <w:b/>
          <w:bCs/>
          <w:color w:val="auto"/>
          <w:szCs w:val="21"/>
          <w:highlight w:val="none"/>
        </w:rPr>
        <w:t>5</w:t>
      </w:r>
      <w:bookmarkStart w:id="260" w:name="_Toc296944502"/>
      <w:bookmarkStart w:id="261" w:name="_Toc297048349"/>
      <w:bookmarkStart w:id="262" w:name="_Toc297120463"/>
      <w:bookmarkStart w:id="263" w:name="_Toc296346664"/>
      <w:bookmarkStart w:id="264" w:name="_Toc296347162"/>
      <w:bookmarkStart w:id="265" w:name="_Toc296503163"/>
      <w:bookmarkStart w:id="266" w:name="_Toc292559872"/>
      <w:bookmarkStart w:id="267" w:name="_Toc292559367"/>
      <w:bookmarkStart w:id="268" w:name="_Toc296890991"/>
      <w:bookmarkStart w:id="269" w:name="_Toc296891203"/>
      <w:r>
        <w:rPr>
          <w:b/>
          <w:bCs/>
          <w:color w:val="auto"/>
          <w:szCs w:val="21"/>
          <w:highlight w:val="none"/>
        </w:rPr>
        <w:t>. 工程质量</w:t>
      </w:r>
      <w:bookmarkEnd w:id="259"/>
    </w:p>
    <w:p>
      <w:pPr>
        <w:spacing w:line="360" w:lineRule="exact"/>
        <w:ind w:firstLine="420" w:firstLineChars="200"/>
        <w:rPr>
          <w:color w:val="auto"/>
          <w:szCs w:val="21"/>
          <w:highlight w:val="none"/>
        </w:rPr>
      </w:pPr>
      <w:bookmarkStart w:id="270" w:name="_Toc303539106"/>
      <w:bookmarkStart w:id="271" w:name="_Toc304295527"/>
      <w:bookmarkStart w:id="272" w:name="_Toc312677997"/>
      <w:bookmarkStart w:id="273" w:name="_Toc297216155"/>
      <w:bookmarkStart w:id="274" w:name="_Toc300934949"/>
      <w:bookmarkStart w:id="275" w:name="_Toc318581164"/>
      <w:bookmarkStart w:id="276" w:name="_Toc297123496"/>
      <w:r>
        <w:rPr>
          <w:color w:val="auto"/>
          <w:szCs w:val="21"/>
          <w:highlight w:val="none"/>
        </w:rPr>
        <w:t>5.1 质量要求</w:t>
      </w:r>
    </w:p>
    <w:p>
      <w:pPr>
        <w:spacing w:line="360" w:lineRule="exact"/>
        <w:ind w:firstLine="420" w:firstLineChars="200"/>
        <w:rPr>
          <w:color w:val="auto"/>
          <w:szCs w:val="21"/>
          <w:highlight w:val="none"/>
        </w:rPr>
      </w:pPr>
      <w:r>
        <w:rPr>
          <w:color w:val="auto"/>
          <w:szCs w:val="21"/>
          <w:highlight w:val="none"/>
        </w:rPr>
        <w:t>5.1.1 特殊质量标准和要求：</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关于工程奖项的约定：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5.3 隐蔽工程检查</w:t>
      </w:r>
    </w:p>
    <w:p>
      <w:pPr>
        <w:spacing w:line="360" w:lineRule="exact"/>
        <w:ind w:firstLine="420" w:firstLineChars="200"/>
        <w:rPr>
          <w:color w:val="auto"/>
          <w:szCs w:val="21"/>
          <w:highlight w:val="none"/>
        </w:rPr>
      </w:pPr>
      <w:r>
        <w:rPr>
          <w:color w:val="auto"/>
          <w:szCs w:val="21"/>
          <w:highlight w:val="none"/>
        </w:rPr>
        <w:t>5.3.2承包人提前通知监理人隐蔽工程检查的期限的约定：</w:t>
      </w:r>
      <w:r>
        <w:rPr>
          <w:color w:val="auto"/>
          <w:szCs w:val="21"/>
          <w:highlight w:val="none"/>
          <w:u w:val="single"/>
        </w:rPr>
        <w:t xml:space="preserve"> 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监理人不能按时进行检查时，应提前</w:t>
      </w:r>
      <w:r>
        <w:rPr>
          <w:color w:val="auto"/>
          <w:szCs w:val="21"/>
          <w:highlight w:val="none"/>
          <w:u w:val="single"/>
        </w:rPr>
        <w:t xml:space="preserve"> 24 </w:t>
      </w:r>
      <w:r>
        <w:rPr>
          <w:color w:val="auto"/>
          <w:szCs w:val="21"/>
          <w:highlight w:val="none"/>
        </w:rPr>
        <w:t>小时提交书面延期要求。</w:t>
      </w:r>
    </w:p>
    <w:p>
      <w:pPr>
        <w:spacing w:line="36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小时，由此导致工期延误的，工期予以顺延。</w:t>
      </w:r>
    </w:p>
    <w:p>
      <w:pPr>
        <w:spacing w:line="360" w:lineRule="exact"/>
        <w:ind w:firstLine="420" w:firstLineChars="200"/>
        <w:rPr>
          <w:color w:val="auto"/>
          <w:szCs w:val="21"/>
          <w:highlight w:val="none"/>
          <w:u w:val="single"/>
        </w:rPr>
      </w:pPr>
      <w:r>
        <w:rPr>
          <w:color w:val="auto"/>
          <w:szCs w:val="21"/>
          <w:highlight w:val="none"/>
          <w:u w:val="single"/>
        </w:rPr>
        <w:t>隐蔽工程验收过程、验收部位除办理纸质验收记录，还应留置验收部位、验收过程、主要验收人员相片、影像等资料。</w:t>
      </w:r>
    </w:p>
    <w:p>
      <w:pPr>
        <w:spacing w:line="360" w:lineRule="exact"/>
        <w:ind w:firstLine="422" w:firstLineChars="200"/>
        <w:rPr>
          <w:bCs/>
          <w:color w:val="auto"/>
          <w:szCs w:val="21"/>
          <w:highlight w:val="none"/>
        </w:rPr>
      </w:pPr>
      <w:bookmarkStart w:id="277" w:name="_Toc351203638"/>
      <w:r>
        <w:rPr>
          <w:b/>
          <w:bCs/>
          <w:color w:val="auto"/>
          <w:szCs w:val="21"/>
          <w:highlight w:val="none"/>
        </w:rPr>
        <w:t>6. 安全文明施工与环境保护</w:t>
      </w:r>
      <w:bookmarkEnd w:id="277"/>
    </w:p>
    <w:p>
      <w:pPr>
        <w:spacing w:line="360" w:lineRule="exact"/>
        <w:ind w:firstLine="420" w:firstLineChars="200"/>
        <w:rPr>
          <w:color w:val="auto"/>
          <w:szCs w:val="21"/>
          <w:highlight w:val="none"/>
        </w:rPr>
      </w:pPr>
      <w:r>
        <w:rPr>
          <w:color w:val="auto"/>
          <w:szCs w:val="21"/>
          <w:highlight w:val="none"/>
        </w:rPr>
        <w:t>6.1安全文明施工</w:t>
      </w:r>
    </w:p>
    <w:p>
      <w:pPr>
        <w:spacing w:line="360" w:lineRule="exact"/>
        <w:ind w:firstLine="420" w:firstLineChars="200"/>
        <w:rPr>
          <w:color w:val="auto"/>
          <w:szCs w:val="21"/>
          <w:highlight w:val="none"/>
        </w:rPr>
      </w:pPr>
      <w:r>
        <w:rPr>
          <w:color w:val="auto"/>
          <w:szCs w:val="21"/>
          <w:highlight w:val="none"/>
        </w:rPr>
        <w:t>6.1.1 项目安全生产的达标目标及相应事项的约定：</w:t>
      </w:r>
      <w:r>
        <w:rPr>
          <w:color w:val="auto"/>
          <w:szCs w:val="21"/>
          <w:highlight w:val="none"/>
          <w:u w:val="single"/>
        </w:rPr>
        <w:t xml:space="preserve"> </w:t>
      </w:r>
      <w:r>
        <w:rPr>
          <w:b/>
          <w:color w:val="auto"/>
          <w:szCs w:val="21"/>
          <w:highlight w:val="none"/>
          <w:u w:val="single"/>
        </w:rPr>
        <w:t>按省、市建筑业、安全监督等相关主管部门发布的有关管理规定执行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6.1.4 关于治安保卫的特别约定：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关于编制施工场地治安管理计划的约定：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6.1.5 文明施工</w:t>
      </w:r>
    </w:p>
    <w:p>
      <w:pPr>
        <w:spacing w:line="360" w:lineRule="exact"/>
        <w:ind w:firstLine="420" w:firstLineChars="200"/>
        <w:rPr>
          <w:color w:val="auto"/>
          <w:szCs w:val="21"/>
          <w:highlight w:val="none"/>
        </w:rPr>
      </w:pPr>
      <w:r>
        <w:rPr>
          <w:color w:val="auto"/>
          <w:szCs w:val="21"/>
          <w:highlight w:val="none"/>
        </w:rPr>
        <w:t>合同当事人对文明施工的要求：</w:t>
      </w:r>
      <w:r>
        <w:rPr>
          <w:color w:val="auto"/>
          <w:szCs w:val="21"/>
          <w:highlight w:val="none"/>
          <w:u w:val="single"/>
        </w:rPr>
        <w:t>按省、市发有关文明施工管理规定执行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6.1.6 关于安全文明施工费支付比例和支付期限的约定：</w:t>
      </w:r>
      <w:r>
        <w:rPr>
          <w:rFonts w:hint="eastAsia"/>
          <w:color w:val="auto"/>
          <w:szCs w:val="21"/>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color w:val="auto"/>
          <w:szCs w:val="21"/>
          <w:highlight w:val="none"/>
        </w:rPr>
        <w:t>。</w:t>
      </w:r>
    </w:p>
    <w:bookmarkEnd w:id="270"/>
    <w:bookmarkEnd w:id="271"/>
    <w:bookmarkEnd w:id="272"/>
    <w:bookmarkEnd w:id="273"/>
    <w:bookmarkEnd w:id="274"/>
    <w:bookmarkEnd w:id="275"/>
    <w:bookmarkEnd w:id="276"/>
    <w:p>
      <w:pPr>
        <w:spacing w:line="360" w:lineRule="exact"/>
        <w:ind w:firstLine="422" w:firstLineChars="200"/>
        <w:rPr>
          <w:b/>
          <w:bCs/>
          <w:color w:val="auto"/>
          <w:szCs w:val="21"/>
          <w:highlight w:val="none"/>
        </w:rPr>
      </w:pPr>
      <w:bookmarkStart w:id="278" w:name="_Toc351203639"/>
      <w:r>
        <w:rPr>
          <w:b/>
          <w:bCs/>
          <w:color w:val="auto"/>
          <w:szCs w:val="21"/>
          <w:highlight w:val="none"/>
        </w:rPr>
        <w:t>7. 工期和进度</w:t>
      </w:r>
      <w:bookmarkEnd w:id="278"/>
    </w:p>
    <w:p>
      <w:pPr>
        <w:spacing w:line="360" w:lineRule="exact"/>
        <w:ind w:firstLine="420" w:firstLineChars="200"/>
        <w:rPr>
          <w:color w:val="auto"/>
          <w:szCs w:val="21"/>
          <w:highlight w:val="none"/>
        </w:rPr>
      </w:pPr>
      <w:r>
        <w:rPr>
          <w:color w:val="auto"/>
          <w:szCs w:val="21"/>
          <w:highlight w:val="none"/>
        </w:rPr>
        <w:t>7.1 施工组织设计</w:t>
      </w:r>
    </w:p>
    <w:p>
      <w:pPr>
        <w:spacing w:line="360" w:lineRule="exact"/>
        <w:ind w:firstLine="420" w:firstLineChars="200"/>
        <w:rPr>
          <w:color w:val="auto"/>
          <w:szCs w:val="21"/>
          <w:highlight w:val="none"/>
          <w:u w:val="single"/>
        </w:rPr>
      </w:pPr>
      <w:r>
        <w:rPr>
          <w:color w:val="auto"/>
          <w:szCs w:val="21"/>
          <w:highlight w:val="none"/>
        </w:rPr>
        <w:t>7.1.1 合同当事人约定的施工组织设计应包括的其他内容：</w:t>
      </w:r>
      <w:r>
        <w:rPr>
          <w:color w:val="auto"/>
          <w:szCs w:val="21"/>
          <w:highlight w:val="none"/>
          <w:u w:val="single"/>
        </w:rPr>
        <w:t>对特殊工艺施工、危险性较大分部分项工程施工应按规定办理审批手续和按当地建设行政主管部门要求组织专家论证</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7.1.2 施工组织设计的提交和修改</w:t>
      </w:r>
    </w:p>
    <w:p>
      <w:pPr>
        <w:spacing w:line="360" w:lineRule="exact"/>
        <w:ind w:firstLine="420" w:firstLineChars="200"/>
        <w:rPr>
          <w:color w:val="auto"/>
          <w:szCs w:val="21"/>
          <w:highlight w:val="none"/>
        </w:rPr>
      </w:pPr>
      <w:r>
        <w:rPr>
          <w:color w:val="auto"/>
          <w:szCs w:val="21"/>
          <w:highlight w:val="none"/>
        </w:rPr>
        <w:t>承包人提交详细施工组织设计的期限的约定：</w:t>
      </w:r>
      <w:r>
        <w:rPr>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发包人和监理人在收到详细的施工组织设计后确认或提出修改意见的期限：</w:t>
      </w:r>
      <w:r>
        <w:rPr>
          <w:color w:val="auto"/>
          <w:szCs w:val="21"/>
          <w:highlight w:val="none"/>
          <w:u w:val="single"/>
        </w:rPr>
        <w:t>收到相应文件后7天内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79" w:name="_Toc297123514"/>
      <w:bookmarkStart w:id="280" w:name="_Toc312678005"/>
      <w:bookmarkStart w:id="281" w:name="_Toc304295541"/>
      <w:bookmarkStart w:id="282" w:name="_Toc297216173"/>
      <w:bookmarkStart w:id="283" w:name="_Toc303539123"/>
      <w:bookmarkStart w:id="284" w:name="_Toc300934966"/>
      <w:bookmarkStart w:id="285" w:name="_Toc312677479"/>
      <w:r>
        <w:rPr>
          <w:color w:val="auto"/>
          <w:szCs w:val="21"/>
          <w:highlight w:val="none"/>
        </w:rPr>
        <w:t>.2 施工进度计划</w:t>
      </w:r>
    </w:p>
    <w:p>
      <w:pPr>
        <w:spacing w:line="360" w:lineRule="exact"/>
        <w:ind w:firstLine="420" w:firstLineChars="200"/>
        <w:rPr>
          <w:color w:val="auto"/>
          <w:szCs w:val="21"/>
          <w:highlight w:val="none"/>
        </w:rPr>
      </w:pPr>
      <w:r>
        <w:rPr>
          <w:color w:val="auto"/>
          <w:szCs w:val="21"/>
          <w:highlight w:val="none"/>
        </w:rPr>
        <w:t>7.2.2 施工进度计划的修订</w:t>
      </w:r>
    </w:p>
    <w:p>
      <w:pPr>
        <w:spacing w:line="360" w:lineRule="exact"/>
        <w:ind w:firstLine="420" w:firstLineChars="200"/>
        <w:rPr>
          <w:color w:val="auto"/>
          <w:szCs w:val="21"/>
          <w:highlight w:val="none"/>
        </w:rPr>
      </w:pPr>
      <w:r>
        <w:rPr>
          <w:color w:val="auto"/>
          <w:szCs w:val="21"/>
          <w:highlight w:val="none"/>
        </w:rPr>
        <w:t>发包人和监理人在收到修订的施工进度计划后确认或提出修改意见的期限：</w:t>
      </w:r>
      <w:r>
        <w:rPr>
          <w:color w:val="auto"/>
          <w:szCs w:val="21"/>
          <w:highlight w:val="none"/>
          <w:u w:val="single"/>
        </w:rPr>
        <w:t xml:space="preserve"> 收到相应文件后7天内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7.3 开工</w:t>
      </w:r>
    </w:p>
    <w:bookmarkEnd w:id="279"/>
    <w:bookmarkEnd w:id="280"/>
    <w:bookmarkEnd w:id="281"/>
    <w:bookmarkEnd w:id="282"/>
    <w:bookmarkEnd w:id="283"/>
    <w:bookmarkEnd w:id="284"/>
    <w:bookmarkEnd w:id="285"/>
    <w:p>
      <w:pPr>
        <w:spacing w:line="360" w:lineRule="exact"/>
        <w:ind w:firstLine="420" w:firstLineChars="200"/>
        <w:rPr>
          <w:color w:val="auto"/>
          <w:szCs w:val="21"/>
          <w:highlight w:val="none"/>
        </w:rPr>
      </w:pPr>
      <w:r>
        <w:rPr>
          <w:color w:val="auto"/>
          <w:szCs w:val="21"/>
          <w:highlight w:val="none"/>
        </w:rPr>
        <w:t>7.3.1 开工准备</w:t>
      </w:r>
    </w:p>
    <w:p>
      <w:pPr>
        <w:spacing w:line="360" w:lineRule="exact"/>
        <w:ind w:firstLine="420" w:firstLineChars="200"/>
        <w:rPr>
          <w:color w:val="auto"/>
          <w:szCs w:val="21"/>
          <w:highlight w:val="none"/>
          <w:u w:val="single"/>
        </w:rPr>
      </w:pPr>
      <w:r>
        <w:rPr>
          <w:color w:val="auto"/>
          <w:szCs w:val="21"/>
          <w:highlight w:val="none"/>
        </w:rPr>
        <w:t>关于承包人提交工程开工报审表的期限：</w:t>
      </w:r>
      <w:r>
        <w:rPr>
          <w:color w:val="auto"/>
          <w:szCs w:val="21"/>
          <w:highlight w:val="none"/>
          <w:u w:val="single"/>
        </w:rPr>
        <w:t xml:space="preserve">接到开工通知（或确定开工日期）后7天内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关于发包人应完成的其他开工准备工作及期限：</w:t>
      </w:r>
      <w:r>
        <w:rPr>
          <w:color w:val="auto"/>
          <w:szCs w:val="21"/>
          <w:highlight w:val="none"/>
          <w:u w:val="single"/>
        </w:rPr>
        <w:t>开工前7天</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关于承包人应完成的其他开工准备工作及期限：</w:t>
      </w:r>
      <w:r>
        <w:rPr>
          <w:color w:val="auto"/>
          <w:szCs w:val="21"/>
          <w:highlight w:val="none"/>
          <w:u w:val="single"/>
        </w:rPr>
        <w:t>开工前</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7.3.2开工通知</w:t>
      </w:r>
    </w:p>
    <w:p>
      <w:pPr>
        <w:spacing w:line="360" w:lineRule="exact"/>
        <w:ind w:firstLine="420" w:firstLineChars="200"/>
        <w:rPr>
          <w:color w:val="auto"/>
          <w:szCs w:val="21"/>
          <w:highlight w:val="none"/>
        </w:rPr>
      </w:pPr>
      <w:r>
        <w:rPr>
          <w:color w:val="auto"/>
          <w:szCs w:val="21"/>
          <w:highlight w:val="none"/>
        </w:rPr>
        <w:t>发包人（或监理人）在计划开工日期前7天向承包人发出开工通知，工期自开工通知中载明的开工日期起算。</w:t>
      </w:r>
    </w:p>
    <w:p>
      <w:pPr>
        <w:spacing w:line="360" w:lineRule="exact"/>
        <w:ind w:firstLine="420" w:firstLineChars="200"/>
        <w:rPr>
          <w:color w:val="auto"/>
          <w:szCs w:val="21"/>
          <w:highlight w:val="none"/>
          <w:u w:val="single"/>
        </w:rPr>
      </w:pPr>
      <w:r>
        <w:rPr>
          <w:color w:val="auto"/>
          <w:szCs w:val="21"/>
          <w:highlight w:val="none"/>
          <w:u w:val="single"/>
        </w:rPr>
        <w:t xml:space="preserve">因发包人原因造成监理人未能在计划开工日期之日起 </w:t>
      </w:r>
      <w:r>
        <w:rPr>
          <w:rFonts w:hint="eastAsia"/>
          <w:color w:val="auto"/>
          <w:szCs w:val="21"/>
          <w:highlight w:val="none"/>
          <w:u w:val="single"/>
        </w:rPr>
        <w:t>90</w:t>
      </w:r>
      <w:r>
        <w:rPr>
          <w:color w:val="auto"/>
          <w:szCs w:val="21"/>
          <w:highlight w:val="none"/>
          <w:u w:val="single"/>
        </w:rPr>
        <w:t>天内发出开工通知的，承包人有权提出价格调整要求，或者解除合同。发包人应当承担由此增加的费用或赔偿承包人的损失</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7.4 测量放线</w:t>
      </w:r>
    </w:p>
    <w:p>
      <w:pPr>
        <w:spacing w:line="360" w:lineRule="exact"/>
        <w:ind w:firstLine="420" w:firstLineChars="200"/>
        <w:rPr>
          <w:color w:val="auto"/>
          <w:szCs w:val="21"/>
          <w:highlight w:val="none"/>
        </w:rPr>
      </w:pPr>
      <w:r>
        <w:rPr>
          <w:color w:val="auto"/>
          <w:szCs w:val="21"/>
          <w:highlight w:val="none"/>
        </w:rPr>
        <w:t>7.4.1发包人通过监理人向承包人提供测量基准点、基准线和水准点及其书面资料的期限：</w:t>
      </w:r>
      <w:r>
        <w:rPr>
          <w:color w:val="auto"/>
          <w:szCs w:val="21"/>
          <w:highlight w:val="none"/>
          <w:u w:val="single"/>
        </w:rPr>
        <w:t xml:space="preserve"> 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86" w:name="_Toc304295546"/>
      <w:bookmarkStart w:id="287" w:name="_Toc312678010"/>
      <w:bookmarkStart w:id="288" w:name="_Toc297216175"/>
      <w:bookmarkStart w:id="289" w:name="_Toc303539125"/>
      <w:bookmarkStart w:id="290" w:name="_Toc297123516"/>
      <w:bookmarkStart w:id="291" w:name="_Toc312677484"/>
      <w:bookmarkStart w:id="292" w:name="_Toc300934968"/>
      <w:r>
        <w:rPr>
          <w:color w:val="auto"/>
          <w:szCs w:val="21"/>
          <w:highlight w:val="none"/>
        </w:rPr>
        <w:t>.5 工期延误</w:t>
      </w:r>
    </w:p>
    <w:bookmarkEnd w:id="286"/>
    <w:bookmarkEnd w:id="287"/>
    <w:bookmarkEnd w:id="288"/>
    <w:bookmarkEnd w:id="289"/>
    <w:bookmarkEnd w:id="290"/>
    <w:bookmarkEnd w:id="291"/>
    <w:bookmarkEnd w:id="292"/>
    <w:p>
      <w:pPr>
        <w:spacing w:line="360" w:lineRule="exact"/>
        <w:ind w:firstLine="420" w:firstLineChars="200"/>
        <w:rPr>
          <w:color w:val="auto"/>
          <w:szCs w:val="21"/>
          <w:highlight w:val="none"/>
        </w:rPr>
      </w:pPr>
      <w:bookmarkStart w:id="293" w:name="_Toc318581171"/>
      <w:bookmarkStart w:id="294" w:name="_Toc312678014"/>
      <w:r>
        <w:rPr>
          <w:rFonts w:hint="eastAsia"/>
          <w:color w:val="auto"/>
          <w:szCs w:val="21"/>
          <w:highlight w:val="none"/>
        </w:rPr>
        <w:t>7.5.1 因发包人原因导致工期延误</w:t>
      </w:r>
    </w:p>
    <w:p>
      <w:pPr>
        <w:spacing w:line="360" w:lineRule="exact"/>
        <w:ind w:firstLine="420" w:firstLineChars="200"/>
        <w:rPr>
          <w:color w:val="auto"/>
          <w:szCs w:val="21"/>
          <w:highlight w:val="none"/>
          <w:u w:val="single"/>
        </w:rPr>
      </w:pPr>
      <w:r>
        <w:rPr>
          <w:rFonts w:hint="eastAsia"/>
          <w:color w:val="auto"/>
          <w:szCs w:val="21"/>
          <w:highlight w:val="none"/>
        </w:rPr>
        <w:t>（7）因发包人原因导致工期延误的其他情形：</w:t>
      </w:r>
      <w:r>
        <w:rPr>
          <w:rFonts w:hint="eastAsia"/>
          <w:color w:val="auto"/>
          <w:szCs w:val="21"/>
          <w:highlight w:val="none"/>
          <w:u w:val="single"/>
        </w:rPr>
        <w:t xml:space="preserve"> ①重大设计变更；②因政策处理不完善导致无法施工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95" w:name="_Toc318581169"/>
      <w:bookmarkStart w:id="296" w:name="_Toc312677486"/>
      <w:bookmarkStart w:id="297" w:name="_Toc312678012"/>
      <w:bookmarkStart w:id="298" w:name="_Toc303539127"/>
      <w:bookmarkStart w:id="299" w:name="_Toc297123518"/>
      <w:bookmarkStart w:id="300" w:name="_Toc297216177"/>
      <w:bookmarkStart w:id="301" w:name="_Toc304295548"/>
      <w:bookmarkStart w:id="302" w:name="_Toc300934970"/>
      <w:r>
        <w:rPr>
          <w:color w:val="auto"/>
          <w:szCs w:val="21"/>
          <w:highlight w:val="none"/>
        </w:rPr>
        <w:t>.5.2 因承包人原因导致工期延误</w:t>
      </w:r>
    </w:p>
    <w:bookmarkEnd w:id="295"/>
    <w:bookmarkEnd w:id="296"/>
    <w:bookmarkEnd w:id="297"/>
    <w:p>
      <w:pPr>
        <w:spacing w:line="360" w:lineRule="exact"/>
        <w:ind w:firstLine="420" w:firstLineChars="200"/>
        <w:rPr>
          <w:color w:val="auto"/>
          <w:szCs w:val="21"/>
          <w:highlight w:val="none"/>
          <w:u w:val="single"/>
        </w:rPr>
      </w:pPr>
      <w:r>
        <w:rPr>
          <w:color w:val="auto"/>
          <w:szCs w:val="21"/>
          <w:highlight w:val="none"/>
        </w:rPr>
        <w:t>因</w:t>
      </w:r>
      <w:bookmarkStart w:id="303" w:name="_Toc312677487"/>
      <w:bookmarkStart w:id="304" w:name="_Toc312678013"/>
      <w:bookmarkStart w:id="305" w:name="_Toc318581170"/>
      <w:r>
        <w:rPr>
          <w:color w:val="auto"/>
          <w:szCs w:val="21"/>
          <w:highlight w:val="none"/>
        </w:rPr>
        <w:t>承包人原因造成工期延误，逾期竣工违约金的计算方法为：</w:t>
      </w:r>
      <w:bookmarkEnd w:id="298"/>
      <w:bookmarkEnd w:id="299"/>
      <w:bookmarkEnd w:id="300"/>
      <w:bookmarkEnd w:id="301"/>
      <w:bookmarkEnd w:id="302"/>
      <w:bookmarkEnd w:id="303"/>
      <w:bookmarkEnd w:id="304"/>
      <w:r>
        <w:rPr>
          <w:rFonts w:hint="eastAsia"/>
          <w:color w:val="auto"/>
          <w:szCs w:val="21"/>
          <w:highlight w:val="none"/>
          <w:u w:val="single"/>
        </w:rPr>
        <w:t>每天1000元。</w:t>
      </w:r>
    </w:p>
    <w:bookmarkEnd w:id="305"/>
    <w:p>
      <w:pPr>
        <w:spacing w:line="360" w:lineRule="exact"/>
        <w:ind w:firstLine="420" w:firstLineChars="200"/>
        <w:rPr>
          <w:color w:val="auto"/>
          <w:szCs w:val="21"/>
          <w:highlight w:val="none"/>
        </w:rPr>
      </w:pPr>
      <w:r>
        <w:rPr>
          <w:color w:val="auto"/>
          <w:szCs w:val="21"/>
          <w:highlight w:val="none"/>
        </w:rPr>
        <w:t>因承包人原因造成工期延误，逾期竣工违约金的上限：</w:t>
      </w:r>
      <w:r>
        <w:rPr>
          <w:color w:val="auto"/>
          <w:szCs w:val="21"/>
          <w:highlight w:val="none"/>
          <w:u w:val="single"/>
        </w:rPr>
        <w:t>履约保证金额度</w:t>
      </w:r>
      <w:r>
        <w:rPr>
          <w:rFonts w:hint="eastAsia"/>
          <w:color w:val="auto"/>
          <w:szCs w:val="21"/>
          <w:highlight w:val="none"/>
          <w:u w:val="single"/>
        </w:rPr>
        <w:t>，对发包人造成损失超过违约金的，除承担违约金外同时赔偿发包人损失</w:t>
      </w:r>
      <w:r>
        <w:rPr>
          <w:color w:val="auto"/>
          <w:szCs w:val="21"/>
          <w:highlight w:val="none"/>
        </w:rPr>
        <w:t>。</w:t>
      </w:r>
    </w:p>
    <w:bookmarkEnd w:id="293"/>
    <w:bookmarkEnd w:id="294"/>
    <w:p>
      <w:pPr>
        <w:spacing w:line="360" w:lineRule="exact"/>
        <w:ind w:firstLine="420" w:firstLineChars="200"/>
        <w:rPr>
          <w:color w:val="auto"/>
          <w:szCs w:val="21"/>
          <w:highlight w:val="none"/>
        </w:rPr>
      </w:pPr>
      <w:r>
        <w:rPr>
          <w:color w:val="auto"/>
          <w:szCs w:val="21"/>
          <w:highlight w:val="none"/>
        </w:rPr>
        <w:t>7</w:t>
      </w:r>
      <w:bookmarkStart w:id="306" w:name="_Toc297123519"/>
      <w:bookmarkStart w:id="307" w:name="_Toc300934971"/>
      <w:bookmarkStart w:id="308" w:name="_Toc304295549"/>
      <w:bookmarkStart w:id="309" w:name="_Toc297216178"/>
      <w:bookmarkStart w:id="310" w:name="_Toc303539128"/>
      <w:bookmarkStart w:id="311" w:name="_Toc312678015"/>
      <w:r>
        <w:rPr>
          <w:color w:val="auto"/>
          <w:szCs w:val="21"/>
          <w:highlight w:val="none"/>
        </w:rPr>
        <w:t>.6 不</w:t>
      </w:r>
      <w:bookmarkEnd w:id="306"/>
      <w:bookmarkEnd w:id="307"/>
      <w:bookmarkEnd w:id="308"/>
      <w:bookmarkEnd w:id="309"/>
      <w:bookmarkEnd w:id="310"/>
      <w:bookmarkEnd w:id="311"/>
      <w:r>
        <w:rPr>
          <w:color w:val="auto"/>
          <w:szCs w:val="21"/>
          <w:highlight w:val="none"/>
        </w:rPr>
        <w:t>利物质条件</w:t>
      </w:r>
    </w:p>
    <w:p>
      <w:pPr>
        <w:spacing w:line="360" w:lineRule="exact"/>
        <w:ind w:firstLine="420" w:firstLineChars="200"/>
        <w:rPr>
          <w:color w:val="auto"/>
          <w:szCs w:val="21"/>
          <w:highlight w:val="none"/>
        </w:rPr>
      </w:pPr>
      <w:bookmarkStart w:id="312" w:name="_Toc297216179"/>
      <w:bookmarkStart w:id="313" w:name="_Toc297123520"/>
      <w:bookmarkStart w:id="314" w:name="_Toc312678016"/>
      <w:bookmarkStart w:id="315" w:name="_Toc300934972"/>
      <w:bookmarkStart w:id="316" w:name="_Toc318581172"/>
      <w:bookmarkStart w:id="317" w:name="_Toc304295550"/>
      <w:bookmarkStart w:id="318" w:name="_Toc303539129"/>
      <w:r>
        <w:rPr>
          <w:color w:val="auto"/>
          <w:szCs w:val="21"/>
          <w:highlight w:val="none"/>
        </w:rPr>
        <w:t>不利物质条件的其他情形和有关约定：</w:t>
      </w:r>
    </w:p>
    <w:p>
      <w:pPr>
        <w:spacing w:line="360" w:lineRule="exact"/>
        <w:ind w:firstLine="420" w:firstLineChars="200"/>
        <w:rPr>
          <w:color w:val="auto"/>
          <w:szCs w:val="21"/>
          <w:highlight w:val="none"/>
        </w:rPr>
      </w:pPr>
      <w:r>
        <w:rPr>
          <w:color w:val="auto"/>
          <w:szCs w:val="21"/>
          <w:highlight w:val="none"/>
        </w:rPr>
        <w:t>（1）</w:t>
      </w:r>
      <w:r>
        <w:rPr>
          <w:color w:val="auto"/>
          <w:szCs w:val="21"/>
          <w:highlight w:val="none"/>
          <w:u w:val="single"/>
        </w:rPr>
        <w:t>每天连续停水、停电超过8小时以上</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因政府行政命令（因承包人原因的除外）</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非因双方原因而无法控制的爆炸、火灾等事件</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施工场地周围地下管线保护，地下障碍物和污染物排除，邻近建筑物、构筑物的保护要求。</w:t>
      </w:r>
    </w:p>
    <w:p>
      <w:pPr>
        <w:spacing w:line="360" w:lineRule="exact"/>
        <w:ind w:firstLine="420" w:firstLineChars="200"/>
        <w:rPr>
          <w:color w:val="auto"/>
          <w:szCs w:val="21"/>
          <w:highlight w:val="none"/>
        </w:rPr>
      </w:pPr>
      <w:r>
        <w:rPr>
          <w:color w:val="auto"/>
          <w:szCs w:val="21"/>
          <w:highlight w:val="none"/>
        </w:rPr>
        <w:t>（5）</w:t>
      </w:r>
      <w:r>
        <w:rPr>
          <w:color w:val="auto"/>
          <w:szCs w:val="21"/>
          <w:highlight w:val="none"/>
          <w:u w:val="single"/>
        </w:rPr>
        <w:t>地质勘探资料未涉及的地下管道、暗沟、岩层等。</w:t>
      </w:r>
    </w:p>
    <w:bookmarkEnd w:id="312"/>
    <w:bookmarkEnd w:id="313"/>
    <w:bookmarkEnd w:id="314"/>
    <w:bookmarkEnd w:id="315"/>
    <w:bookmarkEnd w:id="316"/>
    <w:bookmarkEnd w:id="317"/>
    <w:bookmarkEnd w:id="318"/>
    <w:p>
      <w:pPr>
        <w:spacing w:line="360" w:lineRule="exact"/>
        <w:ind w:firstLine="420" w:firstLineChars="200"/>
        <w:rPr>
          <w:color w:val="auto"/>
          <w:szCs w:val="21"/>
          <w:highlight w:val="none"/>
        </w:rPr>
      </w:pPr>
      <w:r>
        <w:rPr>
          <w:color w:val="auto"/>
          <w:szCs w:val="21"/>
          <w:highlight w:val="none"/>
        </w:rPr>
        <w:t>7</w:t>
      </w:r>
      <w:bookmarkStart w:id="319" w:name="_Toc297123521"/>
      <w:bookmarkStart w:id="320" w:name="_Toc297216180"/>
      <w:bookmarkStart w:id="321" w:name="_Toc300934973"/>
      <w:bookmarkStart w:id="322" w:name="_Toc304295551"/>
      <w:bookmarkStart w:id="323" w:name="_Toc312678017"/>
      <w:bookmarkStart w:id="324" w:name="_Toc303539130"/>
      <w:r>
        <w:rPr>
          <w:color w:val="auto"/>
          <w:szCs w:val="21"/>
          <w:highlight w:val="none"/>
        </w:rPr>
        <w:t>.7异常恶劣的气候条件</w:t>
      </w:r>
    </w:p>
    <w:bookmarkEnd w:id="319"/>
    <w:bookmarkEnd w:id="320"/>
    <w:bookmarkEnd w:id="321"/>
    <w:bookmarkEnd w:id="322"/>
    <w:bookmarkEnd w:id="323"/>
    <w:bookmarkEnd w:id="324"/>
    <w:p>
      <w:pPr>
        <w:spacing w:line="360" w:lineRule="exact"/>
        <w:ind w:firstLine="420" w:firstLineChars="200"/>
        <w:rPr>
          <w:color w:val="auto"/>
          <w:szCs w:val="21"/>
          <w:highlight w:val="none"/>
        </w:rPr>
      </w:pPr>
      <w:r>
        <w:rPr>
          <w:color w:val="auto"/>
          <w:szCs w:val="21"/>
          <w:highlight w:val="none"/>
        </w:rPr>
        <w:t>发包人和承包人同意以下情形视为异常恶劣的气候条件：</w:t>
      </w:r>
    </w:p>
    <w:p>
      <w:pPr>
        <w:spacing w:line="360" w:lineRule="exact"/>
        <w:ind w:firstLine="420" w:firstLineChars="200"/>
        <w:rPr>
          <w:color w:val="auto"/>
          <w:szCs w:val="21"/>
          <w:highlight w:val="none"/>
          <w:u w:val="single"/>
        </w:rPr>
      </w:pPr>
      <w:r>
        <w:rPr>
          <w:color w:val="auto"/>
          <w:szCs w:val="21"/>
          <w:highlight w:val="none"/>
        </w:rPr>
        <w:t>（1）</w:t>
      </w:r>
      <w:r>
        <w:rPr>
          <w:rFonts w:hint="eastAsia"/>
          <w:color w:val="auto"/>
          <w:szCs w:val="21"/>
          <w:highlight w:val="none"/>
          <w:u w:val="single"/>
        </w:rPr>
        <w:t>8-10 级（含10 级）</w:t>
      </w:r>
      <w:r>
        <w:rPr>
          <w:color w:val="auto"/>
          <w:szCs w:val="21"/>
          <w:highlight w:val="none"/>
          <w:u w:val="single"/>
        </w:rPr>
        <w:t>持续24小时的大风（台风）；</w:t>
      </w:r>
    </w:p>
    <w:p>
      <w:pPr>
        <w:spacing w:line="360" w:lineRule="exact"/>
        <w:ind w:firstLine="420" w:firstLineChars="200"/>
        <w:rPr>
          <w:color w:val="auto"/>
          <w:szCs w:val="21"/>
          <w:highlight w:val="none"/>
        </w:rPr>
      </w:pPr>
      <w:r>
        <w:rPr>
          <w:color w:val="auto"/>
          <w:szCs w:val="21"/>
          <w:highlight w:val="none"/>
        </w:rPr>
        <w:t>（2）</w:t>
      </w:r>
      <w:r>
        <w:rPr>
          <w:color w:val="auto"/>
          <w:szCs w:val="21"/>
          <w:highlight w:val="none"/>
          <w:u w:val="single"/>
        </w:rPr>
        <w:t xml:space="preserve">24小时内持续降雨且降水量为200mm以上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w:t>
      </w:r>
      <w:r>
        <w:rPr>
          <w:color w:val="auto"/>
          <w:szCs w:val="21"/>
          <w:highlight w:val="none"/>
          <w:u w:val="single"/>
        </w:rPr>
        <w:t xml:space="preserve">40摄氏度及以上且持续2天以上的高温天气 </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承包人为克服异常恶劣的气候条件，所采取合理措施而增加的费用和延误的工期由发包人承担；承包人虽然采取了合理的措施，但异常恶劣的气候条件发生后， 仍导致了工程现场损失，则参照通用合同条款 17.3 处理</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7.9 提前竣工的奖励</w:t>
      </w:r>
    </w:p>
    <w:p>
      <w:pPr>
        <w:spacing w:line="360" w:lineRule="exact"/>
        <w:ind w:firstLine="420" w:firstLineChars="200"/>
        <w:rPr>
          <w:color w:val="auto"/>
          <w:szCs w:val="21"/>
          <w:highlight w:val="none"/>
        </w:rPr>
      </w:pPr>
      <w:r>
        <w:rPr>
          <w:color w:val="auto"/>
          <w:szCs w:val="21"/>
          <w:highlight w:val="none"/>
        </w:rPr>
        <w:t>7.9.2提前竣工的奖励：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numPr>
          <w:ilvl w:val="0"/>
          <w:numId w:val="7"/>
        </w:numPr>
        <w:spacing w:line="360" w:lineRule="exact"/>
        <w:ind w:firstLine="422" w:firstLineChars="200"/>
        <w:rPr>
          <w:b/>
          <w:bCs/>
          <w:color w:val="auto"/>
          <w:szCs w:val="21"/>
          <w:highlight w:val="none"/>
        </w:rPr>
      </w:pPr>
      <w:bookmarkStart w:id="325" w:name="_Toc351203640"/>
      <w:r>
        <w:rPr>
          <w:b/>
          <w:bCs/>
          <w:color w:val="auto"/>
          <w:szCs w:val="21"/>
          <w:highlight w:val="none"/>
        </w:rPr>
        <w:t>材料与设备</w:t>
      </w:r>
      <w:bookmarkEnd w:id="325"/>
    </w:p>
    <w:bookmarkEnd w:id="260"/>
    <w:bookmarkEnd w:id="261"/>
    <w:bookmarkEnd w:id="262"/>
    <w:bookmarkEnd w:id="263"/>
    <w:bookmarkEnd w:id="264"/>
    <w:bookmarkEnd w:id="265"/>
    <w:bookmarkEnd w:id="266"/>
    <w:bookmarkEnd w:id="267"/>
    <w:bookmarkEnd w:id="268"/>
    <w:bookmarkEnd w:id="269"/>
    <w:p>
      <w:pPr>
        <w:spacing w:line="360" w:lineRule="exact"/>
        <w:ind w:firstLine="420" w:firstLineChars="200"/>
        <w:rPr>
          <w:color w:val="auto"/>
          <w:szCs w:val="21"/>
          <w:highlight w:val="none"/>
        </w:rPr>
      </w:pPr>
      <w:r>
        <w:rPr>
          <w:color w:val="auto"/>
          <w:szCs w:val="21"/>
          <w:highlight w:val="none"/>
        </w:rPr>
        <w:t>8.2 承包人采购材料与工程设备</w:t>
      </w:r>
    </w:p>
    <w:p>
      <w:pPr>
        <w:numPr>
          <w:ilvl w:val="0"/>
          <w:numId w:val="8"/>
        </w:numPr>
        <w:spacing w:line="360" w:lineRule="exact"/>
        <w:ind w:firstLine="420" w:firstLineChars="200"/>
        <w:rPr>
          <w:color w:val="auto"/>
          <w:szCs w:val="21"/>
          <w:highlight w:val="none"/>
          <w:u w:val="single"/>
        </w:rPr>
      </w:pPr>
      <w:r>
        <w:rPr>
          <w:color w:val="auto"/>
          <w:szCs w:val="21"/>
          <w:highlight w:val="none"/>
          <w:u w:val="single"/>
        </w:rPr>
        <w:t>材料品牌、规格和使用要求：</w:t>
      </w:r>
      <w:r>
        <w:rPr>
          <w:rFonts w:hint="eastAsia"/>
          <w:color w:val="auto"/>
          <w:szCs w:val="21"/>
          <w:highlight w:val="none"/>
          <w:u w:val="single"/>
        </w:rPr>
        <w:t>按采购文件（相应）技术标准和要求执行</w:t>
      </w:r>
      <w:r>
        <w:rPr>
          <w:rFonts w:hint="eastAsia"/>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（2）本工程已确定承包价的建筑材料均由承包人自行询价、采购、运输和保管</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p>
    <w:tbl>
      <w:tblPr>
        <w:tblStyle w:val="29"/>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725"/>
        <w:gridCol w:w="484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695" w:type="dxa"/>
            <w:vAlign w:val="center"/>
          </w:tcPr>
          <w:p>
            <w:pPr>
              <w:jc w:val="center"/>
              <w:rPr>
                <w:color w:val="auto"/>
                <w:szCs w:val="21"/>
                <w:highlight w:val="none"/>
              </w:rPr>
            </w:pPr>
            <w:r>
              <w:rPr>
                <w:color w:val="auto"/>
                <w:szCs w:val="21"/>
                <w:highlight w:val="none"/>
              </w:rPr>
              <w:t>序号</w:t>
            </w:r>
          </w:p>
        </w:tc>
        <w:tc>
          <w:tcPr>
            <w:tcW w:w="2725" w:type="dxa"/>
            <w:vAlign w:val="center"/>
          </w:tcPr>
          <w:p>
            <w:pPr>
              <w:jc w:val="center"/>
              <w:rPr>
                <w:color w:val="auto"/>
                <w:szCs w:val="21"/>
                <w:highlight w:val="none"/>
              </w:rPr>
            </w:pPr>
            <w:r>
              <w:rPr>
                <w:color w:val="auto"/>
                <w:szCs w:val="21"/>
                <w:highlight w:val="none"/>
              </w:rPr>
              <w:t>材料名称</w:t>
            </w:r>
          </w:p>
        </w:tc>
        <w:tc>
          <w:tcPr>
            <w:tcW w:w="4840" w:type="dxa"/>
            <w:vAlign w:val="center"/>
          </w:tcPr>
          <w:p>
            <w:pPr>
              <w:jc w:val="center"/>
              <w:rPr>
                <w:color w:val="auto"/>
                <w:szCs w:val="21"/>
                <w:highlight w:val="none"/>
              </w:rPr>
            </w:pPr>
            <w:r>
              <w:rPr>
                <w:color w:val="auto"/>
                <w:szCs w:val="21"/>
                <w:highlight w:val="none"/>
              </w:rPr>
              <w:t>备选品牌或厂家</w:t>
            </w:r>
          </w:p>
        </w:tc>
        <w:tc>
          <w:tcPr>
            <w:tcW w:w="1280" w:type="dxa"/>
            <w:vAlign w:val="center"/>
          </w:tcPr>
          <w:p>
            <w:pPr>
              <w:jc w:val="center"/>
              <w:rPr>
                <w:color w:val="auto"/>
                <w:szCs w:val="21"/>
                <w:highlight w:val="none"/>
              </w:rPr>
            </w:pPr>
            <w:r>
              <w:rPr>
                <w:rFonts w:hint="eastAsia"/>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ascii="宋体" w:hAnsi="宋体"/>
                <w:color w:val="auto"/>
                <w:szCs w:val="21"/>
                <w:highlight w:val="none"/>
              </w:rPr>
              <w:t>1</w:t>
            </w:r>
          </w:p>
        </w:tc>
        <w:tc>
          <w:tcPr>
            <w:tcW w:w="2725" w:type="dxa"/>
            <w:vAlign w:val="center"/>
          </w:tcPr>
          <w:p>
            <w:pPr>
              <w:adjustRightInd w:val="0"/>
              <w:snapToGrid w:val="0"/>
              <w:jc w:val="center"/>
              <w:rPr>
                <w:color w:val="auto"/>
                <w:szCs w:val="21"/>
                <w:highlight w:val="none"/>
              </w:rPr>
            </w:pPr>
            <w:r>
              <w:rPr>
                <w:rFonts w:hint="eastAsia"/>
                <w:color w:val="auto"/>
                <w:szCs w:val="21"/>
                <w:highlight w:val="none"/>
              </w:rPr>
              <w:t>水泥</w:t>
            </w:r>
          </w:p>
        </w:tc>
        <w:tc>
          <w:tcPr>
            <w:tcW w:w="4840" w:type="dxa"/>
            <w:vAlign w:val="center"/>
          </w:tcPr>
          <w:p>
            <w:pPr>
              <w:adjustRightInd w:val="0"/>
              <w:snapToGrid w:val="0"/>
              <w:jc w:val="center"/>
              <w:rPr>
                <w:color w:val="auto"/>
                <w:szCs w:val="21"/>
                <w:highlight w:val="none"/>
              </w:rPr>
            </w:pPr>
            <w:r>
              <w:rPr>
                <w:rFonts w:hint="eastAsia"/>
                <w:color w:val="auto"/>
                <w:szCs w:val="21"/>
                <w:highlight w:val="none"/>
              </w:rPr>
              <w:t>尖峰、海螺、三狮或相当于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hint="eastAsia" w:ascii="宋体" w:hAnsi="宋体"/>
                <w:color w:val="auto"/>
                <w:szCs w:val="21"/>
                <w:highlight w:val="none"/>
              </w:rPr>
              <w:t>2</w:t>
            </w:r>
          </w:p>
        </w:tc>
        <w:tc>
          <w:tcPr>
            <w:tcW w:w="2725" w:type="dxa"/>
            <w:vAlign w:val="center"/>
          </w:tcPr>
          <w:p>
            <w:pPr>
              <w:adjustRightInd w:val="0"/>
              <w:snapToGrid w:val="0"/>
              <w:jc w:val="center"/>
              <w:rPr>
                <w:rFonts w:ascii="宋体" w:hAnsi="宋体"/>
                <w:color w:val="auto"/>
                <w:szCs w:val="21"/>
                <w:highlight w:val="none"/>
              </w:rPr>
            </w:pPr>
            <w:r>
              <w:rPr>
                <w:rFonts w:hint="eastAsia"/>
                <w:color w:val="auto"/>
                <w:szCs w:val="21"/>
                <w:highlight w:val="none"/>
              </w:rPr>
              <w:t>乳胶漆</w:t>
            </w:r>
          </w:p>
        </w:tc>
        <w:tc>
          <w:tcPr>
            <w:tcW w:w="4840" w:type="dxa"/>
            <w:vAlign w:val="center"/>
          </w:tcPr>
          <w:p>
            <w:pPr>
              <w:adjustRightInd w:val="0"/>
              <w:snapToGrid w:val="0"/>
              <w:jc w:val="center"/>
              <w:rPr>
                <w:rFonts w:ascii="宋体" w:hAnsi="宋体"/>
                <w:color w:val="auto"/>
                <w:szCs w:val="21"/>
                <w:highlight w:val="none"/>
              </w:rPr>
            </w:pPr>
            <w:r>
              <w:rPr>
                <w:rFonts w:hint="eastAsia"/>
                <w:color w:val="auto"/>
                <w:szCs w:val="21"/>
                <w:highlight w:val="none"/>
              </w:rPr>
              <w:t>立邦、多乐士、嘉宝莉或相当于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hint="eastAsia" w:ascii="宋体" w:hAnsi="宋体"/>
                <w:color w:val="auto"/>
                <w:szCs w:val="21"/>
                <w:highlight w:val="none"/>
              </w:rPr>
              <w:t>3</w:t>
            </w:r>
          </w:p>
        </w:tc>
        <w:tc>
          <w:tcPr>
            <w:tcW w:w="2725"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灯具</w:t>
            </w:r>
          </w:p>
        </w:tc>
        <w:tc>
          <w:tcPr>
            <w:tcW w:w="4840" w:type="dxa"/>
            <w:vAlign w:val="center"/>
          </w:tcPr>
          <w:p>
            <w:pPr>
              <w:spacing w:line="360" w:lineRule="exact"/>
              <w:jc w:val="center"/>
              <w:rPr>
                <w:rFonts w:ascii="宋体" w:hAnsi="宋体" w:cs="宋体"/>
                <w:color w:val="auto"/>
                <w:szCs w:val="21"/>
                <w:highlight w:val="none"/>
              </w:rPr>
            </w:pPr>
            <w:r>
              <w:rPr>
                <w:rFonts w:hint="eastAsia" w:ascii="宋体" w:hAnsi="宋体"/>
                <w:color w:val="auto"/>
                <w:szCs w:val="21"/>
                <w:highlight w:val="none"/>
              </w:rPr>
              <w:t>三雄极光、欧普、雷士或相当于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725" w:type="dxa"/>
            <w:vAlign w:val="center"/>
          </w:tcPr>
          <w:p>
            <w:pPr>
              <w:adjustRightInd w:val="0"/>
              <w:snapToGrid w:val="0"/>
              <w:jc w:val="center"/>
              <w:rPr>
                <w:color w:val="auto"/>
                <w:szCs w:val="21"/>
                <w:highlight w:val="none"/>
              </w:rPr>
            </w:pPr>
            <w:r>
              <w:rPr>
                <w:rFonts w:hint="eastAsia" w:ascii="宋体" w:hAnsi="宋体"/>
                <w:color w:val="auto"/>
                <w:szCs w:val="21"/>
                <w:highlight w:val="none"/>
              </w:rPr>
              <w:t>开关、插座</w:t>
            </w:r>
          </w:p>
        </w:tc>
        <w:tc>
          <w:tcPr>
            <w:tcW w:w="4840" w:type="dxa"/>
            <w:vAlign w:val="center"/>
          </w:tcPr>
          <w:p>
            <w:pPr>
              <w:adjustRightInd w:val="0"/>
              <w:snapToGrid w:val="0"/>
              <w:jc w:val="center"/>
              <w:rPr>
                <w:color w:val="auto"/>
                <w:szCs w:val="21"/>
                <w:highlight w:val="none"/>
              </w:rPr>
            </w:pPr>
            <w:r>
              <w:rPr>
                <w:rFonts w:hint="eastAsia" w:ascii="宋体" w:hAnsi="宋体"/>
                <w:color w:val="auto"/>
                <w:szCs w:val="21"/>
                <w:highlight w:val="none"/>
              </w:rPr>
              <w:t>正泰、鸿雁、公牛或相当于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725"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阻燃板等板材</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莫干山、兔宝宝、千年舟或相当于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725" w:type="dxa"/>
            <w:vAlign w:val="center"/>
          </w:tcPr>
          <w:p>
            <w:pPr>
              <w:adjustRightInd w:val="0"/>
              <w:snapToGrid w:val="0"/>
              <w:jc w:val="center"/>
              <w:rPr>
                <w:color w:val="auto"/>
                <w:szCs w:val="21"/>
                <w:highlight w:val="none"/>
              </w:rPr>
            </w:pPr>
            <w:r>
              <w:rPr>
                <w:rFonts w:hint="eastAsia" w:ascii="宋体" w:hAnsi="宋体"/>
                <w:color w:val="auto"/>
                <w:szCs w:val="21"/>
                <w:highlight w:val="none"/>
              </w:rPr>
              <w:t>电线电缆</w:t>
            </w:r>
          </w:p>
        </w:tc>
        <w:tc>
          <w:tcPr>
            <w:tcW w:w="4840" w:type="dxa"/>
            <w:vAlign w:val="center"/>
          </w:tcPr>
          <w:p>
            <w:pPr>
              <w:adjustRightInd w:val="0"/>
              <w:snapToGrid w:val="0"/>
              <w:jc w:val="center"/>
              <w:rPr>
                <w:color w:val="auto"/>
                <w:szCs w:val="21"/>
                <w:highlight w:val="none"/>
              </w:rPr>
            </w:pPr>
            <w:r>
              <w:rPr>
                <w:rFonts w:hint="eastAsia" w:ascii="宋体" w:hAnsi="宋体"/>
                <w:color w:val="auto"/>
                <w:szCs w:val="21"/>
                <w:highlight w:val="none"/>
              </w:rPr>
              <w:t>飞洲、中策、珠江或相当于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管材、管件</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公元、伟星、白蝶或相当于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轻钢龙骨</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龙牌、可耐福、杰科或相当于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防水涂料</w:t>
            </w:r>
          </w:p>
        </w:tc>
        <w:tc>
          <w:tcPr>
            <w:tcW w:w="4840" w:type="dxa"/>
            <w:vAlign w:val="center"/>
          </w:tcPr>
          <w:p>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东方雨虹、科顺、江苏凯伦或相当于</w:t>
            </w:r>
          </w:p>
        </w:tc>
        <w:tc>
          <w:tcPr>
            <w:tcW w:w="1280" w:type="dxa"/>
            <w:vAlign w:val="center"/>
          </w:tcPr>
          <w:p>
            <w:pPr>
              <w:adjustRightInd w:val="0"/>
              <w:snapToGrid w:val="0"/>
              <w:jc w:val="center"/>
              <w:rPr>
                <w:color w:val="auto"/>
                <w:szCs w:val="21"/>
                <w:highlight w:val="none"/>
              </w:rPr>
            </w:pPr>
          </w:p>
        </w:tc>
      </w:tr>
    </w:tbl>
    <w:p>
      <w:pPr>
        <w:spacing w:line="360" w:lineRule="exact"/>
        <w:ind w:firstLine="420" w:firstLineChars="200"/>
        <w:rPr>
          <w:color w:val="auto"/>
          <w:szCs w:val="21"/>
          <w:highlight w:val="none"/>
          <w:u w:val="single"/>
        </w:rPr>
      </w:pPr>
      <w:r>
        <w:rPr>
          <w:color w:val="auto"/>
          <w:szCs w:val="21"/>
          <w:highlight w:val="none"/>
          <w:u w:val="single"/>
        </w:rPr>
        <w:t>（4）所有材料必须有质保书或合格证，</w:t>
      </w:r>
      <w:bookmarkStart w:id="326" w:name="OLE_LINK13"/>
      <w:bookmarkStart w:id="327" w:name="OLE_LINK14"/>
      <w:r>
        <w:rPr>
          <w:color w:val="auto"/>
          <w:szCs w:val="21"/>
          <w:highlight w:val="none"/>
          <w:u w:val="single"/>
        </w:rPr>
        <w:t>符合施工图纸和规范要求</w:t>
      </w:r>
      <w:bookmarkEnd w:id="326"/>
      <w:bookmarkEnd w:id="327"/>
      <w:r>
        <w:rPr>
          <w:color w:val="auto"/>
          <w:szCs w:val="21"/>
          <w:highlight w:val="none"/>
          <w:u w:val="single"/>
        </w:rPr>
        <w:t>，且品牌、产地需报发包人备案，否则，因此产生的后果均由承包人负责</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5）凡是采购文件注明规格、型号或相当于的厂家（品牌、产地）的材料，承包人必须按照采购文件要求采购和施工，优先使用相当于的厂家（品牌、产地），如需调整，必须经得发包人认可，否则由此引起的后果由承包人承担</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（7）根据工程需要，发包人有权对承包人投标时确认的品牌进行更换，更换后的材料价格由发包人签证进行结算</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（8）合同中原暂定价材料或由工程变更产生的无价材料由承包人采购时，应由发包人签证确定价格后采购，发包人在收到承包人价格确定申请后，7日内审批完毕</w:t>
      </w:r>
      <w:r>
        <w:rPr>
          <w:rFonts w:hint="eastAsia"/>
          <w:color w:val="auto"/>
          <w:szCs w:val="21"/>
          <w:highlight w:val="none"/>
        </w:rPr>
        <w:t>。</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Pr>
        <w:spacing w:line="360" w:lineRule="exact"/>
        <w:ind w:firstLine="420" w:firstLineChars="200"/>
        <w:rPr>
          <w:color w:val="auto"/>
          <w:szCs w:val="21"/>
          <w:highlight w:val="none"/>
        </w:rPr>
      </w:pPr>
      <w:bookmarkStart w:id="328" w:name="_Toc267251442"/>
      <w:r>
        <w:rPr>
          <w:color w:val="auto"/>
          <w:szCs w:val="21"/>
          <w:highlight w:val="none"/>
        </w:rPr>
        <w:t>8.4材料与工程设备的保管与使用</w:t>
      </w:r>
    </w:p>
    <w:p>
      <w:pPr>
        <w:spacing w:line="360" w:lineRule="exact"/>
        <w:ind w:firstLine="420" w:firstLineChars="200"/>
        <w:rPr>
          <w:color w:val="auto"/>
          <w:szCs w:val="21"/>
          <w:highlight w:val="none"/>
        </w:rPr>
      </w:pPr>
      <w:r>
        <w:rPr>
          <w:color w:val="auto"/>
          <w:szCs w:val="21"/>
          <w:highlight w:val="none"/>
        </w:rPr>
        <w:t>8.4.1发包人供应的材料设备的保管费用的承担：</w:t>
      </w:r>
      <w:r>
        <w:rPr>
          <w:rFonts w:hint="eastAsia"/>
          <w:color w:val="auto"/>
          <w:szCs w:val="21"/>
          <w:highlight w:val="none"/>
          <w:u w:val="single"/>
        </w:rPr>
        <w:t>不另行计取</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8.6 样品</w:t>
      </w:r>
    </w:p>
    <w:p>
      <w:pPr>
        <w:spacing w:line="360" w:lineRule="exact"/>
        <w:ind w:firstLine="420" w:firstLineChars="200"/>
        <w:rPr>
          <w:color w:val="auto"/>
          <w:szCs w:val="21"/>
          <w:highlight w:val="none"/>
        </w:rPr>
      </w:pPr>
      <w:r>
        <w:rPr>
          <w:color w:val="auto"/>
          <w:szCs w:val="21"/>
          <w:highlight w:val="none"/>
        </w:rPr>
        <w:t>8.6.1</w:t>
      </w:r>
      <w:r>
        <w:rPr>
          <w:rFonts w:hint="eastAsia"/>
          <w:color w:val="auto"/>
          <w:szCs w:val="21"/>
          <w:highlight w:val="none"/>
        </w:rPr>
        <w:t xml:space="preserve"> </w:t>
      </w:r>
      <w:r>
        <w:rPr>
          <w:color w:val="auto"/>
          <w:szCs w:val="21"/>
          <w:highlight w:val="none"/>
        </w:rPr>
        <w:t>样品的报送</w:t>
      </w:r>
      <w:r>
        <w:rPr>
          <w:rFonts w:hint="eastAsia"/>
          <w:color w:val="auto"/>
          <w:szCs w:val="21"/>
          <w:highlight w:val="none"/>
        </w:rPr>
        <w:t>与封存</w:t>
      </w:r>
    </w:p>
    <w:p>
      <w:pPr>
        <w:spacing w:line="360" w:lineRule="exact"/>
        <w:ind w:firstLine="420" w:firstLineChars="200"/>
        <w:rPr>
          <w:color w:val="auto"/>
          <w:szCs w:val="21"/>
          <w:highlight w:val="none"/>
        </w:rPr>
      </w:pPr>
      <w:r>
        <w:rPr>
          <w:color w:val="auto"/>
          <w:szCs w:val="21"/>
          <w:highlight w:val="none"/>
        </w:rPr>
        <w:t>需要承包人报送样品的材料或工程设备，样品的种类、名称、规格、数量要求：</w:t>
      </w:r>
      <w:r>
        <w:rPr>
          <w:color w:val="auto"/>
          <w:szCs w:val="21"/>
          <w:highlight w:val="none"/>
          <w:u w:val="single"/>
        </w:rPr>
        <w:t xml:space="preserve"> （</w:t>
      </w:r>
      <w:r>
        <w:rPr>
          <w:rFonts w:hint="eastAsia"/>
          <w:color w:val="auto"/>
          <w:szCs w:val="21"/>
          <w:highlight w:val="none"/>
          <w:u w:val="single"/>
        </w:rPr>
        <w:t>如有要封存样品，明确具体样品名称）</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8.8 施工设备和临时设施</w:t>
      </w:r>
    </w:p>
    <w:p>
      <w:pPr>
        <w:spacing w:line="360" w:lineRule="exact"/>
        <w:ind w:firstLine="420" w:firstLineChars="200"/>
        <w:rPr>
          <w:color w:val="auto"/>
          <w:szCs w:val="21"/>
          <w:highlight w:val="none"/>
        </w:rPr>
      </w:pPr>
      <w:r>
        <w:rPr>
          <w:color w:val="auto"/>
          <w:szCs w:val="21"/>
          <w:highlight w:val="none"/>
        </w:rPr>
        <w:t>8.8.1 承包人提供的施工设备和临时设施</w:t>
      </w:r>
    </w:p>
    <w:p>
      <w:pPr>
        <w:spacing w:line="360" w:lineRule="exact"/>
        <w:ind w:firstLine="420" w:firstLineChars="200"/>
        <w:rPr>
          <w:color w:val="auto"/>
          <w:szCs w:val="21"/>
          <w:highlight w:val="none"/>
        </w:rPr>
      </w:pPr>
      <w:r>
        <w:rPr>
          <w:color w:val="auto"/>
          <w:szCs w:val="21"/>
          <w:highlight w:val="none"/>
        </w:rPr>
        <w:t>关于修建临时设施费用承担的约定：</w:t>
      </w:r>
      <w:r>
        <w:rPr>
          <w:color w:val="auto"/>
          <w:szCs w:val="21"/>
          <w:highlight w:val="none"/>
          <w:u w:val="single"/>
        </w:rPr>
        <w:t xml:space="preserve"> </w:t>
      </w:r>
      <w:r>
        <w:rPr>
          <w:rFonts w:hint="eastAsia"/>
          <w:color w:val="auto"/>
          <w:szCs w:val="21"/>
          <w:highlight w:val="none"/>
          <w:u w:val="single"/>
        </w:rPr>
        <w:t>由承包人承担</w:t>
      </w:r>
      <w:r>
        <w:rPr>
          <w:color w:val="auto"/>
          <w:szCs w:val="21"/>
          <w:highlight w:val="none"/>
          <w:u w:val="single"/>
        </w:rPr>
        <w:t xml:space="preserve">  </w:t>
      </w:r>
      <w:r>
        <w:rPr>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9. 试验与检验</w:t>
      </w:r>
    </w:p>
    <w:p>
      <w:pPr>
        <w:spacing w:line="360" w:lineRule="exact"/>
        <w:ind w:firstLine="420" w:firstLineChars="200"/>
        <w:rPr>
          <w:color w:val="auto"/>
          <w:szCs w:val="21"/>
          <w:highlight w:val="none"/>
        </w:rPr>
      </w:pPr>
      <w:r>
        <w:rPr>
          <w:color w:val="auto"/>
          <w:szCs w:val="21"/>
          <w:highlight w:val="none"/>
        </w:rPr>
        <w:t>9.1试验设备与试验人员</w:t>
      </w:r>
    </w:p>
    <w:p>
      <w:pPr>
        <w:spacing w:line="360" w:lineRule="exact"/>
        <w:ind w:firstLine="420" w:firstLineChars="200"/>
        <w:rPr>
          <w:color w:val="auto"/>
          <w:szCs w:val="21"/>
          <w:highlight w:val="none"/>
        </w:rPr>
      </w:pPr>
      <w:r>
        <w:rPr>
          <w:color w:val="auto"/>
          <w:szCs w:val="21"/>
          <w:highlight w:val="none"/>
        </w:rPr>
        <w:t>9.1.2 试验设备</w:t>
      </w:r>
    </w:p>
    <w:p>
      <w:pPr>
        <w:spacing w:line="360" w:lineRule="exact"/>
        <w:ind w:firstLine="420" w:firstLineChars="200"/>
        <w:rPr>
          <w:color w:val="auto"/>
          <w:szCs w:val="21"/>
          <w:highlight w:val="none"/>
        </w:rPr>
      </w:pPr>
      <w:r>
        <w:rPr>
          <w:color w:val="auto"/>
          <w:szCs w:val="21"/>
          <w:highlight w:val="none"/>
        </w:rPr>
        <w:t>施工现场需要配置的试验场所：</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施工现场需要配备的试验设备：</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施工现场需要具备的其他试验条件：</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9.3 材料、工程设备和工程的试验和检验</w:t>
      </w:r>
    </w:p>
    <w:p>
      <w:pPr>
        <w:spacing w:line="360" w:lineRule="exact"/>
        <w:ind w:firstLine="420" w:firstLineChars="200"/>
        <w:rPr>
          <w:color w:val="auto"/>
          <w:szCs w:val="21"/>
          <w:highlight w:val="none"/>
        </w:rPr>
      </w:pPr>
      <w:r>
        <w:rPr>
          <w:color w:val="auto"/>
          <w:szCs w:val="21"/>
          <w:highlight w:val="none"/>
        </w:rPr>
        <w:t>9.3.4材料、设备和工程的试验和检验的费用：</w:t>
      </w:r>
    </w:p>
    <w:p>
      <w:pPr>
        <w:spacing w:line="360" w:lineRule="exact"/>
        <w:ind w:firstLine="420" w:firstLineChars="200"/>
        <w:rPr>
          <w:color w:val="auto"/>
          <w:szCs w:val="21"/>
          <w:highlight w:val="none"/>
          <w:u w:val="single"/>
        </w:rPr>
      </w:pPr>
      <w:r>
        <w:rPr>
          <w:rFonts w:hint="eastAsia"/>
          <w:color w:val="auto"/>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2）本合同金额包括建筑以及材料、构件和建筑安装物进行一般鉴定、检查所发生的费用，包括建设工程质量见证取样检测费、建筑施工企业配合检测及自设试验室进行试验所耗用的材料和化学药品等费用，其中由发包人支付的见证取样检测费在财务结算时从承包人的工程款中扣回；本项目发包人提出的构件破坏性试验费用由发包人承担，承包人在投标时应充分考虑本项目可能存在的检测内容及费用，结算时不再调整</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9.4 现场工艺试验</w:t>
      </w:r>
    </w:p>
    <w:p>
      <w:pPr>
        <w:spacing w:line="360" w:lineRule="exact"/>
        <w:ind w:firstLine="420" w:firstLineChars="200"/>
        <w:rPr>
          <w:color w:val="auto"/>
          <w:szCs w:val="21"/>
          <w:highlight w:val="none"/>
        </w:rPr>
      </w:pPr>
      <w:r>
        <w:rPr>
          <w:color w:val="auto"/>
          <w:szCs w:val="21"/>
          <w:highlight w:val="none"/>
        </w:rPr>
        <w:t>现场工艺试验的有关约定：</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10. 变更</w:t>
      </w:r>
    </w:p>
    <w:p>
      <w:pPr>
        <w:spacing w:line="360" w:lineRule="exact"/>
        <w:ind w:firstLine="420" w:firstLineChars="200"/>
        <w:rPr>
          <w:color w:val="auto"/>
          <w:szCs w:val="21"/>
          <w:highlight w:val="none"/>
        </w:rPr>
      </w:pPr>
      <w:r>
        <w:rPr>
          <w:color w:val="auto"/>
          <w:szCs w:val="21"/>
          <w:highlight w:val="none"/>
        </w:rPr>
        <w:t>10.1变更的范围</w:t>
      </w:r>
    </w:p>
    <w:p>
      <w:pPr>
        <w:spacing w:line="360" w:lineRule="exact"/>
        <w:ind w:firstLine="420" w:firstLineChars="200"/>
        <w:rPr>
          <w:color w:val="auto"/>
          <w:szCs w:val="21"/>
          <w:highlight w:val="none"/>
        </w:rPr>
      </w:pPr>
      <w:r>
        <w:rPr>
          <w:color w:val="auto"/>
          <w:szCs w:val="21"/>
          <w:highlight w:val="none"/>
        </w:rPr>
        <w:t>关于变更的范围的约定：</w:t>
      </w:r>
      <w:r>
        <w:rPr>
          <w:rFonts w:hint="eastAsia"/>
          <w:color w:val="auto"/>
          <w:szCs w:val="21"/>
          <w:highlight w:val="none"/>
          <w:u w:val="single"/>
        </w:rPr>
        <w:t>按合同通用条款</w:t>
      </w:r>
      <w:r>
        <w:rPr>
          <w:color w:val="auto"/>
          <w:szCs w:val="21"/>
          <w:highlight w:val="none"/>
          <w:u w:val="single"/>
        </w:rPr>
        <w:t>。</w:t>
      </w:r>
      <w:r>
        <w:rPr>
          <w:rFonts w:hint="eastAsia"/>
          <w:color w:val="auto"/>
          <w:szCs w:val="21"/>
          <w:highlight w:val="none"/>
          <w:u w:val="single"/>
        </w:rPr>
        <w:t>工程变更引起工程量的减少或增加，承包人不得因此拒绝施工</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10.4 变更估价</w:t>
      </w:r>
    </w:p>
    <w:p>
      <w:pPr>
        <w:spacing w:line="360" w:lineRule="exact"/>
        <w:ind w:firstLine="420" w:firstLineChars="200"/>
        <w:rPr>
          <w:color w:val="auto"/>
          <w:szCs w:val="21"/>
          <w:highlight w:val="none"/>
        </w:rPr>
      </w:pPr>
      <w:r>
        <w:rPr>
          <w:color w:val="auto"/>
          <w:szCs w:val="21"/>
          <w:highlight w:val="none"/>
        </w:rPr>
        <w:t xml:space="preserve">10.4.1 </w:t>
      </w:r>
      <w:r>
        <w:rPr>
          <w:rFonts w:hint="eastAsia"/>
          <w:color w:val="auto"/>
          <w:szCs w:val="21"/>
          <w:highlight w:val="none"/>
        </w:rPr>
        <w:t>变更估价原则</w:t>
      </w:r>
    </w:p>
    <w:p>
      <w:pPr>
        <w:spacing w:line="360" w:lineRule="exact"/>
        <w:ind w:firstLine="420" w:firstLineChars="200"/>
        <w:rPr>
          <w:color w:val="auto"/>
          <w:szCs w:val="21"/>
          <w:highlight w:val="none"/>
        </w:rPr>
      </w:pPr>
      <w:r>
        <w:rPr>
          <w:rFonts w:hint="eastAsia"/>
          <w:color w:val="auto"/>
          <w:szCs w:val="21"/>
          <w:highlight w:val="none"/>
        </w:rPr>
        <w:t>关于变更估价的约定</w:t>
      </w:r>
      <w:r>
        <w:rPr>
          <w:color w:val="auto"/>
          <w:szCs w:val="21"/>
          <w:highlight w:val="none"/>
        </w:rPr>
        <w:t xml:space="preserve">: </w:t>
      </w:r>
    </w:p>
    <w:p>
      <w:pPr>
        <w:spacing w:line="360" w:lineRule="exact"/>
        <w:ind w:firstLine="420" w:firstLineChars="200"/>
        <w:rPr>
          <w:color w:val="auto"/>
          <w:szCs w:val="21"/>
          <w:highlight w:val="none"/>
          <w:u w:val="single"/>
        </w:rPr>
      </w:pPr>
      <w:r>
        <w:rPr>
          <w:rFonts w:hint="eastAsia"/>
          <w:color w:val="auto"/>
          <w:szCs w:val="21"/>
          <w:highlight w:val="none"/>
          <w:u w:val="single"/>
        </w:rPr>
        <w:t>变更项目的计价口径同合同约定计价方法，按约定的工程预算定额计价，预算定额中无合适定额子目的由发包人签证确定</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10.4.2 变更估价程序</w:t>
      </w:r>
    </w:p>
    <w:p>
      <w:pPr>
        <w:spacing w:line="360" w:lineRule="exact"/>
        <w:ind w:firstLine="420" w:firstLineChars="200"/>
        <w:rPr>
          <w:color w:val="auto"/>
          <w:szCs w:val="21"/>
          <w:highlight w:val="none"/>
        </w:rPr>
      </w:pPr>
      <w:r>
        <w:rPr>
          <w:rFonts w:hint="eastAsia"/>
          <w:color w:val="auto"/>
          <w:szCs w:val="21"/>
          <w:highlight w:val="none"/>
          <w:u w:val="single"/>
        </w:rPr>
        <w:t>承包人收到发包人、设计单位的变更指示后</w:t>
      </w:r>
      <w:r>
        <w:rPr>
          <w:color w:val="auto"/>
          <w:szCs w:val="21"/>
          <w:highlight w:val="none"/>
          <w:u w:val="single"/>
        </w:rPr>
        <w:t>14</w:t>
      </w:r>
      <w:r>
        <w:rPr>
          <w:rFonts w:hint="eastAsia"/>
          <w:color w:val="auto"/>
          <w:szCs w:val="21"/>
          <w:highlight w:val="none"/>
          <w:u w:val="single"/>
        </w:rPr>
        <w:t>天内向发包人提交变更估价申请。承包人提出工程变更、施工方案调整等变更应同时提交变更估价申请。承包人提交的变更估价申请，发包人应予以签收，并在14天内审批完毕。</w:t>
      </w:r>
    </w:p>
    <w:p>
      <w:pPr>
        <w:spacing w:line="360" w:lineRule="exact"/>
        <w:ind w:firstLine="420" w:firstLineChars="200"/>
        <w:rPr>
          <w:color w:val="auto"/>
          <w:szCs w:val="21"/>
          <w:highlight w:val="none"/>
        </w:rPr>
      </w:pPr>
      <w:r>
        <w:rPr>
          <w:color w:val="auto"/>
          <w:szCs w:val="21"/>
          <w:highlight w:val="none"/>
        </w:rPr>
        <w:t>10.5承包人的合理化建议</w:t>
      </w:r>
    </w:p>
    <w:p>
      <w:pPr>
        <w:spacing w:line="360" w:lineRule="exact"/>
        <w:ind w:firstLine="420" w:firstLineChars="200"/>
        <w:rPr>
          <w:color w:val="auto"/>
          <w:szCs w:val="21"/>
          <w:highlight w:val="none"/>
        </w:rPr>
      </w:pPr>
      <w:r>
        <w:rPr>
          <w:color w:val="auto"/>
          <w:szCs w:val="21"/>
          <w:highlight w:val="none"/>
        </w:rPr>
        <w:t>监理人审查承包人合理化建议的期限：</w:t>
      </w:r>
      <w:r>
        <w:rPr>
          <w:color w:val="auto"/>
          <w:szCs w:val="21"/>
          <w:highlight w:val="none"/>
          <w:u w:val="single"/>
        </w:rPr>
        <w:t xml:space="preserve"> </w:t>
      </w:r>
      <w:r>
        <w:rPr>
          <w:rFonts w:hint="eastAsia"/>
          <w:color w:val="auto"/>
          <w:szCs w:val="21"/>
          <w:highlight w:val="none"/>
          <w:u w:val="single"/>
        </w:rPr>
        <w:t>按通用条款执行</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发包人审批承包人合理化建议的期限：</w:t>
      </w:r>
      <w:r>
        <w:rPr>
          <w:rFonts w:hint="eastAsia"/>
          <w:color w:val="auto"/>
          <w:szCs w:val="21"/>
          <w:highlight w:val="none"/>
          <w:u w:val="single"/>
        </w:rPr>
        <w:t>按通用条款执行</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承包人提出的合理化建议降低了合同价格或者提高了工程经济效益的奖励的方法和金额为：</w:t>
      </w:r>
      <w:r>
        <w:rPr>
          <w:rFonts w:hint="eastAsia"/>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10.7 暂估价</w:t>
      </w:r>
    </w:p>
    <w:p>
      <w:pPr>
        <w:spacing w:line="360" w:lineRule="exact"/>
        <w:ind w:firstLine="420" w:firstLineChars="200"/>
        <w:rPr>
          <w:color w:val="auto"/>
          <w:szCs w:val="21"/>
          <w:highlight w:val="none"/>
        </w:rPr>
      </w:pPr>
      <w:r>
        <w:rPr>
          <w:color w:val="auto"/>
          <w:szCs w:val="21"/>
          <w:highlight w:val="none"/>
        </w:rPr>
        <w:t>暂估价材料和工程设备的明细详见附件</w:t>
      </w:r>
      <w:r>
        <w:rPr>
          <w:rFonts w:hint="eastAsia"/>
          <w:color w:val="auto"/>
          <w:szCs w:val="21"/>
          <w:highlight w:val="none"/>
        </w:rPr>
        <w:t>11：《</w:t>
      </w:r>
      <w:r>
        <w:rPr>
          <w:color w:val="auto"/>
          <w:szCs w:val="21"/>
          <w:highlight w:val="none"/>
        </w:rPr>
        <w:t>暂估价一览表</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10.7.1 依法必须招标的暂估价项目</w:t>
      </w:r>
    </w:p>
    <w:p>
      <w:pPr>
        <w:spacing w:line="360" w:lineRule="exact"/>
        <w:ind w:firstLine="420" w:firstLineChars="200"/>
        <w:rPr>
          <w:color w:val="auto"/>
          <w:szCs w:val="21"/>
          <w:highlight w:val="none"/>
          <w:u w:val="single"/>
        </w:rPr>
      </w:pPr>
      <w:r>
        <w:rPr>
          <w:rFonts w:hint="eastAsia"/>
          <w:color w:val="auto"/>
          <w:szCs w:val="21"/>
          <w:highlight w:val="none"/>
          <w:u w:val="single"/>
        </w:rPr>
        <w:t>无承包价（暂定价）的单项材料、设备、专业分包工程估算价在</w:t>
      </w:r>
      <w:r>
        <w:rPr>
          <w:color w:val="auto"/>
          <w:szCs w:val="21"/>
          <w:highlight w:val="none"/>
          <w:u w:val="single"/>
        </w:rPr>
        <w:t>30</w:t>
      </w:r>
      <w:r>
        <w:rPr>
          <w:rFonts w:hint="eastAsia"/>
          <w:color w:val="auto"/>
          <w:szCs w:val="21"/>
          <w:highlight w:val="none"/>
          <w:u w:val="single"/>
        </w:rPr>
        <w:t>万元以上的（指可以向同一家供应商采购的同类材料总价），须由发、承包双方通过招标确定价格、供应商或分包人。承包人应按照施工进度计划，在招标工作启动前</w:t>
      </w:r>
      <w:r>
        <w:rPr>
          <w:color w:val="auto"/>
          <w:szCs w:val="21"/>
          <w:highlight w:val="none"/>
          <w:u w:val="single"/>
        </w:rPr>
        <w:t>28</w:t>
      </w:r>
      <w:r>
        <w:rPr>
          <w:rFonts w:hint="eastAsia"/>
          <w:color w:val="auto"/>
          <w:szCs w:val="21"/>
          <w:highlight w:val="none"/>
          <w:u w:val="single"/>
        </w:rPr>
        <w:t>天通知发包人，并提交暂估价招标方案和工作分工，招标工作接受有管辖权的建设工程招投标监督部门的监督。与组织招标工作有关的费用由发包人承担</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10.7.2 </w:t>
      </w:r>
      <w:r>
        <w:rPr>
          <w:rFonts w:hint="eastAsia"/>
          <w:color w:val="auto"/>
          <w:szCs w:val="21"/>
          <w:highlight w:val="none"/>
        </w:rPr>
        <w:t>不属于依法必须招标的暂估价项目：</w:t>
      </w:r>
      <w:r>
        <w:rPr>
          <w:rFonts w:hint="eastAsia"/>
          <w:color w:val="auto"/>
          <w:szCs w:val="21"/>
          <w:highlight w:val="none"/>
          <w:u w:val="single"/>
        </w:rPr>
        <w:t>按合同通用条款</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第3种方式：承包人直接实施的暂估价项目</w:t>
      </w:r>
    </w:p>
    <w:p>
      <w:pPr>
        <w:spacing w:line="360" w:lineRule="exact"/>
        <w:ind w:firstLine="420" w:firstLineChars="200"/>
        <w:rPr>
          <w:color w:val="auto"/>
          <w:szCs w:val="21"/>
          <w:highlight w:val="none"/>
        </w:rPr>
      </w:pPr>
      <w:r>
        <w:rPr>
          <w:color w:val="auto"/>
          <w:szCs w:val="21"/>
          <w:highlight w:val="none"/>
        </w:rPr>
        <w:t>承包人直接实施的暂估价项目的约定：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10.8 暂列金额</w:t>
      </w:r>
    </w:p>
    <w:p>
      <w:pPr>
        <w:spacing w:line="360" w:lineRule="exact"/>
        <w:ind w:firstLine="420" w:firstLineChars="200"/>
        <w:rPr>
          <w:color w:val="auto"/>
          <w:szCs w:val="21"/>
          <w:highlight w:val="none"/>
        </w:rPr>
      </w:pPr>
      <w:r>
        <w:rPr>
          <w:rFonts w:hint="eastAsia"/>
          <w:color w:val="auto"/>
          <w:szCs w:val="21"/>
          <w:highlight w:val="none"/>
        </w:rPr>
        <w:t>合同当事人关于暂列金额使用的约定：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创标化工地增加费计算方法：</w:t>
      </w:r>
      <w:r>
        <w:rPr>
          <w:rFonts w:hint="eastAsia"/>
          <w:color w:val="auto"/>
          <w:szCs w:val="21"/>
          <w:highlight w:val="none"/>
          <w:u w:val="single"/>
        </w:rPr>
        <w:t>本工程无创标化工地目标。</w:t>
      </w:r>
    </w:p>
    <w:p>
      <w:pPr>
        <w:spacing w:line="360" w:lineRule="exact"/>
        <w:ind w:firstLine="420" w:firstLineChars="200"/>
        <w:rPr>
          <w:color w:val="auto"/>
          <w:szCs w:val="21"/>
          <w:highlight w:val="none"/>
        </w:rPr>
      </w:pPr>
      <w:r>
        <w:rPr>
          <w:rFonts w:hint="eastAsia"/>
          <w:color w:val="auto"/>
          <w:szCs w:val="21"/>
          <w:highlight w:val="none"/>
        </w:rPr>
        <w:t>创优质工程增加费计算方法：</w:t>
      </w:r>
      <w:r>
        <w:rPr>
          <w:rFonts w:hint="eastAsia"/>
          <w:color w:val="auto"/>
          <w:szCs w:val="21"/>
          <w:highlight w:val="none"/>
          <w:u w:val="single"/>
        </w:rPr>
        <w:t>本工程无创优质工程目标。</w:t>
      </w:r>
    </w:p>
    <w:p>
      <w:pPr>
        <w:spacing w:line="360" w:lineRule="exact"/>
        <w:ind w:firstLine="420" w:firstLineChars="200"/>
        <w:rPr>
          <w:bCs/>
          <w:color w:val="auto"/>
          <w:szCs w:val="21"/>
          <w:highlight w:val="none"/>
        </w:rPr>
      </w:pPr>
      <w:r>
        <w:rPr>
          <w:bCs/>
          <w:color w:val="auto"/>
          <w:szCs w:val="21"/>
          <w:highlight w:val="none"/>
        </w:rPr>
        <w:t>11. 价格调整</w:t>
      </w:r>
    </w:p>
    <w:p>
      <w:pPr>
        <w:spacing w:line="360" w:lineRule="exact"/>
        <w:ind w:firstLine="420" w:firstLineChars="200"/>
        <w:rPr>
          <w:color w:val="auto"/>
          <w:szCs w:val="21"/>
          <w:highlight w:val="none"/>
        </w:rPr>
      </w:pPr>
      <w:bookmarkStart w:id="329" w:name="_Toc297120501"/>
      <w:bookmarkStart w:id="330" w:name="_Toc296346702"/>
      <w:bookmarkStart w:id="331" w:name="_Toc296891029"/>
      <w:bookmarkStart w:id="332" w:name="_Toc300935000"/>
      <w:bookmarkStart w:id="333" w:name="_Toc296503201"/>
      <w:bookmarkStart w:id="334" w:name="_Toc303539157"/>
      <w:bookmarkStart w:id="335" w:name="_Toc312678039"/>
      <w:bookmarkStart w:id="336" w:name="_Toc297216209"/>
      <w:bookmarkStart w:id="337" w:name="_Toc292559406"/>
      <w:bookmarkStart w:id="338" w:name="_Toc296944540"/>
      <w:bookmarkStart w:id="339" w:name="_Toc292559911"/>
      <w:bookmarkStart w:id="340" w:name="_Toc296891241"/>
      <w:bookmarkStart w:id="341" w:name="_Toc297048387"/>
      <w:bookmarkStart w:id="342" w:name="_Toc304295577"/>
      <w:bookmarkStart w:id="343" w:name="_Toc297123550"/>
      <w:bookmarkStart w:id="344" w:name="_Toc296347200"/>
      <w:r>
        <w:rPr>
          <w:color w:val="auto"/>
          <w:szCs w:val="21"/>
          <w:highlight w:val="none"/>
        </w:rPr>
        <w:t>11.1 市场价格波动引起的调整</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Pr>
        <w:spacing w:line="360" w:lineRule="exact"/>
        <w:ind w:firstLine="420" w:firstLineChars="200"/>
        <w:rPr>
          <w:color w:val="auto"/>
          <w:szCs w:val="21"/>
          <w:highlight w:val="none"/>
          <w:u w:val="single"/>
        </w:rPr>
      </w:pPr>
      <w:r>
        <w:rPr>
          <w:color w:val="auto"/>
          <w:szCs w:val="21"/>
          <w:highlight w:val="none"/>
        </w:rPr>
        <w:t>市场价格波动是否调整合同价格的约定：</w:t>
      </w:r>
      <w:r>
        <w:rPr>
          <w:rFonts w:hint="eastAsia"/>
          <w:color w:val="auto"/>
          <w:szCs w:val="21"/>
          <w:highlight w:val="none"/>
          <w:u w:val="single"/>
        </w:rPr>
        <w:t xml:space="preserve"> 不调整 。</w:t>
      </w:r>
    </w:p>
    <w:p>
      <w:pPr>
        <w:spacing w:line="360" w:lineRule="exact"/>
        <w:ind w:firstLine="420" w:firstLineChars="200"/>
        <w:rPr>
          <w:bCs/>
          <w:color w:val="auto"/>
          <w:szCs w:val="21"/>
          <w:highlight w:val="none"/>
        </w:rPr>
      </w:pPr>
      <w:r>
        <w:rPr>
          <w:bCs/>
          <w:color w:val="auto"/>
          <w:szCs w:val="21"/>
          <w:highlight w:val="none"/>
        </w:rPr>
        <w:t>12. 合同价格、计量与支付</w:t>
      </w:r>
    </w:p>
    <w:p>
      <w:pPr>
        <w:spacing w:line="360" w:lineRule="exact"/>
        <w:ind w:firstLine="420" w:firstLineChars="200"/>
        <w:rPr>
          <w:color w:val="auto"/>
          <w:szCs w:val="21"/>
          <w:highlight w:val="none"/>
        </w:rPr>
      </w:pPr>
      <w:r>
        <w:rPr>
          <w:color w:val="auto"/>
          <w:szCs w:val="21"/>
          <w:highlight w:val="none"/>
        </w:rPr>
        <w:t>12.1 合同价格形式</w:t>
      </w:r>
    </w:p>
    <w:p>
      <w:pPr>
        <w:spacing w:line="360" w:lineRule="exact"/>
        <w:ind w:firstLine="420" w:firstLineChars="200"/>
        <w:rPr>
          <w:color w:val="auto"/>
          <w:szCs w:val="21"/>
          <w:highlight w:val="none"/>
        </w:rPr>
      </w:pPr>
      <w:r>
        <w:rPr>
          <w:rFonts w:hint="eastAsia"/>
          <w:color w:val="auto"/>
          <w:szCs w:val="21"/>
          <w:highlight w:val="none"/>
        </w:rPr>
        <w:t>本合同价款采用</w:t>
      </w:r>
      <w:r>
        <w:rPr>
          <w:rFonts w:hint="eastAsia"/>
          <w:color w:val="auto"/>
          <w:szCs w:val="21"/>
          <w:highlight w:val="none"/>
          <w:u w:val="single"/>
        </w:rPr>
        <w:t>固定单价合同</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单价合同包含的风险范围：</w:t>
      </w:r>
    </w:p>
    <w:p>
      <w:pPr>
        <w:spacing w:line="360" w:lineRule="exact"/>
        <w:ind w:firstLine="420" w:firstLineChars="200"/>
        <w:rPr>
          <w:color w:val="auto"/>
          <w:szCs w:val="21"/>
          <w:highlight w:val="none"/>
          <w:u w:val="single"/>
        </w:rPr>
      </w:pPr>
      <w:r>
        <w:rPr>
          <w:rFonts w:hint="eastAsia"/>
          <w:color w:val="auto"/>
          <w:szCs w:val="21"/>
          <w:highlight w:val="none"/>
          <w:u w:val="single"/>
        </w:rPr>
        <w:t>1)本工程的结算率一次性包死，结算率＝（投标总报价/施工图预算）×100%，相应结算率为   %；</w:t>
      </w:r>
    </w:p>
    <w:p>
      <w:pPr>
        <w:spacing w:line="360" w:lineRule="exact"/>
        <w:ind w:firstLine="420" w:firstLineChars="200"/>
        <w:rPr>
          <w:color w:val="auto"/>
          <w:szCs w:val="21"/>
          <w:highlight w:val="none"/>
          <w:u w:val="single"/>
        </w:rPr>
      </w:pPr>
      <w:r>
        <w:rPr>
          <w:rFonts w:hint="eastAsia"/>
          <w:color w:val="auto"/>
          <w:szCs w:val="21"/>
          <w:highlight w:val="none"/>
          <w:u w:val="single"/>
        </w:rPr>
        <w:t>2）本工程按发包人提供的施工图预算结合固定结算率方式结算，结算时应按照施工图预算的计量依据、组价方式、取费标准、工料机单价等进行结算，不得调整；</w:t>
      </w:r>
    </w:p>
    <w:p>
      <w:pPr>
        <w:spacing w:line="360" w:lineRule="exact"/>
        <w:ind w:firstLine="420" w:firstLineChars="200"/>
        <w:rPr>
          <w:color w:val="auto"/>
          <w:szCs w:val="21"/>
          <w:highlight w:val="none"/>
          <w:u w:val="single"/>
        </w:rPr>
      </w:pPr>
      <w:r>
        <w:rPr>
          <w:rFonts w:hint="eastAsia"/>
          <w:color w:val="auto"/>
          <w:szCs w:val="21"/>
          <w:highlight w:val="none"/>
          <w:u w:val="single"/>
        </w:rPr>
        <w:t>3）计日工综合单价（工数经发包人签证，综合单价按技术工300元/工日、普工200元/工日计取）；仅计算税金；</w:t>
      </w:r>
    </w:p>
    <w:p>
      <w:pPr>
        <w:spacing w:line="360" w:lineRule="exact"/>
        <w:ind w:firstLine="420" w:firstLineChars="200"/>
        <w:rPr>
          <w:color w:val="auto"/>
          <w:szCs w:val="21"/>
          <w:highlight w:val="none"/>
          <w:u w:val="single"/>
        </w:rPr>
      </w:pPr>
      <w:r>
        <w:rPr>
          <w:rFonts w:hint="eastAsia"/>
          <w:color w:val="auto"/>
          <w:szCs w:val="21"/>
          <w:highlight w:val="none"/>
          <w:u w:val="single"/>
        </w:rPr>
        <w:t>4）签证确定的某个施工内容的施工价（或工料机完全价）仅计算税金，不纳入工程下浮率（或结算率计算）；</w:t>
      </w:r>
    </w:p>
    <w:p>
      <w:pPr>
        <w:spacing w:line="360" w:lineRule="exact"/>
        <w:ind w:firstLine="420" w:firstLineChars="200"/>
        <w:rPr>
          <w:color w:val="auto"/>
          <w:szCs w:val="21"/>
          <w:highlight w:val="none"/>
          <w:u w:val="single"/>
        </w:rPr>
      </w:pPr>
      <w:r>
        <w:rPr>
          <w:rFonts w:hint="eastAsia"/>
          <w:color w:val="auto"/>
          <w:szCs w:val="21"/>
          <w:highlight w:val="none"/>
          <w:u w:val="single"/>
        </w:rPr>
        <w:t>5）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spacing w:line="360" w:lineRule="exact"/>
        <w:ind w:firstLine="420" w:firstLineChars="200"/>
        <w:rPr>
          <w:color w:val="auto"/>
          <w:szCs w:val="21"/>
          <w:highlight w:val="none"/>
          <w:u w:val="single"/>
        </w:rPr>
      </w:pPr>
      <w:r>
        <w:rPr>
          <w:rFonts w:hint="eastAsia"/>
          <w:color w:val="auto"/>
          <w:szCs w:val="21"/>
          <w:highlight w:val="none"/>
          <w:u w:val="single"/>
        </w:rPr>
        <w:t>6）凡采购文件中没明确允许补差或建设主管部门文件没有明确规定由发包人承担的，但实际施工中可能发生的其它管理费（如街道管理费、干扰费、环保费、占道押金等）；</w:t>
      </w:r>
    </w:p>
    <w:p>
      <w:pPr>
        <w:spacing w:line="360" w:lineRule="exact"/>
        <w:ind w:firstLine="420" w:firstLineChars="200"/>
        <w:rPr>
          <w:color w:val="auto"/>
          <w:szCs w:val="21"/>
          <w:highlight w:val="none"/>
          <w:u w:val="single"/>
        </w:rPr>
      </w:pPr>
      <w:r>
        <w:rPr>
          <w:rFonts w:hint="eastAsia"/>
          <w:color w:val="auto"/>
          <w:szCs w:val="21"/>
          <w:highlight w:val="none"/>
          <w:u w:val="single"/>
        </w:rPr>
        <w:t>7）承包人自备发电机、储水设备费用：包括由于停电及施工用水加压而增加的费用，包含在合同价内，不再另行计取；</w:t>
      </w:r>
    </w:p>
    <w:p>
      <w:pPr>
        <w:spacing w:line="360" w:lineRule="exact"/>
        <w:ind w:firstLine="420" w:firstLineChars="200"/>
        <w:rPr>
          <w:color w:val="auto"/>
          <w:szCs w:val="21"/>
          <w:highlight w:val="none"/>
          <w:u w:val="single"/>
        </w:rPr>
      </w:pPr>
      <w:r>
        <w:rPr>
          <w:rFonts w:hint="eastAsia"/>
          <w:color w:val="auto"/>
          <w:szCs w:val="21"/>
          <w:highlight w:val="none"/>
          <w:u w:val="single"/>
        </w:rPr>
        <w:t>8）由于承包人未按设计要求和现行有关规范、标准施工，造成工程量增减或返工等，其责任由承包人自负；</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9）安全生产责</w:t>
      </w:r>
      <w:r>
        <w:rPr>
          <w:rFonts w:hint="eastAsia" w:ascii="宋体" w:hAnsi="宋体" w:cs="宋体"/>
          <w:color w:val="auto"/>
          <w:szCs w:val="21"/>
          <w:highlight w:val="none"/>
          <w:u w:val="single"/>
        </w:rPr>
        <w:t>任险包括在企业管理费中，</w:t>
      </w:r>
      <w:bookmarkStart w:id="345" w:name="OLE_LINK44"/>
      <w:bookmarkStart w:id="346" w:name="OLE_LINK45"/>
      <w:bookmarkStart w:id="347" w:name="OLE_LINK46"/>
      <w:r>
        <w:rPr>
          <w:rFonts w:hint="eastAsia" w:ascii="宋体" w:hAnsi="宋体" w:cs="宋体"/>
          <w:color w:val="auto"/>
          <w:szCs w:val="21"/>
          <w:highlight w:val="none"/>
          <w:u w:val="single"/>
        </w:rPr>
        <w:t>已由承包人在报价时综合考虑，</w:t>
      </w:r>
      <w:bookmarkEnd w:id="345"/>
      <w:r>
        <w:rPr>
          <w:rFonts w:hint="eastAsia" w:ascii="宋体" w:hAnsi="宋体" w:cs="宋体"/>
          <w:color w:val="auto"/>
          <w:szCs w:val="21"/>
          <w:highlight w:val="none"/>
          <w:u w:val="single"/>
        </w:rPr>
        <w:t>结算时不另计；</w:t>
      </w:r>
      <w:bookmarkEnd w:id="346"/>
      <w:bookmarkEnd w:id="347"/>
    </w:p>
    <w:p>
      <w:p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10）施工用水用电甲供，结算时施工用水用电费用直接按定额用量扣除；</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11）建筑垃圾外运运距按项包干</w:t>
      </w:r>
      <w:r>
        <w:rPr>
          <w:rFonts w:hint="eastAsia" w:ascii="宋体" w:hAnsi="宋体" w:cs="宋体"/>
          <w:color w:val="auto"/>
          <w:highlight w:val="none"/>
          <w:u w:val="single"/>
        </w:rPr>
        <w:t>，结算时不再调整</w:t>
      </w:r>
      <w:r>
        <w:rPr>
          <w:rFonts w:hint="eastAsia" w:ascii="宋体" w:hAnsi="宋体" w:cs="宋体"/>
          <w:color w:val="auto"/>
          <w:szCs w:val="21"/>
          <w:highlight w:val="none"/>
          <w:u w:val="singl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）二楼食堂备餐间、洗碗间</w:t>
      </w:r>
      <w:r>
        <w:rPr>
          <w:rFonts w:hint="eastAsia" w:ascii="宋体" w:hAnsi="宋体" w:cs="宋体"/>
          <w:color w:val="auto"/>
          <w:highlight w:val="none"/>
          <w:u w:val="single"/>
        </w:rPr>
        <w:t>垂直运输费用按</w:t>
      </w:r>
      <w:r>
        <w:rPr>
          <w:rFonts w:hint="eastAsia" w:ascii="宋体" w:hAnsi="宋体" w:cs="宋体"/>
          <w:color w:val="auto"/>
          <w:highlight w:val="none"/>
          <w:u w:val="single"/>
          <w:lang w:val="en-US" w:eastAsia="zh-CN"/>
        </w:rPr>
        <w:t>1500元计算</w:t>
      </w:r>
      <w:bookmarkStart w:id="348" w:name="OLE_LINK24"/>
      <w:r>
        <w:rPr>
          <w:rFonts w:hint="eastAsia" w:ascii="宋体" w:hAnsi="宋体" w:cs="宋体"/>
          <w:color w:val="auto"/>
          <w:highlight w:val="none"/>
          <w:u w:val="single"/>
        </w:rPr>
        <w:t>，结算时不再调整</w:t>
      </w:r>
      <w:r>
        <w:rPr>
          <w:rFonts w:hint="eastAsia" w:ascii="宋体" w:hAnsi="宋体" w:cs="宋体"/>
          <w:color w:val="auto"/>
          <w:szCs w:val="21"/>
          <w:highlight w:val="none"/>
          <w:u w:val="single"/>
        </w:rPr>
        <w:t>；</w:t>
      </w:r>
      <w:bookmarkEnd w:id="348"/>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）定额编号为“补”子目，单价包干，但如实际施工做法与预算描述不匹配时结算按实调整。</w:t>
      </w:r>
    </w:p>
    <w:p>
      <w:pPr>
        <w:spacing w:line="360" w:lineRule="exact"/>
        <w:ind w:firstLine="420" w:firstLineChars="200"/>
        <w:rPr>
          <w:color w:val="auto"/>
          <w:szCs w:val="21"/>
          <w:highlight w:val="none"/>
          <w:u w:val="single"/>
        </w:rPr>
      </w:pPr>
      <w:r>
        <w:rPr>
          <w:color w:val="auto"/>
          <w:szCs w:val="21"/>
          <w:highlight w:val="none"/>
        </w:rPr>
        <w:t>风险费用的计算方法：</w:t>
      </w:r>
      <w:r>
        <w:rPr>
          <w:rFonts w:hint="eastAsia"/>
          <w:color w:val="auto"/>
          <w:szCs w:val="21"/>
          <w:highlight w:val="none"/>
          <w:u w:val="single"/>
        </w:rPr>
        <w:t>已包含在合同价内</w:t>
      </w:r>
      <w:r>
        <w:rPr>
          <w:color w:val="auto"/>
          <w:szCs w:val="21"/>
          <w:highlight w:val="none"/>
          <w:u w:val="single"/>
        </w:rPr>
        <w:t>。</w:t>
      </w:r>
    </w:p>
    <w:p>
      <w:pPr>
        <w:spacing w:line="360" w:lineRule="exact"/>
        <w:ind w:firstLine="420" w:firstLineChars="200"/>
        <w:rPr>
          <w:color w:val="auto"/>
          <w:szCs w:val="21"/>
          <w:highlight w:val="none"/>
        </w:rPr>
      </w:pPr>
      <w:r>
        <w:rPr>
          <w:rFonts w:hint="eastAsia"/>
          <w:color w:val="auto"/>
          <w:szCs w:val="21"/>
          <w:highlight w:val="none"/>
        </w:rPr>
        <w:t>风险范围以外的合同价款调整方法：</w:t>
      </w:r>
    </w:p>
    <w:p>
      <w:pPr>
        <w:spacing w:line="360" w:lineRule="exact"/>
        <w:ind w:firstLine="420" w:firstLineChars="200"/>
        <w:rPr>
          <w:color w:val="auto"/>
          <w:szCs w:val="21"/>
          <w:highlight w:val="none"/>
          <w:u w:val="single"/>
        </w:rPr>
      </w:pPr>
      <w:r>
        <w:rPr>
          <w:rFonts w:hint="eastAsia"/>
          <w:color w:val="auto"/>
          <w:szCs w:val="21"/>
          <w:highlight w:val="none"/>
          <w:u w:val="single"/>
        </w:rPr>
        <w:t>1）工程量按照专用合同条款12.3.1条规定，由承包人计量，发包人或其委托的相关中介机构审核；</w:t>
      </w:r>
    </w:p>
    <w:p>
      <w:pPr>
        <w:spacing w:line="360" w:lineRule="exact"/>
        <w:ind w:firstLine="420" w:firstLineChars="200"/>
        <w:rPr>
          <w:color w:val="auto"/>
          <w:szCs w:val="21"/>
          <w:highlight w:val="none"/>
          <w:u w:val="single"/>
        </w:rPr>
      </w:pPr>
      <w:r>
        <w:rPr>
          <w:rFonts w:hint="eastAsia"/>
          <w:color w:val="auto"/>
          <w:szCs w:val="21"/>
          <w:highlight w:val="none"/>
          <w:u w:val="single"/>
        </w:rPr>
        <w:t>2）因市场价格波动引起的调整按本合同专用条款第11.1款的约定调整；</w:t>
      </w:r>
    </w:p>
    <w:p>
      <w:pPr>
        <w:spacing w:line="360" w:lineRule="exact"/>
        <w:ind w:firstLine="420" w:firstLineChars="200"/>
        <w:rPr>
          <w:color w:val="auto"/>
          <w:szCs w:val="21"/>
          <w:highlight w:val="none"/>
          <w:u w:val="single"/>
        </w:rPr>
      </w:pPr>
      <w:r>
        <w:rPr>
          <w:rFonts w:hint="eastAsia"/>
          <w:color w:val="auto"/>
          <w:szCs w:val="21"/>
          <w:highlight w:val="none"/>
          <w:u w:val="single"/>
        </w:rPr>
        <w:t>3）发包人提供的直接工程费如发现计算错误、定额子目套用错误，施工图预算出现漏项、新增项目，均可按实调整；</w:t>
      </w:r>
    </w:p>
    <w:p>
      <w:pPr>
        <w:spacing w:line="360" w:lineRule="exact"/>
        <w:ind w:firstLine="420" w:firstLineChars="200"/>
        <w:rPr>
          <w:color w:val="auto"/>
          <w:szCs w:val="21"/>
          <w:highlight w:val="none"/>
          <w:u w:val="single"/>
        </w:rPr>
      </w:pPr>
      <w:r>
        <w:rPr>
          <w:rFonts w:hint="eastAsia"/>
          <w:color w:val="auto"/>
          <w:szCs w:val="21"/>
          <w:highlight w:val="none"/>
          <w:u w:val="single"/>
        </w:rPr>
        <w:t>4）合同内的新增材料按发包人预算的当期信息价（正刊）计算。暂定价和变更引起的无价材料按采购前发包人的签证结算，经核定的无价材料仍执行结算率无信息价的由发包人签证确定。</w:t>
      </w:r>
    </w:p>
    <w:p>
      <w:pPr>
        <w:spacing w:line="360" w:lineRule="exact"/>
        <w:ind w:firstLine="420" w:firstLineChars="200"/>
        <w:rPr>
          <w:color w:val="auto"/>
          <w:szCs w:val="21"/>
          <w:highlight w:val="none"/>
          <w:u w:val="single"/>
        </w:rPr>
      </w:pPr>
      <w:r>
        <w:rPr>
          <w:rFonts w:hint="eastAsia"/>
          <w:color w:val="auto"/>
          <w:szCs w:val="21"/>
          <w:highlight w:val="none"/>
          <w:u w:val="single"/>
        </w:rPr>
        <w:t>5）实际施工时，未达到施工安全文明有关规定或因此被相关建设（建筑业）主管部门通报处罚的，在结算时扣减施工组织措施费中的相应费用。</w:t>
      </w:r>
    </w:p>
    <w:p>
      <w:pPr>
        <w:spacing w:line="360" w:lineRule="exact"/>
        <w:ind w:firstLine="420" w:firstLineChars="200"/>
        <w:rPr>
          <w:color w:val="auto"/>
          <w:szCs w:val="21"/>
          <w:highlight w:val="none"/>
          <w:u w:val="single"/>
        </w:rPr>
      </w:pPr>
      <w:r>
        <w:rPr>
          <w:rFonts w:hint="eastAsia"/>
          <w:color w:val="auto"/>
          <w:szCs w:val="21"/>
          <w:highlight w:val="none"/>
          <w:u w:val="single"/>
        </w:rPr>
        <w:t>6）因工程变更增加的费用不得超过合同总额的10%，否则不予认可。</w:t>
      </w:r>
    </w:p>
    <w:p>
      <w:pPr>
        <w:spacing w:line="360" w:lineRule="exact"/>
        <w:ind w:firstLine="420" w:firstLineChars="200"/>
        <w:rPr>
          <w:color w:val="auto"/>
          <w:szCs w:val="21"/>
          <w:highlight w:val="none"/>
        </w:rPr>
      </w:pPr>
      <w:r>
        <w:rPr>
          <w:color w:val="auto"/>
          <w:szCs w:val="21"/>
          <w:highlight w:val="none"/>
        </w:rPr>
        <w:t>2．总价合同。</w:t>
      </w:r>
    </w:p>
    <w:p>
      <w:pPr>
        <w:spacing w:line="360" w:lineRule="exact"/>
        <w:ind w:firstLine="420" w:firstLineChars="200"/>
        <w:rPr>
          <w:color w:val="auto"/>
          <w:szCs w:val="21"/>
          <w:highlight w:val="none"/>
        </w:rPr>
      </w:pPr>
      <w:r>
        <w:rPr>
          <w:color w:val="auto"/>
          <w:szCs w:val="21"/>
          <w:highlight w:val="none"/>
        </w:rPr>
        <w:t>总价包含的风险范围：</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风险费用的计算方法：</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风险范围以外合同价格的调整方法：</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3．其他价格方式：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bookmarkStart w:id="349" w:name="_Toc297216213"/>
      <w:bookmarkStart w:id="350" w:name="_Toc303539161"/>
      <w:bookmarkStart w:id="351" w:name="_Toc304295581"/>
      <w:bookmarkStart w:id="352" w:name="_Toc297123554"/>
      <w:bookmarkStart w:id="353" w:name="_Toc312678042"/>
      <w:bookmarkStart w:id="354" w:name="_Toc300935004"/>
      <w:bookmarkStart w:id="355" w:name="_Toc297120507"/>
      <w:bookmarkStart w:id="356" w:name="_Toc296346708"/>
      <w:bookmarkStart w:id="357" w:name="_Toc296891247"/>
      <w:bookmarkStart w:id="358" w:name="_Toc297048393"/>
      <w:bookmarkStart w:id="359" w:name="_Toc296347206"/>
      <w:bookmarkStart w:id="360" w:name="_Toc296503207"/>
      <w:bookmarkStart w:id="361" w:name="_Toc296891035"/>
      <w:bookmarkStart w:id="362" w:name="_Toc292559412"/>
      <w:bookmarkStart w:id="363" w:name="_Toc296944546"/>
      <w:bookmarkStart w:id="364" w:name="_Toc292559917"/>
      <w:r>
        <w:rPr>
          <w:color w:val="auto"/>
          <w:szCs w:val="21"/>
          <w:highlight w:val="none"/>
        </w:rPr>
        <w:t>12.2 预付款</w:t>
      </w:r>
    </w:p>
    <w:bookmarkEnd w:id="349"/>
    <w:bookmarkEnd w:id="350"/>
    <w:bookmarkEnd w:id="351"/>
    <w:bookmarkEnd w:id="352"/>
    <w:bookmarkEnd w:id="353"/>
    <w:bookmarkEnd w:id="354"/>
    <w:p>
      <w:pPr>
        <w:spacing w:line="360" w:lineRule="exact"/>
        <w:ind w:firstLine="420" w:firstLineChars="200"/>
        <w:rPr>
          <w:color w:val="auto"/>
          <w:szCs w:val="21"/>
          <w:highlight w:val="none"/>
        </w:rPr>
      </w:pPr>
      <w:r>
        <w:rPr>
          <w:color w:val="auto"/>
          <w:szCs w:val="21"/>
          <w:highlight w:val="none"/>
        </w:rPr>
        <w:t>12.2.1 预付款的支付</w:t>
      </w:r>
    </w:p>
    <w:p>
      <w:pPr>
        <w:spacing w:line="360" w:lineRule="exact"/>
        <w:ind w:firstLine="420" w:firstLineChars="200"/>
        <w:rPr>
          <w:color w:val="auto"/>
          <w:szCs w:val="21"/>
          <w:highlight w:val="none"/>
        </w:rPr>
      </w:pPr>
      <w:r>
        <w:rPr>
          <w:color w:val="auto"/>
          <w:szCs w:val="21"/>
          <w:highlight w:val="none"/>
        </w:rPr>
        <w:t>预付款支付比例或金额：</w:t>
      </w:r>
      <w:r>
        <w:rPr>
          <w:rFonts w:hint="eastAsia"/>
          <w:color w:val="auto"/>
          <w:szCs w:val="21"/>
          <w:highlight w:val="none"/>
          <w:u w:val="single"/>
        </w:rPr>
        <w:t>签约合同价的40%，金额       元。</w:t>
      </w:r>
    </w:p>
    <w:p>
      <w:pPr>
        <w:spacing w:line="360" w:lineRule="exact"/>
        <w:ind w:firstLine="420" w:firstLineChars="200"/>
        <w:rPr>
          <w:color w:val="auto"/>
          <w:szCs w:val="21"/>
          <w:highlight w:val="none"/>
        </w:rPr>
      </w:pPr>
      <w:r>
        <w:rPr>
          <w:color w:val="auto"/>
          <w:szCs w:val="21"/>
          <w:highlight w:val="none"/>
        </w:rPr>
        <w:t>预付款支付期限：</w:t>
      </w:r>
      <w:r>
        <w:rPr>
          <w:color w:val="auto"/>
          <w:szCs w:val="21"/>
          <w:highlight w:val="none"/>
          <w:u w:val="single"/>
        </w:rPr>
        <w:t xml:space="preserve"> 按投标承诺的人员、机械设备进场且发包人收到承包人</w:t>
      </w:r>
      <w:r>
        <w:rPr>
          <w:rFonts w:hint="eastAsia"/>
          <w:color w:val="auto"/>
          <w:szCs w:val="21"/>
          <w:highlight w:val="none"/>
          <w:u w:val="single"/>
        </w:rPr>
        <w:t>符合国家税务规定的对应金额财务票据后支付</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预付款扣回的方式：</w:t>
      </w:r>
      <w:r>
        <w:rPr>
          <w:color w:val="auto"/>
          <w:szCs w:val="21"/>
          <w:highlight w:val="none"/>
          <w:u w:val="single"/>
        </w:rPr>
        <w:t>不扣回，作为工程款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12.2.2 预付款担保</w:t>
      </w:r>
    </w:p>
    <w:p>
      <w:pPr>
        <w:spacing w:line="360" w:lineRule="exact"/>
        <w:ind w:firstLine="420" w:firstLineChars="200"/>
        <w:rPr>
          <w:color w:val="auto"/>
          <w:szCs w:val="21"/>
          <w:highlight w:val="none"/>
        </w:rPr>
      </w:pPr>
      <w:r>
        <w:rPr>
          <w:color w:val="auto"/>
          <w:szCs w:val="21"/>
          <w:highlight w:val="none"/>
        </w:rPr>
        <w:t>承包人提交预付款担保的期限：</w:t>
      </w:r>
      <w:r>
        <w:rPr>
          <w:color w:val="auto"/>
          <w:szCs w:val="21"/>
          <w:highlight w:val="none"/>
          <w:u w:val="single"/>
        </w:rPr>
        <w:t xml:space="preserve"> </w:t>
      </w:r>
      <w:r>
        <w:rPr>
          <w:rFonts w:hint="eastAsia"/>
          <w:color w:val="auto"/>
          <w:szCs w:val="21"/>
          <w:highlight w:val="none"/>
          <w:u w:val="single"/>
        </w:rPr>
        <w:t>提交付款申请前7天内</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预付款担保的形式为：</w:t>
      </w:r>
      <w:r>
        <w:rPr>
          <w:rFonts w:hint="eastAsia"/>
          <w:color w:val="auto"/>
          <w:szCs w:val="21"/>
          <w:highlight w:val="none"/>
          <w:u w:val="single"/>
        </w:rPr>
        <w:t>提交与发包人支付的预付款同等金额的预付款担保（预付款担保的形式为银行或保险公司或融资担保公司出具的预付款保函）</w:t>
      </w:r>
      <w:r>
        <w:rPr>
          <w:color w:val="auto"/>
          <w:szCs w:val="21"/>
          <w:highlight w:val="none"/>
        </w:rPr>
        <w:t>。</w:t>
      </w:r>
    </w:p>
    <w:bookmarkEnd w:id="355"/>
    <w:bookmarkEnd w:id="356"/>
    <w:bookmarkEnd w:id="357"/>
    <w:bookmarkEnd w:id="358"/>
    <w:bookmarkEnd w:id="359"/>
    <w:bookmarkEnd w:id="360"/>
    <w:bookmarkEnd w:id="361"/>
    <w:bookmarkEnd w:id="362"/>
    <w:bookmarkEnd w:id="363"/>
    <w:bookmarkEnd w:id="364"/>
    <w:p>
      <w:pPr>
        <w:spacing w:line="360" w:lineRule="exact"/>
        <w:ind w:firstLine="420" w:firstLineChars="200"/>
        <w:rPr>
          <w:color w:val="auto"/>
          <w:szCs w:val="21"/>
          <w:highlight w:val="none"/>
        </w:rPr>
      </w:pPr>
      <w:r>
        <w:rPr>
          <w:color w:val="auto"/>
          <w:szCs w:val="21"/>
          <w:highlight w:val="none"/>
        </w:rPr>
        <w:t>12.3 计量</w:t>
      </w:r>
    </w:p>
    <w:p>
      <w:pPr>
        <w:spacing w:line="360" w:lineRule="exact"/>
        <w:ind w:firstLine="420" w:firstLineChars="200"/>
        <w:rPr>
          <w:color w:val="auto"/>
          <w:szCs w:val="21"/>
          <w:highlight w:val="none"/>
        </w:rPr>
      </w:pPr>
      <w:r>
        <w:rPr>
          <w:color w:val="auto"/>
          <w:szCs w:val="21"/>
          <w:highlight w:val="none"/>
        </w:rPr>
        <w:t>12.3.1 计量原则</w:t>
      </w:r>
    </w:p>
    <w:p>
      <w:pPr>
        <w:spacing w:line="360" w:lineRule="exact"/>
        <w:ind w:firstLine="420" w:firstLineChars="200"/>
        <w:rPr>
          <w:color w:val="auto"/>
          <w:szCs w:val="21"/>
          <w:highlight w:val="none"/>
          <w:u w:val="single"/>
        </w:rPr>
      </w:pPr>
      <w:r>
        <w:rPr>
          <w:rFonts w:hint="eastAsia"/>
          <w:color w:val="auto"/>
          <w:szCs w:val="21"/>
          <w:highlight w:val="none"/>
          <w:u w:val="single"/>
        </w:rPr>
        <w:t>《浙江省建设工程计价规则》（2018版）、《浙江省房屋建筑与装饰工程预算定额》（2018版）、《浙江省通用安装工程预算定额》（2018版）</w:t>
      </w:r>
      <w:r>
        <w:rPr>
          <w:rFonts w:hint="eastAsia"/>
          <w:color w:val="auto"/>
          <w:szCs w:val="21"/>
          <w:highlight w:val="none"/>
          <w:u w:val="single"/>
          <w:lang w:eastAsia="zh-CN"/>
        </w:rPr>
        <w:t>、</w:t>
      </w:r>
      <w:r>
        <w:rPr>
          <w:rFonts w:hint="eastAsia"/>
          <w:color w:val="auto"/>
          <w:szCs w:val="21"/>
          <w:highlight w:val="none"/>
          <w:u w:val="single"/>
        </w:rPr>
        <w:t>《建设工程工程量清单计价规范》（GB50500-2013）、《房屋建筑与装饰工程工程量计算规范》（GB50854-2013）、《通用安装工程工程量计算规范》（GB50856-2013）及有关补充规定进行计量。以上规定的工程量计算规则中没有的子目，其工程量按照有合同约束力的图纸所标示尺寸的理论净量计算。计量采用中华人民共和国法定的基本计量单位。</w:t>
      </w:r>
    </w:p>
    <w:p>
      <w:pPr>
        <w:spacing w:line="360" w:lineRule="exact"/>
        <w:ind w:firstLine="420" w:firstLineChars="200"/>
        <w:rPr>
          <w:color w:val="auto"/>
          <w:szCs w:val="21"/>
          <w:highlight w:val="none"/>
        </w:rPr>
      </w:pPr>
      <w:r>
        <w:rPr>
          <w:color w:val="auto"/>
          <w:szCs w:val="21"/>
          <w:highlight w:val="none"/>
        </w:rPr>
        <w:t>12.3.2 计量周期：</w:t>
      </w:r>
    </w:p>
    <w:p>
      <w:pPr>
        <w:spacing w:line="360" w:lineRule="exact"/>
        <w:ind w:firstLine="420" w:firstLineChars="200"/>
        <w:rPr>
          <w:color w:val="auto"/>
          <w:szCs w:val="21"/>
          <w:highlight w:val="none"/>
        </w:rPr>
      </w:pPr>
      <w:r>
        <w:rPr>
          <w:color w:val="auto"/>
          <w:szCs w:val="21"/>
          <w:highlight w:val="none"/>
        </w:rPr>
        <w:t>关于计量周期的约定：</w:t>
      </w:r>
      <w:r>
        <w:rPr>
          <w:rFonts w:hint="eastAsia"/>
          <w:color w:val="auto"/>
          <w:szCs w:val="21"/>
          <w:highlight w:val="none"/>
          <w:u w:val="single"/>
        </w:rPr>
        <w:t>按形象进度支付</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12.3.3 单价合同的计量</w:t>
      </w:r>
    </w:p>
    <w:p>
      <w:pPr>
        <w:spacing w:line="360" w:lineRule="exact"/>
        <w:ind w:firstLine="420" w:firstLineChars="200"/>
        <w:rPr>
          <w:color w:val="auto"/>
          <w:szCs w:val="21"/>
          <w:highlight w:val="none"/>
        </w:rPr>
      </w:pPr>
      <w:r>
        <w:rPr>
          <w:color w:val="auto"/>
          <w:szCs w:val="21"/>
          <w:highlight w:val="none"/>
        </w:rPr>
        <w:t>关于单价合同计量的约定</w:t>
      </w:r>
      <w:r>
        <w:rPr>
          <w:color w:val="auto"/>
          <w:szCs w:val="21"/>
          <w:highlight w:val="none"/>
          <w:u w:val="single"/>
        </w:rPr>
        <w:t>：按合同通用条款执行，但确认的工程量和单价仅作为本期工程款支付的依据。</w:t>
      </w:r>
    </w:p>
    <w:p>
      <w:pPr>
        <w:spacing w:line="360" w:lineRule="exact"/>
        <w:ind w:firstLine="420" w:firstLineChars="200"/>
        <w:rPr>
          <w:color w:val="auto"/>
          <w:szCs w:val="21"/>
          <w:highlight w:val="none"/>
        </w:rPr>
      </w:pPr>
      <w:r>
        <w:rPr>
          <w:color w:val="auto"/>
          <w:szCs w:val="21"/>
          <w:highlight w:val="none"/>
        </w:rPr>
        <w:t>12.3.4 总价合同的计量</w:t>
      </w:r>
    </w:p>
    <w:p>
      <w:pPr>
        <w:spacing w:line="360" w:lineRule="exact"/>
        <w:ind w:firstLine="420" w:firstLineChars="200"/>
        <w:rPr>
          <w:color w:val="auto"/>
          <w:szCs w:val="21"/>
          <w:highlight w:val="none"/>
        </w:rPr>
      </w:pPr>
      <w:r>
        <w:rPr>
          <w:color w:val="auto"/>
          <w:szCs w:val="21"/>
          <w:highlight w:val="none"/>
        </w:rPr>
        <w:t>关于总价合同计量的约定：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12.3.5总价合同采用支付分解表计量支付的，是否适用第12.3.4 项〔总价合同的计量〕约定进行计量：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12.3.6 其他价格形式合同的计量</w:t>
      </w:r>
    </w:p>
    <w:p>
      <w:pPr>
        <w:spacing w:line="360" w:lineRule="exact"/>
        <w:ind w:firstLine="420" w:firstLineChars="200"/>
        <w:rPr>
          <w:color w:val="auto"/>
          <w:szCs w:val="21"/>
          <w:highlight w:val="none"/>
        </w:rPr>
      </w:pPr>
      <w:r>
        <w:rPr>
          <w:color w:val="auto"/>
          <w:szCs w:val="21"/>
          <w:highlight w:val="none"/>
        </w:rPr>
        <w:t>其他价格形式的计量方式和程序：</w:t>
      </w:r>
      <w:r>
        <w:rPr>
          <w:rFonts w:hint="eastAsia"/>
          <w:color w:val="auto"/>
          <w:szCs w:val="21"/>
          <w:highlight w:val="none"/>
          <w:u w:val="singl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12.4 工程进度款支付</w:t>
      </w:r>
    </w:p>
    <w:p>
      <w:pPr>
        <w:spacing w:line="360" w:lineRule="exact"/>
        <w:ind w:firstLine="420" w:firstLineChars="200"/>
        <w:rPr>
          <w:color w:val="auto"/>
          <w:szCs w:val="21"/>
          <w:highlight w:val="none"/>
        </w:rPr>
      </w:pPr>
      <w:bookmarkStart w:id="365" w:name="_Toc297123556"/>
      <w:bookmarkStart w:id="366" w:name="_Toc297120511"/>
      <w:bookmarkStart w:id="367" w:name="_Toc297216215"/>
      <w:bookmarkStart w:id="368" w:name="_Toc297048397"/>
      <w:bookmarkStart w:id="369" w:name="_Toc300935006"/>
      <w:bookmarkStart w:id="370" w:name="_Toc296347210"/>
      <w:bookmarkStart w:id="371" w:name="_Toc292559416"/>
      <w:bookmarkStart w:id="372" w:name="_Toc296944550"/>
      <w:bookmarkStart w:id="373" w:name="_Toc292559921"/>
      <w:bookmarkStart w:id="374" w:name="_Toc296891039"/>
      <w:bookmarkStart w:id="375" w:name="_Toc296891251"/>
      <w:bookmarkStart w:id="376" w:name="_Toc296346712"/>
      <w:bookmarkStart w:id="377" w:name="_Toc296503211"/>
      <w:bookmarkStart w:id="378" w:name="_Toc303539163"/>
      <w:r>
        <w:rPr>
          <w:color w:val="auto"/>
          <w:szCs w:val="21"/>
          <w:highlight w:val="none"/>
        </w:rPr>
        <w:t>12.4.1 付款周期</w:t>
      </w:r>
    </w:p>
    <w:p>
      <w:pPr>
        <w:spacing w:line="360" w:lineRule="exact"/>
        <w:ind w:firstLine="420" w:firstLineChars="200"/>
        <w:rPr>
          <w:color w:val="auto"/>
          <w:szCs w:val="21"/>
          <w:highlight w:val="none"/>
          <w:u w:val="single"/>
        </w:rPr>
      </w:pPr>
      <w:r>
        <w:rPr>
          <w:color w:val="auto"/>
          <w:szCs w:val="21"/>
          <w:highlight w:val="none"/>
        </w:rPr>
        <w:t>关于付款周期的约定：</w:t>
      </w:r>
      <w:r>
        <w:rPr>
          <w:rFonts w:hint="eastAsia"/>
          <w:color w:val="auto"/>
          <w:szCs w:val="21"/>
          <w:highlight w:val="none"/>
          <w:u w:val="single"/>
        </w:rPr>
        <w:t>按形象进度支付。</w:t>
      </w:r>
    </w:p>
    <w:p>
      <w:pPr>
        <w:spacing w:line="360" w:lineRule="exact"/>
        <w:ind w:firstLine="420" w:firstLineChars="200"/>
        <w:rPr>
          <w:color w:val="auto"/>
          <w:szCs w:val="21"/>
          <w:highlight w:val="none"/>
        </w:rPr>
      </w:pPr>
      <w:r>
        <w:rPr>
          <w:color w:val="auto"/>
          <w:szCs w:val="21"/>
          <w:highlight w:val="none"/>
        </w:rPr>
        <w:t>12.4.2 进度付款申请单的编制</w:t>
      </w:r>
    </w:p>
    <w:p>
      <w:pPr>
        <w:spacing w:line="360" w:lineRule="exact"/>
        <w:ind w:firstLine="420" w:firstLineChars="200"/>
        <w:rPr>
          <w:color w:val="auto"/>
          <w:szCs w:val="21"/>
          <w:highlight w:val="none"/>
          <w:u w:val="single"/>
        </w:rPr>
      </w:pPr>
      <w:r>
        <w:rPr>
          <w:color w:val="auto"/>
          <w:szCs w:val="21"/>
          <w:highlight w:val="none"/>
        </w:rPr>
        <w:t>关于进度付款申请单编制的约定：</w:t>
      </w:r>
      <w:r>
        <w:rPr>
          <w:rFonts w:hint="eastAsia"/>
          <w:color w:val="auto"/>
          <w:szCs w:val="21"/>
          <w:highlight w:val="none"/>
          <w:u w:val="single"/>
        </w:rPr>
        <w:t>合同范围内施工内容施工完成，参建各方（建设、监理、施工、设计单位等）对工程验收并签署工程质量合格文件后，支付至合同价的85%</w:t>
      </w:r>
      <w:r>
        <w:rPr>
          <w:color w:val="auto"/>
          <w:szCs w:val="21"/>
          <w:highlight w:val="none"/>
          <w:u w:val="single"/>
        </w:rPr>
        <w:t>。</w:t>
      </w:r>
      <w:r>
        <w:rPr>
          <w:rFonts w:hint="eastAsia"/>
          <w:color w:val="auto"/>
          <w:szCs w:val="21"/>
          <w:highlight w:val="none"/>
          <w:u w:val="single"/>
        </w:rPr>
        <w:t>工程竣工验收合格及承包人结算报送并经发包人或相关部门审核后，付至审定金额的100%(发包人支付完成最后工程结算付款前，承包人提供质量保证金保函)。</w:t>
      </w:r>
    </w:p>
    <w:bookmarkEnd w:id="32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spacing w:line="360" w:lineRule="exact"/>
        <w:ind w:firstLine="420" w:firstLineChars="200"/>
        <w:rPr>
          <w:color w:val="auto"/>
          <w:szCs w:val="21"/>
          <w:highlight w:val="none"/>
        </w:rPr>
      </w:pPr>
      <w:r>
        <w:rPr>
          <w:color w:val="auto"/>
          <w:szCs w:val="21"/>
          <w:highlight w:val="none"/>
        </w:rPr>
        <w:t>12.4.3 进度付款申请单的提交</w:t>
      </w:r>
    </w:p>
    <w:p>
      <w:pPr>
        <w:spacing w:line="360" w:lineRule="exact"/>
        <w:ind w:firstLine="420" w:firstLineChars="200"/>
        <w:rPr>
          <w:color w:val="auto"/>
          <w:szCs w:val="21"/>
          <w:highlight w:val="none"/>
        </w:rPr>
      </w:pPr>
      <w:r>
        <w:rPr>
          <w:color w:val="auto"/>
          <w:szCs w:val="21"/>
          <w:highlight w:val="none"/>
        </w:rPr>
        <w:t>（1）单价合同进度付款申请单提交的约定：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（2）总价合同进度付款申请单提交的约定：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（3）其他价格形式合同进度付款申请单提交的约定：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12.4.4 进度款审核和支付</w:t>
      </w:r>
    </w:p>
    <w:p>
      <w:pPr>
        <w:spacing w:line="360" w:lineRule="exact"/>
        <w:ind w:firstLine="420" w:firstLineChars="200"/>
        <w:rPr>
          <w:color w:val="auto"/>
          <w:szCs w:val="21"/>
          <w:highlight w:val="none"/>
          <w:u w:val="single"/>
        </w:rPr>
      </w:pPr>
      <w:r>
        <w:rPr>
          <w:color w:val="auto"/>
          <w:szCs w:val="21"/>
          <w:highlight w:val="none"/>
        </w:rPr>
        <w:t>（1）监理人审查并报送发包人的期限：</w:t>
      </w:r>
      <w:r>
        <w:rPr>
          <w:color w:val="auto"/>
          <w:szCs w:val="21"/>
          <w:highlight w:val="none"/>
          <w:u w:val="single"/>
        </w:rPr>
        <w:t xml:space="preserve">按合同通用条款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发包人完成审批并签发进度款支付证书的期限：</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（2）发包人支付进度款的期限：</w:t>
      </w:r>
      <w:r>
        <w:rPr>
          <w:color w:val="auto"/>
          <w:szCs w:val="21"/>
          <w:highlight w:val="none"/>
          <w:u w:val="single"/>
        </w:rPr>
        <w:t>在发包人确认计量结果后14天内完成支付。</w:t>
      </w:r>
    </w:p>
    <w:p>
      <w:pPr>
        <w:spacing w:line="360" w:lineRule="exact"/>
        <w:ind w:firstLine="420" w:firstLineChars="200"/>
        <w:rPr>
          <w:color w:val="auto"/>
          <w:szCs w:val="21"/>
          <w:highlight w:val="none"/>
        </w:rPr>
      </w:pPr>
      <w:r>
        <w:rPr>
          <w:color w:val="auto"/>
          <w:szCs w:val="21"/>
          <w:highlight w:val="none"/>
        </w:rPr>
        <w:t>发包人逾期支付进度款的违约金的计算方式：</w:t>
      </w:r>
      <w:r>
        <w:rPr>
          <w:rFonts w:hint="eastAsia"/>
          <w:color w:val="auto"/>
          <w:szCs w:val="21"/>
          <w:highlight w:val="none"/>
          <w:u w:val="single"/>
        </w:rPr>
        <w:t>支付应付工程进度款的利息，利率按同期全国银行间同业拆借中心公布的贷款市场报价利率，时间为从约定应付之日起至支付之日止计算利息。</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u w:val="single"/>
        </w:rPr>
        <w:t>发包人签发的工程量审核报告、 进度款支付证书或临时进度款支付证书，仅为本期工程进度款支付依据，不作为发包人已同意、批准或接受了承包人完成的相应部分工作或已确认计量结果</w:t>
      </w:r>
      <w:r>
        <w:rPr>
          <w:color w:val="auto"/>
          <w:szCs w:val="21"/>
          <w:highlight w:val="none"/>
          <w:u w:val="single"/>
        </w:rPr>
        <w:t>。</w:t>
      </w:r>
    </w:p>
    <w:p>
      <w:pPr>
        <w:spacing w:line="360" w:lineRule="exact"/>
        <w:ind w:firstLine="422" w:firstLineChars="200"/>
        <w:rPr>
          <w:b/>
          <w:color w:val="auto"/>
          <w:szCs w:val="21"/>
          <w:highlight w:val="none"/>
        </w:rPr>
      </w:pPr>
      <w:r>
        <w:rPr>
          <w:b/>
          <w:color w:val="auto"/>
          <w:szCs w:val="21"/>
          <w:highlight w:val="none"/>
        </w:rPr>
        <w:t>12.4.6 支付分解表的编制</w:t>
      </w:r>
    </w:p>
    <w:p>
      <w:pPr>
        <w:spacing w:line="360" w:lineRule="exact"/>
        <w:ind w:firstLine="420" w:firstLineChars="200"/>
        <w:rPr>
          <w:color w:val="auto"/>
          <w:szCs w:val="21"/>
          <w:highlight w:val="none"/>
        </w:rPr>
      </w:pPr>
      <w:r>
        <w:rPr>
          <w:color w:val="auto"/>
          <w:szCs w:val="21"/>
          <w:highlight w:val="none"/>
        </w:rPr>
        <w:t xml:space="preserve">2、总价合同支付分解表的编制与审批：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3、单价合同的总价项目支付分解表的编制与审批：</w:t>
      </w:r>
      <w:r>
        <w:rPr>
          <w:color w:val="auto"/>
          <w:szCs w:val="21"/>
          <w:highlight w:val="none"/>
          <w:u w:val="single"/>
        </w:rPr>
        <w:t>按通用条款执行。</w:t>
      </w:r>
    </w:p>
    <w:p>
      <w:pPr>
        <w:spacing w:line="360" w:lineRule="exact"/>
        <w:ind w:firstLine="420" w:firstLineChars="200"/>
        <w:rPr>
          <w:color w:val="auto"/>
          <w:szCs w:val="21"/>
          <w:highlight w:val="none"/>
        </w:rPr>
      </w:pPr>
      <w:r>
        <w:rPr>
          <w:rFonts w:hint="eastAsia"/>
          <w:color w:val="auto"/>
          <w:szCs w:val="21"/>
          <w:highlight w:val="none"/>
        </w:rPr>
        <w:t>12.5 支付账户</w:t>
      </w:r>
    </w:p>
    <w:p>
      <w:pPr>
        <w:spacing w:line="360" w:lineRule="exact"/>
        <w:ind w:firstLine="420" w:firstLineChars="200"/>
        <w:rPr>
          <w:color w:val="auto"/>
          <w:szCs w:val="21"/>
          <w:highlight w:val="none"/>
        </w:rPr>
      </w:pPr>
      <w:r>
        <w:rPr>
          <w:rFonts w:hint="eastAsia" w:ascii="宋体" w:hAnsi="宋体" w:cs="宋体"/>
          <w:color w:val="auto"/>
          <w:szCs w:val="21"/>
          <w:highlight w:val="none"/>
          <w:u w:val="single"/>
        </w:rPr>
        <w:t>发包人将</w:t>
      </w:r>
      <w:r>
        <w:rPr>
          <w:rFonts w:hint="eastAsia" w:ascii="宋体" w:hAnsi="宋体" w:cs="宋体"/>
          <w:color w:val="auto"/>
          <w:szCs w:val="21"/>
          <w:highlight w:val="none"/>
          <w:u w:val="single"/>
        </w:rPr>
        <w:t>当期已完工程价款</w:t>
      </w:r>
      <w:r>
        <w:rPr>
          <w:rFonts w:hint="eastAsia" w:ascii="宋体" w:hAnsi="宋体" w:cs="宋体"/>
          <w:color w:val="auto"/>
          <w:szCs w:val="21"/>
          <w:highlight w:val="none"/>
          <w:u w:val="single"/>
        </w:rPr>
        <w:t>的(20)% 拨付到承包人的农民工工资专用账</w:t>
      </w:r>
      <w:r>
        <w:rPr>
          <w:rFonts w:hint="eastAsia" w:ascii="宋体" w:hAnsi="宋体" w:cs="宋体"/>
          <w:color w:val="auto"/>
          <w:szCs w:val="21"/>
          <w:highlight w:val="none"/>
        </w:rPr>
        <w:t>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其余合同价款支付至合同协议书中约定的承包人账户</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如承包人因经营需要将合同价款支付至其他指定账户时，应向发包人书面申请，并由承包人法定代表人或授权代表签字、盖章。</w:t>
      </w:r>
    </w:p>
    <w:p>
      <w:pPr>
        <w:spacing w:line="360" w:lineRule="exact"/>
        <w:ind w:firstLine="422" w:firstLineChars="200"/>
        <w:rPr>
          <w:b/>
          <w:bCs/>
          <w:color w:val="auto"/>
          <w:szCs w:val="21"/>
          <w:highlight w:val="none"/>
        </w:rPr>
      </w:pPr>
      <w:bookmarkStart w:id="379" w:name="_Toc351203645"/>
      <w:bookmarkStart w:id="380" w:name="_Toc303539172"/>
      <w:bookmarkStart w:id="381" w:name="_Toc296347218"/>
      <w:bookmarkStart w:id="382" w:name="_Toc292559929"/>
      <w:bookmarkStart w:id="383" w:name="_Toc296944558"/>
      <w:bookmarkStart w:id="384" w:name="_Toc296891047"/>
      <w:bookmarkStart w:id="385" w:name="_Toc296891259"/>
      <w:bookmarkStart w:id="386" w:name="_Toc292559424"/>
      <w:bookmarkStart w:id="387" w:name="_Toc304295593"/>
      <w:bookmarkStart w:id="388" w:name="_Toc297048405"/>
      <w:bookmarkStart w:id="389" w:name="_Toc297120519"/>
      <w:bookmarkStart w:id="390" w:name="_Toc297123564"/>
      <w:bookmarkStart w:id="391" w:name="_Toc312678053"/>
      <w:bookmarkStart w:id="392" w:name="_Toc296503219"/>
      <w:bookmarkStart w:id="393" w:name="_Toc297216223"/>
      <w:bookmarkStart w:id="394" w:name="_Toc300935015"/>
      <w:bookmarkStart w:id="395" w:name="_Toc296346720"/>
      <w:r>
        <w:rPr>
          <w:b/>
          <w:bCs/>
          <w:color w:val="auto"/>
          <w:szCs w:val="21"/>
          <w:highlight w:val="none"/>
        </w:rPr>
        <w:t>13. 验收和工程试车</w:t>
      </w:r>
      <w:bookmarkEnd w:id="379"/>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Pr>
        <w:spacing w:line="360" w:lineRule="exact"/>
        <w:ind w:firstLine="420" w:firstLineChars="200"/>
        <w:rPr>
          <w:color w:val="auto"/>
          <w:szCs w:val="21"/>
          <w:highlight w:val="none"/>
        </w:rPr>
      </w:pPr>
      <w:bookmarkStart w:id="396" w:name="_Toc267251471"/>
      <w:bookmarkStart w:id="397" w:name="_Toc267251473"/>
      <w:bookmarkStart w:id="398" w:name="_Toc267251476"/>
      <w:bookmarkStart w:id="399" w:name="_Toc267251474"/>
      <w:bookmarkStart w:id="400" w:name="_Toc267251470"/>
      <w:bookmarkStart w:id="401" w:name="_Toc267251472"/>
      <w:bookmarkStart w:id="402" w:name="_Toc280868709"/>
      <w:bookmarkStart w:id="403" w:name="_Toc267251475"/>
      <w:r>
        <w:rPr>
          <w:color w:val="auto"/>
          <w:szCs w:val="21"/>
          <w:highlight w:val="none"/>
        </w:rPr>
        <w:t>13.1 分部分项工程验收</w:t>
      </w:r>
    </w:p>
    <w:p>
      <w:pPr>
        <w:spacing w:line="360" w:lineRule="exact"/>
        <w:ind w:firstLine="420" w:firstLineChars="200"/>
        <w:rPr>
          <w:color w:val="auto"/>
          <w:szCs w:val="21"/>
          <w:highlight w:val="none"/>
        </w:rPr>
      </w:pPr>
      <w:r>
        <w:rPr>
          <w:color w:val="auto"/>
          <w:szCs w:val="21"/>
          <w:highlight w:val="none"/>
        </w:rPr>
        <w:t>13.1.2监理人不能按时进行验收时，应提前</w:t>
      </w:r>
      <w:r>
        <w:rPr>
          <w:color w:val="auto"/>
          <w:szCs w:val="21"/>
          <w:highlight w:val="none"/>
          <w:u w:val="single"/>
        </w:rPr>
        <w:t xml:space="preserve">  24  </w:t>
      </w:r>
      <w:r>
        <w:rPr>
          <w:color w:val="auto"/>
          <w:szCs w:val="21"/>
          <w:highlight w:val="none"/>
        </w:rPr>
        <w:t>小时提交书面延期要求。</w:t>
      </w:r>
    </w:p>
    <w:p>
      <w:pPr>
        <w:spacing w:line="36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小时。</w:t>
      </w:r>
    </w:p>
    <w:p>
      <w:pPr>
        <w:spacing w:line="360" w:lineRule="exact"/>
        <w:ind w:firstLine="420" w:firstLineChars="200"/>
        <w:rPr>
          <w:b/>
          <w:color w:val="auto"/>
          <w:szCs w:val="21"/>
          <w:highlight w:val="none"/>
          <w:u w:val="single"/>
        </w:rPr>
      </w:pPr>
      <w:r>
        <w:rPr>
          <w:color w:val="auto"/>
          <w:szCs w:val="21"/>
          <w:highlight w:val="none"/>
          <w:u w:val="single"/>
        </w:rPr>
        <w:t>工程验收过程、验收部位除办理纸质验收记录，还应留置验收部位、验收过程、主要验收人员相片、影像等资料</w:t>
      </w:r>
      <w:r>
        <w:rPr>
          <w:color w:val="auto"/>
          <w:szCs w:val="21"/>
          <w:highlight w:val="none"/>
        </w:rPr>
        <w:t>。</w:t>
      </w:r>
    </w:p>
    <w:p>
      <w:pPr>
        <w:spacing w:line="360" w:lineRule="exact"/>
        <w:ind w:firstLine="420" w:firstLineChars="200"/>
        <w:rPr>
          <w:color w:val="auto"/>
          <w:szCs w:val="21"/>
          <w:highlight w:val="none"/>
        </w:rPr>
      </w:pPr>
      <w:bookmarkStart w:id="404" w:name="_Toc312678056"/>
      <w:bookmarkStart w:id="405" w:name="_Toc296346724"/>
      <w:bookmarkStart w:id="406" w:name="_Toc292559428"/>
      <w:bookmarkStart w:id="407" w:name="_Toc303539173"/>
      <w:bookmarkStart w:id="408" w:name="_Toc297120523"/>
      <w:bookmarkStart w:id="409" w:name="_Toc300935016"/>
      <w:bookmarkStart w:id="410" w:name="_Toc304295596"/>
      <w:bookmarkStart w:id="411" w:name="_Toc292559933"/>
      <w:bookmarkStart w:id="412" w:name="_Toc296347222"/>
      <w:bookmarkStart w:id="413" w:name="_Toc297216224"/>
      <w:bookmarkStart w:id="414" w:name="_Toc296891051"/>
      <w:bookmarkStart w:id="415" w:name="_Toc296944562"/>
      <w:bookmarkStart w:id="416" w:name="_Toc296891263"/>
      <w:bookmarkStart w:id="417" w:name="_Toc297048409"/>
      <w:bookmarkStart w:id="418" w:name="_Toc297123565"/>
      <w:bookmarkStart w:id="419" w:name="_Toc296503223"/>
      <w:r>
        <w:rPr>
          <w:color w:val="auto"/>
          <w:szCs w:val="21"/>
          <w:highlight w:val="none"/>
        </w:rPr>
        <w:t>13.2 竣工验收</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360" w:lineRule="exact"/>
        <w:ind w:firstLine="420" w:firstLineChars="200"/>
        <w:rPr>
          <w:color w:val="auto"/>
          <w:szCs w:val="21"/>
          <w:highlight w:val="none"/>
        </w:rPr>
      </w:pPr>
      <w:bookmarkStart w:id="420" w:name="_Toc280868704"/>
      <w:bookmarkStart w:id="421" w:name="_Toc280868705"/>
      <w:bookmarkStart w:id="422" w:name="_Toc280868706"/>
      <w:bookmarkStart w:id="423" w:name="_Toc280868707"/>
      <w:bookmarkStart w:id="424" w:name="_Toc280868708"/>
      <w:r>
        <w:rPr>
          <w:color w:val="auto"/>
          <w:szCs w:val="21"/>
          <w:highlight w:val="none"/>
        </w:rPr>
        <w:t>13.2.2竣工验收程序</w:t>
      </w:r>
    </w:p>
    <w:bookmarkEnd w:id="420"/>
    <w:p>
      <w:pPr>
        <w:spacing w:line="360" w:lineRule="exact"/>
        <w:ind w:firstLine="420" w:firstLineChars="200"/>
        <w:rPr>
          <w:color w:val="auto"/>
          <w:szCs w:val="21"/>
          <w:highlight w:val="none"/>
        </w:rPr>
      </w:pPr>
      <w:r>
        <w:rPr>
          <w:color w:val="auto"/>
          <w:szCs w:val="21"/>
          <w:highlight w:val="none"/>
        </w:rPr>
        <w:t>关于竣工验收程序的约定：</w:t>
      </w:r>
      <w:r>
        <w:rPr>
          <w:rFonts w:hint="eastAsia"/>
          <w:color w:val="auto"/>
          <w:szCs w:val="21"/>
          <w:highlight w:val="none"/>
          <w:u w:val="single"/>
        </w:rPr>
        <w:t>竣工验收程序按通用条款</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color w:val="auto"/>
          <w:szCs w:val="21"/>
          <w:highlight w:val="none"/>
          <w:u w:val="single"/>
        </w:rPr>
      </w:pPr>
      <w:r>
        <w:rPr>
          <w:color w:val="auto"/>
          <w:szCs w:val="21"/>
          <w:highlight w:val="none"/>
        </w:rPr>
        <w:t>发包人不按照本项约定组织竣工验收、颁发工程接收证书的违约金的计算方法：</w:t>
      </w:r>
      <w:r>
        <w:rPr>
          <w:color w:val="auto"/>
          <w:szCs w:val="21"/>
          <w:highlight w:val="none"/>
          <w:u w:val="single"/>
        </w:rPr>
        <w:t>不计违约金。</w:t>
      </w:r>
    </w:p>
    <w:p>
      <w:pPr>
        <w:spacing w:line="360" w:lineRule="exact"/>
        <w:ind w:firstLine="420" w:firstLineChars="200"/>
        <w:rPr>
          <w:color w:val="auto"/>
          <w:szCs w:val="21"/>
          <w:highlight w:val="none"/>
        </w:rPr>
      </w:pPr>
      <w:r>
        <w:rPr>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color w:val="auto"/>
          <w:szCs w:val="21"/>
          <w:highlight w:val="none"/>
        </w:rPr>
        <w:t>。</w:t>
      </w:r>
    </w:p>
    <w:bookmarkEnd w:id="421"/>
    <w:p>
      <w:pPr>
        <w:spacing w:line="360" w:lineRule="exact"/>
        <w:ind w:firstLine="420" w:firstLineChars="200"/>
        <w:rPr>
          <w:color w:val="auto"/>
          <w:szCs w:val="21"/>
          <w:highlight w:val="none"/>
        </w:rPr>
      </w:pPr>
      <w:r>
        <w:rPr>
          <w:color w:val="auto"/>
          <w:szCs w:val="21"/>
          <w:highlight w:val="none"/>
        </w:rPr>
        <w:t>13.2.5移交、接收全部与部分工程</w:t>
      </w:r>
    </w:p>
    <w:bookmarkEnd w:id="422"/>
    <w:p>
      <w:pPr>
        <w:spacing w:line="360" w:lineRule="exact"/>
        <w:ind w:firstLine="420" w:firstLineChars="200"/>
        <w:rPr>
          <w:color w:val="auto"/>
          <w:szCs w:val="21"/>
          <w:highlight w:val="none"/>
        </w:rPr>
      </w:pPr>
      <w:r>
        <w:rPr>
          <w:color w:val="auto"/>
          <w:szCs w:val="21"/>
          <w:highlight w:val="none"/>
        </w:rPr>
        <w:t>承包人向发包人移交工程的期限：</w:t>
      </w:r>
      <w:r>
        <w:rPr>
          <w:color w:val="auto"/>
          <w:szCs w:val="21"/>
          <w:highlight w:val="none"/>
          <w:u w:val="single"/>
        </w:rPr>
        <w:t xml:space="preserve">  按通用条款执行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发包人未按本合同约定接收全部或部分工程的，违约金的计算方法为：</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 xml:space="preserve"> </w:t>
      </w:r>
      <w:r>
        <w:rPr>
          <w:color w:val="auto"/>
          <w:szCs w:val="21"/>
          <w:highlight w:val="none"/>
        </w:rPr>
        <w:t>。</w:t>
      </w:r>
    </w:p>
    <w:bookmarkEnd w:id="423"/>
    <w:p>
      <w:pPr>
        <w:spacing w:line="360" w:lineRule="exact"/>
        <w:ind w:firstLine="420" w:firstLineChars="200"/>
        <w:rPr>
          <w:color w:val="auto"/>
          <w:szCs w:val="21"/>
          <w:highlight w:val="none"/>
        </w:rPr>
      </w:pPr>
      <w:r>
        <w:rPr>
          <w:color w:val="auto"/>
          <w:szCs w:val="21"/>
          <w:highlight w:val="none"/>
        </w:rPr>
        <w:t>承包人未按时移交工程的，违约金的计算方法为：</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13.3 工程试车</w:t>
      </w:r>
    </w:p>
    <w:bookmarkEnd w:id="424"/>
    <w:p>
      <w:pPr>
        <w:spacing w:line="360" w:lineRule="exact"/>
        <w:ind w:firstLine="420" w:firstLineChars="200"/>
        <w:rPr>
          <w:color w:val="auto"/>
          <w:szCs w:val="21"/>
          <w:highlight w:val="none"/>
        </w:rPr>
      </w:pPr>
      <w:r>
        <w:rPr>
          <w:color w:val="auto"/>
          <w:szCs w:val="21"/>
          <w:highlight w:val="none"/>
        </w:rPr>
        <w:t>13.3.1 试车程序</w:t>
      </w:r>
    </w:p>
    <w:p>
      <w:pPr>
        <w:spacing w:line="360" w:lineRule="exact"/>
        <w:ind w:firstLine="420" w:firstLineChars="200"/>
        <w:rPr>
          <w:color w:val="auto"/>
          <w:szCs w:val="21"/>
          <w:highlight w:val="none"/>
        </w:rPr>
      </w:pPr>
      <w:r>
        <w:rPr>
          <w:color w:val="auto"/>
          <w:szCs w:val="21"/>
          <w:highlight w:val="none"/>
        </w:rPr>
        <w:t>工程试车内容：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（1）单机无负荷试车费用由</w:t>
      </w:r>
      <w:r>
        <w:rPr>
          <w:rFonts w:hint="eastAsia"/>
          <w:color w:val="auto"/>
          <w:szCs w:val="21"/>
          <w:highlight w:val="none"/>
          <w:u w:val="single"/>
        </w:rPr>
        <w:t xml:space="preserve">           承包人         </w:t>
      </w:r>
      <w:r>
        <w:rPr>
          <w:rFonts w:hint="eastAsia"/>
          <w:color w:val="auto"/>
          <w:szCs w:val="21"/>
          <w:highlight w:val="none"/>
        </w:rPr>
        <w:t>承担；</w:t>
      </w:r>
    </w:p>
    <w:p>
      <w:pPr>
        <w:spacing w:line="360" w:lineRule="exact"/>
        <w:ind w:firstLine="420" w:firstLineChars="200"/>
        <w:rPr>
          <w:color w:val="auto"/>
          <w:szCs w:val="21"/>
          <w:highlight w:val="none"/>
        </w:rPr>
      </w:pPr>
      <w:r>
        <w:rPr>
          <w:rFonts w:hint="eastAsia"/>
          <w:color w:val="auto"/>
          <w:szCs w:val="21"/>
          <w:highlight w:val="none"/>
        </w:rPr>
        <w:t>（2）无负荷联动试车费用由</w:t>
      </w:r>
      <w:r>
        <w:rPr>
          <w:rFonts w:hint="eastAsia"/>
          <w:color w:val="auto"/>
          <w:szCs w:val="21"/>
          <w:highlight w:val="none"/>
          <w:u w:val="single"/>
        </w:rPr>
        <w:t xml:space="preserve">          承包人          </w:t>
      </w:r>
      <w:r>
        <w:rPr>
          <w:rFonts w:hint="eastAsia"/>
          <w:color w:val="auto"/>
          <w:szCs w:val="21"/>
          <w:highlight w:val="none"/>
        </w:rPr>
        <w:t>承担。</w:t>
      </w:r>
    </w:p>
    <w:p>
      <w:pPr>
        <w:tabs>
          <w:tab w:val="left" w:pos="8012"/>
        </w:tabs>
        <w:spacing w:line="360" w:lineRule="exact"/>
        <w:ind w:firstLine="420" w:firstLineChars="200"/>
        <w:rPr>
          <w:rFonts w:hint="eastAsia" w:eastAsia="宋体"/>
          <w:color w:val="auto"/>
          <w:szCs w:val="21"/>
          <w:highlight w:val="none"/>
          <w:lang w:eastAsia="zh-CN"/>
        </w:rPr>
      </w:pPr>
      <w:r>
        <w:rPr>
          <w:color w:val="auto"/>
          <w:szCs w:val="21"/>
          <w:highlight w:val="none"/>
        </w:rPr>
        <w:t>13.3.3 投料试车</w:t>
      </w:r>
      <w:r>
        <w:rPr>
          <w:rFonts w:hint="eastAsia"/>
          <w:color w:val="auto"/>
          <w:szCs w:val="21"/>
          <w:highlight w:val="none"/>
          <w:lang w:eastAsia="zh-CN"/>
        </w:rPr>
        <w:tab/>
      </w:r>
    </w:p>
    <w:p>
      <w:pPr>
        <w:spacing w:line="360" w:lineRule="exact"/>
        <w:ind w:firstLine="420" w:firstLineChars="200"/>
        <w:rPr>
          <w:color w:val="auto"/>
          <w:szCs w:val="21"/>
          <w:highlight w:val="none"/>
        </w:rPr>
      </w:pPr>
      <w:r>
        <w:rPr>
          <w:color w:val="auto"/>
          <w:szCs w:val="21"/>
          <w:highlight w:val="none"/>
        </w:rPr>
        <w:t>关于投料试车相关事项的约定：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13.6 竣工退场</w:t>
      </w:r>
    </w:p>
    <w:p>
      <w:pPr>
        <w:spacing w:line="360" w:lineRule="exact"/>
        <w:ind w:firstLine="420" w:firstLineChars="200"/>
        <w:rPr>
          <w:color w:val="auto"/>
          <w:szCs w:val="21"/>
          <w:highlight w:val="none"/>
        </w:rPr>
      </w:pPr>
      <w:r>
        <w:rPr>
          <w:color w:val="auto"/>
          <w:szCs w:val="21"/>
          <w:highlight w:val="none"/>
        </w:rPr>
        <w:t>13.6.1 竣工退场</w:t>
      </w:r>
    </w:p>
    <w:p>
      <w:pPr>
        <w:spacing w:line="360" w:lineRule="exact"/>
        <w:ind w:firstLine="420" w:firstLineChars="200"/>
        <w:rPr>
          <w:color w:val="auto"/>
          <w:szCs w:val="21"/>
          <w:highlight w:val="none"/>
        </w:rPr>
      </w:pPr>
      <w:r>
        <w:rPr>
          <w:color w:val="auto"/>
          <w:szCs w:val="21"/>
          <w:highlight w:val="none"/>
        </w:rPr>
        <w:t>承包人完成竣工退场的期限：</w:t>
      </w:r>
      <w:r>
        <w:rPr>
          <w:color w:val="auto"/>
          <w:szCs w:val="21"/>
          <w:highlight w:val="none"/>
          <w:u w:val="single"/>
        </w:rPr>
        <w:t xml:space="preserve"> 颁发工程接收证书后7天内</w:t>
      </w:r>
      <w:r>
        <w:rPr>
          <w:color w:val="auto"/>
          <w:szCs w:val="21"/>
          <w:highlight w:val="none"/>
        </w:rPr>
        <w:t>。</w:t>
      </w:r>
    </w:p>
    <w:p>
      <w:pPr>
        <w:spacing w:line="360" w:lineRule="exact"/>
        <w:ind w:firstLine="422" w:firstLineChars="200"/>
        <w:rPr>
          <w:b/>
          <w:bCs/>
          <w:color w:val="auto"/>
          <w:szCs w:val="21"/>
          <w:highlight w:val="none"/>
        </w:rPr>
      </w:pPr>
      <w:bookmarkStart w:id="425" w:name="_Toc351203646"/>
      <w:r>
        <w:rPr>
          <w:b/>
          <w:bCs/>
          <w:color w:val="auto"/>
          <w:szCs w:val="21"/>
          <w:highlight w:val="none"/>
        </w:rPr>
        <w:t>14. 竣工结算</w:t>
      </w:r>
      <w:bookmarkEnd w:id="425"/>
    </w:p>
    <w:p>
      <w:pPr>
        <w:spacing w:line="360" w:lineRule="exact"/>
        <w:ind w:firstLine="420" w:firstLineChars="200"/>
        <w:rPr>
          <w:color w:val="auto"/>
          <w:szCs w:val="21"/>
          <w:highlight w:val="none"/>
          <w:u w:val="single"/>
        </w:rPr>
      </w:pPr>
      <w:r>
        <w:rPr>
          <w:color w:val="auto"/>
          <w:szCs w:val="21"/>
          <w:highlight w:val="none"/>
          <w:u w:val="single"/>
        </w:rPr>
        <w:t>14.1 竣工结算申请</w:t>
      </w:r>
    </w:p>
    <w:p>
      <w:pPr>
        <w:spacing w:line="360" w:lineRule="exact"/>
        <w:ind w:firstLine="420" w:firstLineChars="200"/>
        <w:rPr>
          <w:color w:val="auto"/>
          <w:szCs w:val="21"/>
          <w:highlight w:val="none"/>
        </w:rPr>
      </w:pPr>
      <w:r>
        <w:rPr>
          <w:rFonts w:hint="eastAsia"/>
          <w:color w:val="auto"/>
          <w:szCs w:val="21"/>
          <w:highlight w:val="none"/>
        </w:rPr>
        <w:t>1.承包人提交竣工结算申请的期限：</w:t>
      </w:r>
    </w:p>
    <w:p>
      <w:pPr>
        <w:spacing w:line="360" w:lineRule="exact"/>
        <w:ind w:firstLine="420" w:firstLineChars="200"/>
        <w:rPr>
          <w:color w:val="auto"/>
          <w:szCs w:val="21"/>
          <w:highlight w:val="none"/>
          <w:u w:val="single"/>
        </w:rPr>
      </w:pPr>
      <w:r>
        <w:rPr>
          <w:rFonts w:hint="eastAsia"/>
          <w:color w:val="auto"/>
          <w:szCs w:val="21"/>
          <w:highlight w:val="none"/>
          <w:u w:val="single"/>
        </w:rPr>
        <w:t>承包人应在完成合同范围内施工内容，经工程竣工验收合格后28天内向发包人和监理人提交竣工结算申请单，并提交完整的工程结算资料一套。</w:t>
      </w:r>
    </w:p>
    <w:p>
      <w:pPr>
        <w:spacing w:line="360" w:lineRule="exact"/>
        <w:ind w:firstLine="420" w:firstLineChars="200"/>
        <w:rPr>
          <w:color w:val="auto"/>
          <w:szCs w:val="21"/>
          <w:highlight w:val="none"/>
          <w:u w:val="single"/>
        </w:rPr>
      </w:pPr>
      <w:r>
        <w:rPr>
          <w:rFonts w:hint="eastAsia"/>
          <w:color w:val="auto"/>
          <w:szCs w:val="21"/>
          <w:highlight w:val="none"/>
          <w:u w:val="single"/>
        </w:rPr>
        <w:t>工程验收后，承包人超过</w:t>
      </w:r>
      <w:r>
        <w:rPr>
          <w:color w:val="auto"/>
          <w:szCs w:val="21"/>
          <w:highlight w:val="none"/>
          <w:u w:val="single"/>
        </w:rPr>
        <w:t>90</w:t>
      </w:r>
      <w:r>
        <w:rPr>
          <w:rFonts w:hint="eastAsia"/>
          <w:color w:val="auto"/>
          <w:szCs w:val="21"/>
          <w:highlight w:val="none"/>
          <w:u w:val="single"/>
        </w:rPr>
        <w:t>天未提交竣工结算资料，经发包人催告后</w:t>
      </w:r>
      <w:r>
        <w:rPr>
          <w:color w:val="auto"/>
          <w:szCs w:val="21"/>
          <w:highlight w:val="none"/>
          <w:u w:val="single"/>
        </w:rPr>
        <w:t>28</w:t>
      </w:r>
      <w:r>
        <w:rPr>
          <w:rFonts w:hint="eastAsia"/>
          <w:color w:val="auto"/>
          <w:szCs w:val="21"/>
          <w:highlight w:val="none"/>
          <w:u w:val="single"/>
        </w:rPr>
        <w:t>天，承包人还不提交竣工结算资料的，发包人可根据自己资料办理竣工结算，且视为承包人认可竣工结算结果。</w:t>
      </w:r>
    </w:p>
    <w:p>
      <w:pPr>
        <w:spacing w:line="360" w:lineRule="exact"/>
        <w:ind w:firstLine="420" w:firstLineChars="200"/>
        <w:rPr>
          <w:color w:val="auto"/>
          <w:szCs w:val="21"/>
          <w:highlight w:val="none"/>
          <w:u w:val="single"/>
        </w:rPr>
      </w:pPr>
      <w:r>
        <w:rPr>
          <w:rFonts w:hint="eastAsia"/>
          <w:color w:val="auto"/>
          <w:szCs w:val="21"/>
          <w:highlight w:val="none"/>
          <w:u w:val="single"/>
        </w:rPr>
        <w:t>2.</w:t>
      </w:r>
      <w:r>
        <w:rPr>
          <w:rFonts w:hint="eastAsia"/>
          <w:color w:val="auto"/>
          <w:szCs w:val="21"/>
          <w:highlight w:val="none"/>
        </w:rPr>
        <w:t xml:space="preserve"> </w:t>
      </w:r>
      <w:r>
        <w:rPr>
          <w:rFonts w:hint="eastAsia"/>
          <w:color w:val="auto"/>
          <w:szCs w:val="21"/>
          <w:highlight w:val="none"/>
          <w:u w:val="single"/>
        </w:rPr>
        <w:t>竣工结算申请单应包括的内容： 包括但不限于施工合同、 补充协议、采购文件、响应文件、竣工图纸、施工方案以及经确认的工程变更、工程索赔、现场签证，相关施工记录，工程款收款证明、逾期付款利息计算书等相关资料。</w:t>
      </w:r>
    </w:p>
    <w:p>
      <w:pPr>
        <w:spacing w:line="360" w:lineRule="exact"/>
        <w:ind w:firstLine="420" w:firstLineChars="200"/>
        <w:rPr>
          <w:color w:val="auto"/>
          <w:szCs w:val="21"/>
          <w:highlight w:val="none"/>
          <w:u w:val="single"/>
        </w:rPr>
      </w:pPr>
      <w:r>
        <w:rPr>
          <w:color w:val="auto"/>
          <w:szCs w:val="21"/>
          <w:highlight w:val="none"/>
          <w:u w:val="single"/>
        </w:rPr>
        <w:t>14.2 竣工结算审核</w:t>
      </w:r>
    </w:p>
    <w:p>
      <w:pPr>
        <w:spacing w:line="360" w:lineRule="exact"/>
        <w:ind w:firstLine="420" w:firstLineChars="200"/>
        <w:rPr>
          <w:color w:val="auto"/>
          <w:szCs w:val="21"/>
          <w:highlight w:val="none"/>
          <w:u w:val="single"/>
        </w:rPr>
      </w:pPr>
      <w:r>
        <w:rPr>
          <w:rFonts w:hint="eastAsia"/>
          <w:color w:val="auto"/>
          <w:szCs w:val="21"/>
          <w:highlight w:val="none"/>
        </w:rPr>
        <w:t>（</w:t>
      </w:r>
      <w:r>
        <w:rPr>
          <w:color w:val="auto"/>
          <w:szCs w:val="21"/>
          <w:highlight w:val="none"/>
        </w:rPr>
        <w:t>1</w:t>
      </w:r>
      <w:r>
        <w:rPr>
          <w:rFonts w:hint="eastAsia"/>
          <w:color w:val="auto"/>
          <w:szCs w:val="21"/>
          <w:highlight w:val="none"/>
        </w:rPr>
        <w:t>）发包人结算审核时间：</w:t>
      </w:r>
    </w:p>
    <w:p>
      <w:pPr>
        <w:spacing w:line="360" w:lineRule="exact"/>
        <w:ind w:firstLine="420" w:firstLineChars="200"/>
        <w:rPr>
          <w:color w:val="auto"/>
          <w:szCs w:val="21"/>
          <w:highlight w:val="none"/>
          <w:u w:val="single"/>
        </w:rPr>
      </w:pPr>
      <w:r>
        <w:rPr>
          <w:rFonts w:hint="eastAsia"/>
          <w:color w:val="auto"/>
          <w:szCs w:val="21"/>
          <w:highlight w:val="none"/>
          <w:u w:val="single"/>
        </w:rPr>
        <w:t>发包人收到承包人递交的最终工程结算报告及完整的结算资料后，在90天内审核完毕，并签发最终工程结算证书。</w:t>
      </w:r>
    </w:p>
    <w:p>
      <w:pPr>
        <w:spacing w:line="360" w:lineRule="exact"/>
        <w:ind w:firstLine="420" w:firstLineChars="200"/>
        <w:rPr>
          <w:color w:val="auto"/>
          <w:szCs w:val="21"/>
          <w:highlight w:val="none"/>
          <w:u w:val="single"/>
        </w:rPr>
      </w:pPr>
      <w:r>
        <w:rPr>
          <w:rFonts w:hint="eastAsia"/>
          <w:color w:val="auto"/>
          <w:szCs w:val="21"/>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60天内，利率按同期全国银行间同业拆借中心公布的贷款市场报价利率，利息计算时间为应付工程款日至支付工程款日止；逾期审核时间超过 60 天，超过时间的利率按同期全国银行间同业拆借中心公布的贷款市场报价利率的 2 倍计算；</w:t>
      </w:r>
    </w:p>
    <w:p>
      <w:pPr>
        <w:spacing w:line="360" w:lineRule="exact"/>
        <w:ind w:firstLine="420" w:firstLineChars="200"/>
        <w:rPr>
          <w:color w:val="auto"/>
          <w:szCs w:val="21"/>
          <w:highlight w:val="none"/>
          <w:u w:val="single"/>
        </w:rPr>
      </w:pPr>
      <w:r>
        <w:rPr>
          <w:rFonts w:hint="eastAsia"/>
          <w:color w:val="auto"/>
          <w:szCs w:val="21"/>
          <w:highlight w:val="none"/>
          <w:u w:val="single"/>
        </w:rPr>
        <w:t>（</w:t>
      </w:r>
      <w:r>
        <w:rPr>
          <w:color w:val="auto"/>
          <w:szCs w:val="21"/>
          <w:highlight w:val="none"/>
          <w:u w:val="single"/>
        </w:rPr>
        <w:t>2</w:t>
      </w:r>
      <w:r>
        <w:rPr>
          <w:rFonts w:hint="eastAsia"/>
          <w:color w:val="auto"/>
          <w:szCs w:val="21"/>
          <w:highlight w:val="none"/>
          <w:u w:val="single"/>
        </w:rPr>
        <w:t>）发包人在签署最终工程结算证书后 14 天内，按专用条款 15.3条办理工程质量保证金留置手续后完成对承包人的竣工付款。逾期支付按同期全国银行间同业拆借中心公布的贷款市场报价利率支付违约金；逾期超过 56天，按同期全国银行间同业拆借中心公布的贷款市场报价利率的 2倍支付违约金。</w:t>
      </w:r>
    </w:p>
    <w:p>
      <w:pPr>
        <w:spacing w:line="360" w:lineRule="exact"/>
        <w:ind w:firstLine="420" w:firstLineChars="200"/>
        <w:rPr>
          <w:color w:val="auto"/>
          <w:szCs w:val="21"/>
          <w:highlight w:val="none"/>
          <w:u w:val="single"/>
        </w:rPr>
      </w:pPr>
      <w:r>
        <w:rPr>
          <w:rFonts w:hint="eastAsia"/>
          <w:color w:val="auto"/>
          <w:szCs w:val="21"/>
          <w:highlight w:val="none"/>
          <w:u w:val="single"/>
        </w:rPr>
        <w:t>（</w:t>
      </w:r>
      <w:r>
        <w:rPr>
          <w:color w:val="auto"/>
          <w:szCs w:val="21"/>
          <w:highlight w:val="none"/>
          <w:u w:val="single"/>
        </w:rPr>
        <w:t>3</w:t>
      </w:r>
      <w:r>
        <w:rPr>
          <w:rFonts w:hint="eastAsia"/>
          <w:color w:val="auto"/>
          <w:szCs w:val="21"/>
          <w:highlight w:val="none"/>
          <w:u w:val="single"/>
        </w:rPr>
        <w:t>）承包人对发包人签认的结算价有异议的，发包人可先支付承包人无异议部分结算款。异议部分重新进行复核或按照第</w:t>
      </w:r>
      <w:r>
        <w:rPr>
          <w:color w:val="auto"/>
          <w:szCs w:val="21"/>
          <w:highlight w:val="none"/>
          <w:u w:val="single"/>
        </w:rPr>
        <w:t>20</w:t>
      </w:r>
      <w:r>
        <w:rPr>
          <w:rFonts w:hint="eastAsia"/>
          <w:color w:val="auto"/>
          <w:szCs w:val="21"/>
          <w:highlight w:val="none"/>
          <w:u w:val="single"/>
        </w:rPr>
        <w:t>条〔争议解决约定〕处理。</w:t>
      </w:r>
    </w:p>
    <w:p>
      <w:pPr>
        <w:spacing w:line="360" w:lineRule="exact"/>
        <w:ind w:firstLine="420" w:firstLineChars="200"/>
        <w:rPr>
          <w:color w:val="auto"/>
          <w:szCs w:val="21"/>
          <w:highlight w:val="none"/>
          <w:u w:val="single"/>
        </w:rPr>
      </w:pPr>
      <w:r>
        <w:rPr>
          <w:rFonts w:hint="eastAsia"/>
          <w:color w:val="auto"/>
          <w:szCs w:val="21"/>
          <w:highlight w:val="none"/>
          <w:u w:val="single"/>
        </w:rPr>
        <w:t>（4）结算特殊要求：工程结算审价单位由发包人指定，承包人无权干预。对于工程结算审核费用支付的约定：基本费由发包人承担；核减追加费按核减超过送审造价5%的幅度以外的核减额为基数计取5%的费用，核增追加费按核增额的5%计算费用，核增额与核减额不作抵扣，核减、核增追加费由承包人承担，即核增减追加费=(核减额-送审造价×5%)×5%+核增额×5%。当上述应由承包人支付的费用，承包人没有支付时，发包人可以在应付款中代扣支付。</w:t>
      </w:r>
    </w:p>
    <w:p>
      <w:pPr>
        <w:spacing w:line="360" w:lineRule="exact"/>
        <w:ind w:firstLine="420" w:firstLineChars="200"/>
        <w:rPr>
          <w:color w:val="auto"/>
          <w:szCs w:val="21"/>
          <w:highlight w:val="none"/>
        </w:rPr>
      </w:pPr>
      <w:r>
        <w:rPr>
          <w:color w:val="auto"/>
          <w:szCs w:val="21"/>
          <w:highlight w:val="none"/>
        </w:rPr>
        <w:t>14.4 最终结清</w:t>
      </w:r>
    </w:p>
    <w:p>
      <w:pPr>
        <w:spacing w:line="360" w:lineRule="exact"/>
        <w:ind w:firstLine="420" w:firstLineChars="200"/>
        <w:rPr>
          <w:color w:val="auto"/>
          <w:szCs w:val="21"/>
          <w:highlight w:val="none"/>
        </w:rPr>
      </w:pPr>
      <w:r>
        <w:rPr>
          <w:color w:val="auto"/>
          <w:szCs w:val="21"/>
          <w:highlight w:val="none"/>
        </w:rPr>
        <w:t>14.4.1 最终结清申请单</w:t>
      </w:r>
    </w:p>
    <w:p>
      <w:pPr>
        <w:spacing w:line="360" w:lineRule="exact"/>
        <w:ind w:firstLine="420" w:firstLineChars="200"/>
        <w:rPr>
          <w:color w:val="auto"/>
          <w:szCs w:val="21"/>
          <w:highlight w:val="none"/>
        </w:rPr>
      </w:pPr>
      <w:r>
        <w:rPr>
          <w:color w:val="auto"/>
          <w:szCs w:val="21"/>
          <w:highlight w:val="none"/>
        </w:rPr>
        <w:t>承包人提交最终结清申请单的份数：</w:t>
      </w:r>
      <w:r>
        <w:rPr>
          <w:color w:val="auto"/>
          <w:szCs w:val="21"/>
          <w:highlight w:val="none"/>
          <w:u w:val="single"/>
        </w:rPr>
        <w:t xml:space="preserve">   </w:t>
      </w:r>
      <w:r>
        <w:rPr>
          <w:rFonts w:hint="eastAsia"/>
          <w:color w:val="auto"/>
          <w:szCs w:val="21"/>
          <w:highlight w:val="none"/>
          <w:u w:val="single"/>
        </w:rPr>
        <w:t>2份</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 xml:space="preserve">缺陷责任期终止后 7 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14.4.2 最终结清证书和支付</w:t>
      </w:r>
    </w:p>
    <w:p>
      <w:pPr>
        <w:spacing w:line="360" w:lineRule="exact"/>
        <w:ind w:firstLine="420" w:firstLineChars="200"/>
        <w:rPr>
          <w:color w:val="auto"/>
          <w:szCs w:val="21"/>
          <w:highlight w:val="none"/>
        </w:rPr>
      </w:pPr>
      <w:r>
        <w:rPr>
          <w:color w:val="auto"/>
          <w:szCs w:val="21"/>
          <w:highlight w:val="none"/>
        </w:rPr>
        <w:t>（1）发包人完成最终结清申请单的审批并颁发最终结清证书的期限：</w:t>
      </w:r>
      <w:r>
        <w:rPr>
          <w:color w:val="auto"/>
          <w:szCs w:val="21"/>
          <w:highlight w:val="none"/>
          <w:u w:val="single"/>
        </w:rPr>
        <w:t xml:space="preserve"> 按通用条款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（2）发包人完成支付的期限：</w:t>
      </w:r>
      <w:r>
        <w:rPr>
          <w:rFonts w:hint="eastAsia"/>
          <w:color w:val="auto"/>
          <w:szCs w:val="21"/>
          <w:highlight w:val="none"/>
          <w:u w:val="single"/>
        </w:rPr>
        <w:t xml:space="preserve"> </w:t>
      </w:r>
      <w:r>
        <w:rPr>
          <w:color w:val="auto"/>
          <w:szCs w:val="21"/>
          <w:highlight w:val="none"/>
          <w:u w:val="single"/>
        </w:rPr>
        <w:t>按通用条款</w:t>
      </w:r>
      <w:r>
        <w:rPr>
          <w:rFonts w:hint="eastAsia"/>
          <w:color w:val="auto"/>
          <w:szCs w:val="21"/>
          <w:highlight w:val="none"/>
          <w:u w:val="single"/>
        </w:rPr>
        <w:t xml:space="preserve"> </w:t>
      </w:r>
      <w:r>
        <w:rPr>
          <w:color w:val="auto"/>
          <w:szCs w:val="21"/>
          <w:highlight w:val="none"/>
        </w:rPr>
        <w:t>。</w:t>
      </w:r>
    </w:p>
    <w:bookmarkEnd w:id="396"/>
    <w:bookmarkEnd w:id="397"/>
    <w:bookmarkEnd w:id="398"/>
    <w:bookmarkEnd w:id="399"/>
    <w:bookmarkEnd w:id="400"/>
    <w:bookmarkEnd w:id="401"/>
    <w:bookmarkEnd w:id="402"/>
    <w:bookmarkEnd w:id="403"/>
    <w:p>
      <w:pPr>
        <w:spacing w:line="360" w:lineRule="exact"/>
        <w:ind w:firstLine="422" w:firstLineChars="200"/>
        <w:rPr>
          <w:bCs/>
          <w:color w:val="auto"/>
          <w:szCs w:val="21"/>
          <w:highlight w:val="none"/>
        </w:rPr>
      </w:pPr>
      <w:bookmarkStart w:id="426" w:name="_Toc351203647"/>
      <w:bookmarkStart w:id="427" w:name="_Toc267251483"/>
      <w:bookmarkStart w:id="428" w:name="_Toc267251485"/>
      <w:bookmarkStart w:id="429" w:name="_Toc267251484"/>
      <w:bookmarkStart w:id="430" w:name="_Toc267251482"/>
      <w:bookmarkStart w:id="431" w:name="_Toc267251489"/>
      <w:bookmarkStart w:id="432" w:name="_Toc267251486"/>
      <w:bookmarkStart w:id="433" w:name="_Toc267251490"/>
      <w:bookmarkStart w:id="434" w:name="_Toc267251488"/>
      <w:bookmarkStart w:id="435" w:name="_Toc267251501"/>
      <w:bookmarkStart w:id="436" w:name="_Toc267251498"/>
      <w:bookmarkStart w:id="437" w:name="_Toc267251492"/>
      <w:bookmarkStart w:id="438" w:name="_Toc267251502"/>
      <w:bookmarkStart w:id="439" w:name="_Toc267251494"/>
      <w:bookmarkStart w:id="440" w:name="_Toc267251503"/>
      <w:bookmarkStart w:id="441" w:name="_Toc267251491"/>
      <w:bookmarkStart w:id="442" w:name="_Toc267251499"/>
      <w:bookmarkStart w:id="443" w:name="_Toc267251493"/>
      <w:bookmarkStart w:id="444" w:name="_Toc267251495"/>
      <w:bookmarkStart w:id="445" w:name="_Toc267251496"/>
      <w:bookmarkStart w:id="446" w:name="_Toc267251497"/>
      <w:bookmarkStart w:id="447" w:name="_Toc267251506"/>
      <w:bookmarkStart w:id="448" w:name="_Toc267251509"/>
      <w:bookmarkStart w:id="449" w:name="_Toc267251511"/>
      <w:bookmarkStart w:id="450" w:name="_Toc267251504"/>
      <w:bookmarkStart w:id="451" w:name="_Toc267251513"/>
      <w:bookmarkStart w:id="452" w:name="_Toc267251515"/>
      <w:bookmarkStart w:id="453" w:name="_Toc267251507"/>
      <w:bookmarkStart w:id="454" w:name="_Toc267251514"/>
      <w:bookmarkStart w:id="455" w:name="_Toc267251510"/>
      <w:bookmarkStart w:id="456" w:name="_Toc267251508"/>
      <w:r>
        <w:rPr>
          <w:b/>
          <w:bCs/>
          <w:color w:val="auto"/>
          <w:szCs w:val="21"/>
          <w:highlight w:val="none"/>
        </w:rPr>
        <w:t>15. 缺陷责任期与保修</w:t>
      </w:r>
      <w:bookmarkEnd w:id="426"/>
    </w:p>
    <w:bookmarkEnd w:id="427"/>
    <w:bookmarkEnd w:id="428"/>
    <w:bookmarkEnd w:id="429"/>
    <w:bookmarkEnd w:id="430"/>
    <w:p>
      <w:pPr>
        <w:spacing w:line="360" w:lineRule="exact"/>
        <w:ind w:firstLine="420" w:firstLineChars="200"/>
        <w:rPr>
          <w:color w:val="auto"/>
          <w:szCs w:val="21"/>
          <w:highlight w:val="none"/>
        </w:rPr>
      </w:pPr>
      <w:r>
        <w:rPr>
          <w:color w:val="auto"/>
          <w:szCs w:val="21"/>
          <w:highlight w:val="none"/>
        </w:rPr>
        <w:t>15.2缺陷责任期</w:t>
      </w:r>
    </w:p>
    <w:p>
      <w:pPr>
        <w:spacing w:line="360" w:lineRule="exact"/>
        <w:ind w:firstLine="420" w:firstLineChars="200"/>
        <w:rPr>
          <w:color w:val="auto"/>
          <w:szCs w:val="21"/>
          <w:highlight w:val="none"/>
        </w:rPr>
      </w:pPr>
      <w:r>
        <w:rPr>
          <w:color w:val="auto"/>
          <w:szCs w:val="21"/>
          <w:highlight w:val="none"/>
        </w:rPr>
        <w:t>缺陷责任期的具体期限：</w:t>
      </w:r>
      <w:r>
        <w:rPr>
          <w:color w:val="auto"/>
          <w:szCs w:val="21"/>
          <w:highlight w:val="none"/>
          <w:u w:val="single"/>
        </w:rPr>
        <w:t xml:space="preserve"> 缺陷责任期</w:t>
      </w:r>
      <w:r>
        <w:rPr>
          <w:rFonts w:hint="eastAsia"/>
          <w:color w:val="auto"/>
          <w:szCs w:val="21"/>
          <w:highlight w:val="none"/>
          <w:u w:val="single"/>
        </w:rPr>
        <w:t>24</w:t>
      </w:r>
      <w:r>
        <w:rPr>
          <w:color w:val="auto"/>
          <w:szCs w:val="21"/>
          <w:highlight w:val="none"/>
          <w:u w:val="single"/>
        </w:rPr>
        <w:t>个月，其余按通用条款执行</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 质量保证金</w:t>
      </w:r>
    </w:p>
    <w:p>
      <w:pPr>
        <w:spacing w:line="360" w:lineRule="exact"/>
        <w:ind w:firstLine="420" w:firstLineChars="200"/>
        <w:rPr>
          <w:color w:val="auto"/>
          <w:szCs w:val="21"/>
          <w:highlight w:val="none"/>
        </w:rPr>
      </w:pPr>
      <w:r>
        <w:rPr>
          <w:color w:val="auto"/>
          <w:szCs w:val="21"/>
          <w:highlight w:val="none"/>
        </w:rPr>
        <w:t>关于是否扣留质量保证金的约定：</w:t>
      </w:r>
      <w:r>
        <w:rPr>
          <w:color w:val="auto"/>
          <w:szCs w:val="21"/>
          <w:highlight w:val="none"/>
          <w:u w:val="single"/>
        </w:rPr>
        <w:t xml:space="preserve"> </w:t>
      </w:r>
      <w:r>
        <w:rPr>
          <w:rFonts w:hint="eastAsia"/>
          <w:color w:val="auto"/>
          <w:szCs w:val="21"/>
          <w:highlight w:val="none"/>
          <w:u w:val="single"/>
        </w:rPr>
        <w:t xml:space="preserve">留置质量保证金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15.3.1 承包人提供质量保证金的方式</w:t>
      </w:r>
    </w:p>
    <w:p>
      <w:pPr>
        <w:spacing w:line="360" w:lineRule="exact"/>
        <w:ind w:firstLine="420" w:firstLineChars="200"/>
        <w:rPr>
          <w:color w:val="auto"/>
          <w:szCs w:val="21"/>
          <w:highlight w:val="none"/>
        </w:rPr>
      </w:pPr>
      <w:r>
        <w:rPr>
          <w:color w:val="auto"/>
          <w:szCs w:val="21"/>
          <w:highlight w:val="none"/>
        </w:rPr>
        <w:t>质量保证金采用以下第</w:t>
      </w:r>
      <w:r>
        <w:rPr>
          <w:rFonts w:hint="eastAsia"/>
          <w:color w:val="auto"/>
          <w:szCs w:val="21"/>
          <w:highlight w:val="none"/>
          <w:u w:val="single"/>
        </w:rPr>
        <w:t>（1）</w:t>
      </w:r>
      <w:r>
        <w:rPr>
          <w:color w:val="auto"/>
          <w:szCs w:val="21"/>
          <w:highlight w:val="none"/>
        </w:rPr>
        <w:t>种方式：</w:t>
      </w:r>
    </w:p>
    <w:p>
      <w:pPr>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质量保证金保函，保函形式为银行保函〔保险保函〕，金额为1.5 %的工程结算价款</w:t>
      </w:r>
      <w:r>
        <w:rPr>
          <w:color w:val="auto"/>
          <w:szCs w:val="21"/>
          <w:highlight w:val="none"/>
        </w:rPr>
        <w:t xml:space="preserve">； </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u w:val="single"/>
        </w:rPr>
        <w:t>1.5</w:t>
      </w:r>
      <w:r>
        <w:rPr>
          <w:color w:val="auto"/>
          <w:szCs w:val="21"/>
          <w:highlight w:val="none"/>
        </w:rPr>
        <w:t>%的工程</w:t>
      </w:r>
      <w:r>
        <w:rPr>
          <w:rFonts w:hint="eastAsia"/>
          <w:color w:val="auto"/>
          <w:szCs w:val="21"/>
          <w:highlight w:val="none"/>
        </w:rPr>
        <w:t>结算价</w:t>
      </w:r>
      <w:r>
        <w:rPr>
          <w:color w:val="auto"/>
          <w:szCs w:val="21"/>
          <w:highlight w:val="none"/>
        </w:rPr>
        <w:t>款；</w:t>
      </w:r>
    </w:p>
    <w:p>
      <w:pPr>
        <w:spacing w:line="360" w:lineRule="exact"/>
        <w:ind w:firstLine="420" w:firstLineChars="200"/>
        <w:rPr>
          <w:color w:val="auto"/>
          <w:szCs w:val="21"/>
          <w:highlight w:val="none"/>
        </w:rPr>
      </w:pPr>
      <w:r>
        <w:rPr>
          <w:color w:val="auto"/>
          <w:szCs w:val="21"/>
          <w:highlight w:val="none"/>
        </w:rPr>
        <w:t>（3）其他方式: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15.3.2 质量保证金的扣留 </w:t>
      </w:r>
    </w:p>
    <w:p>
      <w:pPr>
        <w:spacing w:line="360" w:lineRule="exact"/>
        <w:ind w:firstLine="420" w:firstLineChars="200"/>
        <w:rPr>
          <w:color w:val="auto"/>
          <w:szCs w:val="21"/>
          <w:highlight w:val="none"/>
        </w:rPr>
      </w:pPr>
      <w:r>
        <w:rPr>
          <w:color w:val="auto"/>
          <w:szCs w:val="21"/>
          <w:highlight w:val="none"/>
        </w:rPr>
        <w:t>质量保证金的扣留采取以下第</w:t>
      </w:r>
      <w:r>
        <w:rPr>
          <w:rFonts w:hint="eastAsia"/>
          <w:color w:val="auto"/>
          <w:szCs w:val="21"/>
          <w:highlight w:val="none"/>
          <w:u w:val="single"/>
        </w:rPr>
        <w:t>（3）</w:t>
      </w:r>
      <w:r>
        <w:rPr>
          <w:color w:val="auto"/>
          <w:szCs w:val="21"/>
          <w:highlight w:val="none"/>
        </w:rPr>
        <w:t xml:space="preserve">种方式： </w:t>
      </w:r>
    </w:p>
    <w:p>
      <w:pPr>
        <w:spacing w:line="360" w:lineRule="exact"/>
        <w:ind w:firstLine="420" w:firstLineChars="200"/>
        <w:rPr>
          <w:color w:val="auto"/>
          <w:szCs w:val="21"/>
          <w:highlight w:val="none"/>
        </w:rPr>
      </w:pPr>
      <w:r>
        <w:rPr>
          <w:color w:val="auto"/>
          <w:szCs w:val="21"/>
          <w:highlight w:val="none"/>
        </w:rPr>
        <w:t>（1）在支付工程进度款时逐次扣留，在此情形下，质量保证金的计算基数不包括预付款的支付、扣回以及价格调整的金额；</w:t>
      </w:r>
    </w:p>
    <w:p>
      <w:pPr>
        <w:spacing w:line="360" w:lineRule="exact"/>
        <w:ind w:firstLine="420" w:firstLineChars="200"/>
        <w:rPr>
          <w:color w:val="auto"/>
          <w:szCs w:val="21"/>
          <w:highlight w:val="none"/>
        </w:rPr>
      </w:pPr>
      <w:r>
        <w:rPr>
          <w:color w:val="auto"/>
          <w:szCs w:val="21"/>
          <w:highlight w:val="none"/>
        </w:rPr>
        <w:t>（2）工程竣工结算时一次性扣留质量保证金；</w:t>
      </w:r>
    </w:p>
    <w:p>
      <w:pPr>
        <w:spacing w:line="360" w:lineRule="exact"/>
        <w:ind w:firstLine="420" w:firstLineChars="200"/>
        <w:rPr>
          <w:color w:val="auto"/>
          <w:szCs w:val="21"/>
          <w:highlight w:val="none"/>
        </w:rPr>
      </w:pPr>
      <w:r>
        <w:rPr>
          <w:color w:val="auto"/>
          <w:szCs w:val="21"/>
          <w:highlight w:val="none"/>
        </w:rPr>
        <w:t>（3）其他扣留方式</w:t>
      </w:r>
      <w:r>
        <w:rPr>
          <w:rFonts w:hint="eastAsia"/>
          <w:color w:val="auto"/>
          <w:szCs w:val="21"/>
          <w:highlight w:val="none"/>
        </w:rPr>
        <w:t>：</w:t>
      </w:r>
      <w:r>
        <w:rPr>
          <w:rFonts w:hint="eastAsia"/>
          <w:color w:val="auto"/>
          <w:szCs w:val="21"/>
          <w:highlight w:val="none"/>
          <w:u w:val="single"/>
        </w:rPr>
        <w:t>发包人支付完成最后工程结算付款前，承包人提供质量保证金保函</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15.3.3 质量保证金的退还</w:t>
      </w:r>
    </w:p>
    <w:p>
      <w:pPr>
        <w:spacing w:line="360" w:lineRule="exact"/>
        <w:ind w:firstLine="420" w:firstLineChars="200"/>
        <w:rPr>
          <w:color w:val="auto"/>
          <w:szCs w:val="21"/>
          <w:highlight w:val="none"/>
        </w:rPr>
      </w:pPr>
      <w:r>
        <w:rPr>
          <w:rFonts w:hint="eastAsia"/>
          <w:color w:val="auto"/>
          <w:szCs w:val="21"/>
          <w:highlight w:val="none"/>
        </w:rPr>
        <w:t>质量保证金按以下第</w:t>
      </w:r>
      <w:r>
        <w:rPr>
          <w:rFonts w:hint="eastAsia"/>
          <w:color w:val="auto"/>
          <w:szCs w:val="21"/>
          <w:highlight w:val="none"/>
          <w:u w:val="single"/>
        </w:rPr>
        <w:t xml:space="preserve"> （1）</w:t>
      </w:r>
      <w:r>
        <w:rPr>
          <w:rFonts w:hint="eastAsia"/>
          <w:color w:val="auto"/>
          <w:szCs w:val="21"/>
          <w:highlight w:val="none"/>
        </w:rPr>
        <w:t>方式退回：</w:t>
      </w:r>
    </w:p>
    <w:p>
      <w:pPr>
        <w:spacing w:line="360" w:lineRule="exact"/>
        <w:ind w:firstLine="420" w:firstLineChars="200"/>
        <w:rPr>
          <w:color w:val="auto"/>
          <w:szCs w:val="21"/>
          <w:highlight w:val="none"/>
        </w:rPr>
      </w:pPr>
      <w:r>
        <w:rPr>
          <w:rFonts w:hint="eastAsia"/>
          <w:color w:val="auto"/>
          <w:szCs w:val="21"/>
          <w:highlight w:val="none"/>
        </w:rPr>
        <w:t>（1）缺陷责任期终止后，发包人退还剩余的质量保证金。</w:t>
      </w:r>
    </w:p>
    <w:p>
      <w:pPr>
        <w:spacing w:line="360" w:lineRule="exact"/>
        <w:ind w:firstLine="420" w:firstLineChars="200"/>
        <w:rPr>
          <w:color w:val="auto"/>
          <w:szCs w:val="21"/>
          <w:highlight w:val="none"/>
          <w:u w:val="single"/>
        </w:rPr>
      </w:pPr>
      <w:r>
        <w:rPr>
          <w:rFonts w:hint="eastAsia"/>
          <w:color w:val="auto"/>
          <w:szCs w:val="21"/>
          <w:highlight w:val="none"/>
        </w:rPr>
        <w:t>（2）建筑工程：</w:t>
      </w:r>
      <w:r>
        <w:rPr>
          <w:rFonts w:hint="eastAsia"/>
          <w:color w:val="auto"/>
          <w:szCs w:val="21"/>
          <w:highlight w:val="none"/>
          <w:u w:val="single"/>
        </w:rPr>
        <w:t>工程竣工验收合格后满 1 年返还质量保证金的 30%，满 2 年返还全部预留的质量保证金。</w:t>
      </w:r>
    </w:p>
    <w:p>
      <w:pPr>
        <w:spacing w:line="360" w:lineRule="exact"/>
        <w:ind w:firstLine="420" w:firstLineChars="200"/>
        <w:rPr>
          <w:color w:val="auto"/>
          <w:szCs w:val="21"/>
          <w:highlight w:val="none"/>
        </w:rPr>
      </w:pPr>
      <w:r>
        <w:rPr>
          <w:rFonts w:hint="eastAsia"/>
          <w:color w:val="auto"/>
          <w:szCs w:val="21"/>
          <w:highlight w:val="none"/>
        </w:rPr>
        <w:t>（3）市政工程：工程竣工验收合格后满 1 年返还全部质量保证金。</w:t>
      </w:r>
    </w:p>
    <w:p>
      <w:pPr>
        <w:spacing w:line="360" w:lineRule="exact"/>
        <w:ind w:firstLine="420" w:firstLineChars="200"/>
        <w:rPr>
          <w:color w:val="auto"/>
          <w:szCs w:val="21"/>
          <w:highlight w:val="none"/>
        </w:rPr>
      </w:pPr>
      <w:r>
        <w:rPr>
          <w:rFonts w:hint="eastAsia"/>
          <w:color w:val="auto"/>
          <w:szCs w:val="21"/>
          <w:highlight w:val="none"/>
        </w:rPr>
        <w:t>（4）其它：</w:t>
      </w:r>
      <w:r>
        <w:rPr>
          <w:rFonts w:hint="eastAsia"/>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15.4保修</w:t>
      </w:r>
    </w:p>
    <w:p>
      <w:pPr>
        <w:spacing w:line="360" w:lineRule="exact"/>
        <w:ind w:firstLine="420" w:firstLineChars="200"/>
        <w:rPr>
          <w:color w:val="auto"/>
          <w:szCs w:val="21"/>
          <w:highlight w:val="none"/>
        </w:rPr>
      </w:pPr>
      <w:r>
        <w:rPr>
          <w:color w:val="auto"/>
          <w:szCs w:val="21"/>
          <w:highlight w:val="none"/>
        </w:rPr>
        <w:t>15.4.1 保修责任</w:t>
      </w:r>
    </w:p>
    <w:p>
      <w:pPr>
        <w:spacing w:line="360" w:lineRule="exact"/>
        <w:ind w:firstLine="420" w:firstLineChars="200"/>
        <w:rPr>
          <w:color w:val="auto"/>
          <w:szCs w:val="21"/>
          <w:highlight w:val="none"/>
        </w:rPr>
      </w:pPr>
      <w:r>
        <w:rPr>
          <w:color w:val="auto"/>
          <w:szCs w:val="21"/>
          <w:highlight w:val="none"/>
        </w:rPr>
        <w:t>工程保修期为：</w:t>
      </w:r>
      <w:r>
        <w:rPr>
          <w:color w:val="auto"/>
          <w:szCs w:val="21"/>
          <w:highlight w:val="none"/>
          <w:u w:val="single"/>
        </w:rPr>
        <w:t xml:space="preserve"> 按本合同附件3《工程质量保修书》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15.4.3 修复通知</w:t>
      </w:r>
    </w:p>
    <w:p>
      <w:pPr>
        <w:spacing w:line="360" w:lineRule="exact"/>
        <w:ind w:firstLine="420" w:firstLineChars="200"/>
        <w:rPr>
          <w:color w:val="auto"/>
          <w:szCs w:val="21"/>
          <w:highlight w:val="none"/>
        </w:rPr>
      </w:pPr>
      <w:r>
        <w:rPr>
          <w:color w:val="auto"/>
          <w:szCs w:val="21"/>
          <w:highlight w:val="none"/>
        </w:rPr>
        <w:t>承包人收到保修通知并到达工程现场的合理时间：</w:t>
      </w:r>
      <w:r>
        <w:rPr>
          <w:rFonts w:hint="eastAsia"/>
          <w:color w:val="auto"/>
          <w:szCs w:val="21"/>
          <w:highlight w:val="none"/>
          <w:u w:val="single"/>
        </w:rPr>
        <w:t>按本合同附件3《工程质量保修书》执行</w:t>
      </w:r>
      <w:r>
        <w:rPr>
          <w:color w:val="auto"/>
          <w:szCs w:val="21"/>
          <w:highlight w:val="none"/>
        </w:rPr>
        <w:t>。</w:t>
      </w:r>
    </w:p>
    <w:bookmarkEnd w:id="431"/>
    <w:bookmarkEnd w:id="432"/>
    <w:bookmarkEnd w:id="433"/>
    <w:bookmarkEnd w:id="434"/>
    <w:p>
      <w:pPr>
        <w:spacing w:line="360" w:lineRule="exact"/>
        <w:ind w:firstLine="422" w:firstLineChars="200"/>
        <w:rPr>
          <w:b/>
          <w:bCs/>
          <w:color w:val="auto"/>
          <w:szCs w:val="21"/>
          <w:highlight w:val="none"/>
        </w:rPr>
      </w:pPr>
      <w:bookmarkStart w:id="457" w:name="_Toc351203648"/>
      <w:bookmarkStart w:id="458" w:name="_Toc280868717"/>
      <w:bookmarkStart w:id="459" w:name="_Toc280868718"/>
      <w:r>
        <w:rPr>
          <w:b/>
          <w:bCs/>
          <w:color w:val="auto"/>
          <w:szCs w:val="21"/>
          <w:highlight w:val="none"/>
        </w:rPr>
        <w:t>16. 违约</w:t>
      </w:r>
      <w:bookmarkEnd w:id="457"/>
    </w:p>
    <w:p>
      <w:pPr>
        <w:spacing w:line="360" w:lineRule="exact"/>
        <w:ind w:firstLine="420" w:firstLineChars="200"/>
        <w:rPr>
          <w:color w:val="auto"/>
          <w:szCs w:val="21"/>
          <w:highlight w:val="none"/>
        </w:rPr>
      </w:pPr>
      <w:r>
        <w:rPr>
          <w:color w:val="auto"/>
          <w:szCs w:val="21"/>
          <w:highlight w:val="none"/>
        </w:rPr>
        <w:t>16.1 发包人违约</w:t>
      </w:r>
    </w:p>
    <w:p>
      <w:pPr>
        <w:spacing w:line="360" w:lineRule="exact"/>
        <w:ind w:firstLine="420" w:firstLineChars="200"/>
        <w:rPr>
          <w:color w:val="auto"/>
          <w:szCs w:val="21"/>
          <w:highlight w:val="none"/>
        </w:rPr>
      </w:pPr>
      <w:r>
        <w:rPr>
          <w:color w:val="auto"/>
          <w:szCs w:val="21"/>
          <w:highlight w:val="none"/>
        </w:rPr>
        <w:t>16.1.1发包人违约的情形</w:t>
      </w:r>
    </w:p>
    <w:p>
      <w:pPr>
        <w:spacing w:line="360" w:lineRule="exact"/>
        <w:ind w:firstLine="420" w:firstLineChars="200"/>
        <w:rPr>
          <w:color w:val="auto"/>
          <w:szCs w:val="21"/>
          <w:highlight w:val="none"/>
        </w:rPr>
      </w:pPr>
      <w:r>
        <w:rPr>
          <w:color w:val="auto"/>
          <w:szCs w:val="21"/>
          <w:highlight w:val="none"/>
        </w:rPr>
        <w:t>发包人违约的其他情形：</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16.1.2 发包人违约的责任</w:t>
      </w:r>
    </w:p>
    <w:p>
      <w:pPr>
        <w:spacing w:line="360" w:lineRule="exact"/>
        <w:ind w:firstLine="420" w:firstLineChars="200"/>
        <w:rPr>
          <w:color w:val="auto"/>
          <w:szCs w:val="21"/>
          <w:highlight w:val="none"/>
        </w:rPr>
      </w:pPr>
      <w:r>
        <w:rPr>
          <w:color w:val="auto"/>
          <w:szCs w:val="21"/>
          <w:highlight w:val="none"/>
        </w:rPr>
        <w:t>发包人违约责任的承担方式和计算方法：</w:t>
      </w:r>
    </w:p>
    <w:p>
      <w:pPr>
        <w:spacing w:line="360" w:lineRule="exact"/>
        <w:ind w:firstLine="420" w:firstLineChars="200"/>
        <w:rPr>
          <w:color w:val="auto"/>
          <w:szCs w:val="21"/>
          <w:highlight w:val="none"/>
          <w:u w:val="single"/>
        </w:rPr>
      </w:pPr>
      <w:r>
        <w:rPr>
          <w:color w:val="auto"/>
          <w:szCs w:val="21"/>
          <w:highlight w:val="none"/>
        </w:rPr>
        <w:t>（1）因发包人原因未能在计划开工日期前7天内下达开工通知的违约责任：</w:t>
      </w:r>
      <w:r>
        <w:rPr>
          <w:color w:val="auto"/>
          <w:szCs w:val="21"/>
          <w:highlight w:val="none"/>
          <w:u w:val="single"/>
        </w:rPr>
        <w:t xml:space="preserve"> </w:t>
      </w:r>
      <w:r>
        <w:rPr>
          <w:rFonts w:hint="eastAsia"/>
          <w:color w:val="auto"/>
          <w:szCs w:val="21"/>
          <w:highlight w:val="none"/>
          <w:u w:val="single"/>
        </w:rPr>
        <w:t>赔偿承包人相关损失；属于专用合同条款 7.3.2 条约定情形的，按该条款约定处理</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（2）因发包人原因未能按合同约定支付合同价款的违约责任：</w:t>
      </w:r>
      <w:r>
        <w:rPr>
          <w:rFonts w:hint="eastAsia" w:ascii="宋体" w:hAnsi="宋体" w:cs="宋体"/>
          <w:color w:val="auto"/>
          <w:szCs w:val="21"/>
          <w:highlight w:val="none"/>
          <w:u w:val="single"/>
        </w:rPr>
        <w:t>逾期支付在56天内的按同期全国银行间同业拆借中心公布的贷款市场报价利率支付违约金；逾期超过56天，按同期全国银行间同业拆借中心公布的贷款市场报价利率的两倍支付违约金。</w:t>
      </w:r>
    </w:p>
    <w:p>
      <w:pPr>
        <w:spacing w:line="360" w:lineRule="exact"/>
        <w:ind w:firstLine="420" w:firstLineChars="200"/>
        <w:rPr>
          <w:color w:val="auto"/>
          <w:szCs w:val="21"/>
          <w:highlight w:val="none"/>
        </w:rPr>
      </w:pPr>
      <w:r>
        <w:rPr>
          <w:color w:val="auto"/>
          <w:szCs w:val="21"/>
          <w:highlight w:val="none"/>
        </w:rPr>
        <w:t>（3）发包人违反第10.1款〔变更的范围〕第（2）项约定，自行实施被取消的工作或转由他人实施的违约责任：</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（4）发包人提供的材料、工程设备的规格、数量或质量不符合合同约定，或因发包人原因导致交货日期延误或交货地点变更等情况的违约责任：</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（5）因发包人违反合同约定造成暂停施工的违约责任：</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（6）发包人无正当理由没有在约定期限内发出复工指示，导致承包人无法复工的违约责任：</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（7）其他：</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16.1.3 因发包人违约解除合同</w:t>
      </w:r>
    </w:p>
    <w:p>
      <w:pPr>
        <w:spacing w:line="360" w:lineRule="exact"/>
        <w:ind w:firstLine="420" w:firstLineChars="200"/>
        <w:rPr>
          <w:color w:val="auto"/>
          <w:szCs w:val="21"/>
          <w:highlight w:val="none"/>
        </w:rPr>
      </w:pPr>
      <w:r>
        <w:rPr>
          <w:color w:val="auto"/>
          <w:szCs w:val="21"/>
          <w:highlight w:val="none"/>
        </w:rPr>
        <w:t>承包人按16.1.1项〔发包人违约的情形〕约定暂停施工满</w:t>
      </w:r>
      <w:r>
        <w:rPr>
          <w:rFonts w:hint="eastAsia"/>
          <w:color w:val="auto"/>
          <w:szCs w:val="21"/>
          <w:highlight w:val="none"/>
          <w:u w:val="single"/>
        </w:rPr>
        <w:t>28</w:t>
      </w:r>
      <w:r>
        <w:rPr>
          <w:color w:val="auto"/>
          <w:szCs w:val="21"/>
          <w:highlight w:val="none"/>
        </w:rPr>
        <w:t>天后发包人仍不纠正其违约行为并致使合同目的不能实现的，承包人有权解除合同。</w:t>
      </w:r>
    </w:p>
    <w:p>
      <w:pPr>
        <w:spacing w:line="360" w:lineRule="exact"/>
        <w:ind w:firstLine="420" w:firstLineChars="200"/>
        <w:rPr>
          <w:color w:val="auto"/>
          <w:szCs w:val="21"/>
          <w:highlight w:val="none"/>
        </w:rPr>
      </w:pPr>
      <w:r>
        <w:rPr>
          <w:color w:val="auto"/>
          <w:szCs w:val="21"/>
          <w:highlight w:val="none"/>
        </w:rPr>
        <w:t>16.2 承包人违约</w:t>
      </w:r>
    </w:p>
    <w:p>
      <w:pPr>
        <w:spacing w:line="360" w:lineRule="exact"/>
        <w:ind w:firstLine="420" w:firstLineChars="200"/>
        <w:rPr>
          <w:color w:val="auto"/>
          <w:szCs w:val="21"/>
          <w:highlight w:val="none"/>
        </w:rPr>
      </w:pPr>
      <w:r>
        <w:rPr>
          <w:color w:val="auto"/>
          <w:szCs w:val="21"/>
          <w:highlight w:val="none"/>
        </w:rPr>
        <w:t>16.2.1 承包人违约的情形</w:t>
      </w:r>
    </w:p>
    <w:p>
      <w:pPr>
        <w:spacing w:line="360" w:lineRule="exact"/>
        <w:ind w:firstLine="420" w:firstLineChars="200"/>
        <w:rPr>
          <w:color w:val="auto"/>
          <w:szCs w:val="21"/>
          <w:highlight w:val="none"/>
          <w:u w:val="single"/>
        </w:rPr>
      </w:pPr>
      <w:r>
        <w:rPr>
          <w:color w:val="auto"/>
          <w:szCs w:val="21"/>
          <w:highlight w:val="none"/>
        </w:rPr>
        <w:t>承包人违约的其他情形：</w:t>
      </w:r>
    </w:p>
    <w:p>
      <w:pPr>
        <w:spacing w:line="36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机械设备、施工项目班子未按投标承诺及时到位</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承包人允许其他人挂靠经营、私自转包</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承包人未达到投标时所承诺的诚信与技术标准</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16.2.2承包人违约的责任</w:t>
      </w:r>
    </w:p>
    <w:p>
      <w:pPr>
        <w:spacing w:line="360" w:lineRule="exact"/>
        <w:ind w:firstLine="420" w:firstLineChars="200"/>
        <w:rPr>
          <w:color w:val="auto"/>
          <w:szCs w:val="21"/>
          <w:highlight w:val="none"/>
        </w:rPr>
      </w:pPr>
      <w:r>
        <w:rPr>
          <w:color w:val="auto"/>
          <w:szCs w:val="21"/>
          <w:highlight w:val="none"/>
        </w:rPr>
        <w:t>承包人违约责任的承担方式和计算方法：</w:t>
      </w:r>
    </w:p>
    <w:p>
      <w:pPr>
        <w:spacing w:line="36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机械设备未按投标承诺到位，每项扣除履约担保金2%；</w:t>
      </w:r>
    </w:p>
    <w:p>
      <w:pPr>
        <w:spacing w:line="360" w:lineRule="exact"/>
        <w:ind w:firstLine="420" w:firstLineChars="200"/>
        <w:rPr>
          <w:color w:val="auto"/>
          <w:szCs w:val="21"/>
          <w:highlight w:val="none"/>
          <w:u w:val="single"/>
        </w:rPr>
      </w:pPr>
      <w:r>
        <w:rPr>
          <w:rFonts w:hint="eastAsia"/>
          <w:color w:val="auto"/>
          <w:szCs w:val="21"/>
          <w:highlight w:val="none"/>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在工程款支付时扣除，并赔偿发包人损失。</w:t>
      </w:r>
    </w:p>
    <w:p>
      <w:pPr>
        <w:spacing w:line="360" w:lineRule="exact"/>
        <w:ind w:firstLine="420" w:firstLineChars="200"/>
        <w:rPr>
          <w:color w:val="auto"/>
          <w:szCs w:val="21"/>
          <w:highlight w:val="none"/>
          <w:u w:val="single"/>
        </w:rPr>
      </w:pPr>
      <w:r>
        <w:rPr>
          <w:rFonts w:hint="eastAsia"/>
          <w:color w:val="auto"/>
          <w:szCs w:val="21"/>
          <w:highlight w:val="none"/>
        </w:rPr>
        <w:t>（3）</w:t>
      </w:r>
      <w:r>
        <w:rPr>
          <w:rFonts w:hint="eastAsia"/>
          <w:color w:val="auto"/>
          <w:szCs w:val="21"/>
          <w:highlight w:val="none"/>
          <w:u w:val="single"/>
        </w:rPr>
        <w:t>发现承包人允许其他人挂靠经营、私自转包，所有履约担保归发包人，</w:t>
      </w:r>
      <w:r>
        <w:rPr>
          <w:color w:val="auto"/>
          <w:szCs w:val="21"/>
          <w:highlight w:val="none"/>
          <w:u w:val="single"/>
        </w:rPr>
        <w:t>在工程款支付时扣除</w:t>
      </w:r>
      <w:r>
        <w:rPr>
          <w:rFonts w:hint="eastAsia"/>
          <w:color w:val="auto"/>
          <w:szCs w:val="21"/>
          <w:highlight w:val="none"/>
          <w:u w:val="single"/>
        </w:rPr>
        <w:t>，同时赔偿发包人损失，并责令退出工地。</w:t>
      </w:r>
    </w:p>
    <w:p>
      <w:pPr>
        <w:spacing w:line="360" w:lineRule="exact"/>
        <w:ind w:firstLine="420" w:firstLineChars="200"/>
        <w:rPr>
          <w:color w:val="auto"/>
          <w:szCs w:val="21"/>
          <w:highlight w:val="none"/>
          <w:u w:val="single"/>
        </w:rPr>
      </w:pPr>
      <w:r>
        <w:rPr>
          <w:rFonts w:hint="eastAsia"/>
          <w:color w:val="auto"/>
          <w:szCs w:val="21"/>
          <w:highlight w:val="none"/>
        </w:rPr>
        <w:t>（4）</w:t>
      </w:r>
      <w:r>
        <w:rPr>
          <w:rFonts w:hint="eastAsia"/>
          <w:color w:val="auto"/>
          <w:szCs w:val="21"/>
          <w:highlight w:val="none"/>
          <w:u w:val="single"/>
        </w:rPr>
        <w:t>未达到投标所承诺的诚信与技术标准，按每一项扣减履约担保金的10%，</w:t>
      </w:r>
      <w:r>
        <w:rPr>
          <w:color w:val="auto"/>
          <w:szCs w:val="21"/>
          <w:highlight w:val="none"/>
          <w:u w:val="single"/>
        </w:rPr>
        <w:t>在当期工程款支付时扣除</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rFonts w:hint="eastAsia"/>
          <w:color w:val="auto"/>
          <w:szCs w:val="21"/>
          <w:highlight w:val="none"/>
        </w:rPr>
        <w:t>（5）</w:t>
      </w:r>
      <w:r>
        <w:rPr>
          <w:rFonts w:hint="eastAsia"/>
          <w:color w:val="auto"/>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360" w:lineRule="exact"/>
        <w:ind w:firstLine="420" w:firstLineChars="200"/>
        <w:rPr>
          <w:color w:val="auto"/>
          <w:szCs w:val="21"/>
          <w:highlight w:val="none"/>
          <w:u w:val="single"/>
        </w:rPr>
      </w:pPr>
      <w:r>
        <w:rPr>
          <w:color w:val="auto"/>
          <w:szCs w:val="21"/>
          <w:highlight w:val="none"/>
        </w:rPr>
        <w:t>（</w:t>
      </w:r>
      <w:r>
        <w:rPr>
          <w:rFonts w:hint="eastAsia"/>
          <w:color w:val="auto"/>
          <w:szCs w:val="21"/>
          <w:highlight w:val="none"/>
        </w:rPr>
        <w:t>6</w:t>
      </w:r>
      <w:r>
        <w:rPr>
          <w:color w:val="auto"/>
          <w:szCs w:val="21"/>
          <w:highlight w:val="none"/>
        </w:rPr>
        <w:t>）</w:t>
      </w:r>
      <w:r>
        <w:rPr>
          <w:color w:val="auto"/>
          <w:szCs w:val="21"/>
          <w:highlight w:val="none"/>
          <w:u w:val="single"/>
        </w:rPr>
        <w:t>承包人无法继续履行、明确表示不履行或实质上已停止履行合同，发包人可通知承包人全部解除合同，所有履约担保归发包人，同时赔偿发包人损失。</w:t>
      </w:r>
    </w:p>
    <w:p>
      <w:pPr>
        <w:spacing w:line="360" w:lineRule="exact"/>
        <w:ind w:firstLine="420" w:firstLineChars="200"/>
        <w:rPr>
          <w:color w:val="auto"/>
          <w:szCs w:val="21"/>
          <w:highlight w:val="none"/>
        </w:rPr>
      </w:pPr>
      <w:r>
        <w:rPr>
          <w:color w:val="auto"/>
          <w:szCs w:val="21"/>
          <w:highlight w:val="none"/>
        </w:rPr>
        <w:t>16.2.3 因承包人违约解除合同</w:t>
      </w:r>
    </w:p>
    <w:p>
      <w:pPr>
        <w:spacing w:line="360" w:lineRule="exact"/>
        <w:ind w:firstLine="420" w:firstLineChars="200"/>
        <w:rPr>
          <w:color w:val="auto"/>
          <w:szCs w:val="21"/>
          <w:highlight w:val="none"/>
          <w:u w:val="single"/>
        </w:rPr>
      </w:pPr>
      <w:r>
        <w:rPr>
          <w:color w:val="auto"/>
          <w:szCs w:val="21"/>
          <w:highlight w:val="none"/>
        </w:rPr>
        <w:t>关于承包人违约解除合同的特别约定：</w:t>
      </w:r>
      <w:r>
        <w:rPr>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发包人继续使用承包人在施工现场的材料、设备、临时工程、承包人文件和由承包人或以其名义编制的其他文件的费用承担方式：</w:t>
      </w:r>
      <w:r>
        <w:rPr>
          <w:color w:val="auto"/>
          <w:szCs w:val="21"/>
          <w:highlight w:val="none"/>
          <w:u w:val="single"/>
        </w:rPr>
        <w:t xml:space="preserve">使用施工现场的材料、设备按实结算，使用施工机械、器具按租赁费结算，临时工程折算成费用按完成造价比例计算，无偿使用承包人为本工程施工所编制的相应文件等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16.2.4 因承包人违约解除合同后的处理：</w:t>
      </w:r>
      <w:r>
        <w:rPr>
          <w:color w:val="auto"/>
          <w:szCs w:val="21"/>
          <w:highlight w:val="none"/>
          <w:u w:val="single"/>
        </w:rPr>
        <w:t xml:space="preserve">          /         </w:t>
      </w:r>
      <w:r>
        <w:rPr>
          <w:color w:val="auto"/>
          <w:szCs w:val="21"/>
          <w:highlight w:val="none"/>
        </w:rPr>
        <w:t>。</w:t>
      </w:r>
    </w:p>
    <w:p>
      <w:pPr>
        <w:spacing w:line="360" w:lineRule="exact"/>
        <w:ind w:firstLine="422" w:firstLineChars="200"/>
        <w:rPr>
          <w:bCs/>
          <w:color w:val="auto"/>
          <w:szCs w:val="21"/>
          <w:highlight w:val="none"/>
        </w:rPr>
      </w:pPr>
      <w:bookmarkStart w:id="460" w:name="_Toc351203649"/>
      <w:r>
        <w:rPr>
          <w:b/>
          <w:bCs/>
          <w:color w:val="auto"/>
          <w:szCs w:val="21"/>
          <w:highlight w:val="none"/>
        </w:rPr>
        <w:t>17. 不可抗力</w:t>
      </w:r>
      <w:bookmarkEnd w:id="460"/>
      <w:r>
        <w:rPr>
          <w:bCs/>
          <w:color w:val="auto"/>
          <w:szCs w:val="21"/>
          <w:highlight w:val="none"/>
        </w:rPr>
        <w:t xml:space="preserve"> </w:t>
      </w:r>
      <w:bookmarkEnd w:id="458"/>
    </w:p>
    <w:p>
      <w:pPr>
        <w:spacing w:line="360" w:lineRule="exact"/>
        <w:ind w:firstLine="420" w:firstLineChars="200"/>
        <w:rPr>
          <w:color w:val="auto"/>
          <w:szCs w:val="21"/>
          <w:highlight w:val="none"/>
        </w:rPr>
      </w:pPr>
      <w:r>
        <w:rPr>
          <w:color w:val="auto"/>
          <w:szCs w:val="21"/>
          <w:highlight w:val="none"/>
        </w:rPr>
        <w:t>17.1 不可抗力的确认</w:t>
      </w:r>
    </w:p>
    <w:p>
      <w:pPr>
        <w:spacing w:line="360" w:lineRule="exact"/>
        <w:ind w:firstLine="420" w:firstLineChars="200"/>
        <w:rPr>
          <w:color w:val="auto"/>
          <w:szCs w:val="21"/>
          <w:highlight w:val="none"/>
          <w:u w:val="single"/>
        </w:rPr>
      </w:pPr>
      <w:r>
        <w:rPr>
          <w:color w:val="auto"/>
          <w:szCs w:val="21"/>
          <w:highlight w:val="none"/>
        </w:rPr>
        <w:t>除通用合同条款约定的不可抗力事件之外，视为不可抗力的其他情形：</w:t>
      </w:r>
      <w:r>
        <w:rPr>
          <w:rFonts w:hint="eastAsia"/>
          <w:color w:val="auto"/>
          <w:szCs w:val="21"/>
          <w:highlight w:val="none"/>
          <w:u w:val="single"/>
        </w:rPr>
        <w:t>10 级（不含 10 级）以上台风、10 年一遇洪水、暴风雪、干旱，罢工、政府禁令。</w:t>
      </w:r>
    </w:p>
    <w:p>
      <w:pPr>
        <w:spacing w:line="360" w:lineRule="exact"/>
        <w:ind w:firstLine="420" w:firstLineChars="200"/>
        <w:rPr>
          <w:color w:val="auto"/>
          <w:szCs w:val="21"/>
          <w:highlight w:val="none"/>
        </w:rPr>
      </w:pPr>
      <w:r>
        <w:rPr>
          <w:rFonts w:hint="eastAsia"/>
          <w:color w:val="auto"/>
          <w:szCs w:val="21"/>
          <w:highlight w:val="none"/>
        </w:rPr>
        <w:t>17.2 不可抗力的通知</w:t>
      </w:r>
    </w:p>
    <w:p>
      <w:pPr>
        <w:spacing w:line="360" w:lineRule="exact"/>
        <w:ind w:firstLine="420" w:firstLineChars="200"/>
        <w:rPr>
          <w:color w:val="auto"/>
          <w:szCs w:val="21"/>
          <w:highlight w:val="none"/>
          <w:u w:val="single"/>
        </w:rPr>
      </w:pPr>
      <w:r>
        <w:rPr>
          <w:rFonts w:hint="eastAsia"/>
          <w:color w:val="auto"/>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60" w:lineRule="exact"/>
        <w:ind w:firstLine="420" w:firstLineChars="200"/>
        <w:rPr>
          <w:color w:val="auto"/>
          <w:szCs w:val="21"/>
          <w:highlight w:val="none"/>
        </w:rPr>
      </w:pPr>
      <w:r>
        <w:rPr>
          <w:rFonts w:hint="eastAsia"/>
          <w:color w:val="auto"/>
          <w:szCs w:val="21"/>
          <w:highlight w:val="none"/>
        </w:rPr>
        <w:t>17.3 不可抗力后果的承担</w:t>
      </w:r>
    </w:p>
    <w:p>
      <w:pPr>
        <w:spacing w:line="360" w:lineRule="exact"/>
        <w:ind w:firstLine="420" w:firstLineChars="200"/>
        <w:rPr>
          <w:color w:val="auto"/>
          <w:szCs w:val="21"/>
          <w:highlight w:val="none"/>
          <w:u w:val="single"/>
        </w:rPr>
      </w:pPr>
      <w:r>
        <w:rPr>
          <w:rFonts w:hint="eastAsia"/>
          <w:color w:val="auto"/>
          <w:szCs w:val="21"/>
          <w:highlight w:val="none"/>
          <w:u w:val="single"/>
        </w:rPr>
        <w:t>按通用条款。</w:t>
      </w:r>
    </w:p>
    <w:p>
      <w:pPr>
        <w:spacing w:line="360" w:lineRule="exact"/>
        <w:ind w:firstLine="420" w:firstLineChars="200"/>
        <w:rPr>
          <w:color w:val="auto"/>
          <w:szCs w:val="21"/>
          <w:highlight w:val="none"/>
        </w:rPr>
      </w:pPr>
      <w:r>
        <w:rPr>
          <w:color w:val="auto"/>
          <w:szCs w:val="21"/>
          <w:highlight w:val="none"/>
        </w:rPr>
        <w:t>17.4 因不可抗力解除合同</w:t>
      </w:r>
    </w:p>
    <w:p>
      <w:pPr>
        <w:spacing w:line="360" w:lineRule="exact"/>
        <w:ind w:firstLine="420" w:firstLineChars="200"/>
        <w:rPr>
          <w:color w:val="auto"/>
          <w:szCs w:val="21"/>
          <w:highlight w:val="none"/>
        </w:rPr>
      </w:pPr>
      <w:r>
        <w:rPr>
          <w:color w:val="auto"/>
          <w:szCs w:val="21"/>
          <w:highlight w:val="none"/>
        </w:rPr>
        <w:t>合同解除后，发包人应在商定或确定发包人应支付款项后</w:t>
      </w:r>
      <w:r>
        <w:rPr>
          <w:rFonts w:hint="eastAsia"/>
          <w:color w:val="auto"/>
          <w:szCs w:val="21"/>
          <w:highlight w:val="none"/>
          <w:u w:val="single"/>
        </w:rPr>
        <w:t>14</w:t>
      </w:r>
      <w:r>
        <w:rPr>
          <w:color w:val="auto"/>
          <w:szCs w:val="21"/>
          <w:highlight w:val="none"/>
        </w:rPr>
        <w:t>天内完成款项的支付。</w:t>
      </w:r>
    </w:p>
    <w:p>
      <w:pPr>
        <w:spacing w:line="360" w:lineRule="exact"/>
        <w:ind w:firstLine="422" w:firstLineChars="200"/>
        <w:rPr>
          <w:b/>
          <w:bCs/>
          <w:color w:val="auto"/>
          <w:szCs w:val="21"/>
          <w:highlight w:val="none"/>
        </w:rPr>
      </w:pPr>
      <w:bookmarkStart w:id="461" w:name="_Toc351203650"/>
      <w:r>
        <w:rPr>
          <w:b/>
          <w:bCs/>
          <w:color w:val="auto"/>
          <w:szCs w:val="21"/>
          <w:highlight w:val="none"/>
        </w:rPr>
        <w:t>18. 保险</w:t>
      </w:r>
      <w:bookmarkEnd w:id="461"/>
    </w:p>
    <w:bookmarkEnd w:id="459"/>
    <w:p>
      <w:pPr>
        <w:spacing w:line="360" w:lineRule="exact"/>
        <w:ind w:firstLine="420" w:firstLineChars="200"/>
        <w:rPr>
          <w:color w:val="auto"/>
          <w:szCs w:val="21"/>
          <w:highlight w:val="none"/>
        </w:rPr>
      </w:pPr>
      <w:r>
        <w:rPr>
          <w:rFonts w:hint="eastAsia"/>
          <w:color w:val="auto"/>
          <w:szCs w:val="21"/>
          <w:highlight w:val="none"/>
        </w:rPr>
        <w:t>18.1 工程保险</w:t>
      </w:r>
    </w:p>
    <w:p>
      <w:pPr>
        <w:spacing w:line="360" w:lineRule="exact"/>
        <w:ind w:firstLine="420" w:firstLineChars="200"/>
        <w:rPr>
          <w:color w:val="auto"/>
          <w:szCs w:val="21"/>
          <w:highlight w:val="none"/>
        </w:rPr>
      </w:pPr>
      <w:r>
        <w:rPr>
          <w:rFonts w:hint="eastAsia"/>
          <w:color w:val="auto"/>
          <w:szCs w:val="21"/>
          <w:highlight w:val="none"/>
        </w:rPr>
        <w:t>关于工程保险的特别约定：</w:t>
      </w:r>
      <w:r>
        <w:rPr>
          <w:rFonts w:hint="eastAsia"/>
          <w:color w:val="auto"/>
          <w:szCs w:val="21"/>
          <w:highlight w:val="none"/>
          <w:u w:val="single"/>
        </w:rPr>
        <w:t xml:space="preserve">  按规定必须投保的强制性保险</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18.3 其他保险</w:t>
      </w:r>
    </w:p>
    <w:p>
      <w:pPr>
        <w:spacing w:line="360" w:lineRule="exact"/>
        <w:ind w:firstLine="420" w:firstLineChars="200"/>
        <w:rPr>
          <w:color w:val="auto"/>
          <w:szCs w:val="21"/>
          <w:highlight w:val="none"/>
        </w:rPr>
      </w:pPr>
      <w:r>
        <w:rPr>
          <w:rFonts w:hint="eastAsia"/>
          <w:color w:val="auto"/>
          <w:szCs w:val="21"/>
          <w:highlight w:val="none"/>
        </w:rPr>
        <w:t>关于其他保险的约定：</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承包人是否应为其施工设备等办理财产保险：</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18.7 通知义务</w:t>
      </w:r>
    </w:p>
    <w:p>
      <w:pPr>
        <w:spacing w:line="360" w:lineRule="exact"/>
        <w:ind w:firstLine="420" w:firstLineChars="200"/>
        <w:rPr>
          <w:color w:val="auto"/>
          <w:szCs w:val="21"/>
          <w:highlight w:val="none"/>
        </w:rPr>
      </w:pPr>
      <w:r>
        <w:rPr>
          <w:color w:val="auto"/>
          <w:szCs w:val="21"/>
          <w:highlight w:val="none"/>
        </w:rPr>
        <w:t>关于变更保险合同时的通知义务的约定：</w:t>
      </w:r>
      <w:r>
        <w:rPr>
          <w:rFonts w:hint="eastAsia"/>
          <w:color w:val="auto"/>
          <w:szCs w:val="21"/>
          <w:highlight w:val="none"/>
          <w:u w:val="single"/>
        </w:rPr>
        <w:t>按通用条款执行</w:t>
      </w:r>
      <w:r>
        <w:rPr>
          <w:color w:val="auto"/>
          <w:szCs w:val="21"/>
          <w:highlight w:val="none"/>
        </w:rPr>
        <w:t>。</w:t>
      </w:r>
    </w:p>
    <w:bookmarkEnd w:id="435"/>
    <w:bookmarkEnd w:id="436"/>
    <w:bookmarkEnd w:id="437"/>
    <w:bookmarkEnd w:id="438"/>
    <w:bookmarkEnd w:id="439"/>
    <w:bookmarkEnd w:id="440"/>
    <w:bookmarkEnd w:id="441"/>
    <w:bookmarkEnd w:id="442"/>
    <w:bookmarkEnd w:id="443"/>
    <w:bookmarkEnd w:id="444"/>
    <w:bookmarkEnd w:id="445"/>
    <w:bookmarkEnd w:id="446"/>
    <w:p>
      <w:pPr>
        <w:spacing w:line="360" w:lineRule="exact"/>
        <w:ind w:firstLine="422" w:firstLineChars="200"/>
        <w:rPr>
          <w:b/>
          <w:bCs/>
          <w:color w:val="auto"/>
          <w:szCs w:val="21"/>
          <w:highlight w:val="none"/>
        </w:rPr>
      </w:pPr>
      <w:bookmarkStart w:id="462" w:name="_Toc351203651"/>
      <w:r>
        <w:rPr>
          <w:b/>
          <w:bCs/>
          <w:color w:val="auto"/>
          <w:szCs w:val="21"/>
          <w:highlight w:val="none"/>
        </w:rPr>
        <w:t>20. 争议解决</w:t>
      </w:r>
      <w:bookmarkEnd w:id="462"/>
    </w:p>
    <w:bookmarkEnd w:id="447"/>
    <w:bookmarkEnd w:id="448"/>
    <w:bookmarkEnd w:id="449"/>
    <w:bookmarkEnd w:id="450"/>
    <w:bookmarkEnd w:id="451"/>
    <w:bookmarkEnd w:id="452"/>
    <w:bookmarkEnd w:id="453"/>
    <w:bookmarkEnd w:id="454"/>
    <w:bookmarkEnd w:id="455"/>
    <w:bookmarkEnd w:id="456"/>
    <w:p>
      <w:pPr>
        <w:spacing w:line="360" w:lineRule="exact"/>
        <w:ind w:firstLine="420" w:firstLineChars="200"/>
        <w:rPr>
          <w:color w:val="auto"/>
          <w:szCs w:val="21"/>
          <w:highlight w:val="none"/>
        </w:rPr>
      </w:pPr>
      <w:r>
        <w:rPr>
          <w:color w:val="auto"/>
          <w:szCs w:val="21"/>
          <w:highlight w:val="none"/>
        </w:rPr>
        <w:t>20.3 争议评审</w:t>
      </w:r>
    </w:p>
    <w:p>
      <w:pPr>
        <w:spacing w:line="360" w:lineRule="exact"/>
        <w:ind w:firstLine="420" w:firstLineChars="200"/>
        <w:rPr>
          <w:color w:val="auto"/>
          <w:szCs w:val="21"/>
          <w:highlight w:val="none"/>
        </w:rPr>
      </w:pPr>
      <w:r>
        <w:rPr>
          <w:color w:val="auto"/>
          <w:szCs w:val="21"/>
          <w:highlight w:val="none"/>
        </w:rPr>
        <w:t>合同当事人是否同意将工程争议提交争议评审小组决定：</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20.3.1 争议评审小组的确定</w:t>
      </w:r>
    </w:p>
    <w:p>
      <w:pPr>
        <w:spacing w:line="360" w:lineRule="exact"/>
        <w:ind w:firstLine="420" w:firstLineChars="200"/>
        <w:rPr>
          <w:color w:val="auto"/>
          <w:szCs w:val="21"/>
          <w:highlight w:val="none"/>
          <w:u w:val="single"/>
        </w:rPr>
      </w:pPr>
      <w:r>
        <w:rPr>
          <w:color w:val="auto"/>
          <w:szCs w:val="21"/>
          <w:highlight w:val="none"/>
        </w:rPr>
        <w:t>争议评审小组成员的确定：</w:t>
      </w:r>
      <w:r>
        <w:rPr>
          <w:color w:val="auto"/>
          <w:szCs w:val="21"/>
          <w:highlight w:val="none"/>
          <w:u w:val="single"/>
        </w:rPr>
        <w:t xml:space="preserve">              /              </w:t>
      </w:r>
      <w:r>
        <w:rPr>
          <w:color w:val="auto"/>
          <w:szCs w:val="21"/>
          <w:highlight w:val="none"/>
        </w:rPr>
        <w:t xml:space="preserve">。 </w:t>
      </w:r>
    </w:p>
    <w:p>
      <w:pPr>
        <w:spacing w:line="360" w:lineRule="exact"/>
        <w:ind w:firstLine="420" w:firstLineChars="200"/>
        <w:rPr>
          <w:color w:val="auto"/>
          <w:szCs w:val="21"/>
          <w:highlight w:val="none"/>
        </w:rPr>
      </w:pPr>
      <w:r>
        <w:rPr>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20.3.2 争议评审小组的决定</w:t>
      </w:r>
    </w:p>
    <w:p>
      <w:pPr>
        <w:spacing w:line="360" w:lineRule="exact"/>
        <w:ind w:firstLine="420" w:firstLineChars="200"/>
        <w:rPr>
          <w:color w:val="auto"/>
          <w:szCs w:val="21"/>
          <w:highlight w:val="none"/>
          <w:u w:val="single"/>
        </w:rPr>
      </w:pPr>
      <w:r>
        <w:rPr>
          <w:color w:val="auto"/>
          <w:szCs w:val="21"/>
          <w:highlight w:val="none"/>
        </w:rPr>
        <w:t>合同当事人关于本项的约定：</w:t>
      </w:r>
      <w:r>
        <w:rPr>
          <w:color w:val="auto"/>
          <w:szCs w:val="21"/>
          <w:highlight w:val="none"/>
          <w:u w:val="single"/>
        </w:rPr>
        <w:t xml:space="preserve">  按通用条款。</w:t>
      </w:r>
    </w:p>
    <w:p>
      <w:pPr>
        <w:spacing w:line="360" w:lineRule="exact"/>
        <w:ind w:firstLine="420" w:firstLineChars="200"/>
        <w:rPr>
          <w:color w:val="auto"/>
          <w:szCs w:val="21"/>
          <w:highlight w:val="none"/>
          <w:u w:val="single"/>
        </w:rPr>
      </w:pPr>
      <w:r>
        <w:rPr>
          <w:color w:val="auto"/>
          <w:szCs w:val="21"/>
          <w:highlight w:val="none"/>
          <w:u w:val="single"/>
        </w:rPr>
        <w:t>20.3.3 争议评审小组决定的效力：按通用条款执行。</w:t>
      </w:r>
    </w:p>
    <w:p>
      <w:pPr>
        <w:spacing w:line="360" w:lineRule="exact"/>
        <w:ind w:firstLine="420" w:firstLineChars="200"/>
        <w:rPr>
          <w:color w:val="auto"/>
          <w:szCs w:val="21"/>
          <w:highlight w:val="none"/>
        </w:rPr>
      </w:pPr>
      <w:r>
        <w:rPr>
          <w:color w:val="auto"/>
          <w:szCs w:val="21"/>
          <w:highlight w:val="none"/>
        </w:rPr>
        <w:t>20.4仲裁或诉讼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台州</w:t>
      </w:r>
      <w:r>
        <w:rPr>
          <w:rFonts w:hint="eastAsia" w:ascii="宋体" w:hAnsi="宋体" w:cs="宋体"/>
          <w:color w:val="auto"/>
          <w:szCs w:val="21"/>
          <w:highlight w:val="none"/>
        </w:rPr>
        <w:t>仲裁委员会申请仲裁；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p>
    <w:p>
      <w:pPr>
        <w:spacing w:line="360" w:lineRule="exact"/>
        <w:ind w:firstLine="420" w:firstLineChars="200"/>
        <w:rPr>
          <w:color w:val="auto"/>
          <w:szCs w:val="21"/>
          <w:highlight w:val="none"/>
        </w:rPr>
      </w:pPr>
      <w:r>
        <w:rPr>
          <w:rFonts w:hint="eastAsia"/>
          <w:color w:val="auto"/>
          <w:szCs w:val="21"/>
          <w:highlight w:val="none"/>
        </w:rPr>
        <w:t>21.补充条款</w:t>
      </w:r>
    </w:p>
    <w:p>
      <w:pPr>
        <w:spacing w:line="360" w:lineRule="exact"/>
        <w:rPr>
          <w:rFonts w:eastAsia="黑体"/>
          <w:b/>
          <w:color w:val="auto"/>
          <w:szCs w:val="21"/>
          <w:highlight w:val="none"/>
        </w:rPr>
      </w:pPr>
      <w:r>
        <w:rPr>
          <w:color w:val="auto"/>
          <w:szCs w:val="21"/>
          <w:highlight w:val="none"/>
        </w:rPr>
        <w:br w:type="page"/>
      </w:r>
      <w:bookmarkEnd w:id="155"/>
      <w:r>
        <w:rPr>
          <w:rFonts w:eastAsia="黑体"/>
          <w:b/>
          <w:color w:val="auto"/>
          <w:szCs w:val="21"/>
          <w:highlight w:val="none"/>
        </w:rPr>
        <w:t>附件</w:t>
      </w:r>
    </w:p>
    <w:p>
      <w:pPr>
        <w:spacing w:line="360" w:lineRule="exact"/>
        <w:rPr>
          <w:rFonts w:eastAsia="黑体"/>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协议书附件：</w:t>
      </w:r>
    </w:p>
    <w:p>
      <w:pPr>
        <w:spacing w:line="360" w:lineRule="exact"/>
        <w:ind w:firstLine="420" w:firstLineChars="200"/>
        <w:rPr>
          <w:color w:val="auto"/>
          <w:szCs w:val="21"/>
          <w:highlight w:val="none"/>
        </w:rPr>
      </w:pPr>
      <w:r>
        <w:rPr>
          <w:color w:val="auto"/>
          <w:szCs w:val="21"/>
          <w:highlight w:val="none"/>
        </w:rPr>
        <w:t>附件1：承包人承揽工程项目一览表</w:t>
      </w:r>
      <w:r>
        <w:rPr>
          <w:rFonts w:hint="eastAsia"/>
          <w:color w:val="auto"/>
          <w:szCs w:val="21"/>
          <w:highlight w:val="none"/>
        </w:rPr>
        <w:t>（略）</w:t>
      </w:r>
    </w:p>
    <w:p>
      <w:pPr>
        <w:spacing w:line="360" w:lineRule="exact"/>
        <w:ind w:firstLine="420" w:firstLineChars="200"/>
        <w:rPr>
          <w:color w:val="auto"/>
          <w:szCs w:val="21"/>
          <w:highlight w:val="none"/>
        </w:rPr>
      </w:pPr>
      <w:r>
        <w:rPr>
          <w:rFonts w:hint="eastAsia"/>
          <w:color w:val="auto"/>
          <w:szCs w:val="21"/>
          <w:highlight w:val="none"/>
        </w:rPr>
        <w:t>专用合同条款附件：</w:t>
      </w:r>
    </w:p>
    <w:p>
      <w:pPr>
        <w:spacing w:line="360" w:lineRule="exact"/>
        <w:ind w:firstLine="420" w:firstLineChars="200"/>
        <w:rPr>
          <w:color w:val="auto"/>
          <w:szCs w:val="21"/>
          <w:highlight w:val="none"/>
        </w:rPr>
      </w:pPr>
      <w:r>
        <w:rPr>
          <w:color w:val="auto"/>
          <w:szCs w:val="21"/>
          <w:highlight w:val="none"/>
        </w:rPr>
        <w:t>附件2：发包人供应材料设备一览表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附件3：工程质量保修书</w:t>
      </w:r>
    </w:p>
    <w:p>
      <w:pPr>
        <w:spacing w:line="360" w:lineRule="exact"/>
        <w:ind w:firstLine="420" w:firstLineChars="200"/>
        <w:rPr>
          <w:color w:val="auto"/>
          <w:szCs w:val="21"/>
          <w:highlight w:val="none"/>
        </w:rPr>
      </w:pPr>
      <w:r>
        <w:rPr>
          <w:color w:val="auto"/>
          <w:szCs w:val="21"/>
          <w:highlight w:val="none"/>
        </w:rPr>
        <w:t>附件4：主要建设工程文件目录</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附件5：承包人用于本工程施工的机械设备表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附件6：承包人主要施工管理人员表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附件7：</w:t>
      </w:r>
      <w:r>
        <w:rPr>
          <w:rFonts w:hint="eastAsia"/>
          <w:color w:val="auto"/>
          <w:szCs w:val="21"/>
          <w:highlight w:val="none"/>
        </w:rPr>
        <w:t>承包人</w:t>
      </w:r>
      <w:r>
        <w:rPr>
          <w:color w:val="auto"/>
          <w:szCs w:val="21"/>
          <w:highlight w:val="none"/>
        </w:rPr>
        <w:t>主要施工管理人员表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附件8：履约担保格式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附件9：预付款担保格式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附件10：支付担保格式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附件11：暂估价一览表</w:t>
      </w:r>
      <w:r>
        <w:rPr>
          <w:rFonts w:hint="eastAsia"/>
          <w:color w:val="auto"/>
          <w:szCs w:val="21"/>
          <w:highlight w:val="none"/>
        </w:rPr>
        <w:t>（略）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b/>
          <w:bCs/>
          <w:color w:val="auto"/>
          <w:szCs w:val="21"/>
          <w:highlight w:val="none"/>
        </w:rPr>
      </w:pPr>
      <w:r>
        <w:rPr>
          <w:rFonts w:eastAsia="黑体"/>
          <w:b/>
          <w:bCs/>
          <w:color w:val="auto"/>
          <w:szCs w:val="21"/>
          <w:highlight w:val="none"/>
        </w:rPr>
        <w:br w:type="page"/>
      </w:r>
    </w:p>
    <w:p>
      <w:pPr>
        <w:keepNext/>
        <w:keepLines/>
        <w:spacing w:line="360" w:lineRule="exact"/>
        <w:outlineLvl w:val="3"/>
        <w:rPr>
          <w:rFonts w:eastAsia="黑体"/>
          <w:b/>
          <w:bCs/>
          <w:color w:val="auto"/>
          <w:szCs w:val="21"/>
          <w:highlight w:val="none"/>
        </w:rPr>
      </w:pPr>
      <w:r>
        <w:rPr>
          <w:rFonts w:eastAsia="黑体"/>
          <w:b/>
          <w:bCs/>
          <w:color w:val="auto"/>
          <w:szCs w:val="21"/>
          <w:highlight w:val="none"/>
        </w:rPr>
        <w:t>附</w:t>
      </w:r>
      <w:bookmarkStart w:id="463" w:name="_Toc296944565"/>
      <w:bookmarkStart w:id="464" w:name="_Toc296891266"/>
      <w:bookmarkStart w:id="465" w:name="_Toc296346727"/>
      <w:bookmarkStart w:id="466" w:name="_Toc267261693"/>
      <w:bookmarkStart w:id="467" w:name="_Toc296503226"/>
      <w:bookmarkStart w:id="468" w:name="_Toc296891054"/>
      <w:bookmarkStart w:id="469" w:name="_Toc296347225"/>
      <w:r>
        <w:rPr>
          <w:rFonts w:eastAsia="黑体"/>
          <w:b/>
          <w:bCs/>
          <w:color w:val="auto"/>
          <w:szCs w:val="21"/>
          <w:highlight w:val="none"/>
        </w:rPr>
        <w:t>件3：</w:t>
      </w:r>
      <w:bookmarkEnd w:id="463"/>
      <w:bookmarkEnd w:id="464"/>
      <w:bookmarkEnd w:id="465"/>
      <w:bookmarkEnd w:id="466"/>
      <w:bookmarkEnd w:id="467"/>
      <w:bookmarkEnd w:id="468"/>
      <w:bookmarkEnd w:id="469"/>
      <w:r>
        <w:rPr>
          <w:rFonts w:eastAsia="黑体"/>
          <w:b/>
          <w:bCs/>
          <w:color w:val="auto"/>
          <w:szCs w:val="21"/>
          <w:highlight w:val="none"/>
        </w:rPr>
        <w:t xml:space="preserve">    </w:t>
      </w:r>
    </w:p>
    <w:p>
      <w:pPr>
        <w:spacing w:line="360" w:lineRule="exact"/>
        <w:ind w:firstLine="600" w:firstLineChars="200"/>
        <w:jc w:val="center"/>
        <w:rPr>
          <w:rFonts w:eastAsia="黑体"/>
          <w:bCs/>
          <w:color w:val="auto"/>
          <w:sz w:val="30"/>
          <w:szCs w:val="30"/>
          <w:highlight w:val="none"/>
        </w:rPr>
      </w:pPr>
      <w:r>
        <w:rPr>
          <w:rFonts w:hint="eastAsia" w:eastAsia="黑体"/>
          <w:bCs/>
          <w:color w:val="auto"/>
          <w:sz w:val="30"/>
          <w:szCs w:val="30"/>
          <w:highlight w:val="none"/>
        </w:rPr>
        <w:t>工程质量保修书</w:t>
      </w:r>
    </w:p>
    <w:p>
      <w:pPr>
        <w:spacing w:line="586" w:lineRule="exact"/>
        <w:rPr>
          <w:rFonts w:eastAsia="黑体"/>
          <w:color w:val="auto"/>
          <w:sz w:val="30"/>
          <w:szCs w:val="30"/>
          <w:highlight w:val="none"/>
        </w:rPr>
      </w:pPr>
    </w:p>
    <w:p>
      <w:pPr>
        <w:spacing w:line="360" w:lineRule="exact"/>
        <w:rPr>
          <w:color w:val="auto"/>
          <w:szCs w:val="21"/>
          <w:highlight w:val="none"/>
        </w:rPr>
      </w:pPr>
      <w:r>
        <w:rPr>
          <w:color w:val="auto"/>
          <w:szCs w:val="21"/>
          <w:highlight w:val="none"/>
        </w:rPr>
        <w:t>发包人（全称）：</w:t>
      </w:r>
      <w:r>
        <w:rPr>
          <w:rFonts w:hint="eastAsia" w:ascii="宋体" w:hAnsi="宋体" w:cs="宋体"/>
          <w:color w:val="auto"/>
          <w:szCs w:val="21"/>
          <w:highlight w:val="none"/>
          <w:u w:val="single"/>
        </w:rPr>
        <w:t xml:space="preserve">  </w:t>
      </w:r>
      <w:r>
        <w:rPr>
          <w:rFonts w:hint="eastAsia"/>
          <w:color w:val="auto"/>
          <w:szCs w:val="21"/>
          <w:highlight w:val="none"/>
          <w:u w:val="single"/>
        </w:rPr>
        <w:t xml:space="preserve">台州市第一中学 </w:t>
      </w:r>
      <w:r>
        <w:rPr>
          <w:rFonts w:hint="eastAsia" w:ascii="宋体" w:hAnsi="宋体" w:cs="宋体"/>
          <w:color w:val="auto"/>
          <w:szCs w:val="21"/>
          <w:highlight w:val="none"/>
        </w:rPr>
        <w:t xml:space="preserve">  </w:t>
      </w:r>
    </w:p>
    <w:p>
      <w:pPr>
        <w:spacing w:line="360" w:lineRule="exact"/>
        <w:rPr>
          <w:color w:val="auto"/>
          <w:szCs w:val="21"/>
          <w:highlight w:val="none"/>
        </w:rPr>
      </w:pPr>
      <w:r>
        <w:rPr>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360" w:lineRule="exact"/>
        <w:rPr>
          <w:color w:val="auto"/>
          <w:szCs w:val="21"/>
          <w:highlight w:val="none"/>
        </w:rPr>
      </w:pPr>
    </w:p>
    <w:p>
      <w:pPr>
        <w:spacing w:line="360" w:lineRule="exact"/>
        <w:ind w:firstLine="420" w:firstLineChars="200"/>
        <w:rPr>
          <w:color w:val="auto"/>
          <w:szCs w:val="21"/>
          <w:highlight w:val="none"/>
        </w:rPr>
      </w:pPr>
      <w:r>
        <w:rPr>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color w:val="auto"/>
          <w:szCs w:val="21"/>
          <w:highlight w:val="none"/>
        </w:rPr>
        <w:t>（工程全称）签订工程质量保修书。</w:t>
      </w:r>
    </w:p>
    <w:p>
      <w:pPr>
        <w:spacing w:line="360" w:lineRule="exact"/>
        <w:ind w:firstLine="422" w:firstLineChars="200"/>
        <w:rPr>
          <w:b/>
          <w:bCs/>
          <w:color w:val="auto"/>
          <w:szCs w:val="21"/>
          <w:highlight w:val="none"/>
        </w:rPr>
      </w:pPr>
      <w:r>
        <w:rPr>
          <w:b/>
          <w:bCs/>
          <w:color w:val="auto"/>
          <w:szCs w:val="21"/>
          <w:highlight w:val="none"/>
        </w:rPr>
        <w:t>一、工程质量保修范围和内容</w:t>
      </w:r>
    </w:p>
    <w:p>
      <w:pPr>
        <w:spacing w:line="360" w:lineRule="exact"/>
        <w:ind w:firstLine="420" w:firstLineChars="200"/>
        <w:rPr>
          <w:color w:val="auto"/>
          <w:szCs w:val="21"/>
          <w:highlight w:val="none"/>
        </w:rPr>
      </w:pPr>
      <w:r>
        <w:rPr>
          <w:color w:val="auto"/>
          <w:szCs w:val="21"/>
          <w:highlight w:val="none"/>
        </w:rPr>
        <w:t>承包人在质量保修期内，按照有关法律规定和合同约定，承担工程质量保修责任。</w:t>
      </w:r>
    </w:p>
    <w:p>
      <w:pPr>
        <w:spacing w:line="360" w:lineRule="exact"/>
        <w:ind w:firstLine="420" w:firstLineChars="200"/>
        <w:rPr>
          <w:color w:val="auto"/>
          <w:szCs w:val="21"/>
          <w:highlight w:val="none"/>
        </w:rPr>
      </w:pPr>
      <w:r>
        <w:rPr>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szCs w:val="21"/>
          <w:highlight w:val="none"/>
        </w:rPr>
        <w:t>本工程合同范围内的所有工程</w:t>
      </w:r>
      <w:r>
        <w:rPr>
          <w:color w:val="auto"/>
          <w:szCs w:val="21"/>
          <w:highlight w:val="none"/>
        </w:rPr>
        <w:t>。</w:t>
      </w:r>
    </w:p>
    <w:p>
      <w:pPr>
        <w:spacing w:line="360" w:lineRule="exact"/>
        <w:ind w:firstLine="422" w:firstLineChars="200"/>
        <w:rPr>
          <w:b/>
          <w:bCs/>
          <w:color w:val="auto"/>
          <w:szCs w:val="21"/>
          <w:highlight w:val="none"/>
        </w:rPr>
      </w:pPr>
      <w:r>
        <w:rPr>
          <w:b/>
          <w:bCs/>
          <w:color w:val="auto"/>
          <w:szCs w:val="21"/>
          <w:highlight w:val="none"/>
        </w:rPr>
        <w:t>二、质量保修期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w:t>
      </w:r>
      <w:r>
        <w:rPr>
          <w:rFonts w:hint="eastAsia" w:hAnsi="宋体"/>
          <w:color w:val="auto"/>
          <w:szCs w:val="21"/>
          <w:highlight w:val="none"/>
        </w:rPr>
        <w:t>地下室、门窗框</w:t>
      </w:r>
      <w:r>
        <w:rPr>
          <w:rFonts w:hint="eastAsia" w:ascii="宋体" w:hAnsi="宋体" w:cs="宋体"/>
          <w:color w:val="auto"/>
          <w:szCs w:val="21"/>
          <w:highlight w:val="none"/>
        </w:rPr>
        <w:t>的防渗为</w:t>
      </w:r>
      <w:r>
        <w:rPr>
          <w:rFonts w:hint="eastAsia" w:ascii="宋体" w:hAnsi="宋体" w:cs="宋体"/>
          <w:bCs/>
          <w:color w:val="auto"/>
          <w:szCs w:val="21"/>
          <w:highlight w:val="none"/>
          <w:u w:val="single"/>
        </w:rPr>
        <w:t>5</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b/>
          <w:bCs/>
          <w:color w:val="auto"/>
          <w:szCs w:val="21"/>
          <w:highlight w:val="none"/>
          <w:u w:val="single"/>
        </w:rPr>
        <w:t>本项目除防水工程外其他项目质量保修期为2年，质量保修期自工程竣工验收合格之日起计算。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pPr>
        <w:spacing w:line="360" w:lineRule="exact"/>
        <w:ind w:firstLine="422" w:firstLineChars="200"/>
        <w:rPr>
          <w:b/>
          <w:bCs/>
          <w:color w:val="auto"/>
          <w:szCs w:val="21"/>
          <w:highlight w:val="none"/>
        </w:rPr>
      </w:pPr>
      <w:r>
        <w:rPr>
          <w:b/>
          <w:bCs/>
          <w:color w:val="auto"/>
          <w:szCs w:val="21"/>
          <w:highlight w:val="none"/>
        </w:rPr>
        <w:t>三、缺陷责任期</w:t>
      </w:r>
    </w:p>
    <w:p>
      <w:pPr>
        <w:spacing w:line="360" w:lineRule="exact"/>
        <w:ind w:firstLine="420" w:firstLineChars="200"/>
        <w:rPr>
          <w:color w:val="auto"/>
          <w:szCs w:val="21"/>
          <w:highlight w:val="none"/>
        </w:rPr>
      </w:pPr>
      <w:r>
        <w:rPr>
          <w:color w:val="auto"/>
          <w:szCs w:val="21"/>
          <w:highlight w:val="none"/>
        </w:rPr>
        <w:t>工程缺陷责任期为</w:t>
      </w:r>
      <w:r>
        <w:rPr>
          <w:rFonts w:hint="eastAsia"/>
          <w:color w:val="auto"/>
          <w:szCs w:val="21"/>
          <w:highlight w:val="none"/>
          <w:u w:val="single"/>
        </w:rPr>
        <w:t>24</w:t>
      </w:r>
      <w:r>
        <w:rPr>
          <w:color w:val="auto"/>
          <w:szCs w:val="21"/>
          <w:highlight w:val="none"/>
        </w:rPr>
        <w:t>个月，缺陷责任期自工程竣工验收合格之日起计算。单位工程先于全部工程进行验收，单位工程缺陷责任期自单位工程验收合格之日起算。</w:t>
      </w:r>
    </w:p>
    <w:p>
      <w:pPr>
        <w:spacing w:line="360" w:lineRule="exact"/>
        <w:ind w:firstLine="422" w:firstLineChars="200"/>
        <w:rPr>
          <w:b/>
          <w:bCs/>
          <w:color w:val="auto"/>
          <w:szCs w:val="21"/>
          <w:highlight w:val="none"/>
        </w:rPr>
      </w:pPr>
      <w:r>
        <w:rPr>
          <w:b/>
          <w:bCs/>
          <w:color w:val="auto"/>
          <w:szCs w:val="21"/>
          <w:highlight w:val="none"/>
        </w:rPr>
        <w:t>四、质量保修责任</w:t>
      </w:r>
    </w:p>
    <w:p>
      <w:pPr>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属于保修范围、内容的项目，承包人应当在接到保修通知之日起7天内派人保修。承包人不在约定期限内派人保修的，发包人可以委托他人修理。</w:t>
      </w:r>
    </w:p>
    <w:p>
      <w:pPr>
        <w:spacing w:line="360" w:lineRule="exact"/>
        <w:ind w:firstLine="420" w:firstLineChars="200"/>
        <w:rPr>
          <w:color w:val="auto"/>
          <w:szCs w:val="21"/>
          <w:highlight w:val="none"/>
        </w:rPr>
      </w:pPr>
      <w:r>
        <w:rPr>
          <w:rFonts w:hint="eastAsia"/>
          <w:color w:val="auto"/>
          <w:szCs w:val="21"/>
          <w:highlight w:val="none"/>
        </w:rPr>
        <w:t>2．</w:t>
      </w:r>
      <w:r>
        <w:rPr>
          <w:color w:val="auto"/>
          <w:szCs w:val="21"/>
          <w:highlight w:val="none"/>
        </w:rPr>
        <w:t>发生紧急事故需抢修的，承包人在接到事故通知后，应当立即到达事故现场抢修。</w:t>
      </w:r>
    </w:p>
    <w:p>
      <w:pPr>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质量保修完成后，由发包人组织验收。</w:t>
      </w:r>
    </w:p>
    <w:p>
      <w:pPr>
        <w:spacing w:line="360" w:lineRule="exact"/>
        <w:ind w:firstLine="422" w:firstLineChars="200"/>
        <w:rPr>
          <w:b/>
          <w:bCs/>
          <w:color w:val="auto"/>
          <w:szCs w:val="21"/>
          <w:highlight w:val="none"/>
        </w:rPr>
      </w:pPr>
      <w:r>
        <w:rPr>
          <w:b/>
          <w:bCs/>
          <w:color w:val="auto"/>
          <w:szCs w:val="21"/>
          <w:highlight w:val="none"/>
        </w:rPr>
        <w:t>五、保修费用</w:t>
      </w:r>
    </w:p>
    <w:p>
      <w:pPr>
        <w:spacing w:line="360" w:lineRule="exact"/>
        <w:ind w:firstLine="420" w:firstLineChars="200"/>
        <w:rPr>
          <w:color w:val="auto"/>
          <w:szCs w:val="21"/>
          <w:highlight w:val="none"/>
        </w:rPr>
      </w:pPr>
      <w:r>
        <w:rPr>
          <w:color w:val="auto"/>
          <w:szCs w:val="21"/>
          <w:highlight w:val="none"/>
        </w:rPr>
        <w:t>保修费用由造成质量缺陷的责任方承担。</w:t>
      </w:r>
    </w:p>
    <w:p>
      <w:pPr>
        <w:spacing w:line="360" w:lineRule="exact"/>
        <w:ind w:firstLine="420" w:firstLineChars="200"/>
        <w:rPr>
          <w:color w:val="auto"/>
          <w:szCs w:val="21"/>
          <w:highlight w:val="none"/>
        </w:rPr>
      </w:pPr>
      <w:r>
        <w:rPr>
          <w:rFonts w:hint="eastAsia"/>
          <w:color w:val="auto"/>
          <w:szCs w:val="21"/>
          <w:highlight w:val="none"/>
        </w:rPr>
        <w:t>六</w:t>
      </w:r>
      <w:r>
        <w:rPr>
          <w:color w:val="auto"/>
          <w:szCs w:val="21"/>
          <w:highlight w:val="none"/>
        </w:rPr>
        <w:t>、双方约定的其他工程质量保修事项</w:t>
      </w:r>
      <w:r>
        <w:rPr>
          <w:bCs/>
          <w:color w:val="auto"/>
          <w:szCs w:val="21"/>
          <w:highlight w:val="none"/>
        </w:rPr>
        <w:t>：</w:t>
      </w:r>
      <w:r>
        <w:rPr>
          <w:rFonts w:hint="eastAsia" w:ascii="宋体" w:hAnsi="宋体" w:cs="宋体"/>
          <w:color w:val="auto"/>
          <w:szCs w:val="21"/>
          <w:highlight w:val="none"/>
          <w:u w:val="single"/>
        </w:rPr>
        <w:t>①</w:t>
      </w:r>
      <w:r>
        <w:rPr>
          <w:rFonts w:hint="eastAsia" w:ascii="宋体" w:hAnsi="宋体"/>
          <w:color w:val="auto"/>
          <w:highlight w:val="none"/>
          <w:u w:val="single"/>
        </w:rPr>
        <w:t>工程质量保修期间，发包人已书面文件送达至承包人，即视为承包人已收到发包人的相关通知。②</w:t>
      </w:r>
      <w:r>
        <w:rPr>
          <w:rFonts w:hint="eastAsia"/>
          <w:color w:val="auto"/>
          <w:szCs w:val="21"/>
          <w:highlight w:val="none"/>
          <w:u w:val="single"/>
        </w:rPr>
        <w:t>如承包人未按《工程质量保修书》所规定的期限内保修的，发包人可以委托他人修理，由此造成的一切责任（包括安全责任）由承包人承担，所需的保修费用从质量保证金中扣除，不足部分由承包人承担</w:t>
      </w:r>
      <w:r>
        <w:rPr>
          <w:color w:val="auto"/>
          <w:szCs w:val="21"/>
          <w:highlight w:val="none"/>
        </w:rPr>
        <w:t>。</w:t>
      </w:r>
    </w:p>
    <w:p>
      <w:pPr>
        <w:spacing w:line="360" w:lineRule="exact"/>
        <w:ind w:firstLine="399" w:firstLineChars="190"/>
        <w:rPr>
          <w:color w:val="auto"/>
          <w:szCs w:val="21"/>
          <w:highlight w:val="none"/>
        </w:rPr>
      </w:pPr>
      <w:r>
        <w:rPr>
          <w:color w:val="auto"/>
          <w:szCs w:val="21"/>
          <w:highlight w:val="none"/>
        </w:rPr>
        <w:t>工程质量保修书由发包人、承包人在工程竣工验收前共同签署，作为施工合同附件，其有效期限至保修期满。</w:t>
      </w: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发包人（公章）：                               承包人（公章）：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地址：                                           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                                 法定代表人或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委托代理人（签字）：                         委托代理人（签字）：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电话：                                           电话：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传真：                                           传真：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账号：                                           账号：</w:t>
      </w:r>
    </w:p>
    <w:p>
      <w:pPr>
        <w:spacing w:line="360" w:lineRule="auto"/>
        <w:rPr>
          <w:rFonts w:ascii="宋体" w:hAnsi="宋体"/>
          <w:color w:val="auto"/>
          <w:szCs w:val="21"/>
          <w:highlight w:val="none"/>
        </w:rPr>
      </w:pPr>
      <w:r>
        <w:rPr>
          <w:rFonts w:hint="eastAsia" w:ascii="宋体" w:hAnsi="宋体"/>
          <w:color w:val="auto"/>
          <w:szCs w:val="21"/>
          <w:highlight w:val="none"/>
        </w:rPr>
        <w:t>邮政编码：                                     邮政编码：</w:t>
      </w: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600" w:firstLineChars="200"/>
        <w:jc w:val="center"/>
        <w:rPr>
          <w:rFonts w:ascii="宋体" w:hAnsi="宋体" w:cs="宋体"/>
          <w:bCs/>
          <w:color w:val="auto"/>
          <w:sz w:val="30"/>
          <w:szCs w:val="30"/>
          <w:highlight w:val="none"/>
        </w:rPr>
      </w:pPr>
      <w:r>
        <w:rPr>
          <w:rFonts w:hint="eastAsia" w:ascii="宋体" w:hAnsi="宋体" w:cs="宋体"/>
          <w:bCs/>
          <w:color w:val="auto"/>
          <w:sz w:val="30"/>
          <w:szCs w:val="30"/>
          <w:highlight w:val="none"/>
        </w:rPr>
        <w:t>第四部分    工程建设项目廉政责任书</w:t>
      </w:r>
    </w:p>
    <w:p>
      <w:pPr>
        <w:spacing w:line="360" w:lineRule="exact"/>
        <w:jc w:val="left"/>
        <w:rPr>
          <w:color w:val="auto"/>
          <w:szCs w:val="21"/>
          <w:highlight w:val="none"/>
        </w:rPr>
      </w:pPr>
    </w:p>
    <w:p>
      <w:pPr>
        <w:spacing w:line="360" w:lineRule="exact"/>
        <w:jc w:val="left"/>
        <w:rPr>
          <w:color w:val="auto"/>
          <w:szCs w:val="21"/>
          <w:highlight w:val="none"/>
        </w:rPr>
      </w:pPr>
      <w:r>
        <w:rPr>
          <w:rFonts w:hint="eastAsia"/>
          <w:color w:val="auto"/>
          <w:szCs w:val="21"/>
          <w:highlight w:val="none"/>
        </w:rPr>
        <w:t>工程项目名称：</w:t>
      </w:r>
      <w:r>
        <w:rPr>
          <w:rFonts w:hint="eastAsia"/>
          <w:color w:val="auto"/>
          <w:szCs w:val="21"/>
          <w:highlight w:val="none"/>
          <w:u w:val="single"/>
        </w:rPr>
        <w:t xml:space="preserve"> </w:t>
      </w:r>
      <w:r>
        <w:rPr>
          <w:rFonts w:hint="eastAsia"/>
          <w:color w:val="auto"/>
          <w:szCs w:val="21"/>
          <w:highlight w:val="none"/>
          <w:u w:val="single"/>
          <w:lang w:eastAsia="zh-CN"/>
        </w:rPr>
        <w:t>台州市第一中学食堂二楼备餐间、洗碗间和新疆班卫生间改造工程项目</w:t>
      </w:r>
      <w:r>
        <w:rPr>
          <w:rFonts w:hint="eastAsia"/>
          <w:color w:val="auto"/>
          <w:szCs w:val="21"/>
          <w:highlight w:val="none"/>
          <w:u w:val="single"/>
        </w:rPr>
        <w:t xml:space="preserve">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工程项目地址：</w:t>
      </w:r>
      <w:r>
        <w:rPr>
          <w:rFonts w:hint="eastAsia"/>
          <w:color w:val="auto"/>
          <w:szCs w:val="21"/>
          <w:highlight w:val="none"/>
          <w:u w:val="single"/>
        </w:rPr>
        <w:t xml:space="preserve"> 台州市第一中学内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建设单位（甲方）：</w:t>
      </w:r>
      <w:r>
        <w:rPr>
          <w:rFonts w:hint="eastAsia"/>
          <w:color w:val="auto"/>
          <w:szCs w:val="21"/>
          <w:highlight w:val="none"/>
          <w:u w:val="single"/>
        </w:rPr>
        <w:t xml:space="preserve"> 台州市第一中学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施工单位（乙方）：</w:t>
      </w:r>
      <w:r>
        <w:rPr>
          <w:rFonts w:hint="eastAsia"/>
          <w:color w:val="auto"/>
          <w:szCs w:val="21"/>
          <w:highlight w:val="none"/>
          <w:u w:val="single"/>
        </w:rPr>
        <w:t xml:space="preserve">                </w:t>
      </w:r>
      <w:r>
        <w:rPr>
          <w:rFonts w:hint="eastAsia"/>
          <w:color w:val="auto"/>
          <w:szCs w:val="21"/>
          <w:highlight w:val="none"/>
        </w:rPr>
        <w:t>。</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auto"/>
          <w:szCs w:val="21"/>
          <w:highlight w:val="none"/>
        </w:rPr>
      </w:pPr>
      <w:r>
        <w:rPr>
          <w:rFonts w:hint="eastAsia"/>
          <w:color w:val="auto"/>
          <w:szCs w:val="21"/>
          <w:highlight w:val="none"/>
        </w:rPr>
        <w:t>　　第一条 甲乙双方的责任</w:t>
      </w:r>
    </w:p>
    <w:p>
      <w:pPr>
        <w:spacing w:line="360" w:lineRule="exact"/>
        <w:jc w:val="left"/>
        <w:rPr>
          <w:color w:val="auto"/>
          <w:szCs w:val="21"/>
          <w:highlight w:val="none"/>
        </w:rPr>
      </w:pPr>
      <w:r>
        <w:rPr>
          <w:rFonts w:hint="eastAsia"/>
          <w:color w:val="auto"/>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exact"/>
        <w:rPr>
          <w:color w:val="auto"/>
          <w:szCs w:val="21"/>
          <w:highlight w:val="none"/>
        </w:rPr>
      </w:pPr>
      <w:r>
        <w:rPr>
          <w:rFonts w:hint="eastAsia"/>
          <w:color w:val="auto"/>
          <w:szCs w:val="21"/>
          <w:highlight w:val="none"/>
        </w:rPr>
        <w:t>　　（二）严格执行建设工程项目承发包合同文件，自觉按合同办事。</w:t>
      </w:r>
    </w:p>
    <w:p>
      <w:pPr>
        <w:spacing w:line="360" w:lineRule="exact"/>
        <w:rPr>
          <w:color w:val="auto"/>
          <w:szCs w:val="21"/>
          <w:highlight w:val="none"/>
        </w:rPr>
      </w:pPr>
      <w:r>
        <w:rPr>
          <w:rFonts w:hint="eastAsia"/>
          <w:color w:val="auto"/>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color w:val="auto"/>
          <w:szCs w:val="21"/>
          <w:highlight w:val="none"/>
        </w:rPr>
      </w:pPr>
      <w:r>
        <w:rPr>
          <w:rFonts w:hint="eastAsia"/>
          <w:color w:val="auto"/>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exact"/>
        <w:rPr>
          <w:color w:val="auto"/>
          <w:szCs w:val="21"/>
          <w:highlight w:val="none"/>
        </w:rPr>
      </w:pPr>
      <w:r>
        <w:rPr>
          <w:rFonts w:hint="eastAsia"/>
          <w:color w:val="auto"/>
          <w:szCs w:val="21"/>
          <w:highlight w:val="none"/>
        </w:rPr>
        <w:t>　　第二条 甲方的责任</w:t>
      </w:r>
    </w:p>
    <w:p>
      <w:pPr>
        <w:autoSpaceDE w:val="0"/>
        <w:autoSpaceDN w:val="0"/>
        <w:spacing w:line="360" w:lineRule="exact"/>
        <w:rPr>
          <w:color w:val="auto"/>
          <w:szCs w:val="21"/>
          <w:highlight w:val="none"/>
        </w:rPr>
      </w:pPr>
      <w:r>
        <w:rPr>
          <w:rFonts w:hint="eastAsia"/>
          <w:color w:val="auto"/>
          <w:szCs w:val="21"/>
          <w:highlight w:val="none"/>
        </w:rPr>
        <w:t>　　甲方的领导和从事该建设工程项目的工作人员，在工程建设的事前、事中、事后应遵守以下规定：</w:t>
      </w:r>
    </w:p>
    <w:p>
      <w:pPr>
        <w:autoSpaceDE w:val="0"/>
        <w:autoSpaceDN w:val="0"/>
        <w:spacing w:line="360" w:lineRule="exact"/>
        <w:rPr>
          <w:color w:val="auto"/>
          <w:szCs w:val="21"/>
          <w:highlight w:val="none"/>
        </w:rPr>
      </w:pPr>
      <w:r>
        <w:rPr>
          <w:rFonts w:hint="eastAsia"/>
          <w:color w:val="auto"/>
          <w:szCs w:val="21"/>
          <w:highlight w:val="none"/>
        </w:rPr>
        <w:t>　　（一）不准向乙方和相关单位索要或接受回扣、礼金、有价证券、贵重物品和好处费、感谢费等。</w:t>
      </w:r>
    </w:p>
    <w:p>
      <w:pPr>
        <w:autoSpaceDE w:val="0"/>
        <w:autoSpaceDN w:val="0"/>
        <w:spacing w:line="360" w:lineRule="exact"/>
        <w:rPr>
          <w:color w:val="auto"/>
          <w:szCs w:val="21"/>
          <w:highlight w:val="none"/>
        </w:rPr>
      </w:pPr>
      <w:r>
        <w:rPr>
          <w:rFonts w:hint="eastAsia"/>
          <w:color w:val="auto"/>
          <w:szCs w:val="21"/>
          <w:highlight w:val="none"/>
        </w:rPr>
        <w:t>　　（二）不准在乙方和相关单位报销任何应由甲方或个人支付的费用。</w:t>
      </w:r>
    </w:p>
    <w:p>
      <w:pPr>
        <w:spacing w:line="360" w:lineRule="exact"/>
        <w:jc w:val="left"/>
        <w:rPr>
          <w:color w:val="auto"/>
          <w:szCs w:val="21"/>
          <w:highlight w:val="none"/>
        </w:rPr>
      </w:pPr>
      <w:r>
        <w:rPr>
          <w:rFonts w:hint="eastAsia"/>
          <w:color w:val="auto"/>
          <w:szCs w:val="21"/>
          <w:highlight w:val="none"/>
        </w:rPr>
        <w:t>　　（三）不准要求、暗示和接受乙方和相关单位为个人装修住房、婚丧嫁娶、配偶子女的工作安排以及出国（境）、旅游等提供方便。</w:t>
      </w:r>
    </w:p>
    <w:p>
      <w:pPr>
        <w:autoSpaceDE w:val="0"/>
        <w:autoSpaceDN w:val="0"/>
        <w:spacing w:line="360" w:lineRule="exact"/>
        <w:rPr>
          <w:color w:val="auto"/>
          <w:szCs w:val="21"/>
          <w:highlight w:val="none"/>
        </w:rPr>
      </w:pPr>
      <w:r>
        <w:rPr>
          <w:rFonts w:hint="eastAsia"/>
          <w:color w:val="auto"/>
          <w:szCs w:val="21"/>
          <w:highlight w:val="none"/>
        </w:rPr>
        <w:t>　　（四）不准参加有可能影响公正执行公务的乙方和相关单位的宴请和健身、娱乐等活动。</w:t>
      </w:r>
    </w:p>
    <w:p>
      <w:pPr>
        <w:spacing w:line="360" w:lineRule="exact"/>
        <w:jc w:val="left"/>
        <w:rPr>
          <w:color w:val="auto"/>
          <w:szCs w:val="21"/>
          <w:highlight w:val="none"/>
        </w:rPr>
      </w:pPr>
      <w:r>
        <w:rPr>
          <w:rFonts w:hint="eastAsia"/>
          <w:color w:val="auto"/>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auto"/>
          <w:szCs w:val="21"/>
          <w:highlight w:val="none"/>
        </w:rPr>
      </w:pPr>
      <w:r>
        <w:rPr>
          <w:rFonts w:hint="eastAsia"/>
          <w:color w:val="auto"/>
          <w:szCs w:val="21"/>
          <w:highlight w:val="none"/>
        </w:rPr>
        <w:t>　　第三条 乙方的责任</w:t>
      </w:r>
    </w:p>
    <w:p>
      <w:pPr>
        <w:spacing w:line="360" w:lineRule="exact"/>
        <w:jc w:val="left"/>
        <w:rPr>
          <w:color w:val="auto"/>
          <w:szCs w:val="21"/>
          <w:highlight w:val="none"/>
        </w:rPr>
      </w:pPr>
      <w:r>
        <w:rPr>
          <w:rFonts w:hint="eastAsia"/>
          <w:color w:val="auto"/>
          <w:szCs w:val="21"/>
          <w:highlight w:val="none"/>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color w:val="auto"/>
          <w:szCs w:val="21"/>
          <w:highlight w:val="none"/>
        </w:rPr>
      </w:pPr>
      <w:r>
        <w:rPr>
          <w:rFonts w:hint="eastAsia"/>
          <w:color w:val="auto"/>
          <w:szCs w:val="21"/>
          <w:highlight w:val="none"/>
        </w:rPr>
        <w:t>　　（一）不准以任何理由向甲方、相关单位及其工作人员索要、接受或赠送礼金、有价证券、贵重物品和回扣、好处费、感谢费等。</w:t>
      </w:r>
    </w:p>
    <w:p>
      <w:pPr>
        <w:autoSpaceDE w:val="0"/>
        <w:autoSpaceDN w:val="0"/>
        <w:spacing w:line="360" w:lineRule="exact"/>
        <w:rPr>
          <w:color w:val="auto"/>
          <w:szCs w:val="21"/>
          <w:highlight w:val="none"/>
        </w:rPr>
      </w:pPr>
      <w:r>
        <w:rPr>
          <w:rFonts w:hint="eastAsia"/>
          <w:color w:val="auto"/>
          <w:szCs w:val="21"/>
          <w:highlight w:val="none"/>
        </w:rPr>
        <w:t>　　（二）不准以任何理由为甲方和相关单位报销应由对方或个人支付的费用。</w:t>
      </w:r>
    </w:p>
    <w:p>
      <w:pPr>
        <w:spacing w:line="360" w:lineRule="exact"/>
        <w:jc w:val="left"/>
        <w:rPr>
          <w:color w:val="auto"/>
          <w:szCs w:val="21"/>
          <w:highlight w:val="none"/>
        </w:rPr>
      </w:pPr>
      <w:r>
        <w:rPr>
          <w:rFonts w:hint="eastAsia"/>
          <w:color w:val="auto"/>
          <w:szCs w:val="21"/>
          <w:highlight w:val="none"/>
        </w:rPr>
        <w:t>　　（三）不准接受或暗示为甲方、相关单位或个人装修住房、婚丧嫁娶、配偶子女的工作安排以及出国（境）、旅游等提供方便。</w:t>
      </w:r>
    </w:p>
    <w:p>
      <w:pPr>
        <w:spacing w:line="360" w:lineRule="exact"/>
        <w:jc w:val="left"/>
        <w:rPr>
          <w:color w:val="auto"/>
          <w:szCs w:val="21"/>
          <w:highlight w:val="none"/>
        </w:rPr>
      </w:pPr>
      <w:r>
        <w:rPr>
          <w:rFonts w:hint="eastAsia"/>
          <w:color w:val="auto"/>
          <w:szCs w:val="21"/>
          <w:highlight w:val="none"/>
        </w:rPr>
        <w:t>　　（四）不准以任何理由为甲方、相关单位或个人组织有可能影响公正执行公务的宴请、健身、娱乐等活动。</w:t>
      </w:r>
    </w:p>
    <w:p>
      <w:pPr>
        <w:autoSpaceDE w:val="0"/>
        <w:autoSpaceDN w:val="0"/>
        <w:spacing w:line="360" w:lineRule="exact"/>
        <w:rPr>
          <w:color w:val="auto"/>
          <w:szCs w:val="21"/>
          <w:highlight w:val="none"/>
        </w:rPr>
      </w:pPr>
      <w:r>
        <w:rPr>
          <w:rFonts w:hint="eastAsia"/>
          <w:color w:val="auto"/>
          <w:szCs w:val="21"/>
          <w:highlight w:val="none"/>
        </w:rPr>
        <w:t>　　第四条 违约责任</w:t>
      </w:r>
    </w:p>
    <w:p>
      <w:pPr>
        <w:spacing w:line="360" w:lineRule="exact"/>
        <w:jc w:val="left"/>
        <w:rPr>
          <w:color w:val="auto"/>
          <w:szCs w:val="21"/>
          <w:highlight w:val="none"/>
        </w:rPr>
      </w:pPr>
      <w:r>
        <w:rPr>
          <w:rFonts w:hint="eastAsia"/>
          <w:color w:val="auto"/>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color w:val="auto"/>
          <w:szCs w:val="21"/>
          <w:highlight w:val="none"/>
        </w:rPr>
      </w:pPr>
      <w:r>
        <w:rPr>
          <w:rFonts w:hint="eastAsia"/>
          <w:color w:val="auto"/>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auto"/>
          <w:szCs w:val="21"/>
          <w:highlight w:val="none"/>
        </w:rPr>
      </w:pPr>
      <w:r>
        <w:rPr>
          <w:rFonts w:hint="eastAsia"/>
          <w:color w:val="auto"/>
          <w:szCs w:val="21"/>
          <w:highlight w:val="none"/>
        </w:rPr>
        <w:t>　　第五条 本责任书作为工程施工合同的附件，与工程施工合同具有同等法律效力。经双方签署后立即生效。</w:t>
      </w:r>
    </w:p>
    <w:p>
      <w:pPr>
        <w:autoSpaceDE w:val="0"/>
        <w:autoSpaceDN w:val="0"/>
        <w:spacing w:line="360" w:lineRule="exact"/>
        <w:rPr>
          <w:color w:val="auto"/>
          <w:szCs w:val="21"/>
          <w:highlight w:val="none"/>
        </w:rPr>
      </w:pPr>
      <w:r>
        <w:rPr>
          <w:rFonts w:hint="eastAsia"/>
          <w:color w:val="auto"/>
          <w:szCs w:val="21"/>
          <w:highlight w:val="none"/>
        </w:rPr>
        <w:t>　　第六条 本责任书的有效期为双方签署之日起至该工程项目竣工验收合格时止。</w:t>
      </w:r>
    </w:p>
    <w:p>
      <w:pPr>
        <w:autoSpaceDE w:val="0"/>
        <w:autoSpaceDN w:val="0"/>
        <w:spacing w:line="360" w:lineRule="exact"/>
        <w:rPr>
          <w:color w:val="auto"/>
          <w:szCs w:val="21"/>
          <w:highlight w:val="none"/>
        </w:rPr>
      </w:pPr>
      <w:r>
        <w:rPr>
          <w:rFonts w:hint="eastAsia"/>
          <w:color w:val="auto"/>
          <w:szCs w:val="21"/>
          <w:highlight w:val="none"/>
        </w:rPr>
        <w:t>　　第七条 本责任书份数同合同份数。</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甲方单位：（盖章）　　　　　　　　                 乙方单位：（盖章）</w:t>
      </w:r>
    </w:p>
    <w:p>
      <w:pPr>
        <w:autoSpaceDE w:val="0"/>
        <w:autoSpaceDN w:val="0"/>
        <w:spacing w:line="360" w:lineRule="exact"/>
        <w:ind w:firstLine="482"/>
        <w:rPr>
          <w:color w:val="auto"/>
          <w:szCs w:val="21"/>
          <w:highlight w:val="none"/>
        </w:rPr>
      </w:pPr>
      <w:r>
        <w:rPr>
          <w:rFonts w:hint="eastAsia"/>
          <w:color w:val="auto"/>
          <w:szCs w:val="21"/>
          <w:highlight w:val="none"/>
        </w:rPr>
        <w:t>法定代表人：　　　　　　　　　               　　　法定代表人：</w:t>
      </w:r>
    </w:p>
    <w:p>
      <w:pPr>
        <w:autoSpaceDE w:val="0"/>
        <w:autoSpaceDN w:val="0"/>
        <w:spacing w:line="360" w:lineRule="exact"/>
        <w:ind w:firstLine="482"/>
        <w:rPr>
          <w:color w:val="auto"/>
          <w:szCs w:val="21"/>
          <w:highlight w:val="none"/>
        </w:rPr>
      </w:pPr>
      <w:r>
        <w:rPr>
          <w:rFonts w:hint="eastAsia"/>
          <w:color w:val="auto"/>
          <w:szCs w:val="21"/>
          <w:highlight w:val="none"/>
        </w:rPr>
        <w:t>地址：　　　　　　　　　　　　　               　　地址：</w:t>
      </w:r>
    </w:p>
    <w:p>
      <w:pPr>
        <w:autoSpaceDE w:val="0"/>
        <w:autoSpaceDN w:val="0"/>
        <w:spacing w:line="360" w:lineRule="exact"/>
        <w:ind w:firstLine="482"/>
        <w:rPr>
          <w:color w:val="auto"/>
          <w:szCs w:val="21"/>
          <w:highlight w:val="none"/>
        </w:rPr>
      </w:pPr>
      <w:r>
        <w:rPr>
          <w:rFonts w:hint="eastAsia"/>
          <w:color w:val="auto"/>
          <w:szCs w:val="21"/>
          <w:highlight w:val="none"/>
        </w:rPr>
        <w:t>电话：　　　　　　　　　　　　　　　               电话：</w:t>
      </w:r>
    </w:p>
    <w:p>
      <w:pPr>
        <w:autoSpaceDE w:val="0"/>
        <w:autoSpaceDN w:val="0"/>
        <w:spacing w:line="360" w:lineRule="exact"/>
        <w:ind w:firstLine="482"/>
        <w:rPr>
          <w:color w:val="auto"/>
          <w:szCs w:val="21"/>
          <w:highlight w:val="none"/>
        </w:rPr>
      </w:pPr>
      <w:r>
        <w:rPr>
          <w:rFonts w:hint="eastAsia"/>
          <w:color w:val="auto"/>
          <w:szCs w:val="21"/>
          <w:highlight w:val="none"/>
        </w:rPr>
        <w:t>年　月　日　　　　　　　　　　　　　               年　月　日</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spacing w:line="360" w:lineRule="auto"/>
        <w:ind w:firstLine="4410" w:firstLineChars="2100"/>
        <w:rPr>
          <w:color w:val="auto"/>
          <w:highlight w:val="none"/>
        </w:rPr>
      </w:pPr>
    </w:p>
    <w:p>
      <w:pPr>
        <w:rPr>
          <w:rFonts w:asciiTheme="minorEastAsia" w:hAnsiTheme="minorEastAsia" w:eastAsiaTheme="minorEastAsia"/>
          <w:b/>
          <w:color w:val="auto"/>
          <w:sz w:val="36"/>
          <w:szCs w:val="36"/>
          <w:highlight w:val="none"/>
        </w:rPr>
      </w:pPr>
      <w:bookmarkStart w:id="470" w:name="_Toc101280597"/>
      <w:r>
        <w:rPr>
          <w:rFonts w:hint="eastAsia"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响应文件格式</w:t>
      </w:r>
      <w:bookmarkEnd w:id="143"/>
      <w:bookmarkEnd w:id="470"/>
    </w:p>
    <w:p>
      <w:pPr>
        <w:rPr>
          <w:rFonts w:asciiTheme="minorEastAsia" w:hAnsiTheme="minorEastAsia" w:eastAsiaTheme="minorEastAsia"/>
          <w:b/>
          <w:color w:val="auto"/>
          <w:sz w:val="30"/>
          <w:szCs w:val="30"/>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adjustRightInd w:val="0"/>
        <w:snapToGrid w:val="0"/>
        <w:spacing w:line="312" w:lineRule="auto"/>
        <w:ind w:right="480"/>
        <w:jc w:val="center"/>
        <w:rPr>
          <w:rFonts w:ascii="宋体" w:hAnsi="宋体"/>
          <w:b/>
          <w:color w:val="auto"/>
          <w:kern w:val="0"/>
          <w:sz w:val="32"/>
          <w:szCs w:val="32"/>
          <w:highlight w:val="none"/>
          <w:lang w:val="zh-CN"/>
        </w:rPr>
      </w:pPr>
      <w:bookmarkStart w:id="471" w:name="_Toc31708_WPSOffice_Level1"/>
      <w:bookmarkStart w:id="472" w:name="_Toc30723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471"/>
      <w:bookmarkEnd w:id="472"/>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台州市第一中学食堂二楼备餐间、洗碗间和新疆班卫生间改造工程项目</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ZYZFCG〔2025〕017</w:t>
      </w:r>
      <w:r>
        <w:rPr>
          <w:rFonts w:hint="eastAsia" w:ascii="宋体" w:hAnsi="宋体" w:cs="仿宋_GB2312"/>
          <w:bCs/>
          <w:color w:val="auto"/>
          <w:kern w:val="0"/>
          <w:sz w:val="24"/>
          <w:highlight w:val="none"/>
          <w:lang w:val="zh-CN"/>
        </w:rPr>
        <w:t>）</w:t>
      </w:r>
      <w:r>
        <w:rPr>
          <w:rFonts w:hint="eastAsia" w:ascii="宋体" w:hAnsi="宋体" w:cs="宋体"/>
          <w:color w:val="auto"/>
          <w:kern w:val="0"/>
          <w:sz w:val="24"/>
          <w:highlight w:val="none"/>
        </w:rPr>
        <w:t>的竞争性磋商，为此，我公司就本次响应有关事项郑重声明如下：</w:t>
      </w:r>
    </w:p>
    <w:p>
      <w:pPr>
        <w:numPr>
          <w:ilvl w:val="0"/>
          <w:numId w:val="9"/>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pPr>
        <w:numPr>
          <w:ilvl w:val="0"/>
          <w:numId w:val="9"/>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我公司在参与响应前已详细审查了采购文件和所有相关资料，我方完全知悉并认为此采购文件没有倾向性，也没有存在排斥潜在响应供应商的内容，我方对采购文件的所有内容没有任何异议，不申请澄清和质疑。</w:t>
      </w:r>
    </w:p>
    <w:p>
      <w:pPr>
        <w:numPr>
          <w:ilvl w:val="0"/>
          <w:numId w:val="9"/>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响应货物、资料、技术、服务或其任何一部分时，享有不受限制的无偿使用权，如有第三方向采购人提出侵犯其专利权、商标权或其它知识产权的主张，该责任由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响应报价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w:t>
      </w:r>
      <w:r>
        <w:rPr>
          <w:rFonts w:hint="eastAsia" w:ascii="宋体" w:hAnsi="宋体" w:cs="宋体"/>
          <w:color w:val="auto"/>
          <w:kern w:val="0"/>
          <w:sz w:val="24"/>
          <w:highlight w:val="none"/>
        </w:rPr>
        <w:t>除在响应文件中明确拒绝之外，均接受磋商文件中的全部条件，</w:t>
      </w:r>
      <w:r>
        <w:rPr>
          <w:rFonts w:hint="eastAsia" w:ascii="宋体" w:hAnsi="宋体" w:cs="宋体"/>
          <w:color w:val="auto"/>
          <w:kern w:val="0"/>
          <w:sz w:val="24"/>
          <w:highlight w:val="none"/>
          <w:lang w:val="af-ZA"/>
        </w:rPr>
        <w:t>不降低合同约定的产品质量和服务，不擅自变更、中止、终止合同，或拒绝履行合同义务；</w:t>
      </w:r>
    </w:p>
    <w:p>
      <w:pPr>
        <w:snapToGrid w:val="0"/>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供应商名称(电子印章)：</w:t>
      </w:r>
    </w:p>
    <w:p>
      <w:pPr>
        <w:adjustRightInd w:val="0"/>
        <w:snapToGrid w:val="0"/>
        <w:spacing w:line="360" w:lineRule="auto"/>
        <w:ind w:left="5281" w:leftChars="114" w:hanging="5042" w:hangingChars="2101"/>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附件2</w:t>
      </w:r>
    </w:p>
    <w:p>
      <w:pPr>
        <w:spacing w:line="360" w:lineRule="auto"/>
        <w:ind w:firstLine="321" w:firstLineChars="100"/>
        <w:jc w:val="center"/>
        <w:rPr>
          <w:rFonts w:hAnsi="宋体"/>
          <w:b/>
          <w:color w:val="auto"/>
          <w:sz w:val="32"/>
          <w:szCs w:val="32"/>
          <w:highlight w:val="none"/>
          <w:u w:val="single"/>
        </w:rPr>
      </w:pPr>
      <w:bookmarkStart w:id="473" w:name="_Toc6870_WPSOffice_Level1"/>
      <w:bookmarkStart w:id="474"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73"/>
      <w:bookmarkEnd w:id="474"/>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cs="宋体"/>
          <w:color w:val="auto"/>
          <w:kern w:val="0"/>
          <w:sz w:val="24"/>
          <w:highlight w:val="none"/>
          <w:u w:val="single"/>
          <w:lang w:eastAsia="zh-CN"/>
        </w:rPr>
        <w:t>台州市第一中学食堂二楼备餐间、洗碗间和新疆班卫生间改造工程项目</w:t>
      </w:r>
      <w:r>
        <w:rPr>
          <w:rFonts w:hint="eastAsia" w:hAnsi="宋体" w:cs="仿宋_GB2312"/>
          <w:bCs/>
          <w:color w:val="auto"/>
          <w:kern w:val="0"/>
          <w:sz w:val="24"/>
          <w:highlight w:val="none"/>
          <w:lang w:val="zh-CN"/>
        </w:rPr>
        <w:t>（项目编号：</w:t>
      </w:r>
      <w:r>
        <w:rPr>
          <w:rFonts w:hint="eastAsia" w:hAnsi="宋体" w:cs="仿宋_GB2312"/>
          <w:bCs/>
          <w:color w:val="auto"/>
          <w:kern w:val="0"/>
          <w:sz w:val="24"/>
          <w:highlight w:val="none"/>
          <w:u w:val="single"/>
          <w:lang w:eastAsia="zh-CN"/>
        </w:rPr>
        <w:t>ZYZFCG〔2025〕017</w:t>
      </w:r>
      <w:r>
        <w:rPr>
          <w:rFonts w:hint="eastAsia" w:hAnsi="宋体" w:cs="仿宋_GB2312"/>
          <w:bCs/>
          <w:color w:val="auto"/>
          <w:kern w:val="0"/>
          <w:sz w:val="24"/>
          <w:highlight w:val="none"/>
          <w:lang w:val="zh-CN"/>
        </w:rPr>
        <w:t>）</w:t>
      </w:r>
      <w:r>
        <w:rPr>
          <w:rFonts w:hAnsi="宋体"/>
          <w:color w:val="auto"/>
          <w:sz w:val="24"/>
          <w:highlight w:val="none"/>
        </w:rPr>
        <w:t>的采购活动，并代表我方全权办理针对上述项目的</w:t>
      </w:r>
      <w:r>
        <w:rPr>
          <w:rFonts w:hint="eastAsia" w:hAnsi="宋体"/>
          <w:color w:val="auto"/>
          <w:sz w:val="24"/>
          <w:highlight w:val="none"/>
        </w:rPr>
        <w:t>磋商</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供应商全称（电子印章）：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p>
    <w:p>
      <w:pPr>
        <w:rPr>
          <w:rFonts w:ascii="宋体" w:hAnsi="宋体"/>
          <w:b/>
          <w:color w:val="auto"/>
          <w:kern w:val="0"/>
          <w:sz w:val="28"/>
          <w:szCs w:val="28"/>
          <w:highlight w:val="none"/>
        </w:rPr>
      </w:pPr>
      <w:bookmarkStart w:id="475" w:name="_Toc20519_WPSOffice_Level1"/>
      <w:bookmarkStart w:id="476" w:name="_Toc351_WPSOffice_Level1"/>
      <w:r>
        <w:rPr>
          <w:rFonts w:hint="eastAsia" w:ascii="宋体" w:hAnsi="宋体"/>
          <w:b/>
          <w:color w:val="auto"/>
          <w:kern w:val="0"/>
          <w:sz w:val="28"/>
          <w:szCs w:val="28"/>
          <w:highlight w:val="none"/>
        </w:rPr>
        <w:t>附件</w:t>
      </w:r>
      <w:bookmarkStart w:id="477" w:name="_Toc51489575"/>
      <w:r>
        <w:rPr>
          <w:rFonts w:hint="eastAsia" w:ascii="宋体" w:hAnsi="宋体"/>
          <w:b/>
          <w:color w:val="auto"/>
          <w:kern w:val="0"/>
          <w:sz w:val="28"/>
          <w:szCs w:val="28"/>
          <w:highlight w:val="none"/>
        </w:rPr>
        <w:t>3</w:t>
      </w:r>
    </w:p>
    <w:p>
      <w:pPr>
        <w:spacing w:after="240" w:afterLines="100" w:line="480" w:lineRule="auto"/>
        <w:jc w:val="center"/>
        <w:rPr>
          <w:rFonts w:ascii="宋体" w:hAnsi="宋体" w:cs="宋体"/>
          <w:b/>
          <w:bCs/>
          <w:color w:val="auto"/>
          <w:kern w:val="0"/>
          <w:sz w:val="32"/>
          <w:szCs w:val="32"/>
          <w:highlight w:val="none"/>
          <w:lang w:val="zh-CN"/>
        </w:rPr>
      </w:pPr>
    </w:p>
    <w:bookmarkEnd w:id="477"/>
    <w:p>
      <w:pPr>
        <w:spacing w:after="240" w:afterLines="100" w:line="360" w:lineRule="auto"/>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符合参与政府采购活动的资格条件、具备良好的商业信誉和健全的财务会计制度并且没有税收缴纳、社会保障等书面方面的失信记录的承诺函</w:t>
      </w:r>
    </w:p>
    <w:p>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（项目名称）采购活动，根据采购文件要求，现郑重承诺：</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1.我公司符合参与政府采购活动的资格条件，不存在税收缴纳、社会保障等方面的失信记录。</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2.我公司具有良好的商业信誉和健全的财务会计制度。</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pPr>
        <w:widowControl/>
        <w:jc w:val="left"/>
        <w:rPr>
          <w:b/>
          <w:bCs/>
          <w:color w:val="auto"/>
          <w:sz w:val="32"/>
          <w:szCs w:val="32"/>
          <w:highlight w:val="none"/>
          <w:lang w:val="zh-CN"/>
        </w:rPr>
      </w:pPr>
    </w:p>
    <w:p>
      <w:pPr>
        <w:widowControl/>
        <w:jc w:val="left"/>
        <w:rPr>
          <w:rFonts w:ascii="宋体" w:hAnsi="Courier New"/>
          <w:b/>
          <w:bCs/>
          <w:color w:val="auto"/>
          <w:sz w:val="24"/>
          <w:szCs w:val="20"/>
          <w:highlight w:val="none"/>
          <w:lang w:val="zh-CN"/>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widowControl/>
        <w:jc w:val="left"/>
        <w:rPr>
          <w:rFonts w:ascii="宋体" w:hAnsi="宋体"/>
          <w:b/>
          <w:color w:val="auto"/>
          <w:sz w:val="24"/>
          <w:szCs w:val="20"/>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附件4</w:t>
      </w:r>
    </w:p>
    <w:p>
      <w:pPr>
        <w:spacing w:after="240" w:afterLines="100"/>
        <w:jc w:val="center"/>
        <w:rPr>
          <w:rFonts w:ascii="宋体" w:hAnsi="宋体" w:cs="仿宋_GB2312"/>
          <w:b/>
          <w:bCs/>
          <w:color w:val="auto"/>
          <w:kern w:val="0"/>
          <w:sz w:val="24"/>
          <w:highlight w:val="none"/>
          <w:lang w:val="zh-CN"/>
        </w:rPr>
      </w:pPr>
    </w:p>
    <w:p>
      <w:pPr>
        <w:spacing w:after="240" w:afterLines="100" w:line="480" w:lineRule="auto"/>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具有履行合同所必须的设备和专业技术能力的承诺函</w:t>
      </w:r>
    </w:p>
    <w:p>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p>
    <w:p>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lang w:eastAsia="zh-CN"/>
        </w:rPr>
        <w:t>台州市第一中学食堂二楼备餐间、洗碗间和新疆班卫生间改造工程项目</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ZYZFCG〔2025〕017</w:t>
      </w:r>
      <w:r>
        <w:rPr>
          <w:rFonts w:hint="eastAsia" w:ascii="宋体" w:hAnsi="宋体" w:cs="仿宋_GB2312"/>
          <w:bCs/>
          <w:color w:val="auto"/>
          <w:kern w:val="0"/>
          <w:sz w:val="24"/>
          <w:highlight w:val="none"/>
          <w:lang w:val="zh-CN"/>
        </w:rPr>
        <w:t>）竞争性磋商，我方在完全理解本项目采购的技术要求、商务条款及其他内容后，决定参与该项目</w:t>
      </w:r>
      <w:r>
        <w:rPr>
          <w:rFonts w:hint="eastAsia" w:ascii="宋体" w:hAnsi="宋体"/>
          <w:color w:val="auto"/>
          <w:sz w:val="24"/>
          <w:highlight w:val="none"/>
        </w:rPr>
        <w:t>的响应活动。并承诺，如成交，我方将提供足够的设备和专业技术能力保证本合同履行。</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widowControl/>
        <w:jc w:val="left"/>
        <w:rPr>
          <w:b/>
          <w:bCs/>
          <w:color w:val="auto"/>
          <w:sz w:val="32"/>
          <w:szCs w:val="32"/>
          <w:highlight w:val="none"/>
          <w:lang w:val="zh-CN"/>
        </w:rPr>
      </w:pP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附件5</w:t>
      </w:r>
    </w:p>
    <w:p>
      <w:pPr>
        <w:spacing w:after="240" w:afterLines="100"/>
        <w:jc w:val="center"/>
        <w:rPr>
          <w:rFonts w:ascii="宋体" w:hAnsi="宋体" w:cs="仿宋_GB2312"/>
          <w:b/>
          <w:bCs/>
          <w:color w:val="auto"/>
          <w:kern w:val="0"/>
          <w:sz w:val="24"/>
          <w:highlight w:val="none"/>
          <w:lang w:val="zh-CN"/>
        </w:rPr>
      </w:pPr>
    </w:p>
    <w:p>
      <w:pPr>
        <w:pStyle w:val="51"/>
        <w:spacing w:line="360" w:lineRule="auto"/>
        <w:jc w:val="center"/>
        <w:rPr>
          <w:rFonts w:ascii="宋体" w:hAnsi="宋体"/>
          <w:b/>
          <w:color w:val="auto"/>
          <w:sz w:val="32"/>
          <w:szCs w:val="32"/>
          <w:highlight w:val="none"/>
          <w:lang w:val="en-GB"/>
        </w:rPr>
      </w:pP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51"/>
        <w:spacing w:line="360" w:lineRule="auto"/>
        <w:jc w:val="center"/>
        <w:rPr>
          <w:rFonts w:ascii="宋体" w:hAnsi="宋体"/>
          <w:b/>
          <w:color w:val="auto"/>
          <w:sz w:val="24"/>
          <w:highlight w:val="none"/>
          <w:lang w:val="en-GB"/>
        </w:rPr>
      </w:pP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（标的名称），属于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（采购文件中明确的所属行业）；承建（承接）企业为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（企业名称），从业人员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（中型企业、小型企业、微型企业）；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（标的名称），属于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（采购文件中明确的所属行业）；承建（承接）企业为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（企业名称），从业人员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（中型企业、小型企业、微型企业）；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ind w:firstLine="5040" w:firstLineChars="2000"/>
        <w:rPr>
          <w:rFonts w:ascii="宋体" w:hAnsi="宋体"/>
          <w:color w:val="auto"/>
          <w:spacing w:val="6"/>
          <w:sz w:val="24"/>
          <w:highlight w:val="none"/>
        </w:rPr>
      </w:pPr>
      <w:r>
        <w:rPr>
          <w:rFonts w:hint="eastAsia" w:ascii="宋体" w:hAnsi="宋体"/>
          <w:color w:val="auto"/>
          <w:spacing w:val="6"/>
          <w:sz w:val="24"/>
          <w:highlight w:val="none"/>
        </w:rPr>
        <w:t>企业名称（盖章）：</w:t>
      </w:r>
    </w:p>
    <w:p>
      <w:pPr>
        <w:pStyle w:val="51"/>
        <w:wordWrap w:val="0"/>
        <w:spacing w:line="360" w:lineRule="auto"/>
        <w:ind w:firstLine="5040" w:firstLineChars="2000"/>
        <w:jc w:val="right"/>
        <w:rPr>
          <w:rFonts w:ascii="宋体" w:hAnsi="宋体" w:cs="宋体"/>
          <w:color w:val="auto"/>
          <w:sz w:val="24"/>
          <w:highlight w:val="none"/>
        </w:rPr>
      </w:pPr>
      <w:r>
        <w:rPr>
          <w:rFonts w:hint="eastAsia" w:ascii="宋体" w:hAnsi="宋体"/>
          <w:color w:val="auto"/>
          <w:spacing w:val="6"/>
          <w:sz w:val="24"/>
          <w:highlight w:val="none"/>
        </w:rPr>
        <w:t>日期：××年××月××日</w:t>
      </w:r>
    </w:p>
    <w:p>
      <w:pPr>
        <w:spacing w:line="360" w:lineRule="auto"/>
        <w:rPr>
          <w:rFonts w:ascii="宋体" w:hAnsi="宋体" w:cs="宋体"/>
          <w:color w:val="auto"/>
          <w:sz w:val="24"/>
          <w:highlight w:val="none"/>
        </w:rPr>
      </w:pPr>
    </w:p>
    <w:p>
      <w:pPr>
        <w:pStyle w:val="7"/>
        <w:ind w:right="1800" w:firstLine="542"/>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208915</wp:posOffset>
                </wp:positionV>
                <wp:extent cx="298450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45pt;height:0pt;width:235pt;z-index:251662336;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CuS9MAAAAGAQAADwAAAAAAAAABACAAAAAiAAAAZHJzL2Rvd25yZXYueG1sUEsBAhQAFAAA&#10;AAgAh07iQJxs7d70AQAA1AMAAA4AAAAAAAAAAQAgAAAAIgEAAGRycy9lMm9Eb2MueG1sUEsFBgAA&#10;AAAGAAYAWQEAAIgFA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spacing w:line="360" w:lineRule="auto"/>
        <w:rPr>
          <w:rFonts w:ascii="宋体" w:hAnsi="宋体" w:cs="宋体"/>
          <w:color w:val="auto"/>
          <w:sz w:val="24"/>
          <w:highlight w:val="none"/>
        </w:rPr>
        <w:sectPr>
          <w:headerReference r:id="rId6" w:type="first"/>
          <w:headerReference r:id="rId5" w:type="default"/>
          <w:footerReference r:id="rId7" w:type="default"/>
          <w:type w:val="continuous"/>
          <w:pgSz w:w="11906" w:h="16838"/>
          <w:pgMar w:top="1276" w:right="1418" w:bottom="1440" w:left="1418" w:header="851" w:footer="851" w:gutter="0"/>
          <w:cols w:space="720" w:num="1"/>
          <w:docGrid w:linePitch="312" w:charSpace="0"/>
        </w:sectPr>
      </w:pPr>
    </w:p>
    <w:p>
      <w:pPr>
        <w:pStyle w:val="15"/>
        <w:spacing w:line="360" w:lineRule="auto"/>
        <w:jc w:val="center"/>
        <w:outlineLvl w:val="1"/>
        <w:rPr>
          <w:rFonts w:hAnsi="宋体" w:cs="宋体"/>
          <w:b/>
          <w:color w:val="auto"/>
          <w:sz w:val="32"/>
          <w:szCs w:val="32"/>
          <w:highlight w:val="none"/>
          <w:lang w:val="en-GB"/>
        </w:rPr>
      </w:pPr>
    </w:p>
    <w:p>
      <w:pPr>
        <w:spacing w:line="360" w:lineRule="auto"/>
        <w:rPr>
          <w:rFonts w:ascii="宋体" w:hAnsi="宋体" w:cs="宋体"/>
          <w:color w:val="auto"/>
          <w:sz w:val="24"/>
          <w:highlight w:val="none"/>
        </w:rPr>
        <w:sectPr>
          <w:headerReference r:id="rId9" w:type="first"/>
          <w:headerReference r:id="rId8" w:type="default"/>
          <w:footerReference r:id="rId10" w:type="default"/>
          <w:type w:val="continuous"/>
          <w:pgSz w:w="11906" w:h="16838"/>
          <w:pgMar w:top="1276" w:right="1474" w:bottom="1440" w:left="1587" w:header="851" w:footer="851" w:gutter="0"/>
          <w:cols w:space="720" w:num="1"/>
          <w:docGrid w:linePitch="312" w:charSpace="0"/>
        </w:sectPr>
      </w:pP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pPr>
        <w:pStyle w:val="16"/>
        <w:ind w:left="5250"/>
        <w:rPr>
          <w:color w:val="auto"/>
          <w:sz w:val="24"/>
          <w:szCs w:val="24"/>
          <w:highlight w:val="none"/>
          <w:lang w:val="en-GB"/>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  ：</w:t>
      </w: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w:t>
      </w:r>
      <w:bookmarkEnd w:id="475"/>
      <w:bookmarkEnd w:id="476"/>
      <w:r>
        <w:rPr>
          <w:rFonts w:hint="eastAsia" w:ascii="宋体" w:hAnsi="宋体"/>
          <w:b/>
          <w:color w:val="auto"/>
          <w:kern w:val="0"/>
          <w:sz w:val="28"/>
          <w:szCs w:val="28"/>
          <w:highlight w:val="none"/>
        </w:rPr>
        <w:t>6</w:t>
      </w:r>
    </w:p>
    <w:p>
      <w:pPr>
        <w:jc w:val="center"/>
        <w:rPr>
          <w:b/>
          <w:bCs/>
          <w:color w:val="auto"/>
          <w:sz w:val="32"/>
          <w:szCs w:val="32"/>
          <w:highlight w:val="none"/>
        </w:rPr>
      </w:pPr>
      <w:bookmarkStart w:id="478" w:name="_Toc11308_WPSOffice_Level1"/>
      <w:bookmarkStart w:id="479" w:name="_Toc5889_WPSOffice_Level1"/>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478"/>
      <w:bookmarkEnd w:id="479"/>
    </w:p>
    <w:p>
      <w:pPr>
        <w:pStyle w:val="7"/>
        <w:widowControl/>
        <w:adjustRightInd w:val="0"/>
        <w:snapToGrid w:val="0"/>
        <w:spacing w:line="360" w:lineRule="auto"/>
        <w:ind w:firstLine="480" w:firstLineChars="200"/>
        <w:rPr>
          <w:rFonts w:ascii="宋体" w:hAnsi="宋体" w:cs="宋体"/>
          <w:color w:val="auto"/>
          <w:sz w:val="24"/>
          <w:szCs w:val="24"/>
          <w:highlight w:val="none"/>
        </w:rPr>
      </w:pP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（1）评分索引表（格式见附件）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（3）供应商基本情况表（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（5）《项目组成员一览表》（</w:t>
      </w:r>
      <w:r>
        <w:rPr>
          <w:rFonts w:ascii="宋体" w:hAnsi="宋体"/>
          <w:color w:val="auto"/>
          <w:sz w:val="24"/>
          <w:highlight w:val="none"/>
        </w:rPr>
        <w:t>格式</w:t>
      </w:r>
      <w:r>
        <w:rPr>
          <w:rFonts w:hint="eastAsia" w:ascii="宋体" w:hAnsi="宋体"/>
          <w:color w:val="auto"/>
          <w:sz w:val="24"/>
          <w:highlight w:val="none"/>
        </w:rPr>
        <w:t>见附件）及相关证明材料</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（6）商务与技术</w:t>
      </w:r>
      <w:r>
        <w:rPr>
          <w:rFonts w:ascii="宋体" w:hAnsi="宋体"/>
          <w:color w:val="auto"/>
          <w:sz w:val="24"/>
          <w:highlight w:val="none"/>
        </w:rPr>
        <w:t>需求响应表（填制时对应第</w:t>
      </w:r>
      <w:r>
        <w:rPr>
          <w:rFonts w:hint="eastAsia" w:ascii="宋体" w:hAnsi="宋体"/>
          <w:color w:val="auto"/>
          <w:sz w:val="24"/>
          <w:highlight w:val="none"/>
        </w:rPr>
        <w:t>三章</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格式</w:t>
      </w:r>
      <w:r>
        <w:rPr>
          <w:rFonts w:hint="eastAsia" w:ascii="宋体" w:hAnsi="宋体"/>
          <w:color w:val="auto"/>
          <w:sz w:val="24"/>
          <w:highlight w:val="none"/>
        </w:rPr>
        <w:t>见附件）；</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（7）</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（8）施工方案及服务承诺（对应第四章的评分标准相关评审细则内容编写，格式自拟）</w:t>
      </w:r>
      <w:r>
        <w:rPr>
          <w:rFonts w:ascii="宋体" w:hAnsi="宋体"/>
          <w:color w:val="auto"/>
          <w:kern w:val="0"/>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spacing w:line="360" w:lineRule="auto"/>
        <w:rPr>
          <w:rFonts w:ascii="宋体" w:hAnsi="宋体"/>
          <w:b/>
          <w:color w:val="auto"/>
          <w:sz w:val="24"/>
          <w:highlight w:val="none"/>
        </w:rPr>
      </w:pPr>
    </w:p>
    <w:p>
      <w:pPr>
        <w:ind w:firstLine="843" w:firstLineChars="300"/>
        <w:rPr>
          <w:rFonts w:ascii="宋体" w:hAnsi="宋体"/>
          <w:color w:val="auto"/>
          <w:spacing w:val="40"/>
          <w:sz w:val="52"/>
          <w:szCs w:val="52"/>
          <w:highlight w:val="none"/>
        </w:rPr>
      </w:pPr>
      <w:r>
        <w:rPr>
          <w:rFonts w:ascii="宋体" w:hAnsi="宋体"/>
          <w:b/>
          <w:color w:val="auto"/>
          <w:sz w:val="28"/>
          <w:highlight w:val="none"/>
        </w:rPr>
        <w:t>注：格式供参考，目录内容以供应商实际提供为准</w:t>
      </w:r>
      <w:r>
        <w:rPr>
          <w:rFonts w:ascii="宋体" w:hAnsi="宋体"/>
          <w:b/>
          <w:color w:val="auto"/>
          <w:sz w:val="28"/>
          <w:highlight w:val="none"/>
        </w:rPr>
        <w:br w:type="page"/>
      </w:r>
      <w:r>
        <w:rPr>
          <w:rFonts w:hint="eastAsia" w:ascii="宋体" w:hAnsi="宋体"/>
          <w:b/>
          <w:color w:val="auto"/>
          <w:kern w:val="0"/>
          <w:sz w:val="28"/>
          <w:szCs w:val="28"/>
          <w:highlight w:val="none"/>
        </w:rPr>
        <w:t>附件7</w:t>
      </w:r>
    </w:p>
    <w:p>
      <w:pPr>
        <w:widowControl/>
        <w:jc w:val="center"/>
        <w:rPr>
          <w:rFonts w:ascii="宋体" w:hAnsi="宋体"/>
          <w:b/>
          <w:color w:val="auto"/>
          <w:sz w:val="28"/>
          <w:highlight w:val="none"/>
        </w:rPr>
      </w:pPr>
      <w:r>
        <w:rPr>
          <w:rFonts w:ascii="宋体" w:hAnsi="宋体"/>
          <w:b/>
          <w:color w:val="auto"/>
          <w:sz w:val="28"/>
          <w:highlight w:val="none"/>
        </w:rPr>
        <w:t>评分索引表</w:t>
      </w:r>
    </w:p>
    <w:p>
      <w:pPr>
        <w:widowControl/>
        <w:jc w:val="left"/>
        <w:rPr>
          <w:rFonts w:ascii="宋体" w:hAnsi="宋体"/>
          <w:b/>
          <w:color w:val="auto"/>
          <w:sz w:val="28"/>
          <w:highlight w:val="none"/>
        </w:rPr>
      </w:pP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6060"/>
        <w:gridCol w:w="708"/>
        <w:gridCol w:w="852"/>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blHeader/>
          <w:jc w:val="center"/>
        </w:trPr>
        <w:tc>
          <w:tcPr>
            <w:tcW w:w="459" w:type="pct"/>
            <w:shd w:val="pct20" w:color="auto" w:fill="auto"/>
            <w:vAlign w:val="center"/>
          </w:tcPr>
          <w:p>
            <w:pPr>
              <w:widowControl/>
              <w:jc w:val="center"/>
              <w:rPr>
                <w:rFonts w:ascii="宋体" w:hAnsi="宋体"/>
                <w:b/>
                <w:color w:val="auto"/>
                <w:szCs w:val="21"/>
                <w:highlight w:val="none"/>
              </w:rPr>
            </w:pPr>
            <w:r>
              <w:rPr>
                <w:rFonts w:ascii="宋体" w:hAnsi="宋体"/>
                <w:b/>
                <w:color w:val="auto"/>
                <w:kern w:val="0"/>
                <w:sz w:val="28"/>
                <w:szCs w:val="28"/>
                <w:highlight w:val="none"/>
              </w:rPr>
              <w:br w:type="page"/>
            </w:r>
            <w:r>
              <w:rPr>
                <w:rFonts w:hint="eastAsia" w:ascii="宋体" w:hAnsi="宋体"/>
                <w:b/>
                <w:color w:val="auto"/>
                <w:szCs w:val="21"/>
                <w:highlight w:val="none"/>
              </w:rPr>
              <w:t>评分</w:t>
            </w:r>
          </w:p>
          <w:p>
            <w:pPr>
              <w:widowControl/>
              <w:jc w:val="center"/>
              <w:rPr>
                <w:rFonts w:ascii="宋体" w:hAnsi="宋体" w:cs="Arial"/>
                <w:b/>
                <w:bCs/>
                <w:color w:val="auto"/>
                <w:szCs w:val="21"/>
                <w:highlight w:val="none"/>
              </w:rPr>
            </w:pPr>
            <w:r>
              <w:rPr>
                <w:rFonts w:hint="eastAsia" w:ascii="宋体" w:hAnsi="宋体"/>
                <w:b/>
                <w:color w:val="auto"/>
                <w:szCs w:val="21"/>
                <w:highlight w:val="none"/>
              </w:rPr>
              <w:t>项目</w:t>
            </w:r>
          </w:p>
        </w:tc>
        <w:tc>
          <w:tcPr>
            <w:tcW w:w="3263" w:type="pct"/>
            <w:shd w:val="pct20" w:color="auto" w:fill="auto"/>
            <w:vAlign w:val="center"/>
          </w:tcPr>
          <w:p>
            <w:pPr>
              <w:widowControl/>
              <w:jc w:val="center"/>
              <w:rPr>
                <w:rFonts w:ascii="宋体" w:hAnsi="宋体"/>
                <w:b/>
                <w:color w:val="auto"/>
                <w:szCs w:val="21"/>
                <w:highlight w:val="none"/>
              </w:rPr>
            </w:pPr>
            <w:r>
              <w:rPr>
                <w:rFonts w:hint="eastAsia" w:ascii="宋体" w:hAnsi="宋体"/>
                <w:b/>
                <w:color w:val="auto"/>
                <w:szCs w:val="21"/>
                <w:highlight w:val="none"/>
              </w:rPr>
              <w:t>评分细则</w:t>
            </w:r>
          </w:p>
        </w:tc>
        <w:tc>
          <w:tcPr>
            <w:tcW w:w="381" w:type="pct"/>
            <w:shd w:val="pct20" w:color="auto" w:fill="auto"/>
            <w:vAlign w:val="center"/>
          </w:tcPr>
          <w:p>
            <w:pPr>
              <w:widowControl/>
              <w:jc w:val="center"/>
              <w:rPr>
                <w:rFonts w:ascii="宋体" w:hAnsi="宋体" w:cs="Arial"/>
                <w:b/>
                <w:bCs/>
                <w:color w:val="auto"/>
                <w:szCs w:val="21"/>
                <w:highlight w:val="none"/>
              </w:rPr>
            </w:pPr>
            <w:r>
              <w:rPr>
                <w:rFonts w:hint="eastAsia" w:ascii="宋体" w:hAnsi="宋体" w:cs="Arial"/>
                <w:b/>
                <w:bCs/>
                <w:color w:val="auto"/>
                <w:szCs w:val="21"/>
                <w:highlight w:val="none"/>
              </w:rPr>
              <w:t>分值</w:t>
            </w:r>
          </w:p>
        </w:tc>
        <w:tc>
          <w:tcPr>
            <w:tcW w:w="459" w:type="pct"/>
            <w:shd w:val="pct20" w:color="auto" w:fill="auto"/>
            <w:vAlign w:val="center"/>
          </w:tcPr>
          <w:p>
            <w:pPr>
              <w:widowControl/>
              <w:jc w:val="center"/>
              <w:rPr>
                <w:rFonts w:ascii="宋体" w:hAnsi="宋体" w:cs="Arial"/>
                <w:b/>
                <w:bCs/>
                <w:color w:val="auto"/>
                <w:szCs w:val="21"/>
                <w:highlight w:val="none"/>
              </w:rPr>
            </w:pPr>
            <w:r>
              <w:rPr>
                <w:rFonts w:ascii="宋体" w:hAnsi="宋体" w:cs="Arial"/>
                <w:b/>
                <w:bCs/>
                <w:color w:val="auto"/>
                <w:szCs w:val="21"/>
                <w:highlight w:val="none"/>
              </w:rPr>
              <w:t>自评分</w:t>
            </w:r>
          </w:p>
        </w:tc>
        <w:tc>
          <w:tcPr>
            <w:tcW w:w="438" w:type="pct"/>
            <w:shd w:val="pct20" w:color="auto" w:fill="auto"/>
            <w:vAlign w:val="center"/>
          </w:tcPr>
          <w:p>
            <w:pPr>
              <w:widowControl/>
              <w:jc w:val="center"/>
              <w:rPr>
                <w:rFonts w:ascii="宋体" w:hAnsi="宋体" w:cs="Arial"/>
                <w:b/>
                <w:bCs/>
                <w:color w:val="auto"/>
                <w:szCs w:val="21"/>
                <w:highlight w:val="none"/>
              </w:rPr>
            </w:pPr>
            <w:r>
              <w:rPr>
                <w:rFonts w:hint="eastAsia" w:ascii="宋体" w:hAnsi="宋体" w:cs="Arial"/>
                <w:b/>
                <w:bCs/>
                <w:color w:val="auto"/>
                <w:szCs w:val="21"/>
                <w:highlight w:val="none"/>
              </w:rPr>
              <w:t>评审资料对应页码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459" w:type="pct"/>
            <w:tcBorders>
              <w:top w:val="single" w:color="auto" w:sz="4" w:space="0"/>
            </w:tcBorders>
            <w:vAlign w:val="center"/>
          </w:tcPr>
          <w:p>
            <w:pPr>
              <w:widowControl/>
              <w:jc w:val="center"/>
              <w:rPr>
                <w:rFonts w:ascii="宋体" w:hAnsi="宋体"/>
                <w:color w:val="auto"/>
                <w:szCs w:val="21"/>
                <w:highlight w:val="none"/>
              </w:rPr>
            </w:pPr>
            <w:r>
              <w:rPr>
                <w:rFonts w:hint="eastAsia" w:ascii="宋体" w:hAnsi="宋体" w:cs="宋体"/>
                <w:bCs/>
                <w:color w:val="auto"/>
                <w:szCs w:val="21"/>
                <w:highlight w:val="none"/>
              </w:rPr>
              <w:t>响应供应商</w:t>
            </w:r>
            <w:r>
              <w:rPr>
                <w:rFonts w:hint="eastAsia" w:ascii="宋体" w:hAnsi="宋体"/>
                <w:color w:val="auto"/>
                <w:szCs w:val="21"/>
                <w:highlight w:val="none"/>
              </w:rPr>
              <w:t>资信</w:t>
            </w:r>
          </w:p>
        </w:tc>
        <w:tc>
          <w:tcPr>
            <w:tcW w:w="6060" w:type="dxa"/>
            <w:vAlign w:val="center"/>
          </w:tcPr>
          <w:p>
            <w:pPr>
              <w:tabs>
                <w:tab w:val="center" w:pos="3289"/>
              </w:tabs>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tabs>
                <w:tab w:val="center" w:pos="3289"/>
              </w:tabs>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响应供应商</w:t>
            </w:r>
            <w:r>
              <w:rPr>
                <w:rFonts w:hint="eastAsia" w:ascii="宋体" w:hAnsi="宋体" w:eastAsia="宋体" w:cs="宋体"/>
                <w:color w:val="auto"/>
                <w:szCs w:val="21"/>
                <w:highlight w:val="none"/>
              </w:rPr>
              <w:t>具有环境管理体系认证证书、职业健康安全管理体系认证证书、质量管理体系认证证书的，每提供其中一个证书得1分（本项最多得3分）。</w:t>
            </w:r>
          </w:p>
          <w:p>
            <w:pPr>
              <w:adjustRightInd w:val="0"/>
              <w:snapToGrid w:val="0"/>
              <w:rPr>
                <w:rFonts w:ascii="宋体" w:hAnsi="宋体"/>
                <w:b/>
                <w:color w:val="auto"/>
                <w:szCs w:val="21"/>
                <w:highlight w:val="none"/>
              </w:rPr>
            </w:pPr>
            <w:r>
              <w:rPr>
                <w:rFonts w:hint="eastAsia" w:ascii="宋体" w:hAnsi="宋体" w:eastAsia="宋体" w:cs="宋体"/>
                <w:b/>
                <w:color w:val="auto"/>
                <w:szCs w:val="21"/>
                <w:highlight w:val="none"/>
              </w:rPr>
              <w:t>注：需提供有效证书影印件或扫描件和在全国认证认可信息公共服务平台(http://cx.cnca.cn/CertECloud/result/skipResultList）查询到有效的相关证书信息截图，否则不得分。</w:t>
            </w:r>
          </w:p>
        </w:tc>
        <w:tc>
          <w:tcPr>
            <w:tcW w:w="708" w:type="dxa"/>
            <w:vAlign w:val="center"/>
          </w:tcPr>
          <w:p>
            <w:pPr>
              <w:widowControl/>
              <w:jc w:val="center"/>
              <w:rPr>
                <w:rFonts w:ascii="宋体" w:hAnsi="宋体" w:cs="宋体"/>
                <w:color w:val="auto"/>
                <w:szCs w:val="21"/>
                <w:highlight w:val="none"/>
              </w:rPr>
            </w:pPr>
            <w:r>
              <w:rPr>
                <w:rFonts w:hint="eastAsia" w:ascii="宋体" w:hAnsi="宋体" w:eastAsia="宋体" w:cs="宋体"/>
                <w:color w:val="auto"/>
                <w:szCs w:val="21"/>
                <w:highlight w:val="none"/>
              </w:rPr>
              <w:t>0-3</w:t>
            </w:r>
          </w:p>
        </w:tc>
        <w:tc>
          <w:tcPr>
            <w:tcW w:w="459" w:type="pct"/>
            <w:vAlign w:val="center"/>
          </w:tcPr>
          <w:p>
            <w:pPr>
              <w:widowControl/>
              <w:jc w:val="center"/>
              <w:rPr>
                <w:rFonts w:ascii="宋体" w:hAnsi="宋体" w:cs="宋体"/>
                <w:color w:val="auto"/>
                <w:szCs w:val="21"/>
                <w:highlight w:val="none"/>
              </w:rPr>
            </w:pPr>
          </w:p>
        </w:tc>
        <w:tc>
          <w:tcPr>
            <w:tcW w:w="438" w:type="pct"/>
            <w:vAlign w:val="center"/>
          </w:tcPr>
          <w:p>
            <w:pPr>
              <w:widowControl/>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459" w:type="pct"/>
            <w:tcBorders>
              <w:top w:val="single" w:color="auto" w:sz="4" w:space="0"/>
            </w:tcBorders>
            <w:vAlign w:val="center"/>
          </w:tcPr>
          <w:p>
            <w:pPr>
              <w:widowControl/>
              <w:adjustRightInd w:val="0"/>
              <w:snapToGrid w:val="0"/>
              <w:jc w:val="center"/>
              <w:rPr>
                <w:rFonts w:ascii="宋体" w:hAnsi="宋体"/>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业绩</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客观分：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供应商自2022年1月1日以来（以合同签订时间为准）承担过同类项目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装修或改造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施工业绩的，每个得1分，最高得3分。</w:t>
            </w:r>
          </w:p>
          <w:p>
            <w:pPr>
              <w:adjustRightInd w:val="0"/>
              <w:snapToGrid w:val="0"/>
              <w:rPr>
                <w:rFonts w:ascii="宋体" w:hAnsi="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附合同</w:t>
            </w:r>
            <w:r>
              <w:rPr>
                <w:rFonts w:hint="eastAsia" w:ascii="宋体" w:hAnsi="宋体" w:eastAsia="宋体" w:cs="宋体"/>
                <w:b/>
                <w:bCs/>
                <w:color w:val="auto"/>
                <w:szCs w:val="21"/>
                <w:highlight w:val="none"/>
                <w:lang w:eastAsia="zh-Hans"/>
              </w:rPr>
              <w:t>和竣工证明材料</w:t>
            </w:r>
            <w:r>
              <w:rPr>
                <w:rFonts w:hint="eastAsia" w:ascii="宋体" w:hAnsi="宋体" w:eastAsia="宋体" w:cs="宋体"/>
                <w:b/>
                <w:color w:val="auto"/>
                <w:szCs w:val="21"/>
                <w:highlight w:val="none"/>
              </w:rPr>
              <w:t>影印件或扫描件</w:t>
            </w:r>
            <w:r>
              <w:rPr>
                <w:rFonts w:hint="eastAsia" w:ascii="宋体" w:hAnsi="宋体" w:eastAsia="宋体" w:cs="宋体"/>
                <w:b/>
                <w:bCs/>
                <w:color w:val="auto"/>
                <w:szCs w:val="21"/>
                <w:highlight w:val="none"/>
              </w:rPr>
              <w:t>，未提供的不得分。</w:t>
            </w:r>
          </w:p>
        </w:tc>
        <w:tc>
          <w:tcPr>
            <w:tcW w:w="708" w:type="dxa"/>
            <w:vAlign w:val="center"/>
          </w:tcPr>
          <w:p>
            <w:pPr>
              <w:widowControl/>
              <w:adjustRightInd w:val="0"/>
              <w:snapToGrid w:val="0"/>
              <w:jc w:val="center"/>
              <w:rPr>
                <w:rFonts w:ascii="宋体" w:hAnsi="宋体" w:cs="宋体"/>
                <w:color w:val="auto"/>
                <w:szCs w:val="21"/>
                <w:highlight w:val="none"/>
              </w:rPr>
            </w:pPr>
            <w:r>
              <w:rPr>
                <w:rFonts w:hint="eastAsia" w:ascii="宋体" w:hAnsi="宋体" w:eastAsia="宋体" w:cs="宋体"/>
                <w:color w:val="auto"/>
                <w:szCs w:val="21"/>
                <w:highlight w:val="none"/>
              </w:rPr>
              <w:t>0-3</w:t>
            </w:r>
          </w:p>
        </w:tc>
        <w:tc>
          <w:tcPr>
            <w:tcW w:w="459" w:type="pct"/>
            <w:vAlign w:val="center"/>
          </w:tcPr>
          <w:p>
            <w:pPr>
              <w:widowControl/>
              <w:adjustRightInd w:val="0"/>
              <w:snapToGrid w:val="0"/>
              <w:jc w:val="center"/>
              <w:rPr>
                <w:rFonts w:ascii="宋体" w:hAnsi="宋体" w:cs="宋体"/>
                <w:color w:val="auto"/>
                <w:szCs w:val="21"/>
                <w:highlight w:val="none"/>
              </w:rPr>
            </w:pPr>
          </w:p>
        </w:tc>
        <w:tc>
          <w:tcPr>
            <w:tcW w:w="438" w:type="pct"/>
            <w:vAlign w:val="center"/>
          </w:tcPr>
          <w:p>
            <w:pPr>
              <w:widowControl/>
              <w:adjustRightInd w:val="0"/>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59" w:type="pct"/>
            <w:tcBorders>
              <w:bottom w:val="single" w:color="auto" w:sz="4" w:space="0"/>
            </w:tcBorders>
            <w:vAlign w:val="center"/>
          </w:tcPr>
          <w:p>
            <w:pPr>
              <w:spacing w:line="360" w:lineRule="auto"/>
              <w:jc w:val="center"/>
              <w:rPr>
                <w:rFonts w:ascii="宋体" w:hAnsi="宋体" w:cs="Arial"/>
                <w:b/>
                <w:bCs/>
                <w:color w:val="auto"/>
                <w:szCs w:val="21"/>
                <w:highlight w:val="none"/>
              </w:rPr>
            </w:pPr>
            <w:r>
              <w:rPr>
                <w:rFonts w:hint="eastAsia" w:ascii="宋体" w:hAnsi="宋体"/>
                <w:color w:val="auto"/>
                <w:szCs w:val="21"/>
                <w:highlight w:val="none"/>
              </w:rPr>
              <w:t>管理人员配置</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根据本项目的特点派驻现场的工程技术管理人员的专业配置是否齐全（同时提供岗位证书和响应供应商为其缴纳的社保证明扫描件或影印件的证明材料），分三档打分。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第一档：人员专业配置齐全、能满足项目实施需求的得6-8分；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第二档：人员专业配置较齐全、能满足项目实施需求的得3.9-5.9分；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第三档：人员专业配置不齐全、但能基本满足项目实施需求的得1.8-3.8分；</w:t>
            </w:r>
          </w:p>
          <w:p>
            <w:pPr>
              <w:adjustRightInd w:val="0"/>
              <w:snapToGrid w:val="0"/>
              <w:rPr>
                <w:color w:val="auto"/>
                <w:highlight w:val="none"/>
              </w:rPr>
            </w:pPr>
            <w:r>
              <w:rPr>
                <w:rFonts w:hint="eastAsia" w:ascii="宋体" w:hAnsi="宋体" w:eastAsia="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0-8</w:t>
            </w:r>
          </w:p>
        </w:tc>
        <w:tc>
          <w:tcPr>
            <w:tcW w:w="4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459" w:type="pct"/>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color w:val="auto"/>
                <w:highlight w:val="none"/>
              </w:rPr>
              <w:t>各专业工种的配置和劳动力的投入</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根据本项目的特点各专业工种的配置和劳动力的投入是否能满足工程需要，分三档打分。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第一档：各专业工种的配置和劳动力的投入能满足项目实施需求的得5-8分；</w:t>
            </w:r>
          </w:p>
          <w:p>
            <w:pPr>
              <w:pStyle w:val="78"/>
              <w:spacing w:line="240" w:lineRule="auto"/>
              <w:ind w:firstLine="0" w:firstLineChars="0"/>
              <w:jc w:val="both"/>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第二档：各专业工种的配置和劳动力的投入能基本满足项目实施需求的得1.9-4.9分；</w:t>
            </w:r>
          </w:p>
          <w:p>
            <w:pPr>
              <w:pStyle w:val="78"/>
              <w:spacing w:line="240" w:lineRule="auto"/>
              <w:ind w:firstLine="0" w:firstLineChars="0"/>
              <w:jc w:val="both"/>
              <w:rPr>
                <w:rFonts w:hint="default" w:hAnsi="宋体" w:cs="宋体"/>
                <w:b/>
                <w:color w:val="auto"/>
                <w:szCs w:val="21"/>
                <w:highlight w:val="none"/>
              </w:rPr>
            </w:pPr>
            <w:r>
              <w:rPr>
                <w:rFonts w:hint="eastAsia" w:ascii="宋体" w:hAnsi="宋体" w:eastAsia="宋体" w:cs="宋体"/>
                <w:color w:val="auto"/>
                <w:kern w:val="2"/>
                <w:sz w:val="21"/>
                <w:szCs w:val="24"/>
                <w:highlight w:val="none"/>
              </w:rPr>
              <w:t>第三档：各专业工种的配置和劳动力的投入不能满足项目实施需求或未提供该项内容的0分。</w:t>
            </w:r>
          </w:p>
        </w:tc>
        <w:tc>
          <w:tcPr>
            <w:tcW w:w="708"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0-8</w:t>
            </w:r>
          </w:p>
        </w:tc>
        <w:tc>
          <w:tcPr>
            <w:tcW w:w="4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459" w:type="pct"/>
            <w:tcBorders>
              <w:bottom w:val="single" w:color="auto" w:sz="4" w:space="0"/>
            </w:tcBorders>
            <w:vAlign w:val="center"/>
          </w:tcPr>
          <w:p>
            <w:pPr>
              <w:adjustRightInd w:val="0"/>
              <w:snapToGrid w:val="0"/>
              <w:jc w:val="center"/>
              <w:rPr>
                <w:color w:val="auto"/>
                <w:highlight w:val="none"/>
              </w:rPr>
            </w:pPr>
            <w:r>
              <w:rPr>
                <w:rFonts w:hint="eastAsia" w:ascii="宋体" w:hAnsi="宋体"/>
                <w:color w:val="auto"/>
                <w:szCs w:val="21"/>
                <w:highlight w:val="none"/>
              </w:rPr>
              <w:t>施工进度保证措施</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根据提供的施工进度计划、关键节点和线路的保证措施是否具有针对性和可行性，分三档打分。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第一档：施工进度计划、关键节点和线路设置合理，工程进度保证措施</w:t>
            </w:r>
            <w:r>
              <w:rPr>
                <w:rFonts w:hint="eastAsia" w:ascii="宋体" w:hAnsi="宋体" w:eastAsia="宋体" w:cs="宋体"/>
                <w:color w:val="auto"/>
                <w:szCs w:val="21"/>
                <w:highlight w:val="none"/>
              </w:rPr>
              <w:t>可行性强</w:t>
            </w:r>
            <w:r>
              <w:rPr>
                <w:rFonts w:hint="eastAsia" w:ascii="宋体" w:hAnsi="宋体" w:eastAsia="宋体" w:cs="宋体"/>
                <w:color w:val="auto"/>
                <w:highlight w:val="none"/>
              </w:rPr>
              <w:t>的得7-10分；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第二档：施工进度计划、关键节点和线路设置较合理，工程进度保证措施</w:t>
            </w:r>
            <w:r>
              <w:rPr>
                <w:rFonts w:hint="eastAsia" w:ascii="宋体" w:hAnsi="宋体" w:eastAsia="宋体" w:cs="宋体"/>
                <w:color w:val="auto"/>
                <w:szCs w:val="21"/>
                <w:highlight w:val="none"/>
              </w:rPr>
              <w:t>可行性较强</w:t>
            </w:r>
            <w:r>
              <w:rPr>
                <w:rFonts w:hint="eastAsia" w:ascii="宋体" w:hAnsi="宋体" w:eastAsia="宋体" w:cs="宋体"/>
                <w:color w:val="auto"/>
                <w:highlight w:val="none"/>
              </w:rPr>
              <w:t>的得3.9-6.9分；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第三档：施工进度计划、关键节点和线路设置较普通，工程进度保证措施</w:t>
            </w:r>
            <w:r>
              <w:rPr>
                <w:rFonts w:hint="eastAsia" w:ascii="宋体" w:hAnsi="宋体" w:eastAsia="宋体" w:cs="宋体"/>
                <w:color w:val="auto"/>
                <w:szCs w:val="21"/>
                <w:highlight w:val="none"/>
              </w:rPr>
              <w:t>可行性差</w:t>
            </w:r>
            <w:r>
              <w:rPr>
                <w:rFonts w:hint="eastAsia" w:ascii="宋体" w:hAnsi="宋体" w:eastAsia="宋体" w:cs="宋体"/>
                <w:color w:val="auto"/>
                <w:highlight w:val="none"/>
              </w:rPr>
              <w:t>的得1.8-3.8分；</w:t>
            </w:r>
          </w:p>
          <w:p>
            <w:pPr>
              <w:adjustRightInd w:val="0"/>
              <w:snapToGrid w:val="0"/>
              <w:rPr>
                <w:rFonts w:ascii="宋体" w:hAnsi="宋体" w:cs="宋体"/>
                <w:b/>
                <w:color w:val="auto"/>
                <w:szCs w:val="21"/>
                <w:highlight w:val="none"/>
              </w:rPr>
            </w:pPr>
            <w:r>
              <w:rPr>
                <w:rFonts w:hint="eastAsia" w:ascii="宋体" w:hAnsi="宋体" w:eastAsia="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0-10</w:t>
            </w:r>
          </w:p>
        </w:tc>
        <w:tc>
          <w:tcPr>
            <w:tcW w:w="4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459" w:type="pct"/>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color w:val="auto"/>
                <w:highlight w:val="none"/>
              </w:rPr>
              <w:t>投入本项目产品技术性能</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pStyle w:val="78"/>
              <w:spacing w:line="240" w:lineRule="auto"/>
              <w:ind w:firstLine="0" w:firstLineChars="0"/>
              <w:jc w:val="both"/>
              <w:rPr>
                <w:rFonts w:hint="default" w:ascii="Times New Roman"/>
                <w:color w:val="auto"/>
                <w:kern w:val="2"/>
                <w:sz w:val="21"/>
                <w:szCs w:val="24"/>
                <w:highlight w:val="none"/>
              </w:rPr>
            </w:pPr>
            <w:r>
              <w:rPr>
                <w:rFonts w:hint="eastAsia" w:ascii="宋体" w:hAnsi="宋体" w:eastAsia="宋体" w:cs="宋体"/>
                <w:color w:val="auto"/>
                <w:kern w:val="2"/>
                <w:sz w:val="21"/>
                <w:szCs w:val="24"/>
                <w:highlight w:val="none"/>
              </w:rPr>
              <w:t>根据供应商拟投入本项目的材料设备</w:t>
            </w:r>
            <w:r>
              <w:rPr>
                <w:rFonts w:hint="eastAsia" w:ascii="宋体" w:hAnsi="宋体" w:eastAsia="宋体" w:cs="宋体"/>
                <w:color w:val="auto"/>
                <w:kern w:val="2"/>
                <w:sz w:val="21"/>
                <w:szCs w:val="24"/>
                <w:highlight w:val="none"/>
              </w:rPr>
              <w:t>[包含但不限于水泥、乳胶漆、灯具、开关、插座、板材、电线电缆、管材管件、瓷砖、铝扣板、轻钢龙骨、</w:t>
            </w:r>
            <w:r>
              <w:rPr>
                <w:rFonts w:hint="eastAsia" w:ascii="Times New Roman"/>
                <w:color w:val="auto"/>
                <w:kern w:val="2"/>
                <w:sz w:val="21"/>
                <w:szCs w:val="24"/>
                <w:highlight w:val="none"/>
                <w:lang w:val="en-US" w:eastAsia="zh-CN"/>
              </w:rPr>
              <w:t>人造石</w:t>
            </w:r>
            <w:r>
              <w:rPr>
                <w:rFonts w:hint="eastAsia" w:ascii="Times New Roman"/>
                <w:color w:val="auto"/>
                <w:kern w:val="2"/>
                <w:sz w:val="21"/>
                <w:szCs w:val="24"/>
                <w:highlight w:val="none"/>
                <w:lang w:eastAsia="zh-CN"/>
              </w:rPr>
              <w:t>、</w:t>
            </w:r>
            <w:r>
              <w:rPr>
                <w:rFonts w:hint="eastAsia" w:ascii="宋体" w:hAnsi="宋体" w:eastAsia="宋体" w:cs="宋体"/>
                <w:color w:val="auto"/>
                <w:kern w:val="2"/>
                <w:sz w:val="21"/>
                <w:szCs w:val="24"/>
                <w:highlight w:val="none"/>
              </w:rPr>
              <w:t>防水涂料等]打分</w:t>
            </w:r>
            <w:r>
              <w:rPr>
                <w:rFonts w:hint="eastAsia" w:ascii="宋体" w:hAnsi="宋体" w:eastAsia="宋体" w:cs="宋体"/>
                <w:color w:val="auto"/>
                <w:kern w:val="2"/>
                <w:sz w:val="21"/>
                <w:szCs w:val="24"/>
                <w:highlight w:val="none"/>
              </w:rPr>
              <w:t>，品牌选择符合招标文件要求、技术性能稳定、产品质量稳定、可靠性好、材料技术性能均优的得1</w:t>
            </w:r>
            <w:r>
              <w:rPr>
                <w:rFonts w:hint="eastAsia" w:hAnsi="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rPr>
              <w:t>分，材料设备存在品牌、技术性能、产品质量、可靠性、材料技术性等存在缺陷的每项材料扣1分，未提供该项内容不得分。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0-1</w:t>
            </w:r>
            <w:r>
              <w:rPr>
                <w:rFonts w:hint="eastAsia" w:ascii="宋体" w:hAnsi="宋体" w:cs="宋体"/>
                <w:color w:val="auto"/>
                <w:szCs w:val="21"/>
                <w:highlight w:val="none"/>
                <w:lang w:val="en-US" w:eastAsia="zh-CN"/>
              </w:rPr>
              <w:t>3</w:t>
            </w:r>
          </w:p>
        </w:tc>
        <w:tc>
          <w:tcPr>
            <w:tcW w:w="4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459" w:type="pct"/>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技术方案和质量保证措施</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根据供应商提供的技术方案和质量保证措施是否具有针对性和科学性，分三档打分。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第一档：技术方案和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措施可行性强的、科学合理的得6-8分；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第二档：技术方案和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措施可行性较强的、较科学合理的得3.9-5.9分；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第三档：技术方案和</w:t>
            </w:r>
            <w:r>
              <w:rPr>
                <w:rFonts w:hint="eastAsia" w:ascii="宋体" w:hAnsi="宋体" w:eastAsia="宋体" w:cs="宋体"/>
                <w:color w:val="auto"/>
                <w:szCs w:val="21"/>
                <w:highlight w:val="none"/>
              </w:rPr>
              <w:t>质量保证</w:t>
            </w:r>
            <w:r>
              <w:rPr>
                <w:rFonts w:hint="eastAsia" w:ascii="宋体" w:hAnsi="宋体" w:eastAsia="宋体" w:cs="宋体"/>
                <w:color w:val="auto"/>
                <w:highlight w:val="none"/>
              </w:rPr>
              <w:t>措施可行性低的得1.8-3.8分。</w:t>
            </w:r>
          </w:p>
          <w:p>
            <w:pPr>
              <w:adjustRightInd w:val="0"/>
              <w:snapToGrid w:val="0"/>
              <w:rPr>
                <w:rFonts w:ascii="宋体" w:hAnsi="宋体" w:cs="宋体"/>
                <w:b/>
                <w:color w:val="auto"/>
                <w:szCs w:val="21"/>
                <w:highlight w:val="none"/>
              </w:rPr>
            </w:pPr>
            <w:r>
              <w:rPr>
                <w:rFonts w:hint="eastAsia" w:ascii="宋体" w:hAnsi="宋体" w:eastAsia="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0-8</w:t>
            </w:r>
          </w:p>
        </w:tc>
        <w:tc>
          <w:tcPr>
            <w:tcW w:w="4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459" w:type="pct"/>
            <w:tcBorders>
              <w:bottom w:val="single" w:color="auto" w:sz="4" w:space="0"/>
            </w:tcBorders>
            <w:vAlign w:val="center"/>
          </w:tcPr>
          <w:p>
            <w:pPr>
              <w:adjustRightInd w:val="0"/>
              <w:snapToGrid w:val="0"/>
              <w:jc w:val="center"/>
              <w:rPr>
                <w:rFonts w:ascii="宋体" w:hAnsi="宋体" w:cs="Arial"/>
                <w:b/>
                <w:bCs/>
                <w:color w:val="auto"/>
                <w:szCs w:val="21"/>
                <w:highlight w:val="none"/>
              </w:rPr>
            </w:pPr>
            <w:r>
              <w:rPr>
                <w:rFonts w:hint="eastAsia" w:ascii="宋体" w:hAnsi="宋体"/>
                <w:color w:val="auto"/>
                <w:szCs w:val="21"/>
                <w:highlight w:val="none"/>
              </w:rPr>
              <w:t>安全文明施工保证措施</w:t>
            </w:r>
          </w:p>
        </w:tc>
        <w:tc>
          <w:tcPr>
            <w:tcW w:w="6060" w:type="dxa"/>
            <w:vAlign w:val="center"/>
          </w:tcPr>
          <w:p>
            <w:pPr>
              <w:adjustRightInd w:val="0"/>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主观分：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根据供应商提供的安全文明施工方案和保证措施是否具有针对性和科学性，分三档打分。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第一档：安全文明施工方案和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措施可行性强的、科学合理的得6-8分；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第二档：安全文明施工方案和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措施可行性较强的、较科学合理的得3.9-5.9分；</w:t>
            </w:r>
          </w:p>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第三档：安全文明施工方案和</w:t>
            </w:r>
            <w:r>
              <w:rPr>
                <w:rFonts w:hint="eastAsia" w:ascii="宋体" w:hAnsi="宋体" w:eastAsia="宋体" w:cs="宋体"/>
                <w:color w:val="auto"/>
                <w:szCs w:val="21"/>
                <w:highlight w:val="none"/>
              </w:rPr>
              <w:t>保证</w:t>
            </w:r>
            <w:r>
              <w:rPr>
                <w:rFonts w:hint="eastAsia" w:ascii="宋体" w:hAnsi="宋体" w:eastAsia="宋体" w:cs="宋体"/>
                <w:color w:val="auto"/>
                <w:highlight w:val="none"/>
              </w:rPr>
              <w:t>措施可行性低的得1.8-3.8分。</w:t>
            </w:r>
          </w:p>
          <w:p>
            <w:pPr>
              <w:adjustRightInd w:val="0"/>
              <w:snapToGrid w:val="0"/>
              <w:rPr>
                <w:rFonts w:ascii="宋体" w:hAnsi="宋体" w:cs="宋体"/>
                <w:color w:val="auto"/>
                <w:kern w:val="0"/>
                <w:szCs w:val="21"/>
                <w:highlight w:val="none"/>
              </w:rPr>
            </w:pPr>
            <w:r>
              <w:rPr>
                <w:rFonts w:hint="eastAsia" w:ascii="宋体" w:hAnsi="宋体" w:eastAsia="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rPr>
              <w:t>0-8</w:t>
            </w:r>
          </w:p>
        </w:tc>
        <w:tc>
          <w:tcPr>
            <w:tcW w:w="4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jc w:val="center"/>
              <w:rPr>
                <w:rFonts w:ascii="宋体" w:hAnsi="宋体" w:cs="Arial"/>
                <w:b/>
                <w:bCs/>
                <w:color w:val="auto"/>
                <w:szCs w:val="21"/>
                <w:highlight w:val="none"/>
              </w:rPr>
            </w:pPr>
            <w:r>
              <w:rPr>
                <w:rFonts w:hint="eastAsia" w:ascii="宋体" w:hAnsi="宋体" w:cs="宋体"/>
                <w:color w:val="auto"/>
                <w:szCs w:val="21"/>
                <w:highlight w:val="none"/>
              </w:rPr>
              <w:t>质量保修期响应时间的承诺</w:t>
            </w:r>
          </w:p>
        </w:tc>
        <w:tc>
          <w:tcPr>
            <w:tcW w:w="6060" w:type="dxa"/>
            <w:vAlign w:val="center"/>
          </w:tcPr>
          <w:p>
            <w:pPr>
              <w:adjustRightInd w:val="0"/>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根据供应商拟定的保修服务方案，提供后期免费维修承诺，根据维修方案是否及时、完整合理、长效可行，分三档打分。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第一档：维修响应时间≤2小时，质保服务方案长效可行的得</w:t>
            </w:r>
            <w:r>
              <w:rPr>
                <w:rFonts w:hint="eastAsia" w:ascii="宋体" w:hAnsi="宋体" w:eastAsia="宋体" w:cs="宋体"/>
                <w:color w:val="auto"/>
                <w:highlight w:val="none"/>
              </w:rPr>
              <w:t>6-</w:t>
            </w:r>
            <w:r>
              <w:rPr>
                <w:rFonts w:hint="eastAsia" w:ascii="宋体" w:hAnsi="宋体" w:cs="宋体"/>
                <w:color w:val="auto"/>
                <w:highlight w:val="none"/>
                <w:lang w:val="en-US" w:eastAsia="zh-CN"/>
              </w:rPr>
              <w:t>9</w:t>
            </w:r>
            <w:r>
              <w:rPr>
                <w:rFonts w:hint="eastAsia" w:ascii="宋体" w:hAnsi="宋体" w:eastAsia="宋体" w:cs="宋体"/>
                <w:color w:val="auto"/>
                <w:szCs w:val="21"/>
                <w:highlight w:val="none"/>
              </w:rPr>
              <w:t>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第二档：2小时＜维修响应时间≤8小时，质保服务方案合理有可操作性的得</w:t>
            </w:r>
            <w:r>
              <w:rPr>
                <w:rFonts w:hint="eastAsia" w:ascii="宋体" w:hAnsi="宋体" w:eastAsia="宋体" w:cs="宋体"/>
                <w:color w:val="auto"/>
                <w:highlight w:val="none"/>
              </w:rPr>
              <w:t>3.9-5.9</w:t>
            </w:r>
            <w:r>
              <w:rPr>
                <w:rFonts w:hint="eastAsia" w:ascii="宋体" w:hAnsi="宋体" w:eastAsia="宋体" w:cs="宋体"/>
                <w:color w:val="auto"/>
                <w:szCs w:val="21"/>
                <w:highlight w:val="none"/>
              </w:rPr>
              <w:t>分；</w:t>
            </w:r>
          </w:p>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第三档：维修时间＞8小时，质保服务方案操作性较低且无实质性承诺的得</w:t>
            </w:r>
            <w:r>
              <w:rPr>
                <w:rFonts w:hint="eastAsia" w:ascii="宋体" w:hAnsi="宋体" w:eastAsia="宋体" w:cs="宋体"/>
                <w:color w:val="auto"/>
                <w:highlight w:val="none"/>
              </w:rPr>
              <w:t>1.8-3.8</w:t>
            </w:r>
            <w:r>
              <w:rPr>
                <w:rFonts w:hint="eastAsia" w:ascii="宋体" w:hAnsi="宋体" w:eastAsia="宋体" w:cs="宋体"/>
                <w:color w:val="auto"/>
                <w:szCs w:val="21"/>
                <w:highlight w:val="none"/>
              </w:rPr>
              <w:t>分；</w:t>
            </w:r>
          </w:p>
          <w:p>
            <w:pPr>
              <w:adjustRightInd w:val="0"/>
              <w:snapToGrid w:val="0"/>
              <w:rPr>
                <w:rFonts w:ascii="宋体" w:hAnsi="宋体"/>
                <w:color w:val="auto"/>
                <w:szCs w:val="21"/>
                <w:highlight w:val="none"/>
              </w:rPr>
            </w:pPr>
            <w:r>
              <w:rPr>
                <w:rFonts w:hint="eastAsia" w:ascii="宋体" w:hAnsi="宋体" w:eastAsia="宋体" w:cs="宋体"/>
                <w:bCs/>
                <w:color w:val="auto"/>
                <w:szCs w:val="21"/>
                <w:highlight w:val="none"/>
              </w:rPr>
              <w:t>未提供该项内容不得分。</w:t>
            </w:r>
          </w:p>
        </w:tc>
        <w:tc>
          <w:tcPr>
            <w:tcW w:w="708" w:type="dxa"/>
            <w:vAlign w:val="center"/>
          </w:tcPr>
          <w:p>
            <w:pPr>
              <w:widowControl/>
              <w:jc w:val="center"/>
              <w:rPr>
                <w:rFonts w:ascii="宋体" w:hAnsi="宋体"/>
                <w:color w:val="auto"/>
                <w:szCs w:val="21"/>
                <w:highlight w:val="none"/>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9</w:t>
            </w:r>
          </w:p>
        </w:tc>
        <w:tc>
          <w:tcPr>
            <w:tcW w:w="459" w:type="pct"/>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w:t>
            </w:r>
          </w:p>
        </w:tc>
        <w:tc>
          <w:tcPr>
            <w:tcW w:w="438" w:type="pct"/>
            <w:vAlign w:val="center"/>
          </w:tcPr>
          <w:p>
            <w:pPr>
              <w:widowControl/>
              <w:jc w:val="center"/>
              <w:rPr>
                <w:rFonts w:ascii="宋体" w:hAnsi="宋体" w:cs="宋体"/>
                <w:color w:val="auto"/>
                <w:szCs w:val="21"/>
                <w:highlight w:val="none"/>
              </w:rPr>
            </w:pPr>
          </w:p>
        </w:tc>
      </w:tr>
    </w:tbl>
    <w:p>
      <w:pPr>
        <w:widowControl/>
        <w:jc w:val="left"/>
        <w:rPr>
          <w:rFonts w:ascii="宋体" w:hAnsi="宋体"/>
          <w:b/>
          <w:color w:val="auto"/>
          <w:kern w:val="0"/>
          <w:sz w:val="28"/>
          <w:szCs w:val="28"/>
          <w:highlight w:val="none"/>
        </w:rPr>
      </w:pPr>
    </w:p>
    <w:p>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附件8</w:t>
      </w:r>
    </w:p>
    <w:p>
      <w:pPr>
        <w:pStyle w:val="41"/>
        <w:shd w:val="clear" w:color="auto" w:fill="FFFFFF"/>
        <w:spacing w:before="0" w:beforeAutospacing="0" w:after="0" w:afterAutospacing="0"/>
        <w:jc w:val="center"/>
        <w:rPr>
          <w:b/>
          <w:bCs/>
          <w:color w:val="auto"/>
          <w:spacing w:val="21"/>
          <w:sz w:val="32"/>
          <w:szCs w:val="32"/>
          <w:highlight w:val="none"/>
        </w:rPr>
      </w:pPr>
      <w:r>
        <w:rPr>
          <w:rFonts w:hint="eastAsia"/>
          <w:b/>
          <w:bCs/>
          <w:color w:val="auto"/>
          <w:spacing w:val="21"/>
          <w:sz w:val="32"/>
          <w:szCs w:val="32"/>
          <w:highlight w:val="none"/>
        </w:rPr>
        <w:t>投标函</w:t>
      </w:r>
    </w:p>
    <w:p>
      <w:pPr>
        <w:snapToGrid w:val="0"/>
        <w:spacing w:line="40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）的磋商，并</w:t>
      </w:r>
      <w:r>
        <w:rPr>
          <w:rFonts w:ascii="宋体" w:hAnsi="宋体"/>
          <w:color w:val="auto"/>
          <w:sz w:val="24"/>
          <w:highlight w:val="none"/>
        </w:rPr>
        <w:t>按</w:t>
      </w:r>
      <w:r>
        <w:rPr>
          <w:rFonts w:hint="eastAsia" w:ascii="宋体" w:hAnsi="宋体"/>
          <w:color w:val="auto"/>
          <w:sz w:val="24"/>
          <w:highlight w:val="none"/>
        </w:rPr>
        <w:t>磋商文件</w:t>
      </w:r>
      <w:r>
        <w:rPr>
          <w:rFonts w:ascii="宋体" w:hAnsi="宋体"/>
          <w:color w:val="auto"/>
          <w:sz w:val="24"/>
          <w:highlight w:val="none"/>
        </w:rPr>
        <w:t>的要求</w:t>
      </w:r>
      <w:r>
        <w:rPr>
          <w:rFonts w:hint="eastAsia" w:ascii="宋体" w:hAnsi="宋体"/>
          <w:color w:val="auto"/>
          <w:sz w:val="24"/>
          <w:highlight w:val="none"/>
        </w:rPr>
        <w:t>提交磋商响应文件。</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.我方完全理解并接受磋商文件（包括更正文件）的各项规定和要求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4.我方向贵方提交的所有响应文件、资料（包括所有证明材料等）都是准确、真实、合规的，如有虚假或隐瞒，我方愿意承担一切后果。</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.本次磋商有效期自磋商截止之日起 90天</w:t>
      </w:r>
      <w:r>
        <w:rPr>
          <w:rFonts w:ascii="宋体" w:hAnsi="宋体"/>
          <w:color w:val="auto"/>
          <w:sz w:val="24"/>
          <w:highlight w:val="none"/>
        </w:rPr>
        <w:t>内</w:t>
      </w:r>
      <w:r>
        <w:rPr>
          <w:rFonts w:hint="eastAsia" w:ascii="宋体" w:hAnsi="宋体"/>
          <w:color w:val="auto"/>
          <w:sz w:val="24"/>
          <w:highlight w:val="none"/>
        </w:rPr>
        <w:t>有效。</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pPr>
        <w:snapToGrid w:val="0"/>
        <w:spacing w:line="400" w:lineRule="exact"/>
        <w:ind w:firstLine="361" w:firstLineChars="150"/>
        <w:rPr>
          <w:rFonts w:ascii="宋体" w:hAnsi="宋体"/>
          <w:b/>
          <w:bCs/>
          <w:color w:val="auto"/>
          <w:sz w:val="24"/>
          <w:highlight w:val="none"/>
          <w:u w:val="single"/>
          <w:shd w:val="pct10" w:color="auto" w:fill="FFFFFF"/>
        </w:rPr>
      </w:pPr>
      <w:r>
        <w:rPr>
          <w:rFonts w:hint="eastAsia" w:ascii="宋体" w:hAnsi="宋体"/>
          <w:b/>
          <w:bCs/>
          <w:color w:val="auto"/>
          <w:sz w:val="24"/>
          <w:highlight w:val="none"/>
        </w:rPr>
        <w:t>与本投标有关的一切正式往来信函、传真或邮件（例如质疑回复函、中标（成交）通知书、合同等）请采用如下联系方式送达，我方确保能够及时、准确收悉。</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联系手机：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pPr>
        <w:snapToGrid w:val="0"/>
        <w:spacing w:line="400" w:lineRule="exact"/>
        <w:ind w:firstLine="361" w:firstLineChars="150"/>
        <w:rPr>
          <w:rFonts w:ascii="宋体" w:hAnsi="宋体"/>
          <w:b/>
          <w:bCs/>
          <w:color w:val="auto"/>
          <w:sz w:val="24"/>
          <w:highlight w:val="none"/>
        </w:rPr>
      </w:pPr>
      <w:r>
        <w:rPr>
          <w:rFonts w:hint="eastAsia" w:ascii="宋体" w:hAnsi="宋体"/>
          <w:b/>
          <w:bCs/>
          <w:color w:val="auto"/>
          <w:sz w:val="24"/>
          <w:highlight w:val="none"/>
        </w:rPr>
        <w:t>为了方便评审磋商小组在必要时对供应商进行询标，请供应商填写以下响应文件编制人信息，以便及时、准确进行询标，响应文件编制人信息可不限于1人。</w:t>
      </w:r>
    </w:p>
    <w:p>
      <w:pPr>
        <w:snapToGrid w:val="0"/>
        <w:spacing w:line="40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b/>
          <w:bCs/>
          <w:color w:val="auto"/>
          <w:sz w:val="24"/>
          <w:highlight w:val="none"/>
          <w:u w:val="single"/>
        </w:rPr>
        <w:t xml:space="preserve">          </w:t>
      </w:r>
    </w:p>
    <w:p>
      <w:pPr>
        <w:snapToGrid w:val="0"/>
        <w:spacing w:line="40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被授权人姓名: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u w:val="single"/>
        </w:rPr>
        <w:t xml:space="preserve">         </w:t>
      </w:r>
    </w:p>
    <w:p>
      <w:pPr>
        <w:snapToGrid w:val="0"/>
        <w:spacing w:line="400" w:lineRule="exact"/>
        <w:jc w:val="left"/>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napToGrid w:val="0"/>
        <w:spacing w:line="400" w:lineRule="exact"/>
        <w:ind w:firstLine="5760" w:firstLineChars="2400"/>
        <w:jc w:val="left"/>
        <w:rPr>
          <w:rFonts w:ascii="宋体" w:hAnsi="宋体"/>
          <w:color w:val="auto"/>
          <w:sz w:val="24"/>
          <w:highlight w:val="none"/>
        </w:rPr>
      </w:pPr>
      <w:r>
        <w:rPr>
          <w:rFonts w:hint="eastAsia" w:ascii="宋体" w:hAnsi="宋体"/>
          <w:color w:val="auto"/>
          <w:sz w:val="24"/>
          <w:highlight w:val="none"/>
        </w:rPr>
        <w:t>日期:     年   月   日</w:t>
      </w:r>
    </w:p>
    <w:p>
      <w:pPr>
        <w:pStyle w:val="41"/>
        <w:shd w:val="clear" w:color="auto" w:fill="FFFFFF"/>
        <w:spacing w:before="0" w:beforeAutospacing="0" w:after="0" w:afterAutospacing="0"/>
        <w:jc w:val="center"/>
        <w:rPr>
          <w:b/>
          <w:color w:val="auto"/>
          <w:sz w:val="32"/>
          <w:szCs w:val="32"/>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附件9</w:t>
      </w:r>
    </w:p>
    <w:p>
      <w:pPr>
        <w:pStyle w:val="41"/>
        <w:shd w:val="clear" w:color="auto" w:fill="FFFFFF"/>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top w:val="nil"/>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pPr>
              <w:pStyle w:val="41"/>
              <w:shd w:val="clear" w:color="auto" w:fill="FFFFFF"/>
              <w:adjustRightInd w:val="0"/>
              <w:snapToGrid w:val="0"/>
              <w:ind w:right="-105" w:rightChars="-50"/>
              <w:rPr>
                <w:bCs/>
                <w:color w:val="auto"/>
                <w:spacing w:val="16"/>
                <w:sz w:val="18"/>
                <w:szCs w:val="18"/>
                <w:highlight w:val="none"/>
              </w:rPr>
            </w:pPr>
          </w:p>
        </w:tc>
        <w:tc>
          <w:tcPr>
            <w:tcW w:w="2001" w:type="dxa"/>
            <w:gridSpan w:val="3"/>
            <w:vMerge w:val="restart"/>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Merge w:val="continue"/>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151" w:type="dxa"/>
            <w:gridSpan w:val="2"/>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1</w:t>
            </w:r>
            <w:r>
              <w:rPr>
                <w:rFonts w:hint="eastAsia"/>
                <w:bCs/>
                <w:color w:val="auto"/>
                <w:sz w:val="18"/>
                <w:szCs w:val="18"/>
                <w:highlight w:val="none"/>
              </w:rPr>
              <w:t>.</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企</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业</w:t>
            </w:r>
          </w:p>
          <w:p>
            <w:pPr>
              <w:pStyle w:val="41"/>
              <w:shd w:val="clear" w:color="auto" w:fill="FFFFFF"/>
              <w:adjustRightInd w:val="0"/>
              <w:snapToGrid w:val="0"/>
              <w:ind w:left="-105" w:leftChars="-50" w:right="-105" w:rightChars="-50"/>
              <w:jc w:val="center"/>
              <w:rPr>
                <w:bCs/>
                <w:color w:val="auto"/>
                <w:spacing w:val="27"/>
                <w:sz w:val="18"/>
                <w:szCs w:val="18"/>
                <w:highlight w:val="none"/>
              </w:rPr>
            </w:pPr>
            <w:r>
              <w:rPr>
                <w:rFonts w:hint="eastAsia"/>
                <w:bCs/>
                <w:color w:val="auto"/>
                <w:spacing w:val="27"/>
                <w:sz w:val="18"/>
                <w:szCs w:val="18"/>
                <w:highlight w:val="none"/>
              </w:rPr>
              <w:t>概</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1163" w:type="dxa"/>
            <w:tcBorders>
              <w:top w:val="nil"/>
            </w:tcBorders>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pPr>
              <w:pStyle w:val="41"/>
              <w:shd w:val="clear" w:color="auto" w:fill="FFFFFF"/>
              <w:adjustRightInd w:val="0"/>
              <w:snapToGrid w:val="0"/>
              <w:ind w:left="-105" w:leftChars="-50" w:right="-105" w:rightChars="-50" w:firstLine="420"/>
              <w:jc w:val="center"/>
              <w:rPr>
                <w:bCs/>
                <w:color w:val="auto"/>
                <w:sz w:val="18"/>
                <w:szCs w:val="18"/>
                <w:highlight w:val="none"/>
              </w:rPr>
            </w:pPr>
            <w:r>
              <w:rPr>
                <w:rFonts w:hint="eastAsia"/>
                <w:bCs/>
                <w:color w:val="auto"/>
                <w:sz w:val="18"/>
                <w:szCs w:val="18"/>
                <w:highlight w:val="none"/>
              </w:rPr>
              <w:t>平方米</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color w:val="auto"/>
                <w:kern w:val="0"/>
                <w:sz w:val="18"/>
                <w:szCs w:val="18"/>
                <w:highlight w:val="none"/>
              </w:rPr>
            </w:pPr>
          </w:p>
          <w:p>
            <w:pPr>
              <w:pStyle w:val="41"/>
              <w:shd w:val="clear" w:color="auto" w:fill="FFFFFF"/>
              <w:adjustRightInd w:val="0"/>
              <w:snapToGrid w:val="0"/>
              <w:ind w:left="-105" w:leftChars="-50" w:right="-105" w:rightChars="-50"/>
              <w:jc w:val="center"/>
              <w:rPr>
                <w:bCs/>
                <w:color w:val="auto"/>
                <w:sz w:val="18"/>
                <w:szCs w:val="18"/>
                <w:highlight w:val="none"/>
              </w:rPr>
            </w:pPr>
          </w:p>
        </w:tc>
        <w:tc>
          <w:tcPr>
            <w:tcW w:w="1218"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8131" w:type="dxa"/>
            <w:gridSpan w:val="11"/>
            <w:vAlign w:val="center"/>
          </w:tcPr>
          <w:p>
            <w:pPr>
              <w:pStyle w:val="41"/>
              <w:shd w:val="clear" w:color="auto" w:fill="FFFFFF"/>
              <w:adjustRightInd w:val="0"/>
              <w:snapToGrid w:val="0"/>
              <w:ind w:left="-105" w:leftChars="-50" w:right="-105" w:rightChars="-50"/>
              <w:rPr>
                <w:bCs/>
                <w:color w:val="auto"/>
                <w:spacing w:val="13"/>
                <w:sz w:val="18"/>
                <w:szCs w:val="18"/>
                <w:highlight w:val="none"/>
              </w:rPr>
            </w:pPr>
            <w:r>
              <w:rPr>
                <w:rFonts w:hint="eastAsia"/>
                <w:bCs/>
                <w:color w:val="auto"/>
                <w:spacing w:val="13"/>
                <w:sz w:val="18"/>
                <w:szCs w:val="18"/>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2</w:t>
            </w:r>
            <w:r>
              <w:rPr>
                <w:rFonts w:hint="eastAsia"/>
                <w:bCs/>
                <w:color w:val="auto"/>
                <w:sz w:val="18"/>
                <w:szCs w:val="18"/>
                <w:highlight w:val="none"/>
              </w:rPr>
              <w:t>．</w:t>
            </w:r>
          </w:p>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6"/>
                <w:sz w:val="18"/>
                <w:szCs w:val="18"/>
                <w:highlight w:val="none"/>
              </w:rPr>
              <w:t>发证机关</w:t>
            </w:r>
          </w:p>
        </w:tc>
        <w:tc>
          <w:tcPr>
            <w:tcW w:w="1276"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发证时间</w:t>
            </w:r>
          </w:p>
        </w:tc>
        <w:tc>
          <w:tcPr>
            <w:tcW w:w="933" w:type="dxa"/>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27"/>
                <w:sz w:val="18"/>
                <w:szCs w:val="18"/>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553" w:type="dxa"/>
            <w:gridSpan w:val="2"/>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333"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418"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276"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255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1553"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pacing w:val="27"/>
                <w:sz w:val="18"/>
                <w:szCs w:val="18"/>
                <w:highlight w:val="none"/>
              </w:rPr>
            </w:pPr>
          </w:p>
        </w:tc>
        <w:tc>
          <w:tcPr>
            <w:tcW w:w="1553"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bl>
    <w:p>
      <w:pPr>
        <w:pStyle w:val="45"/>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rPr>
          <w:rFonts w:ascii="宋体" w:hAnsi="宋体"/>
          <w:b/>
          <w:color w:val="auto"/>
          <w:kern w:val="0"/>
          <w:sz w:val="28"/>
          <w:szCs w:val="28"/>
          <w:highlight w:val="none"/>
        </w:rPr>
      </w:pPr>
      <w:r>
        <w:rPr>
          <w:rFonts w:ascii="宋体" w:hAnsi="宋体"/>
          <w:b/>
          <w:color w:val="auto"/>
          <w:sz w:val="28"/>
          <w:highlight w:val="none"/>
        </w:rPr>
        <w:br w:type="page"/>
      </w:r>
      <w:r>
        <w:rPr>
          <w:rFonts w:hint="eastAsia" w:ascii="宋体" w:hAnsi="宋体"/>
          <w:b/>
          <w:color w:val="auto"/>
          <w:kern w:val="0"/>
          <w:sz w:val="28"/>
          <w:szCs w:val="28"/>
          <w:highlight w:val="none"/>
        </w:rPr>
        <w:t>附件10</w:t>
      </w:r>
    </w:p>
    <w:p>
      <w:pPr>
        <w:pStyle w:val="45"/>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证书、证明材料一览表</w:t>
      </w:r>
    </w:p>
    <w:p>
      <w:pPr>
        <w:pStyle w:val="45"/>
        <w:spacing w:line="360" w:lineRule="auto"/>
        <w:ind w:firstLine="560"/>
        <w:jc w:val="center"/>
        <w:rPr>
          <w:rFonts w:ascii="宋体" w:hAnsi="宋体" w:cs="Arial"/>
          <w:color w:val="auto"/>
          <w:sz w:val="28"/>
          <w:szCs w:val="28"/>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794"/>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31" w:type="dxa"/>
            <w:tcBorders>
              <w:top w:val="single" w:color="auto" w:sz="4" w:space="0"/>
              <w:left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证书、证明材料名称</w:t>
            </w:r>
          </w:p>
        </w:tc>
        <w:tc>
          <w:tcPr>
            <w:tcW w:w="1794" w:type="dxa"/>
            <w:tcBorders>
              <w:top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Borders>
              <w:top w:val="single" w:color="auto" w:sz="4" w:space="0"/>
            </w:tcBorders>
          </w:tcPr>
          <w:p>
            <w:pPr>
              <w:pStyle w:val="45"/>
              <w:spacing w:line="360" w:lineRule="auto"/>
              <w:ind w:firstLine="420"/>
              <w:jc w:val="center"/>
              <w:rPr>
                <w:rFonts w:ascii="宋体" w:hAnsi="宋体" w:cs="Arial"/>
                <w:color w:val="auto"/>
                <w:szCs w:val="21"/>
                <w:highlight w:val="none"/>
              </w:rPr>
            </w:pPr>
          </w:p>
        </w:tc>
        <w:tc>
          <w:tcPr>
            <w:tcW w:w="2260" w:type="dxa"/>
            <w:tcBorders>
              <w:top w:val="single" w:color="auto" w:sz="4" w:space="0"/>
            </w:tcBorders>
          </w:tcPr>
          <w:p>
            <w:pPr>
              <w:pStyle w:val="45"/>
              <w:spacing w:line="360" w:lineRule="auto"/>
              <w:ind w:firstLine="420"/>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Borders>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2260" w:type="dxa"/>
            <w:tcBorders>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5"/>
              <w:spacing w:line="360" w:lineRule="auto"/>
              <w:ind w:firstLine="420"/>
              <w:jc w:val="center"/>
              <w:rPr>
                <w:rFonts w:ascii="宋体" w:hAnsi="宋体" w:cs="Arial"/>
                <w:color w:val="auto"/>
                <w:szCs w:val="21"/>
                <w:highlight w:val="none"/>
              </w:rPr>
            </w:pPr>
          </w:p>
        </w:tc>
      </w:tr>
    </w:tbl>
    <w:p>
      <w:pPr>
        <w:pStyle w:val="45"/>
        <w:tabs>
          <w:tab w:val="left" w:pos="1050"/>
        </w:tabs>
        <w:spacing w:line="360" w:lineRule="auto"/>
        <w:ind w:firstLine="480"/>
        <w:rPr>
          <w:rFonts w:ascii="仿宋_GB2312" w:hAnsi="宋体" w:eastAsia="仿宋_GB2312"/>
          <w:color w:val="auto"/>
          <w:sz w:val="24"/>
          <w:highlight w:val="none"/>
        </w:rPr>
      </w:pPr>
    </w:p>
    <w:p>
      <w:pPr>
        <w:pStyle w:val="45"/>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1.填写供应商获得资质、认证或企业荣誉证书等。</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2.请提供本表所列的证书、材料扫描件。</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3.在填写时，如本表格不适合供应商的实际情况，可根据本表格式自行划表填写。</w:t>
      </w:r>
    </w:p>
    <w:p>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4.本表如跨页需每页加盖供应商公章。</w:t>
      </w:r>
    </w:p>
    <w:p>
      <w:pPr>
        <w:pStyle w:val="45"/>
        <w:tabs>
          <w:tab w:val="left" w:pos="1050"/>
        </w:tabs>
        <w:spacing w:line="360" w:lineRule="auto"/>
        <w:ind w:firstLine="424" w:firstLineChars="202"/>
        <w:rPr>
          <w:rFonts w:ascii="宋体" w:hAnsi="宋体"/>
          <w:color w:val="auto"/>
          <w:szCs w:val="21"/>
          <w:highlight w:val="none"/>
        </w:rPr>
      </w:pPr>
    </w:p>
    <w:p>
      <w:pPr>
        <w:spacing w:line="480" w:lineRule="exact"/>
        <w:ind w:firstLine="435"/>
        <w:rPr>
          <w:rFonts w:ascii="宋体" w:hAnsi="宋体"/>
          <w:b/>
          <w:color w:val="auto"/>
          <w:sz w:val="28"/>
          <w:szCs w:val="28"/>
          <w:highlight w:val="none"/>
        </w:rPr>
      </w:pPr>
    </w:p>
    <w:p>
      <w:pPr>
        <w:spacing w:line="480" w:lineRule="exact"/>
        <w:ind w:firstLine="435"/>
        <w:rPr>
          <w:rFonts w:ascii="宋体" w:hAnsi="宋体"/>
          <w:b/>
          <w:color w:val="auto"/>
          <w:sz w:val="28"/>
          <w:szCs w:val="28"/>
          <w:highlight w:val="none"/>
        </w:rPr>
      </w:pPr>
    </w:p>
    <w:p>
      <w:pPr>
        <w:spacing w:line="480" w:lineRule="exact"/>
        <w:ind w:firstLine="435"/>
        <w:rPr>
          <w:rFonts w:ascii="宋体" w:hAnsi="宋体"/>
          <w:b/>
          <w:color w:val="auto"/>
          <w:sz w:val="28"/>
          <w:szCs w:val="28"/>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480" w:lineRule="exact"/>
        <w:ind w:left="480"/>
        <w:rPr>
          <w:rFonts w:ascii="宋体" w:hAnsi="宋体"/>
          <w:b/>
          <w:color w:val="auto"/>
          <w:sz w:val="28"/>
          <w:szCs w:val="28"/>
          <w:highlight w:val="none"/>
        </w:rPr>
      </w:pPr>
    </w:p>
    <w:p>
      <w:pPr>
        <w:pStyle w:val="28"/>
        <w:rPr>
          <w:color w:val="auto"/>
          <w:highlight w:val="none"/>
        </w:rPr>
      </w:pPr>
    </w:p>
    <w:p>
      <w:pPr>
        <w:pStyle w:val="41"/>
        <w:shd w:val="clear" w:color="auto" w:fill="FFFFFF"/>
        <w:spacing w:before="0" w:beforeAutospacing="0" w:after="0" w:afterAutospacing="0" w:line="360" w:lineRule="auto"/>
        <w:ind w:firstLine="465" w:firstLineChars="177"/>
        <w:rPr>
          <w:b/>
          <w:bCs/>
          <w:color w:val="auto"/>
          <w:spacing w:val="11"/>
          <w:highlight w:val="none"/>
        </w:rPr>
      </w:pPr>
    </w:p>
    <w:p>
      <w:pPr>
        <w:spacing w:line="480" w:lineRule="exact"/>
        <w:ind w:left="480"/>
        <w:rPr>
          <w:rFonts w:ascii="宋体" w:hAnsi="宋体"/>
          <w:b/>
          <w:color w:val="auto"/>
          <w:sz w:val="36"/>
          <w:szCs w:val="36"/>
          <w:highlight w:val="none"/>
        </w:rPr>
      </w:pPr>
    </w:p>
    <w:p>
      <w:pPr>
        <w:widowControl/>
        <w:jc w:val="left"/>
        <w:rPr>
          <w:rFonts w:ascii="宋体" w:hAnsi="宋体"/>
          <w:b/>
          <w:color w:val="auto"/>
          <w:sz w:val="28"/>
          <w:highlight w:val="none"/>
        </w:rPr>
      </w:pPr>
      <w:bookmarkStart w:id="480" w:name="_Toc20569_WPSOffice_Level1"/>
      <w:bookmarkStart w:id="481" w:name="_Toc23671_WPSOffice_Level1"/>
      <w:r>
        <w:rPr>
          <w:rFonts w:ascii="宋体" w:hAnsi="宋体"/>
          <w:b/>
          <w:color w:val="auto"/>
          <w:sz w:val="28"/>
          <w:highlight w:val="none"/>
        </w:rPr>
        <w:br w:type="page"/>
      </w:r>
    </w:p>
    <w:p>
      <w:pPr>
        <w:rPr>
          <w:rFonts w:ascii="宋体" w:hAnsi="宋体"/>
          <w:b/>
          <w:color w:val="auto"/>
          <w:sz w:val="28"/>
          <w:highlight w:val="none"/>
        </w:rPr>
      </w:pPr>
      <w:r>
        <w:rPr>
          <w:rFonts w:hint="eastAsia" w:ascii="宋体" w:hAnsi="宋体"/>
          <w:b/>
          <w:color w:val="auto"/>
          <w:kern w:val="0"/>
          <w:sz w:val="28"/>
          <w:szCs w:val="28"/>
          <w:highlight w:val="none"/>
        </w:rPr>
        <w:t xml:space="preserve">附件11 </w:t>
      </w:r>
      <w:r>
        <w:rPr>
          <w:rFonts w:hint="eastAsia" w:ascii="宋体" w:hAnsi="宋体"/>
          <w:b/>
          <w:color w:val="auto"/>
          <w:sz w:val="28"/>
          <w:highlight w:val="none"/>
        </w:rPr>
        <w:t xml:space="preserve">     </w:t>
      </w:r>
    </w:p>
    <w:p>
      <w:pPr>
        <w:snapToGrid w:val="0"/>
        <w:spacing w:before="120"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项目组成员一览表</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567"/>
        <w:gridCol w:w="1276"/>
        <w:gridCol w:w="992"/>
        <w:gridCol w:w="1134"/>
        <w:gridCol w:w="1417"/>
        <w:gridCol w:w="1134"/>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在本项目中拟任职务</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学历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bCs/>
                <w:color w:val="auto"/>
                <w:sz w:val="24"/>
                <w:szCs w:val="20"/>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3</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ind w:left="525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ind w:left="5250" w:firstLine="36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pStyle w:val="16"/>
              <w:ind w:left="5250" w:leftChars="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4</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color w:val="auto"/>
          <w:szCs w:val="21"/>
          <w:highlight w:val="none"/>
        </w:rPr>
        <w:t>1.本表格条目允许供应商根据项目实际需要修改；</w:t>
      </w:r>
    </w:p>
    <w:p>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2.附人员相关证书、证明材料等的扫描件；</w:t>
      </w:r>
    </w:p>
    <w:p>
      <w:pPr>
        <w:pStyle w:val="42"/>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3.社保部门出具的响应截止日期前近3个月在响应单位的社会保险费用缴纳证明。</w:t>
      </w:r>
    </w:p>
    <w:p>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4.本表如跨页需每页加盖响应供应商电子印章。</w:t>
      </w:r>
    </w:p>
    <w:p>
      <w:pPr>
        <w:spacing w:line="480" w:lineRule="exact"/>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附件12</w:t>
      </w:r>
    </w:p>
    <w:p>
      <w:pPr>
        <w:pStyle w:val="44"/>
        <w:spacing w:line="480" w:lineRule="exact"/>
        <w:jc w:val="left"/>
        <w:rPr>
          <w:rFonts w:ascii="宋体" w:hAnsi="宋体"/>
          <w:b/>
          <w:color w:val="auto"/>
          <w:sz w:val="28"/>
          <w:highlight w:val="none"/>
        </w:rPr>
      </w:pPr>
    </w:p>
    <w:p>
      <w:pPr>
        <w:spacing w:line="480" w:lineRule="exact"/>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商务与技术需求响应表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序号</w:t>
            </w:r>
          </w:p>
        </w:tc>
        <w:tc>
          <w:tcPr>
            <w:tcW w:w="1392"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内容</w:t>
            </w:r>
          </w:p>
        </w:tc>
        <w:tc>
          <w:tcPr>
            <w:tcW w:w="2178"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磋商需求</w:t>
            </w:r>
          </w:p>
        </w:tc>
        <w:tc>
          <w:tcPr>
            <w:tcW w:w="1365" w:type="dxa"/>
            <w:vAlign w:val="center"/>
          </w:tcPr>
          <w:p>
            <w:pPr>
              <w:spacing w:line="480" w:lineRule="exact"/>
              <w:ind w:left="152"/>
              <w:rPr>
                <w:rFonts w:ascii="宋体" w:hAnsi="宋体"/>
                <w:b/>
                <w:color w:val="auto"/>
                <w:highlight w:val="none"/>
              </w:rPr>
            </w:pPr>
            <w:r>
              <w:rPr>
                <w:rFonts w:hint="eastAsia" w:ascii="宋体" w:hAnsi="宋体"/>
                <w:b/>
                <w:color w:val="auto"/>
                <w:highlight w:val="none"/>
              </w:rPr>
              <w:t>是否偏离</w:t>
            </w:r>
          </w:p>
        </w:tc>
        <w:tc>
          <w:tcPr>
            <w:tcW w:w="2625" w:type="dxa"/>
            <w:vAlign w:val="center"/>
          </w:tcPr>
          <w:p>
            <w:pPr>
              <w:spacing w:line="480" w:lineRule="exact"/>
              <w:rPr>
                <w:rFonts w:ascii="宋体" w:hAnsi="宋体"/>
                <w:b/>
                <w:color w:val="auto"/>
                <w:highlight w:val="none"/>
              </w:rPr>
            </w:pPr>
            <w:r>
              <w:rPr>
                <w:rFonts w:hint="eastAsia" w:ascii="宋体" w:hAnsi="宋体"/>
                <w:b/>
                <w:color w:val="auto"/>
                <w:highlight w:val="none"/>
              </w:rPr>
              <w:t>响应供应商的承诺或说明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before="120" w:beforeLines="50"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bl>
    <w:p>
      <w:pPr>
        <w:spacing w:line="480" w:lineRule="exact"/>
        <w:rPr>
          <w:rFonts w:ascii="宋体" w:hAnsi="宋体"/>
          <w:b/>
          <w:color w:val="auto"/>
          <w:szCs w:val="21"/>
          <w:highlight w:val="none"/>
        </w:rPr>
      </w:pPr>
      <w:r>
        <w:rPr>
          <w:rFonts w:hint="eastAsia" w:ascii="宋体" w:hAnsi="宋体"/>
          <w:b/>
          <w:color w:val="auto"/>
          <w:szCs w:val="21"/>
          <w:highlight w:val="none"/>
        </w:rPr>
        <w:t>要求：本表“内容”栏根据磋商文件第三章项目需求内容填写。如无偏离，可不需逐条响应，在本表中写明“无偏离，完全响应磋商文件要求”，如有条款偏离，则必须逐条填写响应情况。</w:t>
      </w: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pStyle w:val="28"/>
        <w:rPr>
          <w:color w:val="auto"/>
          <w:highlight w:val="none"/>
        </w:rPr>
      </w:pPr>
    </w:p>
    <w:bookmarkEnd w:id="480"/>
    <w:bookmarkEnd w:id="481"/>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pPr>
        <w:rPr>
          <w:rFonts w:ascii="宋体" w:hAnsi="宋体"/>
          <w:b/>
          <w:color w:val="auto"/>
          <w:sz w:val="28"/>
          <w:highlight w:val="none"/>
        </w:rPr>
      </w:pPr>
      <w:r>
        <w:rPr>
          <w:rFonts w:hint="eastAsia" w:ascii="宋体" w:hAnsi="宋体"/>
          <w:b/>
          <w:color w:val="auto"/>
          <w:kern w:val="0"/>
          <w:sz w:val="28"/>
          <w:szCs w:val="28"/>
          <w:highlight w:val="none"/>
        </w:rPr>
        <w:t xml:space="preserve">附件13 </w:t>
      </w:r>
      <w:r>
        <w:rPr>
          <w:rFonts w:hint="eastAsia" w:ascii="宋体" w:hAnsi="宋体"/>
          <w:b/>
          <w:color w:val="auto"/>
          <w:sz w:val="28"/>
          <w:highlight w:val="none"/>
        </w:rPr>
        <w:t xml:space="preserve"> </w:t>
      </w:r>
    </w:p>
    <w:p>
      <w:pPr>
        <w:pStyle w:val="4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tbl>
      <w:tblPr>
        <w:tblStyle w:val="29"/>
        <w:tblW w:w="47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4"/>
        <w:gridCol w:w="2008"/>
        <w:gridCol w:w="1293"/>
        <w:gridCol w:w="1220"/>
        <w:gridCol w:w="2228"/>
        <w:gridCol w:w="1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132"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729"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688"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1256"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c>
          <w:tcPr>
            <w:tcW w:w="891"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132"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132"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132"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w:t>
            </w:r>
          </w:p>
        </w:tc>
        <w:tc>
          <w:tcPr>
            <w:tcW w:w="1132"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0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132"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0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132"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01" w:type="pct"/>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132" w:type="pct"/>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301"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132"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01"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132"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01" w:type="pct"/>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132" w:type="pct"/>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729" w:type="pct"/>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688" w:type="pct"/>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56" w:type="pct"/>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891" w:type="pct"/>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w:t>
      </w:r>
      <w:r>
        <w:rPr>
          <w:rFonts w:hint="eastAsia" w:ascii="宋体" w:hAnsi="宋体" w:cs="Arial"/>
          <w:color w:val="auto"/>
          <w:szCs w:val="21"/>
          <w:highlight w:val="none"/>
        </w:rPr>
        <w:t>按“第四章磋商”相关评分标准要求提供</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hint="eastAsia" w:ascii="宋体" w:hAnsi="宋体" w:cs="Arial"/>
          <w:color w:val="auto"/>
          <w:szCs w:val="21"/>
          <w:highlight w:val="none"/>
        </w:rPr>
        <w:t>2.磋商供应商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20" w:lineRule="exact"/>
        <w:ind w:left="420"/>
        <w:rPr>
          <w:rFonts w:ascii="宋体" w:hAnsi="宋体"/>
          <w:color w:val="auto"/>
          <w:szCs w:val="21"/>
          <w:highlight w:val="none"/>
        </w:rPr>
      </w:pPr>
      <w:r>
        <w:rPr>
          <w:rFonts w:hint="eastAsia" w:ascii="宋体" w:hAnsi="宋体" w:cs="Arial"/>
          <w:color w:val="auto"/>
          <w:szCs w:val="21"/>
          <w:highlight w:val="none"/>
        </w:rPr>
        <w:t>3.</w:t>
      </w:r>
      <w:r>
        <w:rPr>
          <w:rFonts w:hint="eastAsia" w:ascii="宋体" w:hAnsi="宋体"/>
          <w:color w:val="auto"/>
          <w:szCs w:val="21"/>
          <w:highlight w:val="none"/>
        </w:rPr>
        <w:t xml:space="preserve"> 本表如跨页，需每页加盖磋商供应商电子公章。</w:t>
      </w:r>
    </w:p>
    <w:p>
      <w:pPr>
        <w:spacing w:line="320" w:lineRule="exact"/>
        <w:ind w:left="420"/>
        <w:rPr>
          <w:rFonts w:ascii="宋体" w:hAnsi="宋体"/>
          <w:color w:val="auto"/>
          <w:szCs w:val="21"/>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kern w:val="0"/>
          <w:sz w:val="28"/>
          <w:szCs w:val="28"/>
          <w:highlight w:val="none"/>
        </w:rPr>
        <w:t xml:space="preserve">  附件14 </w:t>
      </w:r>
      <w:r>
        <w:rPr>
          <w:rFonts w:hint="eastAsia" w:ascii="宋体" w:hAnsi="宋体"/>
          <w:b/>
          <w:color w:val="auto"/>
          <w:sz w:val="28"/>
          <w:highlight w:val="none"/>
        </w:rPr>
        <w:t xml:space="preserve">      </w:t>
      </w:r>
    </w:p>
    <w:p>
      <w:pPr>
        <w:spacing w:line="480" w:lineRule="exact"/>
        <w:ind w:left="480"/>
        <w:jc w:val="center"/>
        <w:rPr>
          <w:rFonts w:ascii="宋体" w:hAnsi="宋体"/>
          <w:b/>
          <w:color w:val="auto"/>
          <w:sz w:val="24"/>
          <w:highlight w:val="none"/>
        </w:rPr>
      </w:pPr>
      <w:r>
        <w:rPr>
          <w:rFonts w:hint="eastAsia" w:ascii="宋体" w:hAnsi="宋体"/>
          <w:b/>
          <w:color w:val="auto"/>
          <w:sz w:val="30"/>
          <w:highlight w:val="none"/>
        </w:rPr>
        <w:t>首次报价一览表</w:t>
      </w:r>
      <w:r>
        <w:rPr>
          <w:rFonts w:hint="eastAsia" w:ascii="宋体" w:hAnsi="宋体"/>
          <w:b/>
          <w:color w:val="auto"/>
          <w:sz w:val="24"/>
          <w:highlight w:val="none"/>
        </w:rPr>
        <w:t xml:space="preserve"> </w:t>
      </w:r>
    </w:p>
    <w:p>
      <w:pPr>
        <w:spacing w:line="480" w:lineRule="exact"/>
        <w:ind w:left="480"/>
        <w:rPr>
          <w:rFonts w:ascii="宋体" w:hAnsi="宋体"/>
          <w:b/>
          <w:color w:val="auto"/>
          <w:sz w:val="30"/>
          <w:highlight w:val="none"/>
        </w:rPr>
      </w:pPr>
    </w:p>
    <w:p>
      <w:pPr>
        <w:spacing w:line="480" w:lineRule="exact"/>
        <w:jc w:val="center"/>
        <w:rPr>
          <w:rFonts w:ascii="宋体" w:hAnsi="宋体"/>
          <w:color w:val="auto"/>
          <w:highlight w:val="none"/>
        </w:rPr>
      </w:pPr>
      <w:r>
        <w:rPr>
          <w:rFonts w:hint="eastAsia" w:ascii="宋体" w:hAnsi="宋体"/>
          <w:color w:val="auto"/>
          <w:sz w:val="24"/>
          <w:highlight w:val="none"/>
        </w:rPr>
        <w:t xml:space="preserve">                                                                                       </w:t>
      </w:r>
    </w:p>
    <w:p>
      <w:pPr>
        <w:pStyle w:val="50"/>
        <w:spacing w:line="360" w:lineRule="auto"/>
        <w:ind w:right="480"/>
        <w:jc w:val="left"/>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240" w:firstLineChars="10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3"/>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6" w:type="pct"/>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2833" w:type="pct"/>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3"/>
              <w:jc w:val="center"/>
              <w:rPr>
                <w:rFonts w:ascii="宋体" w:hAnsi="宋体"/>
                <w:b/>
                <w:color w:val="auto"/>
                <w:sz w:val="24"/>
                <w:highlight w:val="none"/>
              </w:rPr>
            </w:pPr>
            <w:r>
              <w:rPr>
                <w:rFonts w:hint="eastAsia" w:ascii="宋体" w:hAnsi="宋体"/>
                <w:b/>
                <w:color w:val="auto"/>
                <w:sz w:val="24"/>
                <w:highlight w:val="none"/>
              </w:rPr>
              <w:t>总报价（人民币）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trPr>
        <w:tc>
          <w:tcPr>
            <w:tcW w:w="2166" w:type="pct"/>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台州市第一中学食堂二楼备餐间、洗碗间和新疆班卫生间改造工程项目</w:t>
            </w:r>
          </w:p>
        </w:tc>
        <w:tc>
          <w:tcPr>
            <w:tcW w:w="2833" w:type="pct"/>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firstLine="361" w:firstLineChars="150"/>
              <w:rPr>
                <w:rFonts w:ascii="宋体" w:hAnsi="宋体"/>
                <w:b/>
                <w:color w:val="auto"/>
                <w:sz w:val="24"/>
                <w:highlight w:val="none"/>
              </w:rPr>
            </w:pPr>
            <w:r>
              <w:rPr>
                <w:rFonts w:hint="eastAsia" w:ascii="宋体" w:hAnsi="宋体"/>
                <w:b/>
                <w:color w:val="auto"/>
                <w:sz w:val="24"/>
                <w:highlight w:val="none"/>
              </w:rPr>
              <w:t xml:space="preserve">大写：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p>
            <w:pPr>
              <w:tabs>
                <w:tab w:val="left" w:pos="8280"/>
              </w:tabs>
              <w:autoSpaceDE w:val="0"/>
              <w:autoSpaceDN w:val="0"/>
              <w:adjustRightInd w:val="0"/>
              <w:spacing w:line="360" w:lineRule="auto"/>
              <w:ind w:right="23" w:firstLine="361" w:firstLineChars="150"/>
              <w:rPr>
                <w:rFonts w:ascii="宋体" w:hAnsi="宋体"/>
                <w:b/>
                <w:color w:val="auto"/>
                <w:sz w:val="24"/>
                <w:highlight w:val="none"/>
              </w:rPr>
            </w:pPr>
            <w:r>
              <w:rPr>
                <w:rFonts w:hint="eastAsia" w:ascii="宋体" w:hAnsi="宋体"/>
                <w:b/>
                <w:color w:val="auto"/>
                <w:sz w:val="24"/>
                <w:highlight w:val="none"/>
              </w:rPr>
              <w:t xml:space="preserve">小写：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tc>
      </w:tr>
    </w:tbl>
    <w:p>
      <w:pPr>
        <w:spacing w:line="480" w:lineRule="exac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210" w:firstLineChars="100"/>
        <w:rPr>
          <w:rFonts w:ascii="宋体" w:hAnsi="宋体"/>
          <w:color w:val="auto"/>
          <w:sz w:val="24"/>
          <w:highlight w:val="none"/>
          <w:u w:val="single"/>
        </w:rPr>
      </w:pPr>
      <w:r>
        <w:rPr>
          <w:rFonts w:hint="eastAsia" w:ascii="宋体" w:hAnsi="宋体"/>
          <w:color w:val="auto"/>
          <w:szCs w:val="21"/>
          <w:highlight w:val="none"/>
        </w:rPr>
        <w:t>1.报价应包含完成本合同内容的全部费用。</w:t>
      </w:r>
    </w:p>
    <w:p>
      <w:pPr>
        <w:spacing w:line="360" w:lineRule="auto"/>
        <w:ind w:left="420"/>
        <w:rPr>
          <w:rFonts w:ascii="宋体" w:hAnsi="宋体"/>
          <w:color w:val="auto"/>
          <w:szCs w:val="21"/>
          <w:highlight w:val="none"/>
        </w:rPr>
      </w:pPr>
    </w:p>
    <w:p>
      <w:pPr>
        <w:spacing w:line="480" w:lineRule="exact"/>
        <w:rPr>
          <w:rFonts w:ascii="宋体" w:hAnsi="宋体"/>
          <w:color w:val="auto"/>
          <w:sz w:val="24"/>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spacing w:line="480" w:lineRule="exact"/>
        <w:ind w:firstLine="435"/>
        <w:rPr>
          <w:rFonts w:ascii="宋体" w:hAnsi="宋体"/>
          <w:color w:val="auto"/>
          <w:sz w:val="24"/>
          <w:highlight w:val="none"/>
        </w:rPr>
      </w:pPr>
    </w:p>
    <w:p>
      <w:pPr>
        <w:spacing w:line="480" w:lineRule="exact"/>
        <w:ind w:firstLine="315" w:firstLineChars="150"/>
        <w:rPr>
          <w:rFonts w:ascii="宋体" w:hAnsi="宋体"/>
          <w:color w:val="auto"/>
          <w:szCs w:val="21"/>
          <w:highlight w:val="none"/>
        </w:rPr>
      </w:pPr>
    </w:p>
    <w:p>
      <w:pPr>
        <w:pStyle w:val="28"/>
        <w:ind w:left="0" w:leftChars="0" w:firstLine="0"/>
        <w:rPr>
          <w:color w:val="auto"/>
          <w:highlight w:val="none"/>
        </w:rPr>
      </w:pPr>
    </w:p>
    <w:bookmarkEnd w:id="482"/>
    <w:sectPr>
      <w:footerReference r:id="rId11" w:type="default"/>
      <w:type w:val="continuous"/>
      <w:pgSz w:w="11906" w:h="16838"/>
      <w:pgMar w:top="1440" w:right="1418" w:bottom="1440"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1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NXPs8TcCAABgBAAADgAAAAAAAAABACAAAAAgAQAAZHJzL2Uyb0RvYy54&#10;bWxQSwUGAAAAAAYABgBZAQAAy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台州市政府采购竞争性磋商文件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1</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台州市政府采购竞争性磋商文件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台州市政府采购竞争性磋商文件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63</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10513862"/>
    <w:multiLevelType w:val="singleLevel"/>
    <w:tmpl w:val="10513862"/>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8C28C62"/>
    <w:multiLevelType w:val="singleLevel"/>
    <w:tmpl w:val="58C28C62"/>
    <w:lvl w:ilvl="0" w:tentative="0">
      <w:start w:val="1"/>
      <w:numFmt w:val="decimal"/>
      <w:suff w:val="nothing"/>
      <w:lvlText w:val="（%1）"/>
      <w:lvlJc w:val="left"/>
      <w:rPr>
        <w:rFonts w:cs="Times New Roman"/>
      </w:rPr>
    </w:lvl>
  </w:abstractNum>
  <w:abstractNum w:abstractNumId="6">
    <w:nsid w:val="59BF3C4E"/>
    <w:multiLevelType w:val="singleLevel"/>
    <w:tmpl w:val="59BF3C4E"/>
    <w:lvl w:ilvl="0" w:tentative="0">
      <w:start w:val="8"/>
      <w:numFmt w:val="decimal"/>
      <w:suff w:val="space"/>
      <w:lvlText w:val="%1."/>
      <w:lvlJc w:val="left"/>
      <w:rPr>
        <w:rFonts w:cs="Times New Roman"/>
      </w:rPr>
    </w:lvl>
  </w:abstractNum>
  <w:abstractNum w:abstractNumId="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num w:numId="1">
    <w:abstractNumId w:val="7"/>
  </w:num>
  <w:num w:numId="2">
    <w:abstractNumId w:val="2"/>
  </w:num>
  <w:num w:numId="3">
    <w:abstractNumId w:val="8"/>
  </w:num>
  <w:num w:numId="4">
    <w:abstractNumId w:val="4"/>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YxN2FlODQwNmI4NDBhMmQyMDBmMmZlYzI2YmEifQ=="/>
    <w:docVar w:name="KSO_WPS_MARK_KEY" w:val="f0ce8bea-35d6-4c43-a8a3-1e5efb5eec78"/>
  </w:docVars>
  <w:rsids>
    <w:rsidRoot w:val="685F2B0C"/>
    <w:rsid w:val="0000328D"/>
    <w:rsid w:val="00013D68"/>
    <w:rsid w:val="00017B59"/>
    <w:rsid w:val="00021B42"/>
    <w:rsid w:val="0002618D"/>
    <w:rsid w:val="00033DBF"/>
    <w:rsid w:val="000516FC"/>
    <w:rsid w:val="00057D24"/>
    <w:rsid w:val="0006677E"/>
    <w:rsid w:val="00072FEE"/>
    <w:rsid w:val="0007403C"/>
    <w:rsid w:val="00076351"/>
    <w:rsid w:val="00090E7E"/>
    <w:rsid w:val="000A395C"/>
    <w:rsid w:val="000A4BB7"/>
    <w:rsid w:val="000B0B55"/>
    <w:rsid w:val="000B3A9B"/>
    <w:rsid w:val="000C5CB8"/>
    <w:rsid w:val="000D20CD"/>
    <w:rsid w:val="000D26BE"/>
    <w:rsid w:val="000D5E35"/>
    <w:rsid w:val="000E3C1D"/>
    <w:rsid w:val="000E4BB9"/>
    <w:rsid w:val="000F0925"/>
    <w:rsid w:val="000F183B"/>
    <w:rsid w:val="000F34AF"/>
    <w:rsid w:val="00104467"/>
    <w:rsid w:val="00107D68"/>
    <w:rsid w:val="00114FBD"/>
    <w:rsid w:val="001171C5"/>
    <w:rsid w:val="0013521E"/>
    <w:rsid w:val="00135E83"/>
    <w:rsid w:val="0014312B"/>
    <w:rsid w:val="00147331"/>
    <w:rsid w:val="001716E7"/>
    <w:rsid w:val="00177AAC"/>
    <w:rsid w:val="00186161"/>
    <w:rsid w:val="00190DE8"/>
    <w:rsid w:val="001918DB"/>
    <w:rsid w:val="00192B2C"/>
    <w:rsid w:val="00196092"/>
    <w:rsid w:val="0019790F"/>
    <w:rsid w:val="001A184E"/>
    <w:rsid w:val="001A66C5"/>
    <w:rsid w:val="001A7D78"/>
    <w:rsid w:val="001B051F"/>
    <w:rsid w:val="001B1287"/>
    <w:rsid w:val="001C14A8"/>
    <w:rsid w:val="001C3F27"/>
    <w:rsid w:val="001C6CFD"/>
    <w:rsid w:val="001E5683"/>
    <w:rsid w:val="001E74E3"/>
    <w:rsid w:val="001F24B4"/>
    <w:rsid w:val="001F71C9"/>
    <w:rsid w:val="002043A1"/>
    <w:rsid w:val="002056B2"/>
    <w:rsid w:val="0021227B"/>
    <w:rsid w:val="00224039"/>
    <w:rsid w:val="002246D7"/>
    <w:rsid w:val="002321F3"/>
    <w:rsid w:val="0023468B"/>
    <w:rsid w:val="002404B5"/>
    <w:rsid w:val="00240FAA"/>
    <w:rsid w:val="00245669"/>
    <w:rsid w:val="00250CDA"/>
    <w:rsid w:val="002651A4"/>
    <w:rsid w:val="00267F83"/>
    <w:rsid w:val="00282CB1"/>
    <w:rsid w:val="00286F33"/>
    <w:rsid w:val="00291C5F"/>
    <w:rsid w:val="00294F04"/>
    <w:rsid w:val="002A5F23"/>
    <w:rsid w:val="002B11CB"/>
    <w:rsid w:val="002B63E7"/>
    <w:rsid w:val="002B7BD0"/>
    <w:rsid w:val="002D298A"/>
    <w:rsid w:val="002E2913"/>
    <w:rsid w:val="002F1EEC"/>
    <w:rsid w:val="002F707D"/>
    <w:rsid w:val="002F7C0F"/>
    <w:rsid w:val="00315916"/>
    <w:rsid w:val="00320E4A"/>
    <w:rsid w:val="0032293D"/>
    <w:rsid w:val="00346F2A"/>
    <w:rsid w:val="0034707D"/>
    <w:rsid w:val="00351121"/>
    <w:rsid w:val="00353148"/>
    <w:rsid w:val="00353231"/>
    <w:rsid w:val="003569FA"/>
    <w:rsid w:val="00366FA4"/>
    <w:rsid w:val="0037287D"/>
    <w:rsid w:val="00377B09"/>
    <w:rsid w:val="0038026F"/>
    <w:rsid w:val="00380D6A"/>
    <w:rsid w:val="00386741"/>
    <w:rsid w:val="003907BE"/>
    <w:rsid w:val="003B2E29"/>
    <w:rsid w:val="003B6650"/>
    <w:rsid w:val="003D1966"/>
    <w:rsid w:val="003D3AB9"/>
    <w:rsid w:val="003E2217"/>
    <w:rsid w:val="003E41A8"/>
    <w:rsid w:val="003F2A98"/>
    <w:rsid w:val="0040132F"/>
    <w:rsid w:val="0040501D"/>
    <w:rsid w:val="004221A1"/>
    <w:rsid w:val="00425114"/>
    <w:rsid w:val="00425838"/>
    <w:rsid w:val="00431C49"/>
    <w:rsid w:val="004332D6"/>
    <w:rsid w:val="00433C77"/>
    <w:rsid w:val="00436F96"/>
    <w:rsid w:val="00440BF3"/>
    <w:rsid w:val="004413D9"/>
    <w:rsid w:val="00441CA2"/>
    <w:rsid w:val="00442934"/>
    <w:rsid w:val="00446460"/>
    <w:rsid w:val="00455A64"/>
    <w:rsid w:val="00463175"/>
    <w:rsid w:val="00464C67"/>
    <w:rsid w:val="00467259"/>
    <w:rsid w:val="00471C22"/>
    <w:rsid w:val="00474993"/>
    <w:rsid w:val="0047732E"/>
    <w:rsid w:val="00491AA0"/>
    <w:rsid w:val="00492E96"/>
    <w:rsid w:val="00494287"/>
    <w:rsid w:val="004A4341"/>
    <w:rsid w:val="004A4824"/>
    <w:rsid w:val="004B3BBE"/>
    <w:rsid w:val="004B682B"/>
    <w:rsid w:val="004C3AE1"/>
    <w:rsid w:val="004D6486"/>
    <w:rsid w:val="004F0712"/>
    <w:rsid w:val="004F347B"/>
    <w:rsid w:val="00506521"/>
    <w:rsid w:val="00521F38"/>
    <w:rsid w:val="00526952"/>
    <w:rsid w:val="00531303"/>
    <w:rsid w:val="00541EE2"/>
    <w:rsid w:val="00545E12"/>
    <w:rsid w:val="00550205"/>
    <w:rsid w:val="005568F7"/>
    <w:rsid w:val="00557C12"/>
    <w:rsid w:val="005606A4"/>
    <w:rsid w:val="005632E7"/>
    <w:rsid w:val="005635EA"/>
    <w:rsid w:val="005669CE"/>
    <w:rsid w:val="005864B2"/>
    <w:rsid w:val="00587B2C"/>
    <w:rsid w:val="00594624"/>
    <w:rsid w:val="00596D59"/>
    <w:rsid w:val="005A038E"/>
    <w:rsid w:val="005A3249"/>
    <w:rsid w:val="005A5509"/>
    <w:rsid w:val="005C6FCC"/>
    <w:rsid w:val="005D3966"/>
    <w:rsid w:val="005D4AC0"/>
    <w:rsid w:val="005D74EC"/>
    <w:rsid w:val="005E4916"/>
    <w:rsid w:val="006032C9"/>
    <w:rsid w:val="006039A1"/>
    <w:rsid w:val="00605FCC"/>
    <w:rsid w:val="006205E9"/>
    <w:rsid w:val="0064089D"/>
    <w:rsid w:val="0064090A"/>
    <w:rsid w:val="00640DDE"/>
    <w:rsid w:val="006414CA"/>
    <w:rsid w:val="006512A5"/>
    <w:rsid w:val="00667887"/>
    <w:rsid w:val="00670A8F"/>
    <w:rsid w:val="00673898"/>
    <w:rsid w:val="006747CC"/>
    <w:rsid w:val="0067707A"/>
    <w:rsid w:val="006823F5"/>
    <w:rsid w:val="006838C6"/>
    <w:rsid w:val="00692BB0"/>
    <w:rsid w:val="006951E5"/>
    <w:rsid w:val="00696033"/>
    <w:rsid w:val="006A3851"/>
    <w:rsid w:val="006A52A4"/>
    <w:rsid w:val="006A71FE"/>
    <w:rsid w:val="006B7EA5"/>
    <w:rsid w:val="006D2D54"/>
    <w:rsid w:val="006D5D05"/>
    <w:rsid w:val="006E1229"/>
    <w:rsid w:val="006F2372"/>
    <w:rsid w:val="006F492A"/>
    <w:rsid w:val="00702348"/>
    <w:rsid w:val="00705E47"/>
    <w:rsid w:val="00717882"/>
    <w:rsid w:val="00720DC6"/>
    <w:rsid w:val="00734BDC"/>
    <w:rsid w:val="0073607F"/>
    <w:rsid w:val="007406E0"/>
    <w:rsid w:val="00742512"/>
    <w:rsid w:val="0074647A"/>
    <w:rsid w:val="00750E70"/>
    <w:rsid w:val="00762E46"/>
    <w:rsid w:val="00765722"/>
    <w:rsid w:val="00767901"/>
    <w:rsid w:val="007728E9"/>
    <w:rsid w:val="00775FD6"/>
    <w:rsid w:val="00791044"/>
    <w:rsid w:val="007A069B"/>
    <w:rsid w:val="007A69F6"/>
    <w:rsid w:val="007B3E3E"/>
    <w:rsid w:val="007B51ED"/>
    <w:rsid w:val="007B5C1C"/>
    <w:rsid w:val="007B6F4D"/>
    <w:rsid w:val="007C4012"/>
    <w:rsid w:val="007D1324"/>
    <w:rsid w:val="007E0D72"/>
    <w:rsid w:val="007E5549"/>
    <w:rsid w:val="007F0B05"/>
    <w:rsid w:val="007F1F2A"/>
    <w:rsid w:val="008049E1"/>
    <w:rsid w:val="008111CE"/>
    <w:rsid w:val="00814B8A"/>
    <w:rsid w:val="008279AF"/>
    <w:rsid w:val="00827F1C"/>
    <w:rsid w:val="008307C2"/>
    <w:rsid w:val="00836DB5"/>
    <w:rsid w:val="00837985"/>
    <w:rsid w:val="0084109F"/>
    <w:rsid w:val="00842F60"/>
    <w:rsid w:val="00853FDF"/>
    <w:rsid w:val="008550DA"/>
    <w:rsid w:val="00864E0A"/>
    <w:rsid w:val="00872D24"/>
    <w:rsid w:val="008766DF"/>
    <w:rsid w:val="00882337"/>
    <w:rsid w:val="00890D6D"/>
    <w:rsid w:val="008933B7"/>
    <w:rsid w:val="0089777C"/>
    <w:rsid w:val="008A3A28"/>
    <w:rsid w:val="008A65C8"/>
    <w:rsid w:val="008B16C4"/>
    <w:rsid w:val="008B66CF"/>
    <w:rsid w:val="008B784D"/>
    <w:rsid w:val="008C14A5"/>
    <w:rsid w:val="008C2C9D"/>
    <w:rsid w:val="008C7834"/>
    <w:rsid w:val="008D5DAB"/>
    <w:rsid w:val="008F1797"/>
    <w:rsid w:val="008F3885"/>
    <w:rsid w:val="00903A9B"/>
    <w:rsid w:val="009325F0"/>
    <w:rsid w:val="00932D08"/>
    <w:rsid w:val="00940759"/>
    <w:rsid w:val="00942ADC"/>
    <w:rsid w:val="009458D6"/>
    <w:rsid w:val="00950487"/>
    <w:rsid w:val="00952EC8"/>
    <w:rsid w:val="00955519"/>
    <w:rsid w:val="0096506A"/>
    <w:rsid w:val="00975CCA"/>
    <w:rsid w:val="009777E7"/>
    <w:rsid w:val="00984C9F"/>
    <w:rsid w:val="00987EDA"/>
    <w:rsid w:val="00992114"/>
    <w:rsid w:val="009A276B"/>
    <w:rsid w:val="009A5D3E"/>
    <w:rsid w:val="009C5882"/>
    <w:rsid w:val="009C6960"/>
    <w:rsid w:val="00A167A4"/>
    <w:rsid w:val="00A16C62"/>
    <w:rsid w:val="00A20359"/>
    <w:rsid w:val="00A25A12"/>
    <w:rsid w:val="00A308A1"/>
    <w:rsid w:val="00A3246C"/>
    <w:rsid w:val="00A351AC"/>
    <w:rsid w:val="00A40E8B"/>
    <w:rsid w:val="00A42FF8"/>
    <w:rsid w:val="00A537C7"/>
    <w:rsid w:val="00A53C1A"/>
    <w:rsid w:val="00A56EEE"/>
    <w:rsid w:val="00A81B8B"/>
    <w:rsid w:val="00A833EA"/>
    <w:rsid w:val="00A87973"/>
    <w:rsid w:val="00A921FD"/>
    <w:rsid w:val="00A948B7"/>
    <w:rsid w:val="00A96D55"/>
    <w:rsid w:val="00A979AB"/>
    <w:rsid w:val="00AB49B7"/>
    <w:rsid w:val="00AD7C91"/>
    <w:rsid w:val="00AE55E8"/>
    <w:rsid w:val="00AF1584"/>
    <w:rsid w:val="00B000D2"/>
    <w:rsid w:val="00B00293"/>
    <w:rsid w:val="00B03C2A"/>
    <w:rsid w:val="00B03CDB"/>
    <w:rsid w:val="00B11A3F"/>
    <w:rsid w:val="00B11FAD"/>
    <w:rsid w:val="00B1325A"/>
    <w:rsid w:val="00B205EA"/>
    <w:rsid w:val="00B25759"/>
    <w:rsid w:val="00B25E1A"/>
    <w:rsid w:val="00B26CFD"/>
    <w:rsid w:val="00B32E29"/>
    <w:rsid w:val="00B359E0"/>
    <w:rsid w:val="00B43623"/>
    <w:rsid w:val="00B44D26"/>
    <w:rsid w:val="00B500CF"/>
    <w:rsid w:val="00B53551"/>
    <w:rsid w:val="00B57D78"/>
    <w:rsid w:val="00B65B84"/>
    <w:rsid w:val="00B702CD"/>
    <w:rsid w:val="00B74EA4"/>
    <w:rsid w:val="00B751F3"/>
    <w:rsid w:val="00B84C1F"/>
    <w:rsid w:val="00B92475"/>
    <w:rsid w:val="00B94D4F"/>
    <w:rsid w:val="00B95B9B"/>
    <w:rsid w:val="00BA253D"/>
    <w:rsid w:val="00BB244F"/>
    <w:rsid w:val="00BB432E"/>
    <w:rsid w:val="00BB790C"/>
    <w:rsid w:val="00BC1B19"/>
    <w:rsid w:val="00BC4F3B"/>
    <w:rsid w:val="00BC77AA"/>
    <w:rsid w:val="00BD0799"/>
    <w:rsid w:val="00BE027D"/>
    <w:rsid w:val="00BF19F1"/>
    <w:rsid w:val="00BF69C5"/>
    <w:rsid w:val="00C00575"/>
    <w:rsid w:val="00C04262"/>
    <w:rsid w:val="00C059B3"/>
    <w:rsid w:val="00C175B4"/>
    <w:rsid w:val="00C207EC"/>
    <w:rsid w:val="00C2134B"/>
    <w:rsid w:val="00C231D4"/>
    <w:rsid w:val="00C266C9"/>
    <w:rsid w:val="00C344A2"/>
    <w:rsid w:val="00C4286B"/>
    <w:rsid w:val="00C51D50"/>
    <w:rsid w:val="00C652B6"/>
    <w:rsid w:val="00C77414"/>
    <w:rsid w:val="00C857E5"/>
    <w:rsid w:val="00C86512"/>
    <w:rsid w:val="00CA4AD5"/>
    <w:rsid w:val="00CA72CD"/>
    <w:rsid w:val="00CC173D"/>
    <w:rsid w:val="00CC186F"/>
    <w:rsid w:val="00CC3302"/>
    <w:rsid w:val="00CC53AC"/>
    <w:rsid w:val="00CD762E"/>
    <w:rsid w:val="00CE05D2"/>
    <w:rsid w:val="00D00593"/>
    <w:rsid w:val="00D0339A"/>
    <w:rsid w:val="00D138B9"/>
    <w:rsid w:val="00D226FE"/>
    <w:rsid w:val="00D321AD"/>
    <w:rsid w:val="00D35563"/>
    <w:rsid w:val="00D35B18"/>
    <w:rsid w:val="00D476B8"/>
    <w:rsid w:val="00D5522B"/>
    <w:rsid w:val="00D57FF3"/>
    <w:rsid w:val="00D60BC4"/>
    <w:rsid w:val="00D7148B"/>
    <w:rsid w:val="00D76643"/>
    <w:rsid w:val="00D903D0"/>
    <w:rsid w:val="00D90A7E"/>
    <w:rsid w:val="00D9612A"/>
    <w:rsid w:val="00DA287C"/>
    <w:rsid w:val="00DA308F"/>
    <w:rsid w:val="00DA79DC"/>
    <w:rsid w:val="00DB2D70"/>
    <w:rsid w:val="00DB48EC"/>
    <w:rsid w:val="00DC1460"/>
    <w:rsid w:val="00DC2FE2"/>
    <w:rsid w:val="00DE3EEE"/>
    <w:rsid w:val="00DF0296"/>
    <w:rsid w:val="00DF4BA9"/>
    <w:rsid w:val="00DF5E78"/>
    <w:rsid w:val="00E028D4"/>
    <w:rsid w:val="00E165F2"/>
    <w:rsid w:val="00E36765"/>
    <w:rsid w:val="00E41CF8"/>
    <w:rsid w:val="00E44733"/>
    <w:rsid w:val="00E51936"/>
    <w:rsid w:val="00E51CBA"/>
    <w:rsid w:val="00E62226"/>
    <w:rsid w:val="00E82AFA"/>
    <w:rsid w:val="00E90410"/>
    <w:rsid w:val="00E909C4"/>
    <w:rsid w:val="00E9505E"/>
    <w:rsid w:val="00EB0AE1"/>
    <w:rsid w:val="00EC47C9"/>
    <w:rsid w:val="00ED13E1"/>
    <w:rsid w:val="00EE4D55"/>
    <w:rsid w:val="00EE6468"/>
    <w:rsid w:val="00EE6E3D"/>
    <w:rsid w:val="00EF7A92"/>
    <w:rsid w:val="00F05979"/>
    <w:rsid w:val="00F1334D"/>
    <w:rsid w:val="00F1616C"/>
    <w:rsid w:val="00F232AF"/>
    <w:rsid w:val="00F246B5"/>
    <w:rsid w:val="00F27C47"/>
    <w:rsid w:val="00F41CA5"/>
    <w:rsid w:val="00F45A9E"/>
    <w:rsid w:val="00F54DFE"/>
    <w:rsid w:val="00F55A57"/>
    <w:rsid w:val="00F71540"/>
    <w:rsid w:val="00F8697C"/>
    <w:rsid w:val="00F86FEC"/>
    <w:rsid w:val="00F91EF2"/>
    <w:rsid w:val="00F95BB0"/>
    <w:rsid w:val="00F96E60"/>
    <w:rsid w:val="00FA0CFE"/>
    <w:rsid w:val="00FA0EF5"/>
    <w:rsid w:val="00FA43DE"/>
    <w:rsid w:val="00FA7E94"/>
    <w:rsid w:val="00FB2F97"/>
    <w:rsid w:val="00FB5646"/>
    <w:rsid w:val="00FB73BF"/>
    <w:rsid w:val="00FB7B25"/>
    <w:rsid w:val="00FC231E"/>
    <w:rsid w:val="00FC5627"/>
    <w:rsid w:val="00FD2B1A"/>
    <w:rsid w:val="00FE456A"/>
    <w:rsid w:val="00FF2848"/>
    <w:rsid w:val="00FF4D75"/>
    <w:rsid w:val="010742D5"/>
    <w:rsid w:val="010F7FF3"/>
    <w:rsid w:val="011F460A"/>
    <w:rsid w:val="013D69DB"/>
    <w:rsid w:val="017B5E87"/>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675DA8"/>
    <w:rsid w:val="049D3746"/>
    <w:rsid w:val="049E081A"/>
    <w:rsid w:val="04A0717A"/>
    <w:rsid w:val="04C42869"/>
    <w:rsid w:val="04D80590"/>
    <w:rsid w:val="05A87DBC"/>
    <w:rsid w:val="05B01B1D"/>
    <w:rsid w:val="06086706"/>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A4175A"/>
    <w:rsid w:val="12BB2C5B"/>
    <w:rsid w:val="12CF4115"/>
    <w:rsid w:val="130B6440"/>
    <w:rsid w:val="134C77A5"/>
    <w:rsid w:val="13731B39"/>
    <w:rsid w:val="13815663"/>
    <w:rsid w:val="13C30E6E"/>
    <w:rsid w:val="13E56991"/>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88249A"/>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287509"/>
    <w:rsid w:val="233E4105"/>
    <w:rsid w:val="23666663"/>
    <w:rsid w:val="23693289"/>
    <w:rsid w:val="239147E1"/>
    <w:rsid w:val="23BB34F7"/>
    <w:rsid w:val="23C01E68"/>
    <w:rsid w:val="243B4C5D"/>
    <w:rsid w:val="24FD6DFA"/>
    <w:rsid w:val="24FE0E05"/>
    <w:rsid w:val="25A9590D"/>
    <w:rsid w:val="25AF3989"/>
    <w:rsid w:val="25B303CF"/>
    <w:rsid w:val="25C73339"/>
    <w:rsid w:val="25D43D29"/>
    <w:rsid w:val="25D62822"/>
    <w:rsid w:val="25EA40DF"/>
    <w:rsid w:val="25FC409C"/>
    <w:rsid w:val="26037DA0"/>
    <w:rsid w:val="266A24B5"/>
    <w:rsid w:val="266C7CA7"/>
    <w:rsid w:val="26B424FB"/>
    <w:rsid w:val="27116F14"/>
    <w:rsid w:val="27795787"/>
    <w:rsid w:val="27881ACA"/>
    <w:rsid w:val="27F30C40"/>
    <w:rsid w:val="28445F24"/>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251BC9"/>
    <w:rsid w:val="2C517394"/>
    <w:rsid w:val="2C587AD3"/>
    <w:rsid w:val="2C7E6429"/>
    <w:rsid w:val="2C8206F9"/>
    <w:rsid w:val="2C834754"/>
    <w:rsid w:val="2C963671"/>
    <w:rsid w:val="2C9D4F34"/>
    <w:rsid w:val="2C9F7276"/>
    <w:rsid w:val="2CA2073A"/>
    <w:rsid w:val="2CB57537"/>
    <w:rsid w:val="2CE141E1"/>
    <w:rsid w:val="2D1C1443"/>
    <w:rsid w:val="2D84410B"/>
    <w:rsid w:val="2D8C3A4E"/>
    <w:rsid w:val="2DAB174B"/>
    <w:rsid w:val="2DAC3053"/>
    <w:rsid w:val="2E0320EB"/>
    <w:rsid w:val="2E125FC1"/>
    <w:rsid w:val="2E1B69A2"/>
    <w:rsid w:val="2E354929"/>
    <w:rsid w:val="2E696227"/>
    <w:rsid w:val="2E7B072C"/>
    <w:rsid w:val="2EF410B7"/>
    <w:rsid w:val="2F011E82"/>
    <w:rsid w:val="2F177C3F"/>
    <w:rsid w:val="2F631DFD"/>
    <w:rsid w:val="2F6858EF"/>
    <w:rsid w:val="2F8F12D1"/>
    <w:rsid w:val="2FA71114"/>
    <w:rsid w:val="2FBD3EFE"/>
    <w:rsid w:val="2FE06B43"/>
    <w:rsid w:val="2FF93253"/>
    <w:rsid w:val="3046030C"/>
    <w:rsid w:val="304D28E8"/>
    <w:rsid w:val="30576C83"/>
    <w:rsid w:val="30670F4B"/>
    <w:rsid w:val="307770A8"/>
    <w:rsid w:val="30D72609"/>
    <w:rsid w:val="30FD1799"/>
    <w:rsid w:val="312A215B"/>
    <w:rsid w:val="31AB540D"/>
    <w:rsid w:val="31B57A67"/>
    <w:rsid w:val="31F436E7"/>
    <w:rsid w:val="32413B97"/>
    <w:rsid w:val="324C0B81"/>
    <w:rsid w:val="328D576F"/>
    <w:rsid w:val="33091096"/>
    <w:rsid w:val="331C15B8"/>
    <w:rsid w:val="33232830"/>
    <w:rsid w:val="33290907"/>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813352"/>
    <w:rsid w:val="36A52258"/>
    <w:rsid w:val="36B77A33"/>
    <w:rsid w:val="36C54300"/>
    <w:rsid w:val="36FC06E4"/>
    <w:rsid w:val="370944C8"/>
    <w:rsid w:val="37182A56"/>
    <w:rsid w:val="372D27B8"/>
    <w:rsid w:val="37533A9C"/>
    <w:rsid w:val="37907B88"/>
    <w:rsid w:val="37930872"/>
    <w:rsid w:val="37AC0A3F"/>
    <w:rsid w:val="37DB78A9"/>
    <w:rsid w:val="37EE6B00"/>
    <w:rsid w:val="38053C44"/>
    <w:rsid w:val="383F153C"/>
    <w:rsid w:val="384910F0"/>
    <w:rsid w:val="388C0FB2"/>
    <w:rsid w:val="38B03176"/>
    <w:rsid w:val="38D123DD"/>
    <w:rsid w:val="38DB36C3"/>
    <w:rsid w:val="390169CA"/>
    <w:rsid w:val="39150581"/>
    <w:rsid w:val="392F5095"/>
    <w:rsid w:val="39465433"/>
    <w:rsid w:val="39561D5A"/>
    <w:rsid w:val="395B6912"/>
    <w:rsid w:val="397F2D08"/>
    <w:rsid w:val="398C4AF2"/>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727D0E"/>
    <w:rsid w:val="3CB16103"/>
    <w:rsid w:val="3CB2101F"/>
    <w:rsid w:val="3CBD35C8"/>
    <w:rsid w:val="3CBF1A99"/>
    <w:rsid w:val="3CC764A1"/>
    <w:rsid w:val="3D097312"/>
    <w:rsid w:val="3D1001E1"/>
    <w:rsid w:val="3D2F6909"/>
    <w:rsid w:val="3D334F31"/>
    <w:rsid w:val="3DAE0624"/>
    <w:rsid w:val="3DE113F3"/>
    <w:rsid w:val="3E1E7238"/>
    <w:rsid w:val="3EB648CC"/>
    <w:rsid w:val="3EBD28B3"/>
    <w:rsid w:val="3ECC2AA4"/>
    <w:rsid w:val="3F506818"/>
    <w:rsid w:val="3FE36C1C"/>
    <w:rsid w:val="3FEB19D5"/>
    <w:rsid w:val="40225416"/>
    <w:rsid w:val="40323D4B"/>
    <w:rsid w:val="4036153F"/>
    <w:rsid w:val="40A30A33"/>
    <w:rsid w:val="40BD7FC0"/>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1D020A"/>
    <w:rsid w:val="452905F3"/>
    <w:rsid w:val="4579070F"/>
    <w:rsid w:val="457E6F7B"/>
    <w:rsid w:val="45FD70DB"/>
    <w:rsid w:val="464C3285"/>
    <w:rsid w:val="468509D2"/>
    <w:rsid w:val="46861DC9"/>
    <w:rsid w:val="46894D0A"/>
    <w:rsid w:val="46977D08"/>
    <w:rsid w:val="46BA6241"/>
    <w:rsid w:val="46BC0687"/>
    <w:rsid w:val="46D14AE8"/>
    <w:rsid w:val="46DA670B"/>
    <w:rsid w:val="46F40267"/>
    <w:rsid w:val="47105EA9"/>
    <w:rsid w:val="471332ED"/>
    <w:rsid w:val="47CC7D6B"/>
    <w:rsid w:val="47D27940"/>
    <w:rsid w:val="47DE0285"/>
    <w:rsid w:val="47F77566"/>
    <w:rsid w:val="47F90DC6"/>
    <w:rsid w:val="48013092"/>
    <w:rsid w:val="480F670E"/>
    <w:rsid w:val="481A78B1"/>
    <w:rsid w:val="481C1F20"/>
    <w:rsid w:val="48266AF3"/>
    <w:rsid w:val="48701663"/>
    <w:rsid w:val="48801F0A"/>
    <w:rsid w:val="489C7EA5"/>
    <w:rsid w:val="48BA1F20"/>
    <w:rsid w:val="48D75037"/>
    <w:rsid w:val="49267F46"/>
    <w:rsid w:val="493E3C2D"/>
    <w:rsid w:val="49470F79"/>
    <w:rsid w:val="494730DF"/>
    <w:rsid w:val="494B7F85"/>
    <w:rsid w:val="497C5511"/>
    <w:rsid w:val="49B65DC9"/>
    <w:rsid w:val="49E2412D"/>
    <w:rsid w:val="49E82B6B"/>
    <w:rsid w:val="4A151D89"/>
    <w:rsid w:val="4A321DB6"/>
    <w:rsid w:val="4A7674C1"/>
    <w:rsid w:val="4A812381"/>
    <w:rsid w:val="4B5F395F"/>
    <w:rsid w:val="4B7A6EF9"/>
    <w:rsid w:val="4BE81CD3"/>
    <w:rsid w:val="4C3B51D7"/>
    <w:rsid w:val="4C735908"/>
    <w:rsid w:val="4C7D3C4D"/>
    <w:rsid w:val="4C9743B6"/>
    <w:rsid w:val="4CCC503A"/>
    <w:rsid w:val="4CEB6172"/>
    <w:rsid w:val="4D345922"/>
    <w:rsid w:val="4D670A85"/>
    <w:rsid w:val="4D756665"/>
    <w:rsid w:val="4D806473"/>
    <w:rsid w:val="4DB87F6B"/>
    <w:rsid w:val="4DF85FC0"/>
    <w:rsid w:val="4E15408C"/>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2F42171"/>
    <w:rsid w:val="531E2D03"/>
    <w:rsid w:val="532513E5"/>
    <w:rsid w:val="53477E2E"/>
    <w:rsid w:val="53BC34C4"/>
    <w:rsid w:val="53CE29B7"/>
    <w:rsid w:val="54210DD6"/>
    <w:rsid w:val="543F5D07"/>
    <w:rsid w:val="54451376"/>
    <w:rsid w:val="545C6A17"/>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6D604E"/>
    <w:rsid w:val="57AA5D1A"/>
    <w:rsid w:val="57BB22E7"/>
    <w:rsid w:val="57F64E7F"/>
    <w:rsid w:val="57F67BD6"/>
    <w:rsid w:val="58135758"/>
    <w:rsid w:val="58372026"/>
    <w:rsid w:val="587316C8"/>
    <w:rsid w:val="58800EF9"/>
    <w:rsid w:val="58B14644"/>
    <w:rsid w:val="5920032E"/>
    <w:rsid w:val="592233B5"/>
    <w:rsid w:val="594E58E1"/>
    <w:rsid w:val="5975560F"/>
    <w:rsid w:val="597E3F8E"/>
    <w:rsid w:val="59AF07EA"/>
    <w:rsid w:val="59BB38EE"/>
    <w:rsid w:val="59BD150F"/>
    <w:rsid w:val="59DC1D4F"/>
    <w:rsid w:val="59FE08FA"/>
    <w:rsid w:val="5A5640E0"/>
    <w:rsid w:val="5AC34C92"/>
    <w:rsid w:val="5ACF7403"/>
    <w:rsid w:val="5AD56953"/>
    <w:rsid w:val="5B040ECB"/>
    <w:rsid w:val="5B46719F"/>
    <w:rsid w:val="5BA42A14"/>
    <w:rsid w:val="5BDF212D"/>
    <w:rsid w:val="5BF91159"/>
    <w:rsid w:val="5C253B0A"/>
    <w:rsid w:val="5C2661F8"/>
    <w:rsid w:val="5C2B5AC7"/>
    <w:rsid w:val="5C342CD9"/>
    <w:rsid w:val="5C352A17"/>
    <w:rsid w:val="5C36681F"/>
    <w:rsid w:val="5C931B3A"/>
    <w:rsid w:val="5CE51647"/>
    <w:rsid w:val="5CFB3662"/>
    <w:rsid w:val="5D0B0214"/>
    <w:rsid w:val="5D1A0A42"/>
    <w:rsid w:val="5D4F1710"/>
    <w:rsid w:val="5D5D7F5C"/>
    <w:rsid w:val="5D71045F"/>
    <w:rsid w:val="5D8543BA"/>
    <w:rsid w:val="5D904778"/>
    <w:rsid w:val="5D9E16C8"/>
    <w:rsid w:val="5DB7371B"/>
    <w:rsid w:val="5DF04321"/>
    <w:rsid w:val="5E063CB4"/>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67529"/>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D062E3"/>
    <w:rsid w:val="63E6795E"/>
    <w:rsid w:val="641222ED"/>
    <w:rsid w:val="642B5582"/>
    <w:rsid w:val="64486B46"/>
    <w:rsid w:val="64643953"/>
    <w:rsid w:val="64654D54"/>
    <w:rsid w:val="64FB2F8F"/>
    <w:rsid w:val="650D6333"/>
    <w:rsid w:val="654908E4"/>
    <w:rsid w:val="656A6C63"/>
    <w:rsid w:val="657D5FF6"/>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A19AA"/>
    <w:rsid w:val="678E3970"/>
    <w:rsid w:val="67905785"/>
    <w:rsid w:val="67D547F3"/>
    <w:rsid w:val="67D85766"/>
    <w:rsid w:val="67E324DD"/>
    <w:rsid w:val="680C40CD"/>
    <w:rsid w:val="683B3D7E"/>
    <w:rsid w:val="685F2B0C"/>
    <w:rsid w:val="686E4CA0"/>
    <w:rsid w:val="686F6E6A"/>
    <w:rsid w:val="68840F3C"/>
    <w:rsid w:val="68B631F6"/>
    <w:rsid w:val="68BF2482"/>
    <w:rsid w:val="69520443"/>
    <w:rsid w:val="69B72806"/>
    <w:rsid w:val="69BD41F9"/>
    <w:rsid w:val="69C21FC2"/>
    <w:rsid w:val="69C52477"/>
    <w:rsid w:val="69CE3188"/>
    <w:rsid w:val="69E54E74"/>
    <w:rsid w:val="69F431E5"/>
    <w:rsid w:val="6A3A3987"/>
    <w:rsid w:val="6AD5470C"/>
    <w:rsid w:val="6AE7435F"/>
    <w:rsid w:val="6AE944A4"/>
    <w:rsid w:val="6AF00364"/>
    <w:rsid w:val="6B4E6ABF"/>
    <w:rsid w:val="6B560490"/>
    <w:rsid w:val="6B6150FB"/>
    <w:rsid w:val="6BAE2EC2"/>
    <w:rsid w:val="6BBC7D3D"/>
    <w:rsid w:val="6C253A83"/>
    <w:rsid w:val="6C256815"/>
    <w:rsid w:val="6C4C1DDE"/>
    <w:rsid w:val="6C526267"/>
    <w:rsid w:val="6C9F2B60"/>
    <w:rsid w:val="6CFB748C"/>
    <w:rsid w:val="6CFD78A4"/>
    <w:rsid w:val="6D272E6C"/>
    <w:rsid w:val="6D73227D"/>
    <w:rsid w:val="6D886D51"/>
    <w:rsid w:val="6D9C39D1"/>
    <w:rsid w:val="6DCC4C0D"/>
    <w:rsid w:val="6E4341AC"/>
    <w:rsid w:val="6E8E457E"/>
    <w:rsid w:val="6E92348F"/>
    <w:rsid w:val="6F0E15C8"/>
    <w:rsid w:val="6F2E3E59"/>
    <w:rsid w:val="6F436F8F"/>
    <w:rsid w:val="6F4E3774"/>
    <w:rsid w:val="6F6816AE"/>
    <w:rsid w:val="6F93693C"/>
    <w:rsid w:val="6FC9214C"/>
    <w:rsid w:val="6FE16E28"/>
    <w:rsid w:val="705D36AF"/>
    <w:rsid w:val="70CC02B3"/>
    <w:rsid w:val="70D53585"/>
    <w:rsid w:val="70F2273C"/>
    <w:rsid w:val="7107296B"/>
    <w:rsid w:val="71321C7C"/>
    <w:rsid w:val="7170146E"/>
    <w:rsid w:val="717268C8"/>
    <w:rsid w:val="71802D0E"/>
    <w:rsid w:val="718F5890"/>
    <w:rsid w:val="71D20CA2"/>
    <w:rsid w:val="722F3192"/>
    <w:rsid w:val="7235573F"/>
    <w:rsid w:val="726C56B8"/>
    <w:rsid w:val="727E6C9F"/>
    <w:rsid w:val="7288771C"/>
    <w:rsid w:val="728C57EE"/>
    <w:rsid w:val="72A458E1"/>
    <w:rsid w:val="72AD500E"/>
    <w:rsid w:val="72CE592F"/>
    <w:rsid w:val="73197AE0"/>
    <w:rsid w:val="73221860"/>
    <w:rsid w:val="733A4EF6"/>
    <w:rsid w:val="733D0234"/>
    <w:rsid w:val="735D0363"/>
    <w:rsid w:val="73773239"/>
    <w:rsid w:val="73B40BD5"/>
    <w:rsid w:val="73C4175E"/>
    <w:rsid w:val="73E80D98"/>
    <w:rsid w:val="73FA14E3"/>
    <w:rsid w:val="740267E6"/>
    <w:rsid w:val="740A1BE1"/>
    <w:rsid w:val="740A7F35"/>
    <w:rsid w:val="744A276A"/>
    <w:rsid w:val="74897210"/>
    <w:rsid w:val="74A45A74"/>
    <w:rsid w:val="74B87CFC"/>
    <w:rsid w:val="74BE67B4"/>
    <w:rsid w:val="74E52558"/>
    <w:rsid w:val="74F464D7"/>
    <w:rsid w:val="750924FE"/>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310ADB"/>
    <w:rsid w:val="7B8340AE"/>
    <w:rsid w:val="7B8F7B53"/>
    <w:rsid w:val="7B9F467D"/>
    <w:rsid w:val="7BB151BD"/>
    <w:rsid w:val="7BCC2A37"/>
    <w:rsid w:val="7BF60404"/>
    <w:rsid w:val="7C42078B"/>
    <w:rsid w:val="7CA50B86"/>
    <w:rsid w:val="7CD40CD3"/>
    <w:rsid w:val="7D6D40C6"/>
    <w:rsid w:val="7DAA7D03"/>
    <w:rsid w:val="7DAE4568"/>
    <w:rsid w:val="7DF42A4B"/>
    <w:rsid w:val="7DF443C8"/>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4"/>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32">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4">
    <w:name w:val="目录 21"/>
    <w:basedOn w:val="1"/>
    <w:next w:val="1"/>
    <w:qFormat/>
    <w:uiPriority w:val="39"/>
    <w:pPr>
      <w:ind w:left="420"/>
    </w:p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5"/>
    <w:qFormat/>
    <w:uiPriority w:val="99"/>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link w:val="62"/>
    <w:qFormat/>
    <w:uiPriority w:val="99"/>
    <w:pPr>
      <w:ind w:firstLine="200" w:firstLineChars="200"/>
    </w:pPr>
  </w:style>
  <w:style w:type="paragraph" w:styleId="11">
    <w:name w:val="toc 6"/>
    <w:basedOn w:val="1"/>
    <w:next w:val="1"/>
    <w:qFormat/>
    <w:uiPriority w:val="99"/>
    <w:pPr>
      <w:ind w:left="1600"/>
      <w:jc w:val="left"/>
    </w:pPr>
    <w:rPr>
      <w:szCs w:val="21"/>
    </w:rPr>
  </w:style>
  <w:style w:type="paragraph" w:styleId="12">
    <w:name w:val="Body Text Indent"/>
    <w:basedOn w:val="1"/>
    <w:next w:val="1"/>
    <w:qFormat/>
    <w:uiPriority w:val="0"/>
    <w:pPr>
      <w:spacing w:after="120"/>
      <w:ind w:left="420" w:leftChars="200"/>
    </w:pPr>
  </w:style>
  <w:style w:type="paragraph" w:styleId="13">
    <w:name w:val="List 2"/>
    <w:basedOn w:val="1"/>
    <w:qFormat/>
    <w:uiPriority w:val="0"/>
    <w:pPr>
      <w:ind w:left="100" w:leftChars="200" w:hanging="200" w:hangingChars="200"/>
      <w:contextualSpacing/>
    </w:pPr>
  </w:style>
  <w:style w:type="paragraph" w:styleId="1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5">
    <w:name w:val="Plain Text"/>
    <w:basedOn w:val="1"/>
    <w:next w:val="16"/>
    <w:link w:val="61"/>
    <w:qFormat/>
    <w:uiPriority w:val="0"/>
    <w:rPr>
      <w:rFonts w:ascii="宋体" w:hAnsi="Courier New" w:cstheme="minorBidi"/>
    </w:rPr>
  </w:style>
  <w:style w:type="paragraph" w:styleId="16">
    <w:name w:val="Date"/>
    <w:basedOn w:val="1"/>
    <w:next w:val="1"/>
    <w:link w:val="73"/>
    <w:qFormat/>
    <w:uiPriority w:val="99"/>
    <w:pPr>
      <w:ind w:left="2500" w:leftChars="2500"/>
    </w:pPr>
    <w:rPr>
      <w:rFonts w:eastAsia="楷体_GB2312" w:asciiTheme="minorHAnsi" w:hAnsiTheme="minorHAnsi" w:cstheme="minorBidi"/>
      <w:sz w:val="32"/>
      <w:szCs w:val="22"/>
    </w:rPr>
  </w:style>
  <w:style w:type="paragraph" w:styleId="17">
    <w:name w:val="toc 8"/>
    <w:basedOn w:val="1"/>
    <w:next w:val="1"/>
    <w:qFormat/>
    <w:uiPriority w:val="0"/>
    <w:pPr>
      <w:ind w:left="2940" w:leftChars="1400"/>
    </w:pPr>
  </w:style>
  <w:style w:type="paragraph" w:styleId="18">
    <w:name w:val="Balloon Text"/>
    <w:basedOn w:val="1"/>
    <w:link w:val="60"/>
    <w:qFormat/>
    <w:uiPriority w:val="0"/>
    <w:rPr>
      <w:sz w:val="18"/>
      <w:szCs w:val="18"/>
    </w:rPr>
  </w:style>
  <w:style w:type="paragraph" w:styleId="19">
    <w:name w:val="footer"/>
    <w:basedOn w:val="1"/>
    <w:link w:val="64"/>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next w:val="22"/>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2">
    <w:name w:val="Quote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23">
    <w:name w:val="toc 1"/>
    <w:basedOn w:val="1"/>
    <w:next w:val="1"/>
    <w:qFormat/>
    <w:uiPriority w:val="39"/>
  </w:style>
  <w:style w:type="paragraph" w:styleId="24">
    <w:name w:val="List"/>
    <w:basedOn w:val="1"/>
    <w:qFormat/>
    <w:uiPriority w:val="0"/>
    <w:pPr>
      <w:ind w:left="200" w:hanging="200" w:hangingChars="200"/>
      <w:contextualSpacing/>
    </w:pPr>
  </w:style>
  <w:style w:type="paragraph" w:styleId="2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6">
    <w:name w:val="Normal (Web)"/>
    <w:basedOn w:val="1"/>
    <w:link w:val="90"/>
    <w:qFormat/>
    <w:uiPriority w:val="0"/>
    <w:pPr>
      <w:widowControl/>
      <w:spacing w:before="100" w:beforeAutospacing="1" w:after="100" w:afterAutospacing="1"/>
      <w:jc w:val="left"/>
    </w:pPr>
    <w:rPr>
      <w:rFonts w:hint="eastAsia" w:ascii="宋体" w:hAnsi="宋体"/>
      <w:kern w:val="0"/>
      <w:sz w:val="24"/>
    </w:rPr>
  </w:style>
  <w:style w:type="paragraph" w:styleId="27">
    <w:name w:val="annotation subject"/>
    <w:basedOn w:val="8"/>
    <w:next w:val="8"/>
    <w:link w:val="66"/>
    <w:qFormat/>
    <w:uiPriority w:val="0"/>
    <w:rPr>
      <w:b/>
      <w:bCs/>
    </w:rPr>
  </w:style>
  <w:style w:type="paragraph" w:styleId="28">
    <w:name w:val="Body Text First Indent 2"/>
    <w:basedOn w:val="12"/>
    <w:next w:val="14"/>
    <w:link w:val="89"/>
    <w:qFormat/>
    <w:uiPriority w:val="0"/>
    <w:pPr>
      <w:ind w:firstLine="420"/>
    </w:p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qFormat/>
    <w:uiPriority w:val="0"/>
    <w:rPr>
      <w:color w:val="5579A7"/>
      <w:u w:val="none"/>
    </w:rPr>
  </w:style>
  <w:style w:type="character" w:styleId="34">
    <w:name w:val="Hyperlink"/>
    <w:qFormat/>
    <w:uiPriority w:val="99"/>
    <w:rPr>
      <w:color w:val="0000FF"/>
      <w:u w:val="single"/>
    </w:rPr>
  </w:style>
  <w:style w:type="character" w:styleId="35">
    <w:name w:val="annotation reference"/>
    <w:basedOn w:val="32"/>
    <w:qFormat/>
    <w:uiPriority w:val="0"/>
    <w:rPr>
      <w:sz w:val="21"/>
      <w:szCs w:val="21"/>
    </w:rPr>
  </w:style>
  <w:style w:type="paragraph" w:customStyle="1" w:styleId="36">
    <w:name w:val="签发人"/>
    <w:basedOn w:val="1"/>
    <w:qFormat/>
    <w:uiPriority w:val="0"/>
    <w:rPr>
      <w:rFonts w:eastAsia="楷体"/>
      <w:sz w:val="32"/>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link w:val="72"/>
    <w:qFormat/>
    <w:uiPriority w:val="34"/>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2"/>
    <w:qFormat/>
    <w:uiPriority w:val="0"/>
    <w:rPr>
      <w:rFonts w:hint="default" w:ascii="Arial" w:hAnsi="Arial" w:cs="Arial"/>
      <w:color w:val="000000"/>
      <w:sz w:val="20"/>
      <w:szCs w:val="20"/>
      <w:u w:val="none"/>
    </w:rPr>
  </w:style>
  <w:style w:type="character" w:customStyle="1" w:styleId="54">
    <w:name w:val="font01"/>
    <w:basedOn w:val="32"/>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Char"/>
    <w:basedOn w:val="32"/>
    <w:link w:val="18"/>
    <w:qFormat/>
    <w:uiPriority w:val="0"/>
    <w:rPr>
      <w:kern w:val="2"/>
      <w:sz w:val="18"/>
      <w:szCs w:val="18"/>
    </w:rPr>
  </w:style>
  <w:style w:type="character" w:customStyle="1" w:styleId="61">
    <w:name w:val="纯文本 Char"/>
    <w:link w:val="15"/>
    <w:qFormat/>
    <w:uiPriority w:val="0"/>
    <w:rPr>
      <w:rFonts w:ascii="宋体" w:hAnsi="Courier New" w:cstheme="minorBidi"/>
      <w:kern w:val="2"/>
      <w:sz w:val="21"/>
      <w:szCs w:val="24"/>
    </w:rPr>
  </w:style>
  <w:style w:type="character" w:customStyle="1" w:styleId="62">
    <w:name w:val="正文首行缩进 Char"/>
    <w:basedOn w:val="32"/>
    <w:link w:val="10"/>
    <w:qFormat/>
    <w:uiPriority w:val="99"/>
    <w:rPr>
      <w:kern w:val="2"/>
      <w:sz w:val="21"/>
      <w:szCs w:val="24"/>
    </w:rPr>
  </w:style>
  <w:style w:type="character" w:customStyle="1" w:styleId="63">
    <w:name w:val="页眉 Char"/>
    <w:basedOn w:val="32"/>
    <w:link w:val="21"/>
    <w:qFormat/>
    <w:uiPriority w:val="0"/>
    <w:rPr>
      <w:kern w:val="2"/>
      <w:sz w:val="18"/>
      <w:szCs w:val="24"/>
    </w:rPr>
  </w:style>
  <w:style w:type="character" w:customStyle="1" w:styleId="64">
    <w:name w:val="页脚 Char"/>
    <w:basedOn w:val="32"/>
    <w:link w:val="19"/>
    <w:qFormat/>
    <w:uiPriority w:val="99"/>
    <w:rPr>
      <w:kern w:val="2"/>
      <w:sz w:val="18"/>
      <w:szCs w:val="24"/>
    </w:rPr>
  </w:style>
  <w:style w:type="character" w:customStyle="1" w:styleId="65">
    <w:name w:val="批注文字 Char"/>
    <w:basedOn w:val="32"/>
    <w:link w:val="8"/>
    <w:qFormat/>
    <w:uiPriority w:val="99"/>
    <w:rPr>
      <w:kern w:val="2"/>
      <w:sz w:val="21"/>
      <w:szCs w:val="24"/>
    </w:rPr>
  </w:style>
  <w:style w:type="character" w:customStyle="1" w:styleId="66">
    <w:name w:val="批注主题 Char"/>
    <w:basedOn w:val="65"/>
    <w:link w:val="27"/>
    <w:qFormat/>
    <w:uiPriority w:val="0"/>
    <w:rPr>
      <w:b/>
      <w:bCs/>
      <w:kern w:val="2"/>
      <w:sz w:val="21"/>
      <w:szCs w:val="24"/>
    </w:rPr>
  </w:style>
  <w:style w:type="paragraph" w:customStyle="1" w:styleId="67">
    <w:name w:val="列表段落1"/>
    <w:basedOn w:val="1"/>
    <w:link w:val="68"/>
    <w:qFormat/>
    <w:uiPriority w:val="34"/>
    <w:pPr>
      <w:ind w:firstLine="420" w:firstLineChars="200"/>
    </w:pPr>
    <w:rPr>
      <w:rFonts w:asciiTheme="minorHAnsi" w:hAnsiTheme="minorHAnsi" w:eastAsiaTheme="minorEastAsia" w:cstheme="minorBidi"/>
      <w:szCs w:val="22"/>
    </w:rPr>
  </w:style>
  <w:style w:type="character" w:customStyle="1" w:styleId="68">
    <w:name w:val="列表段落 字符"/>
    <w:link w:val="67"/>
    <w:qFormat/>
    <w:locked/>
    <w:uiPriority w:val="34"/>
    <w:rPr>
      <w:rFonts w:asciiTheme="minorHAnsi" w:hAnsiTheme="minorHAnsi" w:eastAsiaTheme="minorEastAsia" w:cstheme="minorBidi"/>
      <w:kern w:val="2"/>
      <w:sz w:val="21"/>
      <w:szCs w:val="22"/>
    </w:rPr>
  </w:style>
  <w:style w:type="paragraph" w:customStyle="1" w:styleId="69">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70">
    <w:name w:val="正文文字2"/>
    <w:basedOn w:val="9"/>
    <w:qFormat/>
    <w:uiPriority w:val="0"/>
    <w:pPr>
      <w:widowControl/>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character" w:customStyle="1" w:styleId="71">
    <w:name w:val="NormalCharacter"/>
    <w:qFormat/>
    <w:uiPriority w:val="0"/>
  </w:style>
  <w:style w:type="character" w:customStyle="1" w:styleId="72">
    <w:name w:val="列出段落 Char"/>
    <w:link w:val="38"/>
    <w:qFormat/>
    <w:uiPriority w:val="34"/>
    <w:rPr>
      <w:rFonts w:ascii="Calibri" w:hAnsi="Calibri"/>
      <w:kern w:val="2"/>
      <w:sz w:val="21"/>
      <w:szCs w:val="22"/>
    </w:rPr>
  </w:style>
  <w:style w:type="character" w:customStyle="1" w:styleId="73">
    <w:name w:val="日期 Char"/>
    <w:basedOn w:val="32"/>
    <w:link w:val="16"/>
    <w:qFormat/>
    <w:uiPriority w:val="99"/>
    <w:rPr>
      <w:rFonts w:eastAsia="楷体_GB2312" w:asciiTheme="minorHAnsi" w:hAnsiTheme="minorHAnsi" w:cstheme="minorBidi"/>
      <w:kern w:val="2"/>
      <w:sz w:val="32"/>
      <w:szCs w:val="22"/>
    </w:rPr>
  </w:style>
  <w:style w:type="character" w:customStyle="1" w:styleId="74">
    <w:name w:val="纯文本 Char1"/>
    <w:qFormat/>
    <w:uiPriority w:val="0"/>
    <w:rPr>
      <w:rFonts w:ascii="宋体" w:hAnsi="Courier New" w:cstheme="minorBidi"/>
      <w:kern w:val="2"/>
      <w:sz w:val="21"/>
      <w:szCs w:val="24"/>
    </w:rPr>
  </w:style>
  <w:style w:type="paragraph" w:customStyle="1" w:styleId="75">
    <w:name w:val="UserStyle_57"/>
    <w:qFormat/>
    <w:uiPriority w:val="0"/>
    <w:pPr>
      <w:snapToGrid w:val="0"/>
      <w:textAlignment w:val="baseline"/>
    </w:pPr>
    <w:rPr>
      <w:rFonts w:ascii="Tahoma" w:hAnsi="Tahoma" w:eastAsia="微软雅黑" w:cs="Times New Roman"/>
      <w:sz w:val="22"/>
      <w:szCs w:val="22"/>
      <w:lang w:val="en-US" w:eastAsia="zh-CN" w:bidi="ar-SA"/>
    </w:rPr>
  </w:style>
  <w:style w:type="paragraph" w:customStyle="1" w:styleId="76">
    <w:name w:val="4、正文"/>
    <w:basedOn w:val="1"/>
    <w:qFormat/>
    <w:uiPriority w:val="99"/>
    <w:pPr>
      <w:ind w:firstLine="200" w:firstLineChars="200"/>
    </w:pPr>
    <w:rPr>
      <w:rFonts w:ascii="宋体"/>
      <w:sz w:val="24"/>
      <w:szCs w:val="28"/>
    </w:rPr>
  </w:style>
  <w:style w:type="paragraph" w:customStyle="1" w:styleId="7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8">
    <w:name w:val="正文ok"/>
    <w:basedOn w:val="1"/>
    <w:qFormat/>
    <w:uiPriority w:val="0"/>
    <w:pPr>
      <w:widowControl/>
      <w:spacing w:line="360" w:lineRule="auto"/>
      <w:ind w:firstLine="200" w:firstLineChars="200"/>
      <w:jc w:val="left"/>
    </w:pPr>
    <w:rPr>
      <w:rFonts w:hint="eastAsia" w:ascii="宋体"/>
      <w:kern w:val="0"/>
      <w:sz w:val="24"/>
      <w:szCs w:val="20"/>
    </w:rPr>
  </w:style>
  <w:style w:type="paragraph" w:customStyle="1" w:styleId="79">
    <w:name w:val="样式 标题 2 + Times New Roman 四号 非加粗 段前: 5 磅 段后: 0 磅 行距: 固定值 20..."/>
    <w:basedOn w:val="3"/>
    <w:qFormat/>
    <w:uiPriority w:val="99"/>
    <w:pPr>
      <w:spacing w:before="100" w:line="400" w:lineRule="exact"/>
      <w:ind w:left="0"/>
    </w:pPr>
    <w:rPr>
      <w:rFonts w:ascii="Times New Roman" w:hAnsi="Times New Roman" w:cs="宋体"/>
      <w:b w:val="0"/>
      <w:sz w:val="28"/>
      <w:szCs w:val="20"/>
    </w:rPr>
  </w:style>
  <w:style w:type="character" w:customStyle="1" w:styleId="80">
    <w:name w:val="jbox-icon-question"/>
    <w:basedOn w:val="32"/>
    <w:qFormat/>
    <w:uiPriority w:val="0"/>
  </w:style>
  <w:style w:type="character" w:customStyle="1" w:styleId="81">
    <w:name w:val="jbox-icon-error"/>
    <w:basedOn w:val="32"/>
    <w:qFormat/>
    <w:uiPriority w:val="0"/>
  </w:style>
  <w:style w:type="character" w:customStyle="1" w:styleId="82">
    <w:name w:val="jbox-icon-success"/>
    <w:basedOn w:val="32"/>
    <w:qFormat/>
    <w:uiPriority w:val="0"/>
  </w:style>
  <w:style w:type="character" w:customStyle="1" w:styleId="83">
    <w:name w:val="jbox-icon-loading"/>
    <w:basedOn w:val="32"/>
    <w:qFormat/>
    <w:uiPriority w:val="0"/>
  </w:style>
  <w:style w:type="character" w:customStyle="1" w:styleId="84">
    <w:name w:val="jbox-icon-warning"/>
    <w:basedOn w:val="32"/>
    <w:qFormat/>
    <w:uiPriority w:val="0"/>
  </w:style>
  <w:style w:type="character" w:customStyle="1" w:styleId="85">
    <w:name w:val="jbox-icon-info"/>
    <w:basedOn w:val="32"/>
    <w:qFormat/>
    <w:uiPriority w:val="0"/>
  </w:style>
  <w:style w:type="character" w:customStyle="1" w:styleId="86">
    <w:name w:val="jbox-icon"/>
    <w:basedOn w:val="32"/>
    <w:qFormat/>
    <w:uiPriority w:val="0"/>
  </w:style>
  <w:style w:type="character" w:customStyle="1" w:styleId="87">
    <w:name w:val="jbox-icon-none"/>
    <w:basedOn w:val="32"/>
    <w:qFormat/>
    <w:uiPriority w:val="0"/>
    <w:rPr>
      <w:vanish/>
    </w:rPr>
  </w:style>
  <w:style w:type="paragraph" w:customStyle="1" w:styleId="88">
    <w:name w:val="表格文字"/>
    <w:basedOn w:val="12"/>
    <w:next w:val="9"/>
    <w:qFormat/>
    <w:uiPriority w:val="99"/>
    <w:pPr>
      <w:adjustRightInd w:val="0"/>
      <w:spacing w:line="420" w:lineRule="atLeast"/>
      <w:jc w:val="left"/>
      <w:textAlignment w:val="baseline"/>
    </w:pPr>
    <w:rPr>
      <w:kern w:val="0"/>
    </w:rPr>
  </w:style>
  <w:style w:type="character" w:customStyle="1" w:styleId="89">
    <w:name w:val="正文首行缩进 2 Char"/>
    <w:basedOn w:val="32"/>
    <w:link w:val="28"/>
    <w:qFormat/>
    <w:uiPriority w:val="0"/>
    <w:rPr>
      <w:kern w:val="2"/>
      <w:sz w:val="21"/>
      <w:szCs w:val="24"/>
    </w:rPr>
  </w:style>
  <w:style w:type="character" w:customStyle="1" w:styleId="90">
    <w:name w:val="普通(网站) Char"/>
    <w:link w:val="26"/>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43522</Words>
  <Characters>46048</Characters>
  <Lines>383</Lines>
  <Paragraphs>108</Paragraphs>
  <TotalTime>7</TotalTime>
  <ScaleCrop>false</ScaleCrop>
  <LinksUpToDate>false</LinksUpToDate>
  <CharactersWithSpaces>50969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2025-06-04T08:48:00Z</dcterms:created>
  <dc:creator>Thorpe521</dc:creator>
  <cp:lastModifiedBy>Administrator</cp:lastModifiedBy>
  <dcterms:modified xsi:type="dcterms:W3CDTF">2025-06-27T09:30:38Z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B26C5CEBF3E5451586EAAFEDD564F195</vt:lpwstr>
  </property>
  <property fmtid="{D5CDD505-2E9C-101B-9397-08002B2CF9AE}" pid="4" name="commondata">
    <vt:lpwstr>eyJoZGlkIjoiN2ExMmYxN2FlODQwNmI4NDBhMmQyMDBmMmZlYzI2YmEifQ==</vt:lpwstr>
  </property>
</Properties>
</file>