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right"/>
        <w:rPr>
          <w:rFonts w:ascii="宋体" w:hAnsi="宋体"/>
          <w:b/>
          <w:bCs/>
          <w:color w:val="auto"/>
          <w:sz w:val="36"/>
          <w:szCs w:val="36"/>
          <w:highlight w:val="none"/>
        </w:rPr>
      </w:pPr>
    </w:p>
    <w:p>
      <w:pPr>
        <w:spacing w:before="156" w:beforeLines="50"/>
        <w:jc w:val="right"/>
        <w:rPr>
          <w:rFonts w:ascii="宋体" w:hAnsi="宋体"/>
          <w:b/>
          <w:bCs/>
          <w:color w:val="auto"/>
          <w:sz w:val="36"/>
          <w:szCs w:val="36"/>
          <w:highlight w:val="none"/>
        </w:rPr>
      </w:pPr>
      <w:r>
        <w:rPr>
          <w:rFonts w:ascii="宋体"/>
          <w:b/>
          <w:color w:val="auto"/>
          <w:kern w:val="0"/>
          <w:sz w:val="52"/>
          <w:szCs w:val="52"/>
          <w:highlight w:val="none"/>
        </w:rPr>
        <w:drawing>
          <wp:inline distT="0" distB="0" distL="0" distR="0">
            <wp:extent cx="1851660" cy="544830"/>
            <wp:effectExtent l="19050" t="0" r="0" b="0"/>
            <wp:docPr id="2" name="图片 4" descr="微信图片_20240102140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微信图片_20240102140738.jpg"/>
                    <pic:cNvPicPr>
                      <a:picLocks noChangeAspect="1"/>
                    </pic:cNvPicPr>
                  </pic:nvPicPr>
                  <pic:blipFill>
                    <a:blip r:embed="rId6"/>
                    <a:stretch>
                      <a:fillRect/>
                    </a:stretch>
                  </pic:blipFill>
                  <pic:spPr>
                    <a:xfrm>
                      <a:off x="0" y="0"/>
                      <a:ext cx="1851660" cy="545211"/>
                    </a:xfrm>
                    <a:prstGeom prst="rect">
                      <a:avLst/>
                    </a:prstGeom>
                  </pic:spPr>
                </pic:pic>
              </a:graphicData>
            </a:graphic>
          </wp:inline>
        </w:drawing>
      </w:r>
    </w:p>
    <w:p>
      <w:pPr>
        <w:spacing w:before="156" w:beforeLines="50"/>
        <w:rPr>
          <w:rFonts w:ascii="宋体" w:hAnsi="宋体"/>
          <w:b/>
          <w:bCs/>
          <w:color w:val="auto"/>
          <w:sz w:val="48"/>
          <w:szCs w:val="48"/>
          <w:highlight w:val="none"/>
        </w:rPr>
      </w:pPr>
    </w:p>
    <w:p>
      <w:pPr>
        <w:spacing w:before="156" w:beforeLines="50"/>
        <w:jc w:val="center"/>
        <w:rPr>
          <w:rFonts w:ascii="宋体" w:hAnsi="宋体"/>
          <w:color w:val="auto"/>
          <w:sz w:val="40"/>
          <w:szCs w:val="40"/>
          <w:highlight w:val="none"/>
        </w:rPr>
      </w:pPr>
      <w:bookmarkStart w:id="0" w:name="OLE_LINK84"/>
      <w:r>
        <w:rPr>
          <w:rFonts w:hint="eastAsia" w:ascii="宋体" w:hAnsi="宋体"/>
          <w:b/>
          <w:bCs/>
          <w:color w:val="auto"/>
          <w:sz w:val="40"/>
          <w:szCs w:val="40"/>
          <w:highlight w:val="none"/>
        </w:rPr>
        <w:t>台州市白云小学改扩建工程（综合楼设备设施）</w:t>
      </w:r>
    </w:p>
    <w:bookmarkEnd w:id="0"/>
    <w:p>
      <w:pPr>
        <w:spacing w:before="156" w:beforeLines="50"/>
        <w:rPr>
          <w:rFonts w:ascii="宋体" w:hAnsi="宋体"/>
          <w:color w:val="auto"/>
          <w:sz w:val="52"/>
          <w:szCs w:val="52"/>
          <w:highlight w:val="none"/>
        </w:rPr>
      </w:pPr>
    </w:p>
    <w:p>
      <w:pPr>
        <w:pStyle w:val="24"/>
        <w:rPr>
          <w:color w:val="auto"/>
          <w:highlight w:val="none"/>
        </w:rPr>
      </w:pPr>
    </w:p>
    <w:p>
      <w:pPr>
        <w:pStyle w:val="24"/>
        <w:rPr>
          <w:color w:val="auto"/>
          <w:highlight w:val="none"/>
        </w:rPr>
      </w:pPr>
    </w:p>
    <w:p>
      <w:pPr>
        <w:snapToGrid w:val="0"/>
        <w:spacing w:before="156" w:beforeLines="50"/>
        <w:jc w:val="center"/>
        <w:rPr>
          <w:rFonts w:ascii="宋体" w:hAnsi="宋体"/>
          <w:color w:val="auto"/>
          <w:sz w:val="84"/>
          <w:szCs w:val="84"/>
          <w:highlight w:val="none"/>
        </w:rPr>
      </w:pPr>
    </w:p>
    <w:p>
      <w:pPr>
        <w:snapToGrid w:val="0"/>
        <w:spacing w:before="156" w:beforeLines="50"/>
        <w:jc w:val="center"/>
        <w:rPr>
          <w:rFonts w:ascii="宋体" w:hAnsi="宋体"/>
          <w:color w:val="auto"/>
          <w:sz w:val="30"/>
          <w:szCs w:val="72"/>
          <w:highlight w:val="none"/>
        </w:rPr>
      </w:pPr>
      <w:r>
        <w:rPr>
          <w:rFonts w:hint="eastAsia" w:ascii="宋体" w:hAnsi="宋体"/>
          <w:color w:val="auto"/>
          <w:sz w:val="84"/>
          <w:szCs w:val="84"/>
          <w:highlight w:val="none"/>
        </w:rPr>
        <w:t>公开招标文件</w:t>
      </w:r>
    </w:p>
    <w:p>
      <w:pPr>
        <w:snapToGrid w:val="0"/>
        <w:jc w:val="center"/>
        <w:rPr>
          <w:rFonts w:ascii="宋体" w:hAnsi="宋体"/>
          <w:color w:val="auto"/>
          <w:sz w:val="48"/>
          <w:szCs w:val="48"/>
          <w:highlight w:val="none"/>
        </w:rPr>
      </w:pPr>
      <w:r>
        <w:rPr>
          <w:rFonts w:ascii="宋体" w:hAnsi="宋体"/>
          <w:color w:val="auto"/>
          <w:sz w:val="48"/>
          <w:szCs w:val="48"/>
          <w:highlight w:val="none"/>
        </w:rPr>
        <w:t>（电子招投标）</w:t>
      </w:r>
    </w:p>
    <w:p>
      <w:pPr>
        <w:snapToGrid w:val="0"/>
        <w:spacing w:before="156" w:beforeLines="50" w:line="360" w:lineRule="auto"/>
        <w:rPr>
          <w:rFonts w:ascii="宋体" w:hAnsi="宋体"/>
          <w:color w:val="auto"/>
          <w:sz w:val="30"/>
          <w:szCs w:val="72"/>
          <w:highlight w:val="none"/>
        </w:rPr>
      </w:pPr>
    </w:p>
    <w:p>
      <w:pPr>
        <w:pStyle w:val="14"/>
        <w:snapToGrid w:val="0"/>
        <w:spacing w:before="120" w:after="120" w:line="360" w:lineRule="auto"/>
        <w:ind w:firstLine="574"/>
        <w:rPr>
          <w:rFonts w:hAnsi="宋体"/>
          <w:b/>
          <w:bCs/>
          <w:color w:val="auto"/>
          <w:w w:val="95"/>
          <w:sz w:val="30"/>
          <w:szCs w:val="30"/>
          <w:highlight w:val="none"/>
        </w:rPr>
      </w:pPr>
    </w:p>
    <w:p>
      <w:pPr>
        <w:pStyle w:val="15"/>
        <w:ind w:left="5250"/>
        <w:rPr>
          <w:color w:val="auto"/>
          <w:highlight w:val="none"/>
        </w:rPr>
      </w:pPr>
    </w:p>
    <w:p>
      <w:pPr>
        <w:rPr>
          <w:color w:val="auto"/>
          <w:highlight w:val="none"/>
        </w:rPr>
      </w:pPr>
    </w:p>
    <w:p>
      <w:pPr>
        <w:pStyle w:val="14"/>
        <w:snapToGrid w:val="0"/>
        <w:spacing w:before="120" w:after="120" w:line="360" w:lineRule="auto"/>
        <w:ind w:firstLine="574"/>
        <w:jc w:val="center"/>
        <w:rPr>
          <w:rFonts w:hAnsi="宋体"/>
          <w:b/>
          <w:bCs/>
          <w:color w:val="auto"/>
          <w:w w:val="95"/>
          <w:sz w:val="30"/>
          <w:szCs w:val="30"/>
          <w:highlight w:val="none"/>
        </w:rPr>
      </w:pPr>
    </w:p>
    <w:p>
      <w:pPr>
        <w:pStyle w:val="14"/>
        <w:snapToGrid w:val="0"/>
        <w:spacing w:before="120" w:after="120" w:line="360" w:lineRule="auto"/>
        <w:ind w:left="1275" w:leftChars="607" w:firstLine="574"/>
        <w:rPr>
          <w:rFonts w:hAnsi="宋体"/>
          <w:b/>
          <w:bCs/>
          <w:color w:val="auto"/>
          <w:w w:val="95"/>
          <w:sz w:val="30"/>
          <w:szCs w:val="30"/>
          <w:highlight w:val="none"/>
        </w:rPr>
      </w:pPr>
      <w:r>
        <w:rPr>
          <w:rFonts w:hint="eastAsia" w:hAnsi="宋体"/>
          <w:b/>
          <w:bCs/>
          <w:color w:val="auto"/>
          <w:w w:val="95"/>
          <w:sz w:val="30"/>
          <w:szCs w:val="30"/>
          <w:highlight w:val="none"/>
        </w:rPr>
        <w:t>采 购 人：</w:t>
      </w:r>
      <w:bookmarkStart w:id="1" w:name="OLE_LINK102"/>
      <w:r>
        <w:rPr>
          <w:rFonts w:hint="eastAsia" w:hAnsi="宋体"/>
          <w:b/>
          <w:bCs/>
          <w:color w:val="auto"/>
          <w:w w:val="95"/>
          <w:sz w:val="30"/>
          <w:szCs w:val="30"/>
          <w:highlight w:val="none"/>
        </w:rPr>
        <w:t>台州市椒江区人民政府白云街道办事处</w:t>
      </w:r>
      <w:bookmarkEnd w:id="1"/>
    </w:p>
    <w:p>
      <w:pPr>
        <w:pStyle w:val="14"/>
        <w:snapToGrid w:val="0"/>
        <w:spacing w:before="120" w:after="120" w:line="360" w:lineRule="auto"/>
        <w:ind w:left="1275" w:leftChars="607" w:firstLine="574"/>
        <w:rPr>
          <w:rFonts w:hAnsi="宋体"/>
          <w:b/>
          <w:color w:val="auto"/>
          <w:sz w:val="30"/>
          <w:szCs w:val="48"/>
          <w:highlight w:val="none"/>
        </w:rPr>
      </w:pPr>
      <w:r>
        <w:rPr>
          <w:rFonts w:hint="eastAsia" w:hAnsi="宋体"/>
          <w:b/>
          <w:bCs/>
          <w:color w:val="auto"/>
          <w:w w:val="95"/>
          <w:sz w:val="30"/>
          <w:szCs w:val="30"/>
          <w:highlight w:val="none"/>
        </w:rPr>
        <w:t>代理机构：</w:t>
      </w:r>
      <w:r>
        <w:rPr>
          <w:rFonts w:hint="eastAsia" w:hAnsi="宋体"/>
          <w:b/>
          <w:color w:val="auto"/>
          <w:sz w:val="30"/>
          <w:szCs w:val="48"/>
          <w:highlight w:val="none"/>
        </w:rPr>
        <w:t>浙江中永工程咨询有限公司</w:t>
      </w:r>
    </w:p>
    <w:p>
      <w:pPr>
        <w:snapToGrid w:val="0"/>
        <w:spacing w:before="156" w:beforeLines="50" w:line="360" w:lineRule="auto"/>
        <w:jc w:val="center"/>
        <w:rPr>
          <w:rFonts w:ascii="宋体" w:hAnsi="宋体"/>
          <w:b/>
          <w:bCs/>
          <w:color w:val="auto"/>
          <w:w w:val="95"/>
          <w:sz w:val="30"/>
          <w:szCs w:val="30"/>
          <w:highlight w:val="none"/>
        </w:rPr>
      </w:pPr>
      <w:r>
        <w:rPr>
          <w:rFonts w:hint="eastAsia" w:ascii="宋体" w:hAnsi="宋体"/>
          <w:b/>
          <w:bCs/>
          <w:color w:val="auto"/>
          <w:w w:val="95"/>
          <w:sz w:val="30"/>
          <w:szCs w:val="30"/>
          <w:highlight w:val="none"/>
        </w:rPr>
        <w:t>二○二五年五月</w:t>
      </w:r>
    </w:p>
    <w:sdt>
      <w:sdtPr>
        <w:rPr>
          <w:rFonts w:ascii="宋体" w:hAnsi="宋体"/>
          <w:b/>
          <w:bCs/>
          <w:color w:val="auto"/>
          <w:sz w:val="44"/>
          <w:szCs w:val="52"/>
          <w:highlight w:val="none"/>
        </w:rPr>
        <w:id w:val="147458702"/>
        <w:docPartObj>
          <w:docPartGallery w:val="Table of Contents"/>
          <w:docPartUnique/>
        </w:docPartObj>
      </w:sdtPr>
      <w:sdtEndPr>
        <w:rPr>
          <w:rFonts w:ascii="Times New Roman" w:hAnsi="Times New Roman"/>
          <w:b/>
          <w:bCs/>
          <w:color w:val="auto"/>
          <w:sz w:val="21"/>
          <w:szCs w:val="24"/>
          <w:highlight w:val="none"/>
        </w:rPr>
      </w:sdtEndPr>
      <w:sdtContent>
        <w:p>
          <w:pPr>
            <w:jc w:val="center"/>
            <w:rPr>
              <w:b/>
              <w:bCs/>
              <w:color w:val="auto"/>
              <w:sz w:val="44"/>
              <w:szCs w:val="52"/>
              <w:highlight w:val="none"/>
            </w:rPr>
          </w:pPr>
          <w:r>
            <w:rPr>
              <w:rFonts w:ascii="宋体" w:hAnsi="宋体"/>
              <w:b/>
              <w:bCs/>
              <w:color w:val="auto"/>
              <w:sz w:val="44"/>
              <w:szCs w:val="52"/>
              <w:highlight w:val="none"/>
            </w:rPr>
            <w:t>目录</w:t>
          </w:r>
        </w:p>
        <w:p>
          <w:pPr>
            <w:pStyle w:val="51"/>
            <w:tabs>
              <w:tab w:val="right" w:leader="dot" w:pos="8406"/>
            </w:tabs>
            <w:rPr>
              <w:color w:val="auto"/>
              <w:sz w:val="28"/>
              <w:szCs w:val="28"/>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"_Toc2233" </w:instrText>
          </w:r>
          <w:r>
            <w:rPr>
              <w:color w:val="auto"/>
              <w:highlight w:val="none"/>
            </w:rPr>
            <w:fldChar w:fldCharType="separate"/>
          </w:r>
          <w:r>
            <w:rPr>
              <w:rFonts w:hint="eastAsia" w:ascii="宋体" w:hAnsi="宋体" w:cs="宋体"/>
              <w:color w:val="auto"/>
              <w:sz w:val="28"/>
              <w:szCs w:val="52"/>
              <w:highlight w:val="none"/>
            </w:rPr>
            <w:t>第一章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_Toc2233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pPr>
            <w:pStyle w:val="51"/>
            <w:tabs>
              <w:tab w:val="right" w:leader="dot" w:pos="8406"/>
            </w:tabs>
            <w:rPr>
              <w:color w:val="auto"/>
              <w:sz w:val="28"/>
              <w:szCs w:val="28"/>
              <w:highlight w:val="none"/>
            </w:rPr>
          </w:pPr>
          <w:r>
            <w:rPr>
              <w:color w:val="auto"/>
              <w:highlight w:val="none"/>
            </w:rPr>
            <w:fldChar w:fldCharType="begin"/>
          </w:r>
          <w:r>
            <w:rPr>
              <w:color w:val="auto"/>
              <w:highlight w:val="none"/>
            </w:rPr>
            <w:instrText xml:space="preserve"> HYPERLINK \l "_Toc5117" </w:instrText>
          </w:r>
          <w:r>
            <w:rPr>
              <w:color w:val="auto"/>
              <w:highlight w:val="none"/>
            </w:rPr>
            <w:fldChar w:fldCharType="separate"/>
          </w:r>
          <w:r>
            <w:rPr>
              <w:rFonts w:hint="eastAsia" w:asciiTheme="minorEastAsia" w:hAnsiTheme="minorEastAsia" w:eastAsiaTheme="minorEastAsia"/>
              <w:color w:val="auto"/>
              <w:sz w:val="28"/>
              <w:szCs w:val="52"/>
              <w:highlight w:val="none"/>
            </w:rPr>
            <w:t>第二章 投标供应商须知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_Toc5117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pPr>
            <w:pStyle w:val="51"/>
            <w:tabs>
              <w:tab w:val="right" w:leader="dot" w:pos="8406"/>
            </w:tabs>
            <w:rPr>
              <w:color w:val="auto"/>
              <w:sz w:val="28"/>
              <w:szCs w:val="28"/>
              <w:highlight w:val="none"/>
            </w:rPr>
          </w:pPr>
          <w:r>
            <w:rPr>
              <w:color w:val="auto"/>
              <w:highlight w:val="none"/>
            </w:rPr>
            <w:fldChar w:fldCharType="begin"/>
          </w:r>
          <w:r>
            <w:rPr>
              <w:color w:val="auto"/>
              <w:highlight w:val="none"/>
            </w:rPr>
            <w:instrText xml:space="preserve"> HYPERLINK \l "_Toc5366" </w:instrText>
          </w:r>
          <w:r>
            <w:rPr>
              <w:color w:val="auto"/>
              <w:highlight w:val="none"/>
            </w:rPr>
            <w:fldChar w:fldCharType="separate"/>
          </w:r>
          <w:r>
            <w:rPr>
              <w:rFonts w:hint="eastAsia" w:asciiTheme="minorEastAsia" w:hAnsiTheme="minorEastAsia" w:eastAsiaTheme="minorEastAsia"/>
              <w:color w:val="auto"/>
              <w:sz w:val="28"/>
              <w:szCs w:val="52"/>
              <w:highlight w:val="none"/>
            </w:rPr>
            <w:t>第三章 招标需求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_Toc5366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color w:val="auto"/>
              <w:sz w:val="28"/>
              <w:szCs w:val="28"/>
              <w:highlight w:val="none"/>
            </w:rPr>
            <w:fldChar w:fldCharType="end"/>
          </w:r>
        </w:p>
        <w:p>
          <w:pPr>
            <w:pStyle w:val="51"/>
            <w:tabs>
              <w:tab w:val="right" w:leader="dot" w:pos="8406"/>
            </w:tabs>
            <w:rPr>
              <w:color w:val="auto"/>
              <w:sz w:val="28"/>
              <w:szCs w:val="28"/>
              <w:highlight w:val="none"/>
            </w:rPr>
          </w:pPr>
          <w:r>
            <w:rPr>
              <w:color w:val="auto"/>
              <w:highlight w:val="none"/>
            </w:rPr>
            <w:fldChar w:fldCharType="begin"/>
          </w:r>
          <w:r>
            <w:rPr>
              <w:color w:val="auto"/>
              <w:highlight w:val="none"/>
            </w:rPr>
            <w:instrText xml:space="preserve"> HYPERLINK \l "_Toc10168" </w:instrText>
          </w:r>
          <w:r>
            <w:rPr>
              <w:color w:val="auto"/>
              <w:highlight w:val="none"/>
            </w:rPr>
            <w:fldChar w:fldCharType="separate"/>
          </w:r>
          <w:r>
            <w:rPr>
              <w:rFonts w:hint="eastAsia" w:asciiTheme="minorEastAsia" w:hAnsiTheme="minorEastAsia" w:eastAsiaTheme="minorEastAsia"/>
              <w:color w:val="auto"/>
              <w:sz w:val="28"/>
              <w:szCs w:val="52"/>
              <w:highlight w:val="none"/>
            </w:rPr>
            <w:t>第四章 评标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_Toc10168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color w:val="auto"/>
              <w:sz w:val="28"/>
              <w:szCs w:val="28"/>
              <w:highlight w:val="none"/>
            </w:rPr>
            <w:fldChar w:fldCharType="end"/>
          </w:r>
        </w:p>
        <w:p>
          <w:pPr>
            <w:pStyle w:val="51"/>
            <w:tabs>
              <w:tab w:val="right" w:leader="dot" w:pos="8406"/>
            </w:tabs>
            <w:rPr>
              <w:color w:val="auto"/>
              <w:sz w:val="28"/>
              <w:szCs w:val="28"/>
              <w:highlight w:val="none"/>
            </w:rPr>
          </w:pPr>
          <w:r>
            <w:rPr>
              <w:color w:val="auto"/>
              <w:highlight w:val="none"/>
            </w:rPr>
            <w:fldChar w:fldCharType="begin"/>
          </w:r>
          <w:r>
            <w:rPr>
              <w:color w:val="auto"/>
              <w:highlight w:val="none"/>
            </w:rPr>
            <w:instrText xml:space="preserve"> HYPERLINK \l "_Toc7123" </w:instrText>
          </w:r>
          <w:r>
            <w:rPr>
              <w:color w:val="auto"/>
              <w:highlight w:val="none"/>
            </w:rPr>
            <w:fldChar w:fldCharType="separate"/>
          </w:r>
          <w:r>
            <w:rPr>
              <w:rFonts w:hint="eastAsia" w:asciiTheme="minorEastAsia" w:hAnsiTheme="minorEastAsia" w:eastAsiaTheme="minorEastAsia"/>
              <w:color w:val="auto"/>
              <w:sz w:val="28"/>
              <w:szCs w:val="52"/>
              <w:highlight w:val="none"/>
            </w:rPr>
            <w:t>第五章 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_Toc7123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color w:val="auto"/>
              <w:sz w:val="28"/>
              <w:szCs w:val="28"/>
              <w:highlight w:val="none"/>
            </w:rPr>
            <w:fldChar w:fldCharType="end"/>
          </w:r>
        </w:p>
        <w:p>
          <w:pPr>
            <w:pStyle w:val="51"/>
            <w:tabs>
              <w:tab w:val="right" w:leader="dot" w:pos="8406"/>
            </w:tabs>
            <w:rPr>
              <w:color w:val="auto"/>
              <w:highlight w:val="none"/>
            </w:rPr>
          </w:pPr>
          <w:r>
            <w:rPr>
              <w:color w:val="auto"/>
              <w:highlight w:val="none"/>
            </w:rPr>
            <w:fldChar w:fldCharType="begin"/>
          </w:r>
          <w:r>
            <w:rPr>
              <w:color w:val="auto"/>
              <w:highlight w:val="none"/>
            </w:rPr>
            <w:instrText xml:space="preserve"> HYPERLINK \l "_Toc21935" </w:instrText>
          </w:r>
          <w:r>
            <w:rPr>
              <w:color w:val="auto"/>
              <w:highlight w:val="none"/>
            </w:rPr>
            <w:fldChar w:fldCharType="separate"/>
          </w:r>
          <w:r>
            <w:rPr>
              <w:rFonts w:hint="eastAsia" w:asciiTheme="minorEastAsia" w:hAnsiTheme="minorEastAsia" w:eastAsiaTheme="minorEastAsia"/>
              <w:color w:val="auto"/>
              <w:sz w:val="28"/>
              <w:szCs w:val="52"/>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_Toc21935 \h </w:instrText>
          </w:r>
          <w:r>
            <w:rPr>
              <w:color w:val="auto"/>
              <w:sz w:val="28"/>
              <w:szCs w:val="28"/>
              <w:highlight w:val="none"/>
            </w:rPr>
            <w:fldChar w:fldCharType="separate"/>
          </w:r>
          <w:r>
            <w:rPr>
              <w:color w:val="auto"/>
              <w:sz w:val="28"/>
              <w:szCs w:val="28"/>
              <w:highlight w:val="none"/>
            </w:rPr>
            <w:t>37</w:t>
          </w:r>
          <w:r>
            <w:rPr>
              <w:color w:val="auto"/>
              <w:sz w:val="28"/>
              <w:szCs w:val="28"/>
              <w:highlight w:val="none"/>
            </w:rPr>
            <w:fldChar w:fldCharType="end"/>
          </w:r>
          <w:r>
            <w:rPr>
              <w:color w:val="auto"/>
              <w:sz w:val="28"/>
              <w:szCs w:val="28"/>
              <w:highlight w:val="none"/>
            </w:rPr>
            <w:fldChar w:fldCharType="end"/>
          </w:r>
        </w:p>
        <w:p>
          <w:pPr>
            <w:spacing w:line="360" w:lineRule="auto"/>
            <w:rPr>
              <w:color w:val="auto"/>
              <w:highlight w:val="none"/>
            </w:rPr>
          </w:pPr>
          <w:r>
            <w:rPr>
              <w:color w:val="auto"/>
              <w:highlight w:val="none"/>
            </w:rPr>
            <w:fldChar w:fldCharType="end"/>
          </w:r>
        </w:p>
      </w:sdtContent>
    </w:sdt>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color w:val="auto"/>
          <w:sz w:val="36"/>
          <w:szCs w:val="36"/>
          <w:highlight w:val="none"/>
        </w:rPr>
      </w:pPr>
      <w:bookmarkStart w:id="2" w:name="_Toc2233"/>
      <w:r>
        <w:rPr>
          <w:rFonts w:hint="eastAsia" w:ascii="宋体" w:hAnsi="宋体" w:cs="宋体"/>
          <w:b/>
          <w:color w:val="auto"/>
          <w:kern w:val="0"/>
          <w:sz w:val="36"/>
          <w:szCs w:val="36"/>
          <w:highlight w:val="none"/>
        </w:rPr>
        <w:t>招标公告</w:t>
      </w:r>
      <w:bookmarkEnd w:id="2"/>
      <w:r>
        <w:rPr>
          <w:rFonts w:hint="eastAsia" w:ascii="宋体" w:hAnsi="宋体" w:cs="宋体"/>
          <w:b/>
          <w:color w:val="auto"/>
          <w:kern w:val="0"/>
          <w:sz w:val="36"/>
          <w:szCs w:val="36"/>
          <w:highlight w:val="none"/>
        </w:rPr>
        <w:t xml:space="preserve"> </w:t>
      </w:r>
    </w:p>
    <w:p>
      <w:pPr>
        <w:spacing w:line="360" w:lineRule="auto"/>
        <w:ind w:firstLine="480" w:firstLineChars="200"/>
        <w:rPr>
          <w:rFonts w:ascii="宋体" w:hAnsi="宋体" w:cs="宋体"/>
          <w:color w:val="auto"/>
          <w:sz w:val="24"/>
          <w:highlight w:val="none"/>
        </w:rPr>
      </w:pPr>
      <w:bookmarkStart w:id="3" w:name="_Toc35393790"/>
      <w:bookmarkStart w:id="4" w:name="_Toc35393621"/>
      <w:bookmarkStart w:id="5" w:name="_Toc28359002"/>
      <w:bookmarkStart w:id="6" w:name="_Toc28359079"/>
      <w:bookmarkStart w:id="7" w:name="_Hlk24379207"/>
      <w:bookmarkStart w:id="8" w:name="_Toc28359087"/>
      <w:bookmarkStart w:id="9" w:name="_Toc28359010"/>
      <w:r>
        <w:rPr>
          <w:rFonts w:hint="eastAsia" w:ascii="宋体" w:hAnsi="宋体" w:cs="宋体"/>
          <w:color w:val="auto"/>
          <w:sz w:val="24"/>
          <w:highlight w:val="none"/>
        </w:rPr>
        <w:t>浙江中永工程咨询有限公司受台州市椒江区人民政府白云街道办事处委托，就台州市白云小学改扩建工程（综合楼设备设施）进行公开招标，欢迎符合资格条件的国内投标供应商参加投标。</w:t>
      </w:r>
    </w:p>
    <w:p>
      <w:pPr>
        <w:pStyle w:val="24"/>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一、项目基本情况</w:t>
      </w:r>
      <w:bookmarkEnd w:id="3"/>
      <w:bookmarkEnd w:id="4"/>
      <w:bookmarkEnd w:id="5"/>
      <w:bookmarkEnd w:id="6"/>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项目编号：ZYZFCG〔2025〕</w:t>
      </w:r>
      <w:bookmarkStart w:id="10" w:name="OLE_LINK77"/>
      <w:r>
        <w:rPr>
          <w:rFonts w:hint="eastAsia" w:ascii="宋体" w:hAnsi="宋体" w:cs="宋体"/>
          <w:color w:val="auto"/>
          <w:sz w:val="24"/>
          <w:highlight w:val="none"/>
        </w:rPr>
        <w:t>009</w:t>
      </w:r>
      <w:bookmarkEnd w:id="10"/>
    </w:p>
    <w:bookmarkEnd w:id="7"/>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kern w:val="0"/>
          <w:sz w:val="24"/>
          <w:highlight w:val="none"/>
        </w:rPr>
        <w:t>台州市白云小学改扩建工程（综合楼设备设施）</w:t>
      </w:r>
    </w:p>
    <w:tbl>
      <w:tblPr>
        <w:tblStyle w:val="2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2753"/>
        <w:gridCol w:w="1004"/>
        <w:gridCol w:w="982"/>
        <w:gridCol w:w="1591"/>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jc w:val="center"/>
        </w:trPr>
        <w:tc>
          <w:tcPr>
            <w:tcW w:w="1139" w:type="dxa"/>
            <w:vAlign w:val="center"/>
          </w:tcPr>
          <w:p>
            <w:pPr>
              <w:tabs>
                <w:tab w:val="left" w:pos="8280"/>
              </w:tabs>
              <w:autoSpaceDE w:val="0"/>
              <w:autoSpaceDN w:val="0"/>
              <w:adjustRightInd w:val="0"/>
              <w:jc w:val="center"/>
              <w:rPr>
                <w:rFonts w:ascii="宋体" w:hAnsi="宋体"/>
                <w:b/>
                <w:color w:val="auto"/>
                <w:sz w:val="24"/>
                <w:highlight w:val="none"/>
              </w:rPr>
            </w:pPr>
            <w:r>
              <w:rPr>
                <w:rFonts w:hint="eastAsia" w:ascii="宋体" w:hAnsi="宋体"/>
                <w:b/>
                <w:color w:val="auto"/>
                <w:sz w:val="24"/>
                <w:highlight w:val="none"/>
              </w:rPr>
              <w:t>标项号</w:t>
            </w:r>
          </w:p>
        </w:tc>
        <w:tc>
          <w:tcPr>
            <w:tcW w:w="2753" w:type="dxa"/>
            <w:vAlign w:val="center"/>
          </w:tcPr>
          <w:p>
            <w:pPr>
              <w:tabs>
                <w:tab w:val="left" w:pos="8280"/>
              </w:tabs>
              <w:autoSpaceDE w:val="0"/>
              <w:autoSpaceDN w:val="0"/>
              <w:adjustRightInd w:val="0"/>
              <w:ind w:firstLine="120" w:firstLineChars="50"/>
              <w:jc w:val="center"/>
              <w:rPr>
                <w:rFonts w:ascii="宋体" w:hAnsi="宋体"/>
                <w:b/>
                <w:color w:val="auto"/>
                <w:sz w:val="24"/>
                <w:highlight w:val="none"/>
              </w:rPr>
            </w:pPr>
            <w:r>
              <w:rPr>
                <w:rFonts w:hint="eastAsia" w:ascii="宋体" w:hAnsi="宋体"/>
                <w:b/>
                <w:color w:val="auto"/>
                <w:sz w:val="24"/>
                <w:highlight w:val="none"/>
              </w:rPr>
              <w:t>标项名称</w:t>
            </w:r>
          </w:p>
        </w:tc>
        <w:tc>
          <w:tcPr>
            <w:tcW w:w="1004" w:type="dxa"/>
            <w:vAlign w:val="center"/>
          </w:tcPr>
          <w:p>
            <w:pPr>
              <w:tabs>
                <w:tab w:val="left" w:pos="8280"/>
              </w:tabs>
              <w:autoSpaceDE w:val="0"/>
              <w:autoSpaceDN w:val="0"/>
              <w:adjustRightInd w:val="0"/>
              <w:jc w:val="center"/>
              <w:rPr>
                <w:rFonts w:ascii="宋体" w:hAnsi="宋体"/>
                <w:b/>
                <w:color w:val="auto"/>
                <w:sz w:val="24"/>
                <w:highlight w:val="none"/>
              </w:rPr>
            </w:pPr>
            <w:r>
              <w:rPr>
                <w:rFonts w:hint="eastAsia" w:ascii="宋体" w:hAnsi="宋体"/>
                <w:b/>
                <w:color w:val="auto"/>
                <w:sz w:val="24"/>
                <w:highlight w:val="none"/>
              </w:rPr>
              <w:t>数量</w:t>
            </w:r>
          </w:p>
        </w:tc>
        <w:tc>
          <w:tcPr>
            <w:tcW w:w="982" w:type="dxa"/>
            <w:vAlign w:val="center"/>
          </w:tcPr>
          <w:p>
            <w:pPr>
              <w:tabs>
                <w:tab w:val="left" w:pos="8280"/>
              </w:tabs>
              <w:autoSpaceDE w:val="0"/>
              <w:autoSpaceDN w:val="0"/>
              <w:adjustRightInd w:val="0"/>
              <w:jc w:val="center"/>
              <w:rPr>
                <w:rFonts w:ascii="宋体" w:hAnsi="宋体"/>
                <w:b/>
                <w:color w:val="auto"/>
                <w:sz w:val="24"/>
                <w:highlight w:val="none"/>
              </w:rPr>
            </w:pPr>
            <w:r>
              <w:rPr>
                <w:rFonts w:hint="eastAsia" w:ascii="宋体" w:hAnsi="宋体"/>
                <w:b/>
                <w:color w:val="auto"/>
                <w:sz w:val="24"/>
                <w:highlight w:val="none"/>
              </w:rPr>
              <w:t>单位</w:t>
            </w:r>
          </w:p>
        </w:tc>
        <w:tc>
          <w:tcPr>
            <w:tcW w:w="1591" w:type="dxa"/>
            <w:vAlign w:val="center"/>
          </w:tcPr>
          <w:p>
            <w:pPr>
              <w:tabs>
                <w:tab w:val="left" w:pos="8280"/>
              </w:tabs>
              <w:autoSpaceDE w:val="0"/>
              <w:autoSpaceDN w:val="0"/>
              <w:adjustRightInd w:val="0"/>
              <w:jc w:val="center"/>
              <w:rPr>
                <w:rFonts w:ascii="宋体" w:hAnsi="宋体"/>
                <w:b/>
                <w:color w:val="auto"/>
                <w:sz w:val="24"/>
                <w:highlight w:val="none"/>
              </w:rPr>
            </w:pPr>
            <w:r>
              <w:rPr>
                <w:rFonts w:hint="eastAsia" w:ascii="宋体" w:hAnsi="宋体"/>
                <w:b/>
                <w:color w:val="auto"/>
                <w:sz w:val="24"/>
                <w:highlight w:val="none"/>
              </w:rPr>
              <w:t>总预算</w:t>
            </w:r>
          </w:p>
          <w:p>
            <w:pPr>
              <w:tabs>
                <w:tab w:val="left" w:pos="8280"/>
              </w:tabs>
              <w:autoSpaceDE w:val="0"/>
              <w:autoSpaceDN w:val="0"/>
              <w:adjustRightInd w:val="0"/>
              <w:jc w:val="center"/>
              <w:rPr>
                <w:rFonts w:ascii="宋体" w:hAnsi="宋体"/>
                <w:b/>
                <w:color w:val="auto"/>
                <w:sz w:val="24"/>
                <w:highlight w:val="none"/>
              </w:rPr>
            </w:pPr>
            <w:r>
              <w:rPr>
                <w:rFonts w:hint="eastAsia" w:ascii="宋体" w:hAnsi="宋体"/>
                <w:b/>
                <w:color w:val="auto"/>
                <w:sz w:val="24"/>
                <w:highlight w:val="none"/>
              </w:rPr>
              <w:t>（万元）</w:t>
            </w:r>
          </w:p>
        </w:tc>
        <w:tc>
          <w:tcPr>
            <w:tcW w:w="1591" w:type="dxa"/>
            <w:vAlign w:val="center"/>
          </w:tcPr>
          <w:p>
            <w:pPr>
              <w:jc w:val="center"/>
              <w:rPr>
                <w:rFonts w:ascii="宋体" w:hAnsi="宋体"/>
                <w:b/>
                <w:color w:val="auto"/>
                <w:sz w:val="24"/>
                <w:highlight w:val="none"/>
              </w:rPr>
            </w:pPr>
            <w:r>
              <w:rPr>
                <w:rFonts w:hint="eastAsia" w:ascii="宋体" w:hAnsi="宋体"/>
                <w:b/>
                <w:color w:val="auto"/>
                <w:sz w:val="24"/>
                <w:highlight w:val="none"/>
              </w:rPr>
              <w:t>最高限价</w:t>
            </w:r>
          </w:p>
          <w:p>
            <w:pPr>
              <w:jc w:val="center"/>
              <w:rPr>
                <w:rFonts w:ascii="宋体" w:hAnsi="宋体"/>
                <w:b/>
                <w:color w:val="auto"/>
                <w:sz w:val="24"/>
                <w:highlight w:val="none"/>
              </w:rPr>
            </w:pPr>
            <w:r>
              <w:rPr>
                <w:rFonts w:hint="eastAsia" w:ascii="宋体" w:hAnsi="宋体"/>
                <w:b/>
                <w:color w:val="auto"/>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139" w:type="dxa"/>
            <w:vAlign w:val="center"/>
          </w:tcPr>
          <w:p>
            <w:pPr>
              <w:tabs>
                <w:tab w:val="left" w:pos="8280"/>
              </w:tabs>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2753" w:type="dxa"/>
            <w:vAlign w:val="center"/>
          </w:tcPr>
          <w:p>
            <w:pPr>
              <w:tabs>
                <w:tab w:val="left" w:pos="8280"/>
              </w:tabs>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台州市白云小学改扩建工程（</w:t>
            </w:r>
            <w:bookmarkStart w:id="11" w:name="OLE_LINK78"/>
            <w:r>
              <w:rPr>
                <w:rFonts w:hint="eastAsia" w:ascii="宋体" w:hAnsi="宋体" w:cs="宋体"/>
                <w:color w:val="auto"/>
                <w:sz w:val="24"/>
                <w:highlight w:val="none"/>
              </w:rPr>
              <w:t>综合楼设备设施</w:t>
            </w:r>
            <w:bookmarkEnd w:id="11"/>
            <w:r>
              <w:rPr>
                <w:rFonts w:hint="eastAsia" w:ascii="宋体" w:hAnsi="宋体" w:cs="宋体"/>
                <w:color w:val="auto"/>
                <w:sz w:val="24"/>
                <w:highlight w:val="none"/>
              </w:rPr>
              <w:t>）</w:t>
            </w:r>
          </w:p>
        </w:tc>
        <w:tc>
          <w:tcPr>
            <w:tcW w:w="1004" w:type="dxa"/>
            <w:vAlign w:val="center"/>
          </w:tcPr>
          <w:p>
            <w:pPr>
              <w:tabs>
                <w:tab w:val="left" w:pos="8280"/>
              </w:tabs>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982" w:type="dxa"/>
            <w:vAlign w:val="center"/>
          </w:tcPr>
          <w:p>
            <w:pPr>
              <w:tabs>
                <w:tab w:val="left" w:pos="8280"/>
              </w:tabs>
              <w:autoSpaceDE w:val="0"/>
              <w:autoSpaceDN w:val="0"/>
              <w:adjustRightInd w:val="0"/>
              <w:jc w:val="center"/>
              <w:rPr>
                <w:rFonts w:ascii="宋体" w:hAnsi="宋体" w:cs="宋体"/>
                <w:color w:val="auto"/>
                <w:sz w:val="24"/>
                <w:highlight w:val="none"/>
              </w:rPr>
            </w:pPr>
            <w:r>
              <w:rPr>
                <w:rFonts w:ascii="宋体" w:hAnsi="宋体" w:cs="宋体"/>
                <w:color w:val="auto"/>
                <w:sz w:val="24"/>
                <w:highlight w:val="none"/>
              </w:rPr>
              <w:t>项</w:t>
            </w:r>
          </w:p>
        </w:tc>
        <w:tc>
          <w:tcPr>
            <w:tcW w:w="1591" w:type="dxa"/>
            <w:vAlign w:val="center"/>
          </w:tcPr>
          <w:p>
            <w:pPr>
              <w:tabs>
                <w:tab w:val="left" w:pos="8280"/>
              </w:tabs>
              <w:autoSpaceDE w:val="0"/>
              <w:autoSpaceDN w:val="0"/>
              <w:adjustRightInd w:val="0"/>
              <w:jc w:val="center"/>
              <w:rPr>
                <w:rFonts w:asciiTheme="minorEastAsia" w:hAnsiTheme="minorEastAsia" w:eastAsiaTheme="minorEastAsia"/>
                <w:color w:val="auto"/>
                <w:sz w:val="24"/>
                <w:highlight w:val="none"/>
              </w:rPr>
            </w:pPr>
            <w:bookmarkStart w:id="12" w:name="OLE_LINK83"/>
            <w:r>
              <w:rPr>
                <w:rFonts w:hint="eastAsia" w:asciiTheme="minorEastAsia" w:hAnsiTheme="minorEastAsia" w:eastAsiaTheme="minorEastAsia"/>
                <w:color w:val="auto"/>
                <w:sz w:val="24"/>
                <w:highlight w:val="none"/>
              </w:rPr>
              <w:t xml:space="preserve">100  </w:t>
            </w:r>
            <w:bookmarkEnd w:id="12"/>
          </w:p>
        </w:tc>
        <w:tc>
          <w:tcPr>
            <w:tcW w:w="1591" w:type="dxa"/>
            <w:shd w:val="clear" w:color="auto" w:fill="auto"/>
            <w:vAlign w:val="center"/>
          </w:tcPr>
          <w:p>
            <w:pPr>
              <w:tabs>
                <w:tab w:val="left" w:pos="8280"/>
              </w:tabs>
              <w:autoSpaceDE w:val="0"/>
              <w:autoSpaceDN w:val="0"/>
              <w:adjustRightInd w:val="0"/>
              <w:jc w:val="center"/>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Theme="minorEastAsia" w:hAnsiTheme="minorEastAsia" w:eastAsiaTheme="minorEastAsia"/>
                <w:color w:val="auto"/>
                <w:sz w:val="24"/>
                <w:highlight w:val="none"/>
                <w:lang w:val="en-US" w:eastAsia="zh-CN"/>
              </w:rPr>
              <w:t>99.9088</w:t>
            </w:r>
            <w:r>
              <w:rPr>
                <w:rFonts w:hint="eastAsia" w:asciiTheme="minorEastAsia" w:hAnsiTheme="minorEastAsia" w:eastAsiaTheme="minorEastAsia"/>
                <w:color w:val="auto"/>
                <w:sz w:val="24"/>
                <w:highlight w:val="none"/>
              </w:rPr>
              <w:t xml:space="preserve">  </w:t>
            </w:r>
          </w:p>
        </w:tc>
      </w:tr>
    </w:tbl>
    <w:p>
      <w:pPr>
        <w:pStyle w:val="24"/>
        <w:spacing w:after="0" w:line="360" w:lineRule="auto"/>
        <w:ind w:left="0" w:leftChars="0" w:firstLine="482" w:firstLineChars="200"/>
        <w:rPr>
          <w:rFonts w:ascii="宋体" w:hAnsi="宋体" w:cs="宋体"/>
          <w:b/>
          <w:bCs/>
          <w:color w:val="auto"/>
          <w:kern w:val="0"/>
          <w:sz w:val="24"/>
          <w:highlight w:val="none"/>
        </w:rPr>
      </w:pPr>
      <w:bookmarkStart w:id="13" w:name="_Toc35393791"/>
      <w:bookmarkStart w:id="14" w:name="_Toc28359003"/>
      <w:bookmarkStart w:id="15" w:name="_Toc28359080"/>
      <w:bookmarkStart w:id="16" w:name="_Toc35393622"/>
      <w:r>
        <w:rPr>
          <w:rFonts w:hint="eastAsia" w:ascii="宋体" w:hAnsi="宋体" w:cs="宋体"/>
          <w:b/>
          <w:bCs/>
          <w:color w:val="auto"/>
          <w:kern w:val="0"/>
          <w:sz w:val="24"/>
          <w:highlight w:val="none"/>
        </w:rPr>
        <w:t>二、投标供应商的资格要求</w:t>
      </w:r>
      <w:bookmarkEnd w:id="13"/>
      <w:bookmarkEnd w:id="14"/>
      <w:bookmarkEnd w:id="15"/>
      <w:bookmarkEnd w:id="16"/>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（一）满足《中华人民共和国政府采购法》第二十二条规定。</w:t>
      </w:r>
    </w:p>
    <w:p>
      <w:pPr>
        <w:spacing w:line="360" w:lineRule="auto"/>
        <w:ind w:firstLine="480" w:firstLineChars="200"/>
        <w:rPr>
          <w:rFonts w:ascii="宋体" w:hAnsi="宋体" w:cs="宋体"/>
          <w:color w:val="auto"/>
          <w:sz w:val="24"/>
          <w:highlight w:val="none"/>
        </w:rPr>
      </w:pPr>
      <w:bookmarkStart w:id="17" w:name="_Toc35393623"/>
      <w:bookmarkStart w:id="18" w:name="_Toc28359004"/>
      <w:bookmarkStart w:id="19" w:name="_Toc35393792"/>
      <w:bookmarkStart w:id="20" w:name="_Toc28359081"/>
      <w:r>
        <w:rPr>
          <w:rFonts w:hint="eastAsia" w:ascii="宋体" w:hAnsi="宋体" w:cs="宋体"/>
          <w:color w:val="auto"/>
          <w:sz w:val="24"/>
          <w:highlight w:val="none"/>
        </w:rPr>
        <w:t>（二）本项目的特定资格要求：</w:t>
      </w:r>
      <w:r>
        <w:rPr>
          <w:rFonts w:hint="eastAsia" w:ascii="宋体" w:hAnsi="宋体" w:cs="宋体"/>
          <w:b/>
          <w:color w:val="auto"/>
          <w:sz w:val="24"/>
          <w:highlight w:val="none"/>
        </w:rPr>
        <w:t>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（三）本项目</w:t>
      </w:r>
      <w:r>
        <w:rPr>
          <w:rFonts w:hint="eastAsia" w:ascii="宋体" w:hAnsi="宋体" w:cs="宋体"/>
          <w:b/>
          <w:bCs/>
          <w:color w:val="auto"/>
          <w:sz w:val="24"/>
          <w:highlight w:val="none"/>
        </w:rPr>
        <w:t>(不接受)</w:t>
      </w:r>
      <w:r>
        <w:rPr>
          <w:rFonts w:hint="eastAsia" w:ascii="宋体" w:hAnsi="宋体" w:cs="宋体"/>
          <w:color w:val="auto"/>
          <w:sz w:val="24"/>
          <w:highlight w:val="none"/>
        </w:rPr>
        <w:t>联合体投标。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（四）本项目</w:t>
      </w:r>
      <w:r>
        <w:rPr>
          <w:rFonts w:hint="eastAsia" w:ascii="宋体" w:hAnsi="宋体" w:cs="宋体"/>
          <w:b/>
          <w:bCs/>
          <w:color w:val="auto"/>
          <w:sz w:val="24"/>
          <w:highlight w:val="none"/>
        </w:rPr>
        <w:t>(是)</w:t>
      </w:r>
      <w:r>
        <w:rPr>
          <w:rFonts w:hint="eastAsia" w:ascii="宋体" w:hAnsi="宋体" w:cs="宋体"/>
          <w:bCs/>
          <w:color w:val="auto"/>
          <w:sz w:val="24"/>
          <w:highlight w:val="none"/>
        </w:rPr>
        <w:t>专门面向</w:t>
      </w:r>
      <w:r>
        <w:rPr>
          <w:rFonts w:hint="eastAsia" w:ascii="宋体" w:hAnsi="宋体" w:cs="宋体"/>
          <w:color w:val="auto"/>
          <w:sz w:val="24"/>
          <w:highlight w:val="none"/>
        </w:rPr>
        <w:t>中小企业采购</w:t>
      </w:r>
      <w:r>
        <w:rPr>
          <w:rFonts w:hint="eastAsia" w:asciiTheme="minorEastAsia" w:hAnsiTheme="minorEastAsia" w:cstheme="minorEastAsia"/>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w:t>
      </w:r>
      <w:bookmarkStart w:id="21" w:name="OLE_LINK1"/>
      <w:r>
        <w:rPr>
          <w:rFonts w:hint="eastAsia" w:ascii="宋体" w:hAnsi="宋体" w:cs="宋体"/>
          <w:color w:val="auto"/>
          <w:sz w:val="24"/>
          <w:highlight w:val="none"/>
        </w:rPr>
        <w:t>信用记录：未被 “信用中国”列入失信被执行人、重大税收违法失信主体；未处于“中国政府采购网”政府采购严重违法失信行为信息记录中的禁止参加政府采购活动期间。</w:t>
      </w:r>
      <w:bookmarkEnd w:id="21"/>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电子交易平台运营机构，以及与该机构有直接控股或者管理关系可能影响采购公正性的任何单位和个人，不得在该平台进行的政府采购项目电子交易中投标、响应和代理政府采购项目。</w:t>
      </w:r>
    </w:p>
    <w:p>
      <w:pPr>
        <w:pStyle w:val="24"/>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三、获取招标文件</w:t>
      </w:r>
      <w:bookmarkEnd w:id="17"/>
      <w:bookmarkEnd w:id="18"/>
      <w:bookmarkEnd w:id="19"/>
      <w:bookmarkEnd w:id="20"/>
    </w:p>
    <w:p>
      <w:pPr>
        <w:spacing w:line="360" w:lineRule="auto"/>
        <w:ind w:firstLine="480" w:firstLineChars="200"/>
        <w:rPr>
          <w:rFonts w:cs="宋体"/>
          <w:color w:val="auto"/>
          <w:sz w:val="24"/>
          <w:highlight w:val="none"/>
        </w:rPr>
      </w:pPr>
      <w:r>
        <w:rPr>
          <w:rFonts w:hint="eastAsia" w:ascii="宋体" w:hAnsi="宋体" w:cs="宋体"/>
          <w:color w:val="auto"/>
          <w:sz w:val="24"/>
          <w:highlight w:val="none"/>
        </w:rPr>
        <w:t>（一）时间：</w:t>
      </w:r>
      <w:r>
        <w:rPr>
          <w:rFonts w:hint="eastAsia" w:ascii="宋体" w:hAnsi="宋体" w:cs="Arial"/>
          <w:color w:val="auto"/>
          <w:sz w:val="24"/>
          <w:highlight w:val="none"/>
        </w:rPr>
        <w:t>自本公告发布之日起至投标文件递交截止时间止（</w:t>
      </w:r>
      <w:r>
        <w:rPr>
          <w:rFonts w:hint="eastAsia" w:ascii="宋体" w:hAnsi="宋体" w:cs="宋体"/>
          <w:color w:val="auto"/>
          <w:sz w:val="24"/>
          <w:highlight w:val="none"/>
        </w:rPr>
        <w:t>以浙江政府采购网（https://zfcg.czt.zj.gov.cn）公告时间为准</w:t>
      </w:r>
      <w:r>
        <w:rPr>
          <w:rFonts w:hint="eastAsia"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（二）方式：浙江政府采购网（https://zfcg.czt.zj.gov.cn）免费下载</w:t>
      </w:r>
      <w:r>
        <w:rPr>
          <w:rFonts w:hint="eastAsia" w:ascii="宋体" w:hAnsi="宋体" w:cs="宋体"/>
          <w:color w:val="auto"/>
          <w:sz w:val="24"/>
          <w:szCs w:val="32"/>
          <w:highlight w:val="none"/>
        </w:rPr>
        <w:t>（本项目实行网上报名，不接受现场报名。供应商登录浙江政府采购网进行报名。）</w:t>
      </w:r>
    </w:p>
    <w:p>
      <w:pPr>
        <w:pStyle w:val="24"/>
        <w:spacing w:after="0" w:line="360" w:lineRule="auto"/>
        <w:ind w:left="0" w:leftChars="0" w:firstLine="482" w:firstLineChars="200"/>
        <w:rPr>
          <w:rFonts w:ascii="宋体" w:hAnsi="宋体" w:cs="宋体"/>
          <w:b/>
          <w:bCs/>
          <w:color w:val="auto"/>
          <w:kern w:val="0"/>
          <w:sz w:val="24"/>
          <w:highlight w:val="none"/>
        </w:rPr>
      </w:pPr>
      <w:bookmarkStart w:id="22" w:name="_Toc28359005"/>
      <w:bookmarkStart w:id="23" w:name="_Toc28359082"/>
      <w:bookmarkStart w:id="24" w:name="_Toc35393793"/>
      <w:bookmarkStart w:id="25" w:name="_Toc35393624"/>
      <w:r>
        <w:rPr>
          <w:rFonts w:hint="eastAsia" w:ascii="宋体" w:hAnsi="宋体" w:cs="宋体"/>
          <w:b/>
          <w:bCs/>
          <w:color w:val="auto"/>
          <w:kern w:val="0"/>
          <w:sz w:val="24"/>
          <w:highlight w:val="none"/>
        </w:rPr>
        <w:t>四、提交投标文件</w:t>
      </w:r>
      <w:bookmarkEnd w:id="22"/>
      <w:bookmarkEnd w:id="23"/>
      <w:bookmarkEnd w:id="24"/>
      <w:bookmarkEnd w:id="25"/>
    </w:p>
    <w:p>
      <w:pPr>
        <w:spacing w:line="360" w:lineRule="auto"/>
        <w:ind w:firstLine="480" w:firstLineChars="200"/>
        <w:rPr>
          <w:rFonts w:ascii="宋体" w:hAnsi="宋体" w:cs="宋体"/>
          <w:color w:val="auto"/>
          <w:sz w:val="24"/>
          <w:highlight w:val="none"/>
        </w:rPr>
      </w:pPr>
      <w:bookmarkStart w:id="26" w:name="_Toc35393625"/>
      <w:bookmarkStart w:id="27" w:name="_Toc28359084"/>
      <w:bookmarkStart w:id="28" w:name="_Toc28359007"/>
      <w:bookmarkStart w:id="29" w:name="_Toc35393794"/>
      <w:r>
        <w:rPr>
          <w:rFonts w:hint="eastAsia" w:ascii="宋体" w:hAnsi="宋体" w:cs="宋体"/>
          <w:color w:val="auto"/>
          <w:sz w:val="24"/>
          <w:highlight w:val="none"/>
        </w:rPr>
        <w:t>（一）电子投标文件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截止时间（开标时间）：</w:t>
      </w:r>
      <w:bookmarkStart w:id="30" w:name="OLE_LINK67"/>
      <w:bookmarkStart w:id="31" w:name="OLE_LINK68"/>
      <w:bookmarkStart w:id="32" w:name="OLE_LINK70"/>
      <w:bookmarkStart w:id="33" w:name="OLE_LINK69"/>
      <w:r>
        <w:rPr>
          <w:rFonts w:hint="eastAsia" w:ascii="宋体" w:hAnsi="宋体" w:cs="宋体"/>
          <w:color w:val="auto"/>
          <w:sz w:val="24"/>
          <w:highlight w:val="none"/>
        </w:rPr>
        <w:t>以浙江政府采购网（https://zfcg.czt.zj.gov.cn）公告时间为准</w:t>
      </w:r>
      <w:bookmarkEnd w:id="30"/>
      <w:bookmarkEnd w:id="31"/>
    </w:p>
    <w:bookmarkEnd w:id="32"/>
    <w:bookmarkEnd w:id="33"/>
    <w:p>
      <w:pPr>
        <w:spacing w:line="360" w:lineRule="auto"/>
        <w:ind w:firstLine="480" w:firstLineChars="200"/>
        <w:rPr>
          <w:rFonts w:ascii="宋体" w:hAnsi="宋体" w:cs="宋体"/>
          <w:iCs/>
          <w:color w:val="auto"/>
          <w:sz w:val="24"/>
          <w:highlight w:val="none"/>
          <w:u w:val="single"/>
        </w:rPr>
      </w:pPr>
      <w:r>
        <w:rPr>
          <w:rFonts w:hint="eastAsia" w:ascii="宋体" w:hAnsi="宋体" w:cs="宋体"/>
          <w:color w:val="auto"/>
          <w:sz w:val="24"/>
          <w:highlight w:val="none"/>
        </w:rPr>
        <w:t>投标网址：</w:t>
      </w:r>
      <w:bookmarkStart w:id="34" w:name="OLE_LINK48"/>
      <w:bookmarkStart w:id="35" w:name="OLE_LINK49"/>
      <w:r>
        <w:rPr>
          <w:rFonts w:hint="eastAsia" w:ascii="宋体" w:hAnsi="宋体" w:cs="宋体"/>
          <w:color w:val="auto"/>
          <w:sz w:val="24"/>
          <w:highlight w:val="none"/>
        </w:rPr>
        <w:t>浙江政府采购云平台（http://www.zcygov.cn）</w:t>
      </w:r>
      <w:bookmarkEnd w:id="34"/>
      <w:bookmarkEnd w:id="35"/>
    </w:p>
    <w:bookmarkEnd w:id="26"/>
    <w:bookmarkEnd w:id="27"/>
    <w:bookmarkEnd w:id="28"/>
    <w:bookmarkEnd w:id="29"/>
    <w:p>
      <w:pPr>
        <w:pStyle w:val="9"/>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（二）样品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提交样品时间：以浙江政府采购网（https://zfcg.czt.zj.gov.cn）公告时间为准</w:t>
      </w:r>
    </w:p>
    <w:p>
      <w:pPr>
        <w:pStyle w:val="9"/>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递交地点:浙江省台州市椒江区江城南路88号行政服务中心北面停车场坐电梯上二楼 </w:t>
      </w:r>
    </w:p>
    <w:p>
      <w:pPr>
        <w:pStyle w:val="9"/>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联系人:张先生</w:t>
      </w:r>
    </w:p>
    <w:p>
      <w:pPr>
        <w:pStyle w:val="9"/>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联系方式:15372118610</w:t>
      </w:r>
    </w:p>
    <w:p>
      <w:pPr>
        <w:pStyle w:val="9"/>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bookmarkStart w:id="36" w:name="OLE_LINK4"/>
      <w:r>
        <w:rPr>
          <w:rFonts w:hint="eastAsia" w:ascii="宋体" w:hAnsi="宋体" w:cs="宋体"/>
          <w:color w:val="auto"/>
          <w:sz w:val="24"/>
          <w:highlight w:val="none"/>
        </w:rPr>
        <w:t>投标供应商须在规定时间内递交样品，超过递交时间将不再签收，后果均由投标供应商自己承担。</w:t>
      </w:r>
      <w:bookmarkEnd w:id="36"/>
      <w:r>
        <w:rPr>
          <w:rFonts w:hint="eastAsia" w:ascii="宋体" w:hAnsi="宋体" w:cs="宋体"/>
          <w:color w:val="auto"/>
          <w:sz w:val="24"/>
          <w:highlight w:val="none"/>
        </w:rPr>
        <w:t>）</w:t>
      </w:r>
    </w:p>
    <w:p>
      <w:pPr>
        <w:pStyle w:val="24"/>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pPr>
        <w:pStyle w:val="24"/>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（一）公告网址：</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p>
    <w:p>
      <w:pPr>
        <w:pStyle w:val="24"/>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pPr>
        <w:pStyle w:val="24"/>
        <w:spacing w:after="0" w:line="360" w:lineRule="auto"/>
        <w:ind w:left="0" w:leftChars="0" w:firstLine="482" w:firstLineChars="200"/>
        <w:rPr>
          <w:rFonts w:ascii="宋体" w:hAnsi="宋体" w:cs="宋体"/>
          <w:b/>
          <w:bCs/>
          <w:color w:val="auto"/>
          <w:kern w:val="0"/>
          <w:sz w:val="24"/>
          <w:highlight w:val="none"/>
        </w:rPr>
      </w:pPr>
      <w:bookmarkStart w:id="37" w:name="_Toc35393795"/>
      <w:bookmarkStart w:id="38" w:name="_Toc35393626"/>
      <w:r>
        <w:rPr>
          <w:rFonts w:hint="eastAsia" w:ascii="宋体" w:hAnsi="宋体" w:cs="宋体"/>
          <w:b/>
          <w:bCs/>
          <w:color w:val="auto"/>
          <w:kern w:val="0"/>
          <w:sz w:val="24"/>
          <w:highlight w:val="none"/>
        </w:rPr>
        <w:t>六、</w:t>
      </w:r>
      <w:bookmarkEnd w:id="37"/>
      <w:bookmarkEnd w:id="38"/>
      <w:bookmarkStart w:id="39" w:name="OLE_LINK23"/>
      <w:r>
        <w:rPr>
          <w:rFonts w:hint="eastAsia" w:ascii="宋体" w:hAnsi="宋体" w:cs="宋体"/>
          <w:b/>
          <w:bCs/>
          <w:color w:val="auto"/>
          <w:kern w:val="0"/>
          <w:sz w:val="24"/>
          <w:highlight w:val="none"/>
        </w:rPr>
        <w:t>注册报名</w:t>
      </w:r>
    </w:p>
    <w:p>
      <w:pPr>
        <w:pStyle w:val="24"/>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投标人需登录浙江省政府采购网（</w:t>
      </w:r>
      <w:r>
        <w:rPr>
          <w:rFonts w:ascii="宋体" w:hAnsi="宋体" w:cs="宋体"/>
          <w:color w:val="auto"/>
          <w:sz w:val="24"/>
          <w:highlight w:val="none"/>
        </w:rPr>
        <w:t>https://zfcg.czt.zj.gov.cn/</w:t>
      </w:r>
      <w:r>
        <w:rPr>
          <w:rFonts w:hint="eastAsia" w:ascii="宋体" w:hAnsi="宋体" w:cs="宋体"/>
          <w:color w:val="auto"/>
          <w:sz w:val="24"/>
          <w:highlight w:val="none"/>
        </w:rPr>
        <w:t>）进行注册入库后，通过政采云平台管理后台在线获取招标文件即报名。</w:t>
      </w:r>
    </w:p>
    <w:bookmarkEnd w:id="39"/>
    <w:p>
      <w:pPr>
        <w:pStyle w:val="24"/>
        <w:spacing w:after="0" w:line="360" w:lineRule="auto"/>
        <w:ind w:left="0" w:leftChars="0" w:firstLine="482" w:firstLineChars="200"/>
        <w:rPr>
          <w:rFonts w:ascii="宋体" w:hAnsi="宋体" w:cs="宋体"/>
          <w:b/>
          <w:bCs/>
          <w:color w:val="auto"/>
          <w:kern w:val="0"/>
          <w:sz w:val="24"/>
          <w:highlight w:val="none"/>
        </w:rPr>
      </w:pPr>
      <w:bookmarkStart w:id="40" w:name="_Toc35393796"/>
      <w:bookmarkStart w:id="41" w:name="_Toc35393627"/>
      <w:bookmarkStart w:id="42" w:name="_Toc28359085"/>
      <w:bookmarkStart w:id="43" w:name="_Toc28359008"/>
      <w:r>
        <w:rPr>
          <w:rFonts w:hint="eastAsia" w:ascii="宋体" w:hAnsi="宋体" w:cs="宋体"/>
          <w:b/>
          <w:bCs/>
          <w:color w:val="auto"/>
          <w:kern w:val="0"/>
          <w:sz w:val="24"/>
          <w:highlight w:val="none"/>
        </w:rPr>
        <w:t>七、</w:t>
      </w:r>
      <w:bookmarkEnd w:id="40"/>
      <w:bookmarkEnd w:id="41"/>
      <w:bookmarkEnd w:id="42"/>
      <w:bookmarkEnd w:id="43"/>
      <w:r>
        <w:rPr>
          <w:rFonts w:hint="eastAsia" w:ascii="宋体" w:hAnsi="宋体" w:cs="宋体"/>
          <w:b/>
          <w:bCs/>
          <w:color w:val="auto"/>
          <w:kern w:val="0"/>
          <w:sz w:val="24"/>
          <w:highlight w:val="none"/>
        </w:rPr>
        <w:t>联系方式</w:t>
      </w:r>
    </w:p>
    <w:p>
      <w:pPr>
        <w:snapToGrid w:val="0"/>
        <w:spacing w:line="360" w:lineRule="auto"/>
        <w:ind w:firstLine="482" w:firstLineChars="200"/>
        <w:rPr>
          <w:rFonts w:ascii="宋体" w:hAnsi="宋体" w:cs="宋体"/>
          <w:b/>
          <w:bCs/>
          <w:color w:val="auto"/>
          <w:sz w:val="24"/>
          <w:highlight w:val="none"/>
        </w:rPr>
      </w:pPr>
      <w:bookmarkStart w:id="44" w:name="OLE_LINK10"/>
      <w:r>
        <w:rPr>
          <w:rFonts w:hint="eastAsia" w:ascii="宋体" w:hAnsi="宋体" w:cs="宋体"/>
          <w:b/>
          <w:bCs/>
          <w:color w:val="auto"/>
          <w:sz w:val="24"/>
          <w:highlight w:val="none"/>
        </w:rPr>
        <w:t xml:space="preserve">（一）采购人 </w:t>
      </w:r>
      <w:r>
        <w:rPr>
          <w:rFonts w:hint="eastAsia" w:asciiTheme="minorEastAsia" w:hAnsiTheme="minorEastAsia" w:eastAsiaTheme="minorEastAsia" w:cstheme="minorEastAsia"/>
          <w:b/>
          <w:bCs/>
          <w:color w:val="auto"/>
          <w:sz w:val="24"/>
          <w:highlight w:val="none"/>
        </w:rPr>
        <w:t>（受理招标文件相关质疑及答复）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台州市椒江区人民政府白云街道办事处</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台州市椒江区中山支路11号</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联系人（询问等事宜）：</w:t>
      </w:r>
      <w:bookmarkStart w:id="45" w:name="_Toc28359009"/>
      <w:bookmarkStart w:id="46" w:name="_Toc28359086"/>
      <w:r>
        <w:rPr>
          <w:rFonts w:hint="eastAsia" w:ascii="宋体" w:hAnsi="宋体" w:cs="宋体"/>
          <w:color w:val="auto"/>
          <w:sz w:val="24"/>
          <w:highlight w:val="none"/>
          <w:u w:val="single"/>
        </w:rPr>
        <w:t>谢先生</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0576-89056239</w:t>
      </w:r>
    </w:p>
    <w:bookmarkEnd w:id="45"/>
    <w:bookmarkEnd w:id="46"/>
    <w:p>
      <w:pPr>
        <w:spacing w:line="440" w:lineRule="exact"/>
        <w:ind w:firstLine="480" w:firstLineChars="200"/>
        <w:rPr>
          <w:rFonts w:ascii="宋体" w:hAnsi="宋体" w:cs="宋体"/>
          <w:color w:val="auto"/>
          <w:sz w:val="24"/>
          <w:highlight w:val="none"/>
        </w:rPr>
      </w:pPr>
      <w:bookmarkStart w:id="47" w:name="OLE_LINK8"/>
      <w:bookmarkStart w:id="48" w:name="OLE_LINK9"/>
      <w:r>
        <w:rPr>
          <w:rFonts w:hint="eastAsia" w:ascii="宋体" w:hAnsi="宋体" w:cs="宋体"/>
          <w:color w:val="auto"/>
          <w:sz w:val="24"/>
          <w:highlight w:val="none"/>
        </w:rPr>
        <w:t>质疑联系人</w:t>
      </w:r>
      <w:r>
        <w:rPr>
          <w:rFonts w:ascii="宋体" w:hAnsi="宋体" w:cs="宋体"/>
          <w:color w:val="auto"/>
          <w:sz w:val="24"/>
          <w:highlight w:val="none"/>
        </w:rPr>
        <w:t>：</w:t>
      </w:r>
      <w:r>
        <w:rPr>
          <w:rFonts w:hint="eastAsia" w:ascii="宋体" w:hAnsi="宋体" w:cs="宋体"/>
          <w:color w:val="auto"/>
          <w:sz w:val="24"/>
          <w:highlight w:val="none"/>
          <w:u w:val="single"/>
        </w:rPr>
        <w:t>詹女士</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u w:val="single"/>
        </w:rPr>
        <w:t>0576-89059157</w:t>
      </w:r>
    </w:p>
    <w:p>
      <w:pPr>
        <w:spacing w:line="440" w:lineRule="exact"/>
        <w:ind w:firstLine="482" w:firstLineChars="200"/>
        <w:rPr>
          <w:rFonts w:ascii="宋体" w:hAnsi="宋体" w:cs="宋体"/>
          <w:b/>
          <w:color w:val="auto"/>
          <w:sz w:val="24"/>
          <w:highlight w:val="none"/>
        </w:rPr>
      </w:pPr>
      <w:r>
        <w:rPr>
          <w:rFonts w:hint="eastAsia" w:ascii="宋体" w:hAnsi="宋体" w:cs="宋体"/>
          <w:b/>
          <w:bCs/>
          <w:color w:val="auto"/>
          <w:sz w:val="24"/>
          <w:highlight w:val="none"/>
        </w:rPr>
        <w:t>（二）采购组织机构</w:t>
      </w:r>
    </w:p>
    <w:p>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浙江中永工程咨询有限公司</w:t>
      </w:r>
    </w:p>
    <w:p>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bookmarkStart w:id="49" w:name="OLE_LINK94"/>
      <w:bookmarkStart w:id="50" w:name="OLE_LINK93"/>
      <w:r>
        <w:rPr>
          <w:rFonts w:hint="eastAsia" w:ascii="宋体" w:hAnsi="宋体" w:cs="宋体"/>
          <w:color w:val="auto"/>
          <w:sz w:val="24"/>
          <w:highlight w:val="none"/>
          <w:u w:val="single"/>
        </w:rPr>
        <w:t>浙江省台州市椒江区海洋广场1幢</w:t>
      </w:r>
      <w:bookmarkEnd w:id="49"/>
      <w:bookmarkEnd w:id="50"/>
      <w:r>
        <w:rPr>
          <w:rFonts w:hint="eastAsia" w:ascii="宋体" w:hAnsi="宋体" w:cs="宋体"/>
          <w:color w:val="auto"/>
          <w:sz w:val="24"/>
          <w:highlight w:val="none"/>
          <w:u w:val="single"/>
        </w:rPr>
        <w:t>5层</w:t>
      </w:r>
    </w:p>
    <w:p>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项目联系人（询问等事宜）：</w:t>
      </w:r>
      <w:r>
        <w:rPr>
          <w:rFonts w:hint="eastAsia" w:ascii="宋体" w:hAnsi="宋体" w:cs="宋体"/>
          <w:color w:val="auto"/>
          <w:sz w:val="24"/>
          <w:highlight w:val="none"/>
          <w:u w:val="single"/>
        </w:rPr>
        <w:t>李女士</w:t>
      </w:r>
    </w:p>
    <w:p>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联系电话（询问等事宜）：</w:t>
      </w:r>
      <w:r>
        <w:rPr>
          <w:rFonts w:ascii="宋体" w:hAnsi="宋体" w:cs="宋体"/>
          <w:color w:val="auto"/>
          <w:sz w:val="24"/>
          <w:highlight w:val="none"/>
          <w:u w:val="single"/>
        </w:rPr>
        <w:t>0576-</w:t>
      </w:r>
      <w:r>
        <w:rPr>
          <w:rFonts w:hint="eastAsia" w:ascii="宋体" w:hAnsi="宋体" w:cs="宋体"/>
          <w:color w:val="auto"/>
          <w:sz w:val="24"/>
          <w:highlight w:val="none"/>
          <w:u w:val="single"/>
        </w:rPr>
        <w:t>88601616</w:t>
      </w:r>
    </w:p>
    <w:p>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质疑联系人：</w:t>
      </w:r>
      <w:r>
        <w:rPr>
          <w:rFonts w:hint="eastAsia" w:ascii="宋体" w:hAnsi="宋体" w:cs="宋体"/>
          <w:color w:val="auto"/>
          <w:sz w:val="24"/>
          <w:highlight w:val="none"/>
          <w:u w:val="single"/>
        </w:rPr>
        <w:t>邱女士</w:t>
      </w:r>
    </w:p>
    <w:p>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质疑联系方式：</w:t>
      </w:r>
      <w:r>
        <w:rPr>
          <w:rFonts w:hint="eastAsia" w:ascii="宋体" w:hAnsi="宋体" w:cs="宋体"/>
          <w:color w:val="auto"/>
          <w:sz w:val="24"/>
          <w:highlight w:val="none"/>
          <w:u w:val="single"/>
        </w:rPr>
        <w:t>0576-88589196</w:t>
      </w:r>
    </w:p>
    <w:p>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（三）同级政府采购监管机构</w:t>
      </w:r>
    </w:p>
    <w:p>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名 称：</w:t>
      </w:r>
      <w:bookmarkStart w:id="51" w:name="OLE_LINK98"/>
      <w:bookmarkStart w:id="52" w:name="OLE_LINK97"/>
      <w:r>
        <w:rPr>
          <w:rFonts w:hint="eastAsia" w:ascii="宋体" w:hAnsi="宋体" w:cs="宋体"/>
          <w:color w:val="auto"/>
          <w:sz w:val="24"/>
          <w:highlight w:val="none"/>
          <w:u w:val="single"/>
        </w:rPr>
        <w:t>台州市椒江区财政局政府采购监管科</w:t>
      </w:r>
      <w:bookmarkEnd w:id="51"/>
      <w:bookmarkEnd w:id="52"/>
    </w:p>
    <w:p>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台州市椒江区财政局</w:t>
      </w:r>
    </w:p>
    <w:p>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联系人：</w:t>
      </w:r>
      <w:bookmarkStart w:id="53" w:name="OLE_LINK99"/>
      <w:bookmarkStart w:id="54" w:name="OLE_LINK100"/>
      <w:r>
        <w:rPr>
          <w:rFonts w:hint="eastAsia" w:ascii="宋体" w:hAnsi="宋体" w:cs="宋体"/>
          <w:color w:val="auto"/>
          <w:sz w:val="24"/>
          <w:highlight w:val="none"/>
          <w:u w:val="single"/>
        </w:rPr>
        <w:t>李</w:t>
      </w:r>
      <w:bookmarkEnd w:id="53"/>
      <w:bookmarkEnd w:id="54"/>
      <w:r>
        <w:rPr>
          <w:rFonts w:hint="eastAsia" w:ascii="宋体" w:hAnsi="宋体" w:cs="宋体"/>
          <w:color w:val="auto"/>
          <w:sz w:val="24"/>
          <w:highlight w:val="none"/>
          <w:u w:val="single"/>
        </w:rPr>
        <w:t>老师</w:t>
      </w:r>
    </w:p>
    <w:p>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bookmarkStart w:id="55" w:name="OLE_LINK101"/>
      <w:r>
        <w:rPr>
          <w:rFonts w:ascii="宋体" w:hAnsi="宋体" w:cs="宋体"/>
          <w:color w:val="auto"/>
          <w:sz w:val="24"/>
          <w:highlight w:val="none"/>
          <w:u w:val="single"/>
        </w:rPr>
        <w:t>0576-</w:t>
      </w:r>
      <w:bookmarkEnd w:id="55"/>
      <w:r>
        <w:rPr>
          <w:rFonts w:hint="eastAsia" w:ascii="宋体" w:hAnsi="宋体" w:cs="宋体"/>
          <w:color w:val="auto"/>
          <w:sz w:val="24"/>
          <w:highlight w:val="none"/>
          <w:u w:val="single"/>
        </w:rPr>
        <w:t>88225817</w:t>
      </w:r>
    </w:p>
    <w:p>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（四）政采云平台</w:t>
      </w:r>
    </w:p>
    <w:p>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95763</w:t>
      </w:r>
    </w:p>
    <w:bookmarkEnd w:id="44"/>
    <w:bookmarkEnd w:id="47"/>
    <w:bookmarkEnd w:id="48"/>
    <w:p>
      <w:pPr>
        <w:widowControl/>
        <w:spacing w:line="360" w:lineRule="auto"/>
        <w:ind w:firstLine="200"/>
        <w:rPr>
          <w:rFonts w:ascii="宋体" w:hAnsi="宋体" w:cs="宋体"/>
          <w:color w:val="auto"/>
          <w:kern w:val="0"/>
          <w:sz w:val="24"/>
          <w:highlight w:val="none"/>
        </w:rPr>
      </w:pPr>
      <w:r>
        <w:rPr>
          <w:color w:val="auto"/>
          <w:highlight w:val="none"/>
        </w:rPr>
        <w:br w:type="page"/>
      </w:r>
    </w:p>
    <w:bookmarkEnd w:id="8"/>
    <w:bookmarkEnd w:id="9"/>
    <w:p>
      <w:pPr>
        <w:numPr>
          <w:ilvl w:val="0"/>
          <w:numId w:val="4"/>
        </w:numPr>
        <w:spacing w:line="360" w:lineRule="auto"/>
        <w:jc w:val="center"/>
        <w:outlineLvl w:val="0"/>
        <w:rPr>
          <w:rFonts w:asciiTheme="minorEastAsia" w:hAnsiTheme="minorEastAsia" w:eastAsiaTheme="minorEastAsia"/>
          <w:b/>
          <w:color w:val="auto"/>
          <w:sz w:val="36"/>
          <w:szCs w:val="36"/>
          <w:highlight w:val="none"/>
        </w:rPr>
      </w:pPr>
      <w:bookmarkStart w:id="56" w:name="_Toc5117"/>
      <w:r>
        <w:rPr>
          <w:rFonts w:hint="eastAsia" w:asciiTheme="minorEastAsia" w:hAnsiTheme="minorEastAsia" w:eastAsiaTheme="minorEastAsia"/>
          <w:b/>
          <w:color w:val="auto"/>
          <w:sz w:val="36"/>
          <w:szCs w:val="36"/>
          <w:highlight w:val="none"/>
        </w:rPr>
        <w:t>投标供应商须知</w:t>
      </w:r>
      <w:bookmarkEnd w:id="56"/>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一、前附表</w:t>
      </w:r>
    </w:p>
    <w:tbl>
      <w:tblPr>
        <w:tblStyle w:val="25"/>
        <w:tblpPr w:leftFromText="180" w:rightFromText="180" w:vertAnchor="text" w:horzAnchor="page" w:tblpX="1461" w:tblpY="447"/>
        <w:tblOverlap w:val="never"/>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仿宋_GB2312" w:hAnsi="仿宋" w:eastAsia="仿宋_GB2312" w:cs="仿宋_GB2312"/>
                <w:b/>
                <w:color w:val="auto"/>
                <w:sz w:val="24"/>
                <w:highlight w:val="none"/>
              </w:rPr>
              <w:t>序号</w:t>
            </w:r>
          </w:p>
        </w:tc>
        <w:tc>
          <w:tcPr>
            <w:tcW w:w="1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仿宋_GB2312" w:hAnsi="仿宋" w:eastAsia="仿宋_GB2312" w:cs="仿宋_GB2312"/>
                <w:b/>
                <w:color w:val="auto"/>
                <w:sz w:val="24"/>
                <w:highlight w:val="none"/>
              </w:rPr>
              <w:t>事项</w:t>
            </w:r>
          </w:p>
        </w:tc>
        <w:tc>
          <w:tcPr>
            <w:tcW w:w="6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ascii="宋体" w:hAnsi="宋体" w:cs="宋体"/>
                <w:bCs/>
                <w:color w:val="auto"/>
                <w:szCs w:val="21"/>
                <w:highlight w:val="none"/>
              </w:rPr>
              <w:t>▲</w:t>
            </w:r>
            <w:r>
              <w:rPr>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color w:val="auto"/>
                <w:szCs w:val="21"/>
                <w:highlight w:val="none"/>
              </w:rPr>
            </w:pPr>
            <w:bookmarkStart w:id="57" w:name="OLE_LINK17"/>
            <w:bookmarkStart w:id="58" w:name="OLE_LINK18"/>
            <w:r>
              <w:rPr>
                <w:rFonts w:hint="eastAsia" w:ascii="宋体" w:hAnsi="宋体" w:cs="宋体"/>
                <w:bCs/>
                <w:color w:val="auto"/>
                <w:szCs w:val="21"/>
                <w:highlight w:val="none"/>
              </w:rPr>
              <w:t>▲</w:t>
            </w:r>
            <w:bookmarkEnd w:id="57"/>
            <w:bookmarkEnd w:id="58"/>
            <w:r>
              <w:rPr>
                <w:rFonts w:hint="eastAsia" w:ascii="宋体" w:hAnsi="宋体" w:cs="宋体"/>
                <w:bCs/>
                <w:color w:val="auto"/>
                <w:szCs w:val="21"/>
                <w:highlight w:val="none"/>
              </w:rPr>
              <w:t>不</w:t>
            </w:r>
            <w:r>
              <w:rPr>
                <w:rFonts w:hint="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vAlign w:val="center"/>
          </w:tcPr>
          <w:p>
            <w:pPr>
              <w:rPr>
                <w:b/>
                <w:color w:val="auto"/>
                <w:highlight w:val="none"/>
              </w:rPr>
            </w:pPr>
            <w:r>
              <w:rPr>
                <w:rFonts w:hint="eastAsia"/>
                <w:b/>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是否允许进口产品投标</w:t>
            </w:r>
          </w:p>
        </w:tc>
        <w:tc>
          <w:tcPr>
            <w:tcW w:w="6501" w:type="dxa"/>
            <w:tcBorders>
              <w:top w:val="single" w:color="auto" w:sz="4" w:space="0"/>
              <w:left w:val="single" w:color="auto" w:sz="4" w:space="0"/>
              <w:bottom w:val="single" w:color="auto" w:sz="4" w:space="0"/>
              <w:right w:val="single" w:color="auto" w:sz="4" w:space="0"/>
            </w:tcBorders>
            <w:vAlign w:val="center"/>
          </w:tcPr>
          <w:p>
            <w:pPr>
              <w:rPr>
                <w:b/>
                <w:color w:val="auto"/>
                <w:highlight w:val="none"/>
              </w:rPr>
            </w:pPr>
            <w:r>
              <w:rPr>
                <w:b/>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答疑会或</w:t>
            </w:r>
          </w:p>
          <w:p>
            <w:pPr>
              <w:rPr>
                <w:rFonts w:ascii="宋体" w:hAnsi="宋体" w:cs="宋体"/>
                <w:color w:val="auto"/>
                <w:kern w:val="0"/>
                <w:szCs w:val="21"/>
                <w:highlight w:val="none"/>
              </w:rPr>
            </w:pPr>
            <w:r>
              <w:rPr>
                <w:rFonts w:hint="eastAsia" w:ascii="宋体" w:hAnsi="宋体" w:cs="宋体"/>
                <w:color w:val="auto"/>
                <w:szCs w:val="21"/>
                <w:highlight w:val="none"/>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s="宋体" w:asciiTheme="minorEastAsia" w:hAnsiTheme="minorEastAsia" w:eastAsiaTheme="minorEastAsia"/>
                <w:color w:val="auto"/>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szCs w:val="21"/>
                <w:highlight w:val="none"/>
              </w:rPr>
              <w:t>投标文件的制作和投标</w:t>
            </w:r>
          </w:p>
        </w:tc>
        <w:tc>
          <w:tcPr>
            <w:tcW w:w="6501" w:type="dxa"/>
            <w:tcBorders>
              <w:top w:val="single" w:color="auto" w:sz="4" w:space="0"/>
              <w:left w:val="single" w:color="auto" w:sz="4" w:space="0"/>
              <w:bottom w:val="single" w:color="auto" w:sz="4" w:space="0"/>
              <w:right w:val="single" w:color="auto" w:sz="4" w:space="0"/>
            </w:tcBorders>
            <w:vAlign w:val="center"/>
          </w:tcPr>
          <w:p>
            <w:pPr>
              <w:ind w:firstLine="420" w:firstLineChars="200"/>
              <w:rPr>
                <w:color w:val="auto"/>
                <w:highlight w:val="none"/>
              </w:rPr>
            </w:pPr>
            <w:r>
              <w:rPr>
                <w:rFonts w:hint="eastAsia"/>
                <w:color w:val="auto"/>
                <w:highlight w:val="none"/>
              </w:rPr>
              <w:t>请投标供应商仔细阅读“政府采购项目电子交易操作指南”。</w:t>
            </w:r>
          </w:p>
          <w:p>
            <w:pPr>
              <w:ind w:firstLine="420" w:firstLineChars="200"/>
              <w:rPr>
                <w:color w:val="auto"/>
                <w:highlight w:val="none"/>
              </w:rPr>
            </w:pPr>
            <w:r>
              <w:rPr>
                <w:rFonts w:hint="eastAsia"/>
                <w:color w:val="auto"/>
                <w:highlight w:val="none"/>
              </w:rPr>
              <w:t>1.投标文件的制作：投标供应商按照本项目招标文件和政采云平台的要求,通过“政采云电子交易客户端”编制、加密并递交投标文件（下载网址：</w:t>
            </w: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color w:val="auto"/>
                <w:highlight w:val="none"/>
              </w:rPr>
              <w:t>https://zfcg.czt.zj.gov.cn/download/index.html）。</w:t>
            </w:r>
            <w:r>
              <w:rPr>
                <w:rFonts w:hint="eastAsia"/>
                <w:color w:val="auto"/>
                <w:highlight w:val="none"/>
              </w:rPr>
              <w:fldChar w:fldCharType="end"/>
            </w:r>
          </w:p>
          <w:p>
            <w:pPr>
              <w:ind w:firstLine="420" w:firstLineChars="200"/>
              <w:rPr>
                <w:color w:val="auto"/>
                <w:highlight w:val="none"/>
              </w:rPr>
            </w:pPr>
            <w:r>
              <w:rPr>
                <w:rFonts w:hint="eastAsia"/>
                <w:color w:val="auto"/>
                <w:highlight w:val="none"/>
              </w:rPr>
              <w:t>2.投标：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pPr>
              <w:ind w:firstLine="420" w:firstLineChars="200"/>
              <w:rPr>
                <w:rFonts w:ascii="宋体" w:hAnsi="宋体" w:cs="宋体"/>
                <w:color w:val="auto"/>
                <w:kern w:val="0"/>
                <w:szCs w:val="21"/>
                <w:highlight w:val="none"/>
              </w:rPr>
            </w:pPr>
            <w:r>
              <w:rPr>
                <w:rFonts w:hint="eastAsia"/>
                <w:color w:val="auto"/>
                <w:highlight w:val="none"/>
              </w:rPr>
              <w:t>3.投标文件解密：投标供应商应在开标后30分钟完成解密。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760" w:type="dxa"/>
            <w:tcBorders>
              <w:top w:val="single" w:color="auto" w:sz="4" w:space="0"/>
              <w:left w:val="single" w:color="auto" w:sz="4" w:space="0"/>
              <w:bottom w:val="single" w:color="auto" w:sz="4" w:space="0"/>
              <w:right w:val="single" w:color="auto" w:sz="4" w:space="0"/>
            </w:tcBorders>
            <w:vAlign w:val="center"/>
          </w:tcPr>
          <w:p>
            <w:pPr>
              <w:pStyle w:val="24"/>
              <w:spacing w:after="0"/>
              <w:ind w:left="0" w:leftChars="0" w:firstLine="0"/>
              <w:rPr>
                <w:rFonts w:ascii="宋体" w:hAnsi="宋体" w:cs="宋体"/>
                <w:color w:val="auto"/>
                <w:kern w:val="0"/>
                <w:szCs w:val="21"/>
                <w:highlight w:val="none"/>
              </w:rPr>
            </w:pPr>
            <w:r>
              <w:rPr>
                <w:rFonts w:hint="eastAsia" w:ascii="宋体" w:hAnsi="宋体" w:cs="宋体"/>
                <w:color w:val="auto"/>
                <w:szCs w:val="21"/>
                <w:highlight w:val="none"/>
              </w:rPr>
              <w:t>备份投标文件的递交</w:t>
            </w:r>
          </w:p>
        </w:tc>
        <w:tc>
          <w:tcPr>
            <w:tcW w:w="6501" w:type="dxa"/>
            <w:tcBorders>
              <w:top w:val="single" w:color="auto" w:sz="4" w:space="0"/>
              <w:left w:val="single" w:color="auto" w:sz="4" w:space="0"/>
              <w:bottom w:val="single" w:color="auto" w:sz="4" w:space="0"/>
              <w:right w:val="single" w:color="auto" w:sz="4" w:space="0"/>
            </w:tcBorders>
            <w:vAlign w:val="center"/>
          </w:tcPr>
          <w:p>
            <w:pPr>
              <w:pStyle w:val="24"/>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备份投标文件是通过政采云电子交易客户端制作投标文件产生的备份文件，请投标供应商自行妥善保管。</w:t>
            </w:r>
          </w:p>
          <w:p>
            <w:pPr>
              <w:pStyle w:val="24"/>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1.使用前提：投标供应商自行在线解密操作失败无法按时寻求技术人员帮助解密，或者投标供应商寻求技术人员帮助仍无法按时完成解密。</w:t>
            </w:r>
          </w:p>
          <w:p>
            <w:pPr>
              <w:pStyle w:val="24"/>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2.递交截止时间：同投标截止时间</w:t>
            </w:r>
          </w:p>
          <w:p>
            <w:pPr>
              <w:pStyle w:val="24"/>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3.投递邮箱：</w:t>
            </w:r>
            <w:r>
              <w:rPr>
                <w:rFonts w:hint="eastAsia" w:ascii="宋体" w:hAnsi="宋体" w:cs="宋体"/>
                <w:b/>
                <w:color w:val="auto"/>
                <w:szCs w:val="21"/>
                <w:highlight w:val="none"/>
              </w:rPr>
              <w:t>1664495357@qq.com</w:t>
            </w:r>
          </w:p>
          <w:p>
            <w:pPr>
              <w:pStyle w:val="24"/>
              <w:spacing w:after="0"/>
              <w:ind w:left="0" w:leftChars="0" w:firstLineChars="200"/>
              <w:rPr>
                <w:rFonts w:ascii="宋体" w:hAnsi="宋体" w:cs="宋体"/>
                <w:color w:val="auto"/>
                <w:kern w:val="0"/>
                <w:szCs w:val="21"/>
                <w:highlight w:val="none"/>
              </w:rPr>
            </w:pPr>
            <w:r>
              <w:rPr>
                <w:rFonts w:hint="eastAsia" w:ascii="宋体" w:hAnsi="宋体" w:cs="宋体"/>
                <w:color w:val="auto"/>
                <w:szCs w:val="21"/>
                <w:highlight w:val="none"/>
              </w:rPr>
              <w:t>4.备份投标文件由供应商自行确定是否提交，因备份投标文件未加密而造成失密等情况，采购组织机构概不负责。未在系统上提交投标文件而仅提交备份投标文件的，其响应无效。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760" w:type="dxa"/>
            <w:tcBorders>
              <w:top w:val="single" w:color="auto" w:sz="4" w:space="0"/>
              <w:left w:val="single" w:color="auto" w:sz="4" w:space="0"/>
              <w:bottom w:val="single" w:color="auto" w:sz="4" w:space="0"/>
              <w:right w:val="single" w:color="auto" w:sz="4" w:space="0"/>
            </w:tcBorders>
            <w:vAlign w:val="center"/>
          </w:tcPr>
          <w:p>
            <w:pPr>
              <w:pStyle w:val="9"/>
              <w:ind w:firstLine="0"/>
              <w:rPr>
                <w:rFonts w:ascii="宋体" w:hAnsi="宋体" w:cs="宋体"/>
                <w:color w:val="auto"/>
                <w:kern w:val="0"/>
                <w:szCs w:val="21"/>
                <w:highlight w:val="none"/>
              </w:rPr>
            </w:pPr>
            <w:r>
              <w:rPr>
                <w:rFonts w:hint="eastAsia" w:ascii="宋体" w:hAnsi="宋体" w:cs="宋体"/>
                <w:color w:val="auto"/>
                <w:szCs w:val="21"/>
                <w:highlight w:val="none"/>
              </w:rPr>
              <w:t>不见面开标</w:t>
            </w:r>
          </w:p>
        </w:tc>
        <w:tc>
          <w:tcPr>
            <w:tcW w:w="6501" w:type="dxa"/>
            <w:tcBorders>
              <w:top w:val="single" w:color="auto" w:sz="4" w:space="0"/>
              <w:left w:val="single" w:color="auto" w:sz="4" w:space="0"/>
              <w:bottom w:val="single" w:color="auto" w:sz="4" w:space="0"/>
              <w:right w:val="single" w:color="auto" w:sz="4" w:space="0"/>
            </w:tcBorders>
            <w:vAlign w:val="center"/>
          </w:tcPr>
          <w:p>
            <w:pPr>
              <w:pStyle w:val="21"/>
              <w:spacing w:before="0" w:beforeAutospacing="0" w:after="0" w:afterAutospacing="0"/>
              <w:ind w:firstLine="420" w:firstLineChars="200"/>
              <w:jc w:val="both"/>
              <w:rPr>
                <w:rFonts w:hint="default" w:cs="宋体"/>
                <w:color w:val="auto"/>
                <w:szCs w:val="21"/>
                <w:highlight w:val="none"/>
              </w:rPr>
            </w:pPr>
            <w:r>
              <w:rPr>
                <w:rFonts w:cs="宋体"/>
                <w:color w:val="auto"/>
                <w:sz w:val="21"/>
                <w:szCs w:val="21"/>
                <w:highlight w:val="none"/>
              </w:rPr>
              <w:t>采购组织机构按照招标文件规定的时间通过“政采云平台”组织开标，所有投标供应商均应当准时在线参加。如未参加，</w:t>
            </w:r>
            <w:r>
              <w:rPr>
                <w:rFonts w:cs="宋体"/>
                <w:bCs/>
                <w:color w:val="auto"/>
                <w:sz w:val="21"/>
                <w:szCs w:val="21"/>
                <w:highlight w:val="none"/>
              </w:rPr>
              <w:t>造成无法投标、投标失败等后果由投标供应商自行承担。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样品</w:t>
            </w:r>
          </w:p>
        </w:tc>
        <w:tc>
          <w:tcPr>
            <w:tcW w:w="650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ind w:firstLine="422" w:firstLineChars="200"/>
              <w:rPr>
                <w:rFonts w:hAnsi="宋体" w:cs="宋体"/>
                <w:color w:val="auto"/>
                <w:szCs w:val="21"/>
                <w:highlight w:val="none"/>
              </w:rPr>
            </w:pPr>
            <w:r>
              <w:rPr>
                <w:rFonts w:hAnsi="宋体" w:cs="宋体"/>
                <w:b/>
                <w:color w:val="auto"/>
                <w:szCs w:val="21"/>
                <w:highlight w:val="none"/>
              </w:rPr>
              <w:t>本项目要求提供样品</w:t>
            </w:r>
            <w:r>
              <w:rPr>
                <w:rFonts w:hAnsi="宋体" w:cs="宋体"/>
                <w:color w:val="auto"/>
                <w:szCs w:val="21"/>
                <w:highlight w:val="none"/>
              </w:rPr>
              <w:t>，详见本章“四、投标文件“（一）投标文件的编制</w:t>
            </w:r>
            <w:r>
              <w:rPr>
                <w:rFonts w:hint="eastAsia" w:hAnsi="宋体" w:cs="宋体"/>
                <w:color w:val="auto"/>
                <w:szCs w:val="21"/>
                <w:highlight w:val="none"/>
              </w:rPr>
              <w:t>2.样品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投标与开标注意事项</w:t>
            </w:r>
          </w:p>
        </w:tc>
        <w:tc>
          <w:tcPr>
            <w:tcW w:w="650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ind w:firstLine="420" w:firstLineChars="200"/>
              <w:rPr>
                <w:rFonts w:hAnsi="宋体" w:cs="宋体"/>
                <w:bCs/>
                <w:color w:val="auto"/>
                <w:szCs w:val="21"/>
                <w:highlight w:val="none"/>
              </w:rPr>
            </w:pPr>
            <w:r>
              <w:rPr>
                <w:rFonts w:hint="eastAsia" w:hAnsi="宋体" w:cs="宋体"/>
                <w:bCs/>
                <w:color w:val="auto"/>
                <w:szCs w:val="21"/>
                <w:highlight w:val="none"/>
              </w:rPr>
              <w:t>1.本项目实行电子投标，投标供应商自行承担投标一切费用。</w:t>
            </w:r>
          </w:p>
          <w:p>
            <w:pPr>
              <w:pStyle w:val="14"/>
              <w:adjustRightInd w:val="0"/>
              <w:snapToGrid w:val="0"/>
              <w:ind w:firstLine="420" w:firstLineChars="200"/>
              <w:rPr>
                <w:rFonts w:hAnsi="宋体" w:cs="宋体"/>
                <w:color w:val="auto"/>
                <w:szCs w:val="21"/>
                <w:highlight w:val="none"/>
              </w:rPr>
            </w:pPr>
            <w:r>
              <w:rPr>
                <w:rFonts w:hint="eastAsia" w:hAnsi="宋体" w:cs="宋体"/>
                <w:bCs/>
                <w:color w:val="auto"/>
                <w:szCs w:val="21"/>
                <w:highlight w:val="none"/>
              </w:rPr>
              <w:t>2.标前准备：投标供应商在开标前确保成为浙江省政府采购网正式注册用户，并完成CA数字证书办理。因未注册入库、未办理CA数字证书等原因造成无法投标或投标失败等后果由投标供应商自行承担。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信用信息查询渠道</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cs="Arial" w:asciiTheme="minorEastAsia" w:hAnsiTheme="minorEastAsia" w:eastAsiaTheme="minorEastAsia"/>
                <w:color w:val="auto"/>
                <w:szCs w:val="21"/>
                <w:highlight w:val="none"/>
              </w:rPr>
              <w:t>http://www.creditchina.gov.cn</w:t>
            </w:r>
            <w:r>
              <w:rPr>
                <w:rFonts w:cs="Arial" w:asciiTheme="minorEastAsia" w:hAnsiTheme="minorEastAsia" w:eastAsiaTheme="minorEastAsia"/>
                <w:color w:val="auto"/>
                <w:szCs w:val="21"/>
                <w:highlight w:val="none"/>
              </w:rPr>
              <w:fldChar w:fldCharType="end"/>
            </w:r>
            <w:r>
              <w:rPr>
                <w:rFonts w:hint="eastAsia" w:cs="Arial" w:asciiTheme="minorEastAsia" w:hAnsiTheme="minorEastAsia" w:eastAsiaTheme="minorEastAsia"/>
                <w:color w:val="auto"/>
                <w:szCs w:val="21"/>
                <w:highlight w:val="none"/>
              </w:rPr>
              <w:t>)</w:t>
            </w:r>
          </w:p>
          <w:p>
            <w:pPr>
              <w:snapToGrid w:val="0"/>
              <w:rPr>
                <w:rFonts w:ascii="宋体" w:hAnsi="宋体" w:cs="宋体"/>
                <w:color w:val="auto"/>
                <w:szCs w:val="21"/>
                <w:highlight w:val="none"/>
              </w:rPr>
            </w:pPr>
            <w:r>
              <w:rPr>
                <w:rFonts w:hint="eastAsia" w:cs="Arial" w:asciiTheme="minorEastAsia" w:hAnsiTheme="minorEastAsia" w:eastAsiaTheme="minorEastAsia"/>
                <w:color w:val="auto"/>
                <w:szCs w:val="21"/>
                <w:highlight w:val="none"/>
              </w:rPr>
              <w:t>中国政府采购网（网址：</w:t>
            </w:r>
            <w:r>
              <w:rPr>
                <w:rFonts w:cs="Arial" w:asciiTheme="minorEastAsia" w:hAnsiTheme="minorEastAsia" w:eastAsiaTheme="minorEastAsia"/>
                <w:color w:val="auto"/>
                <w:szCs w:val="21"/>
                <w:highlight w:val="none"/>
              </w:rPr>
              <w:t>http://www.ccgp.gov.cn</w:t>
            </w:r>
            <w:r>
              <w:rPr>
                <w:rFonts w:hint="eastAsia" w:cs="Arial"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中小企业预留份额情况</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ascii="黑体" w:hAnsi="黑体" w:eastAsia="黑体" w:cs="黑体"/>
                <w:color w:val="auto"/>
                <w:szCs w:val="21"/>
                <w:highlight w:val="none"/>
                <w:shd w:val="clear" w:color="auto" w:fill="FFFFFF"/>
              </w:rPr>
            </w:pPr>
            <w:r>
              <w:rPr>
                <w:rFonts w:hint="eastAsia" w:cs="Arial" w:asciiTheme="minorEastAsia" w:hAnsiTheme="minorEastAsia" w:eastAsiaTheme="minorEastAsia"/>
                <w:color w:val="auto"/>
                <w:szCs w:val="21"/>
                <w:highlight w:val="none"/>
              </w:rPr>
              <w:t>根据《政府采购促进中小企业发展管理办法》财库〔2020〕46号文件的规定，本项目</w:t>
            </w:r>
            <w:r>
              <w:rPr>
                <w:rFonts w:hint="eastAsia" w:cs="Arial" w:asciiTheme="minorEastAsia" w:hAnsiTheme="minorEastAsia" w:eastAsiaTheme="minorEastAsia"/>
                <w:b/>
                <w:bCs/>
                <w:color w:val="auto"/>
                <w:szCs w:val="21"/>
                <w:highlight w:val="none"/>
              </w:rPr>
              <w:t>是</w:t>
            </w:r>
            <w:r>
              <w:rPr>
                <w:rFonts w:hint="eastAsia" w:cs="Arial" w:asciiTheme="minorEastAsia" w:hAnsiTheme="minorEastAsia" w:eastAsiaTheme="minorEastAsia"/>
                <w:color w:val="auto"/>
                <w:szCs w:val="21"/>
                <w:highlight w:val="none"/>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中小企业优惠措施</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1.项目属性（货物类）</w:t>
            </w:r>
          </w:p>
          <w:p>
            <w:pPr>
              <w:snapToGrid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2.中小企业划分标准所属行业（具体根据《</w:t>
            </w:r>
            <w:bookmarkStart w:id="59" w:name="OLE_LINK7"/>
            <w:r>
              <w:rPr>
                <w:rFonts w:hint="eastAsia" w:cs="Arial" w:asciiTheme="minorEastAsia" w:hAnsiTheme="minorEastAsia" w:eastAsiaTheme="minorEastAsia"/>
                <w:color w:val="auto"/>
                <w:szCs w:val="21"/>
                <w:highlight w:val="none"/>
              </w:rPr>
              <w:t>中小企业划型标准规定</w:t>
            </w:r>
            <w:bookmarkEnd w:id="59"/>
            <w:r>
              <w:rPr>
                <w:rFonts w:hint="eastAsia" w:cs="Arial" w:asciiTheme="minorEastAsia" w:hAnsiTheme="minorEastAsia" w:eastAsiaTheme="minorEastAsia"/>
                <w:color w:val="auto"/>
                <w:szCs w:val="21"/>
                <w:highlight w:val="none"/>
              </w:rPr>
              <w:t>》执行）</w:t>
            </w:r>
          </w:p>
          <w:p>
            <w:pPr>
              <w:snapToGrid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采购标的：台州市白云小学改扩建工程（综合楼设备设施），所属行业：</w:t>
            </w:r>
            <w:r>
              <w:rPr>
                <w:rFonts w:hint="eastAsia" w:cs="Arial" w:asciiTheme="minorEastAsia" w:hAnsiTheme="minorEastAsia" w:eastAsiaTheme="minorEastAsia"/>
                <w:b/>
                <w:color w:val="auto"/>
                <w:szCs w:val="21"/>
                <w:highlight w:val="none"/>
              </w:rPr>
              <w:t>工业</w:t>
            </w:r>
            <w:r>
              <w:rPr>
                <w:rFonts w:hint="eastAsia" w:cs="Arial" w:asciiTheme="minorEastAsia" w:hAnsiTheme="minorEastAsia" w:eastAsiaTheme="minorEastAsia"/>
                <w:color w:val="auto"/>
                <w:szCs w:val="21"/>
                <w:highlight w:val="none"/>
              </w:rPr>
              <w:t>。</w:t>
            </w:r>
          </w:p>
          <w:p>
            <w:pPr>
              <w:snapToGrid w:val="0"/>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3.在货物采购项目中，供应商提供的货物既有中小企业制造货物，也有大型企业制造货物的，不享受中小企业扶持政策。供应商应保证其提供的产品</w:t>
            </w:r>
            <w:bookmarkStart w:id="60" w:name="OLE_LINK44"/>
            <w:bookmarkStart w:id="61" w:name="OLE_LINK45"/>
            <w:bookmarkStart w:id="62" w:name="OLE_LINK43"/>
            <w:r>
              <w:rPr>
                <w:rFonts w:hint="eastAsia" w:cs="Arial" w:asciiTheme="minorEastAsia" w:hAnsiTheme="minorEastAsia" w:eastAsiaTheme="minorEastAsia"/>
                <w:b/>
                <w:color w:val="auto"/>
                <w:szCs w:val="21"/>
                <w:highlight w:val="none"/>
              </w:rPr>
              <w:t>（不包括构成货物的原材料及辅助材料）</w:t>
            </w:r>
            <w:bookmarkEnd w:id="60"/>
            <w:bookmarkEnd w:id="61"/>
            <w:bookmarkEnd w:id="62"/>
            <w:r>
              <w:rPr>
                <w:rFonts w:hint="eastAsia" w:cs="Arial" w:asciiTheme="minorEastAsia" w:hAnsiTheme="minorEastAsia" w:eastAsiaTheme="minorEastAsia"/>
                <w:b/>
                <w:color w:val="auto"/>
                <w:szCs w:val="21"/>
                <w:highlight w:val="none"/>
              </w:rPr>
              <w:t>均由中小企业制造，并在《中小企业声明函》中明确货物来源企业是否为中小企业。</w:t>
            </w:r>
          </w:p>
          <w:p>
            <w:pPr>
              <w:snapToGrid w:val="0"/>
              <w:rPr>
                <w:rFonts w:ascii="宋体" w:hAnsi="宋体" w:cs="宋体"/>
                <w:b/>
                <w:color w:val="auto"/>
                <w:szCs w:val="21"/>
                <w:highlight w:val="none"/>
              </w:rPr>
            </w:pPr>
            <w:r>
              <w:rPr>
                <w:rFonts w:hint="eastAsia" w:cs="Arial" w:asciiTheme="minorEastAsia" w:hAnsiTheme="minorEastAsia" w:eastAsiaTheme="minorEastAsia"/>
                <w:b/>
                <w:color w:val="auto"/>
                <w:szCs w:val="21"/>
                <w:highlight w:val="none"/>
              </w:rPr>
              <w:t>4.</w:t>
            </w:r>
            <w:bookmarkStart w:id="63" w:name="OLE_LINK26"/>
            <w:bookmarkStart w:id="64" w:name="OLE_LINK25"/>
            <w:r>
              <w:rPr>
                <w:rFonts w:hint="eastAsia" w:cs="Arial" w:asciiTheme="minorEastAsia" w:hAnsiTheme="minorEastAsia" w:eastAsiaTheme="minorEastAsia"/>
                <w:b/>
                <w:color w:val="auto"/>
                <w:szCs w:val="21"/>
                <w:highlight w:val="none"/>
              </w:rPr>
              <w:t>本项目根据《政府采购促进中小企业发展管理办法》（财库〔2020〕46号）第七条的规定，专门面向中小企业采购，供应商应为中小微企业、监狱企业、残疾人福利性单位，同时需提供《中小企业声明函》等证明材料。</w:t>
            </w:r>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bookmarkStart w:id="65" w:name="OLE_LINK13"/>
            <w:bookmarkStart w:id="66" w:name="OLE_LINK15"/>
            <w:r>
              <w:rPr>
                <w:rFonts w:hint="eastAsia" w:ascii="宋体" w:hAnsi="宋体" w:cs="宋体"/>
                <w:color w:val="auto"/>
                <w:szCs w:val="21"/>
                <w:highlight w:val="none"/>
              </w:rPr>
              <w:t>履约保证金</w:t>
            </w:r>
            <w:bookmarkEnd w:id="65"/>
            <w:bookmarkEnd w:id="66"/>
          </w:p>
        </w:tc>
        <w:tc>
          <w:tcPr>
            <w:tcW w:w="6501"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rPr>
                <w:color w:val="auto"/>
                <w:highlight w:val="none"/>
              </w:rPr>
            </w:pPr>
            <w:r>
              <w:rPr>
                <w:rFonts w:hint="eastAsia"/>
                <w:color w:val="auto"/>
                <w:highlight w:val="none"/>
              </w:rPr>
              <w:t>中标供应商须在合同签订前七个工作日内提交合同总价1%的履约担保，以支票、银行汇票、本票或者金融机构的保函等非现金形式提交。如为支票、银行汇票、本票形式，在项目通过最终验收且扣除中标供应商应承担的违约金（如有）等费用后无息退还；以金融机构出具的保函等非现金形式提供（须为见索即付的独立保函），担保期限从合同生效之日起至项目通过最终验收后15个工作日。乙方因违约或其他原因导致履约金被没收后应在自没收之日起15天内补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采购代理机构代理费用</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Cs w:val="21"/>
                <w:highlight w:val="none"/>
              </w:rPr>
            </w:pPr>
            <w:bookmarkStart w:id="67" w:name="OLE_LINK80"/>
            <w:bookmarkStart w:id="68" w:name="OLE_LINK57"/>
            <w:bookmarkStart w:id="69" w:name="OLE_LINK11"/>
            <w:r>
              <w:rPr>
                <w:rFonts w:hint="eastAsia"/>
                <w:color w:val="auto"/>
                <w:highlight w:val="none"/>
              </w:rPr>
              <w:t>本项目代理服务费</w:t>
            </w:r>
            <w:bookmarkEnd w:id="67"/>
            <w:bookmarkEnd w:id="68"/>
            <w:r>
              <w:rPr>
                <w:rFonts w:hint="eastAsia"/>
                <w:color w:val="auto"/>
                <w:highlight w:val="none"/>
              </w:rPr>
              <w:t>由采购人支付</w:t>
            </w:r>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实质性条款（如有）</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kern w:val="0"/>
                <w:szCs w:val="21"/>
                <w:highlight w:val="none"/>
                <w:lang w:val="zh-CN"/>
              </w:rPr>
              <w:t>带“</w:t>
            </w:r>
            <w:r>
              <w:rPr>
                <w:rFonts w:hint="eastAsia" w:ascii="宋体" w:hAnsi="宋体" w:cs="宋体"/>
                <w:bCs/>
                <w:color w:val="auto"/>
                <w:szCs w:val="21"/>
                <w:highlight w:val="none"/>
              </w:rPr>
              <w:t>▲”的条款是实质性条款，投标文件须做出实质性响应，否则作无效投标处理。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ascii="宋体" w:hAnsi="宋体" w:cs="宋体"/>
                <w:color w:val="auto"/>
                <w:szCs w:val="21"/>
                <w:highlight w:val="none"/>
              </w:rPr>
              <w:t>主要性能参数</w:t>
            </w:r>
            <w:r>
              <w:rPr>
                <w:rFonts w:hint="eastAsia" w:ascii="宋体" w:hAnsi="宋体" w:cs="宋体"/>
                <w:color w:val="auto"/>
                <w:szCs w:val="21"/>
                <w:highlight w:val="none"/>
              </w:rPr>
              <w:t>（如有）</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color w:val="auto"/>
                <w:szCs w:val="21"/>
                <w:highlight w:val="none"/>
              </w:rPr>
            </w:pPr>
            <w:r>
              <w:rPr>
                <w:rFonts w:hint="eastAsia" w:ascii="宋体" w:hAnsi="宋体" w:cs="宋体"/>
                <w:color w:val="auto"/>
                <w:szCs w:val="21"/>
                <w:highlight w:val="none"/>
              </w:rPr>
              <w:t>带“★”的条款是</w:t>
            </w:r>
            <w:r>
              <w:rPr>
                <w:rFonts w:asciiTheme="minorEastAsia" w:hAnsiTheme="minorEastAsia" w:eastAsiaTheme="minorEastAsia"/>
                <w:color w:val="auto"/>
                <w:highlight w:val="none"/>
              </w:rPr>
              <w:t>主要性能参数</w:t>
            </w:r>
            <w:r>
              <w:rPr>
                <w:rFonts w:hint="eastAsia" w:asciiTheme="minorEastAsia" w:hAnsiTheme="minorEastAsia" w:eastAsiaTheme="minor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 w:val="24"/>
                <w:highlight w:val="none"/>
              </w:rPr>
              <w:t>18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解释权</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cs="宋体"/>
                <w:color w:val="auto"/>
                <w:sz w:val="24"/>
                <w:highlight w:val="none"/>
              </w:rPr>
            </w:pPr>
            <w:r>
              <w:rPr>
                <w:rFonts w:hint="eastAsia" w:ascii="宋体" w:hAnsi="宋体" w:cs="宋体"/>
                <w:color w:val="auto"/>
                <w:sz w:val="24"/>
                <w:highlight w:val="none"/>
              </w:rPr>
              <w:t>19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其他</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bookmarkStart w:id="70" w:name="OLE_LINK50"/>
            <w:bookmarkStart w:id="71" w:name="OLE_LINK56"/>
            <w:r>
              <w:rPr>
                <w:rFonts w:hint="eastAsia"/>
                <w:color w:val="auto"/>
                <w:szCs w:val="21"/>
                <w:highlight w:val="none"/>
              </w:rPr>
              <w:t>供应商中标后需提供纸质投标文件给招标代理机构作为备案存档，纸质投标文件系电子投标文件纸质版，两者内容应一致，如不一致相关责任由供应商承担；数量为：资格证明文件</w:t>
            </w:r>
            <w:r>
              <w:rPr>
                <w:color w:val="auto"/>
                <w:szCs w:val="21"/>
                <w:highlight w:val="none"/>
              </w:rPr>
              <w:t>、</w:t>
            </w:r>
            <w:r>
              <w:rPr>
                <w:rFonts w:hint="eastAsia"/>
                <w:color w:val="auto"/>
                <w:szCs w:val="21"/>
                <w:highlight w:val="none"/>
              </w:rPr>
              <w:t>商务与技术文件</w:t>
            </w:r>
            <w:r>
              <w:rPr>
                <w:color w:val="auto"/>
                <w:szCs w:val="21"/>
                <w:highlight w:val="none"/>
              </w:rPr>
              <w:t>、</w:t>
            </w:r>
            <w:r>
              <w:rPr>
                <w:rFonts w:hint="eastAsia"/>
                <w:color w:val="auto"/>
                <w:szCs w:val="21"/>
                <w:highlight w:val="none"/>
              </w:rPr>
              <w:t>报价文件各一正二副。邮寄地址代理机构另行通知。</w:t>
            </w:r>
            <w:bookmarkEnd w:id="70"/>
            <w:bookmark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cs="宋体"/>
                <w:color w:val="auto"/>
                <w:sz w:val="24"/>
                <w:highlight w:val="none"/>
              </w:rPr>
            </w:pPr>
            <w:r>
              <w:rPr>
                <w:rFonts w:hint="eastAsia" w:ascii="宋体" w:hAnsi="宋体" w:cs="宋体"/>
                <w:color w:val="auto"/>
                <w:sz w:val="24"/>
                <w:highlight w:val="none"/>
              </w:rPr>
              <w:t>20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中标（成交）供应商如有融资需求，可使用以下银行的政采贷服务。</w:t>
            </w:r>
          </w:p>
          <w:p>
            <w:pPr>
              <w:autoSpaceDE w:val="0"/>
              <w:autoSpaceDN w:val="0"/>
              <w:adjustRightInd w:val="0"/>
              <w:rPr>
                <w:rFonts w:ascii="宋体" w:hAnsi="宋体" w:cs="宋体"/>
                <w:color w:val="auto"/>
                <w:szCs w:val="21"/>
                <w:highlight w:val="none"/>
              </w:rPr>
            </w:pP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5"/>
              <w:tblW w:w="6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1222"/>
              <w:gridCol w:w="124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41"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银行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贷款年利率</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联系人</w:t>
                  </w:r>
                </w:p>
              </w:tc>
              <w:tc>
                <w:tcPr>
                  <w:tcW w:w="1568"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41"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中国工商银行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3.8%起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卢嘉诚</w:t>
                  </w:r>
                </w:p>
              </w:tc>
              <w:tc>
                <w:tcPr>
                  <w:tcW w:w="1568"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 xml:space="preserve">88588246  </w:t>
                  </w:r>
                  <w:r>
                    <w:rPr>
                      <w:rFonts w:ascii="宋体" w:hAnsi="宋体" w:cs="宋体"/>
                      <w:color w:val="auto"/>
                      <w:sz w:val="18"/>
                      <w:szCs w:val="18"/>
                      <w:highlight w:val="none"/>
                    </w:rPr>
                    <w:t>13867658508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41"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中国农业银行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3.8%起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龚盛</w:t>
                  </w:r>
                </w:p>
              </w:tc>
              <w:tc>
                <w:tcPr>
                  <w:tcW w:w="1568"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41"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中国建设银行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3.8%起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梅晶晶</w:t>
                  </w:r>
                </w:p>
              </w:tc>
              <w:tc>
                <w:tcPr>
                  <w:tcW w:w="1568"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88525339</w:t>
                  </w:r>
                </w:p>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41"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中国银行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3.75%起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王海</w:t>
                  </w:r>
                </w:p>
              </w:tc>
              <w:tc>
                <w:tcPr>
                  <w:tcW w:w="1568" w:type="dxa"/>
                  <w:vAlign w:val="center"/>
                </w:tcPr>
                <w:p>
                  <w:pPr>
                    <w:snapToGrid w:val="0"/>
                    <w:jc w:val="center"/>
                    <w:rPr>
                      <w:rFonts w:ascii="宋体" w:hAnsi="宋体" w:cs="宋体"/>
                      <w:color w:val="auto"/>
                      <w:sz w:val="18"/>
                      <w:szCs w:val="18"/>
                      <w:highlight w:val="none"/>
                    </w:rPr>
                  </w:pPr>
                  <w:r>
                    <w:rPr>
                      <w:rFonts w:ascii="宋体" w:hAnsi="宋体" w:cs="宋体"/>
                      <w:color w:val="auto"/>
                      <w:sz w:val="18"/>
                      <w:szCs w:val="18"/>
                      <w:highlight w:val="none"/>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41"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浦发银行台州分行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4.05%起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王渊</w:t>
                  </w:r>
                </w:p>
              </w:tc>
              <w:tc>
                <w:tcPr>
                  <w:tcW w:w="1568"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41"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浦发银行椒江分行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4.05%起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孙瑞华</w:t>
                  </w:r>
                </w:p>
              </w:tc>
              <w:tc>
                <w:tcPr>
                  <w:tcW w:w="1568"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41"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交通银行台州分行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3.75%起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周翔宇</w:t>
                  </w:r>
                </w:p>
              </w:tc>
              <w:tc>
                <w:tcPr>
                  <w:tcW w:w="1568"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41"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招商银行台州分行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4.32%起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王海玲</w:t>
                  </w:r>
                </w:p>
              </w:tc>
              <w:tc>
                <w:tcPr>
                  <w:tcW w:w="1568"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41"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浙商银行台州分行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5.01%起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章涉漪</w:t>
                  </w:r>
                </w:p>
              </w:tc>
              <w:tc>
                <w:tcPr>
                  <w:tcW w:w="1568"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81880185</w:t>
                  </w:r>
                </w:p>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41"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中信银行台州分行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4.15%起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陈金园</w:t>
                  </w:r>
                </w:p>
              </w:tc>
              <w:tc>
                <w:tcPr>
                  <w:tcW w:w="1568"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41"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华夏银行台州分行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邱明达</w:t>
                  </w:r>
                </w:p>
              </w:tc>
              <w:tc>
                <w:tcPr>
                  <w:tcW w:w="1568"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81871518</w:t>
                  </w:r>
                </w:p>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41"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泰隆银行开发区支行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5.6%起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梁宛莉</w:t>
                  </w:r>
                </w:p>
              </w:tc>
              <w:tc>
                <w:tcPr>
                  <w:tcW w:w="1568"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41"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民泰银行椒江支行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5.8%起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陈慧珠</w:t>
                  </w:r>
                </w:p>
              </w:tc>
              <w:tc>
                <w:tcPr>
                  <w:tcW w:w="1568"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41"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绍兴银行台州分行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5.1%起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郭庭斌</w:t>
                  </w:r>
                </w:p>
              </w:tc>
              <w:tc>
                <w:tcPr>
                  <w:tcW w:w="1568"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41"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温州银行台州分行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4.55%起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王晓波</w:t>
                  </w:r>
                </w:p>
              </w:tc>
              <w:tc>
                <w:tcPr>
                  <w:tcW w:w="1568"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41"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平安银行台州分行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6.53%起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李俊丽</w:t>
                  </w:r>
                </w:p>
              </w:tc>
              <w:tc>
                <w:tcPr>
                  <w:tcW w:w="1568"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41"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宁波银行台州分行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4.35%起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戴莉丽</w:t>
                  </w:r>
                </w:p>
              </w:tc>
              <w:tc>
                <w:tcPr>
                  <w:tcW w:w="1568"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41"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金华银行台州分行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4.05%起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金雪婷</w:t>
                  </w:r>
                </w:p>
              </w:tc>
              <w:tc>
                <w:tcPr>
                  <w:tcW w:w="1568"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81886670</w:t>
                  </w:r>
                </w:p>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241"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台州银行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5.6%起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洪婷</w:t>
                  </w:r>
                </w:p>
              </w:tc>
              <w:tc>
                <w:tcPr>
                  <w:tcW w:w="1568"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15858624999</w:t>
                  </w:r>
                </w:p>
              </w:tc>
            </w:tr>
          </w:tbl>
          <w:p>
            <w:pPr>
              <w:adjustRightInd w:val="0"/>
              <w:snapToGrid w:val="0"/>
              <w:spacing w:line="480" w:lineRule="exact"/>
              <w:jc w:val="left"/>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7" w:hRule="atLeast"/>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合同履约保函联系方式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6"/>
              <w:tblW w:w="62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643"/>
              <w:gridCol w:w="817"/>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2443" w:type="dxa"/>
                  <w:vAlign w:val="center"/>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保险公司名称</w:t>
                  </w:r>
                </w:p>
              </w:tc>
              <w:tc>
                <w:tcPr>
                  <w:tcW w:w="1643" w:type="dxa"/>
                  <w:vAlign w:val="center"/>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保费率</w:t>
                  </w:r>
                </w:p>
              </w:tc>
              <w:tc>
                <w:tcPr>
                  <w:tcW w:w="817" w:type="dxa"/>
                  <w:vAlign w:val="center"/>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联系人</w:t>
                  </w:r>
                </w:p>
              </w:tc>
              <w:tc>
                <w:tcPr>
                  <w:tcW w:w="1372" w:type="dxa"/>
                  <w:vAlign w:val="center"/>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3"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中国人寿财产保险股份有限公司台州中心支公司</w:t>
                  </w:r>
                </w:p>
              </w:tc>
              <w:tc>
                <w:tcPr>
                  <w:tcW w:w="1643"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年费率1%，最低保费500元</w:t>
                  </w:r>
                </w:p>
              </w:tc>
              <w:tc>
                <w:tcPr>
                  <w:tcW w:w="817"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徐凌</w:t>
                  </w:r>
                </w:p>
              </w:tc>
              <w:tc>
                <w:tcPr>
                  <w:tcW w:w="1372" w:type="dxa"/>
                </w:tcPr>
                <w:p>
                  <w:pPr>
                    <w:adjustRightInd w:val="0"/>
                    <w:snapToGrid w:val="0"/>
                    <w:rPr>
                      <w:rFonts w:ascii="Arial" w:hAnsi="Arial"/>
                      <w:color w:val="auto"/>
                      <w:sz w:val="18"/>
                      <w:szCs w:val="18"/>
                      <w:highlight w:val="none"/>
                    </w:rPr>
                  </w:pPr>
                  <w:r>
                    <w:rPr>
                      <w:rFonts w:ascii="Arial" w:hAnsi="Arial"/>
                      <w:color w:val="auto"/>
                      <w:sz w:val="18"/>
                      <w:szCs w:val="18"/>
                      <w:highlight w:val="none"/>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3"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永诚财产保险股份有限公司台州分公司</w:t>
                  </w:r>
                </w:p>
              </w:tc>
              <w:tc>
                <w:tcPr>
                  <w:tcW w:w="1643"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年费率1%，最低保费1000元</w:t>
                  </w:r>
                </w:p>
              </w:tc>
              <w:tc>
                <w:tcPr>
                  <w:tcW w:w="817"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尹刚强</w:t>
                  </w:r>
                </w:p>
              </w:tc>
              <w:tc>
                <w:tcPr>
                  <w:tcW w:w="1372" w:type="dxa"/>
                </w:tcPr>
                <w:p>
                  <w:pPr>
                    <w:adjustRightInd w:val="0"/>
                    <w:snapToGrid w:val="0"/>
                    <w:rPr>
                      <w:rFonts w:ascii="Arial" w:hAnsi="Arial"/>
                      <w:color w:val="auto"/>
                      <w:sz w:val="18"/>
                      <w:szCs w:val="18"/>
                      <w:highlight w:val="none"/>
                    </w:rPr>
                  </w:pPr>
                  <w:r>
                    <w:rPr>
                      <w:rFonts w:ascii="Arial" w:hAnsi="Arial"/>
                      <w:color w:val="auto"/>
                      <w:sz w:val="18"/>
                      <w:szCs w:val="18"/>
                      <w:highlight w:val="none"/>
                    </w:rPr>
                    <w:t>13750668184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3"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华泰财产保险有限公司台州中心支公司</w:t>
                  </w:r>
                </w:p>
              </w:tc>
              <w:tc>
                <w:tcPr>
                  <w:tcW w:w="1643"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年费率0.5%，最低保费1000元</w:t>
                  </w:r>
                </w:p>
              </w:tc>
              <w:tc>
                <w:tcPr>
                  <w:tcW w:w="817"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王灵芳</w:t>
                  </w:r>
                </w:p>
              </w:tc>
              <w:tc>
                <w:tcPr>
                  <w:tcW w:w="1372" w:type="dxa"/>
                </w:tcPr>
                <w:p>
                  <w:pPr>
                    <w:adjustRightInd w:val="0"/>
                    <w:snapToGrid w:val="0"/>
                    <w:rPr>
                      <w:rFonts w:ascii="Arial" w:hAnsi="Arial"/>
                      <w:color w:val="auto"/>
                      <w:sz w:val="18"/>
                      <w:szCs w:val="18"/>
                      <w:highlight w:val="none"/>
                    </w:rPr>
                  </w:pPr>
                  <w:r>
                    <w:rPr>
                      <w:rFonts w:ascii="Arial" w:hAnsi="Arial"/>
                      <w:color w:val="auto"/>
                      <w:sz w:val="18"/>
                      <w:szCs w:val="18"/>
                      <w:highlight w:val="none"/>
                    </w:rPr>
                    <w:t>88869818 13586123199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3"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中国大地财产保险股份有限公司台州中心支公司</w:t>
                  </w:r>
                </w:p>
              </w:tc>
              <w:tc>
                <w:tcPr>
                  <w:tcW w:w="1643"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年费率1.5%，最低保费1000元</w:t>
                  </w:r>
                </w:p>
              </w:tc>
              <w:tc>
                <w:tcPr>
                  <w:tcW w:w="817"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徐小明</w:t>
                  </w:r>
                </w:p>
              </w:tc>
              <w:tc>
                <w:tcPr>
                  <w:tcW w:w="1372" w:type="dxa"/>
                </w:tcPr>
                <w:p>
                  <w:pPr>
                    <w:adjustRightInd w:val="0"/>
                    <w:snapToGrid w:val="0"/>
                    <w:rPr>
                      <w:rFonts w:ascii="Arial" w:hAnsi="Arial"/>
                      <w:color w:val="auto"/>
                      <w:sz w:val="18"/>
                      <w:szCs w:val="18"/>
                      <w:highlight w:val="none"/>
                    </w:rPr>
                  </w:pPr>
                  <w:r>
                    <w:rPr>
                      <w:rFonts w:ascii="Arial" w:hAnsi="Arial"/>
                      <w:color w:val="auto"/>
                      <w:sz w:val="18"/>
                      <w:szCs w:val="18"/>
                      <w:highlight w:val="none"/>
                    </w:rPr>
                    <w:t>88552788      13968603112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3"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阳光保险台州中心支公司</w:t>
                  </w:r>
                </w:p>
              </w:tc>
              <w:tc>
                <w:tcPr>
                  <w:tcW w:w="1643"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年费率1%，最低保费500元</w:t>
                  </w:r>
                </w:p>
              </w:tc>
              <w:tc>
                <w:tcPr>
                  <w:tcW w:w="817"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林高明</w:t>
                  </w:r>
                </w:p>
              </w:tc>
              <w:tc>
                <w:tcPr>
                  <w:tcW w:w="1372" w:type="dxa"/>
                </w:tcPr>
                <w:p>
                  <w:pPr>
                    <w:adjustRightInd w:val="0"/>
                    <w:snapToGrid w:val="0"/>
                    <w:rPr>
                      <w:rFonts w:ascii="Arial" w:hAnsi="Arial"/>
                      <w:color w:val="auto"/>
                      <w:sz w:val="18"/>
                      <w:szCs w:val="18"/>
                      <w:highlight w:val="none"/>
                    </w:rPr>
                  </w:pPr>
                  <w:r>
                    <w:rPr>
                      <w:rFonts w:ascii="Arial" w:hAnsi="Arial"/>
                      <w:color w:val="auto"/>
                      <w:sz w:val="18"/>
                      <w:szCs w:val="18"/>
                      <w:highlight w:val="none"/>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3"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中华联合财产保险股份有限公司台州中心支公司</w:t>
                  </w:r>
                </w:p>
              </w:tc>
              <w:tc>
                <w:tcPr>
                  <w:tcW w:w="1643"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年费率2%，最低保费500元</w:t>
                  </w:r>
                </w:p>
              </w:tc>
              <w:tc>
                <w:tcPr>
                  <w:tcW w:w="817"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王仙高</w:t>
                  </w:r>
                </w:p>
              </w:tc>
              <w:tc>
                <w:tcPr>
                  <w:tcW w:w="1372" w:type="dxa"/>
                </w:tcPr>
                <w:p>
                  <w:pPr>
                    <w:adjustRightInd w:val="0"/>
                    <w:snapToGrid w:val="0"/>
                    <w:rPr>
                      <w:rFonts w:ascii="Arial" w:hAnsi="Arial"/>
                      <w:color w:val="auto"/>
                      <w:sz w:val="18"/>
                      <w:szCs w:val="18"/>
                      <w:highlight w:val="none"/>
                    </w:rPr>
                  </w:pPr>
                  <w:r>
                    <w:rPr>
                      <w:rFonts w:ascii="Arial" w:hAnsi="Arial"/>
                      <w:color w:val="auto"/>
                      <w:sz w:val="18"/>
                      <w:szCs w:val="18"/>
                      <w:highlight w:val="none"/>
                    </w:rPr>
                    <w:t>13858600221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3"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中国人民财产保险股份有限公司台州中心支公司</w:t>
                  </w:r>
                </w:p>
              </w:tc>
              <w:tc>
                <w:tcPr>
                  <w:tcW w:w="1643"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年费率0.3%，最低保费1000元</w:t>
                  </w:r>
                </w:p>
              </w:tc>
              <w:tc>
                <w:tcPr>
                  <w:tcW w:w="817"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王仙春</w:t>
                  </w:r>
                </w:p>
              </w:tc>
              <w:tc>
                <w:tcPr>
                  <w:tcW w:w="1372" w:type="dxa"/>
                </w:tcPr>
                <w:p>
                  <w:pPr>
                    <w:adjustRightInd w:val="0"/>
                    <w:snapToGrid w:val="0"/>
                    <w:rPr>
                      <w:rFonts w:ascii="Arial" w:hAnsi="Arial"/>
                      <w:color w:val="auto"/>
                      <w:sz w:val="18"/>
                      <w:szCs w:val="18"/>
                      <w:highlight w:val="none"/>
                    </w:rPr>
                  </w:pPr>
                  <w:r>
                    <w:rPr>
                      <w:rFonts w:ascii="Arial" w:hAnsi="Arial"/>
                      <w:color w:val="auto"/>
                      <w:sz w:val="18"/>
                      <w:szCs w:val="18"/>
                      <w:highlight w:val="none"/>
                    </w:rPr>
                    <w:t>13515769179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3"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永安财产保险股份有限公司台州中心支公司</w:t>
                  </w:r>
                </w:p>
              </w:tc>
              <w:tc>
                <w:tcPr>
                  <w:tcW w:w="1643"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年费率0.3%，最低保费1000</w:t>
                  </w:r>
                </w:p>
              </w:tc>
              <w:tc>
                <w:tcPr>
                  <w:tcW w:w="817"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王春宇</w:t>
                  </w:r>
                </w:p>
              </w:tc>
              <w:tc>
                <w:tcPr>
                  <w:tcW w:w="1372" w:type="dxa"/>
                </w:tcPr>
                <w:p>
                  <w:pPr>
                    <w:adjustRightInd w:val="0"/>
                    <w:snapToGrid w:val="0"/>
                    <w:rPr>
                      <w:rFonts w:ascii="Arial" w:hAnsi="Arial"/>
                      <w:color w:val="auto"/>
                      <w:sz w:val="18"/>
                      <w:szCs w:val="18"/>
                      <w:highlight w:val="none"/>
                    </w:rPr>
                  </w:pPr>
                  <w:r>
                    <w:rPr>
                      <w:rFonts w:ascii="Arial" w:hAnsi="Arial"/>
                      <w:color w:val="auto"/>
                      <w:sz w:val="18"/>
                      <w:szCs w:val="18"/>
                      <w:highlight w:val="none"/>
                    </w:rPr>
                    <w:t>13676675331</w:t>
                  </w:r>
                </w:p>
              </w:tc>
            </w:tr>
          </w:tbl>
          <w:p>
            <w:pPr>
              <w:adjustRightInd w:val="0"/>
              <w:snapToGrid w:val="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预付款保函联系方式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6"/>
              <w:tblW w:w="6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1652"/>
              <w:gridCol w:w="81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436" w:type="dxa"/>
                  <w:vAlign w:val="center"/>
                </w:tcPr>
                <w:p>
                  <w:pPr>
                    <w:jc w:val="center"/>
                    <w:rPr>
                      <w:rFonts w:ascii="Arial" w:hAnsi="Arial"/>
                      <w:color w:val="auto"/>
                      <w:sz w:val="18"/>
                      <w:szCs w:val="18"/>
                      <w:highlight w:val="none"/>
                    </w:rPr>
                  </w:pPr>
                  <w:r>
                    <w:rPr>
                      <w:rFonts w:hint="eastAsia" w:ascii="Arial" w:hAnsi="Arial"/>
                      <w:color w:val="auto"/>
                      <w:sz w:val="18"/>
                      <w:szCs w:val="18"/>
                      <w:highlight w:val="none"/>
                    </w:rPr>
                    <w:t>保险公司名称</w:t>
                  </w:r>
                </w:p>
              </w:tc>
              <w:tc>
                <w:tcPr>
                  <w:tcW w:w="1652" w:type="dxa"/>
                  <w:vAlign w:val="center"/>
                </w:tcPr>
                <w:p>
                  <w:pPr>
                    <w:jc w:val="center"/>
                    <w:rPr>
                      <w:rFonts w:ascii="Arial" w:hAnsi="Arial"/>
                      <w:color w:val="auto"/>
                      <w:sz w:val="18"/>
                      <w:szCs w:val="18"/>
                      <w:highlight w:val="none"/>
                    </w:rPr>
                  </w:pPr>
                  <w:r>
                    <w:rPr>
                      <w:rFonts w:hint="eastAsia" w:ascii="Arial" w:hAnsi="Arial"/>
                      <w:color w:val="auto"/>
                      <w:sz w:val="18"/>
                      <w:szCs w:val="18"/>
                      <w:highlight w:val="none"/>
                    </w:rPr>
                    <w:t>保费率</w:t>
                  </w:r>
                </w:p>
              </w:tc>
              <w:tc>
                <w:tcPr>
                  <w:tcW w:w="817" w:type="dxa"/>
                  <w:vAlign w:val="center"/>
                </w:tcPr>
                <w:p>
                  <w:pPr>
                    <w:jc w:val="center"/>
                    <w:rPr>
                      <w:rFonts w:ascii="Arial" w:hAnsi="Arial"/>
                      <w:color w:val="auto"/>
                      <w:sz w:val="18"/>
                      <w:szCs w:val="18"/>
                      <w:highlight w:val="none"/>
                    </w:rPr>
                  </w:pPr>
                  <w:r>
                    <w:rPr>
                      <w:rFonts w:hint="eastAsia" w:ascii="Arial" w:hAnsi="Arial"/>
                      <w:color w:val="auto"/>
                      <w:sz w:val="18"/>
                      <w:szCs w:val="18"/>
                      <w:highlight w:val="none"/>
                    </w:rPr>
                    <w:t>联系人</w:t>
                  </w:r>
                </w:p>
              </w:tc>
              <w:tc>
                <w:tcPr>
                  <w:tcW w:w="1370" w:type="dxa"/>
                  <w:vAlign w:val="center"/>
                </w:tcPr>
                <w:p>
                  <w:pPr>
                    <w:jc w:val="center"/>
                    <w:rPr>
                      <w:rFonts w:ascii="Arial" w:hAnsi="Arial"/>
                      <w:color w:val="auto"/>
                      <w:sz w:val="18"/>
                      <w:szCs w:val="18"/>
                      <w:highlight w:val="none"/>
                    </w:rPr>
                  </w:pPr>
                  <w:r>
                    <w:rPr>
                      <w:rFonts w:hint="eastAsia" w:ascii="Arial" w:hAnsi="Arial"/>
                      <w:color w:val="auto"/>
                      <w:sz w:val="18"/>
                      <w:szCs w:val="1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6" w:type="dxa"/>
                </w:tcPr>
                <w:p>
                  <w:pPr>
                    <w:rPr>
                      <w:rFonts w:ascii="Arial" w:hAnsi="Arial"/>
                      <w:color w:val="auto"/>
                      <w:sz w:val="18"/>
                      <w:szCs w:val="18"/>
                      <w:highlight w:val="none"/>
                    </w:rPr>
                  </w:pPr>
                  <w:r>
                    <w:rPr>
                      <w:rFonts w:hint="eastAsia" w:ascii="Arial" w:hAnsi="Arial"/>
                      <w:color w:val="auto"/>
                      <w:sz w:val="18"/>
                      <w:szCs w:val="18"/>
                      <w:highlight w:val="none"/>
                    </w:rPr>
                    <w:t>中国人寿财产保险股份有限公司台州中心支公司</w:t>
                  </w:r>
                </w:p>
              </w:tc>
              <w:tc>
                <w:tcPr>
                  <w:tcW w:w="1652" w:type="dxa"/>
                </w:tcPr>
                <w:p>
                  <w:pPr>
                    <w:rPr>
                      <w:rFonts w:ascii="Arial" w:hAnsi="Arial"/>
                      <w:color w:val="auto"/>
                      <w:sz w:val="18"/>
                      <w:szCs w:val="18"/>
                      <w:highlight w:val="none"/>
                    </w:rPr>
                  </w:pPr>
                  <w:r>
                    <w:rPr>
                      <w:rFonts w:hint="eastAsia" w:ascii="Arial" w:hAnsi="Arial"/>
                      <w:color w:val="auto"/>
                      <w:sz w:val="18"/>
                      <w:szCs w:val="18"/>
                      <w:highlight w:val="none"/>
                    </w:rPr>
                    <w:t>年费率3%，最低保费500元</w:t>
                  </w:r>
                </w:p>
              </w:tc>
              <w:tc>
                <w:tcPr>
                  <w:tcW w:w="817" w:type="dxa"/>
                </w:tcPr>
                <w:p>
                  <w:pPr>
                    <w:rPr>
                      <w:rFonts w:ascii="Arial" w:hAnsi="Arial"/>
                      <w:color w:val="auto"/>
                      <w:sz w:val="18"/>
                      <w:szCs w:val="18"/>
                      <w:highlight w:val="none"/>
                    </w:rPr>
                  </w:pPr>
                  <w:r>
                    <w:rPr>
                      <w:rFonts w:hint="eastAsia" w:ascii="Arial" w:hAnsi="Arial"/>
                      <w:color w:val="auto"/>
                      <w:sz w:val="18"/>
                      <w:szCs w:val="18"/>
                      <w:highlight w:val="none"/>
                    </w:rPr>
                    <w:t>徐凌</w:t>
                  </w:r>
                </w:p>
              </w:tc>
              <w:tc>
                <w:tcPr>
                  <w:tcW w:w="1370" w:type="dxa"/>
                </w:tcPr>
                <w:p>
                  <w:pPr>
                    <w:rPr>
                      <w:rFonts w:ascii="Arial" w:hAnsi="Arial"/>
                      <w:color w:val="auto"/>
                      <w:sz w:val="18"/>
                      <w:szCs w:val="18"/>
                      <w:highlight w:val="none"/>
                    </w:rPr>
                  </w:pPr>
                  <w:r>
                    <w:rPr>
                      <w:rFonts w:ascii="Arial" w:hAnsi="Arial"/>
                      <w:color w:val="auto"/>
                      <w:sz w:val="18"/>
                      <w:szCs w:val="18"/>
                      <w:highlight w:val="none"/>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6" w:type="dxa"/>
                </w:tcPr>
                <w:p>
                  <w:pPr>
                    <w:rPr>
                      <w:rFonts w:ascii="Arial" w:hAnsi="Arial"/>
                      <w:color w:val="auto"/>
                      <w:sz w:val="18"/>
                      <w:szCs w:val="18"/>
                      <w:highlight w:val="none"/>
                    </w:rPr>
                  </w:pPr>
                  <w:r>
                    <w:rPr>
                      <w:rFonts w:hint="eastAsia" w:ascii="Arial" w:hAnsi="Arial"/>
                      <w:color w:val="auto"/>
                      <w:sz w:val="18"/>
                      <w:szCs w:val="18"/>
                      <w:highlight w:val="none"/>
                    </w:rPr>
                    <w:t>阳光保险台州中心支公司</w:t>
                  </w:r>
                </w:p>
              </w:tc>
              <w:tc>
                <w:tcPr>
                  <w:tcW w:w="1652" w:type="dxa"/>
                </w:tcPr>
                <w:p>
                  <w:pPr>
                    <w:rPr>
                      <w:rFonts w:ascii="Arial" w:hAnsi="Arial"/>
                      <w:color w:val="auto"/>
                      <w:sz w:val="18"/>
                      <w:szCs w:val="18"/>
                      <w:highlight w:val="none"/>
                    </w:rPr>
                  </w:pPr>
                  <w:r>
                    <w:rPr>
                      <w:rFonts w:hint="eastAsia" w:ascii="Arial" w:hAnsi="Arial"/>
                      <w:color w:val="auto"/>
                      <w:sz w:val="18"/>
                      <w:szCs w:val="18"/>
                      <w:highlight w:val="none"/>
                    </w:rPr>
                    <w:t>年费率1%，最低保费500元</w:t>
                  </w:r>
                </w:p>
              </w:tc>
              <w:tc>
                <w:tcPr>
                  <w:tcW w:w="817" w:type="dxa"/>
                </w:tcPr>
                <w:p>
                  <w:pPr>
                    <w:rPr>
                      <w:rFonts w:ascii="Arial" w:hAnsi="Arial"/>
                      <w:color w:val="auto"/>
                      <w:sz w:val="18"/>
                      <w:szCs w:val="18"/>
                      <w:highlight w:val="none"/>
                    </w:rPr>
                  </w:pPr>
                  <w:r>
                    <w:rPr>
                      <w:rFonts w:hint="eastAsia" w:ascii="Arial" w:hAnsi="Arial"/>
                      <w:color w:val="auto"/>
                      <w:sz w:val="18"/>
                      <w:szCs w:val="18"/>
                      <w:highlight w:val="none"/>
                    </w:rPr>
                    <w:t>林高明</w:t>
                  </w:r>
                </w:p>
              </w:tc>
              <w:tc>
                <w:tcPr>
                  <w:tcW w:w="1370" w:type="dxa"/>
                </w:tcPr>
                <w:p>
                  <w:pPr>
                    <w:rPr>
                      <w:rFonts w:ascii="Arial" w:hAnsi="Arial"/>
                      <w:color w:val="auto"/>
                      <w:sz w:val="18"/>
                      <w:szCs w:val="18"/>
                      <w:highlight w:val="none"/>
                    </w:rPr>
                  </w:pPr>
                  <w:r>
                    <w:rPr>
                      <w:rFonts w:ascii="Arial" w:hAnsi="Arial"/>
                      <w:color w:val="auto"/>
                      <w:sz w:val="18"/>
                      <w:szCs w:val="18"/>
                      <w:highlight w:val="none"/>
                    </w:rPr>
                    <w:cr/>
                  </w:r>
                  <w:r>
                    <w:rPr>
                      <w:rFonts w:ascii="Arial" w:hAnsi="Arial"/>
                      <w:color w:val="auto"/>
                      <w:sz w:val="18"/>
                      <w:szCs w:val="18"/>
                      <w:highlight w:val="none"/>
                    </w:rPr>
                    <w:t>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6" w:type="dxa"/>
                </w:tcPr>
                <w:p>
                  <w:pPr>
                    <w:rPr>
                      <w:rFonts w:ascii="Arial" w:hAnsi="Arial"/>
                      <w:color w:val="auto"/>
                      <w:sz w:val="18"/>
                      <w:szCs w:val="18"/>
                      <w:highlight w:val="none"/>
                    </w:rPr>
                  </w:pPr>
                  <w:r>
                    <w:rPr>
                      <w:rFonts w:hint="eastAsia" w:ascii="Arial" w:hAnsi="Arial"/>
                      <w:color w:val="auto"/>
                      <w:sz w:val="18"/>
                      <w:szCs w:val="18"/>
                      <w:highlight w:val="none"/>
                    </w:rPr>
                    <w:t>天安财产保险股份有限公司台州中心支公司</w:t>
                  </w:r>
                </w:p>
              </w:tc>
              <w:tc>
                <w:tcPr>
                  <w:tcW w:w="1652" w:type="dxa"/>
                </w:tcPr>
                <w:p>
                  <w:pPr>
                    <w:rPr>
                      <w:rFonts w:ascii="Arial" w:hAnsi="Arial"/>
                      <w:color w:val="auto"/>
                      <w:sz w:val="18"/>
                      <w:szCs w:val="18"/>
                      <w:highlight w:val="none"/>
                    </w:rPr>
                  </w:pPr>
                  <w:r>
                    <w:rPr>
                      <w:rFonts w:hint="eastAsia" w:ascii="Arial" w:hAnsi="Arial"/>
                      <w:color w:val="auto"/>
                      <w:sz w:val="18"/>
                      <w:szCs w:val="18"/>
                      <w:highlight w:val="none"/>
                    </w:rPr>
                    <w:t>年费率1%-2%，最低保费500元</w:t>
                  </w:r>
                </w:p>
              </w:tc>
              <w:tc>
                <w:tcPr>
                  <w:tcW w:w="817" w:type="dxa"/>
                </w:tcPr>
                <w:p>
                  <w:pPr>
                    <w:rPr>
                      <w:rFonts w:ascii="Arial" w:hAnsi="Arial"/>
                      <w:color w:val="auto"/>
                      <w:sz w:val="18"/>
                      <w:szCs w:val="18"/>
                      <w:highlight w:val="none"/>
                    </w:rPr>
                  </w:pPr>
                  <w:r>
                    <w:rPr>
                      <w:rFonts w:hint="eastAsia" w:ascii="Arial" w:hAnsi="Arial"/>
                      <w:color w:val="auto"/>
                      <w:sz w:val="18"/>
                      <w:szCs w:val="18"/>
                      <w:highlight w:val="none"/>
                    </w:rPr>
                    <w:t>罗赛</w:t>
                  </w:r>
                </w:p>
              </w:tc>
              <w:tc>
                <w:tcPr>
                  <w:tcW w:w="1370" w:type="dxa"/>
                </w:tcPr>
                <w:p>
                  <w:pPr>
                    <w:rPr>
                      <w:rFonts w:ascii="Arial" w:hAnsi="Arial"/>
                      <w:color w:val="auto"/>
                      <w:sz w:val="18"/>
                      <w:szCs w:val="18"/>
                      <w:highlight w:val="none"/>
                    </w:rPr>
                  </w:pPr>
                  <w:r>
                    <w:rPr>
                      <w:rFonts w:hint="eastAsia" w:ascii="Arial" w:hAnsi="Arial"/>
                      <w:color w:val="auto"/>
                      <w:sz w:val="18"/>
                      <w:szCs w:val="18"/>
                      <w:highlight w:val="none"/>
                    </w:rPr>
                    <w:t>13736605643</w:t>
                  </w:r>
                </w:p>
              </w:tc>
            </w:tr>
          </w:tbl>
          <w:p>
            <w:pPr>
              <w:adjustRightInd w:val="0"/>
              <w:snapToGrid w:val="0"/>
              <w:jc w:val="center"/>
              <w:rPr>
                <w:color w:val="auto"/>
                <w:sz w:val="18"/>
                <w:szCs w:val="18"/>
                <w:highlight w:val="none"/>
              </w:rPr>
            </w:pPr>
          </w:p>
        </w:tc>
      </w:tr>
    </w:tbl>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pPr>
        <w:pStyle w:val="15"/>
        <w:numPr>
          <w:ilvl w:val="0"/>
          <w:numId w:val="5"/>
        </w:numPr>
        <w:spacing w:line="360" w:lineRule="auto"/>
        <w:ind w:left="0" w:leftChars="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投标供应商应仔细阅读本项目招标公告及招标文件的所有内容（包括变更、补充、澄清以及修改等，且均为招标文件的组成部分），按照招标文件要求以及格式编制投标文件，并保证其真实性，否则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投标供应商</w:t>
      </w:r>
      <w:r>
        <w:rPr>
          <w:rFonts w:hint="eastAsia"/>
          <w:color w:val="auto"/>
          <w:sz w:val="24"/>
          <w:highlight w:val="none"/>
        </w:rPr>
        <w:t>承担。</w:t>
      </w:r>
    </w:p>
    <w:p>
      <w:pPr>
        <w:numPr>
          <w:ilvl w:val="0"/>
          <w:numId w:val="5"/>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本招标文件仅适用于本次招标公告中所涉及的项目和内容。</w:t>
      </w:r>
    </w:p>
    <w:p>
      <w:pPr>
        <w:numPr>
          <w:ilvl w:val="0"/>
          <w:numId w:val="5"/>
        </w:num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当事人</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1.采购组织机构：是指采购人委托组织招标的集中采购机构或采购代理机构。</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投标供应商</w:t>
      </w:r>
      <w:r>
        <w:rPr>
          <w:rFonts w:hint="eastAsia" w:asciiTheme="minorEastAsia" w:hAnsiTheme="minorEastAsia" w:eastAsiaTheme="minorEastAsia"/>
          <w:color w:val="auto"/>
          <w:sz w:val="24"/>
          <w:highlight w:val="none"/>
        </w:rPr>
        <w:t>/供应商：是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r>
        <w:rPr>
          <w:rFonts w:asciiTheme="minorEastAsia" w:hAnsiTheme="minorEastAsia" w:eastAsiaTheme="minorEastAsia"/>
          <w:color w:val="auto"/>
          <w:sz w:val="24"/>
          <w:highlight w:val="none"/>
        </w:rPr>
        <w:t>。</w:t>
      </w:r>
    </w:p>
    <w:p>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4.中标供应商</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做出</w:t>
      </w:r>
      <w:r>
        <w:rPr>
          <w:rFonts w:hint="eastAsia" w:ascii="宋体" w:hAnsi="宋体"/>
          <w:color w:val="auto"/>
          <w:sz w:val="24"/>
          <w:highlight w:val="none"/>
          <w:lang w:val="zh-CN"/>
        </w:rPr>
        <w:t>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委员会推荐的中标候选人中确定的或受采购人委托直接确认的，与采购人签订合同资格的投标供应商。</w:t>
      </w:r>
    </w:p>
    <w:p>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两个或两个以上法人或者其他组织可以组成一个联合体，以一个投标供应商的身份共同投标。</w:t>
      </w:r>
    </w:p>
    <w:p>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 xml:space="preserve">以联合体形式投标的，应符合以下规定（本项目不适用）： </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合体各方应签订联合体协议书，明确联合体牵头人和各方权利义务，并作为投标文件组成部分</w:t>
      </w:r>
      <w:r>
        <w:rPr>
          <w:rFonts w:hint="eastAsia"/>
          <w:color w:val="auto"/>
          <w:sz w:val="24"/>
          <w:highlight w:val="none"/>
        </w:rPr>
        <w:t>；</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4.联合体各方中至少应当有一方符合采购人规定的资格要求。由同一资质条件的投标供应商组成的联合体，应当按照资质等级较低的投标供应商确定联合体资质等级；</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7.投标</w:t>
      </w:r>
      <w:r>
        <w:rPr>
          <w:color w:val="auto"/>
          <w:sz w:val="24"/>
          <w:highlight w:val="none"/>
        </w:rPr>
        <w:t>时，应以联合体协议中确定的主体方名义投标，对联合体各方均具有约束力。</w:t>
      </w:r>
    </w:p>
    <w:p>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供应商与采购代理机构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1.招标文件规定组织踏勘现场的，采购人按招标文件规定的时间、地点组织投标供应商踏勘项目现场。</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2.投标供应商自行承担踏勘现场发生的责任、风险和自身费用。</w:t>
      </w:r>
    </w:p>
    <w:p>
      <w:pPr>
        <w:pStyle w:val="31"/>
        <w:snapToGrid w:val="0"/>
        <w:spacing w:line="360" w:lineRule="auto"/>
        <w:ind w:firstLine="48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在踏勘现场中介绍的资料和数据等，不构成对招标文件的修改或不作为投标供应商编制投标文件的依据。</w:t>
      </w:r>
    </w:p>
    <w:p>
      <w:pPr>
        <w:pStyle w:val="14"/>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（七）特别说明</w:t>
      </w:r>
    </w:p>
    <w:p>
      <w:pPr>
        <w:pStyle w:val="31"/>
        <w:snapToGrid w:val="0"/>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投标供应商投标所使用的资格、信誉、荣誉、业绩与企业认证必须为本法人所拥有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且所提供的资料都是真实有效的（投标供应商根据招标文件要求提供相关第三方资料的除外）</w:t>
      </w:r>
      <w:r>
        <w:rPr>
          <w:rFonts w:asciiTheme="minorEastAsia" w:hAnsiTheme="minorEastAsia" w:eastAsiaTheme="minorEastAsia"/>
          <w:color w:val="auto"/>
          <w:sz w:val="24"/>
          <w:highlight w:val="none"/>
        </w:rPr>
        <w:t>。投标供应商投标所使用的采购项目实施人员必须为本法人员工。</w:t>
      </w:r>
      <w:r>
        <w:rPr>
          <w:rFonts w:hint="eastAsia" w:asciiTheme="minorEastAsia" w:hAnsiTheme="minorEastAsia" w:eastAsiaTheme="minorEastAsia"/>
          <w:color w:val="auto"/>
          <w:sz w:val="24"/>
          <w:highlight w:val="none"/>
        </w:rPr>
        <w:t>其中涉及资格条件的如非本法人所拥有，则投标无效。</w:t>
      </w:r>
    </w:p>
    <w:p>
      <w:pPr>
        <w:pStyle w:val="31"/>
        <w:snapToGrid w:val="0"/>
        <w:spacing w:line="360" w:lineRule="auto"/>
        <w:ind w:firstLine="480"/>
        <w:rPr>
          <w:rFonts w:asciiTheme="minorEastAsia" w:hAnsiTheme="minorEastAsia" w:eastAsiaTheme="minorEastAsia" w:cstheme="minorBidi"/>
          <w:color w:val="auto"/>
          <w:sz w:val="24"/>
          <w:szCs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stheme="minorBidi"/>
          <w:color w:val="auto"/>
          <w:sz w:val="24"/>
          <w:szCs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且在质疑期限内，如有投标供应商认为中标供应商所投产品、投标文件技术参数与招标需求存在重大偏离、错误，甚至造假的情况，应提供</w:t>
      </w:r>
      <w:r>
        <w:rPr>
          <w:rFonts w:hint="eastAsia" w:ascii="宋体" w:hAnsi="宋体" w:cs="宋体"/>
          <w:color w:val="auto"/>
          <w:sz w:val="24"/>
          <w:szCs w:val="24"/>
          <w:highlight w:val="none"/>
        </w:rPr>
        <w:t>具体</w:t>
      </w:r>
      <w:r>
        <w:rPr>
          <w:rFonts w:hint="eastAsia" w:asciiTheme="minorEastAsia" w:hAnsiTheme="minorEastAsia" w:eastAsiaTheme="minorEastAsia" w:cstheme="minorBidi"/>
          <w:color w:val="auto"/>
          <w:sz w:val="24"/>
          <w:szCs w:val="24"/>
          <w:highlight w:val="none"/>
        </w:rPr>
        <w:t>有效的证明材料。</w:t>
      </w:r>
    </w:p>
    <w:p>
      <w:pPr>
        <w:pStyle w:val="31"/>
        <w:snapToGrid w:val="0"/>
        <w:spacing w:line="360" w:lineRule="auto"/>
        <w:ind w:firstLine="480"/>
        <w:rPr>
          <w:rFonts w:asciiTheme="minorEastAsia" w:hAnsiTheme="minorEastAsia" w:eastAsiaTheme="minorEastAsia" w:cstheme="minorBidi"/>
          <w:color w:val="auto"/>
          <w:sz w:val="24"/>
          <w:szCs w:val="24"/>
          <w:highlight w:val="none"/>
        </w:rPr>
      </w:pPr>
      <w:r>
        <w:rPr>
          <w:rFonts w:hint="eastAsia" w:asciiTheme="minorEastAsia" w:hAnsiTheme="minorEastAsia" w:eastAsiaTheme="minorEastAsia" w:cstheme="minorBidi"/>
          <w:color w:val="auto"/>
          <w:sz w:val="24"/>
          <w:szCs w:val="24"/>
          <w:highlight w:val="none"/>
        </w:rPr>
        <w:t>3.投标</w:t>
      </w:r>
      <w:r>
        <w:rPr>
          <w:rFonts w:hint="eastAsia" w:ascii="宋体" w:hAnsi="宋体" w:cs="宋体"/>
          <w:color w:val="auto"/>
          <w:sz w:val="24"/>
          <w:szCs w:val="24"/>
          <w:highlight w:val="none"/>
        </w:rPr>
        <w:t>供应</w:t>
      </w:r>
      <w:r>
        <w:rPr>
          <w:rFonts w:hint="eastAsia" w:asciiTheme="minorEastAsia" w:hAnsiTheme="minorEastAsia" w:eastAsiaTheme="minorEastAsia" w:cstheme="minorBidi"/>
          <w:color w:val="auto"/>
          <w:sz w:val="24"/>
          <w:szCs w:val="24"/>
          <w:highlight w:val="none"/>
        </w:rPr>
        <w:t>商在投标活动中提供任何虚假材料,其投标无效，并报监管部门查处；中标后发现的,根据《中华人民共和国政府采购法》第七十七条第一款第一项之规定，处以采购金额</w:t>
      </w:r>
      <w:r>
        <w:rPr>
          <w:rFonts w:hint="eastAsia" w:ascii="宋体" w:hAnsi="宋体" w:cs="宋体"/>
          <w:color w:val="auto"/>
          <w:sz w:val="24"/>
          <w:szCs w:val="24"/>
          <w:highlight w:val="none"/>
        </w:rPr>
        <w:t>千分之五</w:t>
      </w:r>
      <w:r>
        <w:rPr>
          <w:rFonts w:hint="eastAsia" w:asciiTheme="minorEastAsia" w:hAnsiTheme="minorEastAsia" w:eastAsiaTheme="minorEastAsia" w:cstheme="minorBidi"/>
          <w:color w:val="auto"/>
          <w:sz w:val="24"/>
          <w:szCs w:val="24"/>
          <w:highlight w:val="none"/>
        </w:rPr>
        <w:t>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31"/>
        <w:snapToGrid w:val="0"/>
        <w:spacing w:line="360" w:lineRule="auto"/>
        <w:ind w:firstLine="480"/>
        <w:rPr>
          <w:rFonts w:asciiTheme="minorEastAsia" w:hAnsiTheme="minorEastAsia" w:eastAsiaTheme="minorEastAsia" w:cstheme="minorBidi"/>
          <w:color w:val="auto"/>
          <w:sz w:val="24"/>
          <w:szCs w:val="24"/>
          <w:highlight w:val="none"/>
        </w:rPr>
      </w:pPr>
      <w:r>
        <w:rPr>
          <w:rFonts w:hint="eastAsia" w:asciiTheme="minorEastAsia" w:hAnsiTheme="minorEastAsia" w:eastAsiaTheme="minorEastAsia" w:cstheme="minorBidi"/>
          <w:color w:val="auto"/>
          <w:sz w:val="24"/>
          <w:szCs w:val="24"/>
          <w:highlight w:val="none"/>
        </w:rPr>
        <w:t>4.投标供应商不得相互串通投标报价，不得妨碍其他投标供应商的公平竞争，不得损害采购人或其他投标供应商的合法权益，投标供应商不得以向采购人、评标委员会成员行贿或者采取其他不正当手段谋取中标。</w:t>
      </w:r>
    </w:p>
    <w:p>
      <w:pPr>
        <w:pStyle w:val="31"/>
        <w:snapToGrid w:val="0"/>
        <w:spacing w:line="360" w:lineRule="auto"/>
        <w:ind w:firstLine="480"/>
        <w:rPr>
          <w:rFonts w:asciiTheme="minorEastAsia" w:hAnsiTheme="minorEastAsia" w:eastAsiaTheme="minorEastAsia" w:cstheme="minorBidi"/>
          <w:color w:val="auto"/>
          <w:sz w:val="24"/>
          <w:szCs w:val="24"/>
          <w:highlight w:val="none"/>
        </w:rPr>
      </w:pPr>
      <w:r>
        <w:rPr>
          <w:rFonts w:hint="eastAsia" w:asciiTheme="minorEastAsia" w:hAnsiTheme="minorEastAsia" w:eastAsiaTheme="minorEastAsia" w:cstheme="minorBidi"/>
          <w:color w:val="auto"/>
          <w:sz w:val="24"/>
          <w:szCs w:val="24"/>
          <w:highlight w:val="none"/>
        </w:rPr>
        <w:t>5.单位负责人为同一人或者存在直接控股、管理关系的不同供应商，不得参加同一合同项下的政府采购活动。</w:t>
      </w:r>
    </w:p>
    <w:p>
      <w:pPr>
        <w:pStyle w:val="31"/>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6.本招标文件中关于电子招投标内容、流程如与政采云系统中最新的内容、操作不一致的，以政采云系统中的要求为准。</w:t>
      </w:r>
    </w:p>
    <w:p>
      <w:pPr>
        <w:pStyle w:val="31"/>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w:t>
      </w:r>
      <w:r>
        <w:rPr>
          <w:rFonts w:ascii="宋体" w:hAnsi="宋体" w:cs="宋体"/>
          <w:color w:val="auto"/>
          <w:sz w:val="24"/>
          <w:szCs w:val="24"/>
          <w:highlight w:val="none"/>
        </w:rPr>
        <w:t>.</w:t>
      </w:r>
      <w:r>
        <w:rPr>
          <w:rFonts w:hint="eastAsia" w:ascii="宋体" w:hAnsi="宋体" w:cs="宋体"/>
          <w:color w:val="auto"/>
          <w:sz w:val="24"/>
          <w:szCs w:val="24"/>
          <w:highlight w:val="none"/>
        </w:rPr>
        <w:t>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pPr>
        <w:pStyle w:val="31"/>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w:t>
      </w:r>
      <w:bookmarkStart w:id="72" w:name="OLE_LINK31"/>
      <w:r>
        <w:rPr>
          <w:rFonts w:hint="eastAsia" w:ascii="宋体" w:hAnsi="宋体" w:cs="宋体"/>
          <w:color w:val="auto"/>
          <w:sz w:val="24"/>
          <w:szCs w:val="24"/>
          <w:highlight w:val="none"/>
        </w:rPr>
        <w:t>根据《浙江省财政厅关于规范政府采购供应商资格设定及资格审查的通知》（浙财采监[2013]24号）第</w:t>
      </w:r>
      <w:r>
        <w:rPr>
          <w:rFonts w:hint="eastAsia" w:ascii="宋体" w:hAnsi="宋体" w:cs="宋体"/>
          <w:color w:val="auto"/>
          <w:sz w:val="24"/>
          <w:highlight w:val="none"/>
        </w:rPr>
        <w:t>六</w:t>
      </w:r>
      <w:r>
        <w:rPr>
          <w:rFonts w:hint="eastAsia" w:ascii="宋体" w:hAnsi="宋体" w:cs="宋体"/>
          <w:color w:val="auto"/>
          <w:sz w:val="24"/>
          <w:szCs w:val="24"/>
          <w:highlight w:val="none"/>
        </w:rPr>
        <w:t>条规定</w:t>
      </w:r>
      <w:r>
        <w:rPr>
          <w:rFonts w:hint="eastAsia" w:ascii="宋体" w:hAnsi="宋体" w:cs="宋体"/>
          <w:color w:val="auto"/>
          <w:sz w:val="24"/>
          <w:highlight w:val="none"/>
        </w:rPr>
        <w:t>，金融、保险、通讯等特定行业的全国性企业所设立的区域性分支机构，以及个体工商户、个人独资企业、合伙企业，如果已经</w:t>
      </w:r>
      <w:r>
        <w:rPr>
          <w:rFonts w:hint="eastAsia" w:ascii="宋体" w:hAnsi="宋体" w:cs="宋体"/>
          <w:color w:val="auto"/>
          <w:sz w:val="24"/>
          <w:szCs w:val="24"/>
          <w:highlight w:val="none"/>
        </w:rPr>
        <w:t>依法</w:t>
      </w:r>
      <w:r>
        <w:rPr>
          <w:rFonts w:hint="eastAsia" w:ascii="宋体" w:hAnsi="宋体" w:cs="宋体"/>
          <w:color w:val="auto"/>
          <w:sz w:val="24"/>
          <w:highlight w:val="none"/>
        </w:rPr>
        <w:t>办理了工商、税务和社保登记手续，并且获得总机构授权或能够提供房产权证或其他有效财产证明材料，证明其具备实际承担责任的能力和法定的缔结合同能力，可以允许其独立参加政府采购活动。</w:t>
      </w:r>
      <w:bookmarkEnd w:id="72"/>
    </w:p>
    <w:p>
      <w:pPr>
        <w:pStyle w:val="31"/>
        <w:snapToGrid w:val="0"/>
        <w:spacing w:line="360" w:lineRule="auto"/>
        <w:ind w:firstLine="480"/>
        <w:rPr>
          <w:rFonts w:hint="default" w:ascii="宋体" w:hAnsi="宋体" w:cs="宋体"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9.本项目不允许转包、分包。</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三、招标文件</w:t>
      </w:r>
    </w:p>
    <w:p>
      <w:pPr>
        <w:pStyle w:val="31"/>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（一）招标文件由招标文件总目录所列内容组成。</w:t>
      </w:r>
    </w:p>
    <w:p>
      <w:pPr>
        <w:pStyle w:val="31"/>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（二）投标供应商在规定的时间内未对招标文件提出疑问、质疑或要求澄清的，将视其为无异议。</w:t>
      </w:r>
    </w:p>
    <w:p>
      <w:pPr>
        <w:pStyle w:val="31"/>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（三）对招标文件中描述有歧义或前后不一致的地方，评标委员会有权进行评判，但对同一条款的评判应适用于每个投标供应商。</w:t>
      </w:r>
    </w:p>
    <w:p>
      <w:pPr>
        <w:pStyle w:val="31"/>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15日前在浙江省政府采购网上以更正公告的形式通知各潜在的投标供应商；不足15日的，采购组织机构应当顺延提交投标文件的截止时间。</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四、投标文件</w:t>
      </w:r>
    </w:p>
    <w:p>
      <w:pPr>
        <w:pStyle w:val="9"/>
        <w:spacing w:line="360" w:lineRule="auto"/>
        <w:ind w:firstLine="482" w:firstLineChars="200"/>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w:t>
      </w:r>
      <w:bookmarkStart w:id="73" w:name="OLE_LINK12"/>
      <w:r>
        <w:rPr>
          <w:rFonts w:hint="eastAsia" w:asciiTheme="minorEastAsia" w:hAnsiTheme="minorEastAsia" w:eastAsiaTheme="minorEastAsia"/>
          <w:b/>
          <w:color w:val="auto"/>
          <w:kern w:val="0"/>
          <w:sz w:val="24"/>
          <w:highlight w:val="none"/>
        </w:rPr>
        <w:t>投标文件</w:t>
      </w:r>
      <w:bookmarkEnd w:id="73"/>
      <w:r>
        <w:rPr>
          <w:rFonts w:hint="eastAsia" w:asciiTheme="minorEastAsia" w:hAnsiTheme="minorEastAsia" w:eastAsiaTheme="minorEastAsia"/>
          <w:b/>
          <w:color w:val="auto"/>
          <w:kern w:val="0"/>
          <w:sz w:val="24"/>
          <w:highlight w:val="none"/>
        </w:rPr>
        <w:t>的编制</w:t>
      </w:r>
    </w:p>
    <w:p>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 xml:space="preserve"> 投标供应商接到招标文件后，按照采购组织机构的要求提供：资格证明文件、商务与技术文件和报价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文件。【特别提示：如在投标时有要求提供资料原件的，将原件扫描放入投标文件。】本招标文件中若有多标项的，若参与多标项投标的，则按每个标项分别独立编制投标文件。</w:t>
      </w:r>
      <w:r>
        <w:rPr>
          <w:rFonts w:hint="eastAsia" w:asciiTheme="minorEastAsia" w:hAnsiTheme="minorEastAsia" w:eastAsiaTheme="minorEastAsia"/>
          <w:b/>
          <w:color w:val="auto"/>
          <w:kern w:val="0"/>
          <w:sz w:val="24"/>
          <w:highlight w:val="none"/>
        </w:rPr>
        <w:t>投标文件由电子投标文件和样品</w:t>
      </w:r>
      <w:r>
        <w:rPr>
          <w:rFonts w:hint="eastAsia" w:asciiTheme="minorEastAsia" w:hAnsiTheme="minorEastAsia" w:eastAsiaTheme="minorEastAsia"/>
          <w:b/>
          <w:color w:val="auto"/>
          <w:kern w:val="0"/>
          <w:sz w:val="24"/>
          <w:highlight w:val="none"/>
          <w:lang w:eastAsia="zh-CN"/>
        </w:rPr>
        <w:t>（</w:t>
      </w:r>
      <w:r>
        <w:rPr>
          <w:rFonts w:hint="eastAsia" w:asciiTheme="minorEastAsia" w:hAnsiTheme="minorEastAsia" w:eastAsiaTheme="minorEastAsia"/>
          <w:b/>
          <w:color w:val="auto"/>
          <w:kern w:val="0"/>
          <w:sz w:val="24"/>
          <w:highlight w:val="none"/>
          <w:lang w:val="en-US" w:eastAsia="zh-CN"/>
        </w:rPr>
        <w:t>如有</w:t>
      </w:r>
      <w:r>
        <w:rPr>
          <w:rFonts w:hint="eastAsia" w:asciiTheme="minorEastAsia" w:hAnsiTheme="minorEastAsia" w:eastAsiaTheme="minorEastAsia"/>
          <w:b/>
          <w:color w:val="auto"/>
          <w:kern w:val="0"/>
          <w:sz w:val="24"/>
          <w:highlight w:val="none"/>
          <w:lang w:eastAsia="zh-CN"/>
        </w:rPr>
        <w:t>）</w:t>
      </w:r>
      <w:r>
        <w:rPr>
          <w:rFonts w:hint="eastAsia" w:asciiTheme="minorEastAsia" w:hAnsiTheme="minorEastAsia" w:eastAsiaTheme="minorEastAsia"/>
          <w:b/>
          <w:color w:val="auto"/>
          <w:kern w:val="0"/>
          <w:sz w:val="24"/>
          <w:highlight w:val="none"/>
        </w:rPr>
        <w:t>组成。</w:t>
      </w:r>
    </w:p>
    <w:p>
      <w:pPr>
        <w:snapToGrid w:val="0"/>
        <w:spacing w:line="360" w:lineRule="auto"/>
        <w:ind w:left="48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1.电子投标文件</w:t>
      </w:r>
    </w:p>
    <w:p>
      <w:pPr>
        <w:snapToGrid w:val="0"/>
        <w:spacing w:line="360" w:lineRule="auto"/>
        <w:ind w:left="482"/>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1.1资格</w:t>
      </w:r>
      <w:r>
        <w:rPr>
          <w:rFonts w:hint="eastAsia" w:asciiTheme="minorEastAsia" w:hAnsiTheme="minorEastAsia" w:eastAsiaTheme="minorEastAsia"/>
          <w:b/>
          <w:color w:val="auto"/>
          <w:kern w:val="0"/>
          <w:sz w:val="24"/>
          <w:highlight w:val="none"/>
        </w:rPr>
        <w:t>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pPr>
        <w:pStyle w:val="9"/>
        <w:widowControl/>
        <w:adjustRightInd w:val="0"/>
        <w:snapToGrid w:val="0"/>
        <w:spacing w:line="360" w:lineRule="auto"/>
        <w:ind w:firstLine="480" w:firstLineChars="200"/>
        <w:rPr>
          <w:rFonts w:ascii="宋体" w:hAnsi="宋体"/>
          <w:color w:val="auto"/>
          <w:kern w:val="0"/>
          <w:sz w:val="24"/>
          <w:szCs w:val="24"/>
          <w:highlight w:val="none"/>
        </w:rPr>
      </w:pPr>
      <w:bookmarkStart w:id="74" w:name="_Toc31433"/>
      <w:r>
        <w:rPr>
          <w:rFonts w:hint="eastAsia" w:ascii="宋体" w:hAnsi="宋体"/>
          <w:color w:val="auto"/>
          <w:kern w:val="0"/>
          <w:sz w:val="24"/>
          <w:szCs w:val="24"/>
          <w:highlight w:val="none"/>
        </w:rPr>
        <w:t>（1）投标声明书（</w:t>
      </w:r>
      <w:bookmarkStart w:id="75" w:name="OLE_LINK35"/>
      <w:bookmarkStart w:id="76" w:name="OLE_LINK36"/>
      <w:r>
        <w:rPr>
          <w:rFonts w:hint="eastAsia" w:ascii="宋体" w:hAnsi="宋体"/>
          <w:color w:val="auto"/>
          <w:kern w:val="0"/>
          <w:sz w:val="24"/>
          <w:szCs w:val="24"/>
          <w:highlight w:val="none"/>
        </w:rPr>
        <w:t>格式见附件</w:t>
      </w:r>
      <w:bookmarkEnd w:id="75"/>
      <w:bookmarkEnd w:id="76"/>
      <w:r>
        <w:rPr>
          <w:rFonts w:hint="eastAsia" w:ascii="宋体" w:hAnsi="宋体"/>
          <w:color w:val="auto"/>
          <w:kern w:val="0"/>
          <w:sz w:val="24"/>
          <w:szCs w:val="24"/>
          <w:highlight w:val="none"/>
        </w:rPr>
        <w:t>）；</w:t>
      </w:r>
      <w:bookmarkEnd w:id="74"/>
    </w:p>
    <w:p>
      <w:pPr>
        <w:pStyle w:val="9"/>
        <w:widowControl/>
        <w:adjustRightInd w:val="0"/>
        <w:snapToGrid w:val="0"/>
        <w:spacing w:line="360" w:lineRule="auto"/>
        <w:ind w:firstLine="480" w:firstLineChars="200"/>
        <w:rPr>
          <w:rFonts w:ascii="宋体" w:hAnsi="宋体"/>
          <w:color w:val="auto"/>
          <w:kern w:val="0"/>
          <w:sz w:val="24"/>
          <w:szCs w:val="24"/>
          <w:highlight w:val="none"/>
        </w:rPr>
      </w:pPr>
      <w:bookmarkStart w:id="77" w:name="_Toc19978"/>
      <w:r>
        <w:rPr>
          <w:rFonts w:hint="eastAsia" w:ascii="宋体" w:hAnsi="宋体"/>
          <w:color w:val="auto"/>
          <w:kern w:val="0"/>
          <w:sz w:val="24"/>
          <w:szCs w:val="24"/>
          <w:highlight w:val="none"/>
        </w:rPr>
        <w:t>（2）授权委托书（格式见附件，法定代表人亲自办理投标事宜的，则仅需提供身份证扫描件或影印件，无需提交本授权书)；</w:t>
      </w:r>
      <w:bookmarkEnd w:id="77"/>
    </w:p>
    <w:p>
      <w:pPr>
        <w:pStyle w:val="9"/>
        <w:widowControl/>
        <w:adjustRightInd w:val="0"/>
        <w:snapToGrid w:val="0"/>
        <w:spacing w:line="360" w:lineRule="auto"/>
        <w:ind w:firstLine="480" w:firstLineChars="200"/>
        <w:rPr>
          <w:rFonts w:ascii="宋体" w:hAnsi="宋体"/>
          <w:color w:val="auto"/>
          <w:kern w:val="0"/>
          <w:sz w:val="24"/>
          <w:szCs w:val="24"/>
          <w:highlight w:val="none"/>
        </w:rPr>
      </w:pPr>
      <w:bookmarkStart w:id="78" w:name="_Toc6413"/>
      <w:bookmarkStart w:id="79" w:name="OLE_LINK33"/>
      <w:bookmarkStart w:id="80" w:name="OLE_LINK32"/>
      <w:r>
        <w:rPr>
          <w:rFonts w:hint="eastAsia" w:ascii="宋体" w:hAnsi="宋体"/>
          <w:color w:val="auto"/>
          <w:kern w:val="0"/>
          <w:sz w:val="24"/>
          <w:szCs w:val="24"/>
          <w:highlight w:val="none"/>
        </w:rPr>
        <w:t>（3）</w:t>
      </w:r>
      <w:bookmarkStart w:id="81" w:name="OLE_LINK47"/>
      <w:r>
        <w:rPr>
          <w:rFonts w:hint="eastAsia" w:ascii="宋体" w:hAnsi="宋体"/>
          <w:color w:val="auto"/>
          <w:kern w:val="0"/>
          <w:sz w:val="24"/>
          <w:szCs w:val="24"/>
          <w:highlight w:val="none"/>
        </w:rPr>
        <w:t>法人或者其他组织的营业执照等证明文件，符合浙财采监[2013]24号文件规定的分支机构等投标的还须提供总公司（总机构）授权书原件加盖供应商公章或房产权证扫描件或其他有效财产证明材料原件扫描件；</w:t>
      </w:r>
      <w:bookmarkEnd w:id="78"/>
      <w:bookmarkEnd w:id="79"/>
      <w:bookmarkEnd w:id="80"/>
      <w:bookmarkEnd w:id="81"/>
    </w:p>
    <w:p>
      <w:pPr>
        <w:pStyle w:val="9"/>
        <w:widowControl/>
        <w:adjustRightInd w:val="0"/>
        <w:snapToGrid w:val="0"/>
        <w:spacing w:line="360" w:lineRule="auto"/>
        <w:ind w:firstLine="480" w:firstLineChars="200"/>
        <w:rPr>
          <w:rFonts w:ascii="宋体" w:hAnsi="宋体"/>
          <w:color w:val="auto"/>
          <w:kern w:val="0"/>
          <w:sz w:val="24"/>
          <w:szCs w:val="24"/>
          <w:highlight w:val="none"/>
        </w:rPr>
      </w:pPr>
      <w:bookmarkStart w:id="82" w:name="_Toc5792"/>
      <w:r>
        <w:rPr>
          <w:rFonts w:hint="eastAsia" w:ascii="宋体" w:hAnsi="宋体"/>
          <w:color w:val="auto"/>
          <w:kern w:val="0"/>
          <w:sz w:val="24"/>
          <w:szCs w:val="24"/>
          <w:highlight w:val="none"/>
        </w:rPr>
        <w:t>（4）提供关于供应商财务状况和依法缴纳税收及社会保障资金的书面承诺（格式见附件）；</w:t>
      </w:r>
      <w:bookmarkEnd w:id="82"/>
    </w:p>
    <w:p>
      <w:pPr>
        <w:pStyle w:val="9"/>
        <w:widowControl/>
        <w:adjustRightInd w:val="0"/>
        <w:snapToGrid w:val="0"/>
        <w:spacing w:line="360" w:lineRule="auto"/>
        <w:ind w:firstLine="480" w:firstLineChars="200"/>
        <w:rPr>
          <w:rFonts w:ascii="宋体" w:hAnsi="宋体"/>
          <w:color w:val="auto"/>
          <w:kern w:val="0"/>
          <w:sz w:val="24"/>
          <w:szCs w:val="24"/>
          <w:highlight w:val="none"/>
        </w:rPr>
      </w:pPr>
      <w:bookmarkStart w:id="83" w:name="_Toc15168"/>
      <w:r>
        <w:rPr>
          <w:rFonts w:hint="eastAsia" w:ascii="宋体" w:hAnsi="宋体"/>
          <w:color w:val="auto"/>
          <w:kern w:val="0"/>
          <w:sz w:val="24"/>
          <w:szCs w:val="24"/>
          <w:highlight w:val="none"/>
        </w:rPr>
        <w:t>（5）具备履行合同所必需的设备和专业技术能力的承诺函(格式见附件)；</w:t>
      </w:r>
      <w:bookmarkEnd w:id="83"/>
      <w:bookmarkStart w:id="84" w:name="OLE_LINK123"/>
    </w:p>
    <w:p>
      <w:pPr>
        <w:pStyle w:val="9"/>
        <w:widowControl/>
        <w:adjustRightInd w:val="0"/>
        <w:snapToGrid w:val="0"/>
        <w:spacing w:line="360" w:lineRule="auto"/>
        <w:ind w:firstLine="480" w:firstLineChars="200"/>
        <w:rPr>
          <w:rFonts w:ascii="宋体" w:hAnsi="宋体"/>
          <w:color w:val="auto"/>
          <w:kern w:val="0"/>
          <w:sz w:val="24"/>
          <w:szCs w:val="24"/>
          <w:highlight w:val="none"/>
        </w:rPr>
      </w:pPr>
      <w:bookmarkStart w:id="85" w:name="_Toc2498"/>
      <w:bookmarkStart w:id="86" w:name="OLE_LINK3"/>
      <w:r>
        <w:rPr>
          <w:rFonts w:hint="eastAsia" w:ascii="宋体" w:hAnsi="宋体"/>
          <w:color w:val="auto"/>
          <w:kern w:val="0"/>
          <w:sz w:val="24"/>
          <w:szCs w:val="24"/>
          <w:highlight w:val="none"/>
        </w:rPr>
        <w:t>（6）</w:t>
      </w:r>
      <w:bookmarkEnd w:id="84"/>
      <w:r>
        <w:rPr>
          <w:rFonts w:hint="eastAsia" w:ascii="宋体" w:hAnsi="宋体"/>
          <w:color w:val="auto"/>
          <w:kern w:val="0"/>
          <w:sz w:val="24"/>
          <w:highlight w:val="none"/>
        </w:rPr>
        <w:t>落实政府采购政策需满足资格要求</w:t>
      </w:r>
      <w:bookmarkStart w:id="87" w:name="OLE_LINK64"/>
      <w:r>
        <w:rPr>
          <w:rFonts w:hint="eastAsia" w:ascii="宋体" w:hAnsi="宋体"/>
          <w:color w:val="auto"/>
          <w:kern w:val="0"/>
          <w:sz w:val="24"/>
          <w:highlight w:val="none"/>
        </w:rPr>
        <w:t>声明函等</w:t>
      </w:r>
      <w:bookmarkEnd w:id="87"/>
      <w:bookmarkStart w:id="88" w:name="OLE_LINK63"/>
      <w:r>
        <w:rPr>
          <w:rFonts w:hint="eastAsia" w:ascii="宋体" w:hAnsi="宋体"/>
          <w:color w:val="auto"/>
          <w:kern w:val="0"/>
          <w:sz w:val="24"/>
          <w:highlight w:val="none"/>
        </w:rPr>
        <w:t>[提供中小企业声明函（格式见附件）或残疾人福利性单位声明函（格式见附件）或监狱企业证明文件]</w:t>
      </w:r>
      <w:r>
        <w:rPr>
          <w:rFonts w:hint="eastAsia" w:ascii="宋体" w:hAnsi="宋体"/>
          <w:color w:val="auto"/>
          <w:kern w:val="0"/>
          <w:sz w:val="24"/>
          <w:szCs w:val="24"/>
          <w:highlight w:val="none"/>
        </w:rPr>
        <w:t>。</w:t>
      </w:r>
      <w:bookmarkEnd w:id="85"/>
      <w:bookmarkEnd w:id="88"/>
    </w:p>
    <w:bookmarkEnd w:id="86"/>
    <w:p>
      <w:pPr>
        <w:pStyle w:val="9"/>
        <w:widowControl/>
        <w:adjustRightInd w:val="0"/>
        <w:snapToGrid w:val="0"/>
        <w:spacing w:line="360" w:lineRule="auto"/>
        <w:ind w:firstLine="480" w:firstLineChars="200"/>
        <w:rPr>
          <w:rFonts w:ascii="宋体" w:hAnsi="宋体"/>
          <w:color w:val="auto"/>
          <w:kern w:val="0"/>
          <w:sz w:val="24"/>
          <w:szCs w:val="24"/>
          <w:highlight w:val="none"/>
        </w:rPr>
      </w:pPr>
      <w:bookmarkStart w:id="89" w:name="_Toc27595"/>
      <w:r>
        <w:rPr>
          <w:rFonts w:hint="eastAsia" w:ascii="宋体" w:hAnsi="宋体"/>
          <w:color w:val="auto"/>
          <w:kern w:val="0"/>
          <w:sz w:val="24"/>
          <w:szCs w:val="24"/>
          <w:highlight w:val="none"/>
        </w:rPr>
        <w:t>（7）需要说明的其他资料（如有）。</w:t>
      </w:r>
      <w:bookmarkEnd w:id="89"/>
    </w:p>
    <w:p>
      <w:pPr>
        <w:pStyle w:val="9"/>
        <w:widowControl/>
        <w:adjustRightInd w:val="0"/>
        <w:snapToGrid w:val="0"/>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注：供应商应保证其提供的产品（不包括构成货物的原材料及辅助材料）均由中小企业制造，方可适用扶持政策。供应商应在《中小企业声明函》中明确货物来源企业是否为中小企业。</w:t>
      </w:r>
    </w:p>
    <w:p>
      <w:pPr>
        <w:snapToGrid w:val="0"/>
        <w:spacing w:line="360" w:lineRule="auto"/>
        <w:ind w:left="482"/>
        <w:rPr>
          <w:rFonts w:ascii="宋体" w:hAnsi="宋体"/>
          <w:b/>
          <w:color w:val="auto"/>
          <w:sz w:val="24"/>
          <w:highlight w:val="none"/>
        </w:rPr>
      </w:pPr>
      <w:r>
        <w:rPr>
          <w:rFonts w:hint="eastAsia" w:ascii="宋体" w:hAnsi="宋体"/>
          <w:b/>
          <w:color w:val="auto"/>
          <w:sz w:val="24"/>
          <w:highlight w:val="none"/>
        </w:rPr>
        <w:t>1.2商务与技术文件的组成：</w:t>
      </w:r>
    </w:p>
    <w:p>
      <w:pPr>
        <w:pStyle w:val="9"/>
        <w:widowControl/>
        <w:adjustRightInd w:val="0"/>
        <w:snapToGrid w:val="0"/>
        <w:spacing w:line="360" w:lineRule="auto"/>
        <w:ind w:firstLine="480" w:firstLineChars="200"/>
        <w:rPr>
          <w:rFonts w:ascii="宋体" w:hAnsi="宋体"/>
          <w:color w:val="auto"/>
          <w:kern w:val="0"/>
          <w:sz w:val="24"/>
          <w:szCs w:val="24"/>
          <w:highlight w:val="none"/>
        </w:rPr>
      </w:pPr>
      <w:bookmarkStart w:id="90" w:name="OLE_LINK74"/>
      <w:r>
        <w:rPr>
          <w:rFonts w:hint="eastAsia" w:ascii="宋体" w:hAnsi="宋体"/>
          <w:color w:val="auto"/>
          <w:kern w:val="0"/>
          <w:sz w:val="24"/>
          <w:szCs w:val="24"/>
          <w:highlight w:val="none"/>
        </w:rPr>
        <w:t>（1）评分索引表（</w:t>
      </w:r>
      <w:r>
        <w:rPr>
          <w:rFonts w:hint="eastAsia" w:ascii="宋体" w:hAnsi="宋体" w:cs="宋体"/>
          <w:color w:val="auto"/>
          <w:sz w:val="24"/>
          <w:highlight w:val="none"/>
        </w:rPr>
        <w:t>格式见附件</w:t>
      </w:r>
      <w:r>
        <w:rPr>
          <w:rFonts w:hint="eastAsia" w:ascii="宋体" w:hAnsi="宋体"/>
          <w:color w:val="auto"/>
          <w:kern w:val="0"/>
          <w:sz w:val="24"/>
          <w:szCs w:val="24"/>
          <w:highlight w:val="none"/>
        </w:rPr>
        <w:t>）；</w:t>
      </w:r>
    </w:p>
    <w:p>
      <w:pPr>
        <w:tabs>
          <w:tab w:val="left" w:pos="1898"/>
        </w:tabs>
        <w:autoSpaceDE w:val="0"/>
        <w:autoSpaceDN w:val="0"/>
        <w:adjustRightInd w:val="0"/>
        <w:snapToGrid w:val="0"/>
        <w:spacing w:line="360" w:lineRule="auto"/>
        <w:ind w:firstLine="480"/>
        <w:rPr>
          <w:rFonts w:ascii="宋体" w:hAnsi="宋体"/>
          <w:color w:val="auto"/>
          <w:kern w:val="0"/>
          <w:sz w:val="24"/>
          <w:highlight w:val="none"/>
        </w:rPr>
      </w:pPr>
      <w:r>
        <w:rPr>
          <w:rFonts w:hint="eastAsia" w:ascii="宋体" w:hAnsi="宋体" w:cs="宋体"/>
          <w:b/>
          <w:color w:val="auto"/>
          <w:sz w:val="24"/>
          <w:highlight w:val="none"/>
        </w:rPr>
        <w:t>▲</w:t>
      </w:r>
      <w:r>
        <w:rPr>
          <w:rFonts w:hint="eastAsia" w:ascii="宋体" w:hAnsi="宋体"/>
          <w:color w:val="auto"/>
          <w:kern w:val="0"/>
          <w:sz w:val="24"/>
          <w:highlight w:val="none"/>
        </w:rPr>
        <w:t>（2）</w:t>
      </w:r>
      <w:r>
        <w:rPr>
          <w:rFonts w:hint="eastAsia" w:ascii="宋体" w:hAnsi="宋体" w:cs="宋体"/>
          <w:color w:val="auto"/>
          <w:sz w:val="24"/>
          <w:highlight w:val="none"/>
        </w:rPr>
        <w:t>投标函（格式见附件）</w:t>
      </w:r>
    </w:p>
    <w:p>
      <w:pPr>
        <w:tabs>
          <w:tab w:val="left" w:pos="1898"/>
        </w:tabs>
        <w:autoSpaceDE w:val="0"/>
        <w:autoSpaceDN w:val="0"/>
        <w:adjustRightInd w:val="0"/>
        <w:snapToGrid w:val="0"/>
        <w:spacing w:line="360" w:lineRule="auto"/>
        <w:ind w:firstLine="480"/>
        <w:rPr>
          <w:rFonts w:ascii="宋体" w:hAnsi="宋体"/>
          <w:color w:val="auto"/>
          <w:kern w:val="0"/>
          <w:sz w:val="24"/>
          <w:highlight w:val="none"/>
        </w:rPr>
      </w:pPr>
      <w:r>
        <w:rPr>
          <w:rFonts w:hint="eastAsia" w:ascii="宋体" w:hAnsi="宋体"/>
          <w:color w:val="auto"/>
          <w:kern w:val="0"/>
          <w:sz w:val="24"/>
          <w:highlight w:val="none"/>
        </w:rPr>
        <w:t>（3）供应商基本情况表（</w:t>
      </w:r>
      <w:r>
        <w:rPr>
          <w:rFonts w:hint="eastAsia" w:ascii="宋体" w:hAnsi="宋体" w:cs="宋体"/>
          <w:color w:val="auto"/>
          <w:sz w:val="24"/>
          <w:highlight w:val="none"/>
        </w:rPr>
        <w:t>格式见附件</w:t>
      </w:r>
      <w:r>
        <w:rPr>
          <w:rFonts w:hint="eastAsia" w:ascii="宋体" w:hAnsi="宋体"/>
          <w:color w:val="auto"/>
          <w:kern w:val="0"/>
          <w:sz w:val="24"/>
          <w:highlight w:val="none"/>
        </w:rPr>
        <w:t>）；</w:t>
      </w:r>
    </w:p>
    <w:p>
      <w:pPr>
        <w:tabs>
          <w:tab w:val="left" w:pos="1898"/>
        </w:tabs>
        <w:autoSpaceDE w:val="0"/>
        <w:autoSpaceDN w:val="0"/>
        <w:adjustRightInd w:val="0"/>
        <w:snapToGrid w:val="0"/>
        <w:spacing w:line="360" w:lineRule="auto"/>
        <w:ind w:firstLine="480"/>
        <w:rPr>
          <w:rFonts w:hint="eastAsia" w:ascii="宋体" w:hAnsi="宋体"/>
          <w:color w:val="auto"/>
          <w:kern w:val="0"/>
          <w:sz w:val="24"/>
          <w:highlight w:val="none"/>
        </w:rPr>
      </w:pPr>
      <w:r>
        <w:rPr>
          <w:rFonts w:hint="eastAsia" w:ascii="宋体" w:hAnsi="宋体"/>
          <w:color w:val="auto"/>
          <w:kern w:val="0"/>
          <w:sz w:val="24"/>
          <w:highlight w:val="none"/>
        </w:rPr>
        <w:t>（4）</w:t>
      </w:r>
      <w:r>
        <w:rPr>
          <w:rFonts w:hint="eastAsia" w:ascii="宋体" w:hAnsi="宋体"/>
          <w:color w:val="auto"/>
          <w:sz w:val="24"/>
          <w:highlight w:val="none"/>
        </w:rPr>
        <w:t>《证书、证明材料一览表》（</w:t>
      </w:r>
      <w:r>
        <w:rPr>
          <w:rFonts w:ascii="宋体" w:hAnsi="宋体"/>
          <w:color w:val="auto"/>
          <w:sz w:val="24"/>
          <w:highlight w:val="none"/>
        </w:rPr>
        <w:t>格式</w:t>
      </w:r>
      <w:r>
        <w:rPr>
          <w:rFonts w:hint="eastAsia" w:ascii="宋体" w:hAnsi="宋体"/>
          <w:color w:val="auto"/>
          <w:sz w:val="24"/>
          <w:highlight w:val="none"/>
        </w:rPr>
        <w:t>见附件）</w:t>
      </w:r>
      <w:r>
        <w:rPr>
          <w:rFonts w:hint="eastAsia" w:ascii="宋体" w:hAnsi="宋体" w:cs="宋体"/>
          <w:color w:val="auto"/>
          <w:sz w:val="24"/>
          <w:highlight w:val="none"/>
        </w:rPr>
        <w:t>；</w:t>
      </w:r>
    </w:p>
    <w:p>
      <w:pPr>
        <w:tabs>
          <w:tab w:val="left" w:pos="1898"/>
        </w:tabs>
        <w:autoSpaceDE w:val="0"/>
        <w:autoSpaceDN w:val="0"/>
        <w:adjustRightInd w:val="0"/>
        <w:snapToGrid w:val="0"/>
        <w:spacing w:line="360" w:lineRule="auto"/>
        <w:ind w:firstLine="480"/>
        <w:rPr>
          <w:rFonts w:hint="eastAsia" w:ascii="宋体" w:hAnsi="宋体"/>
          <w:color w:val="auto"/>
          <w:kern w:val="0"/>
          <w:sz w:val="24"/>
          <w:highlight w:val="none"/>
        </w:rPr>
      </w:pPr>
      <w:r>
        <w:rPr>
          <w:rFonts w:hint="eastAsia" w:ascii="宋体" w:hAnsi="宋体"/>
          <w:color w:val="auto"/>
          <w:kern w:val="0"/>
          <w:sz w:val="24"/>
          <w:highlight w:val="none"/>
        </w:rPr>
        <w:t>（5）</w:t>
      </w:r>
      <w:r>
        <w:rPr>
          <w:rFonts w:ascii="宋体" w:hAnsi="宋体"/>
          <w:color w:val="auto"/>
          <w:kern w:val="0"/>
          <w:sz w:val="24"/>
          <w:highlight w:val="none"/>
        </w:rPr>
        <w:t>《类似项目实施情况一览表》（</w:t>
      </w:r>
      <w:r>
        <w:rPr>
          <w:rFonts w:ascii="宋体" w:hAnsi="宋体"/>
          <w:color w:val="auto"/>
          <w:sz w:val="24"/>
          <w:highlight w:val="none"/>
        </w:rPr>
        <w:t>格式</w:t>
      </w:r>
      <w:r>
        <w:rPr>
          <w:rFonts w:hint="eastAsia" w:ascii="宋体" w:hAnsi="宋体"/>
          <w:color w:val="auto"/>
          <w:sz w:val="24"/>
          <w:highlight w:val="none"/>
        </w:rPr>
        <w:t>见附件</w:t>
      </w:r>
      <w:r>
        <w:rPr>
          <w:rFonts w:ascii="宋体" w:hAnsi="宋体"/>
          <w:color w:val="auto"/>
          <w:kern w:val="0"/>
          <w:sz w:val="24"/>
          <w:highlight w:val="none"/>
        </w:rPr>
        <w:t>）及相关证明材料；</w:t>
      </w:r>
    </w:p>
    <w:p>
      <w:pPr>
        <w:tabs>
          <w:tab w:val="left" w:pos="1898"/>
        </w:tabs>
        <w:autoSpaceDE w:val="0"/>
        <w:autoSpaceDN w:val="0"/>
        <w:adjustRightInd w:val="0"/>
        <w:snapToGrid w:val="0"/>
        <w:spacing w:line="360" w:lineRule="auto"/>
        <w:ind w:firstLine="480"/>
        <w:rPr>
          <w:rFonts w:ascii="宋体" w:hAnsi="宋体"/>
          <w:color w:val="auto"/>
          <w:kern w:val="0"/>
          <w:sz w:val="24"/>
          <w:highlight w:val="none"/>
        </w:rPr>
      </w:pPr>
      <w:r>
        <w:rPr>
          <w:rFonts w:hint="eastAsia" w:ascii="宋体" w:hAnsi="宋体" w:cs="宋体"/>
          <w:b/>
          <w:color w:val="auto"/>
          <w:sz w:val="24"/>
          <w:highlight w:val="none"/>
        </w:rPr>
        <w:t>▲</w:t>
      </w:r>
      <w:r>
        <w:rPr>
          <w:rFonts w:hint="eastAsia" w:ascii="宋体" w:hAnsi="宋体"/>
          <w:color w:val="auto"/>
          <w:sz w:val="24"/>
          <w:highlight w:val="none"/>
        </w:rPr>
        <w:t>（6）技术规格偏离表及相关证明材料（格式见附件，填制及证明材料按第三章的采购内容和第四章的评分标准相关内容提供）</w:t>
      </w:r>
      <w:r>
        <w:rPr>
          <w:rFonts w:hint="eastAsia" w:ascii="宋体" w:hAnsi="宋体"/>
          <w:color w:val="auto"/>
          <w:kern w:val="0"/>
          <w:sz w:val="24"/>
          <w:highlight w:val="none"/>
        </w:rPr>
        <w:t>；</w:t>
      </w:r>
    </w:p>
    <w:p>
      <w:pPr>
        <w:tabs>
          <w:tab w:val="left" w:pos="1898"/>
        </w:tabs>
        <w:autoSpaceDE w:val="0"/>
        <w:autoSpaceDN w:val="0"/>
        <w:adjustRightInd w:val="0"/>
        <w:snapToGrid w:val="0"/>
        <w:spacing w:line="360" w:lineRule="auto"/>
        <w:ind w:firstLine="480"/>
        <w:rPr>
          <w:rFonts w:ascii="宋体" w:hAnsi="宋体"/>
          <w:color w:val="auto"/>
          <w:kern w:val="0"/>
          <w:sz w:val="24"/>
          <w:highlight w:val="none"/>
        </w:rPr>
      </w:pPr>
      <w:r>
        <w:rPr>
          <w:rFonts w:hint="eastAsia" w:ascii="宋体" w:hAnsi="宋体" w:cs="宋体"/>
          <w:b/>
          <w:color w:val="auto"/>
          <w:sz w:val="24"/>
          <w:highlight w:val="none"/>
        </w:rPr>
        <w:t>▲</w:t>
      </w:r>
      <w:r>
        <w:rPr>
          <w:rFonts w:hint="eastAsia" w:ascii="宋体" w:hAnsi="宋体"/>
          <w:color w:val="auto"/>
          <w:kern w:val="0"/>
          <w:sz w:val="24"/>
          <w:highlight w:val="none"/>
        </w:rPr>
        <w:t>（7）商务需求响应表（</w:t>
      </w:r>
      <w:r>
        <w:rPr>
          <w:rFonts w:hint="eastAsia" w:ascii="宋体" w:hAnsi="宋体" w:cs="宋体"/>
          <w:color w:val="auto"/>
          <w:sz w:val="24"/>
          <w:highlight w:val="none"/>
        </w:rPr>
        <w:t>格式见附件，</w:t>
      </w:r>
      <w:r>
        <w:rPr>
          <w:rFonts w:hint="eastAsia" w:ascii="宋体" w:hAnsi="宋体"/>
          <w:color w:val="auto"/>
          <w:kern w:val="0"/>
          <w:sz w:val="24"/>
          <w:highlight w:val="none"/>
        </w:rPr>
        <w:t>填制时对应第三章）；</w:t>
      </w:r>
    </w:p>
    <w:p>
      <w:pPr>
        <w:tabs>
          <w:tab w:val="left" w:pos="1898"/>
        </w:tabs>
        <w:autoSpaceDE w:val="0"/>
        <w:autoSpaceDN w:val="0"/>
        <w:adjustRightInd w:val="0"/>
        <w:snapToGrid w:val="0"/>
        <w:spacing w:line="360" w:lineRule="auto"/>
        <w:ind w:firstLine="480"/>
        <w:rPr>
          <w:color w:val="auto"/>
          <w:sz w:val="24"/>
          <w:highlight w:val="none"/>
        </w:rPr>
      </w:pPr>
      <w:r>
        <w:rPr>
          <w:rFonts w:hint="eastAsia" w:ascii="宋体" w:hAnsi="宋体"/>
          <w:color w:val="auto"/>
          <w:kern w:val="0"/>
          <w:sz w:val="24"/>
          <w:highlight w:val="none"/>
        </w:rPr>
        <w:t>（8）</w:t>
      </w:r>
      <w:r>
        <w:rPr>
          <w:rFonts w:hint="eastAsia" w:ascii="宋体" w:hAnsi="宋体"/>
          <w:color w:val="auto"/>
          <w:sz w:val="24"/>
          <w:highlight w:val="none"/>
        </w:rPr>
        <w:t>对应评审方法供应商认为需要提供的其他资料或需要说明的其他内容（如有，格式自拟）</w:t>
      </w:r>
      <w:r>
        <w:rPr>
          <w:rFonts w:hint="eastAsia"/>
          <w:color w:val="auto"/>
          <w:sz w:val="24"/>
          <w:highlight w:val="none"/>
        </w:rPr>
        <w:t>。</w:t>
      </w:r>
    </w:p>
    <w:bookmarkEnd w:id="90"/>
    <w:p>
      <w:pPr>
        <w:snapToGrid w:val="0"/>
        <w:spacing w:line="360" w:lineRule="auto"/>
        <w:ind w:left="482"/>
        <w:rPr>
          <w:rFonts w:asciiTheme="minorEastAsia" w:hAnsiTheme="minorEastAsia" w:eastAsiaTheme="minorEastAsia"/>
          <w:b/>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kern w:val="0"/>
          <w:sz w:val="24"/>
          <w:highlight w:val="none"/>
        </w:rPr>
        <w:t>1.3</w:t>
      </w:r>
      <w:r>
        <w:rPr>
          <w:rFonts w:hint="eastAsia" w:ascii="宋体" w:hAnsi="宋体"/>
          <w:b/>
          <w:color w:val="auto"/>
          <w:sz w:val="24"/>
          <w:highlight w:val="none"/>
        </w:rPr>
        <w:t>报价</w:t>
      </w:r>
      <w:r>
        <w:rPr>
          <w:rFonts w:hint="eastAsia" w:asciiTheme="minorEastAsia" w:hAnsiTheme="minorEastAsia" w:eastAsiaTheme="minorEastAsia"/>
          <w:b/>
          <w:color w:val="auto"/>
          <w:kern w:val="0"/>
          <w:sz w:val="24"/>
          <w:highlight w:val="none"/>
        </w:rPr>
        <w:t>内容的组成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bookmarkStart w:id="91" w:name="OLE_LINK71"/>
      <w:r>
        <w:rPr>
          <w:rFonts w:hint="eastAsia" w:asciiTheme="minorEastAsia" w:hAnsiTheme="minorEastAsia" w:eastAsiaTheme="minorEastAsia"/>
          <w:color w:val="auto"/>
          <w:kern w:val="0"/>
          <w:sz w:val="24"/>
          <w:highlight w:val="none"/>
        </w:rPr>
        <w:t>（1）开标一览表（</w:t>
      </w:r>
      <w:r>
        <w:rPr>
          <w:rFonts w:hint="eastAsia" w:ascii="宋体" w:hAnsi="宋体" w:cs="宋体"/>
          <w:color w:val="auto"/>
          <w:sz w:val="24"/>
          <w:highlight w:val="none"/>
        </w:rPr>
        <w:t>格式见附件</w:t>
      </w:r>
      <w:r>
        <w:rPr>
          <w:rFonts w:hint="eastAsia" w:asciiTheme="minorEastAsia" w:hAnsiTheme="minorEastAsia" w:eastAsiaTheme="minorEastAsia"/>
          <w:color w:val="auto"/>
          <w:kern w:val="0"/>
          <w:sz w:val="24"/>
          <w:highlight w:val="none"/>
        </w:rPr>
        <w:t>）；</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（2）报价明细清单（</w:t>
      </w:r>
      <w:r>
        <w:rPr>
          <w:rFonts w:hint="eastAsia" w:ascii="宋体" w:hAnsi="宋体" w:cs="宋体"/>
          <w:color w:val="auto"/>
          <w:sz w:val="24"/>
          <w:highlight w:val="none"/>
        </w:rPr>
        <w:t>格式见附件</w:t>
      </w:r>
      <w:r>
        <w:rPr>
          <w:rFonts w:hint="eastAsia" w:asciiTheme="minorEastAsia" w:hAnsiTheme="minorEastAsia" w:eastAsiaTheme="minorEastAsia"/>
          <w:color w:val="auto"/>
          <w:kern w:val="0"/>
          <w:sz w:val="24"/>
          <w:highlight w:val="none"/>
        </w:rPr>
        <w:t>）；</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（3）针对报价投标供应商认为其他需要说明的内容（如有）。</w:t>
      </w:r>
    </w:p>
    <w:bookmarkEnd w:id="91"/>
    <w:p>
      <w:pPr>
        <w:snapToGrid w:val="0"/>
        <w:spacing w:line="360" w:lineRule="auto"/>
        <w:ind w:left="482"/>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2.样品（如有）</w:t>
      </w:r>
    </w:p>
    <w:p>
      <w:pPr>
        <w:snapToGrid w:val="0"/>
        <w:spacing w:line="360" w:lineRule="auto"/>
        <w:ind w:firstLine="482" w:firstLineChars="200"/>
        <w:rPr>
          <w:rFonts w:asciiTheme="minorEastAsia" w:hAnsiTheme="minorEastAsia" w:eastAsiaTheme="minorEastAsia"/>
          <w:b/>
          <w:color w:val="auto"/>
          <w:kern w:val="0"/>
          <w:sz w:val="24"/>
          <w:szCs w:val="20"/>
          <w:highlight w:val="none"/>
        </w:rPr>
      </w:pPr>
      <w:r>
        <w:rPr>
          <w:rFonts w:hint="eastAsia" w:asciiTheme="minorEastAsia" w:hAnsiTheme="minorEastAsia" w:eastAsiaTheme="minorEastAsia"/>
          <w:b/>
          <w:color w:val="auto"/>
          <w:kern w:val="0"/>
          <w:sz w:val="24"/>
          <w:szCs w:val="20"/>
          <w:highlight w:val="none"/>
        </w:rPr>
        <w:t xml:space="preserve">（1）本次招标投标样品为： </w:t>
      </w:r>
    </w:p>
    <w:tbl>
      <w:tblPr>
        <w:tblStyle w:val="26"/>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192"/>
        <w:gridCol w:w="1248"/>
        <w:gridCol w:w="869"/>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833" w:type="dxa"/>
            <w:vAlign w:val="center"/>
          </w:tcPr>
          <w:p>
            <w:pPr>
              <w:snapToGrid w:val="0"/>
              <w:jc w:val="center"/>
              <w:rPr>
                <w:rFonts w:asciiTheme="minorEastAsia" w:hAnsiTheme="minorEastAsia" w:eastAsiaTheme="minorEastAsia"/>
                <w:b/>
                <w:color w:val="auto"/>
                <w:kern w:val="0"/>
                <w:sz w:val="24"/>
                <w:szCs w:val="20"/>
                <w:highlight w:val="none"/>
              </w:rPr>
            </w:pPr>
            <w:r>
              <w:rPr>
                <w:rFonts w:hint="eastAsia" w:asciiTheme="minorEastAsia" w:hAnsiTheme="minorEastAsia" w:eastAsiaTheme="minorEastAsia"/>
                <w:b/>
                <w:color w:val="auto"/>
                <w:kern w:val="0"/>
                <w:sz w:val="24"/>
                <w:szCs w:val="20"/>
                <w:highlight w:val="none"/>
              </w:rPr>
              <w:t>序号</w:t>
            </w:r>
          </w:p>
        </w:tc>
        <w:tc>
          <w:tcPr>
            <w:tcW w:w="1192" w:type="dxa"/>
            <w:vAlign w:val="center"/>
          </w:tcPr>
          <w:p>
            <w:pPr>
              <w:snapToGrid w:val="0"/>
              <w:jc w:val="center"/>
              <w:rPr>
                <w:rFonts w:asciiTheme="minorEastAsia" w:hAnsiTheme="minorEastAsia" w:eastAsiaTheme="minorEastAsia"/>
                <w:b/>
                <w:color w:val="auto"/>
                <w:kern w:val="0"/>
                <w:sz w:val="24"/>
                <w:szCs w:val="20"/>
                <w:highlight w:val="none"/>
              </w:rPr>
            </w:pPr>
            <w:r>
              <w:rPr>
                <w:rFonts w:hint="eastAsia" w:asciiTheme="minorEastAsia" w:hAnsiTheme="minorEastAsia" w:eastAsiaTheme="minorEastAsia"/>
                <w:b/>
                <w:color w:val="auto"/>
                <w:kern w:val="0"/>
                <w:sz w:val="24"/>
                <w:szCs w:val="20"/>
                <w:highlight w:val="none"/>
              </w:rPr>
              <w:t>名称</w:t>
            </w:r>
          </w:p>
        </w:tc>
        <w:tc>
          <w:tcPr>
            <w:tcW w:w="1248" w:type="dxa"/>
            <w:vAlign w:val="center"/>
          </w:tcPr>
          <w:p>
            <w:pPr>
              <w:snapToGrid w:val="0"/>
              <w:jc w:val="center"/>
              <w:rPr>
                <w:rFonts w:asciiTheme="minorEastAsia" w:hAnsiTheme="minorEastAsia" w:eastAsiaTheme="minorEastAsia"/>
                <w:b/>
                <w:color w:val="auto"/>
                <w:kern w:val="0"/>
                <w:sz w:val="24"/>
                <w:szCs w:val="20"/>
                <w:highlight w:val="none"/>
              </w:rPr>
            </w:pPr>
            <w:r>
              <w:rPr>
                <w:rFonts w:hint="eastAsia" w:asciiTheme="minorEastAsia" w:hAnsiTheme="minorEastAsia" w:eastAsiaTheme="minorEastAsia"/>
                <w:b/>
                <w:color w:val="auto"/>
                <w:kern w:val="0"/>
                <w:sz w:val="24"/>
                <w:szCs w:val="20"/>
                <w:highlight w:val="none"/>
              </w:rPr>
              <w:t>单位</w:t>
            </w:r>
          </w:p>
        </w:tc>
        <w:tc>
          <w:tcPr>
            <w:tcW w:w="869" w:type="dxa"/>
            <w:vAlign w:val="center"/>
          </w:tcPr>
          <w:p>
            <w:pPr>
              <w:snapToGrid w:val="0"/>
              <w:jc w:val="center"/>
              <w:rPr>
                <w:rFonts w:asciiTheme="minorEastAsia" w:hAnsiTheme="minorEastAsia" w:eastAsiaTheme="minorEastAsia"/>
                <w:b/>
                <w:color w:val="auto"/>
                <w:kern w:val="0"/>
                <w:sz w:val="24"/>
                <w:szCs w:val="20"/>
                <w:highlight w:val="none"/>
              </w:rPr>
            </w:pPr>
            <w:r>
              <w:rPr>
                <w:rFonts w:hint="eastAsia" w:asciiTheme="minorEastAsia" w:hAnsiTheme="minorEastAsia" w:eastAsiaTheme="minorEastAsia"/>
                <w:b/>
                <w:color w:val="auto"/>
                <w:kern w:val="0"/>
                <w:sz w:val="24"/>
                <w:szCs w:val="20"/>
                <w:highlight w:val="none"/>
              </w:rPr>
              <w:t>数量</w:t>
            </w:r>
          </w:p>
        </w:tc>
        <w:tc>
          <w:tcPr>
            <w:tcW w:w="4852" w:type="dxa"/>
            <w:vAlign w:val="center"/>
          </w:tcPr>
          <w:p>
            <w:pPr>
              <w:snapToGrid w:val="0"/>
              <w:jc w:val="center"/>
              <w:rPr>
                <w:rFonts w:asciiTheme="minorEastAsia" w:hAnsiTheme="minorEastAsia" w:eastAsiaTheme="minorEastAsia"/>
                <w:b/>
                <w:color w:val="auto"/>
                <w:kern w:val="0"/>
                <w:sz w:val="24"/>
                <w:szCs w:val="20"/>
                <w:highlight w:val="none"/>
              </w:rPr>
            </w:pPr>
            <w:r>
              <w:rPr>
                <w:rFonts w:hint="eastAsia" w:asciiTheme="minorEastAsia" w:hAnsiTheme="minorEastAsia" w:eastAsiaTheme="minorEastAsia"/>
                <w:b/>
                <w:color w:val="auto"/>
                <w:kern w:val="0"/>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833" w:type="dxa"/>
            <w:vAlign w:val="center"/>
          </w:tcPr>
          <w:p>
            <w:pPr>
              <w:snapToGrid w:val="0"/>
              <w:jc w:val="center"/>
              <w:rPr>
                <w:rFonts w:asciiTheme="minorEastAsia" w:hAnsiTheme="minorEastAsia" w:eastAsiaTheme="minorEastAsia"/>
                <w:b/>
                <w:color w:val="auto"/>
                <w:kern w:val="0"/>
                <w:sz w:val="24"/>
                <w:szCs w:val="20"/>
                <w:highlight w:val="none"/>
              </w:rPr>
            </w:pPr>
            <w:r>
              <w:rPr>
                <w:rFonts w:hint="eastAsia" w:asciiTheme="minorEastAsia" w:hAnsiTheme="minorEastAsia" w:eastAsiaTheme="minorEastAsia"/>
                <w:b/>
                <w:color w:val="auto"/>
                <w:kern w:val="0"/>
                <w:sz w:val="24"/>
                <w:szCs w:val="20"/>
                <w:highlight w:val="none"/>
              </w:rPr>
              <w:t>1</w:t>
            </w:r>
          </w:p>
        </w:tc>
        <w:tc>
          <w:tcPr>
            <w:tcW w:w="1192" w:type="dxa"/>
            <w:vAlign w:val="center"/>
          </w:tcPr>
          <w:p>
            <w:pPr>
              <w:snapToGrid w:val="0"/>
              <w:jc w:val="center"/>
              <w:rPr>
                <w:rFonts w:asciiTheme="minorEastAsia" w:hAnsiTheme="minorEastAsia" w:eastAsiaTheme="minorEastAsia"/>
                <w:b/>
                <w:color w:val="auto"/>
                <w:kern w:val="0"/>
                <w:sz w:val="24"/>
                <w:szCs w:val="20"/>
                <w:highlight w:val="none"/>
              </w:rPr>
            </w:pPr>
            <w:r>
              <w:rPr>
                <w:rFonts w:hint="eastAsia" w:asciiTheme="minorEastAsia" w:hAnsiTheme="minorEastAsia" w:eastAsiaTheme="minorEastAsia"/>
                <w:b/>
                <w:color w:val="auto"/>
                <w:kern w:val="0"/>
                <w:sz w:val="24"/>
                <w:szCs w:val="20"/>
                <w:highlight w:val="none"/>
              </w:rPr>
              <w:t>活动看台</w:t>
            </w:r>
          </w:p>
        </w:tc>
        <w:tc>
          <w:tcPr>
            <w:tcW w:w="1248" w:type="dxa"/>
            <w:vAlign w:val="center"/>
          </w:tcPr>
          <w:p>
            <w:pPr>
              <w:snapToGrid w:val="0"/>
              <w:jc w:val="center"/>
              <w:rPr>
                <w:rFonts w:asciiTheme="minorEastAsia" w:hAnsiTheme="minorEastAsia" w:eastAsiaTheme="minorEastAsia"/>
                <w:b/>
                <w:color w:val="auto"/>
                <w:kern w:val="0"/>
                <w:sz w:val="24"/>
                <w:szCs w:val="20"/>
                <w:highlight w:val="none"/>
              </w:rPr>
            </w:pPr>
            <w:r>
              <w:rPr>
                <w:rFonts w:hint="eastAsia" w:asciiTheme="minorEastAsia" w:hAnsiTheme="minorEastAsia" w:eastAsiaTheme="minorEastAsia"/>
                <w:b/>
                <w:color w:val="auto"/>
                <w:kern w:val="0"/>
                <w:sz w:val="24"/>
                <w:szCs w:val="20"/>
                <w:highlight w:val="none"/>
              </w:rPr>
              <w:t>块</w:t>
            </w:r>
          </w:p>
        </w:tc>
        <w:tc>
          <w:tcPr>
            <w:tcW w:w="869" w:type="dxa"/>
            <w:vAlign w:val="center"/>
          </w:tcPr>
          <w:p>
            <w:pPr>
              <w:snapToGrid w:val="0"/>
              <w:jc w:val="center"/>
              <w:rPr>
                <w:rFonts w:asciiTheme="minorEastAsia" w:hAnsiTheme="minorEastAsia" w:eastAsiaTheme="minorEastAsia"/>
                <w:b/>
                <w:color w:val="auto"/>
                <w:kern w:val="0"/>
                <w:sz w:val="24"/>
                <w:szCs w:val="20"/>
                <w:highlight w:val="none"/>
              </w:rPr>
            </w:pPr>
            <w:r>
              <w:rPr>
                <w:rFonts w:hint="eastAsia" w:asciiTheme="minorEastAsia" w:hAnsiTheme="minorEastAsia" w:eastAsiaTheme="minorEastAsia"/>
                <w:b/>
                <w:color w:val="auto"/>
                <w:kern w:val="0"/>
                <w:sz w:val="24"/>
                <w:szCs w:val="20"/>
                <w:highlight w:val="none"/>
              </w:rPr>
              <w:t>1</w:t>
            </w:r>
          </w:p>
        </w:tc>
        <w:tc>
          <w:tcPr>
            <w:tcW w:w="4852" w:type="dxa"/>
            <w:vAlign w:val="center"/>
          </w:tcPr>
          <w:p>
            <w:pPr>
              <w:snapToGrid w:val="0"/>
              <w:rPr>
                <w:rFonts w:ascii="宋体" w:hAnsi="宋体" w:cs="宋体"/>
                <w:b/>
                <w:color w:val="auto"/>
                <w:sz w:val="24"/>
                <w:highlight w:val="none"/>
              </w:rPr>
            </w:pPr>
            <w:r>
              <w:rPr>
                <w:rFonts w:hint="eastAsia" w:ascii="宋体" w:hAnsi="宋体" w:cs="宋体"/>
                <w:b/>
                <w:color w:val="auto"/>
                <w:sz w:val="24"/>
                <w:highlight w:val="none"/>
              </w:rPr>
              <w:t>1.提供组装好活动座椅单层结构样品1套（包含2位座椅、看台前横梁、后横梁、踏板及木板镶嵌铝合金工字条，并配置踏步）</w:t>
            </w:r>
          </w:p>
          <w:p>
            <w:pPr>
              <w:snapToGrid w:val="0"/>
              <w:rPr>
                <w:rFonts w:asciiTheme="minorEastAsia" w:hAnsiTheme="minorEastAsia" w:eastAsiaTheme="minorEastAsia"/>
                <w:b/>
                <w:color w:val="auto"/>
                <w:kern w:val="0"/>
                <w:sz w:val="24"/>
                <w:szCs w:val="20"/>
                <w:highlight w:val="none"/>
              </w:rPr>
            </w:pPr>
            <w:r>
              <w:rPr>
                <w:rFonts w:hint="eastAsia" w:ascii="宋体" w:hAnsi="宋体" w:cs="宋体"/>
                <w:b/>
                <w:color w:val="auto"/>
                <w:sz w:val="24"/>
                <w:highlight w:val="none"/>
              </w:rPr>
              <w:t>2.下部行走机构一套。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833" w:type="dxa"/>
            <w:vAlign w:val="center"/>
          </w:tcPr>
          <w:p>
            <w:pPr>
              <w:snapToGrid w:val="0"/>
              <w:jc w:val="center"/>
              <w:rPr>
                <w:rFonts w:asciiTheme="minorEastAsia" w:hAnsiTheme="minorEastAsia" w:eastAsiaTheme="minorEastAsia"/>
                <w:b/>
                <w:color w:val="auto"/>
                <w:kern w:val="0"/>
                <w:sz w:val="24"/>
                <w:szCs w:val="20"/>
                <w:highlight w:val="none"/>
              </w:rPr>
            </w:pPr>
            <w:r>
              <w:rPr>
                <w:rFonts w:hint="eastAsia" w:asciiTheme="minorEastAsia" w:hAnsiTheme="minorEastAsia" w:eastAsiaTheme="minorEastAsia"/>
                <w:b/>
                <w:color w:val="auto"/>
                <w:kern w:val="0"/>
                <w:sz w:val="24"/>
                <w:szCs w:val="20"/>
                <w:highlight w:val="none"/>
              </w:rPr>
              <w:t>2</w:t>
            </w:r>
          </w:p>
        </w:tc>
        <w:tc>
          <w:tcPr>
            <w:tcW w:w="1192" w:type="dxa"/>
            <w:vAlign w:val="center"/>
          </w:tcPr>
          <w:p>
            <w:pPr>
              <w:snapToGrid w:val="0"/>
              <w:jc w:val="center"/>
              <w:rPr>
                <w:rFonts w:hint="eastAsia" w:cs="Times New Roman" w:asciiTheme="minorEastAsia" w:hAnsiTheme="minorEastAsia" w:eastAsiaTheme="minorEastAsia"/>
                <w:b/>
                <w:color w:val="auto"/>
                <w:kern w:val="0"/>
                <w:sz w:val="24"/>
                <w:szCs w:val="20"/>
                <w:highlight w:val="none"/>
              </w:rPr>
            </w:pPr>
            <w:r>
              <w:rPr>
                <w:rFonts w:asciiTheme="minorEastAsia" w:hAnsiTheme="minorEastAsia" w:eastAsiaTheme="minorEastAsia"/>
                <w:b/>
                <w:color w:val="auto"/>
                <w:kern w:val="0"/>
                <w:sz w:val="24"/>
                <w:szCs w:val="20"/>
                <w:highlight w:val="none"/>
              </w:rPr>
              <w:t>礼堂椅站脚</w:t>
            </w:r>
          </w:p>
        </w:tc>
        <w:tc>
          <w:tcPr>
            <w:tcW w:w="1248" w:type="dxa"/>
            <w:vAlign w:val="center"/>
          </w:tcPr>
          <w:p>
            <w:pPr>
              <w:snapToGrid w:val="0"/>
              <w:jc w:val="center"/>
              <w:rPr>
                <w:rFonts w:hint="eastAsia" w:cs="Times New Roman" w:asciiTheme="minorEastAsia" w:hAnsiTheme="minorEastAsia" w:eastAsiaTheme="minorEastAsia"/>
                <w:b/>
                <w:color w:val="auto"/>
                <w:kern w:val="0"/>
                <w:sz w:val="24"/>
                <w:szCs w:val="20"/>
                <w:highlight w:val="none"/>
                <w:lang w:eastAsia="zh-CN"/>
              </w:rPr>
            </w:pPr>
            <w:r>
              <w:rPr>
                <w:rFonts w:asciiTheme="minorEastAsia" w:hAnsiTheme="minorEastAsia" w:eastAsiaTheme="minorEastAsia"/>
                <w:b/>
                <w:color w:val="auto"/>
                <w:kern w:val="0"/>
                <w:sz w:val="24"/>
                <w:szCs w:val="20"/>
                <w:highlight w:val="none"/>
              </w:rPr>
              <w:t>套</w:t>
            </w:r>
          </w:p>
        </w:tc>
        <w:tc>
          <w:tcPr>
            <w:tcW w:w="869" w:type="dxa"/>
            <w:vAlign w:val="center"/>
          </w:tcPr>
          <w:p>
            <w:pPr>
              <w:snapToGrid w:val="0"/>
              <w:jc w:val="center"/>
              <w:rPr>
                <w:rFonts w:hint="eastAsia" w:cs="Times New Roman" w:asciiTheme="minorEastAsia" w:hAnsiTheme="minorEastAsia" w:eastAsiaTheme="minorEastAsia"/>
                <w:b/>
                <w:color w:val="auto"/>
                <w:kern w:val="0"/>
                <w:sz w:val="24"/>
                <w:szCs w:val="20"/>
                <w:highlight w:val="none"/>
              </w:rPr>
            </w:pPr>
            <w:r>
              <w:rPr>
                <w:rFonts w:hint="eastAsia" w:asciiTheme="minorEastAsia" w:hAnsiTheme="minorEastAsia" w:eastAsiaTheme="minorEastAsia"/>
                <w:b/>
                <w:color w:val="auto"/>
                <w:kern w:val="0"/>
                <w:sz w:val="24"/>
                <w:szCs w:val="20"/>
                <w:highlight w:val="none"/>
              </w:rPr>
              <w:t>1</w:t>
            </w:r>
          </w:p>
        </w:tc>
        <w:tc>
          <w:tcPr>
            <w:tcW w:w="4852" w:type="dxa"/>
            <w:vAlign w:val="center"/>
          </w:tcPr>
          <w:p>
            <w:pPr>
              <w:snapToGrid w:val="0"/>
              <w:jc w:val="left"/>
              <w:rPr>
                <w:rFonts w:hint="eastAsia" w:cs="Times New Roman" w:asciiTheme="minorEastAsia" w:hAnsiTheme="minorEastAsia" w:eastAsiaTheme="minorEastAsia"/>
                <w:b/>
                <w:color w:val="auto"/>
                <w:kern w:val="0"/>
                <w:sz w:val="24"/>
                <w:szCs w:val="20"/>
                <w:highlight w:val="none"/>
              </w:rPr>
            </w:pPr>
            <w:r>
              <w:rPr>
                <w:rFonts w:asciiTheme="minorEastAsia" w:hAnsiTheme="minorEastAsia" w:eastAsiaTheme="minorEastAsia"/>
                <w:b/>
                <w:color w:val="auto"/>
                <w:kern w:val="0"/>
                <w:sz w:val="24"/>
                <w:szCs w:val="20"/>
                <w:highlight w:val="none"/>
              </w:rPr>
              <w:t>根据采购清单礼堂椅“</w:t>
            </w:r>
            <w:r>
              <w:rPr>
                <w:rFonts w:hint="eastAsia" w:asciiTheme="minorEastAsia" w:hAnsiTheme="minorEastAsia" w:eastAsiaTheme="minorEastAsia"/>
                <w:b/>
                <w:color w:val="auto"/>
                <w:kern w:val="0"/>
                <w:sz w:val="24"/>
                <w:szCs w:val="20"/>
                <w:highlight w:val="none"/>
              </w:rPr>
              <w:t>9.站脚”要求提供。</w:t>
            </w:r>
          </w:p>
        </w:tc>
      </w:tr>
    </w:tbl>
    <w:p>
      <w:pPr>
        <w:snapToGrid w:val="0"/>
        <w:spacing w:line="360" w:lineRule="auto"/>
        <w:ind w:firstLine="482" w:firstLineChars="200"/>
        <w:rPr>
          <w:rFonts w:asciiTheme="minorEastAsia" w:hAnsiTheme="minorEastAsia" w:eastAsiaTheme="minorEastAsia"/>
          <w:b/>
          <w:color w:val="auto"/>
          <w:kern w:val="0"/>
          <w:sz w:val="24"/>
          <w:szCs w:val="20"/>
          <w:highlight w:val="none"/>
        </w:rPr>
      </w:pPr>
      <w:r>
        <w:rPr>
          <w:rFonts w:hint="eastAsia" w:asciiTheme="minorEastAsia" w:hAnsiTheme="minorEastAsia" w:eastAsiaTheme="minorEastAsia"/>
          <w:b/>
          <w:color w:val="auto"/>
          <w:kern w:val="0"/>
          <w:sz w:val="24"/>
          <w:szCs w:val="20"/>
          <w:highlight w:val="none"/>
        </w:rPr>
        <w:t>（2）投标样品的递交要求：</w:t>
      </w:r>
    </w:p>
    <w:p>
      <w:pPr>
        <w:snapToGrid w:val="0"/>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供应商响应时提供样品无需密封。样品需按招标公告规定的时间递交并按采购人或采购代理机构指定的地点按要求摆放，</w:t>
      </w:r>
      <w:r>
        <w:rPr>
          <w:rFonts w:hint="eastAsia" w:ascii="宋体" w:hAnsi="宋体" w:cs="宋体"/>
          <w:color w:val="auto"/>
          <w:sz w:val="24"/>
          <w:highlight w:val="none"/>
        </w:rPr>
        <w:t>超过递交时间</w:t>
      </w:r>
      <w:r>
        <w:rPr>
          <w:rFonts w:hint="eastAsia" w:ascii="宋体" w:hAnsi="宋体"/>
          <w:color w:val="auto"/>
          <w:sz w:val="24"/>
          <w:highlight w:val="none"/>
        </w:rPr>
        <w:t>的样品将被拒绝，样品贴上盖有供应商公章的标签。如供应商携带样品无明显标记或标记脱落的，评标委员会对由此产生的漏评、误评、错评不负责任。</w:t>
      </w:r>
    </w:p>
    <w:p>
      <w:pPr>
        <w:snapToGrid w:val="0"/>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（3）不携带样品或样品携带不全的，本项评审项不得分。中标供应商的样品实物留采购人处封存，作为验收依据之一。其他供应商的样品将在评标结束后退回。</w:t>
      </w:r>
    </w:p>
    <w:p>
      <w:pPr>
        <w:snapToGrid w:val="0"/>
        <w:spacing w:line="360" w:lineRule="auto"/>
        <w:ind w:firstLine="480"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color w:val="auto"/>
          <w:kern w:val="0"/>
          <w:sz w:val="24"/>
          <w:szCs w:val="20"/>
          <w:highlight w:val="none"/>
        </w:rPr>
        <w:t>（4）若中标供应商最终供货产品材质与样品材质不符（经采购人确认同意调整的除外），采购人有权委托第三方作出检测报告，据此拒收货物并要求重新供货或中止合同。采购人有权没收中标供应商全部履约保证金，同时中标供应商负责赔偿采购人实际造成的全部损失。</w:t>
      </w:r>
    </w:p>
    <w:p>
      <w:pPr>
        <w:pStyle w:val="9"/>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（二）投标报价</w:t>
      </w:r>
    </w:p>
    <w:p>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供应商应按照招标需求内容、责任范围以及合同条款进行报价。并按“开标一览表”和“报价明细表”规定的格式报出总价和分项价格。投标总价中不得包含招标文件要求以外的内容，否则，在评标时不予核减。</w:t>
      </w:r>
    </w:p>
    <w:p>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2.投标报价是</w:t>
      </w:r>
      <w:r>
        <w:rPr>
          <w:rFonts w:hint="eastAsia" w:hAnsi="宋体" w:cs="宋体"/>
          <w:color w:val="auto"/>
          <w:kern w:val="0"/>
          <w:sz w:val="24"/>
          <w:szCs w:val="21"/>
          <w:highlight w:val="none"/>
        </w:rPr>
        <w:t>招标文件所确定的招标范围内全部工作内容的价格表现</w:t>
      </w:r>
      <w:r>
        <w:rPr>
          <w:rFonts w:hint="eastAsia" w:hAnsi="宋体"/>
          <w:color w:val="auto"/>
          <w:sz w:val="24"/>
          <w:highlight w:val="none"/>
        </w:rPr>
        <w:t>。</w:t>
      </w:r>
    </w:p>
    <w:p>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3.投标报价不得为选择性报价和附有条件的报价。</w:t>
      </w:r>
    </w:p>
    <w:p>
      <w:pPr>
        <w:pStyle w:val="9"/>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pPr>
        <w:pStyle w:val="9"/>
        <w:spacing w:line="360" w:lineRule="auto"/>
        <w:ind w:firstLine="480" w:firstLineChars="200"/>
        <w:rPr>
          <w:rFonts w:ascii="宋体" w:hAnsi="宋体"/>
          <w:color w:val="auto"/>
          <w:sz w:val="24"/>
          <w:highlight w:val="none"/>
          <w:lang w:val="en-GB"/>
        </w:rPr>
      </w:pPr>
      <w:r>
        <w:rPr>
          <w:rFonts w:hint="eastAsia" w:ascii="宋体" w:hAnsi="宋体"/>
          <w:color w:val="auto"/>
          <w:sz w:val="24"/>
          <w:highlight w:val="none"/>
        </w:rPr>
        <w:t>1.投标文件有效期为</w:t>
      </w:r>
      <w:r>
        <w:rPr>
          <w:rFonts w:hint="eastAsia" w:ascii="宋体" w:hAnsi="宋体"/>
          <w:color w:val="auto"/>
          <w:sz w:val="24"/>
          <w:highlight w:val="none"/>
          <w:lang w:val="en-GB"/>
        </w:rPr>
        <w:t>投标截止日起90天。</w:t>
      </w:r>
    </w:p>
    <w:p>
      <w:pPr>
        <w:pStyle w:val="9"/>
        <w:spacing w:line="360" w:lineRule="auto"/>
        <w:ind w:firstLine="480" w:firstLineChars="200"/>
        <w:rPr>
          <w:rFonts w:ascii="宋体" w:hAnsi="宋体"/>
          <w:color w:val="auto"/>
          <w:sz w:val="24"/>
          <w:highlight w:val="none"/>
          <w:lang w:val="en-GB"/>
        </w:rPr>
      </w:pPr>
      <w:r>
        <w:rPr>
          <w:rFonts w:hint="eastAsia" w:ascii="宋体" w:hAnsi="宋体"/>
          <w:color w:val="auto"/>
          <w:sz w:val="24"/>
          <w:highlight w:val="none"/>
        </w:rPr>
        <w:t>2.</w:t>
      </w:r>
      <w:r>
        <w:rPr>
          <w:rFonts w:hint="eastAsia" w:ascii="宋体" w:hAnsi="宋体"/>
          <w:color w:val="auto"/>
          <w:sz w:val="24"/>
          <w:highlight w:val="none"/>
          <w:lang w:val="en-GB"/>
        </w:rPr>
        <w:t>在特殊情况下，采购人可与投标供应商协商延长投标文件的有效期，这种要求和答复均以书面形式进行。</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宋体" w:hAnsi="宋体"/>
          <w:color w:val="auto"/>
          <w:sz w:val="24"/>
          <w:highlight w:val="none"/>
        </w:rPr>
        <w:t xml:space="preserve">3. </w:t>
      </w:r>
      <w:r>
        <w:rPr>
          <w:rFonts w:asciiTheme="minorEastAsia" w:hAnsiTheme="minorEastAsia" w:eastAsiaTheme="minorEastAsia"/>
          <w:color w:val="auto"/>
          <w:sz w:val="24"/>
          <w:highlight w:val="none"/>
        </w:rPr>
        <w:t>中标供应商的</w:t>
      </w:r>
      <w:r>
        <w:rPr>
          <w:rFonts w:hint="eastAsia" w:asciiTheme="minorEastAsia" w:hAnsiTheme="minorEastAsia" w:eastAsiaTheme="minorEastAsia"/>
          <w:color w:val="auto"/>
          <w:sz w:val="24"/>
          <w:highlight w:val="none"/>
        </w:rPr>
        <w:t>电子投标文件</w:t>
      </w:r>
      <w:r>
        <w:rPr>
          <w:rFonts w:asciiTheme="minorEastAsia" w:hAnsiTheme="minorEastAsia" w:eastAsiaTheme="minorEastAsia"/>
          <w:color w:val="auto"/>
          <w:sz w:val="24"/>
          <w:highlight w:val="none"/>
        </w:rPr>
        <w:t>自开标之日起至合同履行完毕均应保持有效。</w:t>
      </w:r>
    </w:p>
    <w:p>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1.投标文件需由法定代表人或经其正式授权的代表签字或盖章。授权代表须出具书面授权证明，其《法定代表人授权书》应附在投标文件中。</w:t>
      </w:r>
    </w:p>
    <w:p>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pPr>
        <w:pStyle w:val="9"/>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如采购组织机构延长截止时间和开标时间，采购组织机构和投标供应商的权利和义务将受到新的截止时间和开标时间的约束。</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五、开标</w:t>
      </w:r>
    </w:p>
    <w:p>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asciiTheme="minorEastAsia" w:hAnsiTheme="minorEastAsia"/>
          <w:b/>
          <w:bCs/>
          <w:color w:val="auto"/>
          <w:sz w:val="24"/>
          <w:highlight w:val="none"/>
        </w:rPr>
        <w:t>（一）开</w:t>
      </w:r>
      <w:r>
        <w:rPr>
          <w:rFonts w:hint="eastAsia" w:asciiTheme="minorEastAsia" w:hAnsiTheme="minorEastAsia"/>
          <w:b/>
          <w:bCs/>
          <w:color w:val="auto"/>
          <w:sz w:val="24"/>
          <w:highlight w:val="none"/>
        </w:rPr>
        <w:t>标</w:t>
      </w:r>
      <w:r>
        <w:rPr>
          <w:rFonts w:asciiTheme="minorEastAsia" w:hAnsiTheme="minorEastAsia"/>
          <w:b/>
          <w:bCs/>
          <w:color w:val="auto"/>
          <w:sz w:val="24"/>
          <w:highlight w:val="none"/>
        </w:rPr>
        <w:t>程序</w:t>
      </w:r>
    </w:p>
    <w:p>
      <w:pPr>
        <w:pStyle w:val="9"/>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1.开标时间到后，主持人准时组织开标；</w:t>
      </w:r>
    </w:p>
    <w:p>
      <w:pPr>
        <w:pStyle w:val="9"/>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2.宣布开标纪律；</w:t>
      </w:r>
    </w:p>
    <w:p>
      <w:pPr>
        <w:pStyle w:val="9"/>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3.宣布采购组织机构工作人员；</w:t>
      </w:r>
    </w:p>
    <w:p>
      <w:pPr>
        <w:pStyle w:val="9"/>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4.投标供应商登录政采云平台，用“项目采购-开标评标”功能对电子投标文件进行在线解密，在线解密时间为开标时间起半个小时内；</w:t>
      </w:r>
    </w:p>
    <w:p>
      <w:pPr>
        <w:pStyle w:val="9"/>
        <w:spacing w:line="360" w:lineRule="auto"/>
        <w:ind w:firstLine="480" w:firstLineChars="200"/>
        <w:rPr>
          <w:color w:val="auto"/>
          <w:sz w:val="24"/>
          <w:szCs w:val="22"/>
          <w:highlight w:val="none"/>
        </w:rPr>
      </w:pPr>
      <w:r>
        <w:rPr>
          <w:rFonts w:hint="eastAsia" w:cs="宋体"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采购组织机构</w:t>
      </w:r>
      <w:r>
        <w:rPr>
          <w:rFonts w:hint="eastAsia"/>
          <w:color w:val="auto"/>
          <w:sz w:val="24"/>
          <w:szCs w:val="22"/>
          <w:highlight w:val="none"/>
        </w:rPr>
        <w:t>工作人员当众宣布投标供应商名称、投标价格和招标文件规定的需要宣布的其他内容；（以开标一览表要求为准）</w:t>
      </w:r>
    </w:p>
    <w:p>
      <w:pPr>
        <w:pStyle w:val="9"/>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6.公布开标结果。</w:t>
      </w:r>
    </w:p>
    <w:p>
      <w:pPr>
        <w:pStyle w:val="9"/>
        <w:spacing w:line="360" w:lineRule="auto"/>
        <w:ind w:firstLine="482" w:firstLineChars="200"/>
        <w:rPr>
          <w:b/>
          <w:bCs/>
          <w:color w:val="auto"/>
          <w:sz w:val="24"/>
          <w:szCs w:val="22"/>
          <w:highlight w:val="none"/>
        </w:rPr>
      </w:pPr>
      <w:r>
        <w:rPr>
          <w:rFonts w:hint="eastAsia"/>
          <w:b/>
          <w:bCs/>
          <w:color w:val="auto"/>
          <w:sz w:val="24"/>
          <w:szCs w:val="22"/>
          <w:highlight w:val="none"/>
        </w:rPr>
        <w:t>（二）开标异议</w:t>
      </w:r>
    </w:p>
    <w:p>
      <w:pPr>
        <w:pStyle w:val="9"/>
        <w:spacing w:line="360" w:lineRule="auto"/>
        <w:ind w:firstLine="480" w:firstLineChars="200"/>
        <w:rPr>
          <w:color w:val="auto"/>
          <w:sz w:val="24"/>
          <w:szCs w:val="22"/>
          <w:highlight w:val="none"/>
        </w:rPr>
      </w:pPr>
      <w:r>
        <w:rPr>
          <w:rFonts w:hint="eastAsia"/>
          <w:color w:val="auto"/>
          <w:sz w:val="24"/>
          <w:szCs w:val="22"/>
          <w:highlight w:val="none"/>
        </w:rPr>
        <w:t>投标供应商代表对开标过程和开标记录有疑义，以及认为采购人、采购组织机构相关工作人员有需要回避的情形的，</w:t>
      </w:r>
      <w:r>
        <w:rPr>
          <w:rFonts w:hint="eastAsia"/>
          <w:color w:val="auto"/>
          <w:sz w:val="24"/>
          <w:highlight w:val="none"/>
        </w:rPr>
        <w:t>应在法律法规规定的期限内提出询问或回避申请</w:t>
      </w:r>
      <w:r>
        <w:rPr>
          <w:rFonts w:hint="eastAsia"/>
          <w:color w:val="auto"/>
          <w:sz w:val="24"/>
          <w:szCs w:val="22"/>
          <w:highlight w:val="none"/>
        </w:rPr>
        <w:t>。</w:t>
      </w:r>
    </w:p>
    <w:p>
      <w:pPr>
        <w:pStyle w:val="9"/>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投标供应商不足三家，不得开标。</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六、评标（详见第四章）</w:t>
      </w:r>
    </w:p>
    <w:p>
      <w:pPr>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七、定标</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（一）</w:t>
      </w:r>
      <w:r>
        <w:rPr>
          <w:color w:val="auto"/>
          <w:highlight w:val="none"/>
        </w:rPr>
        <w:t>确定中标供应商。</w:t>
      </w: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供应商。其中推荐中标候选人的，采购组织机构在评标结束后2个工作日内将评标报告送采购人，采购人自收到评标报告之日起5个工作日内在评标报告推荐的中标候选人中确定中标供应商。</w:t>
      </w:r>
    </w:p>
    <w:p>
      <w:pPr>
        <w:spacing w:line="360" w:lineRule="auto"/>
        <w:ind w:firstLine="480" w:firstLineChars="200"/>
        <w:rPr>
          <w:rFonts w:ascii="宋体" w:hAnsi="宋体"/>
          <w:color w:val="auto"/>
          <w:kern w:val="0"/>
          <w:sz w:val="24"/>
          <w:highlight w:val="none"/>
        </w:rPr>
      </w:pPr>
      <w:r>
        <w:rPr>
          <w:rFonts w:hint="eastAsia" w:asciiTheme="minorEastAsia" w:hAnsiTheme="minorEastAsia" w:eastAsiaTheme="minorEastAsia"/>
          <w:color w:val="auto"/>
          <w:sz w:val="24"/>
          <w:highlight w:val="none"/>
        </w:rPr>
        <w:t>（二）</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结果公告。采购组织机构自中标供应商</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 1 个工作日</w:t>
      </w:r>
      <w:r>
        <w:rPr>
          <w:rFonts w:hint="eastAsia" w:ascii="宋体" w:hAnsi="宋体"/>
          <w:color w:val="auto"/>
          <w:kern w:val="0"/>
          <w:sz w:val="24"/>
          <w:highlight w:val="none"/>
        </w:rPr>
        <w:t>。</w:t>
      </w:r>
    </w:p>
    <w:p>
      <w:pPr>
        <w:pStyle w:val="10"/>
        <w:spacing w:line="360" w:lineRule="auto"/>
        <w:ind w:firstLine="480" w:firstLineChars="200"/>
        <w:jc w:val="both"/>
        <w:rPr>
          <w:color w:val="auto"/>
          <w:highlight w:val="none"/>
        </w:rPr>
      </w:pPr>
      <w:r>
        <w:rPr>
          <w:rFonts w:hint="eastAsia" w:ascii="宋体" w:hAnsi="宋体"/>
          <w:color w:val="auto"/>
          <w:kern w:val="0"/>
          <w:sz w:val="24"/>
          <w:highlight w:val="none"/>
        </w:rPr>
        <w:t>（三）</w:t>
      </w:r>
      <w:r>
        <w:rPr>
          <w:rFonts w:hint="eastAsia"/>
          <w:color w:val="auto"/>
          <w:sz w:val="24"/>
          <w:highlight w:val="none"/>
        </w:rPr>
        <w:t>发放中标通知书</w:t>
      </w:r>
      <w:r>
        <w:rPr>
          <w:rFonts w:hint="eastAsia" w:ascii="宋体" w:hAnsi="宋体"/>
          <w:color w:val="auto"/>
          <w:kern w:val="0"/>
          <w:sz w:val="24"/>
          <w:highlight w:val="none"/>
        </w:rPr>
        <w:t>。采购组织机构在发布中标结果公告的同时，</w:t>
      </w:r>
      <w:r>
        <w:rPr>
          <w:rFonts w:hint="eastAsia"/>
          <w:color w:val="auto"/>
          <w:sz w:val="24"/>
          <w:highlight w:val="none"/>
        </w:rPr>
        <w:t>通过政采云平台</w:t>
      </w:r>
      <w:r>
        <w:rPr>
          <w:rFonts w:hint="eastAsia" w:ascii="宋体" w:hAnsi="宋体"/>
          <w:color w:val="auto"/>
          <w:kern w:val="0"/>
          <w:sz w:val="24"/>
          <w:highlight w:val="none"/>
        </w:rPr>
        <w:t>向中标供应商发出中标通知书。</w:t>
      </w:r>
    </w:p>
    <w:p>
      <w:pPr>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八、</w:t>
      </w:r>
      <w:r>
        <w:rPr>
          <w:rFonts w:hint="eastAsia" w:asciiTheme="minorEastAsia" w:hAnsiTheme="minorEastAsia" w:eastAsiaTheme="minorEastAsia"/>
          <w:b/>
          <w:color w:val="auto"/>
          <w:sz w:val="24"/>
          <w:highlight w:val="none"/>
        </w:rPr>
        <w:t>合同签订及公告</w:t>
      </w:r>
    </w:p>
    <w:p>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21"/>
        <w:spacing w:before="0" w:beforeAutospacing="0" w:after="0" w:afterAutospacing="0" w:line="360" w:lineRule="auto"/>
        <w:ind w:firstLine="480" w:firstLineChars="200"/>
        <w:jc w:val="both"/>
        <w:rPr>
          <w:rFonts w:hint="default"/>
          <w:color w:val="auto"/>
          <w:highlight w:val="none"/>
        </w:rPr>
      </w:pPr>
      <w:r>
        <w:rPr>
          <w:color w:val="auto"/>
          <w:highlight w:val="none"/>
        </w:rPr>
        <w:t>1.采购人应当自中标通知书发出之日起30日内，按照招标文件和中标供应商投标文件内容要求，与中标供应商签订书面合同或者电子合同。所签订的合同不得对招标文件确定的事项和中标供应商电子投标文件作实质性修改。</w:t>
      </w:r>
    </w:p>
    <w:p>
      <w:pPr>
        <w:pStyle w:val="21"/>
        <w:spacing w:before="0" w:beforeAutospacing="0" w:after="0" w:afterAutospacing="0" w:line="360" w:lineRule="auto"/>
        <w:ind w:firstLine="480" w:firstLineChars="200"/>
        <w:jc w:val="both"/>
        <w:rPr>
          <w:rFonts w:hint="default"/>
          <w:color w:val="auto"/>
          <w:highlight w:val="none"/>
        </w:rPr>
      </w:pPr>
      <w:r>
        <w:rPr>
          <w:color w:val="auto"/>
          <w:highlight w:val="none"/>
        </w:rPr>
        <w:t>2.采购人不得向中标供应商提出任何不合理的要求作为签订合同的条件。</w:t>
      </w:r>
    </w:p>
    <w:p>
      <w:pPr>
        <w:pStyle w:val="21"/>
        <w:spacing w:before="0" w:beforeAutospacing="0" w:after="0" w:afterAutospacing="0" w:line="360" w:lineRule="auto"/>
        <w:ind w:firstLine="480" w:firstLineChars="200"/>
        <w:jc w:val="both"/>
        <w:rPr>
          <w:rFonts w:hint="default"/>
          <w:color w:val="auto"/>
          <w:highlight w:val="none"/>
        </w:rPr>
      </w:pPr>
      <w:r>
        <w:rPr>
          <w:color w:val="auto"/>
          <w:highlight w:val="none"/>
        </w:rPr>
        <w:t>3.中标供应商无故拖延、拒签合同的,将取消中标资格。</w:t>
      </w:r>
    </w:p>
    <w:p>
      <w:pPr>
        <w:pStyle w:val="21"/>
        <w:spacing w:before="0" w:beforeAutospacing="0" w:after="0" w:afterAutospacing="0" w:line="360" w:lineRule="auto"/>
        <w:ind w:firstLine="480" w:firstLineChars="200"/>
        <w:jc w:val="both"/>
        <w:rPr>
          <w:rFonts w:hint="default"/>
          <w:color w:val="auto"/>
          <w:highlight w:val="none"/>
        </w:rPr>
      </w:pPr>
      <w:r>
        <w:rPr>
          <w:color w:val="auto"/>
          <w:highlight w:val="none"/>
        </w:rPr>
        <w:t>4.中标供应商拒绝与采购人签订合同的，采购人可以按照评标报告推荐的中标候选人名单排序，确定下一候选人为中标供应商，也可以重新开展政府采购活动。同时，拒绝与采购人签订合同的中标供应商，由同级财政部门依法做出处理。</w:t>
      </w:r>
    </w:p>
    <w:p>
      <w:pPr>
        <w:pStyle w:val="21"/>
        <w:spacing w:before="0" w:beforeAutospacing="0" w:after="0" w:afterAutospacing="0" w:line="360" w:lineRule="auto"/>
        <w:ind w:firstLine="480" w:firstLineChars="200"/>
        <w:jc w:val="both"/>
        <w:rPr>
          <w:rFonts w:hint="default"/>
          <w:color w:val="auto"/>
          <w:highlight w:val="none"/>
        </w:rPr>
      </w:pPr>
      <w:r>
        <w:rPr>
          <w:color w:val="auto"/>
          <w:highlight w:val="none"/>
        </w:rPr>
        <w:t>5.询问或者质疑事项可能影响中标结果的，采购人应当暂停签订合同，已经签订合同的，应当中止履行合同。</w:t>
      </w:r>
    </w:p>
    <w:p>
      <w:pPr>
        <w:pStyle w:val="21"/>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pPr>
        <w:pStyle w:val="12"/>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2.采购人应当自合同签订之日起7个工作日内，</w:t>
      </w:r>
      <w:r>
        <w:rPr>
          <w:rFonts w:hint="eastAsia"/>
          <w:color w:val="auto"/>
          <w:sz w:val="24"/>
          <w:highlight w:val="none"/>
        </w:rPr>
        <w:t>将合同通过政采云平台提交至</w:t>
      </w:r>
      <w:r>
        <w:rPr>
          <w:rFonts w:hint="eastAsia" w:ascii="宋体" w:hAnsi="宋体"/>
          <w:color w:val="auto"/>
          <w:sz w:val="24"/>
          <w:highlight w:val="none"/>
        </w:rPr>
        <w:t>同级人民政府财政部门备案存档。</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九、询问、质疑与投诉</w:t>
      </w:r>
    </w:p>
    <w:p>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供应商对政府采购活动事项（招标文件、采购过程和中标结果）有疑问的，可以向采购人或采购组织机构提出询问，采购人或采购组织机构将及时做出答复，但答复的内容不涉及商业秘密。询问可以口头方式提出，也可以书面方式提出。联系方式见第一章“招标公告 ”中“采购人、采购组织机构的名称、地址和联系方式”。</w:t>
      </w:r>
    </w:p>
    <w:p>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1.报名本项目的投标供应商认为招标文件、采购过程和中标结果使自己的权益受到损害的，以书面形式或政采云平台的质疑系统一次性针对同一环节向采购人或采购组织机构提出质疑：</w:t>
      </w:r>
    </w:p>
    <w:p>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（1）投标供应商认为招标文件的内容损害其权益的，应当自获取招标文件之日起或公告期限届满之日起7个工作日内一次性以书面形式提出质疑；</w:t>
      </w:r>
    </w:p>
    <w:p>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（2）投标供应商对采购过程提出质疑的，应当在各采购程序环节结束之日起7个工作日内一次性以书面形式提出质疑；</w:t>
      </w:r>
    </w:p>
    <w:p>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（3）投标供应商对中标结果提出质疑的，应当在中标结果公告期限届满之日起7个工作日内一次性以书面形式提出质疑；</w:t>
      </w:r>
    </w:p>
    <w:p>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2.采购人或采购组织机构在收到投标供应商的书面质疑后7个工作日内做出答复，并以书面形式或政采云平台回复质疑投标供应商和其他有关投标供应商，但答复内容不涉及商业秘密。</w:t>
      </w:r>
    </w:p>
    <w:p>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投标供应商对采购人或采购组织机构的质疑答复不满意或在规定时间内未得到答复的，可以在答复期满后15个工作日内，向同级政府采购监督管理机构投诉。</w:t>
      </w:r>
    </w:p>
    <w:p>
      <w:pPr>
        <w:widowControl/>
        <w:jc w:val="left"/>
        <w:rPr>
          <w:rFonts w:asciiTheme="minorEastAsia" w:hAnsiTheme="minorEastAsia" w:eastAsiaTheme="minorEastAsia"/>
          <w:b/>
          <w:color w:val="auto"/>
          <w:sz w:val="36"/>
          <w:szCs w:val="36"/>
          <w:highlight w:val="none"/>
        </w:rPr>
      </w:pPr>
      <w:r>
        <w:rPr>
          <w:rFonts w:asciiTheme="minorEastAsia" w:hAnsiTheme="minorEastAsia" w:eastAsiaTheme="minorEastAsia"/>
          <w:b/>
          <w:color w:val="auto"/>
          <w:sz w:val="36"/>
          <w:szCs w:val="36"/>
          <w:highlight w:val="none"/>
        </w:rPr>
        <w:br w:type="page"/>
      </w:r>
    </w:p>
    <w:p>
      <w:pPr>
        <w:numPr>
          <w:ilvl w:val="0"/>
          <w:numId w:val="4"/>
        </w:numPr>
        <w:spacing w:line="360" w:lineRule="auto"/>
        <w:jc w:val="center"/>
        <w:outlineLvl w:val="0"/>
        <w:rPr>
          <w:rFonts w:asciiTheme="minorEastAsia" w:hAnsiTheme="minorEastAsia" w:eastAsiaTheme="minorEastAsia"/>
          <w:b/>
          <w:color w:val="auto"/>
          <w:sz w:val="36"/>
          <w:szCs w:val="36"/>
          <w:highlight w:val="none"/>
        </w:rPr>
      </w:pPr>
      <w:bookmarkStart w:id="92" w:name="_Toc5366"/>
      <w:r>
        <w:rPr>
          <w:rFonts w:hint="eastAsia" w:asciiTheme="minorEastAsia" w:hAnsiTheme="minorEastAsia" w:eastAsiaTheme="minorEastAsia"/>
          <w:b/>
          <w:color w:val="auto"/>
          <w:sz w:val="36"/>
          <w:szCs w:val="36"/>
          <w:highlight w:val="none"/>
        </w:rPr>
        <w:t>招标需求</w:t>
      </w:r>
      <w:bookmarkEnd w:id="92"/>
    </w:p>
    <w:p>
      <w:pPr>
        <w:tabs>
          <w:tab w:val="left" w:pos="8280"/>
        </w:tabs>
        <w:autoSpaceDE w:val="0"/>
        <w:autoSpaceDN w:val="0"/>
        <w:adjustRightInd w:val="0"/>
        <w:spacing w:line="360" w:lineRule="auto"/>
        <w:ind w:right="25"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一、招标项目一览表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bookmarkStart w:id="93" w:name="OLE_LINK20"/>
      <w:bookmarkStart w:id="94" w:name="OLE_LINK21"/>
      <w:r>
        <w:rPr>
          <w:rFonts w:hint="eastAsia" w:asciiTheme="minorEastAsia" w:hAnsiTheme="minorEastAsia" w:eastAsiaTheme="minorEastAsia"/>
          <w:color w:val="auto"/>
          <w:sz w:val="24"/>
          <w:highlight w:val="none"/>
        </w:rPr>
        <w:t>本次招标共</w:t>
      </w:r>
      <w:r>
        <w:rPr>
          <w:rFonts w:hint="eastAsia" w:asciiTheme="minorEastAsia" w:hAnsiTheme="minorEastAsia" w:eastAsiaTheme="minorEastAsia"/>
          <w:color w:val="auto"/>
          <w:sz w:val="24"/>
          <w:highlight w:val="none"/>
          <w:u w:val="single"/>
        </w:rPr>
        <w:t xml:space="preserve">  一  </w:t>
      </w:r>
      <w:r>
        <w:rPr>
          <w:rFonts w:hint="eastAsia" w:asciiTheme="minorEastAsia" w:hAnsiTheme="minorEastAsia" w:eastAsiaTheme="minorEastAsia"/>
          <w:color w:val="auto"/>
          <w:sz w:val="24"/>
          <w:highlight w:val="none"/>
        </w:rPr>
        <w:t>个标项，具体内容如下表：</w:t>
      </w:r>
    </w:p>
    <w:tbl>
      <w:tblPr>
        <w:tblStyle w:val="2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404"/>
        <w:gridCol w:w="1029"/>
        <w:gridCol w:w="551"/>
        <w:gridCol w:w="602"/>
        <w:gridCol w:w="964"/>
        <w:gridCol w:w="1042"/>
        <w:gridCol w:w="1455"/>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482" w:type="dxa"/>
            <w:vAlign w:val="center"/>
          </w:tcPr>
          <w:p>
            <w:pPr>
              <w:tabs>
                <w:tab w:val="left" w:pos="8280"/>
              </w:tabs>
              <w:autoSpaceDE w:val="0"/>
              <w:autoSpaceDN w:val="0"/>
              <w:adjustRightInd w:val="0"/>
              <w:snapToGrid w:val="0"/>
              <w:ind w:left="-105" w:leftChars="-50" w:right="-105" w:rightChars="-50"/>
              <w:jc w:val="center"/>
              <w:rPr>
                <w:rFonts w:ascii="宋体"/>
                <w:b/>
                <w:color w:val="auto"/>
                <w:szCs w:val="21"/>
                <w:highlight w:val="none"/>
              </w:rPr>
            </w:pPr>
            <w:r>
              <w:rPr>
                <w:rFonts w:hint="eastAsia" w:ascii="宋体" w:hAnsi="宋体"/>
                <w:b/>
                <w:color w:val="auto"/>
                <w:szCs w:val="21"/>
                <w:highlight w:val="none"/>
              </w:rPr>
              <w:t>标项号</w:t>
            </w:r>
          </w:p>
        </w:tc>
        <w:tc>
          <w:tcPr>
            <w:tcW w:w="1404" w:type="dxa"/>
            <w:vAlign w:val="center"/>
          </w:tcPr>
          <w:p>
            <w:pPr>
              <w:tabs>
                <w:tab w:val="left" w:pos="8280"/>
              </w:tabs>
              <w:autoSpaceDE w:val="0"/>
              <w:autoSpaceDN w:val="0"/>
              <w:adjustRightInd w:val="0"/>
              <w:snapToGrid w:val="0"/>
              <w:ind w:left="-105" w:leftChars="-50" w:right="-105" w:rightChars="-50"/>
              <w:jc w:val="center"/>
              <w:rPr>
                <w:rFonts w:ascii="宋体" w:hAnsi="宋体"/>
                <w:b/>
                <w:color w:val="auto"/>
                <w:szCs w:val="21"/>
                <w:highlight w:val="none"/>
              </w:rPr>
            </w:pPr>
            <w:r>
              <w:rPr>
                <w:rFonts w:hint="eastAsia" w:ascii="宋体" w:hAnsi="宋体"/>
                <w:b/>
                <w:color w:val="auto"/>
                <w:szCs w:val="21"/>
                <w:highlight w:val="none"/>
              </w:rPr>
              <w:t>项目</w:t>
            </w:r>
          </w:p>
          <w:p>
            <w:pPr>
              <w:tabs>
                <w:tab w:val="left" w:pos="8280"/>
              </w:tabs>
              <w:autoSpaceDE w:val="0"/>
              <w:autoSpaceDN w:val="0"/>
              <w:adjustRightInd w:val="0"/>
              <w:snapToGrid w:val="0"/>
              <w:ind w:left="-105" w:leftChars="-50" w:right="-105" w:rightChars="-50"/>
              <w:jc w:val="center"/>
              <w:rPr>
                <w:rFonts w:ascii="宋体"/>
                <w:b/>
                <w:color w:val="auto"/>
                <w:szCs w:val="21"/>
                <w:highlight w:val="none"/>
              </w:rPr>
            </w:pPr>
            <w:r>
              <w:rPr>
                <w:rFonts w:hint="eastAsia" w:ascii="宋体" w:hAnsi="宋体"/>
                <w:b/>
                <w:color w:val="auto"/>
                <w:szCs w:val="21"/>
                <w:highlight w:val="none"/>
              </w:rPr>
              <w:t>名称</w:t>
            </w:r>
          </w:p>
        </w:tc>
        <w:tc>
          <w:tcPr>
            <w:tcW w:w="1029" w:type="dxa"/>
            <w:vAlign w:val="center"/>
          </w:tcPr>
          <w:p>
            <w:pPr>
              <w:tabs>
                <w:tab w:val="left" w:pos="8280"/>
              </w:tabs>
              <w:autoSpaceDE w:val="0"/>
              <w:autoSpaceDN w:val="0"/>
              <w:adjustRightInd w:val="0"/>
              <w:snapToGrid w:val="0"/>
              <w:ind w:left="-105" w:leftChars="-50" w:right="-105" w:rightChars="-50"/>
              <w:jc w:val="center"/>
              <w:rPr>
                <w:rFonts w:ascii="宋体"/>
                <w:b/>
                <w:color w:val="auto"/>
                <w:szCs w:val="21"/>
                <w:highlight w:val="none"/>
              </w:rPr>
            </w:pPr>
            <w:r>
              <w:rPr>
                <w:rFonts w:hint="eastAsia" w:ascii="宋体" w:hAnsi="宋体" w:cs="宋体"/>
                <w:b/>
                <w:color w:val="auto"/>
                <w:kern w:val="0"/>
                <w:szCs w:val="21"/>
                <w:highlight w:val="none"/>
              </w:rPr>
              <w:t>简要技术要求</w:t>
            </w:r>
          </w:p>
        </w:tc>
        <w:tc>
          <w:tcPr>
            <w:tcW w:w="551" w:type="dxa"/>
            <w:vAlign w:val="center"/>
          </w:tcPr>
          <w:p>
            <w:pPr>
              <w:tabs>
                <w:tab w:val="left" w:pos="8280"/>
              </w:tabs>
              <w:autoSpaceDE w:val="0"/>
              <w:autoSpaceDN w:val="0"/>
              <w:adjustRightInd w:val="0"/>
              <w:snapToGrid w:val="0"/>
              <w:ind w:left="-105" w:leftChars="-50" w:right="-105" w:rightChars="-50"/>
              <w:jc w:val="center"/>
              <w:rPr>
                <w:rFonts w:ascii="宋体"/>
                <w:b/>
                <w:color w:val="auto"/>
                <w:szCs w:val="21"/>
                <w:highlight w:val="none"/>
              </w:rPr>
            </w:pPr>
            <w:r>
              <w:rPr>
                <w:rFonts w:hint="eastAsia" w:ascii="宋体" w:hAnsi="宋体"/>
                <w:b/>
                <w:color w:val="auto"/>
                <w:szCs w:val="21"/>
                <w:highlight w:val="none"/>
              </w:rPr>
              <w:t>数量</w:t>
            </w:r>
          </w:p>
        </w:tc>
        <w:tc>
          <w:tcPr>
            <w:tcW w:w="602" w:type="dxa"/>
            <w:vAlign w:val="center"/>
          </w:tcPr>
          <w:p>
            <w:pPr>
              <w:tabs>
                <w:tab w:val="left" w:pos="8280"/>
              </w:tabs>
              <w:autoSpaceDE w:val="0"/>
              <w:autoSpaceDN w:val="0"/>
              <w:adjustRightInd w:val="0"/>
              <w:snapToGrid w:val="0"/>
              <w:ind w:left="-105" w:leftChars="-50" w:right="-105" w:rightChars="-50"/>
              <w:jc w:val="center"/>
              <w:rPr>
                <w:rFonts w:ascii="宋体"/>
                <w:b/>
                <w:color w:val="auto"/>
                <w:szCs w:val="21"/>
                <w:highlight w:val="none"/>
              </w:rPr>
            </w:pPr>
            <w:r>
              <w:rPr>
                <w:rFonts w:hint="eastAsia" w:ascii="宋体" w:hAnsi="宋体"/>
                <w:b/>
                <w:color w:val="auto"/>
                <w:szCs w:val="21"/>
                <w:highlight w:val="none"/>
              </w:rPr>
              <w:t>单位</w:t>
            </w:r>
          </w:p>
        </w:tc>
        <w:tc>
          <w:tcPr>
            <w:tcW w:w="964" w:type="dxa"/>
            <w:vAlign w:val="center"/>
          </w:tcPr>
          <w:p>
            <w:pPr>
              <w:tabs>
                <w:tab w:val="left" w:pos="8280"/>
              </w:tabs>
              <w:autoSpaceDE w:val="0"/>
              <w:autoSpaceDN w:val="0"/>
              <w:adjustRightInd w:val="0"/>
              <w:snapToGrid w:val="0"/>
              <w:ind w:left="-105" w:leftChars="-50" w:right="-105" w:rightChars="-50"/>
              <w:jc w:val="center"/>
              <w:rPr>
                <w:rFonts w:ascii="宋体" w:hAnsi="宋体"/>
                <w:b/>
                <w:color w:val="auto"/>
                <w:szCs w:val="21"/>
                <w:highlight w:val="none"/>
              </w:rPr>
            </w:pPr>
            <w:r>
              <w:rPr>
                <w:rFonts w:hint="eastAsia" w:ascii="宋体" w:hAnsi="宋体"/>
                <w:b/>
                <w:color w:val="auto"/>
                <w:szCs w:val="21"/>
                <w:highlight w:val="none"/>
              </w:rPr>
              <w:t>预算</w:t>
            </w:r>
          </w:p>
          <w:p>
            <w:pPr>
              <w:tabs>
                <w:tab w:val="left" w:pos="8280"/>
              </w:tabs>
              <w:autoSpaceDE w:val="0"/>
              <w:autoSpaceDN w:val="0"/>
              <w:adjustRightInd w:val="0"/>
              <w:snapToGrid w:val="0"/>
              <w:ind w:left="-105" w:leftChars="-50" w:right="-105" w:rightChars="-50"/>
              <w:jc w:val="center"/>
              <w:rPr>
                <w:rFonts w:ascii="宋体" w:hAnsi="宋体"/>
                <w:b/>
                <w:color w:val="auto"/>
                <w:szCs w:val="21"/>
                <w:highlight w:val="none"/>
              </w:rPr>
            </w:pPr>
            <w:r>
              <w:rPr>
                <w:rFonts w:hint="eastAsia" w:ascii="宋体" w:hAnsi="宋体"/>
                <w:b/>
                <w:color w:val="auto"/>
                <w:szCs w:val="21"/>
                <w:highlight w:val="none"/>
              </w:rPr>
              <w:t>（万元）</w:t>
            </w:r>
          </w:p>
        </w:tc>
        <w:tc>
          <w:tcPr>
            <w:tcW w:w="1042" w:type="dxa"/>
            <w:vAlign w:val="center"/>
          </w:tcPr>
          <w:p>
            <w:pPr>
              <w:tabs>
                <w:tab w:val="left" w:pos="8280"/>
              </w:tabs>
              <w:autoSpaceDE w:val="0"/>
              <w:autoSpaceDN w:val="0"/>
              <w:adjustRightInd w:val="0"/>
              <w:snapToGrid w:val="0"/>
              <w:ind w:left="-105" w:leftChars="-50" w:right="-105" w:rightChars="-50"/>
              <w:jc w:val="center"/>
              <w:rPr>
                <w:rFonts w:ascii="宋体"/>
                <w:b/>
                <w:color w:val="auto"/>
                <w:szCs w:val="21"/>
                <w:highlight w:val="none"/>
              </w:rPr>
            </w:pPr>
            <w:r>
              <w:rPr>
                <w:rFonts w:hint="eastAsia" w:ascii="宋体" w:hAnsi="宋体"/>
                <w:b/>
                <w:color w:val="auto"/>
                <w:szCs w:val="21"/>
                <w:highlight w:val="none"/>
              </w:rPr>
              <w:t>最高限价（万元）</w:t>
            </w:r>
          </w:p>
        </w:tc>
        <w:tc>
          <w:tcPr>
            <w:tcW w:w="1455" w:type="dxa"/>
            <w:vAlign w:val="center"/>
          </w:tcPr>
          <w:p>
            <w:pPr>
              <w:tabs>
                <w:tab w:val="left" w:pos="8280"/>
              </w:tabs>
              <w:autoSpaceDE w:val="0"/>
              <w:autoSpaceDN w:val="0"/>
              <w:adjustRightInd w:val="0"/>
              <w:snapToGrid w:val="0"/>
              <w:ind w:left="-105" w:leftChars="-50" w:right="-105" w:rightChars="-50"/>
              <w:jc w:val="center"/>
              <w:rPr>
                <w:rFonts w:ascii="宋体" w:hAnsi="宋体"/>
                <w:b/>
                <w:color w:val="auto"/>
                <w:szCs w:val="21"/>
                <w:highlight w:val="none"/>
              </w:rPr>
            </w:pPr>
            <w:bookmarkStart w:id="95" w:name="OLE_LINK131"/>
            <w:bookmarkStart w:id="96" w:name="OLE_LINK130"/>
            <w:r>
              <w:rPr>
                <w:rFonts w:hint="eastAsia" w:ascii="宋体" w:hAnsi="宋体"/>
                <w:b/>
                <w:color w:val="auto"/>
                <w:szCs w:val="21"/>
                <w:highlight w:val="none"/>
              </w:rPr>
              <w:t>交货期</w:t>
            </w:r>
            <w:bookmarkEnd w:id="95"/>
            <w:bookmarkEnd w:id="96"/>
          </w:p>
        </w:tc>
        <w:tc>
          <w:tcPr>
            <w:tcW w:w="1531" w:type="dxa"/>
            <w:vAlign w:val="center"/>
          </w:tcPr>
          <w:p>
            <w:pPr>
              <w:tabs>
                <w:tab w:val="left" w:pos="8280"/>
              </w:tabs>
              <w:autoSpaceDE w:val="0"/>
              <w:autoSpaceDN w:val="0"/>
              <w:adjustRightInd w:val="0"/>
              <w:snapToGrid w:val="0"/>
              <w:ind w:left="-105" w:leftChars="-50" w:right="-105" w:rightChars="-50"/>
              <w:jc w:val="center"/>
              <w:rPr>
                <w:rFonts w:ascii="宋体" w:hAnsi="宋体"/>
                <w:b/>
                <w:color w:val="auto"/>
                <w:szCs w:val="21"/>
                <w:highlight w:val="none"/>
              </w:rPr>
            </w:pPr>
            <w:r>
              <w:rPr>
                <w:rFonts w:hint="eastAsia" w:ascii="宋体" w:hAnsi="宋体"/>
                <w:b/>
                <w:color w:val="auto"/>
                <w:szCs w:val="21"/>
                <w:highlight w:val="none"/>
              </w:rPr>
              <w:t>交货、安装地点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jc w:val="center"/>
        </w:trPr>
        <w:tc>
          <w:tcPr>
            <w:tcW w:w="482" w:type="dxa"/>
            <w:vAlign w:val="center"/>
          </w:tcPr>
          <w:p>
            <w:pPr>
              <w:tabs>
                <w:tab w:val="left" w:pos="8280"/>
              </w:tabs>
              <w:autoSpaceDE w:val="0"/>
              <w:autoSpaceDN w:val="0"/>
              <w:adjustRightInd w:val="0"/>
              <w:snapToGrid w:val="0"/>
              <w:ind w:left="-105" w:leftChars="-50" w:right="-105" w:rightChars="-5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404" w:type="dxa"/>
            <w:vAlign w:val="center"/>
          </w:tcPr>
          <w:p>
            <w:pPr>
              <w:tabs>
                <w:tab w:val="left" w:pos="8280"/>
              </w:tabs>
              <w:autoSpaceDE w:val="0"/>
              <w:autoSpaceDN w:val="0"/>
              <w:adjustRightInd w:val="0"/>
              <w:snapToGrid w:val="0"/>
              <w:ind w:left="-105" w:leftChars="-50" w:right="-105" w:rightChars="-50"/>
              <w:jc w:val="center"/>
              <w:rPr>
                <w:rFonts w:asciiTheme="minorEastAsia" w:hAnsiTheme="minorEastAsia" w:eastAsiaTheme="minorEastAsia"/>
                <w:color w:val="auto"/>
                <w:szCs w:val="21"/>
                <w:highlight w:val="none"/>
              </w:rPr>
            </w:pPr>
            <w:r>
              <w:rPr>
                <w:rFonts w:hint="eastAsia" w:ascii="宋体" w:hAnsi="宋体" w:cs="宋体" w:eastAsiaTheme="minorEastAsia"/>
                <w:color w:val="auto"/>
                <w:szCs w:val="21"/>
                <w:highlight w:val="none"/>
              </w:rPr>
              <w:t>台州市白云小学改扩建工程（综合楼设备设施）</w:t>
            </w:r>
          </w:p>
        </w:tc>
        <w:tc>
          <w:tcPr>
            <w:tcW w:w="1029" w:type="dxa"/>
            <w:vAlign w:val="center"/>
          </w:tcPr>
          <w:p>
            <w:pPr>
              <w:tabs>
                <w:tab w:val="left" w:pos="8280"/>
              </w:tabs>
              <w:autoSpaceDE w:val="0"/>
              <w:autoSpaceDN w:val="0"/>
              <w:adjustRightInd w:val="0"/>
              <w:snapToGrid w:val="0"/>
              <w:ind w:left="-105" w:leftChars="-50" w:right="-105" w:rightChars="-5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详见技术需求</w:t>
            </w:r>
          </w:p>
        </w:tc>
        <w:tc>
          <w:tcPr>
            <w:tcW w:w="551" w:type="dxa"/>
            <w:vAlign w:val="center"/>
          </w:tcPr>
          <w:p>
            <w:pPr>
              <w:tabs>
                <w:tab w:val="left" w:pos="8280"/>
              </w:tabs>
              <w:autoSpaceDE w:val="0"/>
              <w:autoSpaceDN w:val="0"/>
              <w:adjustRightInd w:val="0"/>
              <w:snapToGrid w:val="0"/>
              <w:ind w:left="-105" w:leftChars="-50" w:right="-105" w:rightChars="-5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602" w:type="dxa"/>
            <w:vAlign w:val="center"/>
          </w:tcPr>
          <w:p>
            <w:pPr>
              <w:tabs>
                <w:tab w:val="left" w:pos="8280"/>
              </w:tabs>
              <w:autoSpaceDE w:val="0"/>
              <w:autoSpaceDN w:val="0"/>
              <w:adjustRightInd w:val="0"/>
              <w:snapToGrid w:val="0"/>
              <w:ind w:left="-105" w:leftChars="-50" w:right="-105" w:rightChars="-5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项</w:t>
            </w:r>
          </w:p>
        </w:tc>
        <w:tc>
          <w:tcPr>
            <w:tcW w:w="964" w:type="dxa"/>
            <w:vAlign w:val="center"/>
          </w:tcPr>
          <w:p>
            <w:pPr>
              <w:tabs>
                <w:tab w:val="left" w:pos="8280"/>
              </w:tabs>
              <w:autoSpaceDE w:val="0"/>
              <w:autoSpaceDN w:val="0"/>
              <w:adjustRightInd w:val="0"/>
              <w:snapToGrid w:val="0"/>
              <w:ind w:left="-105" w:leftChars="-50" w:right="-105" w:rightChars="-5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100</w:t>
            </w:r>
          </w:p>
        </w:tc>
        <w:tc>
          <w:tcPr>
            <w:tcW w:w="1042" w:type="dxa"/>
            <w:vAlign w:val="center"/>
          </w:tcPr>
          <w:p>
            <w:pPr>
              <w:tabs>
                <w:tab w:val="left" w:pos="8280"/>
              </w:tabs>
              <w:autoSpaceDE w:val="0"/>
              <w:autoSpaceDN w:val="0"/>
              <w:adjustRightInd w:val="0"/>
              <w:snapToGrid w:val="0"/>
              <w:ind w:left="-105" w:leftChars="-50" w:right="-105" w:rightChars="-50"/>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99.9088</w:t>
            </w:r>
          </w:p>
        </w:tc>
        <w:tc>
          <w:tcPr>
            <w:tcW w:w="1455" w:type="dxa"/>
            <w:shd w:val="clear" w:color="auto" w:fill="auto"/>
            <w:vAlign w:val="center"/>
          </w:tcPr>
          <w:p>
            <w:pPr>
              <w:tabs>
                <w:tab w:val="left" w:pos="8280"/>
              </w:tabs>
              <w:autoSpaceDE w:val="0"/>
              <w:autoSpaceDN w:val="0"/>
              <w:adjustRightInd w:val="0"/>
              <w:snapToGrid w:val="0"/>
              <w:ind w:left="-105" w:leftChars="-50" w:right="-105" w:rightChars="-5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val="en-US" w:eastAsia="zh-CN"/>
              </w:rPr>
              <w:t>合同签订后</w:t>
            </w:r>
            <w:r>
              <w:rPr>
                <w:rFonts w:hint="eastAsia" w:asciiTheme="minorEastAsia" w:hAnsiTheme="minorEastAsia" w:eastAsiaTheme="minorEastAsia"/>
                <w:b/>
                <w:color w:val="auto"/>
                <w:szCs w:val="21"/>
                <w:highlight w:val="none"/>
              </w:rPr>
              <w:t>60日历天内完成供货及安装。</w:t>
            </w:r>
          </w:p>
        </w:tc>
        <w:tc>
          <w:tcPr>
            <w:tcW w:w="1531" w:type="dxa"/>
            <w:shd w:val="clear" w:color="auto" w:fill="auto"/>
            <w:vAlign w:val="center"/>
          </w:tcPr>
          <w:p>
            <w:pPr>
              <w:tabs>
                <w:tab w:val="left" w:pos="8280"/>
              </w:tabs>
              <w:autoSpaceDE w:val="0"/>
              <w:autoSpaceDN w:val="0"/>
              <w:adjustRightInd w:val="0"/>
              <w:snapToGrid w:val="0"/>
              <w:ind w:left="-105" w:leftChars="-50" w:right="-105" w:rightChars="-50"/>
              <w:jc w:val="center"/>
              <w:rPr>
                <w:rFonts w:ascii="宋体" w:hAnsi="宋体" w:cs="宋体" w:eastAsiaTheme="minorEastAsia"/>
                <w:b/>
                <w:color w:val="auto"/>
                <w:szCs w:val="21"/>
                <w:highlight w:val="none"/>
              </w:rPr>
            </w:pPr>
            <w:r>
              <w:rPr>
                <w:rFonts w:hint="eastAsia" w:ascii="宋体" w:hAnsi="宋体" w:cs="宋体" w:eastAsiaTheme="minorEastAsia"/>
                <w:b/>
                <w:color w:val="auto"/>
                <w:szCs w:val="21"/>
                <w:highlight w:val="none"/>
              </w:rPr>
              <w:t>台州市白云小学</w:t>
            </w:r>
          </w:p>
        </w:tc>
      </w:tr>
    </w:tbl>
    <w:p>
      <w:pPr>
        <w:numPr>
          <w:ilvl w:val="0"/>
          <w:numId w:val="6"/>
        </w:num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技术需求</w:t>
      </w:r>
    </w:p>
    <w:p>
      <w:pPr>
        <w:tabs>
          <w:tab w:val="left" w:pos="8280"/>
        </w:tabs>
        <w:autoSpaceDE w:val="0"/>
        <w:autoSpaceDN w:val="0"/>
        <w:adjustRightInd w:val="0"/>
        <w:spacing w:line="360" w:lineRule="auto"/>
        <w:ind w:right="25" w:firstLine="482" w:firstLineChars="200"/>
        <w:rPr>
          <w:rFonts w:asciiTheme="minorEastAsia" w:hAnsiTheme="minorEastAsia" w:eastAsiaTheme="minorEastAsia"/>
          <w:b/>
          <w:color w:val="auto"/>
          <w:sz w:val="24"/>
          <w:highlight w:val="none"/>
        </w:rPr>
      </w:pPr>
      <w:bookmarkStart w:id="97" w:name="_Toc442181514"/>
      <w:bookmarkStart w:id="98" w:name="_Toc392754199"/>
      <w:bookmarkStart w:id="99" w:name="_Toc8780"/>
      <w:bookmarkStart w:id="100" w:name="_Toc357768544"/>
      <w:bookmarkStart w:id="101" w:name="_Toc17356"/>
      <w:bookmarkStart w:id="102" w:name="_Toc157410883"/>
      <w:bookmarkStart w:id="103" w:name="OLE_LINK81"/>
      <w:bookmarkStart w:id="104" w:name="OLE_LINK82"/>
      <w:r>
        <w:rPr>
          <w:rFonts w:hint="eastAsia" w:asciiTheme="minorEastAsia" w:hAnsiTheme="minorEastAsia" w:eastAsiaTheme="minorEastAsia"/>
          <w:b/>
          <w:color w:val="auto"/>
          <w:sz w:val="24"/>
          <w:highlight w:val="none"/>
        </w:rPr>
        <w:t>（一）总说明</w:t>
      </w:r>
      <w:bookmarkEnd w:id="97"/>
      <w:bookmarkEnd w:id="98"/>
      <w:bookmarkEnd w:id="99"/>
      <w:bookmarkEnd w:id="100"/>
      <w:bookmarkEnd w:id="101"/>
    </w:p>
    <w:bookmarkEnd w:id="102"/>
    <w:p>
      <w:pPr>
        <w:widowControl/>
        <w:autoSpaceDE w:val="0"/>
        <w:autoSpaceDN w:val="0"/>
        <w:adjustRightInd w:val="0"/>
        <w:snapToGrid w:val="0"/>
        <w:spacing w:line="360" w:lineRule="auto"/>
        <w:ind w:firstLine="480" w:firstLineChars="200"/>
        <w:textAlignment w:val="bottom"/>
        <w:rPr>
          <w:rFonts w:ascii="宋体"/>
          <w:bCs/>
          <w:color w:val="auto"/>
          <w:sz w:val="24"/>
          <w:highlight w:val="none"/>
        </w:rPr>
      </w:pPr>
      <w:r>
        <w:rPr>
          <w:rFonts w:hint="eastAsia" w:ascii="宋体"/>
          <w:bCs/>
          <w:color w:val="auto"/>
          <w:sz w:val="24"/>
          <w:highlight w:val="none"/>
        </w:rPr>
        <w:t>1.本技术需求提出的是最低限度的基本技术要求，并未对所有技术细节作出规定，供应商应提供符合本技术要求和国家标准、行业标准的优质</w:t>
      </w:r>
      <w:bookmarkStart w:id="183" w:name="_GoBack"/>
      <w:bookmarkEnd w:id="183"/>
      <w:r>
        <w:rPr>
          <w:rFonts w:hint="eastAsia" w:ascii="宋体"/>
          <w:bCs/>
          <w:color w:val="auto"/>
          <w:sz w:val="24"/>
          <w:highlight w:val="none"/>
        </w:rPr>
        <w:t>产品。</w:t>
      </w:r>
    </w:p>
    <w:p>
      <w:pPr>
        <w:widowControl/>
        <w:autoSpaceDE w:val="0"/>
        <w:autoSpaceDN w:val="0"/>
        <w:adjustRightInd w:val="0"/>
        <w:snapToGrid w:val="0"/>
        <w:spacing w:line="360" w:lineRule="auto"/>
        <w:ind w:firstLine="480" w:firstLineChars="200"/>
        <w:textAlignment w:val="bottom"/>
        <w:rPr>
          <w:rFonts w:ascii="宋体"/>
          <w:bCs/>
          <w:color w:val="auto"/>
          <w:sz w:val="24"/>
          <w:highlight w:val="none"/>
        </w:rPr>
      </w:pPr>
      <w:r>
        <w:rPr>
          <w:rFonts w:hint="eastAsia" w:ascii="宋体"/>
          <w:bCs/>
          <w:color w:val="auto"/>
          <w:sz w:val="24"/>
          <w:highlight w:val="none"/>
        </w:rPr>
        <w:t>2.</w:t>
      </w:r>
      <w:r>
        <w:rPr>
          <w:rFonts w:hint="eastAsia" w:ascii="宋体" w:hAnsi="宋体" w:cs="宋体"/>
          <w:color w:val="auto"/>
          <w:sz w:val="24"/>
          <w:highlight w:val="none"/>
        </w:rPr>
        <w:t>供应</w:t>
      </w:r>
      <w:r>
        <w:rPr>
          <w:rFonts w:hint="eastAsia" w:ascii="宋体"/>
          <w:bCs/>
          <w:color w:val="auto"/>
          <w:sz w:val="24"/>
          <w:highlight w:val="none"/>
        </w:rPr>
        <w:t>商产品与本技术要求不一致时，供应商应在投标文件中予以说明，并由评标委员会鉴定供应商产品能否达到要求。如供应商没有在投标文件中提出异议，则视为供应商提供的产品完全按照本采购文件要求。</w:t>
      </w:r>
    </w:p>
    <w:p>
      <w:pPr>
        <w:widowControl/>
        <w:autoSpaceDE w:val="0"/>
        <w:autoSpaceDN w:val="0"/>
        <w:adjustRightInd w:val="0"/>
        <w:snapToGrid w:val="0"/>
        <w:spacing w:line="360" w:lineRule="auto"/>
        <w:ind w:firstLine="480" w:firstLineChars="200"/>
        <w:textAlignment w:val="bottom"/>
        <w:rPr>
          <w:rFonts w:ascii="宋体"/>
          <w:bCs/>
          <w:color w:val="auto"/>
          <w:sz w:val="24"/>
          <w:highlight w:val="none"/>
        </w:rPr>
      </w:pPr>
      <w:r>
        <w:rPr>
          <w:rFonts w:hint="eastAsia" w:ascii="宋体"/>
          <w:bCs/>
          <w:color w:val="auto"/>
          <w:sz w:val="24"/>
          <w:highlight w:val="none"/>
        </w:rPr>
        <w:t>3.</w:t>
      </w:r>
      <w:r>
        <w:rPr>
          <w:rFonts w:hint="eastAsia" w:ascii="宋体" w:hAnsi="宋体" w:cs="宋体"/>
          <w:color w:val="auto"/>
          <w:sz w:val="24"/>
          <w:highlight w:val="none"/>
        </w:rPr>
        <w:t>技术</w:t>
      </w:r>
      <w:r>
        <w:rPr>
          <w:rFonts w:hint="eastAsia" w:ascii="宋体"/>
          <w:bCs/>
          <w:color w:val="auto"/>
          <w:sz w:val="24"/>
          <w:highlight w:val="none"/>
        </w:rPr>
        <w:t>要求及标准的执行，供应商提供的产品应标明所执行的质量标准，若同一标准已颁发新标准，则按最新标准执行。若同一产品同时有几个标准（国际标准、国家标准、行业标准、企业标准等），则按最高层次的标准执行。</w:t>
      </w:r>
    </w:p>
    <w:p>
      <w:pPr>
        <w:widowControl/>
        <w:autoSpaceDE w:val="0"/>
        <w:autoSpaceDN w:val="0"/>
        <w:adjustRightInd w:val="0"/>
        <w:snapToGrid w:val="0"/>
        <w:spacing w:line="360" w:lineRule="auto"/>
        <w:ind w:firstLine="480" w:firstLineChars="200"/>
        <w:textAlignment w:val="bottom"/>
        <w:rPr>
          <w:rFonts w:ascii="宋体"/>
          <w:bCs/>
          <w:color w:val="auto"/>
          <w:sz w:val="24"/>
          <w:highlight w:val="none"/>
        </w:rPr>
      </w:pPr>
      <w:r>
        <w:rPr>
          <w:rFonts w:hint="eastAsia" w:ascii="宋体"/>
          <w:bCs/>
          <w:color w:val="auto"/>
          <w:sz w:val="24"/>
          <w:highlight w:val="none"/>
        </w:rPr>
        <w:t>4.</w:t>
      </w:r>
      <w:r>
        <w:rPr>
          <w:rFonts w:hint="eastAsia" w:ascii="宋体" w:hAnsi="宋体" w:cs="宋体"/>
          <w:color w:val="auto"/>
          <w:sz w:val="24"/>
          <w:highlight w:val="none"/>
        </w:rPr>
        <w:t>供应</w:t>
      </w:r>
      <w:r>
        <w:rPr>
          <w:rFonts w:hint="eastAsia" w:ascii="宋体"/>
          <w:bCs/>
          <w:color w:val="auto"/>
          <w:sz w:val="24"/>
          <w:highlight w:val="none"/>
        </w:rPr>
        <w:t>商须按国家有关规定及标准完成本次采购货物的供货、包装、运输、技术培训、检验、通过有关部门验收、维保期服务、货物终身维修等各项工作，并保证货物使用的安全性能与检测结果的可靠性。如中标，中标供应商及制造商对中标产品使用的安全性能与可靠性负全部责任。中标供应商须随产品提供使用说明书与维保卡。供应商提供相关数据与说明，投标文件须对上述要求作出实质性回应。</w:t>
      </w:r>
    </w:p>
    <w:p>
      <w:pPr>
        <w:widowControl/>
        <w:autoSpaceDE w:val="0"/>
        <w:autoSpaceDN w:val="0"/>
        <w:adjustRightInd w:val="0"/>
        <w:snapToGrid w:val="0"/>
        <w:spacing w:line="360" w:lineRule="auto"/>
        <w:ind w:firstLine="480" w:firstLineChars="200"/>
        <w:textAlignment w:val="bottom"/>
        <w:rPr>
          <w:rFonts w:ascii="宋体"/>
          <w:bCs/>
          <w:color w:val="auto"/>
          <w:sz w:val="24"/>
          <w:highlight w:val="none"/>
        </w:rPr>
      </w:pPr>
      <w:r>
        <w:rPr>
          <w:rFonts w:hint="eastAsia" w:ascii="宋体"/>
          <w:bCs/>
          <w:color w:val="auto"/>
          <w:sz w:val="24"/>
          <w:highlight w:val="none"/>
        </w:rPr>
        <w:t>5.本次采购，供应商所投产品如涉及国家规定强制认证的，均视为产品符合国家强制认证规定的，但中标供应商须在采购人对上述货物验收时提供相关证书证明资料，否则按验收不通过处理，并对中标供应商处以合同总金额10%的违约金。</w:t>
      </w:r>
    </w:p>
    <w:p>
      <w:pPr>
        <w:tabs>
          <w:tab w:val="left" w:pos="8280"/>
        </w:tabs>
        <w:autoSpaceDE w:val="0"/>
        <w:autoSpaceDN w:val="0"/>
        <w:adjustRightInd w:val="0"/>
        <w:spacing w:line="360" w:lineRule="auto"/>
        <w:ind w:right="25" w:firstLine="482" w:firstLineChars="200"/>
        <w:rPr>
          <w:rFonts w:asciiTheme="minorEastAsia" w:hAnsiTheme="minorEastAsia" w:eastAsiaTheme="minorEastAsia"/>
          <w:b/>
          <w:color w:val="auto"/>
          <w:sz w:val="24"/>
          <w:highlight w:val="none"/>
        </w:rPr>
      </w:pPr>
      <w:bookmarkStart w:id="105" w:name="_Toc12213"/>
      <w:r>
        <w:rPr>
          <w:rFonts w:hint="eastAsia" w:asciiTheme="minorEastAsia" w:hAnsiTheme="minorEastAsia" w:eastAsiaTheme="minorEastAsia"/>
          <w:b/>
          <w:color w:val="auto"/>
          <w:sz w:val="24"/>
          <w:highlight w:val="none"/>
        </w:rPr>
        <w:t>（二）采购清单（详见</w:t>
      </w:r>
      <w:bookmarkStart w:id="106" w:name="OLE_LINK37"/>
      <w:bookmarkStart w:id="107" w:name="OLE_LINK34"/>
      <w:r>
        <w:rPr>
          <w:rFonts w:hint="eastAsia" w:asciiTheme="minorEastAsia" w:hAnsiTheme="minorEastAsia" w:eastAsiaTheme="minorEastAsia"/>
          <w:b/>
          <w:color w:val="auto"/>
          <w:sz w:val="24"/>
          <w:highlight w:val="none"/>
        </w:rPr>
        <w:t>招标文件附件货物清单</w:t>
      </w:r>
      <w:bookmarkEnd w:id="106"/>
      <w:bookmarkEnd w:id="107"/>
      <w:r>
        <w:rPr>
          <w:rFonts w:hint="eastAsia" w:asciiTheme="minorEastAsia" w:hAnsiTheme="minorEastAsia" w:eastAsiaTheme="minorEastAsia"/>
          <w:b/>
          <w:color w:val="auto"/>
          <w:sz w:val="24"/>
          <w:highlight w:val="none"/>
        </w:rPr>
        <w:t>）</w:t>
      </w:r>
      <w:bookmarkEnd w:id="105"/>
    </w:p>
    <w:bookmarkEnd w:id="103"/>
    <w:bookmarkEnd w:id="104"/>
    <w:p>
      <w:pPr>
        <w:widowControl/>
        <w:autoSpaceDE w:val="0"/>
        <w:autoSpaceDN w:val="0"/>
        <w:adjustRightInd w:val="0"/>
        <w:snapToGrid w:val="0"/>
        <w:spacing w:line="360" w:lineRule="auto"/>
        <w:ind w:firstLine="482" w:firstLineChars="200"/>
        <w:textAlignment w:val="bottom"/>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1.货物清单中的图片仅供参考，其不涉及功能实现的外观、样式特征均不作为实质性响应条款。家具规格尺寸以现场实际测量尺寸为准。</w:t>
      </w:r>
    </w:p>
    <w:p>
      <w:pPr>
        <w:widowControl/>
        <w:autoSpaceDE w:val="0"/>
        <w:autoSpaceDN w:val="0"/>
        <w:adjustRightInd w:val="0"/>
        <w:snapToGrid w:val="0"/>
        <w:spacing w:line="360" w:lineRule="auto"/>
        <w:ind w:firstLine="482" w:firstLineChars="200"/>
        <w:textAlignment w:val="bottom"/>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2.招标文件要求的材质和技术指标为最低标准要求，投标供应商必须按不低于以上标准的材料进行生产加工。</w:t>
      </w:r>
    </w:p>
    <w:p>
      <w:pPr>
        <w:widowControl/>
        <w:autoSpaceDE w:val="0"/>
        <w:autoSpaceDN w:val="0"/>
        <w:adjustRightInd w:val="0"/>
        <w:snapToGrid w:val="0"/>
        <w:spacing w:line="360" w:lineRule="auto"/>
        <w:ind w:firstLine="482" w:firstLineChars="200"/>
        <w:textAlignment w:val="bottom"/>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color w:val="auto"/>
          <w:highlight w:val="none"/>
        </w:rPr>
        <w:t xml:space="preserve"> </w:t>
      </w:r>
      <w:r>
        <w:rPr>
          <w:rFonts w:hint="eastAsia" w:asciiTheme="minorEastAsia" w:hAnsiTheme="minorEastAsia" w:eastAsiaTheme="minorEastAsia"/>
          <w:b/>
          <w:color w:val="auto"/>
          <w:sz w:val="24"/>
          <w:highlight w:val="none"/>
        </w:rPr>
        <w:t>本项目核心产品为礼堂椅和</w:t>
      </w:r>
      <w:r>
        <w:rPr>
          <w:rFonts w:hint="eastAsia" w:ascii="宋体" w:hAnsi="宋体" w:cs="宋体"/>
          <w:b/>
          <w:bCs/>
          <w:color w:val="auto"/>
          <w:sz w:val="24"/>
          <w:highlight w:val="none"/>
        </w:rPr>
        <w:t>活动看台。</w:t>
      </w:r>
    </w:p>
    <w:p>
      <w:pPr>
        <w:tabs>
          <w:tab w:val="left" w:pos="8280"/>
        </w:tabs>
        <w:autoSpaceDE w:val="0"/>
        <w:autoSpaceDN w:val="0"/>
        <w:adjustRightInd w:val="0"/>
        <w:spacing w:line="360" w:lineRule="auto"/>
        <w:ind w:right="25" w:firstLine="482" w:firstLineChars="200"/>
        <w:rPr>
          <w:rFonts w:asciiTheme="minorEastAsia" w:hAnsiTheme="minorEastAsia" w:eastAsiaTheme="minorEastAsia"/>
          <w:b/>
          <w:color w:val="auto"/>
          <w:sz w:val="24"/>
          <w:highlight w:val="none"/>
        </w:rPr>
      </w:pPr>
      <w:bookmarkStart w:id="108" w:name="_Toc23658"/>
      <w:r>
        <w:rPr>
          <w:rFonts w:hint="eastAsia" w:asciiTheme="minorEastAsia" w:hAnsiTheme="minorEastAsia" w:eastAsiaTheme="minorEastAsia"/>
          <w:b/>
          <w:color w:val="auto"/>
          <w:sz w:val="24"/>
          <w:highlight w:val="none"/>
        </w:rPr>
        <w:t>（三）质量保证及售后服务</w:t>
      </w:r>
      <w:bookmarkEnd w:id="108"/>
    </w:p>
    <w:p>
      <w:pPr>
        <w:widowControl/>
        <w:autoSpaceDE w:val="0"/>
        <w:autoSpaceDN w:val="0"/>
        <w:adjustRightInd w:val="0"/>
        <w:snapToGrid w:val="0"/>
        <w:spacing w:line="360" w:lineRule="auto"/>
        <w:ind w:firstLine="480" w:firstLineChars="200"/>
        <w:textAlignment w:val="bottom"/>
        <w:rPr>
          <w:rFonts w:ascii="宋体" w:hAnsi="宋体" w:cs="宋体"/>
          <w:color w:val="auto"/>
          <w:kern w:val="0"/>
          <w:sz w:val="24"/>
          <w:szCs w:val="21"/>
          <w:highlight w:val="none"/>
        </w:rPr>
      </w:pPr>
      <w:r>
        <w:rPr>
          <w:rFonts w:hint="eastAsia" w:ascii="宋体" w:hAnsi="宋体" w:cs="宋体"/>
          <w:color w:val="auto"/>
          <w:kern w:val="0"/>
          <w:sz w:val="24"/>
          <w:szCs w:val="21"/>
          <w:highlight w:val="none"/>
        </w:rPr>
        <w:t>1. 本项目为交钥匙项目，中标供应商除需保证完成清单中的全部具体内容与要求的安装工作，其它为保障项目完成所需的所有产品、配件、工具、材料等全部由中标供应商负责。</w:t>
      </w:r>
    </w:p>
    <w:p>
      <w:pPr>
        <w:widowControl/>
        <w:autoSpaceDE w:val="0"/>
        <w:autoSpaceDN w:val="0"/>
        <w:adjustRightInd w:val="0"/>
        <w:snapToGrid w:val="0"/>
        <w:spacing w:line="360" w:lineRule="auto"/>
        <w:ind w:firstLine="480" w:firstLineChars="200"/>
        <w:textAlignment w:val="bottom"/>
        <w:rPr>
          <w:rFonts w:ascii="宋体" w:hAnsi="宋体"/>
          <w:color w:val="auto"/>
          <w:kern w:val="0"/>
          <w:sz w:val="24"/>
          <w:highlight w:val="none"/>
        </w:rPr>
      </w:pPr>
      <w:r>
        <w:rPr>
          <w:rFonts w:hint="eastAsia" w:ascii="宋体" w:hAnsi="宋体" w:cs="宋体"/>
          <w:color w:val="auto"/>
          <w:kern w:val="0"/>
          <w:sz w:val="24"/>
          <w:szCs w:val="21"/>
          <w:highlight w:val="none"/>
        </w:rPr>
        <w:t>2.中标供应商根据采购人最终确定的订货清单进行生产加工，家具的尺寸、材料、颜色、</w:t>
      </w:r>
      <w:r>
        <w:rPr>
          <w:rFonts w:hint="eastAsia" w:ascii="宋体"/>
          <w:bCs/>
          <w:color w:val="auto"/>
          <w:sz w:val="24"/>
          <w:highlight w:val="none"/>
        </w:rPr>
        <w:t>样式</w:t>
      </w:r>
      <w:r>
        <w:rPr>
          <w:rFonts w:hint="eastAsia" w:ascii="宋体" w:hAnsi="宋体" w:cs="宋体"/>
          <w:color w:val="auto"/>
          <w:kern w:val="0"/>
          <w:sz w:val="24"/>
          <w:szCs w:val="21"/>
          <w:highlight w:val="none"/>
        </w:rPr>
        <w:t>等在未经采购人书面同意不得擅自更改，相关的技术要求、试验方法、检验规则以及包装、贮运和标志等一系列相关的内容应按照投标供应商承诺的相关标准进行生产（此标准不得低于招标需求的执行标准）。如经发现上述违反相关承诺的，采购人有</w:t>
      </w:r>
      <w:r>
        <w:rPr>
          <w:rFonts w:hint="eastAsia" w:ascii="宋体" w:hAnsi="宋体"/>
          <w:color w:val="auto"/>
          <w:kern w:val="0"/>
          <w:sz w:val="24"/>
          <w:highlight w:val="none"/>
        </w:rPr>
        <w:t>权终止合同、没收履约保证金并要求供应商赔偿采购人的全部损失。</w:t>
      </w:r>
    </w:p>
    <w:p>
      <w:pPr>
        <w:widowControl/>
        <w:autoSpaceDE w:val="0"/>
        <w:autoSpaceDN w:val="0"/>
        <w:adjustRightInd w:val="0"/>
        <w:snapToGrid w:val="0"/>
        <w:spacing w:line="360" w:lineRule="auto"/>
        <w:ind w:firstLine="480" w:firstLineChars="200"/>
        <w:textAlignment w:val="bottom"/>
        <w:rPr>
          <w:rFonts w:ascii="宋体" w:hAnsi="宋体"/>
          <w:color w:val="auto"/>
          <w:kern w:val="0"/>
          <w:sz w:val="24"/>
          <w:highlight w:val="none"/>
        </w:rPr>
      </w:pPr>
      <w:r>
        <w:rPr>
          <w:rFonts w:hint="eastAsia" w:ascii="宋体" w:hAnsi="宋体"/>
          <w:color w:val="auto"/>
          <w:kern w:val="0"/>
          <w:sz w:val="24"/>
          <w:highlight w:val="none"/>
        </w:rPr>
        <w:t>3.安装要求：</w:t>
      </w:r>
    </w:p>
    <w:p>
      <w:pPr>
        <w:widowControl/>
        <w:autoSpaceDE w:val="0"/>
        <w:autoSpaceDN w:val="0"/>
        <w:adjustRightInd w:val="0"/>
        <w:snapToGrid w:val="0"/>
        <w:spacing w:line="360" w:lineRule="auto"/>
        <w:ind w:firstLine="480" w:firstLineChars="200"/>
        <w:textAlignment w:val="bottom"/>
        <w:rPr>
          <w:rFonts w:ascii="宋体" w:hAnsi="宋体"/>
          <w:color w:val="auto"/>
          <w:kern w:val="0"/>
          <w:sz w:val="24"/>
          <w:highlight w:val="none"/>
        </w:rPr>
      </w:pPr>
      <w:r>
        <w:rPr>
          <w:rFonts w:hint="eastAsia" w:ascii="宋体" w:hAnsi="宋体"/>
          <w:color w:val="auto"/>
          <w:kern w:val="0"/>
          <w:sz w:val="24"/>
          <w:highlight w:val="none"/>
        </w:rPr>
        <w:t>（1）投标供应商应提供安装调试计划、对安装场地和环境的要求。</w:t>
      </w:r>
    </w:p>
    <w:p>
      <w:pPr>
        <w:widowControl/>
        <w:autoSpaceDE w:val="0"/>
        <w:autoSpaceDN w:val="0"/>
        <w:adjustRightInd w:val="0"/>
        <w:snapToGrid w:val="0"/>
        <w:spacing w:line="360" w:lineRule="auto"/>
        <w:ind w:firstLine="480" w:firstLineChars="200"/>
        <w:textAlignment w:val="bottom"/>
        <w:rPr>
          <w:rFonts w:ascii="宋体" w:hAnsi="宋体"/>
          <w:color w:val="auto"/>
          <w:kern w:val="0"/>
          <w:sz w:val="24"/>
          <w:highlight w:val="none"/>
        </w:rPr>
      </w:pPr>
      <w:r>
        <w:rPr>
          <w:rFonts w:hint="eastAsia" w:ascii="宋体" w:hAnsi="宋体"/>
          <w:color w:val="auto"/>
          <w:kern w:val="0"/>
          <w:sz w:val="24"/>
          <w:highlight w:val="none"/>
        </w:rPr>
        <w:t>（2）中标</w:t>
      </w:r>
      <w:r>
        <w:rPr>
          <w:rFonts w:hint="eastAsia" w:ascii="宋体"/>
          <w:bCs/>
          <w:color w:val="auto"/>
          <w:sz w:val="24"/>
          <w:highlight w:val="none"/>
        </w:rPr>
        <w:t>供应</w:t>
      </w:r>
      <w:r>
        <w:rPr>
          <w:rFonts w:hint="eastAsia" w:ascii="宋体" w:hAnsi="宋体"/>
          <w:color w:val="auto"/>
          <w:kern w:val="0"/>
          <w:sz w:val="24"/>
          <w:highlight w:val="none"/>
        </w:rPr>
        <w:t>商全权负责货物的包装、运输及安装，并对供货、安装全过程中的人身及财产安全承担全部责任。</w:t>
      </w:r>
    </w:p>
    <w:p>
      <w:pPr>
        <w:widowControl/>
        <w:autoSpaceDE w:val="0"/>
        <w:autoSpaceDN w:val="0"/>
        <w:adjustRightInd w:val="0"/>
        <w:snapToGrid w:val="0"/>
        <w:spacing w:line="360" w:lineRule="auto"/>
        <w:ind w:firstLine="480" w:firstLineChars="200"/>
        <w:textAlignment w:val="bottom"/>
        <w:rPr>
          <w:rFonts w:ascii="宋体" w:hAnsi="宋体"/>
          <w:color w:val="auto"/>
          <w:kern w:val="0"/>
          <w:sz w:val="24"/>
          <w:highlight w:val="none"/>
        </w:rPr>
      </w:pPr>
      <w:r>
        <w:rPr>
          <w:rFonts w:hint="eastAsia" w:ascii="宋体" w:hAnsi="宋体"/>
          <w:color w:val="auto"/>
          <w:kern w:val="0"/>
          <w:sz w:val="24"/>
          <w:highlight w:val="none"/>
        </w:rPr>
        <w:t>（3）</w:t>
      </w:r>
      <w:r>
        <w:rPr>
          <w:rFonts w:hint="eastAsia" w:ascii="宋体" w:hAnsi="宋体" w:cs="宋体"/>
          <w:color w:val="auto"/>
          <w:kern w:val="0"/>
          <w:sz w:val="24"/>
          <w:szCs w:val="21"/>
          <w:highlight w:val="none"/>
        </w:rPr>
        <w:t>中标供应商必须指派具有专业资质的人员进行安装，</w:t>
      </w:r>
      <w:r>
        <w:rPr>
          <w:rFonts w:hint="eastAsia" w:ascii="宋体" w:hAnsi="宋体"/>
          <w:color w:val="auto"/>
          <w:kern w:val="0"/>
          <w:sz w:val="24"/>
          <w:highlight w:val="none"/>
        </w:rPr>
        <w:t>安装标准须符合我国国家有关技术规范要求和技术标准的规定。</w:t>
      </w:r>
    </w:p>
    <w:p>
      <w:pPr>
        <w:widowControl/>
        <w:autoSpaceDE w:val="0"/>
        <w:autoSpaceDN w:val="0"/>
        <w:adjustRightInd w:val="0"/>
        <w:snapToGrid w:val="0"/>
        <w:spacing w:line="360" w:lineRule="auto"/>
        <w:ind w:firstLine="480" w:firstLineChars="200"/>
        <w:textAlignment w:val="bottom"/>
        <w:rPr>
          <w:rFonts w:ascii="宋体" w:hAnsi="宋体"/>
          <w:color w:val="auto"/>
          <w:kern w:val="0"/>
          <w:sz w:val="24"/>
          <w:highlight w:val="none"/>
        </w:rPr>
      </w:pPr>
      <w:r>
        <w:rPr>
          <w:rFonts w:hint="eastAsia" w:ascii="宋体" w:hAnsi="宋体"/>
          <w:color w:val="auto"/>
          <w:kern w:val="0"/>
          <w:sz w:val="24"/>
          <w:highlight w:val="none"/>
        </w:rPr>
        <w:t>（4）在</w:t>
      </w:r>
      <w:r>
        <w:rPr>
          <w:rFonts w:hint="eastAsia" w:ascii="宋体"/>
          <w:bCs/>
          <w:color w:val="auto"/>
          <w:sz w:val="24"/>
          <w:highlight w:val="none"/>
        </w:rPr>
        <w:t>规定</w:t>
      </w:r>
      <w:r>
        <w:rPr>
          <w:rFonts w:hint="eastAsia" w:ascii="宋体" w:hAnsi="宋体"/>
          <w:color w:val="auto"/>
          <w:kern w:val="0"/>
          <w:sz w:val="24"/>
          <w:highlight w:val="none"/>
        </w:rPr>
        <w:t>的时间内由于投标供应商的原因不能完成安装和调试，投标供应商应承担由此给采购人造成的损失。</w:t>
      </w:r>
    </w:p>
    <w:p>
      <w:pPr>
        <w:widowControl/>
        <w:autoSpaceDE w:val="0"/>
        <w:autoSpaceDN w:val="0"/>
        <w:adjustRightInd w:val="0"/>
        <w:snapToGrid w:val="0"/>
        <w:spacing w:line="360" w:lineRule="auto"/>
        <w:ind w:firstLine="480" w:firstLineChars="200"/>
        <w:textAlignment w:val="bottom"/>
        <w:rPr>
          <w:rFonts w:ascii="宋体" w:hAnsi="宋体"/>
          <w:color w:val="auto"/>
          <w:kern w:val="0"/>
          <w:sz w:val="24"/>
          <w:highlight w:val="none"/>
        </w:rPr>
      </w:pPr>
      <w:r>
        <w:rPr>
          <w:rFonts w:hint="eastAsia" w:ascii="宋体" w:hAnsi="宋体"/>
          <w:color w:val="auto"/>
          <w:kern w:val="0"/>
          <w:sz w:val="24"/>
          <w:highlight w:val="none"/>
        </w:rPr>
        <w:t>4.</w:t>
      </w:r>
      <w:r>
        <w:rPr>
          <w:rFonts w:hint="eastAsia" w:ascii="宋体"/>
          <w:bCs/>
          <w:color w:val="auto"/>
          <w:sz w:val="24"/>
          <w:highlight w:val="none"/>
        </w:rPr>
        <w:t>售后服务</w:t>
      </w:r>
    </w:p>
    <w:p>
      <w:pPr>
        <w:widowControl/>
        <w:autoSpaceDE w:val="0"/>
        <w:autoSpaceDN w:val="0"/>
        <w:adjustRightInd w:val="0"/>
        <w:snapToGrid w:val="0"/>
        <w:spacing w:line="360" w:lineRule="auto"/>
        <w:ind w:firstLine="480" w:firstLineChars="200"/>
        <w:textAlignment w:val="bottom"/>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sz w:val="24"/>
          <w:highlight w:val="none"/>
        </w:rPr>
        <w:t>质保期内维修人工费、零配件等一切费用均免费。质保期满后，故障维修</w:t>
      </w:r>
      <w:r>
        <w:rPr>
          <w:rFonts w:hint="eastAsia" w:ascii="宋体" w:hAnsi="宋体"/>
          <w:color w:val="auto"/>
          <w:kern w:val="0"/>
          <w:sz w:val="24"/>
          <w:highlight w:val="none"/>
        </w:rPr>
        <w:t>仅收取零配件成本费。</w:t>
      </w:r>
    </w:p>
    <w:p>
      <w:pPr>
        <w:widowControl/>
        <w:autoSpaceDE w:val="0"/>
        <w:autoSpaceDN w:val="0"/>
        <w:adjustRightInd w:val="0"/>
        <w:snapToGrid w:val="0"/>
        <w:spacing w:line="360" w:lineRule="auto"/>
        <w:ind w:firstLine="480" w:firstLineChars="200"/>
        <w:textAlignment w:val="bottom"/>
        <w:rPr>
          <w:rFonts w:ascii="宋体" w:hAnsi="宋体"/>
          <w:color w:val="auto"/>
          <w:kern w:val="0"/>
          <w:sz w:val="24"/>
          <w:highlight w:val="none"/>
        </w:rPr>
      </w:pPr>
      <w:r>
        <w:rPr>
          <w:rFonts w:hint="eastAsia" w:ascii="宋体" w:hAnsi="宋体"/>
          <w:color w:val="auto"/>
          <w:kern w:val="0"/>
          <w:sz w:val="24"/>
          <w:highlight w:val="none"/>
        </w:rPr>
        <w:t>（2）在质保期内因产品本身缺陷（非人为因素损坏）导致产品无法正常使用的或无法实现招标文件规定的使用效果的，中标供应商应免费进行维修，如维修后仍无法满足使用要求的，须无条件予以退换。</w:t>
      </w:r>
    </w:p>
    <w:p>
      <w:pPr>
        <w:widowControl/>
        <w:autoSpaceDE w:val="0"/>
        <w:autoSpaceDN w:val="0"/>
        <w:adjustRightInd w:val="0"/>
        <w:snapToGrid w:val="0"/>
        <w:spacing w:line="360" w:lineRule="auto"/>
        <w:ind w:firstLine="480" w:firstLineChars="200"/>
        <w:textAlignment w:val="bottom"/>
        <w:rPr>
          <w:rFonts w:ascii="宋体" w:hAnsi="宋体"/>
          <w:color w:val="auto"/>
          <w:kern w:val="0"/>
          <w:sz w:val="24"/>
          <w:highlight w:val="none"/>
        </w:rPr>
      </w:pPr>
      <w:r>
        <w:rPr>
          <w:rFonts w:hint="eastAsia" w:ascii="宋体" w:hAnsi="宋体"/>
          <w:color w:val="auto"/>
          <w:kern w:val="0"/>
          <w:sz w:val="24"/>
          <w:highlight w:val="none"/>
        </w:rPr>
        <w:t>（2）中标</w:t>
      </w:r>
      <w:r>
        <w:rPr>
          <w:rFonts w:hint="eastAsia" w:ascii="宋体"/>
          <w:bCs/>
          <w:color w:val="auto"/>
          <w:sz w:val="24"/>
          <w:highlight w:val="none"/>
        </w:rPr>
        <w:t>供应</w:t>
      </w:r>
      <w:r>
        <w:rPr>
          <w:rFonts w:hint="eastAsia" w:ascii="宋体" w:hAnsi="宋体"/>
          <w:color w:val="auto"/>
          <w:kern w:val="0"/>
          <w:sz w:val="24"/>
          <w:highlight w:val="none"/>
        </w:rPr>
        <w:t>商提供7✕24技术服务，中标供应商接到报修电话后，30分钟内响应，需要现场服务的，服务人员4</w:t>
      </w:r>
      <w:r>
        <w:rPr>
          <w:rFonts w:hint="eastAsia" w:ascii="宋体" w:hAnsi="宋体"/>
          <w:color w:val="auto"/>
          <w:kern w:val="0"/>
          <w:sz w:val="24"/>
          <w:highlight w:val="none"/>
          <w:lang w:val="en-US" w:eastAsia="zh-CN"/>
        </w:rPr>
        <w:t>小</w:t>
      </w:r>
      <w:r>
        <w:rPr>
          <w:rFonts w:hint="eastAsia" w:ascii="宋体" w:hAnsi="宋体"/>
          <w:color w:val="auto"/>
          <w:kern w:val="0"/>
          <w:sz w:val="24"/>
          <w:highlight w:val="none"/>
        </w:rPr>
        <w:t>时内到达现场。</w:t>
      </w:r>
    </w:p>
    <w:p>
      <w:pPr>
        <w:tabs>
          <w:tab w:val="left" w:pos="8280"/>
        </w:tabs>
        <w:autoSpaceDE w:val="0"/>
        <w:autoSpaceDN w:val="0"/>
        <w:adjustRightInd w:val="0"/>
        <w:spacing w:line="360" w:lineRule="auto"/>
        <w:ind w:right="25" w:firstLine="482" w:firstLineChars="200"/>
        <w:rPr>
          <w:rFonts w:asciiTheme="minorEastAsia" w:hAnsiTheme="minorEastAsia" w:eastAsiaTheme="minorEastAsia"/>
          <w:b/>
          <w:color w:val="auto"/>
          <w:sz w:val="24"/>
          <w:highlight w:val="none"/>
        </w:rPr>
      </w:pPr>
      <w:bookmarkStart w:id="109" w:name="_Toc14315"/>
      <w:r>
        <w:rPr>
          <w:rFonts w:hint="eastAsia" w:asciiTheme="minorEastAsia" w:hAnsiTheme="minorEastAsia" w:eastAsiaTheme="minorEastAsia"/>
          <w:b/>
          <w:color w:val="auto"/>
          <w:sz w:val="24"/>
          <w:highlight w:val="none"/>
        </w:rPr>
        <w:t>（四）验收</w:t>
      </w:r>
      <w:bookmarkEnd w:id="109"/>
    </w:p>
    <w:p>
      <w:pPr>
        <w:widowControl/>
        <w:autoSpaceDE w:val="0"/>
        <w:autoSpaceDN w:val="0"/>
        <w:adjustRightInd w:val="0"/>
        <w:snapToGrid w:val="0"/>
        <w:spacing w:line="360" w:lineRule="auto"/>
        <w:ind w:firstLine="480" w:firstLineChars="200"/>
        <w:textAlignment w:val="bottom"/>
        <w:rPr>
          <w:rFonts w:ascii="宋体" w:hAnsi="宋体" w:cs="宋体"/>
          <w:color w:val="auto"/>
          <w:kern w:val="0"/>
          <w:sz w:val="24"/>
          <w:szCs w:val="21"/>
          <w:highlight w:val="none"/>
        </w:rPr>
      </w:pPr>
      <w:r>
        <w:rPr>
          <w:rFonts w:hint="eastAsia" w:ascii="宋体" w:hAnsi="宋体" w:cs="宋体"/>
          <w:color w:val="auto"/>
          <w:kern w:val="0"/>
          <w:sz w:val="24"/>
          <w:szCs w:val="21"/>
          <w:highlight w:val="none"/>
        </w:rPr>
        <w:t>1.货物交付时中标供应商应提供产品的有效检验文件及供货清单，经采购人认可后，与合同的性能指标一起作为产品验收标准。采购人对产品验收合格后，双方共同签署验收合格证书。如验收中发现产品达不到验收标准或合同约定的性能指标，中标供应商必须更换相关零部件，甚至于更换产品。并且赔偿由此给采购人造成的损失。如中标供应商存在故意以次充好或提供产品实物与投标承诺不符的情形，采购人有权解除合同并扣除全部履约保证金，中标供应商还须赔偿由此给采购人造成的一切损失。</w:t>
      </w:r>
    </w:p>
    <w:p>
      <w:pPr>
        <w:widowControl/>
        <w:autoSpaceDE w:val="0"/>
        <w:autoSpaceDN w:val="0"/>
        <w:adjustRightInd w:val="0"/>
        <w:snapToGrid w:val="0"/>
        <w:spacing w:line="360" w:lineRule="auto"/>
        <w:ind w:firstLine="480" w:firstLineChars="200"/>
        <w:textAlignment w:val="bottom"/>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r>
        <w:rPr>
          <w:rFonts w:hint="eastAsia" w:asciiTheme="minorEastAsia" w:hAnsiTheme="minorEastAsia" w:eastAsiaTheme="minorEastAsia"/>
          <w:color w:val="auto"/>
          <w:sz w:val="24"/>
          <w:highlight w:val="none"/>
        </w:rPr>
        <w:t>采购人有权委托具有法定资质的检测单位按投标承诺对交付的产品进行检测鉴定，如检测合格，相关费用由采购人承担；如果检测结果不符合，采购人可视情节严重程度，要求中标供应商换货、整改、重新送检或要求中标供应商退货退款及终止合同，</w:t>
      </w:r>
      <w:r>
        <w:rPr>
          <w:rFonts w:hint="eastAsia" w:ascii="宋体" w:hAnsi="宋体" w:cs="宋体"/>
          <w:color w:val="auto"/>
          <w:kern w:val="0"/>
          <w:sz w:val="24"/>
          <w:szCs w:val="21"/>
          <w:highlight w:val="none"/>
        </w:rPr>
        <w:t>供应商对由此造成的一切损失负全责</w:t>
      </w:r>
      <w:r>
        <w:rPr>
          <w:rFonts w:hint="eastAsia" w:ascii="宋体" w:hAnsi="宋体" w:cs="宋体"/>
          <w:color w:val="auto"/>
          <w:kern w:val="0"/>
          <w:sz w:val="24"/>
          <w:szCs w:val="21"/>
          <w:highlight w:val="none"/>
          <w:lang w:eastAsia="zh-CN"/>
        </w:rPr>
        <w:t>，</w:t>
      </w:r>
      <w:r>
        <w:rPr>
          <w:rFonts w:hint="eastAsia" w:ascii="宋体" w:hAnsi="宋体" w:cs="宋体"/>
          <w:color w:val="auto"/>
          <w:kern w:val="0"/>
          <w:sz w:val="24"/>
          <w:szCs w:val="21"/>
          <w:highlight w:val="none"/>
          <w:lang w:val="en-US" w:eastAsia="zh-CN"/>
        </w:rPr>
        <w:t>且</w:t>
      </w:r>
      <w:r>
        <w:rPr>
          <w:rFonts w:hint="eastAsia" w:asciiTheme="minorEastAsia" w:hAnsiTheme="minorEastAsia" w:eastAsiaTheme="minorEastAsia"/>
          <w:color w:val="auto"/>
          <w:sz w:val="24"/>
          <w:highlight w:val="none"/>
        </w:rPr>
        <w:t>相关</w:t>
      </w:r>
      <w:r>
        <w:rPr>
          <w:rFonts w:hint="eastAsia" w:asciiTheme="minorEastAsia" w:hAnsiTheme="minorEastAsia" w:eastAsiaTheme="minorEastAsia"/>
          <w:color w:val="auto"/>
          <w:sz w:val="24"/>
          <w:highlight w:val="none"/>
          <w:lang w:val="en-US" w:eastAsia="zh-CN"/>
        </w:rPr>
        <w:t>检测</w:t>
      </w:r>
      <w:r>
        <w:rPr>
          <w:rFonts w:hint="eastAsia" w:asciiTheme="minorEastAsia" w:hAnsiTheme="minorEastAsia" w:eastAsiaTheme="minorEastAsia"/>
          <w:color w:val="auto"/>
          <w:sz w:val="24"/>
          <w:highlight w:val="none"/>
        </w:rPr>
        <w:t>费用由中标供应商承担</w:t>
      </w:r>
      <w:r>
        <w:rPr>
          <w:rFonts w:hint="eastAsia" w:ascii="宋体" w:hAnsi="宋体" w:cs="宋体"/>
          <w:color w:val="auto"/>
          <w:kern w:val="0"/>
          <w:sz w:val="24"/>
          <w:szCs w:val="21"/>
          <w:highlight w:val="none"/>
        </w:rPr>
        <w:t>。</w:t>
      </w:r>
    </w:p>
    <w:p>
      <w:pPr>
        <w:widowControl/>
        <w:autoSpaceDE w:val="0"/>
        <w:autoSpaceDN w:val="0"/>
        <w:adjustRightInd w:val="0"/>
        <w:snapToGrid w:val="0"/>
        <w:spacing w:line="360" w:lineRule="auto"/>
        <w:ind w:firstLine="480" w:firstLineChars="200"/>
        <w:textAlignment w:val="bottom"/>
        <w:rPr>
          <w:rFonts w:ascii="宋体" w:hAnsi="宋体" w:cs="宋体"/>
          <w:color w:val="auto"/>
          <w:kern w:val="0"/>
          <w:sz w:val="24"/>
          <w:szCs w:val="21"/>
          <w:highlight w:val="none"/>
        </w:rPr>
      </w:pPr>
      <w:r>
        <w:rPr>
          <w:rFonts w:hint="eastAsia" w:ascii="宋体" w:hAnsi="宋体" w:cs="宋体"/>
          <w:color w:val="auto"/>
          <w:kern w:val="0"/>
          <w:sz w:val="24"/>
          <w:szCs w:val="21"/>
          <w:highlight w:val="none"/>
        </w:rPr>
        <w:t>3.验收合格</w:t>
      </w:r>
      <w:r>
        <w:rPr>
          <w:rFonts w:hint="eastAsia" w:ascii="宋体"/>
          <w:bCs/>
          <w:color w:val="auto"/>
          <w:sz w:val="24"/>
          <w:highlight w:val="none"/>
        </w:rPr>
        <w:t>条件</w:t>
      </w:r>
      <w:r>
        <w:rPr>
          <w:rFonts w:hint="eastAsia" w:ascii="宋体" w:hAnsi="宋体" w:cs="宋体"/>
          <w:color w:val="auto"/>
          <w:kern w:val="0"/>
          <w:sz w:val="24"/>
          <w:szCs w:val="21"/>
          <w:highlight w:val="none"/>
        </w:rPr>
        <w:t>：</w:t>
      </w:r>
    </w:p>
    <w:p>
      <w:pPr>
        <w:widowControl/>
        <w:autoSpaceDE w:val="0"/>
        <w:autoSpaceDN w:val="0"/>
        <w:adjustRightInd w:val="0"/>
        <w:snapToGrid w:val="0"/>
        <w:spacing w:line="360" w:lineRule="auto"/>
        <w:ind w:firstLine="480" w:firstLineChars="200"/>
        <w:textAlignment w:val="bottom"/>
        <w:rPr>
          <w:rFonts w:ascii="宋体" w:hAnsi="宋体" w:cs="宋体"/>
          <w:color w:val="auto"/>
          <w:kern w:val="0"/>
          <w:sz w:val="24"/>
          <w:szCs w:val="21"/>
          <w:highlight w:val="none"/>
        </w:rPr>
      </w:pPr>
      <w:r>
        <w:rPr>
          <w:rFonts w:hint="eastAsia" w:ascii="宋体" w:hAnsi="宋体" w:cs="宋体"/>
          <w:color w:val="auto"/>
          <w:kern w:val="0"/>
          <w:sz w:val="24"/>
          <w:szCs w:val="21"/>
          <w:highlight w:val="none"/>
        </w:rPr>
        <w:t>（1）货物</w:t>
      </w:r>
      <w:r>
        <w:rPr>
          <w:rFonts w:hint="eastAsia" w:ascii="宋体"/>
          <w:bCs/>
          <w:color w:val="auto"/>
          <w:sz w:val="24"/>
          <w:highlight w:val="none"/>
        </w:rPr>
        <w:t>使用</w:t>
      </w:r>
      <w:r>
        <w:rPr>
          <w:rFonts w:hint="eastAsia" w:ascii="宋体" w:hAnsi="宋体" w:cs="宋体"/>
          <w:color w:val="auto"/>
          <w:kern w:val="0"/>
          <w:sz w:val="24"/>
          <w:szCs w:val="21"/>
          <w:highlight w:val="none"/>
        </w:rPr>
        <w:t>效果符合采购要求及国家相关标准；</w:t>
      </w:r>
    </w:p>
    <w:p>
      <w:pPr>
        <w:widowControl/>
        <w:autoSpaceDE w:val="0"/>
        <w:autoSpaceDN w:val="0"/>
        <w:adjustRightInd w:val="0"/>
        <w:snapToGrid w:val="0"/>
        <w:spacing w:line="360" w:lineRule="auto"/>
        <w:ind w:firstLine="480" w:firstLineChars="200"/>
        <w:textAlignment w:val="bottom"/>
        <w:rPr>
          <w:rFonts w:ascii="宋体" w:hAnsi="宋体" w:cs="宋体"/>
          <w:color w:val="auto"/>
          <w:kern w:val="0"/>
          <w:sz w:val="24"/>
          <w:szCs w:val="21"/>
          <w:highlight w:val="none"/>
        </w:rPr>
      </w:pPr>
      <w:r>
        <w:rPr>
          <w:rFonts w:hint="eastAsia" w:ascii="宋体" w:hAnsi="宋体" w:cs="宋体"/>
          <w:color w:val="auto"/>
          <w:kern w:val="0"/>
          <w:sz w:val="24"/>
          <w:szCs w:val="21"/>
          <w:highlight w:val="none"/>
        </w:rPr>
        <w:t>（2）在进行测试和试用过程中发生的故障和发现的问题已被排除，并得到采购人的认可；</w:t>
      </w:r>
    </w:p>
    <w:p>
      <w:pPr>
        <w:widowControl/>
        <w:autoSpaceDE w:val="0"/>
        <w:autoSpaceDN w:val="0"/>
        <w:adjustRightInd w:val="0"/>
        <w:snapToGrid w:val="0"/>
        <w:spacing w:line="360" w:lineRule="auto"/>
        <w:ind w:firstLine="480" w:firstLineChars="200"/>
        <w:textAlignment w:val="bottom"/>
        <w:rPr>
          <w:rFonts w:ascii="宋体" w:hAnsi="宋体" w:cs="宋体"/>
          <w:color w:val="auto"/>
          <w:kern w:val="0"/>
          <w:sz w:val="24"/>
          <w:szCs w:val="21"/>
          <w:highlight w:val="none"/>
        </w:rPr>
      </w:pPr>
      <w:r>
        <w:rPr>
          <w:rFonts w:hint="eastAsia" w:ascii="宋体" w:hAnsi="宋体" w:cs="宋体"/>
          <w:color w:val="auto"/>
          <w:kern w:val="0"/>
          <w:sz w:val="24"/>
          <w:szCs w:val="21"/>
          <w:highlight w:val="none"/>
        </w:rPr>
        <w:t>（3）所有</w:t>
      </w:r>
      <w:r>
        <w:rPr>
          <w:rFonts w:hint="eastAsia" w:ascii="宋体"/>
          <w:bCs/>
          <w:color w:val="auto"/>
          <w:sz w:val="24"/>
          <w:highlight w:val="none"/>
        </w:rPr>
        <w:t>合同</w:t>
      </w:r>
      <w:r>
        <w:rPr>
          <w:rFonts w:hint="eastAsia" w:ascii="宋体" w:hAnsi="宋体" w:cs="宋体"/>
          <w:color w:val="auto"/>
          <w:kern w:val="0"/>
          <w:sz w:val="24"/>
          <w:szCs w:val="21"/>
          <w:highlight w:val="none"/>
        </w:rPr>
        <w:t>中约定的材料、配件和资料都已提交并得到接受。</w:t>
      </w:r>
    </w:p>
    <w:p>
      <w:pPr>
        <w:widowControl/>
        <w:autoSpaceDE w:val="0"/>
        <w:autoSpaceDN w:val="0"/>
        <w:adjustRightInd w:val="0"/>
        <w:snapToGrid w:val="0"/>
        <w:spacing w:line="360" w:lineRule="auto"/>
        <w:ind w:firstLine="480" w:firstLineChars="200"/>
        <w:textAlignment w:val="bottom"/>
        <w:rPr>
          <w:rFonts w:ascii="宋体" w:hAnsi="宋体" w:cs="宋体"/>
          <w:color w:val="auto"/>
          <w:kern w:val="0"/>
          <w:sz w:val="24"/>
          <w:szCs w:val="21"/>
          <w:highlight w:val="none"/>
        </w:rPr>
      </w:pPr>
      <w:r>
        <w:rPr>
          <w:rFonts w:hint="eastAsia" w:ascii="宋体" w:hAnsi="宋体" w:cs="宋体"/>
          <w:color w:val="auto"/>
          <w:kern w:val="0"/>
          <w:sz w:val="24"/>
          <w:szCs w:val="21"/>
          <w:highlight w:val="none"/>
        </w:rPr>
        <w:t>4.</w:t>
      </w:r>
      <w:bookmarkStart w:id="110" w:name="OLE_LINK28"/>
      <w:r>
        <w:rPr>
          <w:rFonts w:ascii="宋体" w:hAnsi="宋体" w:cs="宋体"/>
          <w:color w:val="auto"/>
          <w:kern w:val="0"/>
          <w:sz w:val="24"/>
          <w:szCs w:val="21"/>
          <w:highlight w:val="none"/>
        </w:rPr>
        <w:t>验收</w:t>
      </w:r>
      <w:r>
        <w:rPr>
          <w:rFonts w:hint="eastAsia" w:ascii="宋体" w:hAnsi="宋体" w:cs="宋体"/>
          <w:color w:val="auto"/>
          <w:kern w:val="0"/>
          <w:sz w:val="24"/>
          <w:szCs w:val="21"/>
          <w:highlight w:val="none"/>
        </w:rPr>
        <w:t>流程要求</w:t>
      </w:r>
      <w:bookmarkEnd w:id="110"/>
      <w:r>
        <w:rPr>
          <w:rFonts w:hint="eastAsia" w:ascii="宋体" w:hAnsi="宋体" w:cs="宋体"/>
          <w:color w:val="auto"/>
          <w:kern w:val="0"/>
          <w:sz w:val="24"/>
          <w:szCs w:val="21"/>
          <w:highlight w:val="none"/>
        </w:rPr>
        <w:t>：</w:t>
      </w:r>
    </w:p>
    <w:p>
      <w:pPr>
        <w:widowControl/>
        <w:autoSpaceDE w:val="0"/>
        <w:autoSpaceDN w:val="0"/>
        <w:adjustRightInd w:val="0"/>
        <w:snapToGrid w:val="0"/>
        <w:spacing w:line="360" w:lineRule="auto"/>
        <w:ind w:firstLine="480" w:firstLineChars="200"/>
        <w:textAlignment w:val="bottom"/>
        <w:rPr>
          <w:rFonts w:ascii="宋体" w:hAnsi="宋体" w:cs="宋体"/>
          <w:color w:val="auto"/>
          <w:kern w:val="0"/>
          <w:sz w:val="24"/>
          <w:szCs w:val="21"/>
          <w:highlight w:val="none"/>
        </w:rPr>
      </w:pPr>
      <w:r>
        <w:rPr>
          <w:rFonts w:hint="eastAsia" w:ascii="宋体" w:hAnsi="宋体" w:cs="宋体"/>
          <w:color w:val="auto"/>
          <w:kern w:val="0"/>
          <w:sz w:val="24"/>
          <w:szCs w:val="21"/>
          <w:highlight w:val="none"/>
        </w:rPr>
        <w:t>（1）初步</w:t>
      </w:r>
      <w:r>
        <w:rPr>
          <w:rFonts w:hint="eastAsia" w:ascii="宋体"/>
          <w:bCs/>
          <w:color w:val="auto"/>
          <w:sz w:val="24"/>
          <w:highlight w:val="none"/>
        </w:rPr>
        <w:t>验收</w:t>
      </w:r>
      <w:r>
        <w:rPr>
          <w:rFonts w:hint="eastAsia" w:ascii="宋体" w:hAnsi="宋体" w:cs="宋体"/>
          <w:color w:val="auto"/>
          <w:kern w:val="0"/>
          <w:sz w:val="24"/>
          <w:szCs w:val="21"/>
          <w:highlight w:val="none"/>
        </w:rPr>
        <w:t>：货物到货时由采购人和中标供应商共同进行初步验收，采购人依据招标文件上的技术规格要求和国家有关质量标准对货物的品牌、外观、规格、参数配置、数量、配件等进行现场验收，符合招标文件及投标文件技术要求的，给予签收，初步验收不合格的不予签收。</w:t>
      </w:r>
    </w:p>
    <w:p>
      <w:pPr>
        <w:widowControl/>
        <w:autoSpaceDE w:val="0"/>
        <w:autoSpaceDN w:val="0"/>
        <w:adjustRightInd w:val="0"/>
        <w:snapToGrid w:val="0"/>
        <w:spacing w:line="360" w:lineRule="auto"/>
        <w:ind w:firstLine="480" w:firstLineChars="200"/>
        <w:textAlignment w:val="bottom"/>
        <w:rPr>
          <w:rFonts w:ascii="宋体" w:hAnsi="宋体" w:cs="宋体"/>
          <w:color w:val="auto"/>
          <w:kern w:val="0"/>
          <w:sz w:val="24"/>
          <w:szCs w:val="21"/>
          <w:highlight w:val="none"/>
        </w:rPr>
      </w:pPr>
      <w:r>
        <w:rPr>
          <w:rFonts w:hint="eastAsia" w:ascii="宋体" w:hAnsi="宋体" w:cs="宋体"/>
          <w:color w:val="auto"/>
          <w:kern w:val="0"/>
          <w:sz w:val="24"/>
          <w:szCs w:val="21"/>
          <w:highlight w:val="none"/>
        </w:rPr>
        <w:t>（2）最终</w:t>
      </w:r>
      <w:r>
        <w:rPr>
          <w:rFonts w:hint="eastAsia" w:ascii="宋体"/>
          <w:bCs/>
          <w:color w:val="auto"/>
          <w:sz w:val="24"/>
          <w:highlight w:val="none"/>
        </w:rPr>
        <w:t>验收</w:t>
      </w:r>
      <w:r>
        <w:rPr>
          <w:rFonts w:hint="eastAsia" w:ascii="宋体" w:hAnsi="宋体" w:cs="宋体"/>
          <w:color w:val="auto"/>
          <w:kern w:val="0"/>
          <w:sz w:val="24"/>
          <w:szCs w:val="21"/>
          <w:highlight w:val="none"/>
        </w:rPr>
        <w:t>：货物安装、调试完成后10个工作日内，采购人组织有关人员或专家对货物安装调试后的使用性能、使用状况、技术资料等进行验收，验收前中标供应商须向采购人提供有关全部资料。</w:t>
      </w:r>
    </w:p>
    <w:p>
      <w:pPr>
        <w:widowControl/>
        <w:autoSpaceDE w:val="0"/>
        <w:autoSpaceDN w:val="0"/>
        <w:adjustRightInd w:val="0"/>
        <w:snapToGrid w:val="0"/>
        <w:spacing w:line="360" w:lineRule="auto"/>
        <w:ind w:firstLine="480" w:firstLineChars="200"/>
        <w:textAlignment w:val="bottom"/>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bookmarkStart w:id="111" w:name="OLE_LINK58"/>
      <w:r>
        <w:rPr>
          <w:rFonts w:hint="eastAsia" w:ascii="宋体" w:hAnsi="宋体" w:cs="宋体"/>
          <w:color w:val="auto"/>
          <w:kern w:val="0"/>
          <w:sz w:val="24"/>
          <w:szCs w:val="21"/>
          <w:highlight w:val="none"/>
        </w:rPr>
        <w:t>专业</w:t>
      </w:r>
      <w:r>
        <w:rPr>
          <w:rFonts w:hint="eastAsia" w:ascii="宋体"/>
          <w:bCs/>
          <w:color w:val="auto"/>
          <w:sz w:val="24"/>
          <w:highlight w:val="none"/>
        </w:rPr>
        <w:t>验收</w:t>
      </w:r>
      <w:r>
        <w:rPr>
          <w:rFonts w:hint="eastAsia" w:ascii="宋体" w:hAnsi="宋体" w:cs="宋体"/>
          <w:color w:val="auto"/>
          <w:kern w:val="0"/>
          <w:sz w:val="24"/>
          <w:szCs w:val="21"/>
          <w:highlight w:val="none"/>
        </w:rPr>
        <w:t>（如需要）</w:t>
      </w:r>
      <w:bookmarkEnd w:id="111"/>
      <w:r>
        <w:rPr>
          <w:rFonts w:hint="eastAsia" w:ascii="宋体" w:hAnsi="宋体" w:cs="宋体"/>
          <w:color w:val="auto"/>
          <w:kern w:val="0"/>
          <w:sz w:val="24"/>
          <w:szCs w:val="21"/>
          <w:highlight w:val="none"/>
        </w:rPr>
        <w:t>：采购人有权邀请国家认可的第三方检测机构参与初步验收及最终验收，并由其出具验收意见（如检测合格，第三方检测费用由采购人承担；如不合格，本次检测及整改后重新检测直至合格的全部费用均由中标供应商承担）。</w:t>
      </w:r>
    </w:p>
    <w:p>
      <w:pPr>
        <w:widowControl/>
        <w:autoSpaceDE w:val="0"/>
        <w:autoSpaceDN w:val="0"/>
        <w:adjustRightInd w:val="0"/>
        <w:snapToGrid w:val="0"/>
        <w:spacing w:line="360" w:lineRule="auto"/>
        <w:ind w:firstLine="480" w:firstLineChars="200"/>
        <w:textAlignment w:val="bottom"/>
        <w:rPr>
          <w:rFonts w:ascii="宋体" w:hAnsi="宋体" w:cs="宋体"/>
          <w:color w:val="auto"/>
          <w:kern w:val="0"/>
          <w:sz w:val="24"/>
          <w:szCs w:val="21"/>
          <w:highlight w:val="none"/>
        </w:rPr>
      </w:pPr>
      <w:r>
        <w:rPr>
          <w:rFonts w:hint="eastAsia" w:ascii="宋体" w:hAnsi="宋体" w:cs="宋体"/>
          <w:color w:val="auto"/>
          <w:kern w:val="0"/>
          <w:sz w:val="24"/>
          <w:szCs w:val="21"/>
          <w:highlight w:val="none"/>
        </w:rPr>
        <w:t>注：初步</w:t>
      </w:r>
      <w:r>
        <w:rPr>
          <w:rFonts w:hint="eastAsia" w:ascii="宋体"/>
          <w:bCs/>
          <w:color w:val="auto"/>
          <w:sz w:val="24"/>
          <w:highlight w:val="none"/>
        </w:rPr>
        <w:t>验收</w:t>
      </w:r>
      <w:r>
        <w:rPr>
          <w:rFonts w:hint="eastAsia" w:ascii="宋体" w:hAnsi="宋体" w:cs="宋体"/>
          <w:color w:val="auto"/>
          <w:kern w:val="0"/>
          <w:sz w:val="24"/>
          <w:szCs w:val="21"/>
          <w:highlight w:val="none"/>
        </w:rPr>
        <w:t>、最终验收、专业验收（如需要）可同时或分别进行，中标供应商有权参与全部验收过程。</w:t>
      </w:r>
    </w:p>
    <w:p>
      <w:pPr>
        <w:widowControl/>
        <w:autoSpaceDE w:val="0"/>
        <w:autoSpaceDN w:val="0"/>
        <w:adjustRightInd w:val="0"/>
        <w:snapToGrid w:val="0"/>
        <w:spacing w:line="360" w:lineRule="auto"/>
        <w:ind w:firstLine="480" w:firstLineChars="200"/>
        <w:textAlignment w:val="bottom"/>
        <w:rPr>
          <w:rFonts w:ascii="宋体" w:hAnsi="宋体" w:cs="宋体"/>
          <w:color w:val="auto"/>
          <w:kern w:val="0"/>
          <w:sz w:val="24"/>
          <w:szCs w:val="21"/>
          <w:highlight w:val="none"/>
        </w:rPr>
      </w:pPr>
      <w:r>
        <w:rPr>
          <w:rFonts w:hint="eastAsia" w:ascii="宋体" w:hAnsi="宋体" w:cs="宋体"/>
          <w:color w:val="auto"/>
          <w:kern w:val="0"/>
          <w:sz w:val="24"/>
          <w:szCs w:val="21"/>
          <w:highlight w:val="none"/>
        </w:rPr>
        <w:t>5.采购人</w:t>
      </w:r>
      <w:r>
        <w:rPr>
          <w:rFonts w:hint="eastAsia" w:ascii="宋体"/>
          <w:bCs/>
          <w:color w:val="auto"/>
          <w:sz w:val="24"/>
          <w:highlight w:val="none"/>
        </w:rPr>
        <w:t>根据</w:t>
      </w:r>
      <w:r>
        <w:rPr>
          <w:rFonts w:hint="eastAsia" w:ascii="宋体" w:hAnsi="宋体" w:cs="宋体"/>
          <w:color w:val="auto"/>
          <w:kern w:val="0"/>
          <w:sz w:val="24"/>
          <w:szCs w:val="21"/>
          <w:highlight w:val="none"/>
        </w:rPr>
        <w:t>上述规定进行验收，并不能免除中标供应商根据合同质量保证条款规定所应承担的质量保证责任。</w:t>
      </w:r>
    </w:p>
    <w:p>
      <w:pPr>
        <w:widowControl/>
        <w:autoSpaceDE w:val="0"/>
        <w:autoSpaceDN w:val="0"/>
        <w:adjustRightInd w:val="0"/>
        <w:snapToGrid w:val="0"/>
        <w:spacing w:line="360" w:lineRule="auto"/>
        <w:ind w:firstLine="480" w:firstLineChars="200"/>
        <w:textAlignment w:val="bottom"/>
        <w:rPr>
          <w:rFonts w:ascii="宋体" w:hAnsi="宋体" w:cs="宋体"/>
          <w:color w:val="auto"/>
          <w:kern w:val="0"/>
          <w:sz w:val="24"/>
          <w:szCs w:val="21"/>
          <w:highlight w:val="none"/>
        </w:rPr>
      </w:pPr>
      <w:r>
        <w:rPr>
          <w:rFonts w:hint="eastAsia" w:ascii="宋体" w:hAnsi="宋体" w:cs="宋体"/>
          <w:color w:val="auto"/>
          <w:kern w:val="0"/>
          <w:sz w:val="24"/>
          <w:szCs w:val="21"/>
          <w:highlight w:val="none"/>
        </w:rPr>
        <w:t>6.本项目</w:t>
      </w:r>
      <w:r>
        <w:rPr>
          <w:rFonts w:hint="eastAsia" w:ascii="宋体"/>
          <w:bCs/>
          <w:color w:val="auto"/>
          <w:sz w:val="24"/>
          <w:highlight w:val="none"/>
        </w:rPr>
        <w:t>验收</w:t>
      </w:r>
      <w:r>
        <w:rPr>
          <w:rFonts w:hint="eastAsia" w:ascii="宋体" w:hAnsi="宋体" w:cs="宋体"/>
          <w:color w:val="auto"/>
          <w:kern w:val="0"/>
          <w:sz w:val="24"/>
          <w:szCs w:val="21"/>
          <w:highlight w:val="none"/>
        </w:rPr>
        <w:t>需满足招标文件及投标文件要求外还应满足国家有关质量标准或行业规范（有新文件的按新文件执行）。</w:t>
      </w:r>
    </w:p>
    <w:p>
      <w:pPr>
        <w:widowControl/>
        <w:autoSpaceDE w:val="0"/>
        <w:autoSpaceDN w:val="0"/>
        <w:adjustRightInd w:val="0"/>
        <w:snapToGrid w:val="0"/>
        <w:spacing w:line="360" w:lineRule="auto"/>
        <w:ind w:firstLine="480" w:firstLineChars="200"/>
        <w:textAlignment w:val="bottom"/>
        <w:rPr>
          <w:rFonts w:ascii="宋体" w:hAnsi="宋体" w:cs="宋体"/>
          <w:color w:val="auto"/>
          <w:kern w:val="0"/>
          <w:sz w:val="24"/>
          <w:szCs w:val="21"/>
          <w:highlight w:val="none"/>
        </w:rPr>
      </w:pPr>
      <w:r>
        <w:rPr>
          <w:rFonts w:hint="eastAsia" w:ascii="宋体" w:hAnsi="宋体" w:cs="宋体"/>
          <w:color w:val="auto"/>
          <w:kern w:val="0"/>
          <w:sz w:val="24"/>
          <w:szCs w:val="21"/>
          <w:highlight w:val="none"/>
        </w:rPr>
        <w:t>7.相关验收</w:t>
      </w:r>
      <w:r>
        <w:rPr>
          <w:rFonts w:hint="eastAsia" w:ascii="宋体"/>
          <w:bCs/>
          <w:color w:val="auto"/>
          <w:sz w:val="24"/>
          <w:highlight w:val="none"/>
        </w:rPr>
        <w:t>费用</w:t>
      </w:r>
      <w:r>
        <w:rPr>
          <w:rFonts w:hint="eastAsia" w:ascii="宋体" w:hAnsi="宋体" w:cs="宋体"/>
          <w:color w:val="auto"/>
          <w:kern w:val="0"/>
          <w:sz w:val="24"/>
          <w:szCs w:val="21"/>
          <w:highlight w:val="none"/>
        </w:rPr>
        <w:t>包含在总报价中</w:t>
      </w:r>
      <w:bookmarkStart w:id="112" w:name="OLE_LINK55"/>
      <w:bookmarkStart w:id="113" w:name="OLE_LINK54"/>
      <w:r>
        <w:rPr>
          <w:rFonts w:hint="eastAsia" w:ascii="宋体" w:hAnsi="宋体" w:cs="宋体"/>
          <w:color w:val="auto"/>
          <w:kern w:val="0"/>
          <w:sz w:val="24"/>
          <w:szCs w:val="21"/>
          <w:highlight w:val="none"/>
        </w:rPr>
        <w:t>（如发生专业验收费用，按本条第4.</w:t>
      </w:r>
      <w:r>
        <w:rPr>
          <w:rFonts w:ascii="宋体" w:hAnsi="宋体" w:cs="宋体"/>
          <w:color w:val="auto"/>
          <w:kern w:val="0"/>
          <w:sz w:val="24"/>
          <w:szCs w:val="21"/>
          <w:highlight w:val="none"/>
        </w:rPr>
        <w:t xml:space="preserve"> “验收</w:t>
      </w:r>
      <w:r>
        <w:rPr>
          <w:rFonts w:hint="eastAsia" w:ascii="宋体" w:hAnsi="宋体" w:cs="宋体"/>
          <w:color w:val="auto"/>
          <w:kern w:val="0"/>
          <w:sz w:val="24"/>
          <w:szCs w:val="21"/>
          <w:highlight w:val="none"/>
        </w:rPr>
        <w:t>流程要求</w:t>
      </w:r>
      <w:r>
        <w:rPr>
          <w:rFonts w:hint="eastAsia" w:ascii="宋体" w:hAnsi="宋体" w:cs="宋体"/>
          <w:color w:val="auto"/>
          <w:kern w:val="0"/>
          <w:sz w:val="24"/>
          <w:szCs w:val="21"/>
          <w:highlight w:val="none"/>
          <w:lang w:eastAsia="zh-CN"/>
        </w:rPr>
        <w:t>”</w:t>
      </w:r>
      <w:r>
        <w:rPr>
          <w:rFonts w:hint="eastAsia" w:ascii="宋体" w:hAnsi="宋体" w:cs="宋体"/>
          <w:color w:val="auto"/>
          <w:kern w:val="0"/>
          <w:sz w:val="24"/>
          <w:szCs w:val="21"/>
          <w:highlight w:val="none"/>
        </w:rPr>
        <w:t>（3）“专业验收（如需要）”规定执行）</w:t>
      </w:r>
      <w:bookmarkEnd w:id="112"/>
      <w:bookmarkEnd w:id="113"/>
      <w:r>
        <w:rPr>
          <w:rFonts w:hint="eastAsia" w:ascii="宋体" w:hAnsi="宋体" w:cs="宋体"/>
          <w:color w:val="auto"/>
          <w:kern w:val="0"/>
          <w:sz w:val="24"/>
          <w:szCs w:val="21"/>
          <w:highlight w:val="none"/>
        </w:rPr>
        <w:t>，投标供应商在报价时自行考虑。</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商务需求</w:t>
      </w:r>
    </w:p>
    <w:p>
      <w:pPr>
        <w:spacing w:line="360" w:lineRule="auto"/>
        <w:ind w:firstLine="482" w:firstLineChars="200"/>
        <w:rPr>
          <w:rFonts w:hAnsi="宋体" w:cs="宋体"/>
          <w:color w:val="auto"/>
          <w:sz w:val="24"/>
          <w:szCs w:val="21"/>
          <w:highlight w:val="none"/>
        </w:rPr>
      </w:pPr>
      <w:r>
        <w:rPr>
          <w:rFonts w:hint="eastAsia" w:cs="宋体"/>
          <w:b/>
          <w:bCs/>
          <w:color w:val="auto"/>
          <w:sz w:val="24"/>
          <w:highlight w:val="none"/>
        </w:rPr>
        <w:t>（一）报价要求</w:t>
      </w:r>
      <w:r>
        <w:rPr>
          <w:rFonts w:hint="eastAsia" w:ascii="宋体" w:hAnsi="宋体" w:cs="宋体"/>
          <w:b/>
          <w:color w:val="auto"/>
          <w:sz w:val="24"/>
          <w:highlight w:val="none"/>
        </w:rPr>
        <w:t>：</w:t>
      </w:r>
    </w:p>
    <w:p>
      <w:pPr>
        <w:spacing w:line="360" w:lineRule="auto"/>
        <w:ind w:firstLine="480"/>
        <w:rPr>
          <w:rFonts w:asciiTheme="minorEastAsia" w:hAnsiTheme="minorEastAsia" w:eastAsiaTheme="minorEastAsia"/>
          <w:color w:val="auto"/>
          <w:sz w:val="24"/>
          <w:highlight w:val="none"/>
        </w:rPr>
      </w:pPr>
      <w:bookmarkStart w:id="114" w:name="OLE_LINK88"/>
      <w:bookmarkStart w:id="115" w:name="OLE_LINK87"/>
      <w:r>
        <w:rPr>
          <w:rFonts w:hint="eastAsia" w:asciiTheme="minorEastAsia" w:hAnsiTheme="minorEastAsia" w:eastAsiaTheme="minorEastAsia"/>
          <w:color w:val="auto"/>
          <w:sz w:val="24"/>
          <w:highlight w:val="none"/>
        </w:rPr>
        <w:t>1.</w:t>
      </w:r>
      <w:bookmarkStart w:id="116" w:name="OLE_LINK141"/>
      <w:bookmarkStart w:id="117" w:name="OLE_LINK142"/>
      <w:r>
        <w:rPr>
          <w:rFonts w:hint="eastAsia" w:asciiTheme="minorEastAsia" w:hAnsiTheme="minorEastAsia" w:eastAsiaTheme="minorEastAsia"/>
          <w:color w:val="auto"/>
          <w:sz w:val="24"/>
          <w:highlight w:val="none"/>
        </w:rPr>
        <w:t>投标报价应是招标文件所确定的采购范围内全部工作内容的价格表现。其应包括深化设计、所投货物及其标准配件供货、运输、包装、装卸、产品保管、安装、调试、维护、人员技术培训、专用维修工具、主材及所有辅材、备品备件、质量保修、有关部门验收、售后服务及维修、设备搬运就位及安装过程中可能发生的损耗、拆除、修理、清理、填补、修补工作、清除安装过程中产生的垃圾等及其相关的其他服务工作所发生的全部费用以及供应商企业利润、税金和政策性文件规定及合同包含的所有风险、责任等各项应有费用。各供应商应根据采购人提供的采购文件及相关技术资料以及本项目实际情况和自身的综合实力报价。总报价以人民币元计。招标文件未列明，而供应商认为必需的费用也需列入报价</w:t>
      </w:r>
      <w:bookmarkEnd w:id="116"/>
      <w:bookmarkEnd w:id="117"/>
      <w:r>
        <w:rPr>
          <w:rFonts w:hint="eastAsia" w:asciiTheme="minorEastAsia" w:hAnsiTheme="minorEastAsia" w:eastAsiaTheme="minorEastAsia"/>
          <w:color w:val="auto"/>
          <w:sz w:val="24"/>
          <w:highlight w:val="none"/>
        </w:rPr>
        <w:t>。</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bookmarkStart w:id="118" w:name="OLE_LINK119"/>
      <w:bookmarkStart w:id="119" w:name="OLE_LINK120"/>
      <w:r>
        <w:rPr>
          <w:rFonts w:hint="eastAsia" w:hAnsi="宋体"/>
          <w:b/>
          <w:color w:val="auto"/>
          <w:kern w:val="0"/>
          <w:sz w:val="24"/>
          <w:szCs w:val="21"/>
          <w:highlight w:val="none"/>
        </w:rPr>
        <w:t>采购人有权根据实际需要调整供货数量。具体数量按采购人验收通过的实际供货数量计算，结算单价按中标单价</w:t>
      </w:r>
      <w:bookmarkEnd w:id="118"/>
      <w:bookmarkEnd w:id="119"/>
      <w:r>
        <w:rPr>
          <w:rFonts w:hint="eastAsia" w:hAnsi="宋体" w:cs="宋体"/>
          <w:b/>
          <w:color w:val="auto"/>
          <w:kern w:val="0"/>
          <w:sz w:val="24"/>
          <w:szCs w:val="21"/>
          <w:highlight w:val="none"/>
        </w:rPr>
        <w:t>。</w:t>
      </w:r>
    </w:p>
    <w:bookmarkEnd w:id="114"/>
    <w:bookmarkEnd w:id="115"/>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w:t>
      </w:r>
      <w:r>
        <w:rPr>
          <w:rFonts w:hint="eastAsia" w:cs="宋体"/>
          <w:b/>
          <w:bCs/>
          <w:color w:val="auto"/>
          <w:sz w:val="24"/>
          <w:highlight w:val="none"/>
        </w:rPr>
        <w:t>交货期、交货方式</w:t>
      </w:r>
      <w:r>
        <w:rPr>
          <w:rFonts w:hint="eastAsia" w:asciiTheme="minorEastAsia" w:hAnsiTheme="minorEastAsia" w:eastAsiaTheme="minorEastAsia"/>
          <w:b/>
          <w:color w:val="auto"/>
          <w:sz w:val="24"/>
          <w:highlight w:val="none"/>
        </w:rPr>
        <w:t>及交货地点：</w:t>
      </w:r>
      <w:r>
        <w:rPr>
          <w:rFonts w:asciiTheme="minorEastAsia" w:hAnsiTheme="minorEastAsia" w:eastAsiaTheme="minorEastAsia"/>
          <w:b/>
          <w:color w:val="auto"/>
          <w:sz w:val="24"/>
          <w:highlight w:val="none"/>
        </w:rPr>
        <w:t xml:space="preserve"> </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交货期：</w:t>
      </w:r>
      <w:bookmarkStart w:id="120" w:name="OLE_LINK61"/>
      <w:bookmarkStart w:id="121" w:name="OLE_LINK24"/>
      <w:bookmarkStart w:id="122" w:name="OLE_LINK5"/>
      <w:r>
        <w:rPr>
          <w:rFonts w:hint="eastAsia" w:asciiTheme="minorEastAsia" w:hAnsiTheme="minorEastAsia" w:eastAsiaTheme="minorEastAsia"/>
          <w:b w:val="0"/>
          <w:bCs/>
          <w:color w:val="auto"/>
          <w:sz w:val="24"/>
          <w:highlight w:val="none"/>
          <w:lang w:val="en-US" w:eastAsia="zh-CN"/>
        </w:rPr>
        <w:t>合同签订后</w:t>
      </w:r>
      <w:r>
        <w:rPr>
          <w:rFonts w:hint="eastAsia" w:asciiTheme="minorEastAsia" w:hAnsiTheme="minorEastAsia" w:eastAsiaTheme="minorEastAsia"/>
          <w:color w:val="auto"/>
          <w:sz w:val="24"/>
          <w:highlight w:val="none"/>
        </w:rPr>
        <w:t>60日历天内完成供货及安装</w:t>
      </w:r>
      <w:bookmarkEnd w:id="120"/>
      <w:r>
        <w:rPr>
          <w:rFonts w:hint="eastAsia" w:asciiTheme="minorEastAsia" w:hAnsiTheme="minorEastAsia" w:eastAsiaTheme="minorEastAsia"/>
          <w:color w:val="auto"/>
          <w:sz w:val="24"/>
          <w:highlight w:val="none"/>
        </w:rPr>
        <w:t>。</w:t>
      </w:r>
      <w:bookmarkEnd w:id="121"/>
    </w:p>
    <w:bookmarkEnd w:id="122"/>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交货方式：</w:t>
      </w:r>
      <w:r>
        <w:rPr>
          <w:rFonts w:hint="eastAsia" w:asciiTheme="minorEastAsia" w:hAnsiTheme="minorEastAsia" w:eastAsiaTheme="minorEastAsia"/>
          <w:color w:val="auto"/>
          <w:sz w:val="24"/>
          <w:highlight w:val="none"/>
        </w:rPr>
        <w:t>中标供应商负责包装、运输至采购人指定地点并安装完成。</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交货地点：</w:t>
      </w:r>
      <w:r>
        <w:rPr>
          <w:rFonts w:hint="eastAsia" w:asciiTheme="minorEastAsia" w:hAnsiTheme="minorEastAsia" w:eastAsiaTheme="minorEastAsia"/>
          <w:color w:val="auto"/>
          <w:sz w:val="24"/>
          <w:highlight w:val="none"/>
        </w:rPr>
        <w:t>采购人指定地点</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（三）质保期：</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质保期不少于3年</w:t>
      </w:r>
      <w:r>
        <w:rPr>
          <w:rFonts w:hint="eastAsia" w:hAnsi="宋体"/>
          <w:b/>
          <w:color w:val="auto"/>
          <w:sz w:val="24"/>
          <w:highlight w:val="none"/>
        </w:rPr>
        <w:t>（供应商可提供更优惠的质保期）</w:t>
      </w:r>
      <w:r>
        <w:rPr>
          <w:rFonts w:hint="eastAsia" w:asciiTheme="minorEastAsia" w:hAnsiTheme="minorEastAsia" w:eastAsiaTheme="minorEastAsia"/>
          <w:color w:val="auto"/>
          <w:sz w:val="24"/>
          <w:highlight w:val="none"/>
        </w:rPr>
        <w:t>，从最终验收合格之日开始计算。</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w:t>
      </w:r>
      <w:r>
        <w:rPr>
          <w:rFonts w:hint="eastAsia" w:cs="宋体"/>
          <w:b/>
          <w:bCs/>
          <w:color w:val="auto"/>
          <w:sz w:val="24"/>
          <w:highlight w:val="none"/>
        </w:rPr>
        <w:t>付款</w:t>
      </w:r>
      <w:r>
        <w:rPr>
          <w:rFonts w:hint="eastAsia" w:asciiTheme="minorEastAsia" w:hAnsiTheme="minorEastAsia" w:eastAsiaTheme="minorEastAsia"/>
          <w:b/>
          <w:color w:val="auto"/>
          <w:sz w:val="24"/>
          <w:highlight w:val="none"/>
        </w:rPr>
        <w:t>条件：</w:t>
      </w:r>
    </w:p>
    <w:p>
      <w:pPr>
        <w:spacing w:line="360" w:lineRule="auto"/>
        <w:ind w:firstLine="480" w:firstLineChars="200"/>
        <w:rPr>
          <w:rFonts w:asciiTheme="minorEastAsia" w:hAnsiTheme="minorEastAsia" w:eastAsiaTheme="minorEastAsia"/>
          <w:b/>
          <w:color w:val="auto"/>
          <w:sz w:val="24"/>
          <w:highlight w:val="none"/>
        </w:rPr>
      </w:pPr>
      <w:r>
        <w:rPr>
          <w:rFonts w:hint="eastAsia" w:hAnsi="宋体" w:cs="宋体"/>
          <w:color w:val="auto"/>
          <w:sz w:val="24"/>
          <w:highlight w:val="none"/>
          <w:lang w:bidi="en-US"/>
        </w:rPr>
        <w:t>合同签订后支付合同价款的40%</w:t>
      </w:r>
      <w:r>
        <w:rPr>
          <w:rFonts w:hint="eastAsia" w:hAnsi="宋体" w:cs="宋体"/>
          <w:color w:val="auto"/>
          <w:sz w:val="24"/>
          <w:highlight w:val="none"/>
          <w:lang w:val="en-US" w:eastAsia="zh-CN" w:bidi="en-US"/>
        </w:rPr>
        <w:t>作为预付款</w:t>
      </w:r>
      <w:r>
        <w:rPr>
          <w:rFonts w:hint="eastAsia" w:hAnsi="宋体" w:cs="宋体"/>
          <w:color w:val="auto"/>
          <w:sz w:val="24"/>
          <w:highlight w:val="none"/>
          <w:lang w:bidi="en-US"/>
        </w:rPr>
        <w:t>；货物到货、安装调试完成并经最终验收通过后支付剩余全部款项。</w:t>
      </w:r>
      <w:r>
        <w:rPr>
          <w:rFonts w:hint="eastAsia" w:hAnsi="宋体"/>
          <w:color w:val="auto"/>
          <w:sz w:val="24"/>
          <w:highlight w:val="none"/>
        </w:rPr>
        <w:t>以上付款条件是采购人所在地的财政资金下达并收到中标供应商的正式发票且通过有关部门审核后7个工作日内支付。</w:t>
      </w:r>
    </w:p>
    <w:p>
      <w:pPr>
        <w:spacing w:line="360" w:lineRule="auto"/>
        <w:ind w:firstLine="482" w:firstLineChars="200"/>
        <w:rPr>
          <w:rFonts w:hAnsi="宋体" w:cs="宋体"/>
          <w:color w:val="auto"/>
          <w:sz w:val="24"/>
          <w:highlight w:val="none"/>
        </w:rPr>
      </w:pPr>
      <w:r>
        <w:rPr>
          <w:rFonts w:hint="eastAsia" w:ascii="宋体" w:hAnsi="宋体" w:cs="宋体"/>
          <w:b/>
          <w:color w:val="auto"/>
          <w:sz w:val="24"/>
          <w:highlight w:val="none"/>
        </w:rPr>
        <w:t>（五）</w:t>
      </w:r>
      <w:r>
        <w:rPr>
          <w:rFonts w:hint="eastAsia" w:cs="宋体"/>
          <w:b/>
          <w:bCs/>
          <w:color w:val="auto"/>
          <w:sz w:val="24"/>
          <w:highlight w:val="none"/>
        </w:rPr>
        <w:t>合同</w:t>
      </w:r>
      <w:r>
        <w:rPr>
          <w:rFonts w:hint="eastAsia" w:ascii="宋体" w:hAnsi="宋体" w:cs="宋体"/>
          <w:b/>
          <w:color w:val="auto"/>
          <w:sz w:val="24"/>
          <w:highlight w:val="none"/>
        </w:rPr>
        <w:t>签订：</w:t>
      </w:r>
    </w:p>
    <w:p>
      <w:pPr>
        <w:spacing w:line="360" w:lineRule="auto"/>
        <w:ind w:firstLine="480" w:firstLineChars="200"/>
        <w:rPr>
          <w:rFonts w:ascii="宋体" w:hAnsi="宋体" w:cs="宋体"/>
          <w:color w:val="auto"/>
          <w:kern w:val="0"/>
          <w:sz w:val="24"/>
          <w:szCs w:val="21"/>
          <w:highlight w:val="none"/>
        </w:rPr>
      </w:pPr>
      <w:r>
        <w:rPr>
          <w:rFonts w:ascii="宋体" w:hAnsi="宋体" w:cs="宋体"/>
          <w:color w:val="auto"/>
          <w:kern w:val="0"/>
          <w:sz w:val="24"/>
          <w:szCs w:val="21"/>
          <w:highlight w:val="none"/>
        </w:rPr>
        <w:t>采购人应当自中标通知书发出之日起30日内，按照招标文件和中标供应商投标文件内容要求，与中标供应商签订书面合同或者电子合同。所签订的合同不得对招标文件确定的</w:t>
      </w:r>
      <w:r>
        <w:rPr>
          <w:rFonts w:ascii="宋体" w:hAnsi="宋体" w:cs="宋体"/>
          <w:color w:val="auto"/>
          <w:sz w:val="24"/>
          <w:highlight w:val="none"/>
        </w:rPr>
        <w:t>事项</w:t>
      </w:r>
      <w:r>
        <w:rPr>
          <w:rFonts w:ascii="宋体" w:hAnsi="宋体" w:cs="宋体"/>
          <w:color w:val="auto"/>
          <w:kern w:val="0"/>
          <w:sz w:val="24"/>
          <w:szCs w:val="21"/>
          <w:highlight w:val="none"/>
        </w:rPr>
        <w:t>和中标供应商投标文件作实质性修改。中标后30天未签订合同的，采购人可以按照评审报告推荐的中标候选供应商名单排序，确定下一候选人为中标</w:t>
      </w:r>
      <w:r>
        <w:rPr>
          <w:rFonts w:hint="eastAsia" w:ascii="宋体" w:hAnsi="宋体" w:cs="宋体"/>
          <w:color w:val="auto"/>
          <w:kern w:val="0"/>
          <w:sz w:val="24"/>
          <w:szCs w:val="21"/>
          <w:highlight w:val="none"/>
        </w:rPr>
        <w:t>供应商</w:t>
      </w:r>
      <w:r>
        <w:rPr>
          <w:rFonts w:ascii="宋体" w:hAnsi="宋体" w:cs="宋体"/>
          <w:color w:val="auto"/>
          <w:kern w:val="0"/>
          <w:sz w:val="24"/>
          <w:szCs w:val="21"/>
          <w:highlight w:val="none"/>
        </w:rPr>
        <w:t>，也可以重新开展采购活动。</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（六）履约保证金：</w:t>
      </w:r>
    </w:p>
    <w:p>
      <w:pPr>
        <w:snapToGrid w:val="0"/>
        <w:spacing w:line="360" w:lineRule="auto"/>
        <w:ind w:firstLine="480" w:firstLineChars="200"/>
        <w:rPr>
          <w:rFonts w:ascii="宋体" w:hAnsi="宋体" w:cs="宋体"/>
          <w:color w:val="auto"/>
          <w:kern w:val="0"/>
          <w:sz w:val="24"/>
          <w:szCs w:val="21"/>
          <w:highlight w:val="none"/>
        </w:rPr>
      </w:pPr>
      <w:bookmarkStart w:id="123" w:name="OLE_LINK30"/>
      <w:r>
        <w:rPr>
          <w:rFonts w:hint="eastAsia" w:ascii="宋体" w:hAnsi="宋体" w:cs="宋体"/>
          <w:color w:val="auto"/>
          <w:kern w:val="0"/>
          <w:sz w:val="24"/>
          <w:szCs w:val="21"/>
          <w:highlight w:val="none"/>
        </w:rPr>
        <w:t>中标供应商须在合同签订前七个工作日内提交合同总价1%的履约担保，以支票、银行汇票、本票或者金融机构的保函等非现金形式提交。如为支票、银行汇票、本票形式，在项目通过最终验收且扣除供应商应承担的违约金（如有）等费用后无息退还；以金融机构出具的保函等非现金形式提供（须为见索即付的独立保函），担保期限从合同生效之日起至项目通过最终验收后15个工作日。中标供应商因违约或其他原因导致履约金被没收后应在自没收之日起15天内补足。</w:t>
      </w:r>
    </w:p>
    <w:bookmarkEnd w:id="93"/>
    <w:bookmarkEnd w:id="94"/>
    <w:bookmarkEnd w:id="123"/>
    <w:p>
      <w:pPr>
        <w:widowControl/>
        <w:jc w:val="left"/>
        <w:rPr>
          <w:rFonts w:asciiTheme="minorEastAsia" w:hAnsiTheme="minorEastAsia" w:eastAsiaTheme="minorEastAsia"/>
          <w:b/>
          <w:color w:val="auto"/>
          <w:sz w:val="36"/>
          <w:szCs w:val="36"/>
          <w:highlight w:val="none"/>
        </w:rPr>
      </w:pPr>
      <w:r>
        <w:rPr>
          <w:rFonts w:asciiTheme="minorEastAsia" w:hAnsiTheme="minorEastAsia" w:eastAsiaTheme="minorEastAsia"/>
          <w:b/>
          <w:color w:val="auto"/>
          <w:sz w:val="36"/>
          <w:szCs w:val="36"/>
          <w:highlight w:val="none"/>
        </w:rPr>
        <w:br w:type="page"/>
      </w:r>
    </w:p>
    <w:p>
      <w:pPr>
        <w:numPr>
          <w:ilvl w:val="0"/>
          <w:numId w:val="4"/>
        </w:numPr>
        <w:spacing w:line="360" w:lineRule="auto"/>
        <w:jc w:val="center"/>
        <w:outlineLvl w:val="0"/>
        <w:rPr>
          <w:rFonts w:asciiTheme="minorEastAsia" w:hAnsiTheme="minorEastAsia" w:eastAsiaTheme="minorEastAsia"/>
          <w:b/>
          <w:color w:val="auto"/>
          <w:sz w:val="36"/>
          <w:szCs w:val="36"/>
          <w:highlight w:val="none"/>
        </w:rPr>
      </w:pPr>
      <w:bookmarkStart w:id="124" w:name="_Toc10168"/>
      <w:r>
        <w:rPr>
          <w:rFonts w:hint="eastAsia" w:asciiTheme="minorEastAsia" w:hAnsiTheme="minorEastAsia" w:eastAsiaTheme="minorEastAsia"/>
          <w:b/>
          <w:color w:val="auto"/>
          <w:sz w:val="36"/>
          <w:szCs w:val="36"/>
          <w:highlight w:val="none"/>
        </w:rPr>
        <w:t>评标</w:t>
      </w:r>
      <w:bookmarkEnd w:id="124"/>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一、评标方法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综合评分法,是指投标文件满足招标文件全部实质性要求，且按照评审因素的量化指标评审得分最高的投标供应商为中标候选人的评标方法。</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二、评标原则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（二）任何单位和个人不得干扰、影响评标的正常进行；评标委员会及有关工作人员应不带任何倾向性和启发性，不得向外界透露任何与评标有关的内容，不得私下与投标供应商接触。</w:t>
      </w:r>
    </w:p>
    <w:p>
      <w:pPr>
        <w:pStyle w:val="24"/>
        <w:spacing w:after="0" w:line="360" w:lineRule="auto"/>
        <w:ind w:left="0" w:leftChars="0"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三、评标委员会</w:t>
      </w:r>
    </w:p>
    <w:p>
      <w:pPr>
        <w:pStyle w:val="9"/>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（一）本项目评标委员会由采购人代表和评审专家组成，成员人数应当为5人以上单数，其中评审专家不得少于成员总数的三分之二。</w:t>
      </w:r>
    </w:p>
    <w:p>
      <w:pPr>
        <w:pStyle w:val="9"/>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pPr>
        <w:pStyle w:val="9"/>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（三）评标委员会负责具体评标事务，并独立履行下列职责：</w:t>
      </w:r>
    </w:p>
    <w:p>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1.审查、评价投标文件是否符合招标文件的商务、技术等实质性要求；</w:t>
      </w:r>
    </w:p>
    <w:p>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2.要求投标供应商对投标文件有关事项做出澄清或者说明；</w:t>
      </w:r>
    </w:p>
    <w:p>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3.对投标文件进行比较和评价；</w:t>
      </w:r>
    </w:p>
    <w:p>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4.确定中标候选人名单，以及根据采购人委托直接确定中标供应商；</w:t>
      </w:r>
    </w:p>
    <w:p>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5.向采购人、采购组织机构或者有关部门报告评标中发现的违法行为；</w:t>
      </w:r>
    </w:p>
    <w:p>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pPr>
        <w:pStyle w:val="21"/>
        <w:spacing w:before="0" w:beforeAutospacing="0" w:after="0" w:afterAutospacing="0" w:line="360" w:lineRule="auto"/>
        <w:ind w:firstLine="480" w:firstLineChars="200"/>
        <w:jc w:val="both"/>
        <w:rPr>
          <w:rFonts w:hint="default" w:asciiTheme="minorEastAsia" w:hAnsiTheme="minorEastAsia" w:eastAsiaTheme="minorEastAsia"/>
          <w:b/>
          <w:color w:val="auto"/>
          <w:highlight w:val="none"/>
        </w:rPr>
      </w:pPr>
      <w:bookmarkStart w:id="125" w:name="OLE_LINK42"/>
      <w:bookmarkStart w:id="126" w:name="OLE_LINK41"/>
      <w:r>
        <w:rPr>
          <w:rFonts w:cs="宋体"/>
          <w:color w:val="auto"/>
          <w:highlight w:val="none"/>
        </w:rPr>
        <w:t>▲</w:t>
      </w:r>
      <w:bookmarkEnd w:id="125"/>
      <w:bookmarkEnd w:id="126"/>
      <w:r>
        <w:rPr>
          <w:rFonts w:asciiTheme="minorEastAsia" w:hAnsiTheme="minorEastAsia" w:eastAsiaTheme="minorEastAsia"/>
          <w:b/>
          <w:color w:val="auto"/>
          <w:highlight w:val="none"/>
        </w:rPr>
        <w:t>四、无效标情形</w:t>
      </w:r>
    </w:p>
    <w:p>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（一）在资格证明文件或商务与技术文件中出现投标报价的，或者报价文件中报价的货物跟商务与技术文件中的投标货物出现重大偏差的；</w:t>
      </w:r>
    </w:p>
    <w:p>
      <w:pPr>
        <w:pStyle w:val="21"/>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（二）不具备招标文件中规定的资格要求的；</w:t>
      </w:r>
      <w:r>
        <w:rPr>
          <w:rFonts w:hint="default" w:asciiTheme="minorEastAsia" w:hAnsiTheme="minorEastAsia" w:eastAsiaTheme="minorEastAsia"/>
          <w:color w:val="auto"/>
          <w:highlight w:val="none"/>
        </w:rPr>
        <w:tab/>
      </w:r>
    </w:p>
    <w:p>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（三）投标文件含有采购人不能接受的附加条件的；</w:t>
      </w:r>
    </w:p>
    <w:p>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bCs/>
          <w:color w:val="auto"/>
          <w:highlight w:val="none"/>
        </w:rPr>
      </w:pPr>
      <w:r>
        <w:rPr>
          <w:rFonts w:asciiTheme="minorEastAsia" w:hAnsiTheme="minorEastAsia" w:eastAsiaTheme="minorEastAsia"/>
          <w:color w:val="auto"/>
          <w:highlight w:val="none"/>
        </w:rPr>
        <w:t>（四）评标委员会认为投标供应商的报价明显低于其他通过符合性审查投标供应商的报价，有可能影响产品质量或者不能诚信履约的，投标供应商在限定的时间内不能证明其报价合理性的，评标委员会应当将其作为无效投标处理；</w:t>
      </w:r>
    </w:p>
    <w:p>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（六）投标参数未如实填写；</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（八）有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中华人民共和国财政部令第87号《政府采购货物和服务招标投标管理办法》第三十七条情形之一的，视为投标供应商串通投标，其投标无效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不同投标供应商的投标文件由同一单位或者个人编制；</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2.不同投标供应商委托同一单位或者个人办理投标事宜；</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3.不同投标供应商的投标文件载明的项目管理成员或者联系人员为同一人；</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4.不同投标供应商的投标文件异常一致或者投标报价呈规律性差异；</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5.不同投标供应商的投标文件相互混装；</w:t>
      </w:r>
    </w:p>
    <w:p>
      <w:pPr>
        <w:pStyle w:val="21"/>
        <w:spacing w:before="0" w:beforeAutospacing="0" w:after="0" w:afterAutospacing="0" w:line="360" w:lineRule="auto"/>
        <w:ind w:firstLine="480" w:firstLineChars="200"/>
        <w:jc w:val="both"/>
        <w:rPr>
          <w:rFonts w:hint="default" w:asciiTheme="minorEastAsia" w:hAnsiTheme="minorEastAsia"/>
          <w:color w:val="auto"/>
          <w:highlight w:val="none"/>
        </w:rPr>
      </w:pPr>
      <w:r>
        <w:rPr>
          <w:rFonts w:asciiTheme="minorEastAsia" w:hAnsiTheme="minorEastAsia" w:eastAsiaTheme="minorEastAsia"/>
          <w:color w:val="auto"/>
          <w:highlight w:val="none"/>
        </w:rPr>
        <w:t>（十）</w:t>
      </w:r>
      <w:r>
        <w:rPr>
          <w:rFonts w:cs="宋体"/>
          <w:color w:val="auto"/>
          <w:highlight w:val="none"/>
        </w:rPr>
        <w:t>实质性要求（招标文件中打“▲”内容）不响应的；</w:t>
      </w:r>
    </w:p>
    <w:p>
      <w:pPr>
        <w:pStyle w:val="9"/>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（十一）商务条款不响应的；</w:t>
      </w:r>
    </w:p>
    <w:p>
      <w:pPr>
        <w:pStyle w:val="9"/>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（十二）投标文件有效期不足的；</w:t>
      </w:r>
    </w:p>
    <w:p>
      <w:pPr>
        <w:pStyle w:val="9"/>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（十三）逾期或未按要求提交投标文件的；</w:t>
      </w:r>
    </w:p>
    <w:p>
      <w:pPr>
        <w:pStyle w:val="9"/>
        <w:spacing w:line="360" w:lineRule="auto"/>
        <w:ind w:firstLine="480" w:firstLineChars="200"/>
        <w:rPr>
          <w:rFonts w:asciiTheme="minorEastAsia" w:hAnsi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（十四）其他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pPr>
        <w:autoSpaceDE w:val="0"/>
        <w:autoSpaceDN w:val="0"/>
        <w:adjustRightInd w:val="0"/>
        <w:spacing w:line="360" w:lineRule="auto"/>
        <w:ind w:firstLine="420" w:firstLineChars="200"/>
        <w:rPr>
          <w:rFonts w:ascii="宋体" w:hAnsi="宋体" w:cs="宋体"/>
          <w:color w:val="auto"/>
          <w:kern w:val="0"/>
          <w:sz w:val="24"/>
          <w:highlight w:val="none"/>
        </w:rPr>
      </w:pPr>
      <w:r>
        <w:rPr>
          <w:rFonts w:cs="宋体"/>
          <w:color w:val="auto"/>
          <w:highlight w:val="none"/>
        </w:rPr>
        <w:t>▲</w:t>
      </w:r>
      <w:r>
        <w:rPr>
          <w:rFonts w:hint="eastAsia" w:ascii="宋体" w:hAnsi="宋体" w:cs="宋体"/>
          <w:b/>
          <w:color w:val="auto"/>
          <w:kern w:val="0"/>
          <w:sz w:val="24"/>
          <w:highlight w:val="none"/>
        </w:rPr>
        <w:t>五、废标情形</w:t>
      </w:r>
    </w:p>
    <w:p>
      <w:pPr>
        <w:pStyle w:val="21"/>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（一）</w:t>
      </w:r>
      <w:r>
        <w:rPr>
          <w:rFonts w:cs="宋体"/>
          <w:color w:val="auto"/>
          <w:highlight w:val="none"/>
        </w:rPr>
        <w:t>出现影响采购公正的违法、违规行为的；</w:t>
      </w:r>
    </w:p>
    <w:p>
      <w:pPr>
        <w:pStyle w:val="21"/>
        <w:spacing w:before="0" w:beforeAutospacing="0" w:after="0" w:afterAutospacing="0" w:line="360" w:lineRule="auto"/>
        <w:ind w:firstLine="480" w:firstLineChars="200"/>
        <w:jc w:val="both"/>
        <w:rPr>
          <w:rFonts w:hint="default" w:cs="宋体"/>
          <w:b/>
          <w:bCs/>
          <w:color w:val="auto"/>
          <w:highlight w:val="none"/>
        </w:rPr>
      </w:pPr>
      <w:r>
        <w:rPr>
          <w:rFonts w:asciiTheme="minorEastAsia" w:hAnsiTheme="minorEastAsia" w:eastAsiaTheme="minorEastAsia"/>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pPr>
        <w:pStyle w:val="21"/>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（三）</w:t>
      </w:r>
      <w:r>
        <w:rPr>
          <w:rFonts w:cs="宋体"/>
          <w:color w:val="auto"/>
          <w:highlight w:val="none"/>
        </w:rPr>
        <w:t>因重大变故，采购任务取消的；</w:t>
      </w:r>
    </w:p>
    <w:p>
      <w:pPr>
        <w:pStyle w:val="21"/>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（四）</w:t>
      </w:r>
      <w:r>
        <w:rPr>
          <w:rFonts w:cs="宋体"/>
          <w:color w:val="auto"/>
          <w:highlight w:val="none"/>
        </w:rPr>
        <w:t>法律、法规和招标文件规定的其他导致评标结果无效的。</w:t>
      </w:r>
    </w:p>
    <w:p>
      <w:pPr>
        <w:autoSpaceDE w:val="0"/>
        <w:autoSpaceDN w:val="0"/>
        <w:adjustRightIn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六、评标过程的监控</w:t>
      </w:r>
    </w:p>
    <w:p>
      <w:pPr>
        <w:pStyle w:val="21"/>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本项目评标过程实行全程录音、录像监控，政府采购监管部门视情进行现场监督，投标供应商在评标过程中所进行的试图影响评标结果的不公正活动，可能导致其投标被拒绝。</w:t>
      </w:r>
    </w:p>
    <w:p>
      <w:pPr>
        <w:autoSpaceDE w:val="0"/>
        <w:autoSpaceDN w:val="0"/>
        <w:adjustRightIn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七、</w:t>
      </w:r>
      <w:r>
        <w:rPr>
          <w:rFonts w:hint="eastAsia" w:hAnsi="宋体" w:cs="宋体"/>
          <w:b/>
          <w:color w:val="auto"/>
          <w:sz w:val="24"/>
          <w:highlight w:val="none"/>
        </w:rPr>
        <w:t>政府</w:t>
      </w:r>
      <w:r>
        <w:rPr>
          <w:rFonts w:hint="eastAsia" w:hAnsi="宋体" w:cs="宋体"/>
          <w:b/>
          <w:bCs/>
          <w:color w:val="auto"/>
          <w:sz w:val="24"/>
          <w:highlight w:val="none"/>
        </w:rPr>
        <w:t>采购政策落实</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（一）</w:t>
      </w:r>
      <w:r>
        <w:rPr>
          <w:rFonts w:hint="eastAsia" w:ascii="宋体"/>
          <w:color w:val="auto"/>
          <w:sz w:val="24"/>
          <w:highlight w:val="none"/>
          <w:lang w:val="zh-CN"/>
        </w:rPr>
        <w:t>政府采购政策及优惠：</w:t>
      </w:r>
    </w:p>
    <w:p>
      <w:pPr>
        <w:pStyle w:val="10"/>
        <w:spacing w:line="360" w:lineRule="auto"/>
        <w:ind w:firstLine="480" w:firstLineChars="200"/>
        <w:rPr>
          <w:rFonts w:ascii="宋体"/>
          <w:color w:val="auto"/>
          <w:sz w:val="24"/>
          <w:highlight w:val="none"/>
        </w:rPr>
      </w:pPr>
      <w:r>
        <w:rPr>
          <w:rFonts w:hint="eastAsia" w:ascii="宋体"/>
          <w:color w:val="auto"/>
          <w:sz w:val="24"/>
          <w:highlight w:val="none"/>
        </w:rPr>
        <w:t>1.关于小型、微型企业（简称小微企业）投标：小微企业投标是指符合《中小企业划型标准规定》的投标供应商，通过投标提供本企业制造的货物、承担的工程或者服务，或者提供其他小微企业制造的货物。本项所指货物不包括使用大、中型企业注册商标的货物。小微企业投标应提供《中小企业声明函》（见附件），投标供应商未提供以上资料或者经评标委员会核查不符的，将不能享受相应的小微企业优惠政策。</w:t>
      </w:r>
    </w:p>
    <w:p>
      <w:pPr>
        <w:pStyle w:val="10"/>
        <w:spacing w:line="360" w:lineRule="auto"/>
        <w:ind w:firstLine="480" w:firstLineChars="200"/>
        <w:rPr>
          <w:rFonts w:ascii="宋体"/>
          <w:color w:val="auto"/>
          <w:sz w:val="24"/>
          <w:highlight w:val="none"/>
          <w:lang w:val="zh-CN"/>
        </w:rPr>
      </w:pPr>
      <w:r>
        <w:rPr>
          <w:rFonts w:hint="eastAsia" w:ascii="宋体"/>
          <w:color w:val="auto"/>
          <w:sz w:val="24"/>
          <w:highlight w:val="none"/>
        </w:rPr>
        <w:t>2.监狱企业参加政府采购活动时，应当提供由省级以上监狱管理局、戒毒管理局</w:t>
      </w:r>
      <w:r>
        <w:rPr>
          <w:rFonts w:hint="eastAsia" w:ascii="宋体"/>
          <w:color w:val="auto"/>
          <w:sz w:val="24"/>
          <w:highlight w:val="none"/>
          <w:lang w:val="zh-CN"/>
        </w:rPr>
        <w:t>（含新疆生产建设兵团）出具的属于监狱企业的证明文件，视同小型、微型企业，享受小微企业政府采购优惠政策；</w:t>
      </w:r>
    </w:p>
    <w:p>
      <w:pPr>
        <w:pStyle w:val="10"/>
        <w:spacing w:line="360" w:lineRule="auto"/>
        <w:ind w:firstLine="480" w:firstLineChars="200"/>
        <w:jc w:val="both"/>
        <w:rPr>
          <w:rFonts w:ascii="宋体"/>
          <w:color w:val="auto"/>
          <w:sz w:val="24"/>
          <w:highlight w:val="none"/>
          <w:lang w:val="zh-CN"/>
        </w:rPr>
      </w:pPr>
      <w:r>
        <w:rPr>
          <w:rFonts w:hint="eastAsia" w:ascii="宋体"/>
          <w:color w:val="auto"/>
          <w:sz w:val="24"/>
          <w:highlight w:val="none"/>
          <w:lang w:val="zh-CN"/>
        </w:rPr>
        <w:t>3.残疾人福利性单位在参加政府采购活动时，应提供《残疾人福利性单位声明函》（见附件），视同小型、微型企业，享受小微企业政府采购优惠政策。</w:t>
      </w:r>
    </w:p>
    <w:p>
      <w:pPr>
        <w:autoSpaceDE w:val="0"/>
        <w:autoSpaceDN w:val="0"/>
        <w:adjustRightInd w:val="0"/>
        <w:spacing w:line="360" w:lineRule="auto"/>
        <w:ind w:firstLine="480" w:firstLineChars="200"/>
        <w:rPr>
          <w:color w:val="auto"/>
          <w:highlight w:val="none"/>
          <w:lang w:val="zh-CN"/>
        </w:rPr>
      </w:pPr>
      <w:r>
        <w:rPr>
          <w:rFonts w:hint="eastAsia" w:ascii="宋体"/>
          <w:color w:val="auto"/>
          <w:sz w:val="24"/>
          <w:highlight w:val="none"/>
        </w:rPr>
        <w:t>（二）</w:t>
      </w:r>
      <w:r>
        <w:rPr>
          <w:rFonts w:hint="eastAsia" w:ascii="宋体"/>
          <w:color w:val="auto"/>
          <w:sz w:val="24"/>
          <w:highlight w:val="none"/>
          <w:lang w:val="zh-CN"/>
        </w:rPr>
        <w:t>价格</w:t>
      </w:r>
      <w:r>
        <w:rPr>
          <w:rFonts w:hint="eastAsia" w:ascii="宋体"/>
          <w:color w:val="auto"/>
          <w:sz w:val="24"/>
          <w:highlight w:val="none"/>
        </w:rPr>
        <w:t>扣除相关要求：</w:t>
      </w:r>
    </w:p>
    <w:p>
      <w:pPr>
        <w:pStyle w:val="10"/>
        <w:spacing w:line="360" w:lineRule="auto"/>
        <w:ind w:firstLine="480" w:firstLineChars="200"/>
        <w:jc w:val="both"/>
        <w:rPr>
          <w:color w:val="auto"/>
          <w:sz w:val="24"/>
          <w:highlight w:val="none"/>
          <w:lang w:val="zh-CN"/>
        </w:rPr>
      </w:pPr>
      <w:r>
        <w:rPr>
          <w:rFonts w:hint="eastAsia"/>
          <w:color w:val="auto"/>
          <w:sz w:val="24"/>
          <w:highlight w:val="none"/>
          <w:lang w:val="zh-CN"/>
        </w:rPr>
        <w:t>本项目专门面向中小企业采购，不进行价格扣除。</w:t>
      </w:r>
    </w:p>
    <w:p>
      <w:pPr>
        <w:autoSpaceDE w:val="0"/>
        <w:autoSpaceDN w:val="0"/>
        <w:adjustRightIn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八、</w:t>
      </w:r>
      <w:r>
        <w:rPr>
          <w:rFonts w:hAnsi="宋体" w:cs="宋体"/>
          <w:b/>
          <w:bCs/>
          <w:color w:val="auto"/>
          <w:sz w:val="24"/>
          <w:highlight w:val="none"/>
        </w:rPr>
        <w:t>评标</w:t>
      </w:r>
      <w:r>
        <w:rPr>
          <w:rFonts w:asciiTheme="minorEastAsia" w:hAnsiTheme="minorEastAsia" w:eastAsiaTheme="minorEastAsia"/>
          <w:b/>
          <w:bCs/>
          <w:color w:val="auto"/>
          <w:sz w:val="24"/>
          <w:highlight w:val="none"/>
        </w:rPr>
        <w:t>程序</w:t>
      </w:r>
    </w:p>
    <w:p>
      <w:pPr>
        <w:autoSpaceDE w:val="0"/>
        <w:autoSpaceDN w:val="0"/>
        <w:adjustRightIn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pPr>
        <w:pStyle w:val="10"/>
        <w:spacing w:line="360" w:lineRule="auto"/>
        <w:ind w:firstLine="480" w:firstLineChars="200"/>
        <w:jc w:val="both"/>
        <w:rPr>
          <w:rFonts w:asciiTheme="minorEastAsia" w:hAnsiTheme="minorEastAsia" w:eastAsiaTheme="minorEastAsia"/>
          <w:color w:val="auto"/>
          <w:sz w:val="24"/>
          <w:highlight w:val="none"/>
        </w:rPr>
      </w:pPr>
      <w:r>
        <w:rPr>
          <w:rFonts w:hint="eastAsia" w:ascii="宋体" w:hAnsi="宋体" w:cs="宋体"/>
          <w:color w:val="auto"/>
          <w:sz w:val="24"/>
          <w:highlight w:val="none"/>
        </w:rPr>
        <w:t>投标文件解密后</w:t>
      </w:r>
      <w:r>
        <w:rPr>
          <w:rFonts w:asciiTheme="minorEastAsia" w:hAnsiTheme="minorEastAsia" w:eastAsiaTheme="minorEastAsia"/>
          <w:color w:val="auto"/>
          <w:sz w:val="24"/>
          <w:highlight w:val="none"/>
        </w:rPr>
        <w:t>，采购人或采购组织机构依法对投标供应商的资格进行审查，对审查发现无效的进行必要的询标，</w:t>
      </w:r>
      <w:r>
        <w:rPr>
          <w:rFonts w:hint="eastAsia"/>
          <w:color w:val="auto"/>
          <w:sz w:val="24"/>
          <w:highlight w:val="none"/>
        </w:rPr>
        <w:t>在政采云平台公布</w:t>
      </w:r>
      <w:r>
        <w:rPr>
          <w:rFonts w:asciiTheme="minorEastAsia" w:hAnsiTheme="minorEastAsia" w:eastAsiaTheme="minorEastAsia"/>
          <w:color w:val="auto"/>
          <w:sz w:val="24"/>
          <w:highlight w:val="none"/>
        </w:rPr>
        <w:t>无效投标的投标供应商名单、投标无效的原因。</w:t>
      </w:r>
    </w:p>
    <w:tbl>
      <w:tblPr>
        <w:tblStyle w:val="25"/>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13"/>
        <w:gridCol w:w="6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2413" w:type="dxa"/>
            <w:shd w:val="clear" w:color="auto" w:fill="FFFFFF" w:themeFill="background1"/>
            <w:vAlign w:val="center"/>
          </w:tcPr>
          <w:p>
            <w:pPr>
              <w:pStyle w:val="50"/>
              <w:spacing w:before="1"/>
              <w:ind w:right="146"/>
              <w:jc w:val="center"/>
              <w:rPr>
                <w:color w:val="auto"/>
                <w:szCs w:val="21"/>
                <w:highlight w:val="none"/>
              </w:rPr>
            </w:pPr>
            <w:bookmarkStart w:id="127" w:name="OLE_LINK65" w:colFirst="1" w:colLast="1"/>
            <w:r>
              <w:rPr>
                <w:rFonts w:hint="eastAsia"/>
                <w:color w:val="auto"/>
                <w:szCs w:val="21"/>
                <w:highlight w:val="none"/>
              </w:rPr>
              <w:t>具有独立承担民事责任的能力</w:t>
            </w:r>
          </w:p>
        </w:tc>
        <w:tc>
          <w:tcPr>
            <w:tcW w:w="6704" w:type="dxa"/>
            <w:shd w:val="clear" w:color="auto" w:fill="FFFFFF" w:themeFill="background1"/>
            <w:vAlign w:val="center"/>
          </w:tcPr>
          <w:p>
            <w:pPr>
              <w:pStyle w:val="50"/>
              <w:spacing w:before="48"/>
              <w:ind w:right="63" w:firstLine="420" w:firstLineChars="200"/>
              <w:rPr>
                <w:color w:val="auto"/>
                <w:szCs w:val="21"/>
                <w:highlight w:val="none"/>
              </w:rPr>
            </w:pPr>
            <w:r>
              <w:rPr>
                <w:rFonts w:hint="eastAsia"/>
                <w:color w:val="auto"/>
                <w:szCs w:val="21"/>
                <w:highlight w:val="none"/>
              </w:rPr>
              <w:t>法人或者其他组织的营业执照等证明文件，符合浙财采监[2013]24号文件规定的分支机构等投标的还须提供总公司（总机构）授权书原件加盖供应商公章或房产权证扫描件或其他有效财产证明材料原件扫描件；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2" w:hRule="atLeast"/>
          <w:jc w:val="center"/>
        </w:trPr>
        <w:tc>
          <w:tcPr>
            <w:tcW w:w="2413" w:type="dxa"/>
            <w:shd w:val="clear" w:color="auto" w:fill="FFFFFF" w:themeFill="background1"/>
            <w:vAlign w:val="center"/>
          </w:tcPr>
          <w:p>
            <w:pPr>
              <w:pStyle w:val="50"/>
              <w:spacing w:before="1"/>
              <w:ind w:right="146"/>
              <w:jc w:val="center"/>
              <w:rPr>
                <w:color w:val="auto"/>
                <w:szCs w:val="21"/>
                <w:highlight w:val="none"/>
              </w:rPr>
            </w:pPr>
            <w:r>
              <w:rPr>
                <w:rFonts w:hint="eastAsia"/>
                <w:color w:val="auto"/>
                <w:szCs w:val="21"/>
                <w:highlight w:val="none"/>
              </w:rPr>
              <w:t>有依法缴纳税收和社会保障资金的良好记录</w:t>
            </w:r>
          </w:p>
        </w:tc>
        <w:tc>
          <w:tcPr>
            <w:tcW w:w="6704" w:type="dxa"/>
            <w:vMerge w:val="restart"/>
            <w:shd w:val="clear" w:color="auto" w:fill="FFFFFF" w:themeFill="background1"/>
            <w:vAlign w:val="center"/>
          </w:tcPr>
          <w:p>
            <w:pPr>
              <w:pStyle w:val="50"/>
              <w:spacing w:before="48"/>
              <w:ind w:right="63" w:firstLine="420" w:firstLineChars="200"/>
              <w:rPr>
                <w:color w:val="auto"/>
                <w:szCs w:val="21"/>
                <w:highlight w:val="none"/>
              </w:rPr>
            </w:pPr>
            <w:r>
              <w:rPr>
                <w:rFonts w:hint="eastAsia"/>
                <w:color w:val="auto"/>
                <w:szCs w:val="21"/>
                <w:highlight w:val="none"/>
              </w:rPr>
              <w:t>提供关于供应商财务状况和依法缴纳税收及社会保障资金的书面承诺（格式见附件）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2413" w:type="dxa"/>
            <w:shd w:val="clear" w:color="auto" w:fill="FFFFFF" w:themeFill="background1"/>
            <w:vAlign w:val="center"/>
          </w:tcPr>
          <w:p>
            <w:pPr>
              <w:pStyle w:val="50"/>
              <w:spacing w:before="1"/>
              <w:ind w:right="146"/>
              <w:jc w:val="center"/>
              <w:rPr>
                <w:color w:val="auto"/>
                <w:szCs w:val="21"/>
                <w:highlight w:val="none"/>
              </w:rPr>
            </w:pPr>
            <w:r>
              <w:rPr>
                <w:rFonts w:hint="eastAsia"/>
                <w:color w:val="auto"/>
                <w:szCs w:val="21"/>
                <w:highlight w:val="none"/>
              </w:rPr>
              <w:t>具有良好的商业信誉和健全的财务会计制度</w:t>
            </w:r>
          </w:p>
        </w:tc>
        <w:tc>
          <w:tcPr>
            <w:tcW w:w="6704" w:type="dxa"/>
            <w:vMerge w:val="continue"/>
            <w:shd w:val="clear" w:color="auto" w:fill="FFFFFF" w:themeFill="background1"/>
            <w:vAlign w:val="center"/>
          </w:tcPr>
          <w:p>
            <w:pPr>
              <w:pStyle w:val="50"/>
              <w:spacing w:before="48"/>
              <w:ind w:right="63" w:firstLine="420" w:firstLineChars="20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2413" w:type="dxa"/>
            <w:shd w:val="clear" w:color="auto" w:fill="FFFFFF" w:themeFill="background1"/>
            <w:vAlign w:val="center"/>
          </w:tcPr>
          <w:p>
            <w:pPr>
              <w:pStyle w:val="50"/>
              <w:spacing w:before="1"/>
              <w:ind w:right="146"/>
              <w:jc w:val="center"/>
              <w:rPr>
                <w:color w:val="auto"/>
                <w:szCs w:val="21"/>
                <w:highlight w:val="none"/>
              </w:rPr>
            </w:pPr>
            <w:r>
              <w:rPr>
                <w:rFonts w:hint="eastAsia"/>
                <w:color w:val="auto"/>
                <w:szCs w:val="21"/>
                <w:highlight w:val="none"/>
              </w:rPr>
              <w:t>履行合同所必需的设备和专业技术能力</w:t>
            </w:r>
          </w:p>
        </w:tc>
        <w:tc>
          <w:tcPr>
            <w:tcW w:w="6704" w:type="dxa"/>
            <w:shd w:val="clear" w:color="auto" w:fill="FFFFFF" w:themeFill="background1"/>
            <w:vAlign w:val="center"/>
          </w:tcPr>
          <w:p>
            <w:pPr>
              <w:pStyle w:val="50"/>
              <w:spacing w:before="48"/>
              <w:ind w:right="63" w:firstLine="420" w:firstLineChars="200"/>
              <w:rPr>
                <w:color w:val="auto"/>
                <w:szCs w:val="21"/>
                <w:highlight w:val="none"/>
              </w:rPr>
            </w:pPr>
            <w:r>
              <w:rPr>
                <w:rFonts w:hint="eastAsia"/>
                <w:color w:val="auto"/>
                <w:szCs w:val="21"/>
                <w:highlight w:val="none"/>
              </w:rPr>
              <w:t>具备履行合同所必需的设备和专业技术能力的承诺函(格式见附件)</w:t>
            </w:r>
          </w:p>
        </w:tc>
      </w:tr>
      <w:bookmarkEnd w:id="1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2" w:hRule="atLeast"/>
          <w:jc w:val="center"/>
        </w:trPr>
        <w:tc>
          <w:tcPr>
            <w:tcW w:w="2413" w:type="dxa"/>
            <w:shd w:val="clear" w:color="auto" w:fill="FFFFFF" w:themeFill="background1"/>
            <w:vAlign w:val="center"/>
          </w:tcPr>
          <w:p>
            <w:pPr>
              <w:pStyle w:val="50"/>
              <w:ind w:right="146"/>
              <w:jc w:val="center"/>
              <w:rPr>
                <w:color w:val="auto"/>
                <w:szCs w:val="21"/>
                <w:highlight w:val="none"/>
              </w:rPr>
            </w:pPr>
            <w:r>
              <w:rPr>
                <w:rFonts w:hint="eastAsia"/>
                <w:color w:val="auto"/>
                <w:szCs w:val="21"/>
                <w:highlight w:val="none"/>
              </w:rPr>
              <w:t>参加采购活动前3年内，在经营活动中没有重大违法记录</w:t>
            </w:r>
          </w:p>
        </w:tc>
        <w:tc>
          <w:tcPr>
            <w:tcW w:w="6704" w:type="dxa"/>
            <w:shd w:val="clear" w:color="auto" w:fill="FFFFFF" w:themeFill="background1"/>
            <w:vAlign w:val="center"/>
          </w:tcPr>
          <w:p>
            <w:pPr>
              <w:pStyle w:val="50"/>
              <w:spacing w:before="48"/>
              <w:ind w:right="63" w:firstLine="420" w:firstLineChars="200"/>
              <w:rPr>
                <w:color w:val="auto"/>
                <w:szCs w:val="21"/>
                <w:highlight w:val="none"/>
              </w:rPr>
            </w:pPr>
            <w:r>
              <w:rPr>
                <w:rFonts w:hint="eastAsia"/>
                <w:color w:val="auto"/>
                <w:szCs w:val="21"/>
                <w:highlight w:val="none"/>
              </w:rPr>
              <w:t>按照</w:t>
            </w:r>
            <w:bookmarkStart w:id="128" w:name="OLE_LINK111"/>
            <w:bookmarkStart w:id="129" w:name="OLE_LINK110"/>
            <w:r>
              <w:rPr>
                <w:rFonts w:hint="eastAsia"/>
                <w:color w:val="auto"/>
                <w:szCs w:val="21"/>
                <w:highlight w:val="none"/>
              </w:rPr>
              <w:t>投标声明书（格式见附件）</w:t>
            </w:r>
            <w:bookmarkEnd w:id="128"/>
            <w:bookmarkEnd w:id="129"/>
            <w:r>
              <w:rPr>
                <w:rFonts w:hint="eastAsia"/>
                <w:color w:val="auto"/>
                <w:szCs w:val="21"/>
                <w:highlight w:val="none"/>
              </w:rPr>
              <w:t>相关承诺内容。重大违法记录，是指投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9" w:hRule="atLeast"/>
          <w:jc w:val="center"/>
        </w:trPr>
        <w:tc>
          <w:tcPr>
            <w:tcW w:w="2413" w:type="dxa"/>
            <w:shd w:val="clear" w:color="auto" w:fill="FFFFFF" w:themeFill="background1"/>
            <w:vAlign w:val="center"/>
          </w:tcPr>
          <w:p>
            <w:pPr>
              <w:pStyle w:val="50"/>
              <w:ind w:left="64"/>
              <w:jc w:val="center"/>
              <w:rPr>
                <w:color w:val="auto"/>
                <w:szCs w:val="21"/>
                <w:highlight w:val="none"/>
              </w:rPr>
            </w:pPr>
            <w:r>
              <w:rPr>
                <w:rFonts w:hint="eastAsia"/>
                <w:color w:val="auto"/>
                <w:szCs w:val="21"/>
                <w:highlight w:val="none"/>
              </w:rPr>
              <w:t>信用记录</w:t>
            </w:r>
          </w:p>
        </w:tc>
        <w:tc>
          <w:tcPr>
            <w:tcW w:w="6704" w:type="dxa"/>
            <w:shd w:val="clear" w:color="auto" w:fill="FFFFFF" w:themeFill="background1"/>
            <w:vAlign w:val="center"/>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截止时点：</w:t>
            </w:r>
            <w:r>
              <w:rPr>
                <w:rFonts w:hint="eastAsia" w:ascii="宋体" w:hAnsi="宋体" w:cs="宋体"/>
                <w:color w:val="auto"/>
                <w:szCs w:val="21"/>
                <w:highlight w:val="none"/>
              </w:rPr>
              <w:t>开标后评标前</w:t>
            </w:r>
            <w:r>
              <w:rPr>
                <w:rFonts w:ascii="宋体" w:hAnsi="宋体" w:cs="宋体"/>
                <w:color w:val="auto"/>
                <w:szCs w:val="21"/>
                <w:highlight w:val="none"/>
              </w:rPr>
              <w:t>。</w:t>
            </w:r>
          </w:p>
          <w:p>
            <w:pPr>
              <w:pStyle w:val="50"/>
              <w:spacing w:before="48"/>
              <w:ind w:right="63" w:firstLine="420" w:firstLineChars="200"/>
              <w:rPr>
                <w:color w:val="auto"/>
                <w:szCs w:val="21"/>
                <w:highlight w:val="none"/>
              </w:rPr>
            </w:pPr>
            <w:r>
              <w:rPr>
                <w:rFonts w:hint="eastAsia"/>
                <w:color w:val="auto"/>
                <w:szCs w:val="21"/>
                <w:highlight w:val="none"/>
              </w:rPr>
              <w:t>2.</w:t>
            </w:r>
            <w:r>
              <w:rPr>
                <w:color w:val="auto"/>
                <w:szCs w:val="21"/>
                <w:highlight w:val="none"/>
              </w:rPr>
              <w:t>信用信息查询记录和证据留存的具体方式：由采购组织机构在规定查询时间内打印信用信息查询记录并归入项目档案。</w:t>
            </w:r>
            <w:r>
              <w:rPr>
                <w:color w:val="auto"/>
                <w:szCs w:val="21"/>
                <w:highlight w:val="none"/>
              </w:rPr>
              <w:br w:type="textWrapping"/>
            </w:r>
            <w:r>
              <w:rPr>
                <w:rFonts w:hint="eastAsia"/>
                <w:color w:val="auto"/>
                <w:szCs w:val="21"/>
                <w:highlight w:val="none"/>
              </w:rPr>
              <w:t xml:space="preserve">    3.</w:t>
            </w:r>
            <w:r>
              <w:rPr>
                <w:color w:val="auto"/>
                <w:szCs w:val="21"/>
                <w:highlight w:val="none"/>
              </w:rPr>
              <w:t>使用规则</w:t>
            </w:r>
            <w:r>
              <w:rPr>
                <w:rFonts w:hint="eastAsia"/>
                <w:color w:val="auto"/>
                <w:szCs w:val="21"/>
                <w:highlight w:val="none"/>
              </w:rPr>
              <w:t>：投标供应商</w:t>
            </w:r>
            <w:r>
              <w:rPr>
                <w:color w:val="auto"/>
                <w:szCs w:val="21"/>
                <w:highlight w:val="none"/>
              </w:rPr>
              <w:t>未被“信用中国”（www.creditchina.gov.cn)、中国政府采购网（www.ccgp.gov.cn）列入失信被执行人、重大税收违法失信主体、政府采购严重违法失信行为记录名单。</w:t>
            </w:r>
          </w:p>
          <w:p>
            <w:pPr>
              <w:pStyle w:val="50"/>
              <w:spacing w:before="48"/>
              <w:ind w:right="63" w:firstLine="422" w:firstLineChars="200"/>
              <w:rPr>
                <w:rFonts w:hint="eastAsia" w:eastAsia="宋体"/>
                <w:color w:val="auto"/>
                <w:szCs w:val="21"/>
                <w:highlight w:val="none"/>
                <w:lang w:eastAsia="zh-CN"/>
              </w:rPr>
            </w:pPr>
            <w:r>
              <w:rPr>
                <w:rFonts w:hint="eastAsia"/>
                <w:b/>
                <w:color w:val="auto"/>
                <w:szCs w:val="21"/>
                <w:highlight w:val="none"/>
              </w:rPr>
              <w:t>注：供应商无须单独提供</w:t>
            </w:r>
            <w:r>
              <w:rPr>
                <w:rFonts w:hint="eastAsia"/>
                <w:b/>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2" w:hRule="atLeast"/>
          <w:jc w:val="center"/>
        </w:trPr>
        <w:tc>
          <w:tcPr>
            <w:tcW w:w="2413" w:type="dxa"/>
            <w:shd w:val="clear" w:color="auto" w:fill="FFFFFF" w:themeFill="background1"/>
            <w:vAlign w:val="center"/>
          </w:tcPr>
          <w:p>
            <w:pPr>
              <w:pStyle w:val="50"/>
              <w:ind w:right="146"/>
              <w:jc w:val="center"/>
              <w:rPr>
                <w:color w:val="auto"/>
                <w:szCs w:val="21"/>
                <w:highlight w:val="none"/>
              </w:rPr>
            </w:pPr>
            <w:r>
              <w:rPr>
                <w:rFonts w:hint="eastAsia"/>
                <w:color w:val="auto"/>
                <w:szCs w:val="21"/>
                <w:highlight w:val="none"/>
              </w:rPr>
              <w:t>必须符合法律、行政法规规定的其他条件</w:t>
            </w:r>
          </w:p>
        </w:tc>
        <w:tc>
          <w:tcPr>
            <w:tcW w:w="6704" w:type="dxa"/>
            <w:shd w:val="clear" w:color="auto" w:fill="FFFFFF" w:themeFill="background1"/>
            <w:vAlign w:val="center"/>
          </w:tcPr>
          <w:p>
            <w:pPr>
              <w:pStyle w:val="50"/>
              <w:spacing w:before="48"/>
              <w:ind w:right="63" w:firstLine="420" w:firstLineChars="200"/>
              <w:rPr>
                <w:color w:val="auto"/>
                <w:szCs w:val="21"/>
                <w:highlight w:val="none"/>
              </w:rPr>
            </w:pPr>
            <w:r>
              <w:rPr>
                <w:rFonts w:hint="eastAsia"/>
                <w:color w:val="auto"/>
                <w:szCs w:val="21"/>
                <w:highlight w:val="none"/>
              </w:rPr>
              <w:t>1.单位负责人为同一人或者存在直接控股、管理关系的不同供应商，不得同时参加本项目投标。</w:t>
            </w:r>
          </w:p>
          <w:p>
            <w:pPr>
              <w:pStyle w:val="50"/>
              <w:spacing w:before="48"/>
              <w:ind w:right="63" w:firstLine="420" w:firstLineChars="200"/>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pPr>
              <w:pStyle w:val="50"/>
              <w:spacing w:before="48"/>
              <w:ind w:right="63" w:firstLine="420" w:firstLineChars="200"/>
              <w:rPr>
                <w:color w:val="auto"/>
                <w:szCs w:val="21"/>
                <w:highlight w:val="none"/>
              </w:rPr>
            </w:pPr>
            <w:r>
              <w:rPr>
                <w:rFonts w:hint="eastAsia"/>
                <w:color w:val="auto"/>
                <w:szCs w:val="21"/>
                <w:highlight w:val="none"/>
              </w:rPr>
              <w:t>3.其他相关承诺要求内容（如有）。</w:t>
            </w:r>
          </w:p>
          <w:p>
            <w:pPr>
              <w:pStyle w:val="50"/>
              <w:spacing w:before="48"/>
              <w:ind w:right="63" w:firstLine="422" w:firstLineChars="200"/>
              <w:rPr>
                <w:color w:val="auto"/>
                <w:szCs w:val="21"/>
                <w:highlight w:val="none"/>
              </w:rPr>
            </w:pPr>
            <w:r>
              <w:rPr>
                <w:rFonts w:hint="eastAsia"/>
                <w:b/>
                <w:color w:val="auto"/>
                <w:szCs w:val="21"/>
                <w:highlight w:val="none"/>
              </w:rPr>
              <w:t>注：供应商无须单独提供。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2413" w:type="dxa"/>
            <w:shd w:val="clear" w:color="auto" w:fill="FFFFFF" w:themeFill="background1"/>
            <w:vAlign w:val="center"/>
          </w:tcPr>
          <w:p>
            <w:pPr>
              <w:pStyle w:val="50"/>
              <w:spacing w:before="48"/>
              <w:ind w:left="64"/>
              <w:jc w:val="center"/>
              <w:rPr>
                <w:color w:val="auto"/>
                <w:szCs w:val="21"/>
                <w:highlight w:val="none"/>
              </w:rPr>
            </w:pPr>
            <w:r>
              <w:rPr>
                <w:rFonts w:hint="eastAsia"/>
                <w:color w:val="auto"/>
                <w:szCs w:val="21"/>
                <w:highlight w:val="none"/>
              </w:rPr>
              <w:t>联合体投标</w:t>
            </w:r>
          </w:p>
        </w:tc>
        <w:tc>
          <w:tcPr>
            <w:tcW w:w="6704" w:type="dxa"/>
            <w:shd w:val="clear" w:color="auto" w:fill="FFFFFF" w:themeFill="background1"/>
            <w:vAlign w:val="center"/>
          </w:tcPr>
          <w:p>
            <w:pPr>
              <w:pStyle w:val="50"/>
              <w:spacing w:before="48"/>
              <w:ind w:right="63" w:firstLine="420" w:firstLineChars="200"/>
              <w:rPr>
                <w:color w:val="auto"/>
                <w:szCs w:val="21"/>
                <w:highlight w:val="none"/>
              </w:rPr>
            </w:pPr>
            <w:r>
              <w:rPr>
                <w:rFonts w:hint="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2413" w:type="dxa"/>
            <w:shd w:val="clear" w:color="auto" w:fill="FFFFFF" w:themeFill="background1"/>
            <w:vAlign w:val="center"/>
          </w:tcPr>
          <w:p>
            <w:pPr>
              <w:pStyle w:val="50"/>
              <w:ind w:right="146"/>
              <w:jc w:val="center"/>
              <w:rPr>
                <w:color w:val="auto"/>
                <w:szCs w:val="21"/>
                <w:highlight w:val="none"/>
              </w:rPr>
            </w:pPr>
            <w:r>
              <w:rPr>
                <w:rFonts w:hint="eastAsia"/>
                <w:color w:val="auto"/>
                <w:szCs w:val="21"/>
                <w:highlight w:val="none"/>
              </w:rPr>
              <w:t>资质</w:t>
            </w:r>
          </w:p>
        </w:tc>
        <w:tc>
          <w:tcPr>
            <w:tcW w:w="6704" w:type="dxa"/>
            <w:shd w:val="clear" w:color="auto" w:fill="FFFFFF" w:themeFill="background1"/>
            <w:vAlign w:val="center"/>
          </w:tcPr>
          <w:p>
            <w:pPr>
              <w:pStyle w:val="50"/>
              <w:spacing w:before="48"/>
              <w:ind w:right="63" w:firstLine="420" w:firstLineChars="200"/>
              <w:rPr>
                <w:color w:val="auto"/>
                <w:szCs w:val="21"/>
                <w:highlight w:val="none"/>
              </w:rPr>
            </w:pPr>
            <w:bookmarkStart w:id="130" w:name="OLE_LINK22"/>
            <w:r>
              <w:rPr>
                <w:color w:val="auto"/>
                <w:szCs w:val="21"/>
                <w:highlight w:val="none"/>
              </w:rPr>
              <w:t>无</w:t>
            </w:r>
            <w:bookmarkEnd w:id="1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2413" w:type="dxa"/>
            <w:shd w:val="clear" w:color="auto" w:fill="FFFFFF" w:themeFill="background1"/>
            <w:vAlign w:val="center"/>
          </w:tcPr>
          <w:p>
            <w:pPr>
              <w:pStyle w:val="50"/>
              <w:ind w:right="146"/>
              <w:jc w:val="center"/>
              <w:rPr>
                <w:color w:val="auto"/>
                <w:szCs w:val="21"/>
                <w:highlight w:val="none"/>
              </w:rPr>
            </w:pPr>
            <w:r>
              <w:rPr>
                <w:rFonts w:hint="eastAsia"/>
                <w:color w:val="auto"/>
                <w:szCs w:val="21"/>
                <w:highlight w:val="none"/>
              </w:rPr>
              <w:t>落实政府采购政策需满足的资格要求</w:t>
            </w:r>
          </w:p>
        </w:tc>
        <w:tc>
          <w:tcPr>
            <w:tcW w:w="6704" w:type="dxa"/>
            <w:shd w:val="clear" w:color="auto" w:fill="FFFFFF" w:themeFill="background1"/>
            <w:vAlign w:val="center"/>
          </w:tcPr>
          <w:p>
            <w:pPr>
              <w:pStyle w:val="50"/>
              <w:spacing w:before="48"/>
              <w:ind w:right="63" w:firstLine="420" w:firstLineChars="200"/>
              <w:rPr>
                <w:color w:val="auto"/>
                <w:highlight w:val="none"/>
              </w:rPr>
            </w:pPr>
            <w:r>
              <w:rPr>
                <w:rFonts w:hint="eastAsia" w:cs="Arial" w:asciiTheme="minorEastAsia" w:hAnsiTheme="minorEastAsia" w:eastAsiaTheme="minorEastAsia"/>
                <w:color w:val="auto"/>
                <w:szCs w:val="21"/>
                <w:highlight w:val="none"/>
              </w:rPr>
              <w:t>提供中小企业声明函（格式见附件）或残疾人福利性单位声明函（格式见附件）或监狱企业证明文件（格式自拟）。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2413" w:type="dxa"/>
            <w:shd w:val="clear" w:color="auto" w:fill="FFFFFF" w:themeFill="background1"/>
            <w:vAlign w:val="center"/>
          </w:tcPr>
          <w:p>
            <w:pPr>
              <w:pStyle w:val="50"/>
              <w:ind w:right="146"/>
              <w:rPr>
                <w:color w:val="auto"/>
                <w:szCs w:val="21"/>
                <w:highlight w:val="none"/>
              </w:rPr>
            </w:pPr>
            <w:r>
              <w:rPr>
                <w:rFonts w:hint="eastAsia"/>
                <w:color w:val="auto"/>
                <w:szCs w:val="21"/>
                <w:highlight w:val="none"/>
              </w:rPr>
              <w:t>法定代表人/负责人资格证明书或法定代表人授权委托书</w:t>
            </w:r>
          </w:p>
        </w:tc>
        <w:tc>
          <w:tcPr>
            <w:tcW w:w="6704" w:type="dxa"/>
            <w:shd w:val="clear" w:color="auto" w:fill="FFFFFF" w:themeFill="background1"/>
            <w:vAlign w:val="center"/>
          </w:tcPr>
          <w:p>
            <w:pPr>
              <w:pStyle w:val="50"/>
              <w:spacing w:before="48"/>
              <w:ind w:right="63" w:firstLine="420" w:firstLineChars="200"/>
              <w:rPr>
                <w:color w:val="auto"/>
                <w:szCs w:val="21"/>
                <w:highlight w:val="none"/>
              </w:rPr>
            </w:pPr>
            <w:r>
              <w:rPr>
                <w:rFonts w:hint="eastAsia"/>
                <w:color w:val="auto"/>
                <w:szCs w:val="21"/>
                <w:highlight w:val="none"/>
              </w:rPr>
              <w:t>授权委托书（格式见附件，法定代表人亲自办理投标事宜的，则仅需提供身份证扫描件或影印件，无需提交本授权书)</w:t>
            </w:r>
          </w:p>
        </w:tc>
      </w:tr>
    </w:tbl>
    <w:p>
      <w:pPr>
        <w:pStyle w:val="1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pPr>
        <w:pStyle w:val="1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评标委员会应当对符合资格的投标供应商的投标文件进行符合性审查，以确定其是否满足招标文件的实质性要求，对审查发现无效的进行必要的询标，</w:t>
      </w:r>
      <w:r>
        <w:rPr>
          <w:rFonts w:hint="eastAsia" w:ascii="宋体" w:hAnsi="宋体" w:cs="宋体"/>
          <w:color w:val="auto"/>
          <w:sz w:val="24"/>
          <w:highlight w:val="none"/>
        </w:rPr>
        <w:t>在政采云平台公布无效投标的投标供应商名单、投标无效的原因</w:t>
      </w:r>
      <w:r>
        <w:rPr>
          <w:rFonts w:hint="eastAsia" w:asciiTheme="minorEastAsia" w:hAnsiTheme="minorEastAsia" w:eastAsiaTheme="minorEastAsia"/>
          <w:color w:val="auto"/>
          <w:sz w:val="24"/>
          <w:highlight w:val="none"/>
        </w:rPr>
        <w:t>。</w:t>
      </w:r>
    </w:p>
    <w:tbl>
      <w:tblPr>
        <w:tblStyle w:val="25"/>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4"/>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7" w:hRule="atLeast"/>
          <w:jc w:val="center"/>
        </w:trPr>
        <w:tc>
          <w:tcPr>
            <w:tcW w:w="1804" w:type="dxa"/>
            <w:vAlign w:val="center"/>
          </w:tcPr>
          <w:p>
            <w:pPr>
              <w:pStyle w:val="50"/>
              <w:spacing w:line="360" w:lineRule="auto"/>
              <w:ind w:right="146"/>
              <w:jc w:val="center"/>
              <w:rPr>
                <w:color w:val="auto"/>
                <w:szCs w:val="21"/>
                <w:highlight w:val="none"/>
              </w:rPr>
            </w:pPr>
            <w:r>
              <w:rPr>
                <w:rFonts w:hint="eastAsia"/>
                <w:color w:val="auto"/>
                <w:szCs w:val="21"/>
                <w:highlight w:val="none"/>
              </w:rPr>
              <w:t>投标文件</w:t>
            </w:r>
          </w:p>
        </w:tc>
        <w:tc>
          <w:tcPr>
            <w:tcW w:w="7374" w:type="dxa"/>
            <w:vAlign w:val="center"/>
          </w:tcPr>
          <w:p>
            <w:pPr>
              <w:pStyle w:val="50"/>
              <w:spacing w:before="48" w:line="360" w:lineRule="auto"/>
              <w:rPr>
                <w:color w:val="auto"/>
                <w:szCs w:val="21"/>
                <w:highlight w:val="none"/>
              </w:rPr>
            </w:pPr>
            <w:r>
              <w:rPr>
                <w:rFonts w:hint="eastAsia"/>
                <w:color w:val="auto"/>
                <w:szCs w:val="21"/>
                <w:highlight w:val="none"/>
              </w:rPr>
              <w:t>投标文件无重大错漏，并按要求签署、盖章。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804" w:type="dxa"/>
            <w:vAlign w:val="center"/>
          </w:tcPr>
          <w:p>
            <w:pPr>
              <w:pStyle w:val="50"/>
              <w:spacing w:line="360" w:lineRule="auto"/>
              <w:ind w:right="146"/>
              <w:jc w:val="center"/>
              <w:rPr>
                <w:color w:val="auto"/>
                <w:szCs w:val="21"/>
                <w:highlight w:val="none"/>
              </w:rPr>
            </w:pPr>
            <w:r>
              <w:rPr>
                <w:rFonts w:hint="eastAsia"/>
                <w:color w:val="auto"/>
                <w:szCs w:val="21"/>
                <w:highlight w:val="none"/>
              </w:rPr>
              <w:t>“▲”实质性条款</w:t>
            </w:r>
          </w:p>
        </w:tc>
        <w:tc>
          <w:tcPr>
            <w:tcW w:w="7374" w:type="dxa"/>
            <w:vAlign w:val="center"/>
          </w:tcPr>
          <w:p>
            <w:pPr>
              <w:pStyle w:val="50"/>
              <w:spacing w:before="48" w:line="360" w:lineRule="auto"/>
              <w:rPr>
                <w:color w:val="auto"/>
                <w:szCs w:val="21"/>
                <w:highlight w:val="none"/>
              </w:rPr>
            </w:pPr>
            <w:r>
              <w:rPr>
                <w:rFonts w:hint="eastAsia"/>
                <w:color w:val="auto"/>
                <w:szCs w:val="21"/>
                <w:highlight w:val="none"/>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804" w:type="dxa"/>
            <w:shd w:val="clear" w:color="auto" w:fill="F6F6F6"/>
            <w:vAlign w:val="center"/>
          </w:tcPr>
          <w:p>
            <w:pPr>
              <w:pStyle w:val="50"/>
              <w:spacing w:line="360" w:lineRule="auto"/>
              <w:ind w:right="146"/>
              <w:jc w:val="center"/>
              <w:rPr>
                <w:color w:val="auto"/>
                <w:szCs w:val="21"/>
                <w:highlight w:val="none"/>
              </w:rPr>
            </w:pPr>
            <w:r>
              <w:rPr>
                <w:rFonts w:hint="eastAsia"/>
                <w:color w:val="auto"/>
                <w:szCs w:val="21"/>
                <w:highlight w:val="none"/>
              </w:rPr>
              <w:t>串通投标</w:t>
            </w:r>
          </w:p>
        </w:tc>
        <w:tc>
          <w:tcPr>
            <w:tcW w:w="7374" w:type="dxa"/>
            <w:shd w:val="clear" w:color="auto" w:fill="F6F6F6"/>
            <w:vAlign w:val="center"/>
          </w:tcPr>
          <w:p>
            <w:pPr>
              <w:pStyle w:val="50"/>
              <w:spacing w:before="48" w:line="360" w:lineRule="auto"/>
              <w:rPr>
                <w:color w:val="auto"/>
                <w:szCs w:val="21"/>
                <w:highlight w:val="none"/>
              </w:rPr>
            </w:pPr>
            <w:r>
              <w:rPr>
                <w:rFonts w:hint="eastAsia"/>
                <w:color w:val="auto"/>
                <w:szCs w:val="21"/>
                <w:highlight w:val="none"/>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804" w:type="dxa"/>
            <w:vAlign w:val="center"/>
          </w:tcPr>
          <w:p>
            <w:pPr>
              <w:pStyle w:val="50"/>
              <w:spacing w:line="360" w:lineRule="auto"/>
              <w:ind w:right="146"/>
              <w:jc w:val="center"/>
              <w:rPr>
                <w:color w:val="auto"/>
                <w:szCs w:val="21"/>
                <w:highlight w:val="none"/>
              </w:rPr>
            </w:pPr>
            <w:r>
              <w:rPr>
                <w:rFonts w:hint="eastAsia"/>
                <w:color w:val="auto"/>
                <w:szCs w:val="21"/>
                <w:highlight w:val="none"/>
              </w:rPr>
              <w:t>附加条件</w:t>
            </w:r>
          </w:p>
        </w:tc>
        <w:tc>
          <w:tcPr>
            <w:tcW w:w="7374" w:type="dxa"/>
            <w:vAlign w:val="center"/>
          </w:tcPr>
          <w:p>
            <w:pPr>
              <w:pStyle w:val="50"/>
              <w:spacing w:before="48" w:line="360" w:lineRule="auto"/>
              <w:rPr>
                <w:color w:val="auto"/>
                <w:szCs w:val="21"/>
                <w:highlight w:val="none"/>
              </w:rPr>
            </w:pPr>
            <w:r>
              <w:rPr>
                <w:rFonts w:hint="eastAsia"/>
                <w:color w:val="auto"/>
                <w:szCs w:val="21"/>
                <w:highlight w:val="none"/>
              </w:rPr>
              <w:t>投标文件未含有采购人不可接受的附加条件。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804" w:type="dxa"/>
            <w:vAlign w:val="center"/>
          </w:tcPr>
          <w:p>
            <w:pPr>
              <w:pStyle w:val="50"/>
              <w:spacing w:line="360" w:lineRule="auto"/>
              <w:ind w:right="146"/>
              <w:jc w:val="center"/>
              <w:rPr>
                <w:color w:val="auto"/>
                <w:szCs w:val="21"/>
                <w:highlight w:val="none"/>
              </w:rPr>
            </w:pPr>
            <w:r>
              <w:rPr>
                <w:rFonts w:hint="eastAsia"/>
                <w:color w:val="auto"/>
                <w:szCs w:val="21"/>
                <w:highlight w:val="none"/>
              </w:rPr>
              <w:t>其他</w:t>
            </w:r>
          </w:p>
        </w:tc>
        <w:tc>
          <w:tcPr>
            <w:tcW w:w="7374" w:type="dxa"/>
            <w:vAlign w:val="center"/>
          </w:tcPr>
          <w:p>
            <w:pPr>
              <w:pStyle w:val="50"/>
              <w:spacing w:before="48" w:line="360" w:lineRule="auto"/>
              <w:rPr>
                <w:color w:val="auto"/>
                <w:szCs w:val="21"/>
                <w:highlight w:val="none"/>
              </w:rPr>
            </w:pPr>
            <w:r>
              <w:rPr>
                <w:rFonts w:hint="eastAsia"/>
                <w:color w:val="auto"/>
                <w:szCs w:val="21"/>
                <w:highlight w:val="none"/>
              </w:rPr>
              <w:t>投标文件并无其他法定或本文件规定的无效情形。</w:t>
            </w:r>
          </w:p>
        </w:tc>
      </w:tr>
    </w:tbl>
    <w:p>
      <w:pPr>
        <w:pStyle w:val="21"/>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ascii="Arial" w:hAnsi="Arial" w:cs="Arial" w:eastAsiaTheme="minorEastAsia"/>
          <w:b/>
          <w:bCs/>
          <w:color w:val="auto"/>
          <w:highlight w:val="none"/>
        </w:rPr>
        <w:t>商务技术及价格评审</w:t>
      </w:r>
    </w:p>
    <w:p>
      <w:pPr>
        <w:autoSpaceDE w:val="0"/>
        <w:autoSpaceDN w:val="0"/>
        <w:adjustRightInd w:val="0"/>
        <w:spacing w:line="360" w:lineRule="auto"/>
        <w:ind w:right="85"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项目评标方法为综合评分法，总计100分，评标按以下标准及要求进行：</w:t>
      </w:r>
    </w:p>
    <w:p>
      <w:pPr>
        <w:autoSpaceDE w:val="0"/>
        <w:autoSpaceDN w:val="0"/>
        <w:adjustRightInd w:val="0"/>
        <w:spacing w:line="360" w:lineRule="auto"/>
        <w:ind w:right="8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1.评分标准</w:t>
      </w:r>
    </w:p>
    <w:tbl>
      <w:tblPr>
        <w:tblStyle w:val="25"/>
        <w:tblW w:w="1044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592"/>
        <w:gridCol w:w="7615"/>
        <w:gridCol w:w="7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8" w:hRule="atLeast"/>
          <w:tblHeader/>
          <w:jc w:val="center"/>
        </w:trPr>
        <w:tc>
          <w:tcPr>
            <w:tcW w:w="2126" w:type="dxa"/>
            <w:gridSpan w:val="2"/>
            <w:tcBorders>
              <w:bottom w:val="single" w:color="auto" w:sz="4" w:space="0"/>
            </w:tcBorders>
            <w:shd w:val="pct20" w:color="auto" w:fill="auto"/>
            <w:vAlign w:val="center"/>
          </w:tcPr>
          <w:p>
            <w:pPr>
              <w:widowControl/>
              <w:spacing w:line="360" w:lineRule="auto"/>
              <w:jc w:val="center"/>
              <w:rPr>
                <w:rFonts w:ascii="宋体" w:hAnsi="宋体" w:cs="宋体"/>
                <w:b/>
                <w:bCs/>
                <w:color w:val="auto"/>
                <w:sz w:val="24"/>
                <w:highlight w:val="none"/>
              </w:rPr>
            </w:pPr>
            <w:bookmarkStart w:id="131" w:name="OLE_LINK86"/>
            <w:r>
              <w:rPr>
                <w:rFonts w:hint="eastAsia" w:ascii="宋体" w:hAnsi="宋体" w:cs="宋体"/>
                <w:b/>
                <w:color w:val="auto"/>
                <w:sz w:val="24"/>
                <w:highlight w:val="none"/>
              </w:rPr>
              <w:t>评分项目</w:t>
            </w:r>
          </w:p>
        </w:tc>
        <w:tc>
          <w:tcPr>
            <w:tcW w:w="7615" w:type="dxa"/>
            <w:tcBorders>
              <w:bottom w:val="single" w:color="auto" w:sz="4" w:space="0"/>
            </w:tcBorders>
            <w:shd w:val="pct20" w:color="auto" w:fill="auto"/>
            <w:vAlign w:val="center"/>
          </w:tcPr>
          <w:p>
            <w:pPr>
              <w:widowControl/>
              <w:jc w:val="center"/>
              <w:rPr>
                <w:rFonts w:ascii="宋体" w:hAnsi="宋体" w:cs="宋体"/>
                <w:b/>
                <w:color w:val="auto"/>
                <w:sz w:val="24"/>
                <w:highlight w:val="none"/>
              </w:rPr>
            </w:pPr>
            <w:r>
              <w:rPr>
                <w:rFonts w:hint="eastAsia" w:ascii="宋体" w:hAnsi="宋体" w:cs="宋体"/>
                <w:b/>
                <w:color w:val="auto"/>
                <w:sz w:val="24"/>
                <w:highlight w:val="none"/>
              </w:rPr>
              <w:t>评分细则</w:t>
            </w:r>
          </w:p>
        </w:tc>
        <w:tc>
          <w:tcPr>
            <w:tcW w:w="706" w:type="dxa"/>
            <w:tcBorders>
              <w:bottom w:val="single" w:color="auto" w:sz="4" w:space="0"/>
            </w:tcBorders>
            <w:shd w:val="pct20" w:color="auto" w:fill="auto"/>
            <w:vAlign w:val="center"/>
          </w:tcPr>
          <w:p>
            <w:pPr>
              <w:widowControl/>
              <w:jc w:val="center"/>
              <w:rPr>
                <w:rFonts w:ascii="宋体" w:hAnsi="宋体" w:cs="宋体"/>
                <w:b/>
                <w:bCs/>
                <w:color w:val="auto"/>
                <w:sz w:val="24"/>
                <w:highlight w:val="none"/>
              </w:rPr>
            </w:pPr>
            <w:r>
              <w:rPr>
                <w:rFonts w:hint="eastAsia" w:ascii="宋体" w:hAnsi="宋体" w:cs="宋体"/>
                <w:b/>
                <w:bCs/>
                <w:color w:val="auto"/>
                <w:sz w:val="24"/>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1" w:hRule="atLeast"/>
          <w:jc w:val="center"/>
        </w:trPr>
        <w:tc>
          <w:tcPr>
            <w:tcW w:w="534" w:type="dxa"/>
            <w:vMerge w:val="restart"/>
            <w:vAlign w:val="center"/>
          </w:tcPr>
          <w:p>
            <w:pPr>
              <w:jc w:val="center"/>
              <w:rPr>
                <w:rFonts w:ascii="宋体" w:hAnsi="宋体" w:cs="宋体"/>
                <w:b/>
                <w:bCs/>
                <w:color w:val="auto"/>
                <w:sz w:val="24"/>
                <w:highlight w:val="none"/>
              </w:rPr>
            </w:pPr>
            <w:bookmarkStart w:id="132" w:name="OLE_LINK91" w:colFirst="1" w:colLast="2"/>
            <w:r>
              <w:rPr>
                <w:rFonts w:hint="eastAsia" w:ascii="宋体" w:hAnsi="宋体" w:cs="宋体"/>
                <w:b/>
                <w:bCs/>
                <w:color w:val="auto"/>
                <w:sz w:val="24"/>
                <w:highlight w:val="none"/>
              </w:rPr>
              <w:t>资信与技术</w:t>
            </w:r>
          </w:p>
          <w:p>
            <w:pPr>
              <w:jc w:val="center"/>
              <w:rPr>
                <w:rFonts w:ascii="宋体" w:hAnsi="宋体" w:cs="宋体"/>
                <w:b/>
                <w:bCs/>
                <w:color w:val="auto"/>
                <w:sz w:val="24"/>
                <w:highlight w:val="none"/>
              </w:rPr>
            </w:pPr>
            <w:r>
              <w:rPr>
                <w:rFonts w:hint="eastAsia" w:ascii="宋体" w:hAnsi="宋体" w:cs="宋体"/>
                <w:b/>
                <w:bCs/>
                <w:color w:val="auto"/>
                <w:sz w:val="24"/>
                <w:highlight w:val="none"/>
              </w:rPr>
              <w:t>分</w:t>
            </w:r>
          </w:p>
        </w:tc>
        <w:tc>
          <w:tcPr>
            <w:tcW w:w="1592" w:type="dxa"/>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企业实力</w:t>
            </w:r>
          </w:p>
        </w:tc>
        <w:tc>
          <w:tcPr>
            <w:tcW w:w="7615" w:type="dxa"/>
            <w:tcBorders>
              <w:bottom w:val="single" w:color="auto" w:sz="4" w:space="0"/>
            </w:tcBorders>
            <w:vAlign w:val="center"/>
          </w:tcPr>
          <w:p>
            <w:pPr>
              <w:widowControl/>
              <w:textAlignment w:val="center"/>
              <w:rPr>
                <w:rFonts w:ascii="宋体" w:hAnsi="宋体" w:cs="宋体"/>
                <w:b/>
                <w:color w:val="auto"/>
                <w:sz w:val="24"/>
                <w:highlight w:val="none"/>
              </w:rPr>
            </w:pPr>
            <w:r>
              <w:rPr>
                <w:rFonts w:hint="eastAsia" w:ascii="宋体" w:hAnsi="宋体" w:cs="宋体"/>
                <w:b/>
                <w:color w:val="auto"/>
                <w:sz w:val="24"/>
                <w:highlight w:val="none"/>
              </w:rPr>
              <w:t>客观分：</w:t>
            </w:r>
          </w:p>
          <w:p>
            <w:pPr>
              <w:rPr>
                <w:rFonts w:ascii="宋体" w:hAnsi="宋体" w:cs="宋体"/>
                <w:color w:val="auto"/>
                <w:sz w:val="24"/>
                <w:highlight w:val="none"/>
              </w:rPr>
            </w:pPr>
            <w:r>
              <w:rPr>
                <w:rFonts w:hint="eastAsia" w:ascii="宋体" w:hAnsi="宋体" w:cs="宋体"/>
                <w:color w:val="auto"/>
                <w:sz w:val="24"/>
                <w:highlight w:val="none"/>
              </w:rPr>
              <w:t>1.投标人具有《质量管理体系认证证书》，认证范围至少包含以下内容：钢木家具、人造板家具、软体家具、实木家具、钢塑家具、礼堂椅，提供并符合要求的得2分；</w:t>
            </w:r>
          </w:p>
          <w:p>
            <w:pPr>
              <w:rPr>
                <w:rFonts w:ascii="宋体" w:hAnsi="宋体" w:cs="宋体"/>
                <w:color w:val="auto"/>
                <w:sz w:val="24"/>
                <w:highlight w:val="none"/>
              </w:rPr>
            </w:pPr>
            <w:r>
              <w:rPr>
                <w:rFonts w:hint="eastAsia" w:ascii="宋体" w:hAnsi="宋体" w:cs="宋体"/>
                <w:color w:val="auto"/>
                <w:sz w:val="24"/>
                <w:highlight w:val="none"/>
              </w:rPr>
              <w:t>2.投标人具有《环境管理体系认证证书》，认证范围至少包含以下内容：钢木家具、人造板家具、软体家具、实木家具、钢塑家具、礼堂椅，提供并符合要求的得2分；</w:t>
            </w:r>
          </w:p>
          <w:p>
            <w:pPr>
              <w:rPr>
                <w:rFonts w:ascii="宋体" w:hAnsi="宋体" w:cs="宋体"/>
                <w:color w:val="auto"/>
                <w:sz w:val="24"/>
                <w:highlight w:val="none"/>
              </w:rPr>
            </w:pPr>
            <w:r>
              <w:rPr>
                <w:rFonts w:hint="eastAsia" w:ascii="宋体" w:hAnsi="宋体" w:cs="宋体"/>
                <w:color w:val="auto"/>
                <w:sz w:val="24"/>
                <w:highlight w:val="none"/>
              </w:rPr>
              <w:t>3.投标人具有《职业健康安全管理体系认证证书》，认证范围至少包含以下内容：钢木家具、人造板家具、软体家具、实木家具、钢塑家具、礼堂椅，提供并符合要求的得2分；</w:t>
            </w:r>
          </w:p>
          <w:p>
            <w:pPr>
              <w:rPr>
                <w:rFonts w:ascii="宋体" w:hAnsi="宋体" w:cs="宋体"/>
                <w:bCs/>
                <w:color w:val="auto"/>
                <w:sz w:val="24"/>
                <w:highlight w:val="none"/>
              </w:rPr>
            </w:pPr>
            <w:r>
              <w:rPr>
                <w:rFonts w:hint="eastAsia" w:ascii="宋体" w:hAnsi="宋体" w:cs="宋体"/>
                <w:bCs/>
                <w:color w:val="auto"/>
                <w:sz w:val="24"/>
                <w:highlight w:val="none"/>
              </w:rPr>
              <w:t>4.投标人具有售后服务认证证书，</w:t>
            </w:r>
            <w:r>
              <w:rPr>
                <w:rFonts w:hint="eastAsia" w:ascii="宋体" w:hAnsi="宋体" w:cs="宋体"/>
                <w:color w:val="auto"/>
                <w:sz w:val="24"/>
                <w:highlight w:val="none"/>
              </w:rPr>
              <w:t>认证范围至少包含以下内容：钢木家具、人造板家具、软体家具、</w:t>
            </w:r>
            <w:bookmarkStart w:id="133" w:name="OLE_LINK73"/>
            <w:r>
              <w:rPr>
                <w:rFonts w:hint="eastAsia" w:ascii="宋体" w:hAnsi="宋体" w:cs="宋体"/>
                <w:color w:val="auto"/>
                <w:sz w:val="24"/>
                <w:highlight w:val="none"/>
              </w:rPr>
              <w:t>实木家具</w:t>
            </w:r>
            <w:bookmarkEnd w:id="133"/>
            <w:r>
              <w:rPr>
                <w:rFonts w:hint="eastAsia" w:ascii="宋体" w:hAnsi="宋体" w:cs="宋体"/>
                <w:color w:val="auto"/>
                <w:sz w:val="24"/>
                <w:highlight w:val="none"/>
              </w:rPr>
              <w:t>、钢塑家具、礼堂椅；提供并符合的，</w:t>
            </w:r>
            <w:r>
              <w:rPr>
                <w:rFonts w:hint="eastAsia" w:ascii="宋体" w:hAnsi="宋体" w:cs="宋体"/>
                <w:bCs/>
                <w:color w:val="auto"/>
                <w:sz w:val="24"/>
                <w:highlight w:val="none"/>
              </w:rPr>
              <w:t>5星及5星以上的，得2分；3星及3星以上的得1分；3星以下的得0.5分。未提供或不符的不得分。</w:t>
            </w:r>
          </w:p>
          <w:p>
            <w:pPr>
              <w:widowControl/>
              <w:textAlignment w:val="center"/>
              <w:rPr>
                <w:rFonts w:ascii="宋体" w:hAnsi="宋体" w:cs="宋体"/>
                <w:color w:val="auto"/>
                <w:sz w:val="24"/>
                <w:highlight w:val="none"/>
              </w:rPr>
            </w:pPr>
            <w:r>
              <w:rPr>
                <w:rFonts w:hint="eastAsia" w:ascii="宋体" w:hAnsi="宋体" w:cs="宋体"/>
                <w:b/>
                <w:bCs/>
                <w:color w:val="auto"/>
                <w:sz w:val="24"/>
                <w:highlight w:val="none"/>
              </w:rPr>
              <w:t>注：须提供相关证书材料影印件并提供中国国家认证认可监督管理委员会官方网站（http://www.cnca.gov.cn/）的认证信息网页截图；如供应商提供的证书材料信息与网页不一致的，本项不得分。认证范围至少包含上述内容，如内容不全则不得分。</w:t>
            </w:r>
          </w:p>
        </w:tc>
        <w:tc>
          <w:tcPr>
            <w:tcW w:w="706" w:type="dxa"/>
            <w:tcBorders>
              <w:bottom w:val="single" w:color="auto" w:sz="4" w:space="0"/>
            </w:tcBorders>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1" w:hRule="atLeast"/>
          <w:jc w:val="center"/>
        </w:trPr>
        <w:tc>
          <w:tcPr>
            <w:tcW w:w="534" w:type="dxa"/>
            <w:vMerge w:val="continue"/>
            <w:vAlign w:val="center"/>
          </w:tcPr>
          <w:p>
            <w:pPr>
              <w:jc w:val="center"/>
              <w:rPr>
                <w:rFonts w:ascii="宋体" w:hAnsi="宋体" w:cs="宋体"/>
                <w:b/>
                <w:bCs/>
                <w:color w:val="auto"/>
                <w:sz w:val="24"/>
                <w:highlight w:val="none"/>
              </w:rPr>
            </w:pPr>
          </w:p>
        </w:tc>
        <w:tc>
          <w:tcPr>
            <w:tcW w:w="1592" w:type="dxa"/>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环境标志</w:t>
            </w:r>
          </w:p>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和节能环保产品认证</w:t>
            </w:r>
          </w:p>
        </w:tc>
        <w:tc>
          <w:tcPr>
            <w:tcW w:w="7615" w:type="dxa"/>
            <w:tcBorders>
              <w:bottom w:val="single" w:color="auto" w:sz="4" w:space="0"/>
            </w:tcBorders>
            <w:vAlign w:val="center"/>
          </w:tcPr>
          <w:p>
            <w:pPr>
              <w:widowControl/>
              <w:spacing w:line="276" w:lineRule="auto"/>
              <w:textAlignment w:val="center"/>
              <w:rPr>
                <w:rFonts w:ascii="宋体" w:hAnsi="宋体" w:cs="宋体"/>
                <w:b/>
                <w:color w:val="auto"/>
                <w:sz w:val="24"/>
                <w:highlight w:val="none"/>
              </w:rPr>
            </w:pPr>
            <w:r>
              <w:rPr>
                <w:rFonts w:hint="eastAsia" w:ascii="宋体" w:hAnsi="宋体" w:cs="宋体"/>
                <w:b/>
                <w:color w:val="auto"/>
                <w:sz w:val="24"/>
                <w:highlight w:val="none"/>
              </w:rPr>
              <w:t>客观分：</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1.投标人具有中国环境标志产品认证证书，认证单元至少包含以下内容：</w:t>
            </w:r>
            <w:bookmarkStart w:id="134" w:name="OLE_LINK29"/>
            <w:r>
              <w:rPr>
                <w:rFonts w:hint="eastAsia" w:ascii="宋体" w:hAnsi="宋体" w:cs="宋体"/>
                <w:color w:val="auto"/>
                <w:sz w:val="24"/>
                <w:highlight w:val="none"/>
              </w:rPr>
              <w:t>礼堂椅</w:t>
            </w:r>
            <w:bookmarkEnd w:id="134"/>
            <w:r>
              <w:rPr>
                <w:rFonts w:hint="eastAsia" w:ascii="宋体" w:hAnsi="宋体" w:cs="宋体"/>
                <w:color w:val="auto"/>
                <w:sz w:val="24"/>
                <w:highlight w:val="none"/>
              </w:rPr>
              <w:t>、折叠桌（折叠培训桌、培训桌）、折叠椅（折叠培训椅、培训椅），提供并符合的得2分。</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2.投标人具有中国环境保护产品认证证书，认证产品至少包含以下内容：礼堂椅、折叠桌（折叠培训桌、培训桌）、折叠椅（折叠培训椅、培训椅），提供并符合的得2分。</w:t>
            </w:r>
          </w:p>
          <w:p>
            <w:pPr>
              <w:widowControl/>
              <w:spacing w:line="276" w:lineRule="auto"/>
              <w:textAlignment w:val="center"/>
              <w:rPr>
                <w:rFonts w:ascii="宋体" w:hAnsi="宋体" w:cs="宋体"/>
                <w:b/>
                <w:color w:val="auto"/>
                <w:sz w:val="24"/>
                <w:highlight w:val="none"/>
              </w:rPr>
            </w:pPr>
            <w:r>
              <w:rPr>
                <w:rFonts w:hint="eastAsia" w:ascii="宋体" w:hAnsi="宋体" w:cs="宋体"/>
                <w:b/>
                <w:color w:val="auto"/>
                <w:sz w:val="24"/>
                <w:highlight w:val="none"/>
              </w:rPr>
              <w:t>注：</w:t>
            </w:r>
            <w:r>
              <w:rPr>
                <w:rFonts w:hint="eastAsia" w:ascii="宋体" w:hAnsi="宋体" w:cs="宋体"/>
                <w:b/>
                <w:bCs/>
                <w:color w:val="auto"/>
                <w:sz w:val="24"/>
                <w:highlight w:val="none"/>
              </w:rPr>
              <w:t>须提供相关证书材料影印件并提供中国国家认证认可监督管理委员会官方网站（http://www.cnca.gov.cn/）的认证信息网页截图；如供应商提供的证书材料信息与网页不一致的，本项不得分。</w:t>
            </w:r>
            <w:bookmarkStart w:id="135" w:name="OLE_LINK76"/>
            <w:r>
              <w:rPr>
                <w:rFonts w:hint="eastAsia" w:ascii="宋体" w:hAnsi="宋体" w:cs="宋体"/>
                <w:b/>
                <w:bCs/>
                <w:color w:val="auto"/>
                <w:sz w:val="24"/>
                <w:highlight w:val="none"/>
              </w:rPr>
              <w:t>认证</w:t>
            </w:r>
            <w:bookmarkStart w:id="136" w:name="OLE_LINK75"/>
            <w:r>
              <w:rPr>
                <w:rFonts w:hint="eastAsia" w:ascii="宋体" w:hAnsi="宋体" w:cs="宋体"/>
                <w:b/>
                <w:bCs/>
                <w:color w:val="auto"/>
                <w:sz w:val="24"/>
                <w:highlight w:val="none"/>
              </w:rPr>
              <w:t>单元</w:t>
            </w:r>
            <w:bookmarkEnd w:id="136"/>
            <w:r>
              <w:rPr>
                <w:rFonts w:hint="eastAsia" w:ascii="宋体" w:hAnsi="宋体" w:cs="宋体"/>
                <w:b/>
                <w:bCs/>
                <w:color w:val="auto"/>
                <w:sz w:val="24"/>
                <w:highlight w:val="none"/>
              </w:rPr>
              <w:t>或认证产品至少包含上述内容，如内容不全则不得分。</w:t>
            </w:r>
            <w:bookmarkEnd w:id="135"/>
            <w:r>
              <w:rPr>
                <w:rFonts w:hint="eastAsia" w:ascii="宋体" w:hAnsi="宋体" w:cs="宋体"/>
                <w:b/>
                <w:bCs/>
                <w:color w:val="auto"/>
                <w:kern w:val="0"/>
                <w:sz w:val="24"/>
                <w:highlight w:val="none"/>
                <w:lang w:bidi="ar"/>
              </w:rPr>
              <w:t>如投标产品非投标人自行生产，需指定产品制造商，并提供授权委托书，否则不得分。</w:t>
            </w:r>
          </w:p>
        </w:tc>
        <w:tc>
          <w:tcPr>
            <w:tcW w:w="706" w:type="dxa"/>
            <w:tcBorders>
              <w:bottom w:val="single" w:color="auto" w:sz="4" w:space="0"/>
            </w:tcBorders>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3" w:hRule="atLeast"/>
          <w:jc w:val="center"/>
        </w:trPr>
        <w:tc>
          <w:tcPr>
            <w:tcW w:w="534" w:type="dxa"/>
            <w:vMerge w:val="continue"/>
            <w:vAlign w:val="center"/>
          </w:tcPr>
          <w:p>
            <w:pPr>
              <w:jc w:val="center"/>
              <w:rPr>
                <w:rFonts w:ascii="宋体" w:hAnsi="宋体" w:cs="宋体"/>
                <w:b/>
                <w:bCs/>
                <w:color w:val="auto"/>
                <w:sz w:val="24"/>
                <w:highlight w:val="none"/>
              </w:rPr>
            </w:pPr>
          </w:p>
        </w:tc>
        <w:tc>
          <w:tcPr>
            <w:tcW w:w="1592" w:type="dxa"/>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类似业绩</w:t>
            </w:r>
          </w:p>
        </w:tc>
        <w:tc>
          <w:tcPr>
            <w:tcW w:w="7615" w:type="dxa"/>
            <w:vAlign w:val="center"/>
          </w:tcPr>
          <w:p>
            <w:pPr>
              <w:widowControl/>
              <w:spacing w:line="276" w:lineRule="auto"/>
              <w:textAlignment w:val="center"/>
              <w:rPr>
                <w:rFonts w:ascii="宋体" w:hAnsi="宋体" w:cs="宋体"/>
                <w:b/>
                <w:color w:val="auto"/>
                <w:sz w:val="24"/>
                <w:highlight w:val="none"/>
              </w:rPr>
            </w:pPr>
            <w:r>
              <w:rPr>
                <w:rFonts w:hint="eastAsia" w:ascii="宋体" w:hAnsi="宋体" w:cs="宋体"/>
                <w:b/>
                <w:color w:val="auto"/>
                <w:sz w:val="24"/>
                <w:highlight w:val="none"/>
              </w:rPr>
              <w:t>客观分：</w:t>
            </w:r>
          </w:p>
          <w:p>
            <w:pPr>
              <w:widowControl/>
              <w:spacing w:line="276" w:lineRule="auto"/>
              <w:textAlignment w:val="center"/>
              <w:rPr>
                <w:rFonts w:ascii="宋体" w:hAnsi="宋体" w:cs="宋体"/>
                <w:bCs/>
                <w:color w:val="auto"/>
                <w:sz w:val="24"/>
                <w:highlight w:val="none"/>
              </w:rPr>
            </w:pPr>
            <w:r>
              <w:rPr>
                <w:rFonts w:hint="eastAsia" w:ascii="宋体" w:hAnsi="宋体" w:cs="宋体"/>
                <w:bCs/>
                <w:color w:val="auto"/>
                <w:sz w:val="24"/>
                <w:highlight w:val="none"/>
              </w:rPr>
              <w:t>投标人自2022年1月1日（含）以来（以合同签订时间为准），</w:t>
            </w:r>
            <w:bookmarkStart w:id="137" w:name="OLE_LINK16"/>
            <w:r>
              <w:rPr>
                <w:rFonts w:hint="eastAsia" w:ascii="宋体" w:hAnsi="宋体" w:cs="宋体"/>
                <w:bCs/>
                <w:color w:val="auto"/>
                <w:sz w:val="24"/>
                <w:highlight w:val="none"/>
              </w:rPr>
              <w:t>承担过与本项目类似业绩</w:t>
            </w:r>
            <w:bookmarkStart w:id="138" w:name="OLE_LINK85"/>
            <w:r>
              <w:rPr>
                <w:rFonts w:hint="eastAsia" w:ascii="宋体" w:hAnsi="宋体" w:cs="宋体"/>
                <w:bCs/>
                <w:color w:val="auto"/>
                <w:sz w:val="24"/>
                <w:highlight w:val="none"/>
              </w:rPr>
              <w:t>（教学家具类</w:t>
            </w:r>
            <w:r>
              <w:rPr>
                <w:rFonts w:hint="eastAsia" w:ascii="宋体" w:hAnsi="宋体" w:cs="宋体"/>
                <w:bCs/>
                <w:color w:val="auto"/>
                <w:sz w:val="24"/>
                <w:highlight w:val="none"/>
                <w:lang w:val="en-US" w:eastAsia="zh-CN"/>
              </w:rPr>
              <w:t>供货业绩</w:t>
            </w:r>
            <w:bookmarkEnd w:id="138"/>
            <w:r>
              <w:rPr>
                <w:rFonts w:hint="eastAsia" w:ascii="宋体" w:hAnsi="宋体" w:cs="宋体"/>
                <w:bCs/>
                <w:color w:val="auto"/>
                <w:sz w:val="24"/>
                <w:highlight w:val="none"/>
              </w:rPr>
              <w:t>）</w:t>
            </w:r>
            <w:bookmarkEnd w:id="137"/>
            <w:r>
              <w:rPr>
                <w:rFonts w:hint="eastAsia" w:ascii="宋体" w:hAnsi="宋体" w:cs="宋体"/>
                <w:bCs/>
                <w:color w:val="auto"/>
                <w:sz w:val="24"/>
                <w:highlight w:val="none"/>
              </w:rPr>
              <w:t>，每个得1.5分，最高得3分。</w:t>
            </w:r>
          </w:p>
          <w:p>
            <w:pPr>
              <w:widowControl/>
              <w:spacing w:line="276" w:lineRule="auto"/>
              <w:textAlignment w:val="center"/>
              <w:rPr>
                <w:rFonts w:ascii="宋体" w:hAnsi="宋体" w:cs="宋体"/>
                <w:b/>
                <w:color w:val="auto"/>
                <w:sz w:val="24"/>
                <w:highlight w:val="none"/>
              </w:rPr>
            </w:pPr>
            <w:r>
              <w:rPr>
                <w:rFonts w:hint="eastAsia" w:ascii="宋体" w:hAnsi="宋体" w:cs="宋体"/>
                <w:b/>
                <w:color w:val="auto"/>
                <w:sz w:val="24"/>
                <w:highlight w:val="none"/>
              </w:rPr>
              <w:t>注：须提供合同，否则不得分。</w:t>
            </w:r>
          </w:p>
        </w:tc>
        <w:tc>
          <w:tcPr>
            <w:tcW w:w="706" w:type="dxa"/>
            <w:tcBorders>
              <w:bottom w:val="single" w:color="auto" w:sz="4" w:space="0"/>
            </w:tcBorders>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534" w:type="dxa"/>
            <w:vMerge w:val="continue"/>
            <w:vAlign w:val="center"/>
          </w:tcPr>
          <w:p>
            <w:pPr>
              <w:jc w:val="center"/>
              <w:rPr>
                <w:rFonts w:ascii="宋体" w:hAnsi="宋体" w:cs="宋体"/>
                <w:b/>
                <w:bCs/>
                <w:color w:val="auto"/>
                <w:sz w:val="24"/>
                <w:highlight w:val="none"/>
              </w:rPr>
            </w:pPr>
          </w:p>
        </w:tc>
        <w:tc>
          <w:tcPr>
            <w:tcW w:w="1592" w:type="dxa"/>
            <w:tcBorders>
              <w:top w:val="single" w:color="auto" w:sz="4" w:space="0"/>
            </w:tcBorders>
            <w:vAlign w:val="center"/>
          </w:tcPr>
          <w:p>
            <w:pPr>
              <w:widowControl/>
              <w:snapToGrid w:val="0"/>
              <w:jc w:val="center"/>
              <w:rPr>
                <w:rFonts w:ascii="宋体" w:hAnsi="宋体" w:cs="宋体"/>
                <w:bCs/>
                <w:color w:val="auto"/>
                <w:sz w:val="24"/>
                <w:highlight w:val="none"/>
              </w:rPr>
            </w:pPr>
            <w:r>
              <w:rPr>
                <w:rFonts w:hint="eastAsia" w:ascii="宋体" w:hAnsi="宋体" w:cs="宋体"/>
                <w:color w:val="auto"/>
                <w:kern w:val="0"/>
                <w:sz w:val="24"/>
                <w:highlight w:val="none"/>
              </w:rPr>
              <w:t>产品的性能及技术指标</w:t>
            </w:r>
          </w:p>
        </w:tc>
        <w:tc>
          <w:tcPr>
            <w:tcW w:w="7615" w:type="dxa"/>
            <w:tcBorders>
              <w:top w:val="single" w:color="auto" w:sz="4" w:space="0"/>
            </w:tcBorders>
            <w:vAlign w:val="center"/>
          </w:tcPr>
          <w:p>
            <w:pPr>
              <w:rPr>
                <w:rFonts w:ascii="宋体" w:hAnsi="宋体" w:cs="宋体"/>
                <w:b/>
                <w:color w:val="auto"/>
                <w:kern w:val="0"/>
                <w:sz w:val="24"/>
                <w:highlight w:val="none"/>
              </w:rPr>
            </w:pPr>
            <w:r>
              <w:rPr>
                <w:rFonts w:hint="eastAsia" w:ascii="宋体" w:hAnsi="宋体" w:cs="宋体"/>
                <w:b/>
                <w:color w:val="auto"/>
                <w:kern w:val="0"/>
                <w:sz w:val="24"/>
                <w:highlight w:val="none"/>
              </w:rPr>
              <w:t>客观分：</w:t>
            </w:r>
          </w:p>
          <w:p>
            <w:pPr>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根据招标文件第三章“二、技术需求”（二）采购清单及供应商提供的“技术规格偏离表”及相关证明材料，全部满足招标文件要求的得2</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分。对标注“★”的指标参数负偏离的每项扣</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分，其他指标参数负偏离扣</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w:t>
            </w:r>
            <w:bookmarkStart w:id="139" w:name="OLE_LINK90"/>
            <w:bookmarkStart w:id="140" w:name="OLE_LINK89"/>
            <w:r>
              <w:rPr>
                <w:rFonts w:hint="eastAsia" w:ascii="宋体" w:hAnsi="宋体" w:cs="宋体"/>
                <w:bCs/>
                <w:color w:val="auto"/>
                <w:sz w:val="24"/>
                <w:highlight w:val="none"/>
              </w:rPr>
              <w:t>扣完为止</w:t>
            </w:r>
            <w:bookmarkEnd w:id="139"/>
            <w:bookmarkStart w:id="141" w:name="OLE_LINK59"/>
            <w:r>
              <w:rPr>
                <w:rFonts w:hint="eastAsia" w:ascii="宋体" w:hAnsi="宋体" w:cs="宋体"/>
                <w:bCs/>
                <w:color w:val="auto"/>
                <w:sz w:val="24"/>
                <w:highlight w:val="none"/>
              </w:rPr>
              <w:t>（相同</w:t>
            </w:r>
            <w:r>
              <w:rPr>
                <w:rFonts w:hint="eastAsia" w:ascii="宋体" w:hAnsi="宋体" w:cs="宋体"/>
                <w:bCs/>
                <w:color w:val="auto"/>
                <w:sz w:val="24"/>
                <w:highlight w:val="none"/>
                <w:lang w:val="en-US" w:eastAsia="zh-CN"/>
              </w:rPr>
              <w:t>参数</w:t>
            </w:r>
            <w:r>
              <w:rPr>
                <w:rFonts w:hint="eastAsia" w:ascii="宋体" w:hAnsi="宋体" w:cs="宋体"/>
                <w:bCs/>
                <w:color w:val="auto"/>
                <w:sz w:val="24"/>
                <w:highlight w:val="none"/>
              </w:rPr>
              <w:t>在采购清单内出现多次的，按一次进行评分）</w:t>
            </w:r>
            <w:bookmarkEnd w:id="140"/>
            <w:bookmarkEnd w:id="141"/>
            <w:r>
              <w:rPr>
                <w:rFonts w:hint="eastAsia" w:ascii="宋体" w:hAnsi="宋体" w:cs="宋体"/>
                <w:bCs/>
                <w:color w:val="auto"/>
                <w:sz w:val="24"/>
                <w:highlight w:val="none"/>
              </w:rPr>
              <w:t>。</w:t>
            </w:r>
          </w:p>
          <w:p>
            <w:pPr>
              <w:jc w:val="left"/>
              <w:rPr>
                <w:rFonts w:ascii="宋体" w:hAnsi="宋体" w:cs="宋体"/>
                <w:bCs/>
                <w:color w:val="auto"/>
                <w:sz w:val="24"/>
                <w:highlight w:val="none"/>
              </w:rPr>
            </w:pPr>
            <w:r>
              <w:rPr>
                <w:rFonts w:hint="eastAsia" w:ascii="宋体" w:hAnsi="宋体" w:cs="宋体"/>
                <w:bCs/>
                <w:color w:val="auto"/>
                <w:sz w:val="24"/>
                <w:highlight w:val="none"/>
              </w:rPr>
              <w:t>注：标注“★”还须提供投标产品国家认可的检测机构出具的材料检测报告或成品检测报告（具体按采购清单要求），否则对应产品的性能及技术指标评审视为负偏离或不响应）。</w:t>
            </w:r>
          </w:p>
        </w:tc>
        <w:tc>
          <w:tcPr>
            <w:tcW w:w="706" w:type="dxa"/>
            <w:tcBorders>
              <w:top w:val="single" w:color="auto" w:sz="4" w:space="0"/>
            </w:tcBorders>
            <w:vAlign w:val="center"/>
          </w:tcPr>
          <w:p>
            <w:pPr>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0-2</w:t>
            </w:r>
            <w:r>
              <w:rPr>
                <w:rFonts w:hint="eastAsia" w:ascii="宋体" w:hAnsi="宋体" w:cs="宋体"/>
                <w:bCs/>
                <w:color w:val="auto"/>
                <w:sz w:val="24"/>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5" w:hRule="atLeast"/>
          <w:jc w:val="center"/>
        </w:trPr>
        <w:tc>
          <w:tcPr>
            <w:tcW w:w="534" w:type="dxa"/>
            <w:vMerge w:val="continue"/>
            <w:vAlign w:val="center"/>
          </w:tcPr>
          <w:p>
            <w:pPr>
              <w:jc w:val="center"/>
              <w:rPr>
                <w:rFonts w:ascii="宋体" w:hAnsi="宋体" w:cs="宋体"/>
                <w:b/>
                <w:bCs/>
                <w:color w:val="auto"/>
                <w:sz w:val="24"/>
                <w:highlight w:val="none"/>
              </w:rPr>
            </w:pPr>
          </w:p>
        </w:tc>
        <w:tc>
          <w:tcPr>
            <w:tcW w:w="1592" w:type="dxa"/>
            <w:tcBorders>
              <w:top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样品</w:t>
            </w:r>
          </w:p>
        </w:tc>
        <w:tc>
          <w:tcPr>
            <w:tcW w:w="7615" w:type="dxa"/>
            <w:tcBorders>
              <w:top w:val="single" w:color="auto" w:sz="4" w:space="0"/>
            </w:tcBorders>
            <w:vAlign w:val="center"/>
          </w:tcPr>
          <w:p>
            <w:pPr>
              <w:jc w:val="left"/>
              <w:rPr>
                <w:rFonts w:ascii="宋体" w:hAnsi="宋体" w:cs="宋体"/>
                <w:b/>
                <w:color w:val="auto"/>
                <w:sz w:val="24"/>
                <w:highlight w:val="none"/>
              </w:rPr>
            </w:pPr>
            <w:r>
              <w:rPr>
                <w:rFonts w:hint="eastAsia" w:ascii="宋体" w:hAnsi="宋体" w:cs="宋体"/>
                <w:b/>
                <w:color w:val="auto"/>
                <w:sz w:val="24"/>
                <w:highlight w:val="none"/>
              </w:rPr>
              <w:t>主观分：</w:t>
            </w:r>
          </w:p>
          <w:p>
            <w:pPr>
              <w:tabs>
                <w:tab w:val="left" w:pos="312"/>
              </w:tabs>
              <w:rPr>
                <w:rFonts w:ascii="宋体" w:hAnsi="宋体" w:cs="宋体"/>
                <w:color w:val="auto"/>
                <w:sz w:val="24"/>
                <w:highlight w:val="none"/>
              </w:rPr>
            </w:pPr>
            <w:r>
              <w:rPr>
                <w:rFonts w:hint="eastAsia" w:ascii="宋体" w:hAnsi="宋体" w:cs="宋体"/>
                <w:b/>
                <w:bCs/>
                <w:color w:val="auto"/>
                <w:sz w:val="24"/>
                <w:highlight w:val="none"/>
              </w:rPr>
              <w:t>1.活动看台</w:t>
            </w:r>
            <w:r>
              <w:rPr>
                <w:rFonts w:hint="eastAsia" w:ascii="宋体" w:hAnsi="宋体" w:cs="宋体"/>
                <w:color w:val="auto"/>
                <w:sz w:val="24"/>
                <w:highlight w:val="none"/>
              </w:rPr>
              <w:t>7分</w:t>
            </w:r>
            <w:r>
              <w:rPr>
                <w:rFonts w:hint="eastAsia" w:ascii="宋体" w:hAnsi="宋体" w:cs="宋体"/>
                <w:b/>
                <w:bCs/>
                <w:color w:val="auto"/>
                <w:sz w:val="24"/>
                <w:highlight w:val="none"/>
              </w:rPr>
              <w:t>〖</w:t>
            </w:r>
            <w:bookmarkStart w:id="142" w:name="OLE_LINK72"/>
            <w:r>
              <w:rPr>
                <w:rFonts w:hint="eastAsia" w:ascii="宋体" w:hAnsi="宋体" w:cs="宋体"/>
                <w:color w:val="auto"/>
                <w:sz w:val="24"/>
                <w:highlight w:val="none"/>
              </w:rPr>
              <w:t>小样要求：(1)提供组装好活动座椅单层结构样品1套（包含2位座椅、看台前横梁、后横梁、踏板及木板镶嵌铝合金工字条，并配置踏步）(2)下部行走机构一套。</w:t>
            </w:r>
            <w:bookmarkEnd w:id="142"/>
            <w:r>
              <w:rPr>
                <w:rFonts w:hint="eastAsia" w:ascii="宋体" w:hAnsi="宋体" w:cs="宋体"/>
                <w:b/>
                <w:bCs/>
                <w:color w:val="auto"/>
                <w:sz w:val="24"/>
                <w:highlight w:val="none"/>
              </w:rPr>
              <w:t>〗。</w:t>
            </w:r>
            <w:r>
              <w:rPr>
                <w:rFonts w:hint="eastAsia" w:ascii="宋体" w:hAnsi="宋体" w:cs="宋体"/>
                <w:color w:val="auto"/>
                <w:sz w:val="24"/>
                <w:highlight w:val="none"/>
              </w:rPr>
              <w:t>根据提供的样品的款式及符合参数要求的程度、材质、外观、漆膜、制作工艺、结构安全等方面酌情评分:</w:t>
            </w:r>
            <w:r>
              <w:rPr>
                <w:rFonts w:hint="eastAsia"/>
                <w:color w:val="auto"/>
                <w:highlight w:val="none"/>
              </w:rPr>
              <w:t xml:space="preserve"> </w:t>
            </w:r>
          </w:p>
          <w:p>
            <w:pPr>
              <w:rPr>
                <w:rFonts w:ascii="宋体" w:hAnsi="宋体" w:cs="宋体"/>
                <w:color w:val="auto"/>
                <w:sz w:val="24"/>
                <w:highlight w:val="none"/>
              </w:rPr>
            </w:pPr>
            <w:r>
              <w:rPr>
                <w:rFonts w:hint="eastAsia" w:ascii="宋体" w:hAnsi="宋体" w:cs="宋体"/>
                <w:color w:val="auto"/>
                <w:sz w:val="24"/>
                <w:highlight w:val="none"/>
              </w:rPr>
              <w:t>（1）样品款式及符合参数要求的程度、材质、外观、漆膜、制作工艺、结构安全等优的7分；</w:t>
            </w:r>
          </w:p>
          <w:p>
            <w:pPr>
              <w:rPr>
                <w:rFonts w:ascii="宋体" w:hAnsi="宋体" w:cs="宋体"/>
                <w:color w:val="auto"/>
                <w:sz w:val="24"/>
                <w:highlight w:val="none"/>
              </w:rPr>
            </w:pPr>
            <w:r>
              <w:rPr>
                <w:rFonts w:hint="eastAsia" w:ascii="宋体" w:hAnsi="宋体" w:cs="宋体"/>
                <w:color w:val="auto"/>
                <w:sz w:val="24"/>
                <w:highlight w:val="none"/>
              </w:rPr>
              <w:t>（2）样品款式及符合参数要求的程度、材质、外观、漆膜、制作工艺、结构安全等方面进行分档评分；</w:t>
            </w:r>
          </w:p>
          <w:p>
            <w:pPr>
              <w:rPr>
                <w:rFonts w:ascii="宋体" w:hAnsi="宋体" w:cs="宋体"/>
                <w:color w:val="auto"/>
                <w:sz w:val="24"/>
                <w:highlight w:val="none"/>
              </w:rPr>
            </w:pPr>
            <w:r>
              <w:rPr>
                <w:rFonts w:hint="eastAsia" w:ascii="宋体" w:hAnsi="宋体" w:cs="宋体"/>
                <w:color w:val="auto"/>
                <w:sz w:val="24"/>
                <w:highlight w:val="none"/>
              </w:rPr>
              <w:t>一档：6分；二档：5.5分；三档：5分；四档：4.5分；五档：4分；六档：3.5分；七档：3分；八档：2.5分；九档：2分；十档：1.5分。</w:t>
            </w:r>
          </w:p>
          <w:p>
            <w:pPr>
              <w:rPr>
                <w:rFonts w:ascii="宋体" w:hAnsi="宋体" w:cs="宋体"/>
                <w:color w:val="auto"/>
                <w:sz w:val="24"/>
                <w:highlight w:val="none"/>
              </w:rPr>
            </w:pPr>
            <w:r>
              <w:rPr>
                <w:rFonts w:hint="eastAsia" w:ascii="宋体" w:hAnsi="宋体" w:cs="宋体"/>
                <w:color w:val="auto"/>
                <w:sz w:val="24"/>
                <w:highlight w:val="none"/>
              </w:rPr>
              <w:t>（3）样品款式及符合参数要求的程度、材质、外观、漆膜、制作工艺、结构安全等差的得1分；</w:t>
            </w:r>
          </w:p>
          <w:p>
            <w:pPr>
              <w:tabs>
                <w:tab w:val="left" w:pos="312"/>
              </w:tabs>
              <w:rPr>
                <w:rFonts w:ascii="宋体" w:hAnsi="宋体" w:cs="宋体"/>
                <w:b/>
                <w:bCs/>
                <w:color w:val="auto"/>
                <w:sz w:val="24"/>
                <w:highlight w:val="none"/>
              </w:rPr>
            </w:pPr>
            <w:r>
              <w:rPr>
                <w:rFonts w:hint="eastAsia" w:ascii="宋体" w:hAnsi="宋体" w:cs="宋体"/>
                <w:color w:val="auto"/>
                <w:sz w:val="24"/>
                <w:highlight w:val="none"/>
              </w:rPr>
              <w:t>（4）未提供的不得分。</w:t>
            </w:r>
          </w:p>
          <w:p>
            <w:pPr>
              <w:tabs>
                <w:tab w:val="left" w:pos="312"/>
              </w:tabs>
              <w:rPr>
                <w:rFonts w:ascii="宋体" w:hAnsi="宋体" w:cs="宋体"/>
                <w:color w:val="auto"/>
                <w:sz w:val="24"/>
                <w:highlight w:val="none"/>
              </w:rPr>
            </w:pPr>
            <w:r>
              <w:rPr>
                <w:rFonts w:hint="eastAsia" w:ascii="宋体" w:hAnsi="宋体" w:cs="宋体"/>
                <w:color w:val="auto"/>
                <w:sz w:val="24"/>
                <w:highlight w:val="none"/>
              </w:rPr>
              <w:t>2.</w:t>
            </w:r>
            <w:bookmarkStart w:id="143" w:name="OLE_LINK14"/>
            <w:r>
              <w:rPr>
                <w:rFonts w:hint="eastAsia" w:ascii="宋体" w:hAnsi="宋体" w:cs="宋体"/>
                <w:color w:val="auto"/>
                <w:sz w:val="24"/>
                <w:highlight w:val="none"/>
              </w:rPr>
              <w:t>礼堂椅站脚</w:t>
            </w:r>
            <w:bookmarkEnd w:id="143"/>
            <w:r>
              <w:rPr>
                <w:rFonts w:hint="eastAsia" w:ascii="宋体" w:hAnsi="宋体" w:cs="宋体"/>
                <w:color w:val="auto"/>
                <w:sz w:val="24"/>
                <w:highlight w:val="none"/>
              </w:rPr>
              <w:t>:3分（根据采购清单礼堂椅“9.站脚”要求提供）根据材料、功能和安全、外观、制作工艺等方面酌情评分:</w:t>
            </w:r>
          </w:p>
          <w:p>
            <w:pPr>
              <w:rPr>
                <w:rFonts w:ascii="宋体" w:hAnsi="宋体" w:cs="宋体"/>
                <w:color w:val="auto"/>
                <w:sz w:val="24"/>
                <w:highlight w:val="none"/>
              </w:rPr>
            </w:pPr>
            <w:r>
              <w:rPr>
                <w:rFonts w:hint="eastAsia" w:ascii="宋体" w:hAnsi="宋体" w:cs="宋体"/>
                <w:color w:val="auto"/>
                <w:sz w:val="24"/>
                <w:highlight w:val="none"/>
              </w:rPr>
              <w:t>（1）材料、功能和安全、外观、制作工艺等优的3分；</w:t>
            </w:r>
          </w:p>
          <w:p>
            <w:pPr>
              <w:rPr>
                <w:rFonts w:ascii="宋体" w:hAnsi="宋体" w:cs="宋体"/>
                <w:color w:val="auto"/>
                <w:sz w:val="24"/>
                <w:highlight w:val="none"/>
              </w:rPr>
            </w:pPr>
            <w:r>
              <w:rPr>
                <w:rFonts w:hint="eastAsia" w:ascii="宋体" w:hAnsi="宋体" w:cs="宋体"/>
                <w:color w:val="auto"/>
                <w:sz w:val="24"/>
                <w:highlight w:val="none"/>
              </w:rPr>
              <w:t>（2）材料、功能和安全、外观、制作工艺等方面进行分档评分；</w:t>
            </w:r>
          </w:p>
          <w:p>
            <w:pPr>
              <w:rPr>
                <w:rFonts w:ascii="宋体" w:hAnsi="宋体" w:cs="宋体"/>
                <w:color w:val="auto"/>
                <w:sz w:val="24"/>
                <w:highlight w:val="none"/>
              </w:rPr>
            </w:pPr>
            <w:r>
              <w:rPr>
                <w:rFonts w:hint="eastAsia" w:ascii="宋体" w:hAnsi="宋体" w:cs="宋体"/>
                <w:color w:val="auto"/>
                <w:sz w:val="24"/>
                <w:highlight w:val="none"/>
              </w:rPr>
              <w:t>一档：2.5分；二档：2分；三档：1.5分；四档：1分。</w:t>
            </w:r>
          </w:p>
          <w:p>
            <w:pPr>
              <w:rPr>
                <w:rFonts w:ascii="宋体" w:hAnsi="宋体" w:cs="宋体"/>
                <w:color w:val="auto"/>
                <w:sz w:val="24"/>
                <w:highlight w:val="none"/>
              </w:rPr>
            </w:pPr>
            <w:r>
              <w:rPr>
                <w:rFonts w:hint="eastAsia" w:ascii="宋体" w:hAnsi="宋体" w:cs="宋体"/>
                <w:color w:val="auto"/>
                <w:sz w:val="24"/>
                <w:highlight w:val="none"/>
              </w:rPr>
              <w:t>（3）材料、功能和安全、外观、制作工艺等等差的得0.5分；</w:t>
            </w:r>
          </w:p>
          <w:p>
            <w:pPr>
              <w:tabs>
                <w:tab w:val="left" w:pos="312"/>
              </w:tabs>
              <w:rPr>
                <w:rFonts w:ascii="宋体" w:hAnsi="宋体" w:cs="宋体"/>
                <w:b/>
                <w:bCs/>
                <w:color w:val="auto"/>
                <w:sz w:val="24"/>
                <w:highlight w:val="none"/>
              </w:rPr>
            </w:pPr>
            <w:r>
              <w:rPr>
                <w:rFonts w:hint="eastAsia" w:ascii="宋体" w:hAnsi="宋体" w:cs="宋体"/>
                <w:color w:val="auto"/>
                <w:sz w:val="24"/>
                <w:highlight w:val="none"/>
              </w:rPr>
              <w:t>（4）未提供的不得分。</w:t>
            </w:r>
          </w:p>
        </w:tc>
        <w:tc>
          <w:tcPr>
            <w:tcW w:w="706" w:type="dxa"/>
            <w:tcBorders>
              <w:top w:val="single" w:color="auto" w:sz="4" w:space="0"/>
            </w:tcBorders>
            <w:vAlign w:val="center"/>
          </w:tcPr>
          <w:p>
            <w:pPr>
              <w:textAlignment w:val="center"/>
              <w:rPr>
                <w:rFonts w:ascii="宋体" w:hAnsi="宋体" w:cs="宋体"/>
                <w:color w:val="auto"/>
                <w:kern w:val="0"/>
                <w:sz w:val="24"/>
                <w:highlight w:val="none"/>
              </w:rPr>
            </w:pPr>
            <w:r>
              <w:rPr>
                <w:rFonts w:hint="eastAsia" w:ascii="宋体" w:hAnsi="宋体" w:cs="宋体"/>
                <w:color w:val="auto"/>
                <w:kern w:val="0"/>
                <w:sz w:val="24"/>
                <w:highlight w:val="none"/>
              </w:rPr>
              <w:t>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8" w:hRule="atLeast"/>
          <w:jc w:val="center"/>
        </w:trPr>
        <w:tc>
          <w:tcPr>
            <w:tcW w:w="534" w:type="dxa"/>
            <w:vMerge w:val="continue"/>
            <w:vAlign w:val="center"/>
          </w:tcPr>
          <w:p>
            <w:pPr>
              <w:jc w:val="center"/>
              <w:rPr>
                <w:rFonts w:ascii="宋体" w:hAnsi="宋体" w:cs="宋体"/>
                <w:b/>
                <w:bCs/>
                <w:color w:val="auto"/>
                <w:sz w:val="24"/>
                <w:highlight w:val="none"/>
              </w:rPr>
            </w:pPr>
          </w:p>
        </w:tc>
        <w:tc>
          <w:tcPr>
            <w:tcW w:w="1592" w:type="dxa"/>
            <w:tcBorders>
              <w:top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供货和</w:t>
            </w:r>
          </w:p>
          <w:p>
            <w:pPr>
              <w:jc w:val="center"/>
              <w:rPr>
                <w:rFonts w:ascii="宋体" w:hAnsi="宋体" w:cs="宋体"/>
                <w:color w:val="auto"/>
                <w:sz w:val="24"/>
                <w:highlight w:val="none"/>
              </w:rPr>
            </w:pPr>
            <w:r>
              <w:rPr>
                <w:rFonts w:hint="eastAsia" w:ascii="宋体" w:hAnsi="宋体" w:cs="宋体"/>
                <w:color w:val="auto"/>
                <w:sz w:val="24"/>
                <w:highlight w:val="none"/>
              </w:rPr>
              <w:t>实施方案</w:t>
            </w:r>
          </w:p>
        </w:tc>
        <w:tc>
          <w:tcPr>
            <w:tcW w:w="7615" w:type="dxa"/>
            <w:tcBorders>
              <w:top w:val="single" w:color="auto" w:sz="4" w:space="0"/>
            </w:tcBorders>
            <w:vAlign w:val="center"/>
          </w:tcPr>
          <w:p>
            <w:pPr>
              <w:spacing w:line="276" w:lineRule="auto"/>
              <w:rPr>
                <w:rFonts w:ascii="宋体" w:hAnsi="宋体" w:cs="宋体"/>
                <w:b/>
                <w:color w:val="auto"/>
                <w:sz w:val="24"/>
                <w:highlight w:val="none"/>
              </w:rPr>
            </w:pPr>
            <w:r>
              <w:rPr>
                <w:rFonts w:hint="eastAsia" w:ascii="宋体" w:hAnsi="宋体" w:cs="宋体"/>
                <w:b/>
                <w:color w:val="auto"/>
                <w:sz w:val="24"/>
                <w:highlight w:val="none"/>
              </w:rPr>
              <w:t>主观分：</w:t>
            </w:r>
          </w:p>
          <w:p>
            <w:pPr>
              <w:pStyle w:val="2"/>
              <w:spacing w:line="276" w:lineRule="auto"/>
              <w:rPr>
                <w:rFonts w:hint="eastAsia" w:ascii="宋体" w:hAnsi="宋体" w:cs="宋体"/>
                <w:b w:val="0"/>
                <w:color w:val="auto"/>
                <w:highlight w:val="none"/>
              </w:rPr>
            </w:pPr>
            <w:r>
              <w:rPr>
                <w:rFonts w:hint="eastAsia" w:ascii="宋体" w:hAnsi="宋体" w:cs="宋体"/>
                <w:b w:val="0"/>
                <w:color w:val="auto"/>
                <w:highlight w:val="none"/>
              </w:rPr>
              <w:t>根据提供的本项目整体实施方案和供货方案、工期进度安排、送货安装时间和人员安排、确保按期交付使用等方案的科学性、全面性和可行性进行综合打分：</w:t>
            </w:r>
          </w:p>
          <w:p>
            <w:pPr>
              <w:pStyle w:val="2"/>
              <w:spacing w:line="276" w:lineRule="auto"/>
              <w:rPr>
                <w:rFonts w:hint="eastAsia" w:ascii="宋体" w:hAnsi="宋体" w:cs="宋体"/>
                <w:b w:val="0"/>
                <w:color w:val="auto"/>
                <w:highlight w:val="none"/>
              </w:rPr>
            </w:pPr>
            <w:r>
              <w:rPr>
                <w:rFonts w:hint="eastAsia" w:ascii="宋体" w:hAnsi="宋体" w:cs="宋体"/>
                <w:b w:val="0"/>
                <w:color w:val="auto"/>
                <w:highlight w:val="none"/>
              </w:rPr>
              <w:t>（1）方案详实、内容完整、操作性强的得</w:t>
            </w:r>
            <w:r>
              <w:rPr>
                <w:rFonts w:hint="eastAsia" w:ascii="宋体" w:hAnsi="宋体" w:cs="宋体"/>
                <w:b w:val="0"/>
                <w:color w:val="auto"/>
                <w:highlight w:val="none"/>
                <w:lang w:val="en-US" w:eastAsia="zh-CN"/>
              </w:rPr>
              <w:t>7</w:t>
            </w:r>
            <w:r>
              <w:rPr>
                <w:rFonts w:hint="eastAsia" w:ascii="宋体" w:hAnsi="宋体" w:cs="宋体"/>
                <w:b w:val="0"/>
                <w:color w:val="auto"/>
                <w:highlight w:val="none"/>
              </w:rPr>
              <w:t>分；</w:t>
            </w:r>
          </w:p>
          <w:p>
            <w:pPr>
              <w:pStyle w:val="2"/>
              <w:spacing w:line="276" w:lineRule="auto"/>
              <w:rPr>
                <w:rFonts w:hint="eastAsia" w:ascii="宋体" w:hAnsi="宋体" w:cs="宋体"/>
                <w:b w:val="0"/>
                <w:color w:val="auto"/>
                <w:highlight w:val="none"/>
              </w:rPr>
            </w:pPr>
            <w:r>
              <w:rPr>
                <w:rFonts w:hint="eastAsia" w:ascii="宋体" w:hAnsi="宋体" w:cs="宋体"/>
                <w:b w:val="0"/>
                <w:color w:val="auto"/>
                <w:highlight w:val="none"/>
              </w:rPr>
              <w:t>（2）方案合理、内容常规、操作简略的给进行分档评分；</w:t>
            </w:r>
          </w:p>
          <w:p>
            <w:pPr>
              <w:pStyle w:val="2"/>
              <w:spacing w:line="276" w:lineRule="auto"/>
              <w:rPr>
                <w:rFonts w:hint="eastAsia" w:ascii="宋体" w:hAnsi="宋体" w:cs="宋体"/>
                <w:b w:val="0"/>
                <w:bCs/>
                <w:color w:val="auto"/>
                <w:highlight w:val="none"/>
              </w:rPr>
            </w:pPr>
            <w:bookmarkStart w:id="144" w:name="OLE_LINK95"/>
            <w:r>
              <w:rPr>
                <w:rFonts w:hint="eastAsia" w:ascii="宋体" w:hAnsi="宋体" w:cs="宋体"/>
                <w:b w:val="0"/>
                <w:bCs/>
                <w:color w:val="auto"/>
                <w:highlight w:val="none"/>
              </w:rPr>
              <w:t>一档：</w:t>
            </w:r>
            <w:r>
              <w:rPr>
                <w:rFonts w:hint="eastAsia" w:ascii="宋体" w:hAnsi="宋体" w:cs="宋体"/>
                <w:b w:val="0"/>
                <w:bCs/>
                <w:color w:val="auto"/>
                <w:highlight w:val="none"/>
                <w:lang w:val="en-US" w:eastAsia="zh-CN"/>
              </w:rPr>
              <w:t>6</w:t>
            </w:r>
            <w:r>
              <w:rPr>
                <w:rFonts w:hint="eastAsia" w:ascii="宋体" w:hAnsi="宋体" w:cs="宋体"/>
                <w:b w:val="0"/>
                <w:bCs/>
                <w:color w:val="auto"/>
                <w:highlight w:val="none"/>
              </w:rPr>
              <w:t>分  二档：5分  三档  4分  四档：</w:t>
            </w:r>
            <w:r>
              <w:rPr>
                <w:rFonts w:hint="eastAsia" w:ascii="宋体" w:hAnsi="宋体" w:cs="宋体"/>
                <w:b w:val="0"/>
                <w:bCs/>
                <w:color w:val="auto"/>
                <w:highlight w:val="none"/>
                <w:lang w:val="en-US" w:eastAsia="zh-CN"/>
              </w:rPr>
              <w:t>3</w:t>
            </w:r>
            <w:r>
              <w:rPr>
                <w:rFonts w:hint="eastAsia" w:ascii="宋体" w:hAnsi="宋体" w:cs="宋体"/>
                <w:b w:val="0"/>
                <w:bCs/>
                <w:color w:val="auto"/>
                <w:highlight w:val="none"/>
              </w:rPr>
              <w:t>分  五档：</w:t>
            </w:r>
            <w:r>
              <w:rPr>
                <w:rFonts w:hint="eastAsia" w:ascii="宋体" w:hAnsi="宋体" w:cs="宋体"/>
                <w:b w:val="0"/>
                <w:bCs/>
                <w:color w:val="auto"/>
                <w:highlight w:val="none"/>
                <w:lang w:val="en-US" w:eastAsia="zh-CN"/>
              </w:rPr>
              <w:t>2</w:t>
            </w:r>
            <w:r>
              <w:rPr>
                <w:rFonts w:hint="eastAsia" w:ascii="宋体" w:hAnsi="宋体" w:cs="宋体"/>
                <w:b w:val="0"/>
                <w:bCs/>
                <w:color w:val="auto"/>
                <w:highlight w:val="none"/>
              </w:rPr>
              <w:t>分</w:t>
            </w:r>
          </w:p>
          <w:bookmarkEnd w:id="144"/>
          <w:p>
            <w:pPr>
              <w:pStyle w:val="2"/>
              <w:spacing w:line="276" w:lineRule="auto"/>
              <w:rPr>
                <w:rFonts w:hint="eastAsia" w:ascii="宋体" w:hAnsi="宋体" w:cs="宋体"/>
                <w:b w:val="0"/>
                <w:color w:val="auto"/>
                <w:highlight w:val="none"/>
              </w:rPr>
            </w:pPr>
            <w:r>
              <w:rPr>
                <w:rFonts w:hint="eastAsia" w:ascii="宋体" w:hAnsi="宋体" w:cs="宋体"/>
                <w:b w:val="0"/>
                <w:color w:val="auto"/>
                <w:highlight w:val="none"/>
              </w:rPr>
              <w:t>（3）方案粗糙、内容缺漏、操作性差的得1分；</w:t>
            </w:r>
          </w:p>
          <w:p>
            <w:pPr>
              <w:pStyle w:val="2"/>
              <w:spacing w:line="276" w:lineRule="auto"/>
              <w:rPr>
                <w:rFonts w:ascii="宋体" w:hAnsi="宋体" w:cs="宋体"/>
                <w:color w:val="auto"/>
                <w:highlight w:val="none"/>
              </w:rPr>
            </w:pPr>
            <w:r>
              <w:rPr>
                <w:rFonts w:hint="eastAsia" w:ascii="宋体" w:hAnsi="宋体" w:cs="宋体"/>
                <w:b w:val="0"/>
                <w:color w:val="auto"/>
                <w:highlight w:val="none"/>
              </w:rPr>
              <w:t>（4）</w:t>
            </w:r>
            <w:r>
              <w:rPr>
                <w:rFonts w:hint="eastAsia" w:ascii="宋体" w:hAnsi="宋体" w:cs="宋体"/>
                <w:b w:val="0"/>
                <w:color w:val="auto"/>
                <w:highlight w:val="none"/>
                <w:lang w:val="zh-CN"/>
              </w:rPr>
              <w:t>未提供相关内容阐述或不符合项目的不得分。</w:t>
            </w:r>
          </w:p>
        </w:tc>
        <w:tc>
          <w:tcPr>
            <w:tcW w:w="706" w:type="dxa"/>
            <w:tcBorders>
              <w:top w:val="single" w:color="auto" w:sz="4" w:space="0"/>
            </w:tcBorders>
            <w:vAlign w:val="center"/>
          </w:tcPr>
          <w:p>
            <w:pPr>
              <w:widowControl/>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52" w:hRule="atLeast"/>
          <w:jc w:val="center"/>
        </w:trPr>
        <w:tc>
          <w:tcPr>
            <w:tcW w:w="534" w:type="dxa"/>
            <w:vMerge w:val="continue"/>
            <w:vAlign w:val="center"/>
          </w:tcPr>
          <w:p>
            <w:pPr>
              <w:jc w:val="center"/>
              <w:rPr>
                <w:rFonts w:ascii="宋体" w:hAnsi="宋体" w:cs="宋体"/>
                <w:b/>
                <w:bCs/>
                <w:color w:val="auto"/>
                <w:sz w:val="24"/>
                <w:highlight w:val="none"/>
              </w:rPr>
            </w:pPr>
          </w:p>
        </w:tc>
        <w:tc>
          <w:tcPr>
            <w:tcW w:w="1592" w:type="dxa"/>
            <w:tcBorders>
              <w:top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质量</w:t>
            </w:r>
          </w:p>
          <w:p>
            <w:pPr>
              <w:jc w:val="center"/>
              <w:rPr>
                <w:rFonts w:ascii="宋体" w:hAnsi="宋体" w:cs="宋体"/>
                <w:color w:val="auto"/>
                <w:sz w:val="24"/>
                <w:highlight w:val="none"/>
              </w:rPr>
            </w:pPr>
            <w:r>
              <w:rPr>
                <w:rFonts w:hint="eastAsia" w:ascii="宋体" w:hAnsi="宋体" w:cs="宋体"/>
                <w:color w:val="auto"/>
                <w:sz w:val="24"/>
                <w:highlight w:val="none"/>
              </w:rPr>
              <w:t>保证措施</w:t>
            </w:r>
          </w:p>
        </w:tc>
        <w:tc>
          <w:tcPr>
            <w:tcW w:w="7615" w:type="dxa"/>
            <w:tcBorders>
              <w:top w:val="single" w:color="auto" w:sz="4" w:space="0"/>
            </w:tcBorders>
            <w:vAlign w:val="center"/>
          </w:tcPr>
          <w:p>
            <w:pPr>
              <w:spacing w:line="276" w:lineRule="auto"/>
              <w:rPr>
                <w:rFonts w:ascii="宋体" w:hAnsi="宋体" w:cs="宋体"/>
                <w:b/>
                <w:color w:val="auto"/>
                <w:sz w:val="24"/>
                <w:highlight w:val="none"/>
              </w:rPr>
            </w:pPr>
            <w:r>
              <w:rPr>
                <w:rFonts w:hint="eastAsia" w:ascii="宋体" w:hAnsi="宋体" w:cs="宋体"/>
                <w:b/>
                <w:color w:val="auto"/>
                <w:sz w:val="24"/>
                <w:highlight w:val="none"/>
              </w:rPr>
              <w:t>主观分：</w:t>
            </w:r>
          </w:p>
          <w:p>
            <w:pPr>
              <w:pStyle w:val="2"/>
              <w:spacing w:line="276" w:lineRule="auto"/>
              <w:rPr>
                <w:rFonts w:hint="eastAsia" w:ascii="宋体" w:hAnsi="宋体" w:cs="宋体"/>
                <w:b w:val="0"/>
                <w:color w:val="auto"/>
                <w:highlight w:val="none"/>
              </w:rPr>
            </w:pPr>
            <w:r>
              <w:rPr>
                <w:rFonts w:hint="eastAsia" w:ascii="宋体" w:hAnsi="宋体" w:cs="宋体"/>
                <w:b w:val="0"/>
                <w:color w:val="auto"/>
                <w:highlight w:val="none"/>
              </w:rPr>
              <w:t>根据供应商提供的针对本项目的质量保证措施、品质管理方案（包括供货期内产品生产、安装、调试、验收方案等）的全面性、科学性和可行性进行综合打分：</w:t>
            </w:r>
          </w:p>
          <w:p>
            <w:pPr>
              <w:pStyle w:val="2"/>
              <w:spacing w:line="276" w:lineRule="auto"/>
              <w:rPr>
                <w:rFonts w:hint="eastAsia" w:ascii="宋体" w:hAnsi="宋体" w:cs="宋体"/>
                <w:b w:val="0"/>
                <w:color w:val="auto"/>
                <w:highlight w:val="none"/>
              </w:rPr>
            </w:pPr>
            <w:r>
              <w:rPr>
                <w:rFonts w:hint="eastAsia" w:ascii="宋体" w:hAnsi="宋体" w:cs="宋体"/>
                <w:b w:val="0"/>
                <w:color w:val="auto"/>
                <w:highlight w:val="none"/>
              </w:rPr>
              <w:t>（1）方案详实、内容完整、操作性强的得</w:t>
            </w:r>
            <w:r>
              <w:rPr>
                <w:rFonts w:hint="eastAsia" w:ascii="宋体" w:hAnsi="宋体" w:cs="宋体"/>
                <w:b w:val="0"/>
                <w:color w:val="auto"/>
                <w:highlight w:val="none"/>
                <w:lang w:val="en-US" w:eastAsia="zh-CN"/>
              </w:rPr>
              <w:t>7</w:t>
            </w:r>
            <w:r>
              <w:rPr>
                <w:rFonts w:hint="eastAsia" w:ascii="宋体" w:hAnsi="宋体" w:cs="宋体"/>
                <w:b w:val="0"/>
                <w:color w:val="auto"/>
                <w:highlight w:val="none"/>
              </w:rPr>
              <w:t>分；</w:t>
            </w:r>
          </w:p>
          <w:p>
            <w:pPr>
              <w:pStyle w:val="2"/>
              <w:spacing w:line="276" w:lineRule="auto"/>
              <w:rPr>
                <w:rFonts w:hint="eastAsia" w:ascii="宋体" w:hAnsi="宋体" w:cs="宋体"/>
                <w:b w:val="0"/>
                <w:color w:val="auto"/>
                <w:highlight w:val="none"/>
              </w:rPr>
            </w:pPr>
            <w:r>
              <w:rPr>
                <w:rFonts w:hint="eastAsia" w:ascii="宋体" w:hAnsi="宋体" w:cs="宋体"/>
                <w:b w:val="0"/>
                <w:color w:val="auto"/>
                <w:highlight w:val="none"/>
              </w:rPr>
              <w:t>（2）方案合理、内容常规、操作简略的给进行分档评分；</w:t>
            </w:r>
          </w:p>
          <w:p>
            <w:pPr>
              <w:pStyle w:val="2"/>
              <w:spacing w:line="276" w:lineRule="auto"/>
              <w:rPr>
                <w:rFonts w:hint="eastAsia" w:ascii="宋体" w:hAnsi="宋体" w:cs="宋体"/>
                <w:b w:val="0"/>
                <w:bCs/>
                <w:color w:val="auto"/>
                <w:highlight w:val="none"/>
              </w:rPr>
            </w:pPr>
            <w:r>
              <w:rPr>
                <w:rFonts w:hint="eastAsia" w:ascii="宋体" w:hAnsi="宋体" w:cs="宋体"/>
                <w:b w:val="0"/>
                <w:bCs/>
                <w:color w:val="auto"/>
                <w:highlight w:val="none"/>
              </w:rPr>
              <w:t>一档：</w:t>
            </w:r>
            <w:r>
              <w:rPr>
                <w:rFonts w:hint="eastAsia" w:ascii="宋体" w:hAnsi="宋体" w:cs="宋体"/>
                <w:b w:val="0"/>
                <w:bCs/>
                <w:color w:val="auto"/>
                <w:highlight w:val="none"/>
                <w:lang w:val="en-US" w:eastAsia="zh-CN"/>
              </w:rPr>
              <w:t>6</w:t>
            </w:r>
            <w:r>
              <w:rPr>
                <w:rFonts w:hint="eastAsia" w:ascii="宋体" w:hAnsi="宋体" w:cs="宋体"/>
                <w:b w:val="0"/>
                <w:bCs/>
                <w:color w:val="auto"/>
                <w:highlight w:val="none"/>
              </w:rPr>
              <w:t>分  二档：5分  三档  4分  四档：</w:t>
            </w:r>
            <w:r>
              <w:rPr>
                <w:rFonts w:hint="eastAsia" w:ascii="宋体" w:hAnsi="宋体" w:cs="宋体"/>
                <w:b w:val="0"/>
                <w:bCs/>
                <w:color w:val="auto"/>
                <w:highlight w:val="none"/>
                <w:lang w:val="en-US" w:eastAsia="zh-CN"/>
              </w:rPr>
              <w:t>3</w:t>
            </w:r>
            <w:r>
              <w:rPr>
                <w:rFonts w:hint="eastAsia" w:ascii="宋体" w:hAnsi="宋体" w:cs="宋体"/>
                <w:b w:val="0"/>
                <w:bCs/>
                <w:color w:val="auto"/>
                <w:highlight w:val="none"/>
              </w:rPr>
              <w:t>分  五档：</w:t>
            </w:r>
            <w:r>
              <w:rPr>
                <w:rFonts w:hint="eastAsia" w:ascii="宋体" w:hAnsi="宋体" w:cs="宋体"/>
                <w:b w:val="0"/>
                <w:bCs/>
                <w:color w:val="auto"/>
                <w:highlight w:val="none"/>
                <w:lang w:val="en-US" w:eastAsia="zh-CN"/>
              </w:rPr>
              <w:t>2</w:t>
            </w:r>
            <w:r>
              <w:rPr>
                <w:rFonts w:hint="eastAsia" w:ascii="宋体" w:hAnsi="宋体" w:cs="宋体"/>
                <w:b w:val="0"/>
                <w:bCs/>
                <w:color w:val="auto"/>
                <w:highlight w:val="none"/>
              </w:rPr>
              <w:t>分</w:t>
            </w:r>
          </w:p>
          <w:p>
            <w:pPr>
              <w:pStyle w:val="2"/>
              <w:spacing w:line="276" w:lineRule="auto"/>
              <w:rPr>
                <w:rFonts w:hint="eastAsia" w:ascii="宋体" w:hAnsi="宋体" w:cs="宋体"/>
                <w:b w:val="0"/>
                <w:color w:val="auto"/>
                <w:highlight w:val="none"/>
              </w:rPr>
            </w:pPr>
            <w:r>
              <w:rPr>
                <w:rFonts w:hint="eastAsia" w:ascii="宋体" w:hAnsi="宋体" w:cs="宋体"/>
                <w:b w:val="0"/>
                <w:color w:val="auto"/>
                <w:highlight w:val="none"/>
              </w:rPr>
              <w:t>（3）方案粗糙、内容缺漏、操作性差的得1分；</w:t>
            </w:r>
          </w:p>
          <w:p>
            <w:pPr>
              <w:pStyle w:val="2"/>
              <w:spacing w:line="276" w:lineRule="auto"/>
              <w:rPr>
                <w:rFonts w:ascii="宋体" w:hAnsi="宋体" w:cs="宋体"/>
                <w:color w:val="auto"/>
                <w:highlight w:val="none"/>
              </w:rPr>
            </w:pPr>
            <w:r>
              <w:rPr>
                <w:rFonts w:hint="eastAsia" w:ascii="宋体" w:hAnsi="宋体" w:cs="宋体"/>
                <w:b w:val="0"/>
                <w:color w:val="auto"/>
                <w:highlight w:val="none"/>
              </w:rPr>
              <w:t>（4）</w:t>
            </w:r>
            <w:r>
              <w:rPr>
                <w:rFonts w:hint="eastAsia" w:ascii="宋体" w:hAnsi="宋体" w:cs="宋体"/>
                <w:b w:val="0"/>
                <w:color w:val="auto"/>
                <w:highlight w:val="none"/>
                <w:lang w:val="zh-CN"/>
              </w:rPr>
              <w:t>未提供相关内容阐述或不符合项目的不得分。</w:t>
            </w:r>
          </w:p>
        </w:tc>
        <w:tc>
          <w:tcPr>
            <w:tcW w:w="706" w:type="dxa"/>
            <w:tcBorders>
              <w:top w:val="single" w:color="auto" w:sz="4" w:space="0"/>
            </w:tcBorders>
            <w:vAlign w:val="center"/>
          </w:tcPr>
          <w:p>
            <w:pPr>
              <w:widowControl/>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52" w:hRule="atLeast"/>
          <w:jc w:val="center"/>
        </w:trPr>
        <w:tc>
          <w:tcPr>
            <w:tcW w:w="534" w:type="dxa"/>
            <w:vMerge w:val="continue"/>
            <w:vAlign w:val="center"/>
          </w:tcPr>
          <w:p>
            <w:pPr>
              <w:jc w:val="center"/>
              <w:rPr>
                <w:rFonts w:ascii="宋体" w:hAnsi="宋体" w:cs="宋体"/>
                <w:b/>
                <w:bCs/>
                <w:color w:val="auto"/>
                <w:sz w:val="24"/>
                <w:highlight w:val="none"/>
              </w:rPr>
            </w:pPr>
          </w:p>
        </w:tc>
        <w:tc>
          <w:tcPr>
            <w:tcW w:w="1592" w:type="dxa"/>
            <w:tcBorders>
              <w:top w:val="single" w:color="auto" w:sz="4" w:space="0"/>
            </w:tcBorders>
            <w:vAlign w:val="center"/>
          </w:tcPr>
          <w:p>
            <w:pPr>
              <w:jc w:val="center"/>
              <w:textAlignment w:val="center"/>
              <w:rPr>
                <w:rFonts w:ascii="宋体" w:hAnsi="宋体" w:cs="宋体"/>
                <w:color w:val="auto"/>
                <w:sz w:val="24"/>
                <w:highlight w:val="none"/>
              </w:rPr>
            </w:pPr>
            <w:r>
              <w:rPr>
                <w:rFonts w:hint="eastAsia" w:ascii="宋体" w:hAnsi="宋体" w:cs="宋体"/>
                <w:color w:val="auto"/>
                <w:sz w:val="24"/>
                <w:highlight w:val="none"/>
              </w:rPr>
              <w:t>售后</w:t>
            </w:r>
          </w:p>
          <w:p>
            <w:pPr>
              <w:jc w:val="center"/>
              <w:textAlignment w:val="center"/>
              <w:rPr>
                <w:rFonts w:ascii="宋体" w:hAnsi="宋体" w:cs="宋体"/>
                <w:color w:val="auto"/>
                <w:sz w:val="24"/>
                <w:highlight w:val="none"/>
              </w:rPr>
            </w:pPr>
            <w:r>
              <w:rPr>
                <w:rFonts w:hint="eastAsia" w:ascii="宋体" w:hAnsi="宋体" w:cs="宋体"/>
                <w:color w:val="auto"/>
                <w:sz w:val="24"/>
                <w:highlight w:val="none"/>
              </w:rPr>
              <w:t>服务方案</w:t>
            </w:r>
          </w:p>
        </w:tc>
        <w:tc>
          <w:tcPr>
            <w:tcW w:w="7615" w:type="dxa"/>
            <w:tcBorders>
              <w:top w:val="single" w:color="auto" w:sz="4" w:space="0"/>
            </w:tcBorders>
            <w:vAlign w:val="center"/>
          </w:tcPr>
          <w:p>
            <w:pPr>
              <w:spacing w:line="276" w:lineRule="auto"/>
              <w:rPr>
                <w:rFonts w:ascii="宋体" w:hAnsi="宋体" w:cs="宋体"/>
                <w:b/>
                <w:color w:val="auto"/>
                <w:sz w:val="24"/>
                <w:highlight w:val="none"/>
              </w:rPr>
            </w:pPr>
            <w:r>
              <w:rPr>
                <w:rFonts w:hint="eastAsia" w:ascii="宋体" w:hAnsi="宋体" w:cs="宋体"/>
                <w:b/>
                <w:color w:val="auto"/>
                <w:sz w:val="24"/>
                <w:highlight w:val="none"/>
              </w:rPr>
              <w:t>主观分：</w:t>
            </w:r>
          </w:p>
          <w:p>
            <w:pPr>
              <w:pStyle w:val="2"/>
              <w:spacing w:line="276" w:lineRule="auto"/>
              <w:rPr>
                <w:rFonts w:hint="eastAsia" w:ascii="宋体" w:hAnsi="宋体" w:cs="宋体"/>
                <w:b w:val="0"/>
                <w:bCs/>
                <w:color w:val="auto"/>
                <w:highlight w:val="none"/>
              </w:rPr>
            </w:pPr>
            <w:r>
              <w:rPr>
                <w:rFonts w:hint="eastAsia" w:ascii="宋体" w:hAnsi="宋体" w:cs="宋体"/>
                <w:b w:val="0"/>
                <w:bCs/>
                <w:color w:val="auto"/>
                <w:highlight w:val="none"/>
              </w:rPr>
              <w:t>根据供应商提供的售后维护机构和人员情况、提供快速的售后服务响应、售后服务方案、售后服务承诺的可行性、完整性、服务承诺落实的保障措施的可操作性、培训内容及方式的完整性进行综合打分“</w:t>
            </w:r>
          </w:p>
          <w:p>
            <w:pPr>
              <w:pStyle w:val="2"/>
              <w:spacing w:line="276" w:lineRule="auto"/>
              <w:rPr>
                <w:rFonts w:hint="eastAsia" w:ascii="宋体" w:hAnsi="宋体" w:cs="宋体"/>
                <w:b w:val="0"/>
                <w:bCs/>
                <w:color w:val="auto"/>
                <w:highlight w:val="none"/>
              </w:rPr>
            </w:pPr>
            <w:r>
              <w:rPr>
                <w:rFonts w:hint="eastAsia" w:ascii="宋体" w:hAnsi="宋体" w:cs="宋体"/>
                <w:b w:val="0"/>
                <w:bCs/>
                <w:color w:val="auto"/>
                <w:highlight w:val="none"/>
              </w:rPr>
              <w:t>（1）服务方案完整，科学合理，可操作性强，完全满足项目需求的得</w:t>
            </w:r>
            <w:r>
              <w:rPr>
                <w:rFonts w:hint="eastAsia" w:ascii="宋体" w:hAnsi="宋体" w:cs="宋体"/>
                <w:b w:val="0"/>
                <w:bCs/>
                <w:color w:val="auto"/>
                <w:highlight w:val="none"/>
                <w:lang w:val="en-US" w:eastAsia="zh-CN"/>
              </w:rPr>
              <w:t>7</w:t>
            </w:r>
            <w:r>
              <w:rPr>
                <w:rFonts w:hint="eastAsia" w:ascii="宋体" w:hAnsi="宋体" w:cs="宋体"/>
                <w:b w:val="0"/>
                <w:bCs/>
                <w:color w:val="auto"/>
                <w:highlight w:val="none"/>
              </w:rPr>
              <w:t>分；</w:t>
            </w:r>
          </w:p>
          <w:p>
            <w:pPr>
              <w:pStyle w:val="2"/>
              <w:spacing w:line="276" w:lineRule="auto"/>
              <w:rPr>
                <w:rFonts w:hint="eastAsia" w:ascii="宋体" w:hAnsi="宋体" w:cs="宋体"/>
                <w:b w:val="0"/>
                <w:bCs/>
                <w:color w:val="auto"/>
                <w:highlight w:val="none"/>
              </w:rPr>
            </w:pPr>
            <w:r>
              <w:rPr>
                <w:rFonts w:hint="eastAsia" w:ascii="宋体" w:hAnsi="宋体" w:cs="宋体"/>
                <w:b w:val="0"/>
                <w:bCs/>
                <w:color w:val="auto"/>
                <w:highlight w:val="none"/>
              </w:rPr>
              <w:t>（2）服务方案较粗略但能满足项目需求，存在不够科学合理或可操作性不强的进行分档评分：</w:t>
            </w:r>
          </w:p>
          <w:p>
            <w:pPr>
              <w:pStyle w:val="2"/>
              <w:spacing w:line="276" w:lineRule="auto"/>
              <w:rPr>
                <w:rFonts w:hint="eastAsia" w:ascii="宋体" w:hAnsi="宋体" w:cs="宋体"/>
                <w:b w:val="0"/>
                <w:bCs/>
                <w:color w:val="auto"/>
                <w:highlight w:val="none"/>
              </w:rPr>
            </w:pPr>
            <w:r>
              <w:rPr>
                <w:rFonts w:hint="eastAsia" w:ascii="宋体" w:hAnsi="宋体" w:cs="宋体"/>
                <w:b w:val="0"/>
                <w:bCs/>
                <w:color w:val="auto"/>
                <w:highlight w:val="none"/>
              </w:rPr>
              <w:t>一档：</w:t>
            </w:r>
            <w:r>
              <w:rPr>
                <w:rFonts w:hint="eastAsia" w:ascii="宋体" w:hAnsi="宋体" w:cs="宋体"/>
                <w:b w:val="0"/>
                <w:bCs/>
                <w:color w:val="auto"/>
                <w:highlight w:val="none"/>
                <w:lang w:val="en-US" w:eastAsia="zh-CN"/>
              </w:rPr>
              <w:t>6</w:t>
            </w:r>
            <w:r>
              <w:rPr>
                <w:rFonts w:hint="eastAsia" w:ascii="宋体" w:hAnsi="宋体" w:cs="宋体"/>
                <w:b w:val="0"/>
                <w:bCs/>
                <w:color w:val="auto"/>
                <w:highlight w:val="none"/>
              </w:rPr>
              <w:t>分  二档：5分  三档  4分  四档：</w:t>
            </w:r>
            <w:r>
              <w:rPr>
                <w:rFonts w:hint="eastAsia" w:ascii="宋体" w:hAnsi="宋体" w:cs="宋体"/>
                <w:b w:val="0"/>
                <w:bCs/>
                <w:color w:val="auto"/>
                <w:highlight w:val="none"/>
                <w:lang w:val="en-US" w:eastAsia="zh-CN"/>
              </w:rPr>
              <w:t>3</w:t>
            </w:r>
            <w:r>
              <w:rPr>
                <w:rFonts w:hint="eastAsia" w:ascii="宋体" w:hAnsi="宋体" w:cs="宋体"/>
                <w:b w:val="0"/>
                <w:bCs/>
                <w:color w:val="auto"/>
                <w:highlight w:val="none"/>
              </w:rPr>
              <w:t>分  五档：</w:t>
            </w:r>
            <w:r>
              <w:rPr>
                <w:rFonts w:hint="eastAsia" w:ascii="宋体" w:hAnsi="宋体" w:cs="宋体"/>
                <w:b w:val="0"/>
                <w:bCs/>
                <w:color w:val="auto"/>
                <w:highlight w:val="none"/>
                <w:lang w:val="en-US" w:eastAsia="zh-CN"/>
              </w:rPr>
              <w:t>2</w:t>
            </w:r>
            <w:r>
              <w:rPr>
                <w:rFonts w:hint="eastAsia" w:ascii="宋体" w:hAnsi="宋体" w:cs="宋体"/>
                <w:b w:val="0"/>
                <w:bCs/>
                <w:color w:val="auto"/>
                <w:highlight w:val="none"/>
              </w:rPr>
              <w:t>分</w:t>
            </w:r>
          </w:p>
          <w:p>
            <w:pPr>
              <w:pStyle w:val="2"/>
              <w:spacing w:line="276" w:lineRule="auto"/>
              <w:rPr>
                <w:rFonts w:hint="eastAsia" w:ascii="宋体" w:hAnsi="宋体" w:cs="宋体"/>
                <w:b w:val="0"/>
                <w:bCs/>
                <w:color w:val="auto"/>
                <w:highlight w:val="none"/>
              </w:rPr>
            </w:pPr>
            <w:r>
              <w:rPr>
                <w:rFonts w:hint="eastAsia" w:ascii="宋体" w:hAnsi="宋体" w:cs="宋体"/>
                <w:b w:val="0"/>
                <w:bCs/>
                <w:color w:val="auto"/>
                <w:highlight w:val="none"/>
              </w:rPr>
              <w:t>（3）服务方案内容不全，不能体现售后服务具体内容，不能满足项目需求的得1分；</w:t>
            </w:r>
          </w:p>
          <w:p>
            <w:pPr>
              <w:pStyle w:val="2"/>
              <w:spacing w:line="276" w:lineRule="auto"/>
              <w:rPr>
                <w:rFonts w:ascii="宋体" w:hAnsi="宋体" w:cs="宋体"/>
                <w:color w:val="auto"/>
                <w:highlight w:val="none"/>
              </w:rPr>
            </w:pPr>
            <w:r>
              <w:rPr>
                <w:rFonts w:hint="eastAsia" w:ascii="宋体" w:hAnsi="宋体" w:cs="宋体"/>
                <w:b w:val="0"/>
                <w:color w:val="auto"/>
                <w:highlight w:val="none"/>
              </w:rPr>
              <w:t>（4）</w:t>
            </w:r>
            <w:r>
              <w:rPr>
                <w:rFonts w:hint="eastAsia" w:ascii="宋体" w:hAnsi="宋体" w:cs="宋体"/>
                <w:b w:val="0"/>
                <w:color w:val="auto"/>
                <w:highlight w:val="none"/>
                <w:lang w:val="zh-CN"/>
              </w:rPr>
              <w:t>未提供相关内容阐述或不符合项目的不得分。</w:t>
            </w:r>
          </w:p>
        </w:tc>
        <w:tc>
          <w:tcPr>
            <w:tcW w:w="706" w:type="dxa"/>
            <w:tcBorders>
              <w:top w:val="single" w:color="auto" w:sz="4" w:space="0"/>
            </w:tcBorders>
            <w:vAlign w:val="center"/>
          </w:tcPr>
          <w:p>
            <w:pPr>
              <w:widowControl/>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52" w:hRule="atLeast"/>
          <w:jc w:val="center"/>
        </w:trPr>
        <w:tc>
          <w:tcPr>
            <w:tcW w:w="534" w:type="dxa"/>
            <w:vMerge w:val="continue"/>
            <w:vAlign w:val="center"/>
          </w:tcPr>
          <w:p>
            <w:pPr>
              <w:jc w:val="center"/>
              <w:rPr>
                <w:rFonts w:ascii="宋体" w:hAnsi="宋体" w:cs="宋体"/>
                <w:b/>
                <w:bCs/>
                <w:color w:val="auto"/>
                <w:sz w:val="24"/>
                <w:highlight w:val="none"/>
              </w:rPr>
            </w:pPr>
          </w:p>
        </w:tc>
        <w:tc>
          <w:tcPr>
            <w:tcW w:w="1592" w:type="dxa"/>
            <w:tcBorders>
              <w:top w:val="single" w:color="auto" w:sz="4" w:space="0"/>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项目质保</w:t>
            </w:r>
          </w:p>
        </w:tc>
        <w:tc>
          <w:tcPr>
            <w:tcW w:w="7615" w:type="dxa"/>
            <w:tcBorders>
              <w:top w:val="single" w:color="auto" w:sz="4" w:space="0"/>
            </w:tcBorders>
            <w:vAlign w:val="center"/>
          </w:tcPr>
          <w:p>
            <w:pPr>
              <w:wordWrap w:val="0"/>
              <w:adjustRightInd w:val="0"/>
              <w:snapToGrid w:val="0"/>
              <w:spacing w:line="300" w:lineRule="exact"/>
              <w:jc w:val="left"/>
              <w:rPr>
                <w:rFonts w:ascii="宋体" w:hAnsi="宋体" w:cs="宋体"/>
                <w:b/>
                <w:bCs/>
                <w:color w:val="auto"/>
                <w:sz w:val="24"/>
                <w:highlight w:val="none"/>
              </w:rPr>
            </w:pPr>
            <w:r>
              <w:rPr>
                <w:rFonts w:hint="eastAsia" w:ascii="宋体" w:hAnsi="宋体" w:cs="宋体"/>
                <w:b/>
                <w:bCs/>
                <w:color w:val="auto"/>
                <w:sz w:val="24"/>
                <w:highlight w:val="none"/>
              </w:rPr>
              <w:t>客观分：</w:t>
            </w:r>
          </w:p>
          <w:p>
            <w:pPr>
              <w:wordWrap w:val="0"/>
              <w:adjustRightInd w:val="0"/>
              <w:snapToGrid w:val="0"/>
              <w:spacing w:line="300" w:lineRule="exact"/>
              <w:jc w:val="left"/>
              <w:rPr>
                <w:rFonts w:ascii="宋体" w:hAnsi="宋体" w:cs="宋体"/>
                <w:color w:val="auto"/>
                <w:sz w:val="24"/>
                <w:highlight w:val="none"/>
              </w:rPr>
            </w:pPr>
            <w:r>
              <w:rPr>
                <w:rFonts w:hint="eastAsia" w:ascii="宋体" w:hAnsi="宋体" w:cs="宋体"/>
                <w:color w:val="auto"/>
                <w:sz w:val="24"/>
                <w:highlight w:val="none"/>
              </w:rPr>
              <w:t>要求质保期不少于3年（自验收合格之日起计算），满足招标文件基本要求的不得分，每增加一年得1分，最高得2分。延保时间不足一年的不得分。注：供应商应出具承诺函（格式自拟），未提供该项内容不得分。</w:t>
            </w:r>
          </w:p>
        </w:tc>
        <w:tc>
          <w:tcPr>
            <w:tcW w:w="706" w:type="dxa"/>
            <w:tcBorders>
              <w:top w:val="single" w:color="auto" w:sz="4" w:space="0"/>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0-2</w:t>
            </w:r>
          </w:p>
        </w:tc>
      </w:tr>
      <w:bookmarkEnd w:id="13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7" w:hRule="atLeast"/>
          <w:jc w:val="center"/>
        </w:trPr>
        <w:tc>
          <w:tcPr>
            <w:tcW w:w="534" w:type="dxa"/>
            <w:tcBorders>
              <w:bottom w:val="single" w:color="auto" w:sz="12" w:space="0"/>
            </w:tcBorders>
            <w:vAlign w:val="center"/>
          </w:tcPr>
          <w:p>
            <w:pPr>
              <w:widowControl/>
              <w:jc w:val="center"/>
              <w:rPr>
                <w:rFonts w:ascii="宋体" w:hAnsi="宋体" w:cs="宋体"/>
                <w:b/>
                <w:bCs/>
                <w:color w:val="auto"/>
                <w:sz w:val="24"/>
                <w:highlight w:val="none"/>
              </w:rPr>
            </w:pPr>
            <w:r>
              <w:rPr>
                <w:rFonts w:hint="eastAsia" w:ascii="宋体" w:hAnsi="宋体" w:cs="宋体"/>
                <w:b/>
                <w:bCs/>
                <w:color w:val="auto"/>
                <w:sz w:val="24"/>
                <w:highlight w:val="none"/>
              </w:rPr>
              <w:t>价格分</w:t>
            </w:r>
          </w:p>
        </w:tc>
        <w:tc>
          <w:tcPr>
            <w:tcW w:w="1592" w:type="dxa"/>
            <w:tcBorders>
              <w:bottom w:val="single" w:color="auto" w:sz="12" w:space="0"/>
            </w:tcBorders>
            <w:vAlign w:val="center"/>
          </w:tcPr>
          <w:p>
            <w:pPr>
              <w:widowControl/>
              <w:jc w:val="center"/>
              <w:rPr>
                <w:rFonts w:ascii="宋体" w:hAnsi="宋体" w:cs="宋体"/>
                <w:b/>
                <w:bCs/>
                <w:color w:val="auto"/>
                <w:sz w:val="24"/>
                <w:highlight w:val="none"/>
              </w:rPr>
            </w:pPr>
            <w:r>
              <w:rPr>
                <w:rFonts w:hint="eastAsia" w:ascii="宋体" w:hAnsi="宋体" w:cs="宋体"/>
                <w:b/>
                <w:bCs/>
                <w:color w:val="auto"/>
                <w:sz w:val="24"/>
                <w:highlight w:val="none"/>
              </w:rPr>
              <w:t>价格</w:t>
            </w:r>
          </w:p>
        </w:tc>
        <w:tc>
          <w:tcPr>
            <w:tcW w:w="7615" w:type="dxa"/>
            <w:tcBorders>
              <w:bottom w:val="single" w:color="auto" w:sz="12" w:space="0"/>
            </w:tcBorders>
            <w:vAlign w:val="center"/>
          </w:tcPr>
          <w:p>
            <w:pPr>
              <w:widowControl/>
              <w:adjustRightInd w:val="0"/>
              <w:snapToGrid w:val="0"/>
              <w:jc w:val="left"/>
              <w:rPr>
                <w:rFonts w:ascii="宋体" w:hAnsi="宋体" w:cs="宋体"/>
                <w:color w:val="auto"/>
                <w:sz w:val="24"/>
                <w:highlight w:val="none"/>
              </w:rPr>
            </w:pPr>
            <w:r>
              <w:rPr>
                <w:rFonts w:hint="eastAsia" w:ascii="宋体" w:hAnsi="宋体" w:cs="宋体"/>
                <w:color w:val="auto"/>
                <w:sz w:val="24"/>
                <w:highlight w:val="none"/>
              </w:rPr>
              <w:t>取合格投标人的有效最低报价为基准价，其价格分为满分为30分。报价得分＝（评审基准价/投标报价）×30%×100（小数点后保留2位小数，第3位四舍五入）。</w:t>
            </w:r>
          </w:p>
        </w:tc>
        <w:tc>
          <w:tcPr>
            <w:tcW w:w="706" w:type="dxa"/>
            <w:tcBorders>
              <w:bottom w:val="single" w:color="auto" w:sz="12"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0-30</w:t>
            </w:r>
          </w:p>
        </w:tc>
      </w:tr>
      <w:bookmarkEnd w:id="131"/>
    </w:tbl>
    <w:p>
      <w:pPr>
        <w:ind w:left="420" w:hanging="420" w:hangingChars="200"/>
        <w:rPr>
          <w:color w:val="auto"/>
          <w:highlight w:val="none"/>
        </w:rPr>
      </w:pPr>
      <w:r>
        <w:rPr>
          <w:rFonts w:hint="eastAsia"/>
          <w:color w:val="auto"/>
          <w:highlight w:val="none"/>
        </w:rPr>
        <w:t xml:space="preserve">注： </w:t>
      </w:r>
    </w:p>
    <w:p>
      <w:pPr>
        <w:ind w:firstLine="422" w:firstLineChars="200"/>
        <w:rPr>
          <w:b/>
          <w:color w:val="auto"/>
          <w:highlight w:val="none"/>
        </w:rPr>
      </w:pPr>
      <w:r>
        <w:rPr>
          <w:rFonts w:hint="eastAsia"/>
          <w:b/>
          <w:color w:val="auto"/>
          <w:highlight w:val="none"/>
          <w:lang w:val="en-US" w:eastAsia="zh-CN"/>
        </w:rPr>
        <w:t>①</w:t>
      </w:r>
      <w:r>
        <w:rPr>
          <w:rFonts w:hint="eastAsia"/>
          <w:b/>
          <w:color w:val="auto"/>
          <w:highlight w:val="none"/>
        </w:rPr>
        <w:t>请扫描上传合同、证书、报告及其他相关证明材料原件至投标文件，并加盖电子印章</w:t>
      </w:r>
      <w:r>
        <w:rPr>
          <w:rFonts w:hint="eastAsia"/>
          <w:b/>
          <w:color w:val="auto"/>
          <w:highlight w:val="none"/>
          <w:lang w:eastAsia="zh-CN"/>
        </w:rPr>
        <w:t>。</w:t>
      </w:r>
      <w:r>
        <w:rPr>
          <w:rFonts w:hint="eastAsia"/>
          <w:b/>
          <w:color w:val="auto"/>
          <w:highlight w:val="none"/>
        </w:rPr>
        <w:t>如材料存在不清晰或不完整等情况，则由此造成评标委员会扣分直至认定为响应无效都将是供应商的责任。</w:t>
      </w:r>
    </w:p>
    <w:p>
      <w:pPr>
        <w:ind w:firstLine="420" w:firstLineChars="200"/>
        <w:rPr>
          <w:color w:val="auto"/>
          <w:highlight w:val="none"/>
        </w:rPr>
      </w:pPr>
      <w:r>
        <w:rPr>
          <w:rFonts w:hint="eastAsia"/>
          <w:color w:val="auto"/>
          <w:highlight w:val="none"/>
          <w:lang w:val="en-US" w:eastAsia="zh-CN"/>
        </w:rPr>
        <w:t>②</w:t>
      </w:r>
      <w:r>
        <w:rPr>
          <w:rFonts w:hint="eastAsia"/>
          <w:color w:val="auto"/>
          <w:highlight w:val="none"/>
        </w:rPr>
        <w:t>评分标准中“主观分”由评标委员会成员独立打分，专家打分小数点后保留1位小数。供应商各项得分取专家打分总分的算术平均值，平均得分小数点后保留2位小数，第3位四舍五入。“客观分”由评标委员会</w:t>
      </w:r>
      <w:r>
        <w:rPr>
          <w:rFonts w:hint="eastAsia"/>
          <w:color w:val="auto"/>
          <w:highlight w:val="none"/>
          <w:lang w:val="en-US" w:eastAsia="zh-CN"/>
        </w:rPr>
        <w:t>在统一标准下单独</w:t>
      </w:r>
      <w:r>
        <w:rPr>
          <w:rFonts w:hint="eastAsia"/>
          <w:color w:val="auto"/>
          <w:highlight w:val="none"/>
        </w:rPr>
        <w:t>打分，如评标委员会成员对客观分的认定意见不一致，需由持不同意见的专家分别出具书面说明。</w:t>
      </w:r>
    </w:p>
    <w:p>
      <w:pPr>
        <w:autoSpaceDE w:val="0"/>
        <w:autoSpaceDN w:val="0"/>
        <w:adjustRightInd w:val="0"/>
        <w:spacing w:line="360" w:lineRule="auto"/>
        <w:ind w:right="85" w:firstLine="480" w:firstLineChars="200"/>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 xml:space="preserve"> </w:t>
      </w:r>
      <w:r>
        <w:rPr>
          <w:rFonts w:hint="eastAsia" w:asciiTheme="minorEastAsia" w:hAnsiTheme="minorEastAsia" w:eastAsiaTheme="minorEastAsia"/>
          <w:color w:val="auto"/>
          <w:kern w:val="0"/>
          <w:sz w:val="24"/>
          <w:highlight w:val="none"/>
        </w:rPr>
        <w:t>2.评审要求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(1)评标委员会应当按照招标文件中规定的评标方法和标准，对符合性审查合格的投标文件的商务部分和技术部分进行综合比较与评价，其中</w:t>
      </w:r>
      <w:r>
        <w:rPr>
          <w:rFonts w:hint="eastAsia" w:ascii="宋体"/>
          <w:bCs/>
          <w:color w:val="auto"/>
          <w:sz w:val="24"/>
          <w:highlight w:val="none"/>
          <w:lang w:val="zh-CN"/>
        </w:rPr>
        <w:t>客观</w:t>
      </w:r>
      <w:r>
        <w:rPr>
          <w:rFonts w:hint="eastAsia" w:ascii="宋体"/>
          <w:bCs/>
          <w:color w:val="auto"/>
          <w:sz w:val="24"/>
          <w:highlight w:val="none"/>
        </w:rPr>
        <w:t>评分项的分值</w:t>
      </w:r>
      <w:r>
        <w:rPr>
          <w:rFonts w:hint="eastAsia" w:ascii="宋体"/>
          <w:bCs/>
          <w:color w:val="auto"/>
          <w:sz w:val="24"/>
          <w:highlight w:val="none"/>
          <w:lang w:val="zh-CN"/>
        </w:rPr>
        <w:t>应当一致，客观分打分不一致时，采购人及采购代理机构可以提示评审委员会复核或书面说明理由。</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(2)对于投标文件报价出现前后不一致的，除招标文件另有规定外，按照下列规定修正：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①‘政府采购云平台’上开启的投标报价与电子投标文件中开标一览表（报价表）内容不一致的，以电子投标文件中开标一览表（报价表）为准。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②投标文件中开标一览表（报价表）内容与投标文件中相应内容不一致的，以开标一览表（报价表）为准；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③大写金额和小写金额不一致的，以大写金额为准；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④单价金额小数点或者百分比有明显错位的，以开标一览表的总价为准，并修改单价；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5 \* GB3 \* MERGEFORMAT </w:instrText>
      </w:r>
      <w:r>
        <w:rPr>
          <w:rFonts w:hint="eastAsia" w:ascii="宋体" w:hAnsi="宋体" w:cs="宋体"/>
          <w:color w:val="auto"/>
          <w:sz w:val="24"/>
          <w:highlight w:val="none"/>
        </w:rPr>
        <w:fldChar w:fldCharType="separate"/>
      </w:r>
      <w:r>
        <w:rPr>
          <w:rFonts w:ascii="宋体" w:hAnsi="宋体" w:cs="宋体"/>
          <w:color w:val="auto"/>
          <w:sz w:val="24"/>
          <w:highlight w:val="none"/>
        </w:rPr>
        <w:t>⑤</w:t>
      </w:r>
      <w:r>
        <w:rPr>
          <w:rFonts w:hint="eastAsia" w:ascii="宋体" w:hAnsi="宋体" w:cs="宋体"/>
          <w:color w:val="auto"/>
          <w:sz w:val="24"/>
          <w:highlight w:val="none"/>
        </w:rPr>
        <w:fldChar w:fldCharType="end"/>
      </w:r>
      <w:r>
        <w:rPr>
          <w:rFonts w:hint="eastAsia" w:ascii="宋体" w:hAnsi="宋体" w:cs="宋体"/>
          <w:color w:val="auto"/>
          <w:sz w:val="24"/>
          <w:highlight w:val="none"/>
        </w:rPr>
        <w:t>总价金额与按单价汇总金额不一致的，以单价金额计算结果为准。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电子询标的形式，并加盖公章（电子印章）。▲修正后的报价经投标人确认后产生约束力，投标人不确认或超过规定时间未予有效澄清的，其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（3）对于投标文件中含义不明确、同类问题表述不一致或者有明显文字和计算错误的内容，评标委员会应当要求投标供应商做出必要的澄清、说明或者补正。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（4）投标供应商的澄清、说明或者补正采用书面形式，并加盖公章（电子印章）或者由法定代表人或授权代表签字，且不得超出投标文件的范围或者改变投标文件的实质性内容。</w:t>
      </w:r>
    </w:p>
    <w:p>
      <w:pPr>
        <w:spacing w:line="360" w:lineRule="auto"/>
        <w:ind w:firstLine="480" w:firstLineChars="200"/>
        <w:rPr>
          <w:rFonts w:ascii="宋体" w:hAnsi="宋体" w:cs="宋体"/>
          <w:color w:val="auto"/>
          <w:sz w:val="24"/>
          <w:highlight w:val="none"/>
        </w:rPr>
      </w:pPr>
      <w:bookmarkStart w:id="145" w:name="OLE_LINK38"/>
      <w:r>
        <w:rPr>
          <w:rFonts w:hint="eastAsia" w:ascii="宋体" w:hAnsi="宋体" w:cs="宋体"/>
          <w:color w:val="auto"/>
          <w:sz w:val="24"/>
          <w:highlight w:val="none"/>
        </w:rPr>
        <w:t>（5）提供相同品牌产品的不同投标供应商参加同一合同项下投标的，按一家供应商认定：①采用最低评标价法的采购项目，以其中通过资格审查、符合性审查且报价最低的参加评标；报价相同的，由评标委员会集体确定一个投标供应商参加评标，其他投标无效。②使用综合评分法的采购项目，评审后得分最高的同品牌投标供应商获得中标供应商推荐资格；评审得分相同的，由评标委员会集体推荐一个投标供应商作为中标候选人，其他同品牌投标供应商不作为中标候选人。非单一产品采购项目按核心产品品牌判定，多家投标供应商提供的核心产品品牌相同的，按前述规定处理。本项目核心产品详见第三章招标需求“二、技术需求（二）采购清单”。</w:t>
      </w:r>
    </w:p>
    <w:bookmarkEnd w:id="145"/>
    <w:p>
      <w:pP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pPr>
        <w:spacing w:line="360" w:lineRule="auto"/>
        <w:ind w:firstLine="480" w:firstLineChars="200"/>
        <w:rPr>
          <w:rFonts w:ascii="宋体"/>
          <w:color w:val="auto"/>
          <w:sz w:val="24"/>
          <w:highlight w:val="none"/>
          <w:lang w:val="zh-CN"/>
        </w:rPr>
      </w:pPr>
      <w:r>
        <w:rPr>
          <w:rFonts w:hint="eastAsia" w:ascii="宋体" w:hAnsi="宋体" w:cs="宋体"/>
          <w:color w:val="auto"/>
          <w:sz w:val="24"/>
          <w:highlight w:val="none"/>
        </w:rPr>
        <w:t>评标委员会各成员应当独立对每个投标供应商的投标文件进行评价，并汇总每个投标供应商的得分。评标结果按评审后综合得分由高到低顺序排列，综合得分最高的投标供应商为第一中标候选人，综合得分次高的投标供应商为第二中标候选人。</w:t>
      </w:r>
      <w:r>
        <w:rPr>
          <w:rFonts w:hint="eastAsia" w:ascii="宋体"/>
          <w:color w:val="auto"/>
          <w:sz w:val="24"/>
          <w:highlight w:val="none"/>
          <w:lang w:val="zh-CN"/>
        </w:rPr>
        <w:t>如综合得分相同，投标报价低者为先；如综合得分且投标报价相同的，以产品的性能及技术指标得分较高者为先，若仍相同则抽签决定。</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评标委员会根据全体评标成员签字的原始评标记录和评标结果编写评标报告。</w:t>
      </w:r>
      <w:r>
        <w:rPr>
          <w:rFonts w:hint="eastAsia" w:asciiTheme="minorEastAsia" w:hAnsiTheme="minorEastAsia" w:eastAsiaTheme="minorEastAsia"/>
          <w:b/>
          <w:color w:val="auto"/>
          <w:sz w:val="36"/>
          <w:szCs w:val="36"/>
          <w:highlight w:val="none"/>
        </w:rPr>
        <w:br w:type="page"/>
      </w:r>
    </w:p>
    <w:p>
      <w:pPr>
        <w:spacing w:line="360" w:lineRule="auto"/>
        <w:jc w:val="center"/>
        <w:outlineLvl w:val="0"/>
        <w:rPr>
          <w:rFonts w:asciiTheme="minorEastAsia" w:hAnsiTheme="minorEastAsia" w:eastAsiaTheme="minorEastAsia"/>
          <w:b/>
          <w:color w:val="auto"/>
          <w:sz w:val="36"/>
          <w:szCs w:val="36"/>
          <w:highlight w:val="none"/>
        </w:rPr>
      </w:pPr>
      <w:bookmarkStart w:id="146" w:name="_Toc7123"/>
      <w:r>
        <w:rPr>
          <w:rFonts w:hint="eastAsia" w:asciiTheme="minorEastAsia" w:hAnsiTheme="minorEastAsia" w:eastAsiaTheme="minorEastAsia"/>
          <w:b/>
          <w:color w:val="auto"/>
          <w:sz w:val="36"/>
          <w:szCs w:val="36"/>
          <w:highlight w:val="none"/>
        </w:rPr>
        <w:t>第五章 拟签订的合同文本</w:t>
      </w:r>
      <w:bookmarkEnd w:id="146"/>
    </w:p>
    <w:p>
      <w:pPr>
        <w:pStyle w:val="11"/>
        <w:spacing w:line="360" w:lineRule="auto"/>
        <w:ind w:firstLine="211" w:firstLineChars="100"/>
        <w:jc w:val="left"/>
        <w:rPr>
          <w:color w:val="auto"/>
          <w:sz w:val="21"/>
          <w:szCs w:val="21"/>
          <w:highlight w:val="none"/>
        </w:rPr>
      </w:pPr>
      <w:r>
        <w:rPr>
          <w:rFonts w:hint="eastAsia"/>
          <w:b/>
          <w:color w:val="auto"/>
          <w:sz w:val="21"/>
          <w:szCs w:val="21"/>
          <w:highlight w:val="none"/>
        </w:rPr>
        <w:t>说明：</w:t>
      </w:r>
      <w:r>
        <w:rPr>
          <w:rFonts w:hint="eastAsia"/>
          <w:color w:val="auto"/>
          <w:sz w:val="21"/>
          <w:szCs w:val="21"/>
          <w:highlight w:val="none"/>
        </w:rPr>
        <w:t>本格式条款作为双方签订合同的依据不得修改实质性内容，为阐明各方的权利和义务，可增加新的条款，但不得与招标文件、投标文件的实质性内容相背离。</w:t>
      </w:r>
    </w:p>
    <w:p>
      <w:pPr>
        <w:pStyle w:val="14"/>
        <w:adjustRightInd w:val="0"/>
        <w:snapToGrid w:val="0"/>
        <w:spacing w:line="44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rPr>
        <w:t xml:space="preserve">台州市白云小学改扩建工程（综合楼设备设施） </w:t>
      </w:r>
    </w:p>
    <w:p>
      <w:pPr>
        <w:pStyle w:val="14"/>
        <w:adjustRightInd w:val="0"/>
        <w:snapToGrid w:val="0"/>
        <w:spacing w:line="44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项目编号：ZYZFCG〔2025〕009</w:t>
      </w:r>
    </w:p>
    <w:p>
      <w:pPr>
        <w:pStyle w:val="14"/>
        <w:adjustRightInd w:val="0"/>
        <w:snapToGrid w:val="0"/>
        <w:spacing w:line="44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rPr>
        <w:t>（采购人）</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 xml:space="preserve">                                所在地：</w:t>
      </w:r>
      <w:r>
        <w:rPr>
          <w:rFonts w:asciiTheme="minorEastAsia" w:hAnsiTheme="minorEastAsia" w:eastAsiaTheme="minorEastAsia"/>
          <w:color w:val="auto"/>
          <w:sz w:val="24"/>
          <w:highlight w:val="none"/>
        </w:rPr>
        <w:t xml:space="preserve"> </w:t>
      </w:r>
    </w:p>
    <w:p>
      <w:pPr>
        <w:pStyle w:val="14"/>
        <w:adjustRightInd w:val="0"/>
        <w:snapToGrid w:val="0"/>
        <w:spacing w:line="440" w:lineRule="exact"/>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乙方（中标供应商）：</w:t>
      </w:r>
      <w:r>
        <w:rPr>
          <w:rFonts w:hint="eastAsia" w:asciiTheme="minorEastAsia" w:hAnsiTheme="minorEastAsia" w:eastAsiaTheme="minorEastAsia"/>
          <w:color w:val="auto"/>
          <w:sz w:val="24"/>
          <w:highlight w:val="none"/>
        </w:rPr>
        <w:t xml:space="preserve">                            所在地：</w:t>
      </w:r>
      <w:r>
        <w:rPr>
          <w:rFonts w:asciiTheme="minorEastAsia" w:hAnsiTheme="minorEastAsia" w:eastAsiaTheme="minorEastAsia"/>
          <w:color w:val="auto"/>
          <w:sz w:val="24"/>
          <w:highlight w:val="none"/>
        </w:rPr>
        <w:t xml:space="preserve"> </w:t>
      </w:r>
    </w:p>
    <w:p>
      <w:pPr>
        <w:pStyle w:val="14"/>
        <w:adjustRightInd w:val="0"/>
        <w:snapToGrid w:val="0"/>
        <w:spacing w:line="440" w:lineRule="exact"/>
        <w:ind w:firstLine="480" w:firstLineChars="200"/>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甲、乙双方根据</w:t>
      </w:r>
      <w:r>
        <w:rPr>
          <w:rFonts w:hint="eastAsia" w:asciiTheme="minorEastAsia" w:hAnsiTheme="minorEastAsia" w:eastAsiaTheme="minorEastAsia"/>
          <w:color w:val="auto"/>
          <w:sz w:val="24"/>
          <w:highlight w:val="none"/>
          <w:u w:val="single"/>
        </w:rPr>
        <w:t>台州市白云小学改扩建工程（综合楼设备设施）</w:t>
      </w:r>
      <w:r>
        <w:rPr>
          <w:rFonts w:asciiTheme="minorEastAsia" w:hAnsiTheme="minorEastAsia" w:eastAsiaTheme="minorEastAsia"/>
          <w:color w:val="auto"/>
          <w:sz w:val="24"/>
          <w:highlight w:val="none"/>
        </w:rPr>
        <w:t>公开招标的结果，签署本合同。</w:t>
      </w:r>
    </w:p>
    <w:p>
      <w:pPr>
        <w:adjustRightInd w:val="0"/>
        <w:snapToGrid w:val="0"/>
        <w:spacing w:line="440" w:lineRule="exact"/>
        <w:ind w:firstLine="482" w:firstLineChars="200"/>
        <w:rPr>
          <w:rFonts w:asciiTheme="minorEastAsia" w:hAnsiTheme="minorEastAsia" w:eastAsiaTheme="minorEastAsia"/>
          <w:b/>
          <w:bCs/>
          <w:color w:val="auto"/>
          <w:sz w:val="24"/>
          <w:highlight w:val="none"/>
          <w:lang w:val="zh-CN"/>
        </w:rPr>
      </w:pPr>
      <w:r>
        <w:rPr>
          <w:rFonts w:hint="eastAsia" w:asciiTheme="minorEastAsia" w:hAnsiTheme="minorEastAsia" w:eastAsiaTheme="minorEastAsia"/>
          <w:b/>
          <w:bCs/>
          <w:color w:val="auto"/>
          <w:sz w:val="24"/>
          <w:highlight w:val="none"/>
          <w:lang w:val="zh-CN"/>
        </w:rPr>
        <w:t xml:space="preserve">一、合同文件： </w:t>
      </w:r>
    </w:p>
    <w:p>
      <w:pPr>
        <w:adjustRightInd w:val="0"/>
        <w:snapToGrid w:val="0"/>
        <w:spacing w:line="440" w:lineRule="exact"/>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r>
        <w:rPr>
          <w:rFonts w:hint="eastAsia" w:asciiTheme="minorEastAsia" w:hAnsiTheme="minorEastAsia" w:eastAsiaTheme="minorEastAsia"/>
          <w:color w:val="auto"/>
          <w:sz w:val="24"/>
          <w:highlight w:val="none"/>
        </w:rPr>
        <w:t>一</w:t>
      </w:r>
      <w:r>
        <w:rPr>
          <w:rFonts w:hint="eastAsia" w:asciiTheme="minorEastAsia" w:hAnsiTheme="minorEastAsia" w:eastAsiaTheme="minorEastAsia"/>
          <w:color w:val="auto"/>
          <w:sz w:val="24"/>
          <w:highlight w:val="none"/>
          <w:lang w:val="zh-CN"/>
        </w:rPr>
        <w:t>）合同条款。</w:t>
      </w:r>
    </w:p>
    <w:p>
      <w:pPr>
        <w:adjustRightInd w:val="0"/>
        <w:snapToGrid w:val="0"/>
        <w:spacing w:line="440" w:lineRule="exact"/>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（二）中标通知书</w:t>
      </w:r>
      <w:r>
        <w:rPr>
          <w:rFonts w:hint="eastAsia" w:asciiTheme="minorEastAsia" w:hAnsiTheme="minorEastAsia" w:eastAsiaTheme="minorEastAsia"/>
          <w:color w:val="auto"/>
          <w:sz w:val="24"/>
          <w:highlight w:val="none"/>
          <w:lang w:val="zh-CN"/>
        </w:rPr>
        <w:t>。</w:t>
      </w:r>
    </w:p>
    <w:p>
      <w:pPr>
        <w:adjustRightInd w:val="0"/>
        <w:snapToGrid w:val="0"/>
        <w:spacing w:line="440" w:lineRule="exact"/>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（三）</w:t>
      </w:r>
      <w:r>
        <w:rPr>
          <w:rFonts w:hint="eastAsia" w:asciiTheme="minorEastAsia" w:hAnsiTheme="minorEastAsia" w:eastAsiaTheme="minorEastAsia"/>
          <w:color w:val="auto"/>
          <w:sz w:val="24"/>
          <w:highlight w:val="none"/>
          <w:lang w:val="zh-CN"/>
        </w:rPr>
        <w:t>更正补充文件。</w:t>
      </w:r>
    </w:p>
    <w:p>
      <w:pPr>
        <w:adjustRightInd w:val="0"/>
        <w:snapToGrid w:val="0"/>
        <w:spacing w:line="440" w:lineRule="exact"/>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r>
        <w:rPr>
          <w:rFonts w:hint="eastAsia" w:asciiTheme="minorEastAsia" w:hAnsiTheme="minorEastAsia" w:eastAsiaTheme="minorEastAsia"/>
          <w:color w:val="auto"/>
          <w:sz w:val="24"/>
          <w:highlight w:val="none"/>
        </w:rPr>
        <w:t>四</w:t>
      </w:r>
      <w:r>
        <w:rPr>
          <w:rFonts w:hint="eastAsia" w:asciiTheme="minorEastAsia" w:hAnsiTheme="minorEastAsia" w:eastAsiaTheme="minorEastAsia"/>
          <w:color w:val="auto"/>
          <w:sz w:val="24"/>
          <w:highlight w:val="none"/>
          <w:lang w:val="zh-CN"/>
        </w:rPr>
        <w:t>）招标文件。</w:t>
      </w:r>
    </w:p>
    <w:p>
      <w:pPr>
        <w:adjustRightInd w:val="0"/>
        <w:snapToGrid w:val="0"/>
        <w:spacing w:line="440" w:lineRule="exact"/>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（五）</w:t>
      </w:r>
      <w:r>
        <w:rPr>
          <w:rFonts w:hint="eastAsia" w:asciiTheme="minorEastAsia" w:hAnsiTheme="minorEastAsia" w:eastAsiaTheme="minorEastAsia"/>
          <w:color w:val="auto"/>
          <w:sz w:val="24"/>
          <w:highlight w:val="none"/>
          <w:lang w:val="zh-CN"/>
        </w:rPr>
        <w:t>乙方投标文件。</w:t>
      </w:r>
    </w:p>
    <w:p>
      <w:pPr>
        <w:adjustRightInd w:val="0"/>
        <w:snapToGrid w:val="0"/>
        <w:spacing w:line="440" w:lineRule="exact"/>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r>
        <w:rPr>
          <w:rFonts w:hint="eastAsia" w:asciiTheme="minorEastAsia" w:hAnsiTheme="minorEastAsia" w:eastAsiaTheme="minorEastAsia"/>
          <w:color w:val="auto"/>
          <w:sz w:val="24"/>
          <w:highlight w:val="none"/>
        </w:rPr>
        <w:t>六</w:t>
      </w:r>
      <w:r>
        <w:rPr>
          <w:rFonts w:hint="eastAsia" w:asciiTheme="minorEastAsia" w:hAnsiTheme="minorEastAsia" w:eastAsiaTheme="minorEastAsia"/>
          <w:color w:val="auto"/>
          <w:sz w:val="24"/>
          <w:highlight w:val="none"/>
          <w:lang w:val="zh-CN"/>
        </w:rPr>
        <w:t>）其他。</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上述所指合同文件应认为是互相补充和解释的，但是有模棱两可或互相矛盾之处，以其所列内容顺序为准。</w:t>
      </w:r>
    </w:p>
    <w:p>
      <w:pPr>
        <w:pStyle w:val="14"/>
        <w:adjustRightInd w:val="0"/>
        <w:snapToGrid w:val="0"/>
        <w:spacing w:line="44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、货物内容</w:t>
      </w:r>
    </w:p>
    <w:p>
      <w:pPr>
        <w:pStyle w:val="14"/>
        <w:adjustRightInd w:val="0"/>
        <w:snapToGrid w:val="0"/>
        <w:spacing w:line="440" w:lineRule="exact"/>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详见招标文件技术需求及乙方投标承诺。</w:t>
      </w:r>
    </w:p>
    <w:p>
      <w:pPr>
        <w:pStyle w:val="14"/>
        <w:adjustRightInd w:val="0"/>
        <w:snapToGrid w:val="0"/>
        <w:spacing w:line="44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w:t>
      </w:r>
      <w:r>
        <w:rPr>
          <w:rFonts w:asciiTheme="minorEastAsia" w:hAnsiTheme="minorEastAsia" w:eastAsiaTheme="minorEastAsia"/>
          <w:b/>
          <w:color w:val="auto"/>
          <w:sz w:val="24"/>
          <w:highlight w:val="none"/>
        </w:rPr>
        <w:t>、合同金额</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（一）本合同含税金额为（大写）：</w:t>
      </w:r>
      <w:r>
        <w:rPr>
          <w:rFonts w:asciiTheme="minorEastAsia" w:hAnsiTheme="minorEastAsia" w:eastAsiaTheme="minorEastAsia"/>
          <w:color w:val="auto"/>
          <w:sz w:val="24"/>
          <w:highlight w:val="none"/>
          <w:u w:val="single"/>
        </w:rPr>
        <w:t>_</w:t>
      </w:r>
      <w:r>
        <w:rPr>
          <w:rFonts w:hint="eastAsia" w:asciiTheme="minorEastAsia" w:hAnsiTheme="minorEastAsia" w:eastAsiaTheme="minorEastAsia"/>
          <w:b/>
          <w:color w:val="auto"/>
          <w:sz w:val="24"/>
          <w:highlight w:val="none"/>
          <w:u w:val="single"/>
        </w:rPr>
        <w:t xml:space="preserve">       </w:t>
      </w:r>
      <w:r>
        <w:rPr>
          <w:rFonts w:asciiTheme="minorEastAsia" w:hAnsiTheme="minorEastAsia" w:eastAsiaTheme="minorEastAsia"/>
          <w:color w:val="auto"/>
          <w:sz w:val="24"/>
          <w:highlight w:val="none"/>
          <w:u w:val="single"/>
        </w:rPr>
        <w:t xml:space="preserve"> _</w:t>
      </w:r>
      <w:r>
        <w:rPr>
          <w:rFonts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u w:val="single"/>
        </w:rPr>
        <w:t>_</w:t>
      </w:r>
      <w:r>
        <w:rPr>
          <w:rFonts w:hint="eastAsia" w:asciiTheme="minorEastAsia" w:hAnsiTheme="minorEastAsia" w:eastAsiaTheme="minorEastAsia"/>
          <w:b/>
          <w:color w:val="auto"/>
          <w:sz w:val="24"/>
          <w:highlight w:val="none"/>
          <w:u w:val="single"/>
        </w:rPr>
        <w:t xml:space="preserve">      </w:t>
      </w:r>
      <w:r>
        <w:rPr>
          <w:rFonts w:asciiTheme="minorEastAsia" w:hAnsiTheme="minorEastAsia" w:eastAsiaTheme="minorEastAsia"/>
          <w:color w:val="auto"/>
          <w:sz w:val="24"/>
          <w:highlight w:val="none"/>
          <w:u w:val="single"/>
        </w:rPr>
        <w:t>_</w:t>
      </w:r>
      <w:r>
        <w:rPr>
          <w:rFonts w:asciiTheme="minorEastAsia" w:hAnsiTheme="minorEastAsia" w:eastAsiaTheme="minorEastAsia"/>
          <w:color w:val="auto"/>
          <w:sz w:val="24"/>
          <w:highlight w:val="none"/>
        </w:rPr>
        <w:t>元）人民币。</w:t>
      </w:r>
    </w:p>
    <w:p>
      <w:pPr>
        <w:pStyle w:val="14"/>
        <w:adjustRightInd w:val="0"/>
        <w:snapToGrid w:val="0"/>
        <w:spacing w:line="440" w:lineRule="exact"/>
        <w:ind w:firstLine="480" w:firstLineChars="200"/>
        <w:rPr>
          <w:rFonts w:hAnsi="宋体"/>
          <w:color w:val="auto"/>
          <w:kern w:val="0"/>
          <w:sz w:val="24"/>
          <w:highlight w:val="none"/>
        </w:rPr>
      </w:pPr>
      <w:r>
        <w:rPr>
          <w:rFonts w:hint="eastAsia" w:asciiTheme="minorEastAsia" w:hAnsiTheme="minorEastAsia" w:eastAsiaTheme="minorEastAsia"/>
          <w:color w:val="auto"/>
          <w:sz w:val="24"/>
          <w:highlight w:val="none"/>
        </w:rPr>
        <w:t>（二）合同金额为本合同约定范围内全部工作内容的价格表现。</w:t>
      </w:r>
      <w:r>
        <w:rPr>
          <w:rFonts w:hint="eastAsia" w:hAnsi="宋体"/>
          <w:color w:val="auto"/>
          <w:kern w:val="0"/>
          <w:sz w:val="24"/>
          <w:highlight w:val="none"/>
        </w:rPr>
        <w:t>其应包括深化设计、所投货物及其标准配件供货、运输、包装、装卸、产品保管、安装、调试、维护、人员技术培训、专用维修工具、主材及所有辅材、备品备件、质量保修、有关部门验收、售后服务及维修、设备搬运就位及安装过程中可能发生的损耗、拆除、修理、清理、填补、修补工作、清除安装过程中产生的垃圾等及其相关的其他服务工作所发生的全部费用以及供应商企业利润、税金和政策性文件规定及合同包含的所有风险、责任等各项应有费用。</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（三）甲方有权根据实际需要调整供货数量。具体数量按甲方验收通过的实际供货数量计算，结算单价按中标单价。</w:t>
      </w:r>
    </w:p>
    <w:p>
      <w:pPr>
        <w:pStyle w:val="14"/>
        <w:adjustRightInd w:val="0"/>
        <w:snapToGrid w:val="0"/>
        <w:spacing w:line="440" w:lineRule="exact"/>
        <w:ind w:firstLine="480" w:firstLineChars="200"/>
        <w:rPr>
          <w:rFonts w:hAnsi="宋体"/>
          <w:color w:val="auto"/>
          <w:kern w:val="0"/>
          <w:sz w:val="24"/>
          <w:highlight w:val="none"/>
        </w:rPr>
      </w:pPr>
      <w:r>
        <w:rPr>
          <w:rFonts w:hint="eastAsia" w:hAnsi="宋体"/>
          <w:color w:val="auto"/>
          <w:kern w:val="0"/>
          <w:sz w:val="24"/>
          <w:highlight w:val="none"/>
        </w:rPr>
        <w:t>（四）明细价格（详见乙方报价明细清单）。</w:t>
      </w:r>
    </w:p>
    <w:p>
      <w:pPr>
        <w:pStyle w:val="14"/>
        <w:adjustRightInd w:val="0"/>
        <w:snapToGrid w:val="0"/>
        <w:spacing w:line="44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w:t>
      </w:r>
      <w:r>
        <w:rPr>
          <w:rFonts w:asciiTheme="minorEastAsia" w:hAnsiTheme="minorEastAsia" w:eastAsiaTheme="minorEastAsia"/>
          <w:b/>
          <w:color w:val="auto"/>
          <w:sz w:val="24"/>
          <w:highlight w:val="none"/>
        </w:rPr>
        <w:t>、技术资料</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乙方应按招标文件规定的时间向甲方提供使用货物的有关技术资料。</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adjustRightInd w:val="0"/>
        <w:snapToGrid w:val="0"/>
        <w:spacing w:line="44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w:t>
      </w:r>
      <w:r>
        <w:rPr>
          <w:rFonts w:asciiTheme="minorEastAsia" w:hAnsiTheme="minorEastAsia" w:eastAsiaTheme="minorEastAsia"/>
          <w:b/>
          <w:color w:val="auto"/>
          <w:sz w:val="24"/>
          <w:highlight w:val="none"/>
        </w:rPr>
        <w:t>、知识产权</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乙方应保证所提供的货物或其任何一部分均不会侵犯任何第三方的知识产权。</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（二）若侵犯,由乙方赔偿甲方因此遭受的损失（包括但不限于应对及追偿过程中所支付的律师费、差旅费、诉讼费、保全费、鉴定费、评估费等）。</w:t>
      </w:r>
    </w:p>
    <w:p>
      <w:pPr>
        <w:pStyle w:val="14"/>
        <w:adjustRightInd w:val="0"/>
        <w:snapToGrid w:val="0"/>
        <w:spacing w:line="440" w:lineRule="exact"/>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六</w:t>
      </w:r>
      <w:r>
        <w:rPr>
          <w:rFonts w:asciiTheme="minorEastAsia" w:hAnsiTheme="minorEastAsia" w:eastAsiaTheme="minorEastAsia"/>
          <w:b/>
          <w:color w:val="auto"/>
          <w:sz w:val="24"/>
          <w:highlight w:val="none"/>
        </w:rPr>
        <w:t>、产权担保</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乙方保证所交付的货物的所有权完全属于乙方且无任何抵押、查封等产权瑕疵。</w:t>
      </w:r>
    </w:p>
    <w:p>
      <w:pPr>
        <w:pStyle w:val="14"/>
        <w:adjustRightInd w:val="0"/>
        <w:snapToGrid w:val="0"/>
        <w:spacing w:line="44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、履约保证金</w:t>
      </w:r>
    </w:p>
    <w:p>
      <w:pPr>
        <w:pStyle w:val="14"/>
        <w:adjustRightInd w:val="0"/>
        <w:snapToGrid w:val="0"/>
        <w:spacing w:line="440" w:lineRule="exact"/>
        <w:ind w:firstLine="480" w:firstLineChars="200"/>
        <w:rPr>
          <w:rFonts w:ascii="Times New Roman" w:hAnsi="宋体" w:cs="Times New Roman"/>
          <w:color w:val="auto"/>
          <w:sz w:val="24"/>
          <w:highlight w:val="none"/>
        </w:rPr>
      </w:pPr>
      <w:bookmarkStart w:id="147" w:name="OLE_LINK19"/>
      <w:r>
        <w:rPr>
          <w:rFonts w:hint="eastAsia" w:hAnsi="宋体" w:cs="宋体"/>
          <w:color w:val="auto"/>
          <w:kern w:val="0"/>
          <w:sz w:val="24"/>
          <w:szCs w:val="21"/>
          <w:highlight w:val="none"/>
        </w:rPr>
        <w:t>乙方须在合同签订前七个工作日内提交合同总价1%的履约担保</w:t>
      </w:r>
      <w:r>
        <w:rPr>
          <w:rFonts w:hint="eastAsia" w:ascii="Times New Roman" w:hAnsi="宋体" w:cs="Times New Roman"/>
          <w:color w:val="auto"/>
          <w:sz w:val="24"/>
          <w:highlight w:val="none"/>
        </w:rPr>
        <w:t>，</w:t>
      </w:r>
      <w:r>
        <w:rPr>
          <w:rFonts w:hint="eastAsia" w:hAnsi="宋体" w:cs="宋体"/>
          <w:color w:val="auto"/>
          <w:kern w:val="0"/>
          <w:sz w:val="24"/>
          <w:szCs w:val="21"/>
          <w:highlight w:val="none"/>
        </w:rPr>
        <w:t>以支票、银行汇票、本票或者金融机构的保函等非现金形式提交。如为支票、银行汇票、本票形式，在项目通过</w:t>
      </w:r>
      <w:r>
        <w:rPr>
          <w:rFonts w:hint="eastAsia" w:asciiTheme="minorEastAsia" w:hAnsiTheme="minorEastAsia" w:eastAsiaTheme="minorEastAsia"/>
          <w:color w:val="auto"/>
          <w:sz w:val="24"/>
          <w:highlight w:val="none"/>
        </w:rPr>
        <w:t>最终</w:t>
      </w:r>
      <w:r>
        <w:rPr>
          <w:rFonts w:hint="eastAsia" w:hAnsi="宋体" w:cs="宋体"/>
          <w:color w:val="auto"/>
          <w:kern w:val="0"/>
          <w:sz w:val="24"/>
          <w:szCs w:val="21"/>
          <w:highlight w:val="none"/>
        </w:rPr>
        <w:t>验收且扣除乙方应承担的</w:t>
      </w:r>
      <w:r>
        <w:rPr>
          <w:rFonts w:hint="eastAsia" w:asciiTheme="minorEastAsia" w:hAnsiTheme="minorEastAsia" w:eastAsiaTheme="minorEastAsia"/>
          <w:color w:val="auto"/>
          <w:sz w:val="24"/>
          <w:highlight w:val="none"/>
        </w:rPr>
        <w:t>违约金</w:t>
      </w:r>
      <w:r>
        <w:rPr>
          <w:rFonts w:hint="eastAsia" w:hAnsi="宋体" w:cs="宋体"/>
          <w:color w:val="auto"/>
          <w:kern w:val="0"/>
          <w:sz w:val="24"/>
          <w:szCs w:val="21"/>
          <w:highlight w:val="none"/>
        </w:rPr>
        <w:t>（如有）等费用后无息退还；以金融机构出具的保函等非现金形式提供（须为见索即付的独立保函），担保期限从合同生效之日起至项目通过最终验收后15个工作日。乙方因违约或其他原因导致履约金被没收后应在自没收之日起15天内补足。</w:t>
      </w:r>
    </w:p>
    <w:bookmarkEnd w:id="147"/>
    <w:p>
      <w:pPr>
        <w:pStyle w:val="14"/>
        <w:adjustRightInd w:val="0"/>
        <w:snapToGrid w:val="0"/>
        <w:spacing w:line="44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八、转包或分包</w:t>
      </w:r>
    </w:p>
    <w:p>
      <w:pPr>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（一）本合同范围的货物，应由</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方直接供应，不得转让他人供应。</w:t>
      </w:r>
    </w:p>
    <w:p>
      <w:pPr>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方不得将本合同范围的货物全部或部分分包给他人供应。</w:t>
      </w:r>
    </w:p>
    <w:p>
      <w:pPr>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 如有转让和分包行为，甲方将按本合同第十六条第二款处理。</w:t>
      </w:r>
    </w:p>
    <w:p>
      <w:pPr>
        <w:pStyle w:val="14"/>
        <w:adjustRightInd w:val="0"/>
        <w:snapToGrid w:val="0"/>
        <w:spacing w:line="440" w:lineRule="exact"/>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九</w:t>
      </w:r>
      <w:r>
        <w:rPr>
          <w:rFonts w:asciiTheme="minorEastAsia" w:hAnsiTheme="minorEastAsia" w:eastAsiaTheme="minorEastAsia"/>
          <w:b/>
          <w:color w:val="auto"/>
          <w:sz w:val="24"/>
          <w:highlight w:val="none"/>
        </w:rPr>
        <w:t>、质保期（以乙方投标承诺为准）</w:t>
      </w:r>
    </w:p>
    <w:p>
      <w:pPr>
        <w:adjustRightInd w:val="0"/>
        <w:snapToGrid w:val="0"/>
        <w:spacing w:line="440" w:lineRule="exact"/>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质保期为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年，从最终验收合格之日开始计算。</w:t>
      </w:r>
    </w:p>
    <w:p>
      <w:pPr>
        <w:pStyle w:val="14"/>
        <w:adjustRightInd w:val="0"/>
        <w:snapToGrid w:val="0"/>
        <w:spacing w:line="44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w:t>
      </w:r>
      <w:r>
        <w:rPr>
          <w:rFonts w:asciiTheme="minorEastAsia" w:hAnsiTheme="minorEastAsia" w:eastAsiaTheme="minorEastAsia"/>
          <w:b/>
          <w:color w:val="auto"/>
          <w:sz w:val="24"/>
          <w:highlight w:val="none"/>
        </w:rPr>
        <w:t>、交货期、交货方式及交货地点</w:t>
      </w:r>
    </w:p>
    <w:p>
      <w:pPr>
        <w:pStyle w:val="14"/>
        <w:adjustRightInd w:val="0"/>
        <w:snapToGrid w:val="0"/>
        <w:spacing w:line="44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（一）</w:t>
      </w:r>
      <w:r>
        <w:rPr>
          <w:rFonts w:asciiTheme="minorEastAsia" w:hAnsiTheme="minorEastAsia" w:eastAsiaTheme="minorEastAsia"/>
          <w:bCs/>
          <w:color w:val="auto"/>
          <w:sz w:val="24"/>
          <w:highlight w:val="none"/>
        </w:rPr>
        <w:t>交货期：</w:t>
      </w:r>
      <w:r>
        <w:rPr>
          <w:rFonts w:hint="eastAsia" w:asciiTheme="minorEastAsia" w:hAnsiTheme="minorEastAsia" w:eastAsiaTheme="minorEastAsia"/>
          <w:color w:val="auto"/>
          <w:sz w:val="24"/>
          <w:highlight w:val="none"/>
        </w:rPr>
        <w:t>60日历天内完成供货及安装。</w:t>
      </w:r>
    </w:p>
    <w:p>
      <w:pPr>
        <w:pStyle w:val="14"/>
        <w:adjustRightInd w:val="0"/>
        <w:snapToGrid w:val="0"/>
        <w:spacing w:line="44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（二）</w:t>
      </w:r>
      <w:r>
        <w:rPr>
          <w:rFonts w:asciiTheme="minorEastAsia" w:hAnsiTheme="minorEastAsia" w:eastAsiaTheme="minorEastAsia"/>
          <w:bCs/>
          <w:color w:val="auto"/>
          <w:sz w:val="24"/>
          <w:highlight w:val="none"/>
        </w:rPr>
        <w:t>交货方式：乙方负责包装、运输至甲方指定地点并安装完成。</w:t>
      </w:r>
    </w:p>
    <w:p>
      <w:pPr>
        <w:pStyle w:val="14"/>
        <w:adjustRightInd w:val="0"/>
        <w:snapToGrid w:val="0"/>
        <w:spacing w:line="440" w:lineRule="exact"/>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Cs/>
          <w:color w:val="auto"/>
          <w:sz w:val="24"/>
          <w:highlight w:val="none"/>
        </w:rPr>
        <w:t>（三）</w:t>
      </w:r>
      <w:r>
        <w:rPr>
          <w:rFonts w:asciiTheme="minorEastAsia" w:hAnsiTheme="minorEastAsia" w:eastAsiaTheme="minorEastAsia"/>
          <w:bCs/>
          <w:color w:val="auto"/>
          <w:sz w:val="24"/>
          <w:highlight w:val="none"/>
        </w:rPr>
        <w:t>交货地点：</w:t>
      </w:r>
      <w:r>
        <w:rPr>
          <w:rFonts w:hint="eastAsia" w:asciiTheme="minorEastAsia" w:hAnsiTheme="minorEastAsia" w:eastAsiaTheme="minorEastAsia"/>
          <w:bCs/>
          <w:color w:val="auto"/>
          <w:sz w:val="24"/>
          <w:highlight w:val="none"/>
        </w:rPr>
        <w:t>甲方指定地点</w:t>
      </w:r>
    </w:p>
    <w:p>
      <w:pPr>
        <w:pStyle w:val="14"/>
        <w:adjustRightInd w:val="0"/>
        <w:snapToGrid w:val="0"/>
        <w:spacing w:line="44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、货款支付</w:t>
      </w:r>
    </w:p>
    <w:p>
      <w:pPr>
        <w:adjustRightInd w:val="0"/>
        <w:snapToGrid w:val="0"/>
        <w:spacing w:line="440" w:lineRule="exact"/>
        <w:ind w:firstLine="480" w:firstLineChars="200"/>
        <w:rPr>
          <w:rFonts w:asciiTheme="minorEastAsia" w:hAnsiTheme="minorEastAsia" w:eastAsiaTheme="minorEastAsia" w:cstheme="minorBidi"/>
          <w:bCs/>
          <w:color w:val="auto"/>
          <w:sz w:val="24"/>
          <w:highlight w:val="none"/>
        </w:rPr>
      </w:pPr>
      <w:r>
        <w:rPr>
          <w:rFonts w:hint="eastAsia" w:asciiTheme="minorEastAsia" w:hAnsiTheme="minorEastAsia" w:eastAsiaTheme="minorEastAsia" w:cstheme="minorBidi"/>
          <w:bCs/>
          <w:color w:val="auto"/>
          <w:sz w:val="24"/>
          <w:highlight w:val="none"/>
        </w:rPr>
        <w:t>合同签订后支付合同价款的40%</w:t>
      </w:r>
      <w:r>
        <w:rPr>
          <w:rFonts w:hint="eastAsia" w:asciiTheme="minorEastAsia" w:hAnsiTheme="minorEastAsia" w:eastAsiaTheme="minorEastAsia" w:cstheme="minorBidi"/>
          <w:bCs/>
          <w:color w:val="auto"/>
          <w:sz w:val="24"/>
          <w:highlight w:val="none"/>
          <w:lang w:val="en-US" w:eastAsia="zh-CN"/>
        </w:rPr>
        <w:t>作为预付款</w:t>
      </w:r>
      <w:r>
        <w:rPr>
          <w:rFonts w:hint="eastAsia" w:asciiTheme="minorEastAsia" w:hAnsiTheme="minorEastAsia" w:eastAsiaTheme="minorEastAsia" w:cstheme="minorBidi"/>
          <w:bCs/>
          <w:color w:val="auto"/>
          <w:sz w:val="24"/>
          <w:highlight w:val="none"/>
        </w:rPr>
        <w:t>；货物到货、安装调试完成并经最终验收通过后支付剩余全部款项。以上付款条件是甲方所在地的财政资金下达并收到乙方的正式发票且通过有关部门审核后7个工作日内支付。</w:t>
      </w:r>
    </w:p>
    <w:p>
      <w:pPr>
        <w:adjustRightInd w:val="0"/>
        <w:snapToGrid w:val="0"/>
        <w:spacing w:line="44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十二、税费</w:t>
      </w:r>
    </w:p>
    <w:p>
      <w:pPr>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本合同执行中相关的一切税费均由</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方负担。</w:t>
      </w:r>
    </w:p>
    <w:p>
      <w:pPr>
        <w:pStyle w:val="14"/>
        <w:adjustRightInd w:val="0"/>
        <w:snapToGrid w:val="0"/>
        <w:spacing w:line="440" w:lineRule="exact"/>
        <w:ind w:firstLine="482" w:firstLineChars="200"/>
        <w:rPr>
          <w:rFonts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三</w:t>
      </w:r>
      <w:r>
        <w:rPr>
          <w:rFonts w:asciiTheme="minorEastAsia" w:hAnsiTheme="minorEastAsia" w:eastAsiaTheme="minorEastAsia"/>
          <w:b/>
          <w:color w:val="auto"/>
          <w:sz w:val="24"/>
          <w:highlight w:val="none"/>
        </w:rPr>
        <w:t>、质量保证及售后服务</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乙方应按招标文件规定的货物性能、技术要求、质量标准向甲方提供未经使用的全新产品。</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乙方提供的货物在质</w:t>
      </w:r>
      <w:r>
        <w:rPr>
          <w:rFonts w:hint="eastAsia" w:asciiTheme="minorEastAsia" w:hAnsiTheme="minorEastAsia" w:eastAsiaTheme="minorEastAsia"/>
          <w:color w:val="auto"/>
          <w:sz w:val="24"/>
          <w:highlight w:val="none"/>
        </w:rPr>
        <w:t>保</w:t>
      </w:r>
      <w:r>
        <w:rPr>
          <w:rFonts w:asciiTheme="minorEastAsia" w:hAnsiTheme="minorEastAsia" w:eastAsiaTheme="minorEastAsia"/>
          <w:color w:val="auto"/>
          <w:sz w:val="24"/>
          <w:highlight w:val="none"/>
        </w:rPr>
        <w:t>期内因货物本身的质量问题发生故障，乙方应负责免费更换。对达不到技术要求者，根据实际情况，经双方协商，可按以下办法处理：</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更换：由乙方承担所发生的全部费用。</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贬值处理：由甲乙双方合议定价。</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退货处理：乙方应退还甲方支付的合同款，同时应承担该货物的直接费用（运输、保险、检验、货款利息及银行手续费等）。</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（三）本项目为交钥匙项目，乙方除需保证完成清单中的全部具体内容与要求的集成工作，其它为保障项目完成所需的所有产品、配件、工具、材料等全部由乙方负责。</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（四）乙方根据甲方</w:t>
      </w:r>
      <w:bookmarkStart w:id="148" w:name="OLE_LINK52"/>
      <w:bookmarkStart w:id="149" w:name="OLE_LINK51"/>
      <w:r>
        <w:rPr>
          <w:rFonts w:hint="eastAsia" w:asciiTheme="minorEastAsia" w:hAnsiTheme="minorEastAsia" w:eastAsiaTheme="minorEastAsia"/>
          <w:color w:val="auto"/>
          <w:sz w:val="24"/>
          <w:highlight w:val="none"/>
        </w:rPr>
        <w:t>最终确定的订货清单</w:t>
      </w:r>
      <w:bookmarkEnd w:id="148"/>
      <w:bookmarkEnd w:id="149"/>
      <w:r>
        <w:rPr>
          <w:rFonts w:hint="eastAsia" w:asciiTheme="minorEastAsia" w:hAnsiTheme="minorEastAsia" w:eastAsiaTheme="minorEastAsia"/>
          <w:color w:val="auto"/>
          <w:sz w:val="24"/>
          <w:highlight w:val="none"/>
        </w:rPr>
        <w:t>进行生产加工，床具的尺寸、材料、颜色、样式等在未经甲方书面同意不得擅自更改，相关的技术要求、试验方法、检验规则以及包装、贮运和标志等一系列相关的内容应按照乙方承诺的相关标准进行生产（此标准不得低于招标需求的执行标准）。如经发现上述违反相关承诺的，甲方有权终止合同、没收履约保证金并要求供应商赔偿采购人的全部损失。</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（五）安装要求：</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1.乙方应提供安装调试计划、对安装场地和环境的要求。</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2.乙方全权负责货物的包装、运输及安装，并对供货、安装全过程中的人身及财产安全承担全部责任。</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3.乙方必须指派具有专业资质的人员进行安装，安装标准须符合我国国家有关技术规范要求和技术标准的规定。</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4.在规定的时间内由于乙方的原因不能完成安装和调试，乙方应承担由此给采购人造成的损失。</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（六）售后服务</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1.质保期内维修人工费、零配件等一切费用均免费。质保期满后，故障维修仅收取零配件成本费。</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2.在质保期内因产品本身缺陷（非人为因素损坏）导致产品无法正常使用的或无法实现招标文件规定的使用效果的，乙方应免费进行维修，如维修后仍无法满足使用要求的，须无条件予以退换。</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3.乙方提供</w:t>
      </w:r>
      <w:r>
        <w:rPr>
          <w:rFonts w:asciiTheme="minorEastAsia" w:hAnsiTheme="minorEastAsia" w:eastAsiaTheme="minorEastAsia"/>
          <w:color w:val="auto"/>
          <w:sz w:val="24"/>
          <w:highlight w:val="none"/>
        </w:rPr>
        <w:t>7</w:t>
      </w:r>
      <w:r>
        <w:rPr>
          <w:rFonts w:hint="eastAsia" w:ascii="MS Mincho" w:hAnsi="MS Mincho" w:eastAsia="MS Mincho" w:cs="MS Mincho"/>
          <w:color w:val="auto"/>
          <w:sz w:val="24"/>
          <w:highlight w:val="none"/>
        </w:rPr>
        <w:t>✕</w:t>
      </w:r>
      <w:r>
        <w:rPr>
          <w:rFonts w:asciiTheme="minorEastAsia" w:hAnsiTheme="minorEastAsia" w:eastAsiaTheme="minorEastAsia"/>
          <w:color w:val="auto"/>
          <w:sz w:val="24"/>
          <w:highlight w:val="none"/>
        </w:rPr>
        <w:t>24</w:t>
      </w:r>
      <w:r>
        <w:rPr>
          <w:rFonts w:hint="eastAsia" w:asciiTheme="minorEastAsia" w:hAnsiTheme="minorEastAsia" w:eastAsiaTheme="minorEastAsia"/>
          <w:color w:val="auto"/>
          <w:sz w:val="24"/>
          <w:highlight w:val="none"/>
        </w:rPr>
        <w:t>技术服务，乙方接到报修电话后，</w:t>
      </w:r>
      <w:r>
        <w:rPr>
          <w:rFonts w:asciiTheme="minorEastAsia" w:hAnsiTheme="minorEastAsia" w:eastAsiaTheme="minorEastAsia"/>
          <w:color w:val="auto"/>
          <w:sz w:val="24"/>
          <w:highlight w:val="none"/>
        </w:rPr>
        <w:t>30</w:t>
      </w:r>
      <w:r>
        <w:rPr>
          <w:rFonts w:hint="eastAsia" w:asciiTheme="minorEastAsia" w:hAnsiTheme="minorEastAsia" w:eastAsiaTheme="minorEastAsia"/>
          <w:color w:val="auto"/>
          <w:sz w:val="24"/>
          <w:highlight w:val="none"/>
        </w:rPr>
        <w:t>分钟内响应，需要现场服务的，服务人员</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时内到达现场。</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（七）乙方违反上述质量保证及售后服务约定的，甲方有权按第十六条第二款、第三款处理。</w:t>
      </w:r>
    </w:p>
    <w:p>
      <w:pPr>
        <w:pStyle w:val="14"/>
        <w:adjustRightInd w:val="0"/>
        <w:snapToGrid w:val="0"/>
        <w:spacing w:line="44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四</w:t>
      </w:r>
      <w:r>
        <w:rPr>
          <w:rFonts w:asciiTheme="minorEastAsia" w:hAnsiTheme="minorEastAsia" w:eastAsiaTheme="minorEastAsia"/>
          <w:b/>
          <w:color w:val="auto"/>
          <w:sz w:val="24"/>
          <w:highlight w:val="none"/>
        </w:rPr>
        <w:t>、验收</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货物交付时乙方应提供产品的有效检验文件及供货清单，经甲方认可后，与合同的性能指标一起作为产品验收标准。甲方对产品验收合格后，双方共同签署验收合格证书。如验收中发现产品达不到验收标准或合同约定的性能指标，乙方必须更换相关零部件，甚至于更换产品。并且赔偿由此给甲方造成的损失。如乙方存在故意以次充好或提供产品实物与投标承诺不符的情形，甲方有权按第十六条第二款、第三款处理。</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甲方有权委托具有法定资质的检测单位按投标承诺对交付的产品进行检测鉴定，如检测合格，相关费用由甲方承担；如果检测结果不符合，甲方可视情节严重程度，要求乙方换货、整改、重新送检或要求乙方退货退款及终止合同，乙方所发生的损失由其自负，甲方有权按第十六条第二款、第三款处理。</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（三）验收合格条件：</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1.货物使用效果符合采购要求及国家相关标准；</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2.在进行测试和试用过程中发生的故障和发现的问题已被排除，并得到甲方的认可；</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3.所有合同中约定的材料、</w:t>
      </w:r>
      <w:bookmarkStart w:id="150" w:name="OLE_LINK53"/>
      <w:r>
        <w:rPr>
          <w:rFonts w:hint="eastAsia" w:asciiTheme="minorEastAsia" w:hAnsiTheme="minorEastAsia" w:eastAsiaTheme="minorEastAsia"/>
          <w:color w:val="auto"/>
          <w:sz w:val="24"/>
          <w:highlight w:val="none"/>
        </w:rPr>
        <w:t>配件和资料都已提交并得到接受</w:t>
      </w:r>
      <w:bookmarkEnd w:id="150"/>
      <w:r>
        <w:rPr>
          <w:rFonts w:hint="eastAsia" w:asciiTheme="minorEastAsia" w:hAnsiTheme="minorEastAsia" w:eastAsiaTheme="minorEastAsia"/>
          <w:color w:val="auto"/>
          <w:sz w:val="24"/>
          <w:highlight w:val="none"/>
        </w:rPr>
        <w:t>。</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验收</w:t>
      </w:r>
      <w:r>
        <w:rPr>
          <w:rFonts w:hint="eastAsia" w:asciiTheme="minorEastAsia" w:hAnsiTheme="minorEastAsia" w:eastAsiaTheme="minorEastAsia"/>
          <w:color w:val="auto"/>
          <w:sz w:val="24"/>
          <w:highlight w:val="none"/>
        </w:rPr>
        <w:t>流程要求：</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初步验收：货物到货时由甲乙双方共同进行初步验收，甲方依据招标文件上的技术规格要求和国家有关质量标准对货物的品牌、外观、规格、参数配置、数量、配件等进行现场验收，符合招标文件及投标文件技术要求的，给予签收，初步验收不合格的不予签收。</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2.最终验收：设备安装、调试完成后10个工作日内，甲方组织有关人员或专家对货物安装调试后的使用性能、使用状况、技术资料等进行验收，验收前乙方须向甲方提供有关全部资料。</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bookmarkStart w:id="151" w:name="OLE_LINK79"/>
      <w:bookmarkStart w:id="152" w:name="OLE_LINK62"/>
      <w:r>
        <w:rPr>
          <w:rFonts w:hint="eastAsia" w:asciiTheme="minorEastAsia" w:hAnsiTheme="minorEastAsia" w:eastAsiaTheme="minorEastAsia"/>
          <w:color w:val="auto"/>
          <w:sz w:val="24"/>
          <w:highlight w:val="none"/>
        </w:rPr>
        <w:t>专业验收（如需要）</w:t>
      </w:r>
      <w:bookmarkEnd w:id="151"/>
      <w:bookmarkEnd w:id="152"/>
      <w:r>
        <w:rPr>
          <w:rFonts w:hint="eastAsia" w:asciiTheme="minorEastAsia" w:hAnsiTheme="minorEastAsia" w:eastAsiaTheme="minorEastAsia"/>
          <w:color w:val="auto"/>
          <w:sz w:val="24"/>
          <w:highlight w:val="none"/>
        </w:rPr>
        <w:t>：甲方有权邀请国家认可的第三方检测机构参与初步验收及最终验收，并由其出具验收意见（如检测合格，第三方检测费用由甲方承担；如不合格，本次检测及整改后重新检测直至合格的全部费用均由乙方承担）。</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注：初步验收、最终验收、专业验收（如需要）可同时或分别进行，乙方有权参与全部验收过程。</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（五）甲方根据上述规定进行验收，并不能免除乙方根据合同质量保证条款规定所应承担的质量保证责任。</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（六）本项目验收需满足招标文件及投标文件要求外还应满足国家有关质量标准或行业规范（有新文件的按新文件执行）。</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（七）</w:t>
      </w:r>
      <w:r>
        <w:rPr>
          <w:rFonts w:hint="eastAsia" w:hAnsi="宋体" w:cs="宋体"/>
          <w:color w:val="auto"/>
          <w:kern w:val="0"/>
          <w:sz w:val="24"/>
          <w:szCs w:val="21"/>
          <w:highlight w:val="none"/>
        </w:rPr>
        <w:t>相关验收费用包含在合同总价中（如发生专业验收费用，按本条四“验收流程要求”3“</w:t>
      </w:r>
      <w:r>
        <w:rPr>
          <w:rFonts w:hint="eastAsia" w:asciiTheme="minorEastAsia" w:hAnsiTheme="minorEastAsia" w:eastAsiaTheme="minorEastAsia"/>
          <w:color w:val="auto"/>
          <w:sz w:val="24"/>
          <w:highlight w:val="none"/>
        </w:rPr>
        <w:t>专业验收（如需要）”</w:t>
      </w:r>
      <w:r>
        <w:rPr>
          <w:rFonts w:hint="eastAsia" w:hAnsi="宋体" w:cs="宋体"/>
          <w:color w:val="auto"/>
          <w:kern w:val="0"/>
          <w:sz w:val="24"/>
          <w:szCs w:val="21"/>
          <w:highlight w:val="none"/>
        </w:rPr>
        <w:t>规定执行），甲方不再另行支付。</w:t>
      </w:r>
    </w:p>
    <w:p>
      <w:pPr>
        <w:pStyle w:val="14"/>
        <w:adjustRightInd w:val="0"/>
        <w:snapToGrid w:val="0"/>
        <w:spacing w:line="44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五</w:t>
      </w:r>
      <w:r>
        <w:rPr>
          <w:rFonts w:asciiTheme="minorEastAsia" w:hAnsiTheme="minorEastAsia" w:eastAsiaTheme="minorEastAsia"/>
          <w:b/>
          <w:color w:val="auto"/>
          <w:sz w:val="24"/>
          <w:highlight w:val="none"/>
        </w:rPr>
        <w:t>、货物包装、发运及运输</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乙方应在货物发运前对其进行满足运输距离、防潮、防震、防锈和防破损装卸等要求包装，以保证货物安全运达甲方指定地点。</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使用说明书、质量检验证明书、随配附件和工具以及清单一并附于货物内。</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w:t>
      </w:r>
      <w:r>
        <w:rPr>
          <w:rFonts w:asciiTheme="minorEastAsia" w:hAnsiTheme="minorEastAsia" w:eastAsiaTheme="minorEastAsia"/>
          <w:color w:val="auto"/>
          <w:sz w:val="24"/>
          <w:highlight w:val="none"/>
        </w:rPr>
        <w:t>乙方在货物发运手续办理完毕后24小时内或货到甲方48小时前通知甲方，以准备接货。</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货物在交付甲方前发生的风险均由乙方负责。</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w:t>
      </w:r>
      <w:r>
        <w:rPr>
          <w:rFonts w:asciiTheme="minorEastAsia" w:hAnsiTheme="minorEastAsia" w:eastAsiaTheme="minorEastAsia"/>
          <w:color w:val="auto"/>
          <w:sz w:val="24"/>
          <w:highlight w:val="none"/>
        </w:rPr>
        <w:t>货物在规定的交付期限内由乙方送达甲方指定的地点视为交付，乙方同时需通知甲方货物已送达。</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（六）乙方运送的货物涉及商品包装和快递包装的，参考《商品包装政府采购需求标准（试行）》、《快递包装政府采购需求标准（试行）》（财办库［2020］123号）。</w:t>
      </w:r>
    </w:p>
    <w:p>
      <w:pPr>
        <w:pStyle w:val="14"/>
        <w:adjustRightInd w:val="0"/>
        <w:snapToGrid w:val="0"/>
        <w:spacing w:line="44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六</w:t>
      </w:r>
      <w:r>
        <w:rPr>
          <w:rFonts w:asciiTheme="minorEastAsia" w:hAnsiTheme="minorEastAsia" w:eastAsiaTheme="minorEastAsia"/>
          <w:b/>
          <w:color w:val="auto"/>
          <w:sz w:val="24"/>
          <w:highlight w:val="none"/>
        </w:rPr>
        <w:t>、违约责任</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甲方无正当理由拒收货物的，甲方向乙方偿付拒收货款总值的</w:t>
      </w:r>
      <w:r>
        <w:rPr>
          <w:rFonts w:asciiTheme="minorEastAsia" w:hAnsiTheme="minorEastAsia" w:eastAsiaTheme="minorEastAsia"/>
          <w:color w:val="auto"/>
          <w:sz w:val="24"/>
          <w:highlight w:val="none"/>
          <w:u w:val="single"/>
        </w:rPr>
        <w:t>百分之五</w:t>
      </w:r>
      <w:r>
        <w:rPr>
          <w:rFonts w:asciiTheme="minorEastAsia" w:hAnsiTheme="minorEastAsia" w:eastAsiaTheme="minorEastAsia"/>
          <w:color w:val="auto"/>
          <w:sz w:val="24"/>
          <w:highlight w:val="none"/>
        </w:rPr>
        <w:t>违约金。</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乙方逾期交付货物的，乙方应按逾期交货总额每日</w:t>
      </w:r>
      <w:r>
        <w:rPr>
          <w:rFonts w:asciiTheme="minorEastAsia" w:hAnsiTheme="minorEastAsia" w:eastAsiaTheme="minorEastAsia"/>
          <w:color w:val="auto"/>
          <w:sz w:val="24"/>
          <w:highlight w:val="none"/>
          <w:u w:val="single"/>
        </w:rPr>
        <w:t>千分之六</w:t>
      </w:r>
      <w:r>
        <w:rPr>
          <w:rFonts w:asciiTheme="minorEastAsia" w:hAnsiTheme="minorEastAsia" w:eastAsiaTheme="minorEastAsia"/>
          <w:color w:val="auto"/>
          <w:sz w:val="24"/>
          <w:highlight w:val="none"/>
        </w:rPr>
        <w:t>向甲方支付违约金，由甲方从待付货款中扣除。逾期超过约定日期</w:t>
      </w:r>
      <w:r>
        <w:rPr>
          <w:rFonts w:asciiTheme="minorEastAsia" w:hAnsiTheme="minorEastAsia" w:eastAsiaTheme="minorEastAsia"/>
          <w:color w:val="auto"/>
          <w:sz w:val="24"/>
          <w:highlight w:val="none"/>
          <w:u w:val="single"/>
        </w:rPr>
        <w:t>10</w:t>
      </w:r>
      <w:r>
        <w:rPr>
          <w:rFonts w:asciiTheme="minorEastAsia" w:hAnsiTheme="minorEastAsia" w:eastAsiaTheme="minorEastAsia"/>
          <w:color w:val="auto"/>
          <w:sz w:val="24"/>
          <w:highlight w:val="none"/>
        </w:rPr>
        <w:t>个工作日不能交货的，甲方可解除本合同。乙方因逾期交货或未按投标承诺提供质保、售后等服务或因其他违约行为导致甲方解除合同的，乙方应退回甲方已支付的全部货款并向甲方支付合同总值</w:t>
      </w:r>
      <w:r>
        <w:rPr>
          <w:rFonts w:asciiTheme="minorEastAsia" w:hAnsiTheme="minorEastAsia" w:eastAsiaTheme="minorEastAsia"/>
          <w:color w:val="auto"/>
          <w:sz w:val="24"/>
          <w:highlight w:val="none"/>
          <w:u w:val="single"/>
        </w:rPr>
        <w:t>5%</w:t>
      </w:r>
      <w:r>
        <w:rPr>
          <w:rFonts w:asciiTheme="minorEastAsia" w:hAnsiTheme="minorEastAsia" w:eastAsiaTheme="minorEastAsia"/>
          <w:color w:val="auto"/>
          <w:sz w:val="24"/>
          <w:highlight w:val="none"/>
        </w:rPr>
        <w:t xml:space="preserve">的违约金，如造成甲方损失超过违约金的，超出部分由乙方继续承担赔偿责任。 </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w:t>
      </w:r>
      <w:r>
        <w:rPr>
          <w:rFonts w:asciiTheme="minorEastAsia" w:hAnsiTheme="minorEastAsia" w:eastAsiaTheme="minorEastAsia"/>
          <w:color w:val="auto"/>
          <w:sz w:val="24"/>
          <w:highlight w:val="none"/>
        </w:rPr>
        <w:t>乙方所交的货物品种、型号、规格、技术参数、质量不符合合同约定及招标文件规定标准的，甲方有权拒收该货物，乙方愿意更换货物但逾期交货的，按乙方逾期交货处理。乙方拒绝更换货物的，甲方有权解除合同</w:t>
      </w:r>
      <w:r>
        <w:rPr>
          <w:rFonts w:hint="eastAsia" w:asciiTheme="minorEastAsia" w:hAnsiTheme="minorEastAsia" w:eastAsiaTheme="minorEastAsia"/>
          <w:color w:val="auto"/>
          <w:sz w:val="24"/>
          <w:highlight w:val="none"/>
        </w:rPr>
        <w:t>并按照第二款追究乙方违约责任。</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（四）若发生纠纷，由违约方赔偿守约方因纠纷所支付的费用（包括但不限于律师费、差旅费、诉讼费、保全费、鉴定费、评估费等）。</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（五）乙方提供产品如涉及国家规定强制认证的，须在甲方对上述货物验收时提供相关证书证明资料，否则按验收不通过处理，并对乙方处以合同总金额10%的违约金。</w:t>
      </w:r>
    </w:p>
    <w:p>
      <w:pPr>
        <w:pStyle w:val="14"/>
        <w:adjustRightInd w:val="0"/>
        <w:snapToGrid w:val="0"/>
        <w:spacing w:line="44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、不可抗力事件处理</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在合同有效期内，任何一方因不可抗力事件导致不能履行合同，则合同履行期可延长，其延长期与不可抗力影响期相同。</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不可抗力事件发生后，应立即通知对方，并寄送有关权威机构出具的证明。</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w:t>
      </w:r>
      <w:r>
        <w:rPr>
          <w:rFonts w:asciiTheme="minorEastAsia" w:hAnsiTheme="minorEastAsia" w:eastAsiaTheme="minorEastAsia"/>
          <w:color w:val="auto"/>
          <w:sz w:val="24"/>
          <w:highlight w:val="none"/>
        </w:rPr>
        <w:t>不可抗力事件延续120天以上，双方应通过友好协商，确定是否继续履行合同。</w:t>
      </w:r>
    </w:p>
    <w:p>
      <w:pPr>
        <w:pStyle w:val="14"/>
        <w:adjustRightInd w:val="0"/>
        <w:snapToGrid w:val="0"/>
        <w:spacing w:line="44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八</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解决争议的方法</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如双方在履行合同时发生纠纷，应协商解决；协商不成时，可提请政府采购管理部门调解；调解不成的通过</w:t>
      </w:r>
      <w:r>
        <w:rPr>
          <w:rFonts w:hint="eastAsia" w:asciiTheme="minorEastAsia" w:hAnsiTheme="minorEastAsia" w:eastAsiaTheme="minorEastAsia"/>
          <w:color w:val="auto"/>
          <w:sz w:val="24"/>
          <w:highlight w:val="none"/>
        </w:rPr>
        <w:t>以下第</w:t>
      </w:r>
      <w:r>
        <w:rPr>
          <w:rFonts w:hint="eastAsia" w:asciiTheme="minorEastAsia" w:hAnsiTheme="minorEastAsia" w:eastAsiaTheme="minorEastAsia"/>
          <w:color w:val="auto"/>
          <w:sz w:val="24"/>
          <w:highlight w:val="none"/>
          <w:u w:val="single"/>
        </w:rPr>
        <w:t>（ 二 ）</w:t>
      </w:r>
      <w:r>
        <w:rPr>
          <w:rFonts w:hint="eastAsia" w:asciiTheme="minorEastAsia" w:hAnsiTheme="minorEastAsia" w:eastAsiaTheme="minorEastAsia"/>
          <w:color w:val="auto"/>
          <w:sz w:val="24"/>
          <w:highlight w:val="none"/>
        </w:rPr>
        <w:t>方式解决</w:t>
      </w:r>
      <w:r>
        <w:rPr>
          <w:rFonts w:asciiTheme="minorEastAsia" w:hAnsiTheme="minorEastAsia" w:eastAsiaTheme="minorEastAsia"/>
          <w:color w:val="auto"/>
          <w:sz w:val="24"/>
          <w:highlight w:val="none"/>
        </w:rPr>
        <w:t>：</w:t>
      </w:r>
    </w:p>
    <w:p>
      <w:pPr>
        <w:widowControl/>
        <w:adjustRightInd w:val="0"/>
        <w:snapToGrid w:val="0"/>
        <w:spacing w:line="440" w:lineRule="exact"/>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（一）</w:t>
      </w:r>
      <w:r>
        <w:rPr>
          <w:rFonts w:cs="宋体" w:asciiTheme="minorEastAsia" w:hAnsiTheme="minorEastAsia" w:eastAsiaTheme="minorEastAsia"/>
          <w:color w:val="auto"/>
          <w:kern w:val="0"/>
          <w:sz w:val="24"/>
          <w:highlight w:val="none"/>
        </w:rPr>
        <w:t>提交</w:t>
      </w:r>
      <w:r>
        <w:rPr>
          <w:rFonts w:asciiTheme="minorEastAsia" w:hAnsiTheme="minorEastAsia" w:eastAsiaTheme="minorEastAsia"/>
          <w:color w:val="auto"/>
          <w:sz w:val="24"/>
          <w:highlight w:val="none"/>
          <w:u w:val="single"/>
        </w:rPr>
        <w:t>台州</w:t>
      </w:r>
      <w:r>
        <w:rPr>
          <w:rFonts w:cs="宋体" w:asciiTheme="minorEastAsia" w:hAnsiTheme="minorEastAsia" w:eastAsiaTheme="minorEastAsia"/>
          <w:color w:val="auto"/>
          <w:kern w:val="0"/>
          <w:sz w:val="24"/>
          <w:highlight w:val="none"/>
        </w:rPr>
        <w:t>仲裁委员会仲裁。</w:t>
      </w:r>
    </w:p>
    <w:p>
      <w:pPr>
        <w:widowControl/>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（二）</w:t>
      </w:r>
      <w:r>
        <w:rPr>
          <w:rFonts w:cs="宋体" w:asciiTheme="minorEastAsia" w:hAnsiTheme="minorEastAsia" w:eastAsiaTheme="minorEastAsia"/>
          <w:color w:val="auto"/>
          <w:kern w:val="0"/>
          <w:sz w:val="24"/>
          <w:highlight w:val="none"/>
        </w:rPr>
        <w:t>依法向</w:t>
      </w:r>
      <w:r>
        <w:rPr>
          <w:rFonts w:cs="宋体" w:asciiTheme="minorEastAsia" w:hAnsiTheme="minorEastAsia" w:eastAsiaTheme="minorEastAsia"/>
          <w:color w:val="auto"/>
          <w:kern w:val="0"/>
          <w:sz w:val="24"/>
          <w:highlight w:val="none"/>
          <w:u w:val="single"/>
        </w:rPr>
        <w:t>甲方所在地</w:t>
      </w:r>
      <w:r>
        <w:rPr>
          <w:rFonts w:cs="宋体" w:asciiTheme="minorEastAsia" w:hAnsiTheme="minorEastAsia" w:eastAsiaTheme="minorEastAsia"/>
          <w:color w:val="auto"/>
          <w:kern w:val="0"/>
          <w:sz w:val="24"/>
          <w:highlight w:val="none"/>
        </w:rPr>
        <w:t xml:space="preserve">人民法院提起诉讼。 </w:t>
      </w:r>
    </w:p>
    <w:p>
      <w:pPr>
        <w:pStyle w:val="14"/>
        <w:tabs>
          <w:tab w:val="left" w:pos="5790"/>
        </w:tabs>
        <w:adjustRightInd w:val="0"/>
        <w:snapToGrid w:val="0"/>
        <w:spacing w:line="44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九</w:t>
      </w:r>
      <w:r>
        <w:rPr>
          <w:rFonts w:asciiTheme="minorEastAsia" w:hAnsiTheme="minorEastAsia" w:eastAsiaTheme="minorEastAsia"/>
          <w:b/>
          <w:color w:val="auto"/>
          <w:sz w:val="24"/>
          <w:highlight w:val="none"/>
        </w:rPr>
        <w:t>、合同生效及其它</w:t>
      </w:r>
      <w:r>
        <w:rPr>
          <w:rFonts w:asciiTheme="minorEastAsia" w:hAnsiTheme="minorEastAsia" w:eastAsiaTheme="minorEastAsia"/>
          <w:b/>
          <w:color w:val="auto"/>
          <w:sz w:val="24"/>
          <w:highlight w:val="none"/>
        </w:rPr>
        <w:tab/>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合同经双方法定代表人或授权代表</w:t>
      </w:r>
      <w:r>
        <w:rPr>
          <w:rFonts w:hint="eastAsia" w:asciiTheme="minorEastAsia" w:hAnsiTheme="minorEastAsia" w:eastAsiaTheme="minorEastAsia"/>
          <w:color w:val="auto"/>
          <w:sz w:val="24"/>
          <w:highlight w:val="none"/>
        </w:rPr>
        <w:t>签字</w:t>
      </w:r>
      <w:r>
        <w:rPr>
          <w:rFonts w:asciiTheme="minorEastAsia" w:hAnsiTheme="minorEastAsia" w:eastAsiaTheme="minorEastAsia"/>
          <w:color w:val="auto"/>
          <w:sz w:val="24"/>
          <w:highlight w:val="none"/>
        </w:rPr>
        <w:t>并加盖单位公章、骑缝章后生效。</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本合同未尽事宜，遵照《</w:t>
      </w:r>
      <w:r>
        <w:rPr>
          <w:rFonts w:hint="eastAsia" w:asciiTheme="minorEastAsia" w:hAnsiTheme="minorEastAsia" w:eastAsiaTheme="minorEastAsia"/>
          <w:color w:val="auto"/>
          <w:sz w:val="24"/>
          <w:highlight w:val="none"/>
        </w:rPr>
        <w:t>中华人民共和国民法典</w:t>
      </w:r>
      <w:r>
        <w:rPr>
          <w:rFonts w:asciiTheme="minorEastAsia" w:hAnsiTheme="minorEastAsia" w:eastAsiaTheme="minorEastAsia"/>
          <w:color w:val="auto"/>
          <w:sz w:val="24"/>
          <w:highlight w:val="none"/>
        </w:rPr>
        <w:t>》有关条文执行。</w:t>
      </w:r>
    </w:p>
    <w:p>
      <w:pPr>
        <w:pStyle w:val="14"/>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（三）本合同一式陆份，甲、乙双方各执叁份。本项目未尽事宜以招标文件、投标文件及澄清文件等为准。</w:t>
      </w:r>
    </w:p>
    <w:p>
      <w:pPr>
        <w:widowControl/>
        <w:jc w:val="left"/>
        <w:rPr>
          <w:rFonts w:asciiTheme="minorEastAsia" w:hAnsiTheme="minorEastAsia" w:eastAsiaTheme="minorEastAsia"/>
          <w:color w:val="auto"/>
          <w:sz w:val="24"/>
          <w:highlight w:val="none"/>
        </w:rPr>
      </w:pPr>
    </w:p>
    <w:p>
      <w:pPr>
        <w:widowControl/>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（以下无正文）</w:t>
      </w:r>
      <w:r>
        <w:rPr>
          <w:rFonts w:asciiTheme="minorEastAsia" w:hAnsiTheme="minorEastAsia" w:eastAsiaTheme="minorEastAsia"/>
          <w:color w:val="auto"/>
          <w:sz w:val="24"/>
          <w:highlight w:val="none"/>
        </w:rPr>
        <w:br w:type="page"/>
      </w:r>
    </w:p>
    <w:p>
      <w:pPr>
        <w:adjustRightInd w:val="0"/>
        <w:snapToGrid w:val="0"/>
        <w:spacing w:before="156" w:beforeLines="50"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甲方（公章）                                     乙方（公章）</w:t>
      </w:r>
    </w:p>
    <w:p>
      <w:pPr>
        <w:adjustRightInd w:val="0"/>
        <w:snapToGrid w:val="0"/>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                                     法定代表人：</w:t>
      </w:r>
    </w:p>
    <w:p>
      <w:pPr>
        <w:adjustRightInd w:val="0"/>
        <w:snapToGrid w:val="0"/>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委托代理人：                                     委托代理人：</w:t>
      </w:r>
    </w:p>
    <w:p>
      <w:pPr>
        <w:adjustRightInd w:val="0"/>
        <w:snapToGrid w:val="0"/>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联系电话：                                       联系电话：</w:t>
      </w:r>
    </w:p>
    <w:p>
      <w:pPr>
        <w:adjustRightInd w:val="0"/>
        <w:snapToGrid w:val="0"/>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                                       开户银行：</w:t>
      </w:r>
    </w:p>
    <w:p>
      <w:pPr>
        <w:adjustRightInd w:val="0"/>
        <w:snapToGrid w:val="0"/>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账号：                                           账号：</w:t>
      </w:r>
    </w:p>
    <w:p>
      <w:pPr>
        <w:adjustRightInd w:val="0"/>
        <w:snapToGrid w:val="0"/>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地址及邮编：                                     地址及邮编：</w:t>
      </w:r>
    </w:p>
    <w:p>
      <w:pPr>
        <w:adjustRightInd w:val="0"/>
        <w:snapToGrid w:val="0"/>
        <w:spacing w:line="440" w:lineRule="exact"/>
        <w:jc w:val="right"/>
        <w:rPr>
          <w:rFonts w:asciiTheme="minorEastAsia" w:hAnsiTheme="minorEastAsia" w:eastAsiaTheme="minorEastAsia"/>
          <w:color w:val="auto"/>
          <w:sz w:val="24"/>
          <w:highlight w:val="none"/>
        </w:rPr>
      </w:pPr>
    </w:p>
    <w:p>
      <w:pPr>
        <w:adjustRightInd w:val="0"/>
        <w:snapToGrid w:val="0"/>
        <w:spacing w:line="440" w:lineRule="exact"/>
        <w:jc w:val="righ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签订时间：    年   月    日</w:t>
      </w:r>
    </w:p>
    <w:p>
      <w:pPr>
        <w:spacing w:line="360" w:lineRule="auto"/>
        <w:ind w:firstLine="643" w:firstLineChars="200"/>
        <w:jc w:val="center"/>
        <w:rPr>
          <w:rFonts w:ascii="仿宋" w:hAnsi="仿宋" w:eastAsia="仿宋" w:cs="宋体"/>
          <w:b/>
          <w:bCs/>
          <w:color w:val="auto"/>
          <w:sz w:val="32"/>
          <w:szCs w:val="32"/>
          <w:highlight w:val="none"/>
        </w:rPr>
      </w:pPr>
    </w:p>
    <w:p>
      <w:pPr>
        <w:widowControl/>
        <w:jc w:val="left"/>
        <w:rPr>
          <w:rFonts w:ascii="仿宋" w:hAnsi="仿宋" w:eastAsia="仿宋" w:cs="宋体"/>
          <w:b/>
          <w:bCs/>
          <w:color w:val="auto"/>
          <w:sz w:val="32"/>
          <w:szCs w:val="32"/>
          <w:highlight w:val="none"/>
        </w:rPr>
      </w:pPr>
      <w:r>
        <w:rPr>
          <w:rFonts w:ascii="仿宋" w:hAnsi="仿宋" w:eastAsia="仿宋" w:cs="宋体"/>
          <w:b/>
          <w:bCs/>
          <w:color w:val="auto"/>
          <w:sz w:val="32"/>
          <w:szCs w:val="32"/>
          <w:highlight w:val="none"/>
        </w:rPr>
        <w:br w:type="page"/>
      </w:r>
    </w:p>
    <w:p>
      <w:pPr>
        <w:spacing w:line="360" w:lineRule="auto"/>
        <w:jc w:val="center"/>
        <w:outlineLvl w:val="0"/>
        <w:rPr>
          <w:rFonts w:asciiTheme="minorEastAsia" w:hAnsiTheme="minorEastAsia" w:eastAsiaTheme="minorEastAsia"/>
          <w:b/>
          <w:color w:val="auto"/>
          <w:sz w:val="36"/>
          <w:szCs w:val="36"/>
          <w:highlight w:val="none"/>
        </w:rPr>
      </w:pPr>
      <w:bookmarkStart w:id="153" w:name="_Toc21935"/>
      <w:r>
        <w:rPr>
          <w:rFonts w:hint="eastAsia" w:asciiTheme="minorEastAsia" w:hAnsiTheme="minorEastAsia" w:eastAsiaTheme="minorEastAsia"/>
          <w:b/>
          <w:color w:val="auto"/>
          <w:sz w:val="36"/>
          <w:szCs w:val="36"/>
          <w:highlight w:val="none"/>
        </w:rPr>
        <w:t>第六章 投标文件格式</w:t>
      </w:r>
      <w:bookmarkEnd w:id="153"/>
    </w:p>
    <w:p>
      <w:pPr>
        <w:spacing w:line="312" w:lineRule="auto"/>
        <w:rPr>
          <w:rFonts w:ascii="宋体" w:hAnsi="宋体"/>
          <w:b/>
          <w:color w:val="auto"/>
          <w:sz w:val="28"/>
          <w:highlight w:val="none"/>
        </w:rPr>
      </w:pPr>
      <w:r>
        <w:rPr>
          <w:rFonts w:hint="eastAsia" w:ascii="宋体" w:hAnsi="宋体"/>
          <w:b/>
          <w:color w:val="auto"/>
          <w:sz w:val="28"/>
          <w:highlight w:val="none"/>
        </w:rPr>
        <w:t>附件1</w:t>
      </w:r>
    </w:p>
    <w:p>
      <w:pPr>
        <w:adjustRightInd w:val="0"/>
        <w:snapToGrid w:val="0"/>
        <w:spacing w:line="312" w:lineRule="auto"/>
        <w:ind w:right="480"/>
        <w:jc w:val="center"/>
        <w:rPr>
          <w:rFonts w:ascii="宋体" w:hAnsi="宋体"/>
          <w:b/>
          <w:color w:val="auto"/>
          <w:kern w:val="0"/>
          <w:sz w:val="32"/>
          <w:szCs w:val="32"/>
          <w:highlight w:val="none"/>
          <w:lang w:val="zh-CN"/>
        </w:rPr>
      </w:pPr>
      <w:bookmarkStart w:id="154" w:name="_Toc30723_WPSOffice_Level1"/>
      <w:bookmarkStart w:id="155" w:name="_Toc31708_WPSOffice_Level1"/>
      <w:r>
        <w:rPr>
          <w:rFonts w:hint="eastAsia" w:ascii="宋体" w:hAnsi="宋体"/>
          <w:b/>
          <w:color w:val="auto"/>
          <w:kern w:val="0"/>
          <w:sz w:val="32"/>
          <w:szCs w:val="32"/>
          <w:highlight w:val="none"/>
          <w:lang w:val="zh-CN"/>
        </w:rPr>
        <w:t>投标声明书</w:t>
      </w:r>
      <w:bookmarkEnd w:id="154"/>
      <w:bookmarkEnd w:id="155"/>
    </w:p>
    <w:p>
      <w:pPr>
        <w:spacing w:after="312" w:afterLines="100" w:line="360" w:lineRule="auto"/>
        <w:jc w:val="left"/>
        <w:rPr>
          <w:rFonts w:ascii="宋体" w:hAnsi="宋体" w:cs="仿宋_GB2312"/>
          <w:bCs/>
          <w:color w:val="auto"/>
          <w:kern w:val="0"/>
          <w:sz w:val="24"/>
          <w:highlight w:val="none"/>
          <w:lang w:val="zh-CN"/>
        </w:rPr>
      </w:pPr>
      <w:bookmarkStart w:id="156" w:name="OLE_LINK39"/>
      <w:r>
        <w:rPr>
          <w:rFonts w:hint="eastAsia" w:ascii="宋体" w:hAnsi="宋体" w:cs="仿宋_GB2312"/>
          <w:bCs/>
          <w:color w:val="auto"/>
          <w:kern w:val="0"/>
          <w:sz w:val="24"/>
          <w:highlight w:val="none"/>
          <w:lang w:val="zh-CN"/>
        </w:rPr>
        <w:t>致：</w:t>
      </w:r>
      <w:r>
        <w:rPr>
          <w:rFonts w:hint="eastAsia" w:ascii="宋体" w:hAnsi="宋体" w:cs="宋体"/>
          <w:color w:val="auto"/>
          <w:sz w:val="24"/>
          <w:highlight w:val="none"/>
          <w:u w:val="single"/>
        </w:rPr>
        <w:t xml:space="preserve"> 台州市椒江区人民政府白云街道办事处  </w:t>
      </w:r>
      <w:r>
        <w:rPr>
          <w:rFonts w:hint="eastAsia" w:ascii="宋体" w:hAnsi="宋体" w:cs="仿宋_GB2312"/>
          <w:bCs/>
          <w:color w:val="auto"/>
          <w:kern w:val="0"/>
          <w:sz w:val="24"/>
          <w:highlight w:val="none"/>
          <w:lang w:val="zh-CN"/>
        </w:rPr>
        <w:t>（采购人）</w:t>
      </w:r>
    </w:p>
    <w:bookmarkEnd w:id="156"/>
    <w:p>
      <w:pPr>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（投标供应商名称）</w:t>
      </w:r>
      <w:r>
        <w:rPr>
          <w:rFonts w:hint="eastAsia" w:ascii="宋体" w:hAnsi="宋体" w:cs="宋体"/>
          <w:color w:val="auto"/>
          <w:kern w:val="0"/>
          <w:sz w:val="24"/>
          <w:highlight w:val="none"/>
        </w:rPr>
        <w:t>系中华人民共和国合法企业，经营地址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投标供应商名称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台州市白云小学改扩建工程（综合楼设备设施）</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ZYZFCG〔2025〕009</w:t>
      </w:r>
      <w:r>
        <w:rPr>
          <w:rFonts w:hint="eastAsia" w:ascii="宋体" w:hAnsi="宋体" w:cs="宋体"/>
          <w:color w:val="auto"/>
          <w:kern w:val="0"/>
          <w:sz w:val="24"/>
          <w:highlight w:val="none"/>
        </w:rPr>
        <w:t>）的投标，为此，我公司就本次投标有关事项郑重声明如下：</w:t>
      </w:r>
    </w:p>
    <w:p>
      <w:pPr>
        <w:numPr>
          <w:ilvl w:val="0"/>
          <w:numId w:val="7"/>
        </w:numPr>
        <w:snapToGrid w:val="0"/>
        <w:spacing w:line="440" w:lineRule="exact"/>
        <w:ind w:left="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w:t>
      </w:r>
      <w:r>
        <w:rPr>
          <w:rFonts w:hint="eastAsia" w:ascii="宋体" w:hAnsi="宋体" w:cs="宋体"/>
          <w:color w:val="auto"/>
          <w:sz w:val="24"/>
          <w:highlight w:val="none"/>
        </w:rPr>
        <w:t>未被“信用中国”（www.creditchina.gov.cn)、</w:t>
      </w:r>
      <w:r>
        <w:rPr>
          <w:rFonts w:hint="eastAsia" w:ascii="宋体" w:hAnsi="宋体" w:cs="宋体"/>
          <w:color w:val="auto"/>
          <w:kern w:val="0"/>
          <w:sz w:val="24"/>
          <w:highlight w:val="none"/>
        </w:rPr>
        <w:t>中国政府</w:t>
      </w:r>
      <w:r>
        <w:rPr>
          <w:rFonts w:hint="eastAsia" w:ascii="宋体" w:hAnsi="宋体" w:cs="宋体"/>
          <w:color w:val="auto"/>
          <w:sz w:val="24"/>
          <w:highlight w:val="none"/>
        </w:rPr>
        <w:t>采购网（www.ccgp.gov.cn）列入失信被执行人、重大税收违法失信主体、政府采购严重违法失信行为记录名单</w:t>
      </w:r>
      <w:r>
        <w:rPr>
          <w:rFonts w:hint="eastAsia" w:ascii="宋体" w:hAnsi="宋体" w:cs="宋体"/>
          <w:color w:val="auto"/>
          <w:kern w:val="0"/>
          <w:sz w:val="24"/>
          <w:highlight w:val="none"/>
        </w:rPr>
        <w:t>，以及不存在其他不符合《中华人民共和国政府采购法》第二十二条规定的条件。【说明：投标供应商在截止投标时间近三年以来，如有上述所列情形，但限制期届满的，可按实陈述，并提供相应证明文件。】</w:t>
      </w:r>
    </w:p>
    <w:p>
      <w:pPr>
        <w:numPr>
          <w:ilvl w:val="0"/>
          <w:numId w:val="7"/>
        </w:numPr>
        <w:snapToGrid w:val="0"/>
        <w:spacing w:line="440" w:lineRule="exact"/>
        <w:ind w:left="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我公司在参与投标前已详细审查了招标文件和所有相关资料，我方完全知悉并认为此招标文件没有倾向性，也没有存在排斥潜在投标供应商的内容，我方对招标文件的所有内容没有任何异议，不申请澄清和质疑。</w:t>
      </w:r>
    </w:p>
    <w:p>
      <w:pPr>
        <w:numPr>
          <w:ilvl w:val="0"/>
          <w:numId w:val="7"/>
        </w:numPr>
        <w:snapToGrid w:val="0"/>
        <w:spacing w:line="440" w:lineRule="exact"/>
        <w:ind w:left="0" w:firstLine="480" w:firstLineChars="200"/>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pPr>
        <w:pStyle w:val="31"/>
        <w:numPr>
          <w:ilvl w:val="0"/>
          <w:numId w:val="7"/>
        </w:numPr>
        <w:snapToGrid w:val="0"/>
        <w:spacing w:line="440" w:lineRule="exact"/>
        <w:ind w:left="0" w:firstLine="480"/>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pStyle w:val="31"/>
        <w:numPr>
          <w:ilvl w:val="0"/>
          <w:numId w:val="7"/>
        </w:numPr>
        <w:snapToGrid w:val="0"/>
        <w:spacing w:line="440" w:lineRule="exact"/>
        <w:ind w:left="0" w:firstLine="480"/>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pStyle w:val="31"/>
        <w:numPr>
          <w:ilvl w:val="0"/>
          <w:numId w:val="7"/>
        </w:numPr>
        <w:snapToGrid w:val="0"/>
        <w:spacing w:line="440" w:lineRule="exact"/>
        <w:ind w:left="0" w:firstLine="480"/>
        <w:rPr>
          <w:rFonts w:ascii="宋体" w:hAnsi="宋体"/>
          <w:color w:val="auto"/>
          <w:sz w:val="24"/>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adjustRightInd w:val="0"/>
        <w:snapToGrid w:val="0"/>
        <w:spacing w:line="440" w:lineRule="exact"/>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投标供应商名称(电子印章)：</w:t>
      </w:r>
    </w:p>
    <w:p>
      <w:pPr>
        <w:adjustRightInd w:val="0"/>
        <w:snapToGrid w:val="0"/>
        <w:spacing w:line="440" w:lineRule="exact"/>
        <w:ind w:firstLine="2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法定代表人或授权委托人签字或电子印章：</w:t>
      </w:r>
    </w:p>
    <w:p>
      <w:pPr>
        <w:adjustRightInd w:val="0"/>
        <w:snapToGrid w:val="0"/>
        <w:spacing w:line="440" w:lineRule="exact"/>
        <w:ind w:firstLine="2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pPr>
        <w:spacing w:line="360" w:lineRule="auto"/>
        <w:ind w:firstLine="321" w:firstLineChars="100"/>
        <w:jc w:val="center"/>
        <w:rPr>
          <w:rFonts w:hAnsi="宋体"/>
          <w:b/>
          <w:color w:val="auto"/>
          <w:sz w:val="32"/>
          <w:szCs w:val="32"/>
          <w:highlight w:val="none"/>
          <w:u w:val="single"/>
        </w:rPr>
      </w:pPr>
      <w:bookmarkStart w:id="157" w:name="_Toc24373_WPSOffice_Level1"/>
      <w:bookmarkStart w:id="158" w:name="_Toc6870_WPSOffice_Level1"/>
      <w:bookmarkStart w:id="159" w:name="_Toc351_WPSOffice_Level1"/>
      <w:bookmarkStart w:id="160" w:name="_Toc20519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157"/>
      <w:bookmarkEnd w:id="158"/>
    </w:p>
    <w:p>
      <w:pPr>
        <w:spacing w:after="312" w:afterLines="100" w:line="360" w:lineRule="auto"/>
        <w:jc w:val="left"/>
        <w:rPr>
          <w:rFonts w:ascii="宋体" w:hAnsi="宋体" w:cs="仿宋_GB2312"/>
          <w:bCs/>
          <w:color w:val="auto"/>
          <w:kern w:val="0"/>
          <w:sz w:val="24"/>
          <w:highlight w:val="none"/>
          <w:lang w:val="zh-CN"/>
        </w:rPr>
      </w:pPr>
      <w:bookmarkStart w:id="161" w:name="OLE_LINK40"/>
      <w:r>
        <w:rPr>
          <w:rFonts w:hint="eastAsia" w:ascii="宋体" w:hAnsi="宋体" w:cs="仿宋_GB2312"/>
          <w:bCs/>
          <w:color w:val="auto"/>
          <w:kern w:val="0"/>
          <w:sz w:val="24"/>
          <w:highlight w:val="none"/>
          <w:lang w:val="zh-CN"/>
        </w:rPr>
        <w:t>致：</w:t>
      </w:r>
      <w:r>
        <w:rPr>
          <w:rFonts w:hint="eastAsia" w:ascii="宋体" w:hAnsi="宋体" w:cs="宋体"/>
          <w:color w:val="auto"/>
          <w:sz w:val="24"/>
          <w:highlight w:val="none"/>
          <w:u w:val="single"/>
        </w:rPr>
        <w:t xml:space="preserve"> 台州市椒江区人民政府白云街道办事处  </w:t>
      </w:r>
      <w:r>
        <w:rPr>
          <w:rFonts w:hint="eastAsia" w:ascii="宋体" w:hAnsi="宋体" w:cs="仿宋_GB2312"/>
          <w:bCs/>
          <w:color w:val="auto"/>
          <w:kern w:val="0"/>
          <w:sz w:val="24"/>
          <w:highlight w:val="none"/>
          <w:lang w:val="zh-CN"/>
        </w:rPr>
        <w:t>（采购人）</w:t>
      </w:r>
    </w:p>
    <w:bookmarkEnd w:id="161"/>
    <w:p>
      <w:pPr>
        <w:pStyle w:val="14"/>
        <w:spacing w:line="360" w:lineRule="auto"/>
        <w:ind w:firstLine="480" w:firstLineChars="200"/>
        <w:rPr>
          <w:rFonts w:hAnsi="宋体"/>
          <w:color w:val="auto"/>
          <w:sz w:val="24"/>
          <w:highlight w:val="none"/>
        </w:rPr>
      </w:pPr>
      <w:r>
        <w:rPr>
          <w:rFonts w:hAnsi="宋体"/>
          <w:color w:val="auto"/>
          <w:sz w:val="24"/>
          <w:highlight w:val="none"/>
          <w:u w:val="single"/>
        </w:rPr>
        <w:t xml:space="preserve">  （投标供应商全称）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int="eastAsia" w:hAnsi="宋体"/>
          <w:color w:val="auto"/>
          <w:sz w:val="24"/>
          <w:highlight w:val="none"/>
          <w:u w:val="single"/>
        </w:rPr>
        <w:t>台州市白云小学改扩建工程（综合楼设备设施）</w:t>
      </w:r>
      <w:r>
        <w:rPr>
          <w:rFonts w:hAnsi="宋体"/>
          <w:color w:val="auto"/>
          <w:sz w:val="24"/>
          <w:highlight w:val="none"/>
        </w:rPr>
        <w:t>项目</w:t>
      </w:r>
      <w:r>
        <w:rPr>
          <w:rFonts w:hint="eastAsia" w:hAnsi="宋体" w:cs="宋体"/>
          <w:color w:val="auto"/>
          <w:kern w:val="0"/>
          <w:sz w:val="24"/>
          <w:highlight w:val="none"/>
        </w:rPr>
        <w:t>（</w:t>
      </w:r>
      <w:r>
        <w:rPr>
          <w:rFonts w:hint="eastAsia" w:hAnsi="宋体" w:cs="仿宋_GB2312"/>
          <w:bCs/>
          <w:color w:val="auto"/>
          <w:kern w:val="0"/>
          <w:sz w:val="24"/>
          <w:highlight w:val="none"/>
          <w:lang w:val="zh-CN"/>
        </w:rPr>
        <w:t>项目编号：</w:t>
      </w:r>
      <w:r>
        <w:rPr>
          <w:rFonts w:hint="eastAsia" w:hAnsi="宋体" w:cs="仿宋_GB2312"/>
          <w:bCs/>
          <w:color w:val="auto"/>
          <w:kern w:val="0"/>
          <w:sz w:val="24"/>
          <w:highlight w:val="none"/>
          <w:u w:val="single"/>
        </w:rPr>
        <w:t>ZYZFCG〔2025〕009</w:t>
      </w:r>
      <w:r>
        <w:rPr>
          <w:rFonts w:hint="eastAsia" w:hAnsi="宋体" w:cs="仿宋_GB2312"/>
          <w:bCs/>
          <w:color w:val="auto"/>
          <w:kern w:val="0"/>
          <w:sz w:val="24"/>
          <w:highlight w:val="none"/>
          <w:lang w:val="zh-CN"/>
        </w:rPr>
        <w:t>）</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pPr>
        <w:pStyle w:val="14"/>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4"/>
        <w:spacing w:line="360" w:lineRule="auto"/>
        <w:ind w:firstLine="480" w:firstLineChars="200"/>
        <w:rPr>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r>
        <w:rPr>
          <w:rFonts w:hint="eastAsia" w:ascii="宋体"/>
          <w:color w:val="auto"/>
          <w:sz w:val="24"/>
          <w:highlight w:val="none"/>
        </w:rPr>
        <w:t>投标供应商全称（电子印章）：                              日期：</w:t>
      </w:r>
    </w:p>
    <w:p>
      <w:pPr>
        <w:spacing w:line="360" w:lineRule="auto"/>
        <w:rPr>
          <w:color w:val="auto"/>
          <w:sz w:val="24"/>
          <w:highlight w:val="none"/>
        </w:rPr>
      </w:pPr>
    </w:p>
    <w:p>
      <w:pPr>
        <w:spacing w:line="360" w:lineRule="auto"/>
        <w:rPr>
          <w:b/>
          <w:color w:val="auto"/>
          <w:sz w:val="24"/>
          <w:highlight w:val="none"/>
        </w:rPr>
      </w:pPr>
      <w:r>
        <w:rPr>
          <w:rFonts w:hint="eastAsia" w:ascii="宋体"/>
          <w:b/>
          <w:color w:val="auto"/>
          <w:sz w:val="24"/>
          <w:highlight w:val="none"/>
        </w:rPr>
        <w:t>附：</w:t>
      </w:r>
    </w:p>
    <w:tbl>
      <w:tblPr>
        <w:tblStyle w:val="25"/>
        <w:tblpPr w:leftFromText="180" w:rightFromText="180" w:vertAnchor="text" w:horzAnchor="page" w:tblpX="4869" w:tblpY="172"/>
        <w:tblW w:w="5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2835" w:type="dxa"/>
            <w:vAlign w:val="center"/>
          </w:tcPr>
          <w:p>
            <w:pPr>
              <w:spacing w:line="360" w:lineRule="auto"/>
              <w:jc w:val="center"/>
              <w:rPr>
                <w:rFonts w:ascii="宋体"/>
                <w:b/>
                <w:color w:val="auto"/>
                <w:sz w:val="24"/>
                <w:highlight w:val="none"/>
              </w:rPr>
            </w:pPr>
            <w:bookmarkStart w:id="162" w:name="OLE_LINK27"/>
            <w:r>
              <w:rPr>
                <w:rFonts w:hint="eastAsia" w:ascii="宋体"/>
                <w:b/>
                <w:color w:val="auto"/>
                <w:sz w:val="24"/>
                <w:highlight w:val="none"/>
              </w:rPr>
              <w:t>法定代表</w:t>
            </w:r>
            <w:bookmarkStart w:id="163" w:name="OLE_LINK60"/>
            <w:r>
              <w:rPr>
                <w:rFonts w:hint="eastAsia" w:ascii="宋体"/>
                <w:b/>
                <w:color w:val="auto"/>
                <w:sz w:val="24"/>
                <w:highlight w:val="none"/>
              </w:rPr>
              <w:t>正面</w:t>
            </w:r>
            <w:bookmarkEnd w:id="163"/>
            <w:r>
              <w:rPr>
                <w:rFonts w:hint="eastAsia" w:ascii="宋体"/>
                <w:b/>
                <w:color w:val="auto"/>
                <w:sz w:val="24"/>
                <w:highlight w:val="none"/>
              </w:rPr>
              <w:t>身份证扫描件或影印件粘贴处</w:t>
            </w:r>
            <w:bookmarkEnd w:id="162"/>
          </w:p>
        </w:tc>
        <w:tc>
          <w:tcPr>
            <w:tcW w:w="2835" w:type="dxa"/>
            <w:vAlign w:val="center"/>
          </w:tcPr>
          <w:p>
            <w:pPr>
              <w:spacing w:line="360" w:lineRule="auto"/>
              <w:jc w:val="center"/>
              <w:rPr>
                <w:rFonts w:ascii="宋体"/>
                <w:b/>
                <w:color w:val="auto"/>
                <w:sz w:val="24"/>
                <w:highlight w:val="none"/>
              </w:rPr>
            </w:pPr>
            <w:r>
              <w:rPr>
                <w:rFonts w:hint="eastAsia" w:ascii="宋体"/>
                <w:b/>
                <w:color w:val="auto"/>
                <w:sz w:val="24"/>
                <w:highlight w:val="none"/>
              </w:rPr>
              <w:t>法定代表反面身份证扫描件或影印件粘贴处</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5"/>
        <w:tblpPr w:leftFromText="180" w:rightFromText="180" w:vertAnchor="text" w:horzAnchor="page" w:tblpX="4892" w:tblpY="293"/>
        <w:tblW w:w="5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2835" w:type="dxa"/>
            <w:vAlign w:val="center"/>
          </w:tcPr>
          <w:p>
            <w:pPr>
              <w:spacing w:line="360" w:lineRule="auto"/>
              <w:jc w:val="center"/>
              <w:rPr>
                <w:rFonts w:ascii="宋体"/>
                <w:b/>
                <w:color w:val="auto"/>
                <w:sz w:val="24"/>
                <w:highlight w:val="none"/>
              </w:rPr>
            </w:pPr>
            <w:bookmarkStart w:id="164" w:name="OLE_LINK66"/>
            <w:r>
              <w:rPr>
                <w:rFonts w:hint="eastAsia" w:ascii="宋体"/>
                <w:b/>
                <w:color w:val="auto"/>
                <w:sz w:val="24"/>
                <w:highlight w:val="none"/>
              </w:rPr>
              <w:t>全权代表正面身份证扫描件或影印件粘贴处</w:t>
            </w:r>
            <w:bookmarkEnd w:id="164"/>
          </w:p>
        </w:tc>
        <w:tc>
          <w:tcPr>
            <w:tcW w:w="2835" w:type="dxa"/>
            <w:vAlign w:val="center"/>
          </w:tcPr>
          <w:p>
            <w:pPr>
              <w:spacing w:line="360" w:lineRule="auto"/>
              <w:rPr>
                <w:rFonts w:ascii="宋体"/>
                <w:b/>
                <w:color w:val="auto"/>
                <w:sz w:val="24"/>
                <w:highlight w:val="none"/>
              </w:rPr>
            </w:pPr>
            <w:r>
              <w:rPr>
                <w:rFonts w:hint="eastAsia" w:ascii="宋体"/>
                <w:b/>
                <w:color w:val="auto"/>
                <w:sz w:val="24"/>
                <w:highlight w:val="none"/>
              </w:rPr>
              <w:t>全权代表反面身份证扫描件或影印件粘贴处</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rFonts w:hint="eastAsia" w:ascii="宋体" w:hAnsi="宋体"/>
          <w:b/>
          <w:color w:val="auto"/>
          <w:sz w:val="28"/>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附件3</w:t>
      </w:r>
    </w:p>
    <w:p>
      <w:pPr>
        <w:spacing w:after="312" w:afterLines="100"/>
        <w:jc w:val="center"/>
        <w:rPr>
          <w:rFonts w:ascii="宋体" w:hAnsi="宋体" w:cs="仿宋_GB2312"/>
          <w:b/>
          <w:bCs/>
          <w:color w:val="auto"/>
          <w:kern w:val="0"/>
          <w:sz w:val="24"/>
          <w:highlight w:val="none"/>
          <w:lang w:val="zh-CN"/>
        </w:rPr>
      </w:pPr>
      <w:bookmarkStart w:id="165" w:name="_Toc51489575"/>
    </w:p>
    <w:bookmarkEnd w:id="165"/>
    <w:p>
      <w:pPr>
        <w:spacing w:after="312" w:afterLines="100"/>
        <w:jc w:val="center"/>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关于供应商财务状况和依法缴纳税收及社会保障资金的书面承诺</w:t>
      </w:r>
    </w:p>
    <w:p>
      <w:pPr>
        <w:spacing w:after="312" w:afterLines="100" w:line="360" w:lineRule="auto"/>
        <w:jc w:val="left"/>
        <w:rPr>
          <w:rFonts w:ascii="宋体" w:hAnsi="宋体" w:cs="仿宋_GB2312"/>
          <w:bCs/>
          <w:color w:val="auto"/>
          <w:kern w:val="0"/>
          <w:sz w:val="24"/>
          <w:highlight w:val="none"/>
          <w:lang w:val="zh-CN"/>
        </w:rPr>
      </w:pPr>
    </w:p>
    <w:p>
      <w:pPr>
        <w:spacing w:after="312" w:afterLines="100" w:line="360" w:lineRule="auto"/>
        <w:jc w:val="left"/>
        <w:rPr>
          <w:rFonts w:ascii="宋体" w:hAnsi="宋体" w:cs="仿宋_GB2312"/>
          <w:bCs/>
          <w:color w:val="auto"/>
          <w:kern w:val="0"/>
          <w:sz w:val="24"/>
          <w:highlight w:val="none"/>
          <w:lang w:val="zh-CN"/>
        </w:rPr>
      </w:pPr>
      <w:bookmarkStart w:id="166" w:name="OLE_LINK2"/>
      <w:r>
        <w:rPr>
          <w:rFonts w:hint="eastAsia" w:ascii="宋体" w:hAnsi="宋体" w:cs="仿宋_GB2312"/>
          <w:bCs/>
          <w:color w:val="auto"/>
          <w:kern w:val="0"/>
          <w:sz w:val="24"/>
          <w:highlight w:val="none"/>
          <w:lang w:val="zh-CN"/>
        </w:rPr>
        <w:t>致：</w:t>
      </w:r>
      <w:r>
        <w:rPr>
          <w:rFonts w:hint="eastAsia" w:ascii="宋体" w:hAnsi="宋体" w:cs="宋体"/>
          <w:color w:val="auto"/>
          <w:sz w:val="24"/>
          <w:highlight w:val="none"/>
          <w:u w:val="single"/>
        </w:rPr>
        <w:t xml:space="preserve"> 台州市椒江区人民政府白云街道办事处  </w:t>
      </w:r>
      <w:r>
        <w:rPr>
          <w:rFonts w:hint="eastAsia" w:ascii="宋体" w:hAnsi="宋体" w:cs="仿宋_GB2312"/>
          <w:bCs/>
          <w:color w:val="auto"/>
          <w:kern w:val="0"/>
          <w:sz w:val="24"/>
          <w:highlight w:val="none"/>
          <w:lang w:val="zh-CN"/>
        </w:rPr>
        <w:t>（采购人）</w:t>
      </w:r>
    </w:p>
    <w:bookmarkEnd w:id="166"/>
    <w:p>
      <w:pPr>
        <w:snapToGrid w:val="0"/>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我公司作为本次采购项目的供应商，参加</w:t>
      </w:r>
      <w:r>
        <w:rPr>
          <w:rFonts w:hint="eastAsia" w:ascii="宋体" w:hAnsi="宋体" w:cs="宋体"/>
          <w:color w:val="auto"/>
          <w:sz w:val="24"/>
          <w:highlight w:val="none"/>
          <w:u w:val="single"/>
        </w:rPr>
        <w:t>台州市白云小学改扩建工程（综合楼设备设施）</w:t>
      </w:r>
      <w:r>
        <w:rPr>
          <w:rFonts w:hint="eastAsia" w:ascii="宋体" w:hAnsi="宋体" w:cs="宋体"/>
          <w:color w:val="auto"/>
          <w:sz w:val="24"/>
          <w:highlight w:val="none"/>
        </w:rPr>
        <w:t>项目</w:t>
      </w:r>
      <w:r>
        <w:rPr>
          <w:rFonts w:hint="eastAsia" w:ascii="宋体" w:hAnsi="宋体" w:cs="宋体"/>
          <w:color w:val="auto"/>
          <w:kern w:val="0"/>
          <w:sz w:val="24"/>
          <w:highlight w:val="none"/>
        </w:rPr>
        <w:t>（</w:t>
      </w:r>
      <w:r>
        <w:rPr>
          <w:rFonts w:hint="eastAsia" w:ascii="宋体" w:hAnsi="宋体" w:cs="仿宋_GB2312"/>
          <w:bCs/>
          <w:color w:val="auto"/>
          <w:kern w:val="0"/>
          <w:sz w:val="24"/>
          <w:highlight w:val="none"/>
          <w:lang w:val="zh-CN"/>
        </w:rPr>
        <w:t>项目编号：</w:t>
      </w:r>
      <w:r>
        <w:rPr>
          <w:rFonts w:hint="eastAsia" w:ascii="宋体" w:hAnsi="宋体" w:cs="仿宋_GB2312"/>
          <w:bCs/>
          <w:color w:val="auto"/>
          <w:kern w:val="0"/>
          <w:sz w:val="24"/>
          <w:highlight w:val="none"/>
          <w:u w:val="single"/>
        </w:rPr>
        <w:t>ZYZFCG〔2025〕009</w:t>
      </w:r>
      <w:r>
        <w:rPr>
          <w:rFonts w:hint="eastAsia" w:ascii="宋体" w:hAnsi="宋体" w:cs="仿宋_GB2312"/>
          <w:bCs/>
          <w:color w:val="auto"/>
          <w:kern w:val="0"/>
          <w:sz w:val="24"/>
          <w:highlight w:val="none"/>
          <w:lang w:val="zh-CN"/>
        </w:rPr>
        <w:t>）</w:t>
      </w:r>
      <w:r>
        <w:rPr>
          <w:rFonts w:hint="eastAsia" w:ascii="宋体" w:hAnsi="宋体" w:cs="宋体"/>
          <w:color w:val="auto"/>
          <w:sz w:val="24"/>
          <w:highlight w:val="none"/>
        </w:rPr>
        <w:t>采购活动，根据采购文件要求，现郑重承诺：</w:t>
      </w:r>
    </w:p>
    <w:p>
      <w:pPr>
        <w:snapToGrid w:val="0"/>
        <w:spacing w:line="48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1.我公司符合参与政府采购活动的资格条件，不存在税收缴纳、社会保障等方面的失信记录。</w:t>
      </w:r>
    </w:p>
    <w:p>
      <w:pPr>
        <w:snapToGrid w:val="0"/>
        <w:spacing w:line="48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2.我公司具有良好的商业信誉和健全的财务会计制度。</w:t>
      </w:r>
    </w:p>
    <w:p>
      <w:pPr>
        <w:snapToGrid w:val="0"/>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如本公司对以上条款提供虚假承诺，采购组织机构可取消我方任何资格（投标/中标/签订合同），我方对此无任何异议。</w:t>
      </w: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pacing w:line="360" w:lineRule="auto"/>
        <w:rPr>
          <w:rFonts w:ascii="宋体" w:hAnsi="宋体"/>
          <w:color w:val="auto"/>
          <w:sz w:val="24"/>
          <w:highlight w:val="none"/>
        </w:rPr>
      </w:pPr>
    </w:p>
    <w:p>
      <w:pPr>
        <w:pStyle w:val="34"/>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widowControl/>
        <w:jc w:val="left"/>
        <w:rPr>
          <w:b/>
          <w:bCs/>
          <w:color w:val="auto"/>
          <w:sz w:val="32"/>
          <w:szCs w:val="32"/>
          <w:highlight w:val="none"/>
          <w:lang w:val="zh-CN"/>
        </w:rPr>
      </w:pPr>
    </w:p>
    <w:p>
      <w:pPr>
        <w:widowControl/>
        <w:jc w:val="left"/>
        <w:rPr>
          <w:rFonts w:ascii="宋体" w:hAnsi="宋体"/>
          <w:b/>
          <w:color w:val="auto"/>
          <w:sz w:val="28"/>
          <w:highlight w:val="none"/>
        </w:rPr>
      </w:pPr>
      <w:r>
        <w:rPr>
          <w:rFonts w:ascii="宋体" w:hAnsi="宋体"/>
          <w:b/>
          <w:color w:val="auto"/>
          <w:sz w:val="28"/>
          <w:highlight w:val="none"/>
        </w:rPr>
        <w:br w:type="page"/>
      </w:r>
    </w:p>
    <w:p>
      <w:pPr>
        <w:spacing w:line="360" w:lineRule="auto"/>
        <w:rPr>
          <w:rFonts w:ascii="宋体" w:hAnsi="宋体"/>
          <w:color w:val="auto"/>
          <w:highlight w:val="none"/>
        </w:rPr>
      </w:pPr>
      <w:r>
        <w:rPr>
          <w:rFonts w:hint="eastAsia" w:ascii="宋体" w:hAnsi="宋体"/>
          <w:b/>
          <w:color w:val="auto"/>
          <w:sz w:val="28"/>
          <w:highlight w:val="none"/>
        </w:rPr>
        <w:t>附件4</w:t>
      </w:r>
    </w:p>
    <w:p>
      <w:pPr>
        <w:spacing w:after="312" w:afterLines="100"/>
        <w:jc w:val="center"/>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具有履行合同所必须的设备和专业技术能力的承诺函</w:t>
      </w:r>
    </w:p>
    <w:p>
      <w:pPr>
        <w:spacing w:after="312" w:afterLines="100" w:line="360" w:lineRule="auto"/>
        <w:jc w:val="left"/>
        <w:rPr>
          <w:rFonts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highlight w:val="none"/>
          <w:u w:val="single"/>
        </w:rPr>
        <w:t xml:space="preserve">  台州市椒江区人民政府白云街道办事处  </w:t>
      </w:r>
      <w:r>
        <w:rPr>
          <w:rFonts w:hint="eastAsia" w:ascii="宋体" w:hAnsi="宋体" w:cs="仿宋_GB2312"/>
          <w:bCs/>
          <w:color w:val="auto"/>
          <w:kern w:val="0"/>
          <w:sz w:val="24"/>
          <w:highlight w:val="none"/>
          <w:lang w:val="zh-CN"/>
        </w:rPr>
        <w:t>（采购人）</w:t>
      </w:r>
    </w:p>
    <w:p>
      <w:pPr>
        <w:spacing w:line="360" w:lineRule="auto"/>
        <w:ind w:firstLine="424" w:firstLineChars="177"/>
        <w:rPr>
          <w:rFonts w:ascii="宋体" w:hAnsi="宋体"/>
          <w:color w:val="auto"/>
          <w:sz w:val="24"/>
          <w:highlight w:val="none"/>
        </w:rPr>
      </w:pPr>
      <w:r>
        <w:rPr>
          <w:rFonts w:hint="eastAsia" w:ascii="宋体" w:hAnsi="宋体" w:cs="仿宋_GB2312"/>
          <w:bCs/>
          <w:color w:val="auto"/>
          <w:kern w:val="0"/>
          <w:sz w:val="24"/>
          <w:highlight w:val="none"/>
          <w:lang w:val="zh-CN"/>
        </w:rPr>
        <w:t>在贵方组织的</w:t>
      </w:r>
      <w:r>
        <w:rPr>
          <w:rFonts w:hint="eastAsia" w:ascii="宋体" w:hAnsi="宋体" w:cs="宋体"/>
          <w:color w:val="auto"/>
          <w:kern w:val="0"/>
          <w:sz w:val="24"/>
          <w:highlight w:val="none"/>
          <w:u w:val="single"/>
        </w:rPr>
        <w:t>台州市白云小学改扩建工程（综合楼设备设施）</w:t>
      </w:r>
      <w:r>
        <w:rPr>
          <w:rFonts w:hint="eastAsia" w:ascii="宋体" w:hAnsi="宋体" w:cs="宋体"/>
          <w:color w:val="auto"/>
          <w:kern w:val="0"/>
          <w:sz w:val="24"/>
          <w:highlight w:val="none"/>
        </w:rPr>
        <w:t>（</w:t>
      </w:r>
      <w:r>
        <w:rPr>
          <w:rFonts w:hint="eastAsia" w:ascii="宋体" w:hAnsi="宋体" w:cs="仿宋_GB2312"/>
          <w:bCs/>
          <w:color w:val="auto"/>
          <w:kern w:val="0"/>
          <w:sz w:val="24"/>
          <w:highlight w:val="none"/>
          <w:lang w:val="zh-CN"/>
        </w:rPr>
        <w:t>项目编号：</w:t>
      </w:r>
      <w:r>
        <w:rPr>
          <w:rFonts w:hint="eastAsia" w:ascii="宋体" w:hAnsi="宋体" w:cs="仿宋_GB2312"/>
          <w:bCs/>
          <w:color w:val="auto"/>
          <w:kern w:val="0"/>
          <w:sz w:val="24"/>
          <w:highlight w:val="none"/>
          <w:u w:val="single"/>
        </w:rPr>
        <w:t>ZYZFCG〔2025〕009</w:t>
      </w:r>
      <w:r>
        <w:rPr>
          <w:rFonts w:hint="eastAsia" w:ascii="宋体" w:hAnsi="宋体" w:cs="仿宋_GB2312"/>
          <w:bCs/>
          <w:color w:val="auto"/>
          <w:kern w:val="0"/>
          <w:sz w:val="24"/>
          <w:highlight w:val="none"/>
          <w:lang w:val="zh-CN"/>
        </w:rPr>
        <w:t>）公开招标，我方在完全理解本项目采购的技术要求、商务条款及其他内容后，决定参与该项目</w:t>
      </w:r>
      <w:r>
        <w:rPr>
          <w:rFonts w:hint="eastAsia" w:ascii="宋体" w:hAnsi="宋体"/>
          <w:color w:val="auto"/>
          <w:sz w:val="24"/>
          <w:highlight w:val="none"/>
        </w:rPr>
        <w:t>的投标活动。并承诺，如中标，我方将提供足够的设备和专业技术能力保证本合同履行。</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我方对上述承诺的真实性负责。如有虚假，并依法承担相应法律责任。</w:t>
      </w: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pacing w:line="360" w:lineRule="auto"/>
        <w:rPr>
          <w:rFonts w:ascii="宋体" w:hAnsi="宋体"/>
          <w:color w:val="auto"/>
          <w:sz w:val="24"/>
          <w:highlight w:val="none"/>
        </w:rPr>
      </w:pPr>
    </w:p>
    <w:p>
      <w:pPr>
        <w:pStyle w:val="34"/>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widowControl/>
        <w:jc w:val="left"/>
        <w:rPr>
          <w:b/>
          <w:bCs/>
          <w:color w:val="auto"/>
          <w:sz w:val="32"/>
          <w:szCs w:val="32"/>
          <w:highlight w:val="none"/>
          <w:lang w:val="zh-CN"/>
        </w:rPr>
      </w:pPr>
    </w:p>
    <w:p>
      <w:pPr>
        <w:pStyle w:val="24"/>
        <w:rPr>
          <w:color w:val="auto"/>
          <w:highlight w:val="none"/>
          <w:lang w:val="zh-CN"/>
        </w:rPr>
      </w:pPr>
      <w:r>
        <w:rPr>
          <w:color w:val="auto"/>
          <w:highlight w:val="none"/>
          <w:lang w:val="zh-CN"/>
        </w:rPr>
        <w:br w:type="page"/>
      </w:r>
    </w:p>
    <w:p>
      <w:pPr>
        <w:snapToGrid w:val="0"/>
        <w:spacing w:before="156" w:beforeLines="50" w:after="50" w:line="360" w:lineRule="auto"/>
        <w:rPr>
          <w:rFonts w:ascii="宋体" w:hAnsi="宋体"/>
          <w:color w:val="auto"/>
          <w:sz w:val="52"/>
          <w:szCs w:val="52"/>
          <w:highlight w:val="none"/>
        </w:rPr>
      </w:pPr>
      <w:r>
        <w:rPr>
          <w:rFonts w:hint="eastAsia" w:ascii="宋体" w:hAnsi="宋体"/>
          <w:b/>
          <w:color w:val="auto"/>
          <w:sz w:val="28"/>
          <w:highlight w:val="none"/>
        </w:rPr>
        <w:t>附件</w:t>
      </w:r>
      <w:bookmarkEnd w:id="159"/>
      <w:bookmarkEnd w:id="160"/>
      <w:r>
        <w:rPr>
          <w:rFonts w:hint="eastAsia" w:ascii="宋体" w:hAnsi="宋体"/>
          <w:b/>
          <w:color w:val="auto"/>
          <w:sz w:val="28"/>
          <w:highlight w:val="none"/>
        </w:rPr>
        <w:t>5</w:t>
      </w:r>
    </w:p>
    <w:p>
      <w:pPr>
        <w:pStyle w:val="9"/>
        <w:spacing w:line="360" w:lineRule="auto"/>
        <w:ind w:left="420" w:firstLine="643" w:firstLineChars="200"/>
        <w:jc w:val="center"/>
        <w:rPr>
          <w:rFonts w:ascii="宋体" w:hAnsi="宋体" w:cs="宋体"/>
          <w:b/>
          <w:color w:val="auto"/>
          <w:sz w:val="32"/>
          <w:szCs w:val="32"/>
          <w:highlight w:val="none"/>
        </w:rPr>
      </w:pPr>
      <w:bookmarkStart w:id="167" w:name="_Toc26389_WPSOffice_Level1"/>
      <w:bookmarkStart w:id="168" w:name="_Toc12331_WPSOffice_Level1"/>
      <w:bookmarkStart w:id="169" w:name="_Toc16825_WPSOffice_Level1"/>
      <w:r>
        <w:rPr>
          <w:rFonts w:hint="eastAsia" w:ascii="宋体" w:hAnsi="宋体" w:cs="宋体"/>
          <w:b/>
          <w:color w:val="auto"/>
          <w:sz w:val="32"/>
          <w:szCs w:val="32"/>
          <w:highlight w:val="none"/>
        </w:rPr>
        <w:t>中小企业声明函（货物）</w:t>
      </w:r>
    </w:p>
    <w:p>
      <w:pPr>
        <w:pStyle w:val="9"/>
        <w:spacing w:line="360" w:lineRule="auto"/>
        <w:ind w:firstLine="643" w:firstLineChars="200"/>
        <w:rPr>
          <w:rFonts w:ascii="宋体" w:hAnsi="宋体" w:cs="宋体"/>
          <w:b/>
          <w:color w:val="auto"/>
          <w:sz w:val="32"/>
          <w:szCs w:val="32"/>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bookmarkStart w:id="170" w:name="OLE_LINK125"/>
      <w:bookmarkStart w:id="171" w:name="OLE_LINK124"/>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（招标文件中明确的所属行业）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bookmarkEnd w:id="170"/>
      <w:bookmarkEnd w:id="171"/>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（招标文件中明确的所属行业）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5"/>
        <w:rPr>
          <w:rFonts w:ascii="宋体" w:hAnsi="宋体"/>
          <w:color w:val="auto"/>
          <w:szCs w:val="21"/>
          <w:highlight w:val="none"/>
        </w:rPr>
      </w:pPr>
      <w:r>
        <w:rPr>
          <w:rFonts w:hint="eastAsia" w:ascii="宋体" w:hAnsi="宋体"/>
          <w:color w:val="auto"/>
          <w:szCs w:val="21"/>
          <w:highlight w:val="none"/>
        </w:rPr>
        <w:t>1.如投标产品由小微企业生产，则需提供中小企业声明函。</w:t>
      </w:r>
    </w:p>
    <w:p>
      <w:pPr>
        <w:spacing w:line="360" w:lineRule="auto"/>
        <w:ind w:left="435"/>
        <w:rPr>
          <w:rFonts w:ascii="宋体" w:hAnsi="宋体"/>
          <w:color w:val="auto"/>
          <w:szCs w:val="21"/>
          <w:highlight w:val="none"/>
        </w:rPr>
      </w:pPr>
      <w:r>
        <w:rPr>
          <w:rFonts w:hint="eastAsia" w:ascii="宋体" w:hAnsi="宋体"/>
          <w:color w:val="auto"/>
          <w:szCs w:val="21"/>
          <w:highlight w:val="none"/>
        </w:rPr>
        <w:t>2.小微企业提供的货物既有中小企业制造货物，也有大型企业制造货物的，不享受中小企业扶持政策。</w:t>
      </w:r>
    </w:p>
    <w:p>
      <w:pPr>
        <w:spacing w:line="360" w:lineRule="auto"/>
        <w:ind w:left="435"/>
        <w:rPr>
          <w:rFonts w:ascii="宋体" w:hAnsi="宋体"/>
          <w:color w:val="auto"/>
          <w:szCs w:val="21"/>
          <w:highlight w:val="none"/>
        </w:rPr>
      </w:pPr>
      <w:r>
        <w:rPr>
          <w:rFonts w:hint="eastAsia" w:ascii="宋体" w:hAnsi="宋体"/>
          <w:color w:val="auto"/>
          <w:szCs w:val="21"/>
          <w:highlight w:val="none"/>
        </w:rPr>
        <w:t>3.如中标供应商声明为小微企业，本声明函将随中标结果同时公告，接受社会监督。</w:t>
      </w:r>
    </w:p>
    <w:p>
      <w:pPr>
        <w:wordWrap w:val="0"/>
        <w:spacing w:line="360" w:lineRule="auto"/>
        <w:rPr>
          <w:rFonts w:ascii="宋体" w:hAnsi="宋体" w:cs="宋体"/>
          <w:color w:val="auto"/>
          <w:sz w:val="24"/>
          <w:highlight w:val="none"/>
        </w:rPr>
      </w:pPr>
    </w:p>
    <w:p>
      <w:pPr>
        <w:wordWrap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 xml:space="preserve">企业名称（盖章）：        </w:t>
      </w:r>
    </w:p>
    <w:p>
      <w:pPr>
        <w:wordWrap w:val="0"/>
        <w:spacing w:line="360" w:lineRule="auto"/>
        <w:ind w:firstLine="480" w:firstLineChars="200"/>
        <w:jc w:val="right"/>
        <w:rPr>
          <w:rFonts w:ascii="宋体" w:hAnsi="宋体" w:cs="宋体"/>
          <w:color w:val="auto"/>
          <w:sz w:val="24"/>
          <w:highlight w:val="none"/>
        </w:rPr>
      </w:pPr>
    </w:p>
    <w:p>
      <w:pPr>
        <w:wordWrap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 xml:space="preserve">日 期：                  </w:t>
      </w:r>
    </w:p>
    <w:p>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208915</wp:posOffset>
                </wp:positionV>
                <wp:extent cx="2984500" cy="0"/>
                <wp:effectExtent l="0" t="0" r="0" b="0"/>
                <wp:wrapNone/>
                <wp:docPr id="11" name="直接连接符 3"/>
                <wp:cNvGraphicFramePr/>
                <a:graphic xmlns:a="http://schemas.openxmlformats.org/drawingml/2006/main">
                  <a:graphicData uri="http://schemas.microsoft.com/office/word/2010/wordprocessingShape">
                    <wps:wsp>
                      <wps:cNvCnPr/>
                      <wps:spPr>
                        <a:xfrm>
                          <a:off x="0" y="0"/>
                          <a:ext cx="298450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直接连接符 3" o:spid="_x0000_s1026" o:spt="20" style="position:absolute;left:0pt;margin-left:0.4pt;margin-top:16.45pt;height:0pt;width:235pt;z-index:251659264;mso-width-relative:page;mso-height-relative:page;" filled="f" stroked="t" coordsize="21600,21600" o:gfxdata="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LArkvTAAAABgEAAA8AAAAAAAAAAQAg&#10;AAAAIgAAAGRycy9kb3ducmV2LnhtbFBLAQIUABQAAAAIAIdO4kBvy9sj2gEAAIcDAAAOAAAAAAAA&#10;AAEAIAAAACIBAABkcnMvZTJvRG9jLnhtbFBLBQYAAAAABgAGAFkBAABuBQAAAAA=&#10;">
                <v:fill on="f" focussize="0,0"/>
                <v:stroke weight="1.25pt" color="#000000" miterlimit="8" joinstyle="miter"/>
                <v:imagedata o:title=""/>
                <o:lock v:ext="edit" aspectratio="f"/>
              </v:line>
            </w:pict>
          </mc:Fallback>
        </mc:AlternateContent>
      </w:r>
    </w:p>
    <w:p>
      <w:pPr>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pPr>
        <w:pStyle w:val="24"/>
        <w:rPr>
          <w:color w:val="auto"/>
          <w:highlight w:val="none"/>
        </w:rPr>
      </w:pPr>
    </w:p>
    <w:p>
      <w:pPr>
        <w:pStyle w:val="9"/>
        <w:spacing w:line="360" w:lineRule="auto"/>
        <w:ind w:left="420" w:firstLine="643" w:firstLineChars="200"/>
        <w:jc w:val="center"/>
        <w:rPr>
          <w:rFonts w:ascii="宋体" w:hAnsi="宋体" w:cs="宋体"/>
          <w:b/>
          <w:color w:val="auto"/>
          <w:sz w:val="32"/>
          <w:szCs w:val="32"/>
          <w:highlight w:val="none"/>
        </w:rPr>
      </w:pPr>
      <w:bookmarkStart w:id="172" w:name="_Toc897"/>
      <w:r>
        <w:rPr>
          <w:rFonts w:hint="eastAsia" w:ascii="宋体" w:hAnsi="宋体" w:cs="宋体"/>
          <w:b/>
          <w:color w:val="auto"/>
          <w:sz w:val="32"/>
          <w:szCs w:val="32"/>
          <w:highlight w:val="none"/>
        </w:rPr>
        <w:t>残疾人福利性单位声明函</w:t>
      </w:r>
      <w:bookmarkEnd w:id="172"/>
    </w:p>
    <w:p>
      <w:pPr>
        <w:spacing w:line="360" w:lineRule="auto"/>
        <w:ind w:firstLine="480" w:firstLineChars="200"/>
        <w:rPr>
          <w:rFonts w:ascii="宋体" w:hAnsi="宋体" w:cs="宋体"/>
          <w:color w:val="auto"/>
          <w:sz w:val="24"/>
          <w:highlight w:val="none"/>
          <w:lang w:val="en-GB"/>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b/>
          <w:color w:val="auto"/>
          <w:sz w:val="24"/>
          <w:highlight w:val="none"/>
          <w:u w:val="single"/>
        </w:rPr>
        <w:t>台州市椒江区人民政府白云街道办事处</w:t>
      </w:r>
      <w:r>
        <w:rPr>
          <w:rFonts w:hint="eastAsia" w:ascii="宋体" w:hAnsi="宋体" w:cs="宋体"/>
          <w:color w:val="auto"/>
          <w:sz w:val="24"/>
          <w:highlight w:val="none"/>
        </w:rPr>
        <w:t>单位的</w:t>
      </w:r>
      <w:r>
        <w:rPr>
          <w:rFonts w:hint="eastAsia" w:ascii="宋体" w:hAnsi="宋体" w:cs="宋体"/>
          <w:color w:val="auto"/>
          <w:kern w:val="0"/>
          <w:sz w:val="24"/>
          <w:highlight w:val="none"/>
          <w:u w:val="single"/>
        </w:rPr>
        <w:t>台州市白云小学改扩建工程（综合楼设备设施）</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color w:val="auto"/>
          <w:sz w:val="24"/>
          <w:highlight w:val="none"/>
        </w:rPr>
      </w:pPr>
    </w:p>
    <w:p>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单位名称（盖章）：</w:t>
      </w:r>
    </w:p>
    <w:p>
      <w:pPr>
        <w:tabs>
          <w:tab w:val="left" w:pos="4860"/>
        </w:tabs>
        <w:spacing w:line="588" w:lineRule="exact"/>
        <w:ind w:right="1560" w:firstLine="480" w:firstLineChars="200"/>
        <w:jc w:val="center"/>
        <w:rPr>
          <w:rFonts w:ascii="宋体" w:hAnsi="宋体" w:cs="宋体"/>
          <w:color w:val="auto"/>
          <w:sz w:val="24"/>
          <w:highlight w:val="none"/>
        </w:rPr>
      </w:pPr>
    </w:p>
    <w:p>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  ：</w:t>
      </w:r>
    </w:p>
    <w:p>
      <w:pPr>
        <w:spacing w:line="360" w:lineRule="auto"/>
        <w:rPr>
          <w:rFonts w:ascii="宋体" w:hAnsi="宋体" w:cs="宋体"/>
          <w:color w:val="auto"/>
          <w:sz w:val="24"/>
          <w:highlight w:val="none"/>
        </w:rPr>
      </w:pPr>
    </w:p>
    <w:p>
      <w:pPr>
        <w:jc w:val="center"/>
        <w:rPr>
          <w:rFonts w:hint="eastAsia"/>
          <w:color w:val="auto"/>
          <w:sz w:val="52"/>
          <w:szCs w:val="52"/>
          <w:highlight w:val="none"/>
        </w:rPr>
      </w:pPr>
    </w:p>
    <w:p>
      <w:pPr>
        <w:pStyle w:val="24"/>
        <w:rPr>
          <w:rFonts w:hint="eastAsia"/>
          <w:color w:val="auto"/>
          <w:highlight w:val="none"/>
        </w:rPr>
      </w:pPr>
    </w:p>
    <w:p>
      <w:pPr>
        <w:rPr>
          <w:rFonts w:hint="eastAsia"/>
          <w:color w:val="auto"/>
          <w:highlight w:val="none"/>
        </w:rPr>
      </w:pPr>
    </w:p>
    <w:p>
      <w:pPr>
        <w:pStyle w:val="24"/>
        <w:rPr>
          <w:rFonts w:hint="eastAsia"/>
          <w:color w:val="auto"/>
          <w:highlight w:val="none"/>
        </w:rPr>
      </w:pPr>
    </w:p>
    <w:p>
      <w:pPr>
        <w:rPr>
          <w:rFonts w:hint="eastAsia"/>
          <w:color w:val="auto"/>
          <w:highlight w:val="none"/>
        </w:rPr>
      </w:pPr>
    </w:p>
    <w:p>
      <w:pPr>
        <w:pStyle w:val="24"/>
        <w:rPr>
          <w:rFonts w:hint="eastAsia"/>
          <w:color w:val="auto"/>
          <w:highlight w:val="none"/>
        </w:rPr>
      </w:pPr>
    </w:p>
    <w:p>
      <w:pPr>
        <w:rPr>
          <w:rFonts w:hint="eastAsia"/>
          <w:color w:val="auto"/>
          <w:highlight w:val="none"/>
        </w:rPr>
      </w:pPr>
    </w:p>
    <w:p>
      <w:pPr>
        <w:pStyle w:val="24"/>
        <w:rPr>
          <w:rFonts w:hint="eastAsia"/>
          <w:color w:val="auto"/>
          <w:highlight w:val="none"/>
        </w:rPr>
      </w:pPr>
    </w:p>
    <w:p>
      <w:pPr>
        <w:rPr>
          <w:rFonts w:hint="eastAsia"/>
          <w:color w:val="auto"/>
          <w:highlight w:val="none"/>
        </w:rPr>
      </w:pPr>
    </w:p>
    <w:p>
      <w:pPr>
        <w:pStyle w:val="24"/>
        <w:rPr>
          <w:rFonts w:hint="eastAsia"/>
          <w:color w:val="auto"/>
          <w:highlight w:val="none"/>
        </w:rPr>
      </w:pPr>
    </w:p>
    <w:p>
      <w:pPr>
        <w:rPr>
          <w:rFonts w:hint="eastAsia"/>
          <w:color w:val="auto"/>
          <w:highlight w:val="none"/>
        </w:rPr>
      </w:pPr>
    </w:p>
    <w:p>
      <w:pPr>
        <w:pStyle w:val="24"/>
        <w:rPr>
          <w:rFonts w:hint="eastAsia"/>
          <w:color w:val="auto"/>
          <w:highlight w:val="none"/>
        </w:rPr>
      </w:pPr>
    </w:p>
    <w:p>
      <w:pPr>
        <w:rPr>
          <w:rFonts w:hint="eastAsia"/>
          <w:color w:val="auto"/>
          <w:highlight w:val="none"/>
        </w:rPr>
      </w:pPr>
    </w:p>
    <w:p>
      <w:pPr>
        <w:pStyle w:val="24"/>
        <w:rPr>
          <w:rFonts w:hint="eastAsia"/>
          <w:color w:val="auto"/>
          <w:highlight w:val="none"/>
        </w:rPr>
      </w:pPr>
    </w:p>
    <w:bookmarkEnd w:id="167"/>
    <w:bookmarkEnd w:id="168"/>
    <w:bookmarkEnd w:id="169"/>
    <w:p>
      <w:pPr>
        <w:pStyle w:val="9"/>
        <w:rPr>
          <w:color w:val="auto"/>
          <w:sz w:val="28"/>
          <w:szCs w:val="28"/>
          <w:highlight w:val="none"/>
        </w:rPr>
      </w:pPr>
    </w:p>
    <w:p>
      <w:pPr>
        <w:widowControl/>
        <w:jc w:val="left"/>
        <w:rPr>
          <w:rFonts w:ascii="宋体" w:hAnsi="宋体" w:cs="宋体"/>
          <w:b/>
          <w:color w:val="auto"/>
          <w:kern w:val="0"/>
          <w:sz w:val="28"/>
          <w:highlight w:val="none"/>
        </w:rPr>
      </w:pPr>
      <w:r>
        <w:rPr>
          <w:b/>
          <w:color w:val="auto"/>
          <w:sz w:val="28"/>
          <w:highlight w:val="none"/>
        </w:rPr>
        <w:br w:type="page"/>
      </w:r>
    </w:p>
    <w:p>
      <w:pPr>
        <w:spacing w:line="360" w:lineRule="auto"/>
        <w:rPr>
          <w:rFonts w:ascii="宋体" w:hAnsi="宋体"/>
          <w:b/>
          <w:color w:val="auto"/>
          <w:sz w:val="28"/>
          <w:highlight w:val="none"/>
        </w:rPr>
      </w:pPr>
      <w:r>
        <w:rPr>
          <w:rFonts w:hint="eastAsia" w:ascii="宋体" w:hAnsi="宋体"/>
          <w:b/>
          <w:color w:val="auto"/>
          <w:sz w:val="28"/>
          <w:highlight w:val="none"/>
        </w:rPr>
        <w:t>附件6</w:t>
      </w:r>
    </w:p>
    <w:p>
      <w:pPr>
        <w:widowControl/>
        <w:jc w:val="center"/>
        <w:rPr>
          <w:rFonts w:ascii="宋体" w:hAnsi="宋体"/>
          <w:b/>
          <w:color w:val="auto"/>
          <w:sz w:val="28"/>
          <w:highlight w:val="none"/>
        </w:rPr>
      </w:pPr>
      <w:r>
        <w:rPr>
          <w:rFonts w:ascii="宋体" w:hAnsi="宋体"/>
          <w:b/>
          <w:color w:val="auto"/>
          <w:sz w:val="28"/>
          <w:highlight w:val="none"/>
        </w:rPr>
        <w:t>评分索引表</w:t>
      </w:r>
    </w:p>
    <w:tbl>
      <w:tblPr>
        <w:tblStyle w:val="25"/>
        <w:tblW w:w="1115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592"/>
        <w:gridCol w:w="7615"/>
        <w:gridCol w:w="706"/>
        <w:gridCol w:w="7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2126" w:type="dxa"/>
            <w:gridSpan w:val="2"/>
            <w:tcBorders>
              <w:bottom w:val="single" w:color="auto" w:sz="4" w:space="0"/>
            </w:tcBorders>
            <w:shd w:val="pct20" w:color="auto" w:fill="auto"/>
            <w:vAlign w:val="center"/>
          </w:tcPr>
          <w:p>
            <w:pPr>
              <w:widowControl/>
              <w:spacing w:line="240" w:lineRule="auto"/>
              <w:jc w:val="center"/>
              <w:rPr>
                <w:rFonts w:ascii="宋体" w:hAnsi="宋体" w:cs="宋体"/>
                <w:b/>
                <w:bCs/>
                <w:color w:val="auto"/>
                <w:sz w:val="20"/>
                <w:szCs w:val="20"/>
                <w:highlight w:val="none"/>
              </w:rPr>
            </w:pPr>
            <w:r>
              <w:rPr>
                <w:rFonts w:hint="eastAsia" w:ascii="宋体" w:hAnsi="宋体" w:cs="宋体"/>
                <w:b/>
                <w:color w:val="auto"/>
                <w:sz w:val="20"/>
                <w:szCs w:val="20"/>
                <w:highlight w:val="none"/>
              </w:rPr>
              <w:t>评分项目</w:t>
            </w:r>
          </w:p>
        </w:tc>
        <w:tc>
          <w:tcPr>
            <w:tcW w:w="7615" w:type="dxa"/>
            <w:tcBorders>
              <w:bottom w:val="single" w:color="auto" w:sz="4" w:space="0"/>
            </w:tcBorders>
            <w:shd w:val="pct20" w:color="auto" w:fill="auto"/>
            <w:vAlign w:val="center"/>
          </w:tcPr>
          <w:p>
            <w:pPr>
              <w:widowControl/>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评分细则</w:t>
            </w:r>
          </w:p>
        </w:tc>
        <w:tc>
          <w:tcPr>
            <w:tcW w:w="706" w:type="dxa"/>
            <w:tcBorders>
              <w:bottom w:val="single" w:color="auto" w:sz="4" w:space="0"/>
            </w:tcBorders>
            <w:shd w:val="pct20" w:color="auto" w:fill="auto"/>
            <w:vAlign w:val="center"/>
          </w:tcPr>
          <w:p>
            <w:pPr>
              <w:widowControl/>
              <w:spacing w:line="240" w:lineRule="auto"/>
              <w:jc w:val="center"/>
              <w:rPr>
                <w:rFonts w:hint="eastAsia" w:ascii="宋体" w:hAnsi="宋体" w:eastAsia="宋体" w:cs="宋体"/>
                <w:b/>
                <w:bCs/>
                <w:color w:val="auto"/>
                <w:sz w:val="20"/>
                <w:szCs w:val="20"/>
                <w:highlight w:val="none"/>
                <w:lang w:eastAsia="zh-CN"/>
              </w:rPr>
            </w:pPr>
            <w:r>
              <w:rPr>
                <w:rFonts w:hint="eastAsia" w:ascii="宋体" w:hAnsi="宋体" w:cs="宋体"/>
                <w:b/>
                <w:bCs/>
                <w:color w:val="auto"/>
                <w:sz w:val="20"/>
                <w:szCs w:val="20"/>
                <w:highlight w:val="none"/>
                <w:lang w:val="en-US" w:eastAsia="zh-CN"/>
              </w:rPr>
              <w:t>自评分</w:t>
            </w:r>
          </w:p>
        </w:tc>
        <w:tc>
          <w:tcPr>
            <w:tcW w:w="706" w:type="dxa"/>
            <w:tcBorders>
              <w:bottom w:val="single" w:color="auto" w:sz="4" w:space="0"/>
            </w:tcBorders>
            <w:shd w:val="pct20" w:color="auto" w:fill="auto"/>
            <w:vAlign w:val="center"/>
          </w:tcPr>
          <w:p>
            <w:pPr>
              <w:widowControl/>
              <w:spacing w:line="240" w:lineRule="auto"/>
              <w:jc w:val="center"/>
              <w:rPr>
                <w:rFonts w:hint="eastAsia" w:ascii="宋体" w:hAnsi="宋体" w:eastAsia="宋体" w:cs="宋体"/>
                <w:b/>
                <w:bCs/>
                <w:color w:val="auto"/>
                <w:sz w:val="20"/>
                <w:szCs w:val="20"/>
                <w:highlight w:val="none"/>
                <w:lang w:val="en-US" w:eastAsia="zh-CN"/>
              </w:rPr>
            </w:pPr>
            <w:r>
              <w:rPr>
                <w:rFonts w:hint="eastAsia" w:ascii="宋体" w:hAnsi="宋体" w:cs="宋体"/>
                <w:b/>
                <w:bCs/>
                <w:color w:val="auto"/>
                <w:sz w:val="20"/>
                <w:szCs w:val="20"/>
                <w:highlight w:val="none"/>
                <w:lang w:val="en-US" w:eastAsia="zh-CN"/>
              </w:rPr>
              <w:t>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34" w:type="dxa"/>
            <w:vMerge w:val="restart"/>
            <w:vAlign w:val="center"/>
          </w:tcPr>
          <w:p>
            <w:pPr>
              <w:spacing w:line="240" w:lineRule="auto"/>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资信与技术</w:t>
            </w:r>
          </w:p>
          <w:p>
            <w:pPr>
              <w:spacing w:line="240" w:lineRule="auto"/>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分</w:t>
            </w:r>
          </w:p>
        </w:tc>
        <w:tc>
          <w:tcPr>
            <w:tcW w:w="1592" w:type="dxa"/>
            <w:vAlign w:val="center"/>
          </w:tcPr>
          <w:p>
            <w:pPr>
              <w:widowControl/>
              <w:spacing w:line="240" w:lineRule="auto"/>
              <w:jc w:val="center"/>
              <w:textAlignment w:val="center"/>
              <w:rPr>
                <w:rFonts w:ascii="宋体" w:hAnsi="宋体" w:cs="宋体"/>
                <w:color w:val="auto"/>
                <w:sz w:val="11"/>
                <w:szCs w:val="11"/>
                <w:highlight w:val="none"/>
              </w:rPr>
            </w:pPr>
            <w:r>
              <w:rPr>
                <w:rFonts w:hint="eastAsia" w:ascii="宋体" w:hAnsi="宋体" w:cs="宋体"/>
                <w:color w:val="auto"/>
                <w:sz w:val="16"/>
                <w:szCs w:val="16"/>
                <w:highlight w:val="none"/>
              </w:rPr>
              <w:t>企业实力</w:t>
            </w:r>
          </w:p>
        </w:tc>
        <w:tc>
          <w:tcPr>
            <w:tcW w:w="7615" w:type="dxa"/>
            <w:tcBorders>
              <w:bottom w:val="single" w:color="auto" w:sz="4" w:space="0"/>
            </w:tcBorders>
            <w:vAlign w:val="center"/>
          </w:tcPr>
          <w:p>
            <w:pPr>
              <w:widowControl/>
              <w:spacing w:line="240" w:lineRule="auto"/>
              <w:textAlignment w:val="center"/>
              <w:rPr>
                <w:rFonts w:ascii="宋体" w:hAnsi="宋体" w:cs="宋体"/>
                <w:b/>
                <w:color w:val="auto"/>
                <w:sz w:val="16"/>
                <w:szCs w:val="16"/>
                <w:highlight w:val="none"/>
              </w:rPr>
            </w:pPr>
            <w:r>
              <w:rPr>
                <w:rFonts w:hint="eastAsia" w:ascii="宋体" w:hAnsi="宋体" w:cs="宋体"/>
                <w:b/>
                <w:color w:val="auto"/>
                <w:sz w:val="16"/>
                <w:szCs w:val="16"/>
                <w:highlight w:val="none"/>
              </w:rPr>
              <w:t>客观分：</w:t>
            </w:r>
          </w:p>
          <w:p>
            <w:pPr>
              <w:spacing w:line="240" w:lineRule="auto"/>
              <w:rPr>
                <w:rFonts w:ascii="宋体" w:hAnsi="宋体" w:cs="宋体"/>
                <w:color w:val="auto"/>
                <w:sz w:val="16"/>
                <w:szCs w:val="16"/>
                <w:highlight w:val="none"/>
              </w:rPr>
            </w:pPr>
            <w:r>
              <w:rPr>
                <w:rFonts w:hint="eastAsia" w:ascii="宋体" w:hAnsi="宋体" w:cs="宋体"/>
                <w:color w:val="auto"/>
                <w:sz w:val="16"/>
                <w:szCs w:val="16"/>
                <w:highlight w:val="none"/>
              </w:rPr>
              <w:t>1.投标人具有《质量管理体系认证证书》，认证范围至少包含以下内容：钢木家具、人造板家具、软体家具、实木家具、钢塑家具、礼堂椅，提供并符合要求的得2分；</w:t>
            </w:r>
          </w:p>
          <w:p>
            <w:pPr>
              <w:spacing w:line="240" w:lineRule="auto"/>
              <w:rPr>
                <w:rFonts w:ascii="宋体" w:hAnsi="宋体" w:cs="宋体"/>
                <w:color w:val="auto"/>
                <w:sz w:val="16"/>
                <w:szCs w:val="16"/>
                <w:highlight w:val="none"/>
              </w:rPr>
            </w:pPr>
            <w:r>
              <w:rPr>
                <w:rFonts w:hint="eastAsia" w:ascii="宋体" w:hAnsi="宋体" w:cs="宋体"/>
                <w:color w:val="auto"/>
                <w:sz w:val="16"/>
                <w:szCs w:val="16"/>
                <w:highlight w:val="none"/>
              </w:rPr>
              <w:t>2.投标人具有《环境管理体系认证证书》，认证范围至少包含以下内容：钢木家具、人造板家具、软体家具、实木家具、钢塑家具、礼堂椅，提供并符合要求的得2分；</w:t>
            </w:r>
          </w:p>
          <w:p>
            <w:pPr>
              <w:spacing w:line="240" w:lineRule="auto"/>
              <w:rPr>
                <w:rFonts w:ascii="宋体" w:hAnsi="宋体" w:cs="宋体"/>
                <w:color w:val="auto"/>
                <w:sz w:val="16"/>
                <w:szCs w:val="16"/>
                <w:highlight w:val="none"/>
              </w:rPr>
            </w:pPr>
            <w:r>
              <w:rPr>
                <w:rFonts w:hint="eastAsia" w:ascii="宋体" w:hAnsi="宋体" w:cs="宋体"/>
                <w:color w:val="auto"/>
                <w:sz w:val="16"/>
                <w:szCs w:val="16"/>
                <w:highlight w:val="none"/>
              </w:rPr>
              <w:t>3.投标人具有《职业健康安全管理体系认证证书》，认证范围至少包含以下内容：钢木家具、人造板家具、软体家具、实木家具、钢塑家具、礼堂椅，提供并符合要求的得2分；</w:t>
            </w:r>
          </w:p>
          <w:p>
            <w:pPr>
              <w:spacing w:line="240" w:lineRule="auto"/>
              <w:rPr>
                <w:rFonts w:ascii="宋体" w:hAnsi="宋体" w:cs="宋体"/>
                <w:bCs/>
                <w:color w:val="auto"/>
                <w:sz w:val="16"/>
                <w:szCs w:val="16"/>
                <w:highlight w:val="none"/>
              </w:rPr>
            </w:pPr>
            <w:r>
              <w:rPr>
                <w:rFonts w:hint="eastAsia" w:ascii="宋体" w:hAnsi="宋体" w:cs="宋体"/>
                <w:bCs/>
                <w:color w:val="auto"/>
                <w:sz w:val="16"/>
                <w:szCs w:val="16"/>
                <w:highlight w:val="none"/>
              </w:rPr>
              <w:t>4.投标人具有售后服务认证证书，</w:t>
            </w:r>
            <w:r>
              <w:rPr>
                <w:rFonts w:hint="eastAsia" w:ascii="宋体" w:hAnsi="宋体" w:cs="宋体"/>
                <w:color w:val="auto"/>
                <w:sz w:val="16"/>
                <w:szCs w:val="16"/>
                <w:highlight w:val="none"/>
              </w:rPr>
              <w:t>认证范围至少包含以下内容：钢木家具、人造板家具、软体家具、实木家具、钢塑家具、礼堂椅；提供并符合的，</w:t>
            </w:r>
            <w:r>
              <w:rPr>
                <w:rFonts w:hint="eastAsia" w:ascii="宋体" w:hAnsi="宋体" w:cs="宋体"/>
                <w:bCs/>
                <w:color w:val="auto"/>
                <w:sz w:val="16"/>
                <w:szCs w:val="16"/>
                <w:highlight w:val="none"/>
              </w:rPr>
              <w:t>5星及5星以上的，得2分；3星及3星以上的得1分；3星以下的得0.5分。未提供或不符的不得分。</w:t>
            </w:r>
          </w:p>
          <w:p>
            <w:pPr>
              <w:widowControl/>
              <w:spacing w:line="240" w:lineRule="auto"/>
              <w:textAlignment w:val="center"/>
              <w:rPr>
                <w:rFonts w:ascii="宋体" w:hAnsi="宋体" w:cs="宋体"/>
                <w:color w:val="auto"/>
                <w:sz w:val="11"/>
                <w:szCs w:val="11"/>
                <w:highlight w:val="none"/>
              </w:rPr>
            </w:pPr>
            <w:r>
              <w:rPr>
                <w:rFonts w:hint="eastAsia" w:ascii="宋体" w:hAnsi="宋体" w:cs="宋体"/>
                <w:b/>
                <w:bCs/>
                <w:color w:val="auto"/>
                <w:sz w:val="16"/>
                <w:szCs w:val="16"/>
                <w:highlight w:val="none"/>
              </w:rPr>
              <w:t>注：须提供相关证书材料影印件并提供中国国家认证认可监督管理委员会官方网站（http://www.cnca.gov.cn/）的认证信息网页截图；如供应商提供的证书材料信息与网页不一致的，本项不得分。认证范围至少包含上述内容，如内容不全则不得分。</w:t>
            </w:r>
          </w:p>
        </w:tc>
        <w:tc>
          <w:tcPr>
            <w:tcW w:w="706" w:type="dxa"/>
            <w:tcBorders>
              <w:bottom w:val="single" w:color="auto" w:sz="4" w:space="0"/>
            </w:tcBorders>
            <w:vAlign w:val="center"/>
          </w:tcPr>
          <w:p>
            <w:pPr>
              <w:widowControl/>
              <w:spacing w:line="240" w:lineRule="auto"/>
              <w:jc w:val="center"/>
              <w:textAlignment w:val="center"/>
              <w:rPr>
                <w:rFonts w:ascii="宋体" w:hAnsi="宋体" w:cs="宋体"/>
                <w:color w:val="auto"/>
                <w:kern w:val="0"/>
                <w:sz w:val="20"/>
                <w:szCs w:val="20"/>
                <w:highlight w:val="none"/>
              </w:rPr>
            </w:pPr>
          </w:p>
        </w:tc>
        <w:tc>
          <w:tcPr>
            <w:tcW w:w="706" w:type="dxa"/>
            <w:tcBorders>
              <w:bottom w:val="single" w:color="auto" w:sz="4" w:space="0"/>
            </w:tcBorders>
            <w:vAlign w:val="center"/>
          </w:tcPr>
          <w:p>
            <w:pPr>
              <w:widowControl/>
              <w:spacing w:line="240" w:lineRule="auto"/>
              <w:jc w:val="center"/>
              <w:textAlignment w:val="center"/>
              <w:rPr>
                <w:rFonts w:hint="eastAsia" w:ascii="宋体" w:hAnsi="宋体" w:cs="宋体"/>
                <w:color w:val="auto"/>
                <w:kern w:val="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pacing w:line="240" w:lineRule="auto"/>
              <w:jc w:val="center"/>
              <w:rPr>
                <w:rFonts w:ascii="宋体" w:hAnsi="宋体" w:cs="宋体"/>
                <w:b/>
                <w:bCs/>
                <w:color w:val="auto"/>
                <w:sz w:val="20"/>
                <w:szCs w:val="20"/>
                <w:highlight w:val="none"/>
              </w:rPr>
            </w:pPr>
          </w:p>
        </w:tc>
        <w:tc>
          <w:tcPr>
            <w:tcW w:w="1592" w:type="dxa"/>
            <w:vAlign w:val="center"/>
          </w:tcPr>
          <w:p>
            <w:pPr>
              <w:widowControl/>
              <w:spacing w:line="240" w:lineRule="auto"/>
              <w:jc w:val="center"/>
              <w:textAlignment w:val="center"/>
              <w:rPr>
                <w:rFonts w:ascii="宋体" w:hAnsi="宋体" w:cs="宋体"/>
                <w:color w:val="auto"/>
                <w:sz w:val="16"/>
                <w:szCs w:val="16"/>
                <w:highlight w:val="none"/>
              </w:rPr>
            </w:pPr>
            <w:r>
              <w:rPr>
                <w:rFonts w:hint="eastAsia" w:ascii="宋体" w:hAnsi="宋体" w:cs="宋体"/>
                <w:color w:val="auto"/>
                <w:sz w:val="16"/>
                <w:szCs w:val="16"/>
                <w:highlight w:val="none"/>
              </w:rPr>
              <w:t>环境标志</w:t>
            </w:r>
          </w:p>
          <w:p>
            <w:pPr>
              <w:widowControl/>
              <w:spacing w:line="240" w:lineRule="auto"/>
              <w:jc w:val="center"/>
              <w:textAlignment w:val="center"/>
              <w:rPr>
                <w:rFonts w:ascii="宋体" w:hAnsi="宋体" w:cs="宋体"/>
                <w:color w:val="auto"/>
                <w:sz w:val="11"/>
                <w:szCs w:val="11"/>
                <w:highlight w:val="none"/>
              </w:rPr>
            </w:pPr>
            <w:r>
              <w:rPr>
                <w:rFonts w:hint="eastAsia" w:ascii="宋体" w:hAnsi="宋体" w:cs="宋体"/>
                <w:color w:val="auto"/>
                <w:sz w:val="16"/>
                <w:szCs w:val="16"/>
                <w:highlight w:val="none"/>
              </w:rPr>
              <w:t>和节能环保产品认证</w:t>
            </w:r>
          </w:p>
        </w:tc>
        <w:tc>
          <w:tcPr>
            <w:tcW w:w="7615" w:type="dxa"/>
            <w:tcBorders>
              <w:bottom w:val="single" w:color="auto" w:sz="4" w:space="0"/>
            </w:tcBorders>
            <w:vAlign w:val="center"/>
          </w:tcPr>
          <w:p>
            <w:pPr>
              <w:widowControl/>
              <w:spacing w:line="240" w:lineRule="auto"/>
              <w:textAlignment w:val="center"/>
              <w:rPr>
                <w:rFonts w:ascii="宋体" w:hAnsi="宋体" w:cs="宋体"/>
                <w:b/>
                <w:color w:val="auto"/>
                <w:sz w:val="16"/>
                <w:szCs w:val="16"/>
                <w:highlight w:val="none"/>
              </w:rPr>
            </w:pPr>
            <w:r>
              <w:rPr>
                <w:rFonts w:hint="eastAsia" w:ascii="宋体" w:hAnsi="宋体" w:cs="宋体"/>
                <w:b/>
                <w:color w:val="auto"/>
                <w:sz w:val="16"/>
                <w:szCs w:val="16"/>
                <w:highlight w:val="none"/>
              </w:rPr>
              <w:t>客观分：</w:t>
            </w:r>
          </w:p>
          <w:p>
            <w:pPr>
              <w:widowControl/>
              <w:spacing w:line="240" w:lineRule="auto"/>
              <w:textAlignment w:val="center"/>
              <w:rPr>
                <w:rFonts w:ascii="宋体" w:hAnsi="宋体" w:cs="宋体"/>
                <w:color w:val="auto"/>
                <w:sz w:val="16"/>
                <w:szCs w:val="16"/>
                <w:highlight w:val="none"/>
              </w:rPr>
            </w:pPr>
            <w:r>
              <w:rPr>
                <w:rFonts w:hint="eastAsia" w:ascii="宋体" w:hAnsi="宋体" w:cs="宋体"/>
                <w:color w:val="auto"/>
                <w:sz w:val="16"/>
                <w:szCs w:val="16"/>
                <w:highlight w:val="none"/>
              </w:rPr>
              <w:t>1.投标人具有中国环境标志产品认证证书，认证单元至少包含以下内容：礼堂椅、折叠桌（折叠培训桌、培训桌）、折叠椅（折叠培训椅、培训椅），提供并符合的得2分。</w:t>
            </w:r>
          </w:p>
          <w:p>
            <w:pPr>
              <w:widowControl/>
              <w:spacing w:line="240" w:lineRule="auto"/>
              <w:textAlignment w:val="center"/>
              <w:rPr>
                <w:rFonts w:ascii="宋体" w:hAnsi="宋体" w:cs="宋体"/>
                <w:color w:val="auto"/>
                <w:sz w:val="16"/>
                <w:szCs w:val="16"/>
                <w:highlight w:val="none"/>
              </w:rPr>
            </w:pPr>
            <w:r>
              <w:rPr>
                <w:rFonts w:hint="eastAsia" w:ascii="宋体" w:hAnsi="宋体" w:cs="宋体"/>
                <w:color w:val="auto"/>
                <w:sz w:val="16"/>
                <w:szCs w:val="16"/>
                <w:highlight w:val="none"/>
              </w:rPr>
              <w:t>2.</w:t>
            </w:r>
            <w:bookmarkStart w:id="173" w:name="OLE_LINK96"/>
            <w:r>
              <w:rPr>
                <w:rFonts w:hint="eastAsia" w:ascii="宋体" w:hAnsi="宋体" w:cs="宋体"/>
                <w:color w:val="auto"/>
                <w:sz w:val="16"/>
                <w:szCs w:val="16"/>
                <w:highlight w:val="none"/>
              </w:rPr>
              <w:t>投标人具有中国环境保护产品认证证书</w:t>
            </w:r>
            <w:bookmarkEnd w:id="173"/>
            <w:r>
              <w:rPr>
                <w:rFonts w:hint="eastAsia" w:ascii="宋体" w:hAnsi="宋体" w:cs="宋体"/>
                <w:color w:val="auto"/>
                <w:sz w:val="16"/>
                <w:szCs w:val="16"/>
                <w:highlight w:val="none"/>
              </w:rPr>
              <w:t>，认证产品至少包含以下内容：礼堂椅、折叠桌（折叠培训桌、培训桌）、折叠椅（折叠培训椅、培训椅），提供并符合的得2分。</w:t>
            </w:r>
          </w:p>
          <w:p>
            <w:pPr>
              <w:widowControl/>
              <w:spacing w:line="240" w:lineRule="auto"/>
              <w:textAlignment w:val="center"/>
              <w:rPr>
                <w:rFonts w:ascii="宋体" w:hAnsi="宋体" w:cs="宋体"/>
                <w:b/>
                <w:color w:val="auto"/>
                <w:sz w:val="11"/>
                <w:szCs w:val="11"/>
                <w:highlight w:val="none"/>
              </w:rPr>
            </w:pPr>
            <w:r>
              <w:rPr>
                <w:rFonts w:hint="eastAsia" w:ascii="宋体" w:hAnsi="宋体" w:cs="宋体"/>
                <w:b/>
                <w:color w:val="auto"/>
                <w:sz w:val="16"/>
                <w:szCs w:val="16"/>
                <w:highlight w:val="none"/>
              </w:rPr>
              <w:t>注：</w:t>
            </w:r>
            <w:r>
              <w:rPr>
                <w:rFonts w:hint="eastAsia" w:ascii="宋体" w:hAnsi="宋体" w:cs="宋体"/>
                <w:b/>
                <w:bCs/>
                <w:color w:val="auto"/>
                <w:sz w:val="16"/>
                <w:szCs w:val="16"/>
                <w:highlight w:val="none"/>
              </w:rPr>
              <w:t>须提供相关证书材料影印件并提供中国国家认证认可监督管理委员会官方网站（http://www.cnca.gov.cn/）的认证信息网页截图；如供应商提供的证书材料信息与网页不一致的，本项不得分。认证单元或认证产品至少包含上述内容，如内容不全则不得分。</w:t>
            </w:r>
            <w:r>
              <w:rPr>
                <w:rFonts w:hint="eastAsia" w:ascii="宋体" w:hAnsi="宋体" w:cs="宋体"/>
                <w:b/>
                <w:bCs/>
                <w:color w:val="auto"/>
                <w:kern w:val="0"/>
                <w:sz w:val="16"/>
                <w:szCs w:val="16"/>
                <w:highlight w:val="none"/>
                <w:lang w:bidi="ar"/>
              </w:rPr>
              <w:t>如投标产品非投标人自行生产，需指定产品制造商，并提供授权委托书，否则不得分。</w:t>
            </w:r>
          </w:p>
        </w:tc>
        <w:tc>
          <w:tcPr>
            <w:tcW w:w="706" w:type="dxa"/>
            <w:tcBorders>
              <w:bottom w:val="single" w:color="auto" w:sz="4" w:space="0"/>
            </w:tcBorders>
            <w:vAlign w:val="center"/>
          </w:tcPr>
          <w:p>
            <w:pPr>
              <w:widowControl/>
              <w:spacing w:line="240" w:lineRule="auto"/>
              <w:jc w:val="center"/>
              <w:textAlignment w:val="center"/>
              <w:rPr>
                <w:rFonts w:ascii="宋体" w:hAnsi="宋体" w:cs="宋体"/>
                <w:color w:val="auto"/>
                <w:kern w:val="0"/>
                <w:sz w:val="20"/>
                <w:szCs w:val="20"/>
                <w:highlight w:val="none"/>
              </w:rPr>
            </w:pPr>
          </w:p>
        </w:tc>
        <w:tc>
          <w:tcPr>
            <w:tcW w:w="706" w:type="dxa"/>
            <w:tcBorders>
              <w:bottom w:val="single" w:color="auto" w:sz="4" w:space="0"/>
            </w:tcBorders>
            <w:vAlign w:val="center"/>
          </w:tcPr>
          <w:p>
            <w:pPr>
              <w:widowControl/>
              <w:spacing w:line="240" w:lineRule="auto"/>
              <w:jc w:val="center"/>
              <w:textAlignment w:val="center"/>
              <w:rPr>
                <w:rFonts w:hint="eastAsia" w:ascii="宋体" w:hAnsi="宋体" w:cs="宋体"/>
                <w:color w:val="auto"/>
                <w:kern w:val="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pacing w:line="240" w:lineRule="auto"/>
              <w:jc w:val="center"/>
              <w:rPr>
                <w:rFonts w:ascii="宋体" w:hAnsi="宋体" w:cs="宋体"/>
                <w:b/>
                <w:bCs/>
                <w:color w:val="auto"/>
                <w:sz w:val="20"/>
                <w:szCs w:val="20"/>
                <w:highlight w:val="none"/>
              </w:rPr>
            </w:pPr>
          </w:p>
        </w:tc>
        <w:tc>
          <w:tcPr>
            <w:tcW w:w="1592" w:type="dxa"/>
            <w:vAlign w:val="center"/>
          </w:tcPr>
          <w:p>
            <w:pPr>
              <w:widowControl/>
              <w:spacing w:line="240" w:lineRule="auto"/>
              <w:jc w:val="center"/>
              <w:textAlignment w:val="center"/>
              <w:rPr>
                <w:rFonts w:ascii="宋体" w:hAnsi="宋体" w:cs="宋体"/>
                <w:color w:val="auto"/>
                <w:sz w:val="11"/>
                <w:szCs w:val="11"/>
                <w:highlight w:val="none"/>
              </w:rPr>
            </w:pPr>
            <w:r>
              <w:rPr>
                <w:rFonts w:hint="eastAsia" w:ascii="宋体" w:hAnsi="宋体" w:cs="宋体"/>
                <w:color w:val="auto"/>
                <w:sz w:val="16"/>
                <w:szCs w:val="16"/>
                <w:highlight w:val="none"/>
              </w:rPr>
              <w:t>类似业绩</w:t>
            </w:r>
          </w:p>
        </w:tc>
        <w:tc>
          <w:tcPr>
            <w:tcW w:w="7615" w:type="dxa"/>
            <w:vAlign w:val="center"/>
          </w:tcPr>
          <w:p>
            <w:pPr>
              <w:widowControl/>
              <w:spacing w:line="240" w:lineRule="auto"/>
              <w:textAlignment w:val="center"/>
              <w:rPr>
                <w:rFonts w:ascii="宋体" w:hAnsi="宋体" w:cs="宋体"/>
                <w:b/>
                <w:color w:val="auto"/>
                <w:sz w:val="16"/>
                <w:szCs w:val="16"/>
                <w:highlight w:val="none"/>
              </w:rPr>
            </w:pPr>
            <w:r>
              <w:rPr>
                <w:rFonts w:hint="eastAsia" w:ascii="宋体" w:hAnsi="宋体" w:cs="宋体"/>
                <w:b/>
                <w:color w:val="auto"/>
                <w:sz w:val="16"/>
                <w:szCs w:val="16"/>
                <w:highlight w:val="none"/>
              </w:rPr>
              <w:t>客观分：</w:t>
            </w:r>
          </w:p>
          <w:p>
            <w:pPr>
              <w:widowControl/>
              <w:spacing w:line="240" w:lineRule="auto"/>
              <w:textAlignment w:val="center"/>
              <w:rPr>
                <w:rFonts w:ascii="宋体" w:hAnsi="宋体" w:cs="宋体"/>
                <w:bCs/>
                <w:color w:val="auto"/>
                <w:sz w:val="16"/>
                <w:szCs w:val="16"/>
                <w:highlight w:val="none"/>
              </w:rPr>
            </w:pPr>
            <w:r>
              <w:rPr>
                <w:rFonts w:hint="eastAsia" w:ascii="宋体" w:hAnsi="宋体" w:cs="宋体"/>
                <w:bCs/>
                <w:color w:val="auto"/>
                <w:sz w:val="16"/>
                <w:szCs w:val="16"/>
                <w:highlight w:val="none"/>
              </w:rPr>
              <w:t>投标人自2022年1月1日（含）以来（以合同签订时间为准），承担过与本项目类似业绩（教学家具类</w:t>
            </w:r>
            <w:r>
              <w:rPr>
                <w:rFonts w:hint="eastAsia" w:ascii="宋体" w:hAnsi="宋体" w:cs="宋体"/>
                <w:bCs/>
                <w:color w:val="auto"/>
                <w:sz w:val="16"/>
                <w:szCs w:val="16"/>
                <w:highlight w:val="none"/>
                <w:lang w:val="en-US" w:eastAsia="zh-CN"/>
              </w:rPr>
              <w:t>供货业绩</w:t>
            </w:r>
            <w:r>
              <w:rPr>
                <w:rFonts w:hint="eastAsia" w:ascii="宋体" w:hAnsi="宋体" w:cs="宋体"/>
                <w:bCs/>
                <w:color w:val="auto"/>
                <w:sz w:val="16"/>
                <w:szCs w:val="16"/>
                <w:highlight w:val="none"/>
              </w:rPr>
              <w:t>），每个得1.5分，最高得3分。</w:t>
            </w:r>
          </w:p>
          <w:p>
            <w:pPr>
              <w:widowControl/>
              <w:spacing w:line="240" w:lineRule="auto"/>
              <w:textAlignment w:val="center"/>
              <w:rPr>
                <w:rFonts w:ascii="宋体" w:hAnsi="宋体" w:cs="宋体"/>
                <w:b/>
                <w:color w:val="auto"/>
                <w:sz w:val="11"/>
                <w:szCs w:val="11"/>
                <w:highlight w:val="none"/>
              </w:rPr>
            </w:pPr>
            <w:r>
              <w:rPr>
                <w:rFonts w:hint="eastAsia" w:ascii="宋体" w:hAnsi="宋体" w:cs="宋体"/>
                <w:b/>
                <w:color w:val="auto"/>
                <w:sz w:val="16"/>
                <w:szCs w:val="16"/>
                <w:highlight w:val="none"/>
              </w:rPr>
              <w:t>注：须提供合同，否则不得分。</w:t>
            </w:r>
          </w:p>
        </w:tc>
        <w:tc>
          <w:tcPr>
            <w:tcW w:w="706" w:type="dxa"/>
            <w:tcBorders>
              <w:bottom w:val="single" w:color="auto" w:sz="4" w:space="0"/>
            </w:tcBorders>
            <w:vAlign w:val="center"/>
          </w:tcPr>
          <w:p>
            <w:pPr>
              <w:widowControl/>
              <w:spacing w:line="240" w:lineRule="auto"/>
              <w:jc w:val="center"/>
              <w:textAlignment w:val="center"/>
              <w:rPr>
                <w:rFonts w:ascii="宋体" w:hAnsi="宋体" w:cs="宋体"/>
                <w:color w:val="auto"/>
                <w:kern w:val="0"/>
                <w:sz w:val="20"/>
                <w:szCs w:val="20"/>
                <w:highlight w:val="none"/>
              </w:rPr>
            </w:pPr>
          </w:p>
        </w:tc>
        <w:tc>
          <w:tcPr>
            <w:tcW w:w="706" w:type="dxa"/>
            <w:tcBorders>
              <w:bottom w:val="single" w:color="auto" w:sz="4" w:space="0"/>
            </w:tcBorders>
            <w:vAlign w:val="center"/>
          </w:tcPr>
          <w:p>
            <w:pPr>
              <w:widowControl/>
              <w:spacing w:line="240" w:lineRule="auto"/>
              <w:jc w:val="center"/>
              <w:textAlignment w:val="center"/>
              <w:rPr>
                <w:rFonts w:hint="eastAsia" w:ascii="宋体" w:hAnsi="宋体" w:cs="宋体"/>
                <w:color w:val="auto"/>
                <w:kern w:val="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pacing w:line="240" w:lineRule="auto"/>
              <w:jc w:val="center"/>
              <w:rPr>
                <w:rFonts w:ascii="宋体" w:hAnsi="宋体" w:cs="宋体"/>
                <w:b/>
                <w:bCs/>
                <w:color w:val="auto"/>
                <w:sz w:val="20"/>
                <w:szCs w:val="20"/>
                <w:highlight w:val="none"/>
              </w:rPr>
            </w:pPr>
          </w:p>
        </w:tc>
        <w:tc>
          <w:tcPr>
            <w:tcW w:w="1592" w:type="dxa"/>
            <w:tcBorders>
              <w:top w:val="single" w:color="auto" w:sz="4" w:space="0"/>
            </w:tcBorders>
            <w:vAlign w:val="center"/>
          </w:tcPr>
          <w:p>
            <w:pPr>
              <w:widowControl/>
              <w:snapToGrid w:val="0"/>
              <w:spacing w:line="240" w:lineRule="auto"/>
              <w:jc w:val="center"/>
              <w:rPr>
                <w:rFonts w:ascii="宋体" w:hAnsi="宋体" w:cs="宋体"/>
                <w:bCs/>
                <w:color w:val="auto"/>
                <w:sz w:val="11"/>
                <w:szCs w:val="11"/>
                <w:highlight w:val="none"/>
              </w:rPr>
            </w:pPr>
            <w:r>
              <w:rPr>
                <w:rFonts w:hint="eastAsia" w:ascii="宋体" w:hAnsi="宋体" w:cs="宋体"/>
                <w:color w:val="auto"/>
                <w:kern w:val="0"/>
                <w:sz w:val="16"/>
                <w:szCs w:val="16"/>
                <w:highlight w:val="none"/>
              </w:rPr>
              <w:t>产品的性能及技术指标</w:t>
            </w:r>
          </w:p>
        </w:tc>
        <w:tc>
          <w:tcPr>
            <w:tcW w:w="7615" w:type="dxa"/>
            <w:tcBorders>
              <w:top w:val="single" w:color="auto" w:sz="4" w:space="0"/>
            </w:tcBorders>
            <w:vAlign w:val="center"/>
          </w:tcPr>
          <w:p>
            <w:pPr>
              <w:spacing w:line="240" w:lineRule="auto"/>
              <w:rPr>
                <w:rFonts w:ascii="宋体" w:hAnsi="宋体" w:cs="宋体"/>
                <w:b/>
                <w:color w:val="auto"/>
                <w:kern w:val="0"/>
                <w:sz w:val="16"/>
                <w:szCs w:val="16"/>
                <w:highlight w:val="none"/>
              </w:rPr>
            </w:pPr>
            <w:r>
              <w:rPr>
                <w:rFonts w:hint="eastAsia" w:ascii="宋体" w:hAnsi="宋体" w:cs="宋体"/>
                <w:b/>
                <w:color w:val="auto"/>
                <w:kern w:val="0"/>
                <w:sz w:val="16"/>
                <w:szCs w:val="16"/>
                <w:highlight w:val="none"/>
              </w:rPr>
              <w:t>客观分：</w:t>
            </w:r>
          </w:p>
          <w:p>
            <w:pPr>
              <w:spacing w:line="240" w:lineRule="auto"/>
              <w:ind w:firstLine="320" w:firstLineChars="200"/>
              <w:jc w:val="left"/>
              <w:rPr>
                <w:rFonts w:ascii="宋体" w:hAnsi="宋体" w:cs="宋体"/>
                <w:bCs/>
                <w:color w:val="auto"/>
                <w:sz w:val="16"/>
                <w:szCs w:val="16"/>
                <w:highlight w:val="none"/>
              </w:rPr>
            </w:pPr>
            <w:r>
              <w:rPr>
                <w:rFonts w:hint="eastAsia" w:ascii="宋体" w:hAnsi="宋体" w:cs="宋体"/>
                <w:bCs/>
                <w:color w:val="auto"/>
                <w:sz w:val="16"/>
                <w:szCs w:val="16"/>
                <w:highlight w:val="none"/>
              </w:rPr>
              <w:t>根据招标文件第三章“二、技术需求”（二）采购清单及供应商提供的“技术规格偏离表”及相关证明材料，全部满足招标文件要求的得2</w:t>
            </w:r>
            <w:r>
              <w:rPr>
                <w:rFonts w:hint="eastAsia" w:ascii="宋体" w:hAnsi="宋体" w:cs="宋体"/>
                <w:bCs/>
                <w:color w:val="auto"/>
                <w:sz w:val="16"/>
                <w:szCs w:val="16"/>
                <w:highlight w:val="none"/>
                <w:lang w:val="en-US" w:eastAsia="zh-CN"/>
              </w:rPr>
              <w:t>2</w:t>
            </w:r>
            <w:r>
              <w:rPr>
                <w:rFonts w:hint="eastAsia" w:ascii="宋体" w:hAnsi="宋体" w:cs="宋体"/>
                <w:bCs/>
                <w:color w:val="auto"/>
                <w:sz w:val="16"/>
                <w:szCs w:val="16"/>
                <w:highlight w:val="none"/>
              </w:rPr>
              <w:t>分。对标注“★”的指标参数负偏离的每项扣</w:t>
            </w:r>
            <w:r>
              <w:rPr>
                <w:rFonts w:hint="eastAsia" w:ascii="宋体" w:hAnsi="宋体" w:cs="宋体"/>
                <w:bCs/>
                <w:color w:val="auto"/>
                <w:sz w:val="16"/>
                <w:szCs w:val="16"/>
                <w:highlight w:val="none"/>
                <w:lang w:val="en-US" w:eastAsia="zh-CN"/>
              </w:rPr>
              <w:t>2</w:t>
            </w:r>
            <w:r>
              <w:rPr>
                <w:rFonts w:hint="eastAsia" w:ascii="宋体" w:hAnsi="宋体" w:cs="宋体"/>
                <w:bCs/>
                <w:color w:val="auto"/>
                <w:sz w:val="16"/>
                <w:szCs w:val="16"/>
                <w:highlight w:val="none"/>
              </w:rPr>
              <w:t>分，其他指标参数负偏离扣</w:t>
            </w:r>
            <w:r>
              <w:rPr>
                <w:rFonts w:hint="eastAsia" w:ascii="宋体" w:hAnsi="宋体" w:cs="宋体"/>
                <w:bCs/>
                <w:color w:val="auto"/>
                <w:sz w:val="16"/>
                <w:szCs w:val="16"/>
                <w:highlight w:val="none"/>
                <w:lang w:val="en-US" w:eastAsia="zh-CN"/>
              </w:rPr>
              <w:t>1</w:t>
            </w:r>
            <w:r>
              <w:rPr>
                <w:rFonts w:hint="eastAsia" w:ascii="宋体" w:hAnsi="宋体" w:cs="宋体"/>
                <w:bCs/>
                <w:color w:val="auto"/>
                <w:sz w:val="16"/>
                <w:szCs w:val="16"/>
                <w:highlight w:val="none"/>
              </w:rPr>
              <w:t>分，扣完为止（相同</w:t>
            </w:r>
            <w:r>
              <w:rPr>
                <w:rFonts w:hint="eastAsia" w:ascii="宋体" w:hAnsi="宋体" w:cs="宋体"/>
                <w:bCs/>
                <w:color w:val="auto"/>
                <w:sz w:val="16"/>
                <w:szCs w:val="16"/>
                <w:highlight w:val="none"/>
                <w:lang w:val="en-US" w:eastAsia="zh-CN"/>
              </w:rPr>
              <w:t>参数</w:t>
            </w:r>
            <w:r>
              <w:rPr>
                <w:rFonts w:hint="eastAsia" w:ascii="宋体" w:hAnsi="宋体" w:cs="宋体"/>
                <w:bCs/>
                <w:color w:val="auto"/>
                <w:sz w:val="16"/>
                <w:szCs w:val="16"/>
                <w:highlight w:val="none"/>
              </w:rPr>
              <w:t>在采购清单内出现多次的，按一次进行评分）。</w:t>
            </w:r>
          </w:p>
          <w:p>
            <w:pPr>
              <w:spacing w:line="240" w:lineRule="auto"/>
              <w:jc w:val="left"/>
              <w:rPr>
                <w:rFonts w:ascii="宋体" w:hAnsi="宋体" w:cs="宋体"/>
                <w:bCs/>
                <w:color w:val="auto"/>
                <w:sz w:val="11"/>
                <w:szCs w:val="11"/>
                <w:highlight w:val="none"/>
              </w:rPr>
            </w:pPr>
            <w:r>
              <w:rPr>
                <w:rFonts w:hint="eastAsia" w:ascii="宋体" w:hAnsi="宋体" w:cs="宋体"/>
                <w:bCs/>
                <w:color w:val="auto"/>
                <w:sz w:val="16"/>
                <w:szCs w:val="16"/>
                <w:highlight w:val="none"/>
              </w:rPr>
              <w:t>注：标注“★”还须提供投标产品国家认可的检测机构出具的材料检测报告或成品检测报告（具体按采购清单要求），否则对应产品的性能及技术指标评审视为负偏离或不响应）。</w:t>
            </w:r>
          </w:p>
        </w:tc>
        <w:tc>
          <w:tcPr>
            <w:tcW w:w="706" w:type="dxa"/>
            <w:tcBorders>
              <w:top w:val="single" w:color="auto" w:sz="4" w:space="0"/>
            </w:tcBorders>
            <w:vAlign w:val="center"/>
          </w:tcPr>
          <w:p>
            <w:pPr>
              <w:spacing w:line="240" w:lineRule="auto"/>
              <w:jc w:val="center"/>
              <w:rPr>
                <w:rFonts w:ascii="宋体" w:hAnsi="宋体" w:cs="宋体"/>
                <w:bCs/>
                <w:color w:val="auto"/>
                <w:sz w:val="20"/>
                <w:szCs w:val="20"/>
                <w:highlight w:val="none"/>
              </w:rPr>
            </w:pPr>
          </w:p>
        </w:tc>
        <w:tc>
          <w:tcPr>
            <w:tcW w:w="706" w:type="dxa"/>
            <w:tcBorders>
              <w:top w:val="single" w:color="auto" w:sz="4" w:space="0"/>
            </w:tcBorders>
            <w:vAlign w:val="center"/>
          </w:tcPr>
          <w:p>
            <w:pPr>
              <w:spacing w:line="240" w:lineRule="auto"/>
              <w:jc w:val="center"/>
              <w:rPr>
                <w:rFonts w:hint="eastAsia" w:ascii="宋体" w:hAnsi="宋体" w:cs="宋体"/>
                <w:bCs/>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pacing w:line="240" w:lineRule="auto"/>
              <w:jc w:val="center"/>
              <w:rPr>
                <w:rFonts w:ascii="宋体" w:hAnsi="宋体" w:cs="宋体"/>
                <w:b/>
                <w:bCs/>
                <w:color w:val="auto"/>
                <w:sz w:val="20"/>
                <w:szCs w:val="20"/>
                <w:highlight w:val="none"/>
              </w:rPr>
            </w:pPr>
          </w:p>
        </w:tc>
        <w:tc>
          <w:tcPr>
            <w:tcW w:w="1592" w:type="dxa"/>
            <w:tcBorders>
              <w:top w:val="single" w:color="auto" w:sz="4" w:space="0"/>
            </w:tcBorders>
            <w:vAlign w:val="center"/>
          </w:tcPr>
          <w:p>
            <w:pPr>
              <w:spacing w:line="240" w:lineRule="auto"/>
              <w:jc w:val="center"/>
              <w:rPr>
                <w:rFonts w:ascii="宋体" w:hAnsi="宋体" w:cs="宋体"/>
                <w:color w:val="auto"/>
                <w:sz w:val="11"/>
                <w:szCs w:val="11"/>
                <w:highlight w:val="none"/>
              </w:rPr>
            </w:pPr>
            <w:r>
              <w:rPr>
                <w:rFonts w:hint="eastAsia" w:ascii="宋体" w:hAnsi="宋体" w:cs="宋体"/>
                <w:color w:val="auto"/>
                <w:kern w:val="0"/>
                <w:sz w:val="16"/>
                <w:szCs w:val="16"/>
                <w:highlight w:val="none"/>
              </w:rPr>
              <w:t>样品</w:t>
            </w:r>
          </w:p>
        </w:tc>
        <w:tc>
          <w:tcPr>
            <w:tcW w:w="7615" w:type="dxa"/>
            <w:tcBorders>
              <w:top w:val="single" w:color="auto" w:sz="4" w:space="0"/>
            </w:tcBorders>
            <w:vAlign w:val="center"/>
          </w:tcPr>
          <w:p>
            <w:pPr>
              <w:spacing w:line="240" w:lineRule="auto"/>
              <w:jc w:val="left"/>
              <w:rPr>
                <w:rFonts w:ascii="宋体" w:hAnsi="宋体" w:cs="宋体"/>
                <w:b/>
                <w:color w:val="auto"/>
                <w:sz w:val="16"/>
                <w:szCs w:val="16"/>
                <w:highlight w:val="none"/>
              </w:rPr>
            </w:pPr>
            <w:r>
              <w:rPr>
                <w:rFonts w:hint="eastAsia" w:ascii="宋体" w:hAnsi="宋体" w:cs="宋体"/>
                <w:b/>
                <w:color w:val="auto"/>
                <w:sz w:val="16"/>
                <w:szCs w:val="16"/>
                <w:highlight w:val="none"/>
              </w:rPr>
              <w:t>主观分：</w:t>
            </w:r>
          </w:p>
          <w:p>
            <w:pPr>
              <w:tabs>
                <w:tab w:val="left" w:pos="312"/>
              </w:tabs>
              <w:spacing w:line="240" w:lineRule="auto"/>
              <w:rPr>
                <w:rFonts w:ascii="宋体" w:hAnsi="宋体" w:cs="宋体"/>
                <w:color w:val="auto"/>
                <w:sz w:val="16"/>
                <w:szCs w:val="16"/>
                <w:highlight w:val="none"/>
              </w:rPr>
            </w:pPr>
            <w:r>
              <w:rPr>
                <w:rFonts w:hint="eastAsia" w:ascii="宋体" w:hAnsi="宋体" w:cs="宋体"/>
                <w:b/>
                <w:bCs/>
                <w:color w:val="auto"/>
                <w:sz w:val="16"/>
                <w:szCs w:val="16"/>
                <w:highlight w:val="none"/>
              </w:rPr>
              <w:t>1.活动看台</w:t>
            </w:r>
            <w:r>
              <w:rPr>
                <w:rFonts w:hint="eastAsia" w:ascii="宋体" w:hAnsi="宋体" w:cs="宋体"/>
                <w:color w:val="auto"/>
                <w:sz w:val="16"/>
                <w:szCs w:val="16"/>
                <w:highlight w:val="none"/>
              </w:rPr>
              <w:t>7分</w:t>
            </w:r>
            <w:r>
              <w:rPr>
                <w:rFonts w:hint="eastAsia" w:ascii="宋体" w:hAnsi="宋体" w:cs="宋体"/>
                <w:b/>
                <w:bCs/>
                <w:color w:val="auto"/>
                <w:sz w:val="16"/>
                <w:szCs w:val="16"/>
                <w:highlight w:val="none"/>
              </w:rPr>
              <w:t>〖</w:t>
            </w:r>
            <w:r>
              <w:rPr>
                <w:rFonts w:hint="eastAsia" w:ascii="宋体" w:hAnsi="宋体" w:cs="宋体"/>
                <w:color w:val="auto"/>
                <w:sz w:val="16"/>
                <w:szCs w:val="16"/>
                <w:highlight w:val="none"/>
              </w:rPr>
              <w:t>小样要求：(1)提供组装好活动座椅单层结构样品1套（包含2位座椅、看台前横梁、后横梁、踏板及木板镶嵌铝合金工字条，并配置踏步）(2)下部行走机构一套。</w:t>
            </w:r>
            <w:r>
              <w:rPr>
                <w:rFonts w:hint="eastAsia" w:ascii="宋体" w:hAnsi="宋体" w:cs="宋体"/>
                <w:b/>
                <w:bCs/>
                <w:color w:val="auto"/>
                <w:sz w:val="16"/>
                <w:szCs w:val="16"/>
                <w:highlight w:val="none"/>
              </w:rPr>
              <w:t>〗。</w:t>
            </w:r>
            <w:r>
              <w:rPr>
                <w:rFonts w:hint="eastAsia" w:ascii="宋体" w:hAnsi="宋体" w:cs="宋体"/>
                <w:color w:val="auto"/>
                <w:sz w:val="16"/>
                <w:szCs w:val="16"/>
                <w:highlight w:val="none"/>
              </w:rPr>
              <w:t>根据提供的样品的款式及符合参数要求的程度、材质、外观、漆膜、制作工艺、结构安全等方面酌情评分:</w:t>
            </w:r>
            <w:r>
              <w:rPr>
                <w:rFonts w:hint="eastAsia"/>
                <w:color w:val="auto"/>
                <w:sz w:val="13"/>
                <w:szCs w:val="16"/>
                <w:highlight w:val="none"/>
              </w:rPr>
              <w:t xml:space="preserve"> </w:t>
            </w:r>
          </w:p>
          <w:p>
            <w:pPr>
              <w:spacing w:line="240" w:lineRule="auto"/>
              <w:rPr>
                <w:rFonts w:ascii="宋体" w:hAnsi="宋体" w:cs="宋体"/>
                <w:color w:val="auto"/>
                <w:sz w:val="16"/>
                <w:szCs w:val="16"/>
                <w:highlight w:val="none"/>
              </w:rPr>
            </w:pPr>
            <w:r>
              <w:rPr>
                <w:rFonts w:hint="eastAsia" w:ascii="宋体" w:hAnsi="宋体" w:cs="宋体"/>
                <w:color w:val="auto"/>
                <w:sz w:val="16"/>
                <w:szCs w:val="16"/>
                <w:highlight w:val="none"/>
              </w:rPr>
              <w:t>（1）样品款式及符合参数要求的程度、材质、外观、漆膜、制作工艺、结构安全等优的7分；</w:t>
            </w:r>
          </w:p>
          <w:p>
            <w:pPr>
              <w:spacing w:line="240" w:lineRule="auto"/>
              <w:rPr>
                <w:rFonts w:ascii="宋体" w:hAnsi="宋体" w:cs="宋体"/>
                <w:color w:val="auto"/>
                <w:sz w:val="16"/>
                <w:szCs w:val="16"/>
                <w:highlight w:val="none"/>
              </w:rPr>
            </w:pPr>
            <w:r>
              <w:rPr>
                <w:rFonts w:hint="eastAsia" w:ascii="宋体" w:hAnsi="宋体" w:cs="宋体"/>
                <w:color w:val="auto"/>
                <w:sz w:val="16"/>
                <w:szCs w:val="16"/>
                <w:highlight w:val="none"/>
              </w:rPr>
              <w:t>（2）样品款式及符合参数要求的程度、材质、外观、漆膜、制作工艺、结构安全等方面进行分档评分；</w:t>
            </w:r>
          </w:p>
          <w:p>
            <w:pPr>
              <w:spacing w:line="240" w:lineRule="auto"/>
              <w:rPr>
                <w:rFonts w:ascii="宋体" w:hAnsi="宋体" w:cs="宋体"/>
                <w:color w:val="auto"/>
                <w:sz w:val="16"/>
                <w:szCs w:val="16"/>
                <w:highlight w:val="none"/>
              </w:rPr>
            </w:pPr>
            <w:r>
              <w:rPr>
                <w:rFonts w:hint="eastAsia" w:ascii="宋体" w:hAnsi="宋体" w:cs="宋体"/>
                <w:color w:val="auto"/>
                <w:sz w:val="16"/>
                <w:szCs w:val="16"/>
                <w:highlight w:val="none"/>
              </w:rPr>
              <w:t>一档：6分；二档：5.5分；三档：5分；四档：4.5分；五档：4分；六档：3.5分；七档：3分；八档：2.5分；九档：2分；十档：1.5分。</w:t>
            </w:r>
          </w:p>
          <w:p>
            <w:pPr>
              <w:spacing w:line="240" w:lineRule="auto"/>
              <w:rPr>
                <w:rFonts w:ascii="宋体" w:hAnsi="宋体" w:cs="宋体"/>
                <w:color w:val="auto"/>
                <w:sz w:val="16"/>
                <w:szCs w:val="16"/>
                <w:highlight w:val="none"/>
              </w:rPr>
            </w:pPr>
            <w:r>
              <w:rPr>
                <w:rFonts w:hint="eastAsia" w:ascii="宋体" w:hAnsi="宋体" w:cs="宋体"/>
                <w:color w:val="auto"/>
                <w:sz w:val="16"/>
                <w:szCs w:val="16"/>
                <w:highlight w:val="none"/>
              </w:rPr>
              <w:t>（3）样品款式及符合参数要求的程度、材质、外观、漆膜、制作工艺、结构安全等差的得1分；</w:t>
            </w:r>
          </w:p>
          <w:p>
            <w:pPr>
              <w:tabs>
                <w:tab w:val="left" w:pos="312"/>
              </w:tabs>
              <w:spacing w:line="240" w:lineRule="auto"/>
              <w:rPr>
                <w:rFonts w:ascii="宋体" w:hAnsi="宋体" w:cs="宋体"/>
                <w:b/>
                <w:bCs/>
                <w:color w:val="auto"/>
                <w:sz w:val="16"/>
                <w:szCs w:val="16"/>
                <w:highlight w:val="none"/>
              </w:rPr>
            </w:pPr>
            <w:r>
              <w:rPr>
                <w:rFonts w:hint="eastAsia" w:ascii="宋体" w:hAnsi="宋体" w:cs="宋体"/>
                <w:color w:val="auto"/>
                <w:sz w:val="16"/>
                <w:szCs w:val="16"/>
                <w:highlight w:val="none"/>
              </w:rPr>
              <w:t>（4）未提供的不得分。</w:t>
            </w:r>
          </w:p>
          <w:p>
            <w:pPr>
              <w:tabs>
                <w:tab w:val="left" w:pos="312"/>
              </w:tabs>
              <w:spacing w:line="240" w:lineRule="auto"/>
              <w:rPr>
                <w:rFonts w:ascii="宋体" w:hAnsi="宋体" w:cs="宋体"/>
                <w:color w:val="auto"/>
                <w:sz w:val="16"/>
                <w:szCs w:val="16"/>
                <w:highlight w:val="none"/>
              </w:rPr>
            </w:pPr>
            <w:r>
              <w:rPr>
                <w:rFonts w:hint="eastAsia" w:ascii="宋体" w:hAnsi="宋体" w:cs="宋体"/>
                <w:color w:val="auto"/>
                <w:sz w:val="16"/>
                <w:szCs w:val="16"/>
                <w:highlight w:val="none"/>
              </w:rPr>
              <w:t>2.礼堂椅站脚:3分（根据采购清单礼堂椅“9.站脚”要求提供）根据材料、功能和安全、外观、制作工艺等方面酌情评分:</w:t>
            </w:r>
          </w:p>
          <w:p>
            <w:pPr>
              <w:spacing w:line="240" w:lineRule="auto"/>
              <w:rPr>
                <w:rFonts w:ascii="宋体" w:hAnsi="宋体" w:cs="宋体"/>
                <w:color w:val="auto"/>
                <w:sz w:val="16"/>
                <w:szCs w:val="16"/>
                <w:highlight w:val="none"/>
              </w:rPr>
            </w:pPr>
            <w:r>
              <w:rPr>
                <w:rFonts w:hint="eastAsia" w:ascii="宋体" w:hAnsi="宋体" w:cs="宋体"/>
                <w:color w:val="auto"/>
                <w:sz w:val="16"/>
                <w:szCs w:val="16"/>
                <w:highlight w:val="none"/>
              </w:rPr>
              <w:t>（1）材料、功能和安全、外观、制作工艺等优的3分；</w:t>
            </w:r>
          </w:p>
          <w:p>
            <w:pPr>
              <w:spacing w:line="240" w:lineRule="auto"/>
              <w:rPr>
                <w:rFonts w:ascii="宋体" w:hAnsi="宋体" w:cs="宋体"/>
                <w:color w:val="auto"/>
                <w:sz w:val="16"/>
                <w:szCs w:val="16"/>
                <w:highlight w:val="none"/>
              </w:rPr>
            </w:pPr>
            <w:r>
              <w:rPr>
                <w:rFonts w:hint="eastAsia" w:ascii="宋体" w:hAnsi="宋体" w:cs="宋体"/>
                <w:color w:val="auto"/>
                <w:sz w:val="16"/>
                <w:szCs w:val="16"/>
                <w:highlight w:val="none"/>
              </w:rPr>
              <w:t>（2）材料、功能和安全、外观、制作工艺等方面进行分档评分；</w:t>
            </w:r>
          </w:p>
          <w:p>
            <w:pPr>
              <w:spacing w:line="240" w:lineRule="auto"/>
              <w:rPr>
                <w:rFonts w:ascii="宋体" w:hAnsi="宋体" w:cs="宋体"/>
                <w:color w:val="auto"/>
                <w:sz w:val="16"/>
                <w:szCs w:val="16"/>
                <w:highlight w:val="none"/>
              </w:rPr>
            </w:pPr>
            <w:r>
              <w:rPr>
                <w:rFonts w:hint="eastAsia" w:ascii="宋体" w:hAnsi="宋体" w:cs="宋体"/>
                <w:color w:val="auto"/>
                <w:sz w:val="16"/>
                <w:szCs w:val="16"/>
                <w:highlight w:val="none"/>
              </w:rPr>
              <w:t>一档：2.5分；二档：2分；三档：1.5分；四档：1分。</w:t>
            </w:r>
          </w:p>
          <w:p>
            <w:pPr>
              <w:spacing w:line="240" w:lineRule="auto"/>
              <w:rPr>
                <w:rFonts w:ascii="宋体" w:hAnsi="宋体" w:cs="宋体"/>
                <w:color w:val="auto"/>
                <w:sz w:val="16"/>
                <w:szCs w:val="16"/>
                <w:highlight w:val="none"/>
              </w:rPr>
            </w:pPr>
            <w:r>
              <w:rPr>
                <w:rFonts w:hint="eastAsia" w:ascii="宋体" w:hAnsi="宋体" w:cs="宋体"/>
                <w:color w:val="auto"/>
                <w:sz w:val="16"/>
                <w:szCs w:val="16"/>
                <w:highlight w:val="none"/>
              </w:rPr>
              <w:t>（3）材料、功能和安全、外观、制作工艺等等差的得0.5分；</w:t>
            </w:r>
          </w:p>
          <w:p>
            <w:pPr>
              <w:tabs>
                <w:tab w:val="left" w:pos="312"/>
              </w:tabs>
              <w:spacing w:line="240" w:lineRule="auto"/>
              <w:rPr>
                <w:rFonts w:ascii="宋体" w:hAnsi="宋体" w:cs="宋体"/>
                <w:b/>
                <w:bCs/>
                <w:color w:val="auto"/>
                <w:sz w:val="11"/>
                <w:szCs w:val="11"/>
                <w:highlight w:val="none"/>
              </w:rPr>
            </w:pPr>
            <w:r>
              <w:rPr>
                <w:rFonts w:hint="eastAsia" w:ascii="宋体" w:hAnsi="宋体" w:cs="宋体"/>
                <w:color w:val="auto"/>
                <w:sz w:val="16"/>
                <w:szCs w:val="16"/>
                <w:highlight w:val="none"/>
              </w:rPr>
              <w:t>（4）未提供的不得分。</w:t>
            </w:r>
          </w:p>
        </w:tc>
        <w:tc>
          <w:tcPr>
            <w:tcW w:w="706" w:type="dxa"/>
            <w:tcBorders>
              <w:top w:val="single" w:color="auto" w:sz="4" w:space="0"/>
            </w:tcBorders>
            <w:vAlign w:val="center"/>
          </w:tcPr>
          <w:p>
            <w:pPr>
              <w:spacing w:line="240" w:lineRule="auto"/>
              <w:textAlignment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w:t>
            </w:r>
          </w:p>
        </w:tc>
        <w:tc>
          <w:tcPr>
            <w:tcW w:w="706" w:type="dxa"/>
            <w:tcBorders>
              <w:top w:val="single" w:color="auto" w:sz="4" w:space="0"/>
            </w:tcBorders>
            <w:vAlign w:val="center"/>
          </w:tcPr>
          <w:p>
            <w:pPr>
              <w:spacing w:line="240" w:lineRule="auto"/>
              <w:textAlignment w:val="center"/>
              <w:rPr>
                <w:rFonts w:hint="eastAsia" w:ascii="宋体" w:hAnsi="宋体" w:cs="宋体"/>
                <w:color w:val="auto"/>
                <w:kern w:val="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pacing w:line="240" w:lineRule="auto"/>
              <w:jc w:val="center"/>
              <w:rPr>
                <w:rFonts w:ascii="宋体" w:hAnsi="宋体" w:cs="宋体"/>
                <w:b/>
                <w:bCs/>
                <w:color w:val="auto"/>
                <w:sz w:val="20"/>
                <w:szCs w:val="20"/>
                <w:highlight w:val="none"/>
              </w:rPr>
            </w:pPr>
          </w:p>
        </w:tc>
        <w:tc>
          <w:tcPr>
            <w:tcW w:w="1592" w:type="dxa"/>
            <w:tcBorders>
              <w:top w:val="single" w:color="auto" w:sz="4" w:space="0"/>
            </w:tcBorders>
            <w:vAlign w:val="center"/>
          </w:tcPr>
          <w:p>
            <w:pPr>
              <w:spacing w:line="240" w:lineRule="auto"/>
              <w:jc w:val="center"/>
              <w:rPr>
                <w:rFonts w:ascii="宋体" w:hAnsi="宋体" w:cs="宋体"/>
                <w:color w:val="auto"/>
                <w:sz w:val="16"/>
                <w:szCs w:val="16"/>
                <w:highlight w:val="none"/>
              </w:rPr>
            </w:pPr>
            <w:r>
              <w:rPr>
                <w:rFonts w:hint="eastAsia" w:ascii="宋体" w:hAnsi="宋体" w:cs="宋体"/>
                <w:color w:val="auto"/>
                <w:sz w:val="16"/>
                <w:szCs w:val="16"/>
                <w:highlight w:val="none"/>
              </w:rPr>
              <w:t>供货和</w:t>
            </w:r>
          </w:p>
          <w:p>
            <w:pPr>
              <w:spacing w:line="240" w:lineRule="auto"/>
              <w:jc w:val="center"/>
              <w:rPr>
                <w:rFonts w:ascii="宋体" w:hAnsi="宋体" w:cs="宋体"/>
                <w:color w:val="auto"/>
                <w:sz w:val="11"/>
                <w:szCs w:val="11"/>
                <w:highlight w:val="none"/>
              </w:rPr>
            </w:pPr>
            <w:r>
              <w:rPr>
                <w:rFonts w:hint="eastAsia" w:ascii="宋体" w:hAnsi="宋体" w:cs="宋体"/>
                <w:color w:val="auto"/>
                <w:sz w:val="16"/>
                <w:szCs w:val="16"/>
                <w:highlight w:val="none"/>
              </w:rPr>
              <w:t>实施方案</w:t>
            </w:r>
          </w:p>
        </w:tc>
        <w:tc>
          <w:tcPr>
            <w:tcW w:w="7615" w:type="dxa"/>
            <w:tcBorders>
              <w:top w:val="single" w:color="auto" w:sz="4" w:space="0"/>
            </w:tcBorders>
            <w:vAlign w:val="center"/>
          </w:tcPr>
          <w:p>
            <w:pPr>
              <w:spacing w:line="240" w:lineRule="auto"/>
              <w:rPr>
                <w:rFonts w:ascii="宋体" w:hAnsi="宋体" w:cs="宋体"/>
                <w:b/>
                <w:color w:val="auto"/>
                <w:sz w:val="16"/>
                <w:szCs w:val="16"/>
                <w:highlight w:val="none"/>
              </w:rPr>
            </w:pPr>
            <w:r>
              <w:rPr>
                <w:rFonts w:hint="eastAsia" w:ascii="宋体" w:hAnsi="宋体" w:cs="宋体"/>
                <w:b/>
                <w:color w:val="auto"/>
                <w:sz w:val="16"/>
                <w:szCs w:val="16"/>
                <w:highlight w:val="none"/>
              </w:rPr>
              <w:t>主观分：</w:t>
            </w:r>
          </w:p>
          <w:p>
            <w:pPr>
              <w:pStyle w:val="2"/>
              <w:spacing w:line="240" w:lineRule="auto"/>
              <w:rPr>
                <w:rFonts w:hint="eastAsia" w:ascii="宋体" w:hAnsi="宋体" w:cs="宋体"/>
                <w:b w:val="0"/>
                <w:color w:val="auto"/>
                <w:sz w:val="16"/>
                <w:szCs w:val="16"/>
                <w:highlight w:val="none"/>
              </w:rPr>
            </w:pPr>
            <w:r>
              <w:rPr>
                <w:rFonts w:hint="eastAsia" w:ascii="宋体" w:hAnsi="宋体" w:cs="宋体"/>
                <w:b w:val="0"/>
                <w:color w:val="auto"/>
                <w:sz w:val="16"/>
                <w:szCs w:val="16"/>
                <w:highlight w:val="none"/>
              </w:rPr>
              <w:t>根据提供的本项目整体实施方案和供货方案、工期进度安排、送货安装时间和人员安排、确保按期交付使用等方案的科学性、全面性和可行性进行综合打分：</w:t>
            </w:r>
          </w:p>
          <w:p>
            <w:pPr>
              <w:pStyle w:val="2"/>
              <w:spacing w:line="240" w:lineRule="auto"/>
              <w:rPr>
                <w:rFonts w:hint="eastAsia" w:ascii="宋体" w:hAnsi="宋体" w:cs="宋体"/>
                <w:b w:val="0"/>
                <w:color w:val="auto"/>
                <w:sz w:val="16"/>
                <w:szCs w:val="16"/>
                <w:highlight w:val="none"/>
              </w:rPr>
            </w:pPr>
            <w:r>
              <w:rPr>
                <w:rFonts w:hint="eastAsia" w:ascii="宋体" w:hAnsi="宋体" w:cs="宋体"/>
                <w:b w:val="0"/>
                <w:color w:val="auto"/>
                <w:sz w:val="16"/>
                <w:szCs w:val="16"/>
                <w:highlight w:val="none"/>
              </w:rPr>
              <w:t>（1）方案详实、内容完整、操作性强的得</w:t>
            </w:r>
            <w:r>
              <w:rPr>
                <w:rFonts w:hint="eastAsia" w:ascii="宋体" w:hAnsi="宋体" w:cs="宋体"/>
                <w:b w:val="0"/>
                <w:color w:val="auto"/>
                <w:sz w:val="16"/>
                <w:szCs w:val="16"/>
                <w:highlight w:val="none"/>
                <w:lang w:val="en-US" w:eastAsia="zh-CN"/>
              </w:rPr>
              <w:t>7</w:t>
            </w:r>
            <w:r>
              <w:rPr>
                <w:rFonts w:hint="eastAsia" w:ascii="宋体" w:hAnsi="宋体" w:cs="宋体"/>
                <w:b w:val="0"/>
                <w:color w:val="auto"/>
                <w:sz w:val="16"/>
                <w:szCs w:val="16"/>
                <w:highlight w:val="none"/>
              </w:rPr>
              <w:t>分；</w:t>
            </w:r>
          </w:p>
          <w:p>
            <w:pPr>
              <w:pStyle w:val="2"/>
              <w:spacing w:line="240" w:lineRule="auto"/>
              <w:rPr>
                <w:rFonts w:hint="eastAsia" w:ascii="宋体" w:hAnsi="宋体" w:cs="宋体"/>
                <w:b w:val="0"/>
                <w:color w:val="auto"/>
                <w:sz w:val="16"/>
                <w:szCs w:val="16"/>
                <w:highlight w:val="none"/>
              </w:rPr>
            </w:pPr>
            <w:r>
              <w:rPr>
                <w:rFonts w:hint="eastAsia" w:ascii="宋体" w:hAnsi="宋体" w:cs="宋体"/>
                <w:b w:val="0"/>
                <w:color w:val="auto"/>
                <w:sz w:val="16"/>
                <w:szCs w:val="16"/>
                <w:highlight w:val="none"/>
              </w:rPr>
              <w:t>（2）方案合理、内容常规、操作简略的给进行分档评分；</w:t>
            </w:r>
          </w:p>
          <w:p>
            <w:pPr>
              <w:pStyle w:val="2"/>
              <w:spacing w:line="240" w:lineRule="auto"/>
              <w:rPr>
                <w:rFonts w:hint="eastAsia" w:ascii="宋体" w:hAnsi="宋体" w:cs="宋体"/>
                <w:b w:val="0"/>
                <w:bCs/>
                <w:color w:val="auto"/>
                <w:sz w:val="16"/>
                <w:szCs w:val="16"/>
                <w:highlight w:val="none"/>
              </w:rPr>
            </w:pPr>
            <w:r>
              <w:rPr>
                <w:rFonts w:hint="eastAsia" w:ascii="宋体" w:hAnsi="宋体" w:cs="宋体"/>
                <w:b w:val="0"/>
                <w:bCs/>
                <w:color w:val="auto"/>
                <w:sz w:val="16"/>
                <w:szCs w:val="16"/>
                <w:highlight w:val="none"/>
              </w:rPr>
              <w:t>一档：</w:t>
            </w:r>
            <w:r>
              <w:rPr>
                <w:rFonts w:hint="eastAsia" w:ascii="宋体" w:hAnsi="宋体" w:cs="宋体"/>
                <w:b w:val="0"/>
                <w:bCs/>
                <w:color w:val="auto"/>
                <w:sz w:val="16"/>
                <w:szCs w:val="16"/>
                <w:highlight w:val="none"/>
                <w:lang w:val="en-US" w:eastAsia="zh-CN"/>
              </w:rPr>
              <w:t>6</w:t>
            </w:r>
            <w:r>
              <w:rPr>
                <w:rFonts w:hint="eastAsia" w:ascii="宋体" w:hAnsi="宋体" w:cs="宋体"/>
                <w:b w:val="0"/>
                <w:bCs/>
                <w:color w:val="auto"/>
                <w:sz w:val="16"/>
                <w:szCs w:val="16"/>
                <w:highlight w:val="none"/>
              </w:rPr>
              <w:t>分  二档：5分  三档  4分  四档：</w:t>
            </w:r>
            <w:r>
              <w:rPr>
                <w:rFonts w:hint="eastAsia" w:ascii="宋体" w:hAnsi="宋体" w:cs="宋体"/>
                <w:b w:val="0"/>
                <w:bCs/>
                <w:color w:val="auto"/>
                <w:sz w:val="16"/>
                <w:szCs w:val="16"/>
                <w:highlight w:val="none"/>
                <w:lang w:val="en-US" w:eastAsia="zh-CN"/>
              </w:rPr>
              <w:t>3</w:t>
            </w:r>
            <w:r>
              <w:rPr>
                <w:rFonts w:hint="eastAsia" w:ascii="宋体" w:hAnsi="宋体" w:cs="宋体"/>
                <w:b w:val="0"/>
                <w:bCs/>
                <w:color w:val="auto"/>
                <w:sz w:val="16"/>
                <w:szCs w:val="16"/>
                <w:highlight w:val="none"/>
              </w:rPr>
              <w:t>分  五档：</w:t>
            </w:r>
            <w:r>
              <w:rPr>
                <w:rFonts w:hint="eastAsia" w:ascii="宋体" w:hAnsi="宋体" w:cs="宋体"/>
                <w:b w:val="0"/>
                <w:bCs/>
                <w:color w:val="auto"/>
                <w:sz w:val="16"/>
                <w:szCs w:val="16"/>
                <w:highlight w:val="none"/>
                <w:lang w:val="en-US" w:eastAsia="zh-CN"/>
              </w:rPr>
              <w:t>2</w:t>
            </w:r>
            <w:r>
              <w:rPr>
                <w:rFonts w:hint="eastAsia" w:ascii="宋体" w:hAnsi="宋体" w:cs="宋体"/>
                <w:b w:val="0"/>
                <w:bCs/>
                <w:color w:val="auto"/>
                <w:sz w:val="16"/>
                <w:szCs w:val="16"/>
                <w:highlight w:val="none"/>
              </w:rPr>
              <w:t>分</w:t>
            </w:r>
          </w:p>
          <w:p>
            <w:pPr>
              <w:pStyle w:val="2"/>
              <w:spacing w:line="240" w:lineRule="auto"/>
              <w:rPr>
                <w:rFonts w:hint="eastAsia" w:ascii="宋体" w:hAnsi="宋体" w:cs="宋体"/>
                <w:b w:val="0"/>
                <w:color w:val="auto"/>
                <w:sz w:val="16"/>
                <w:szCs w:val="16"/>
                <w:highlight w:val="none"/>
              </w:rPr>
            </w:pPr>
            <w:r>
              <w:rPr>
                <w:rFonts w:hint="eastAsia" w:ascii="宋体" w:hAnsi="宋体" w:cs="宋体"/>
                <w:b w:val="0"/>
                <w:color w:val="auto"/>
                <w:sz w:val="16"/>
                <w:szCs w:val="16"/>
                <w:highlight w:val="none"/>
              </w:rPr>
              <w:t>（3）方案粗糙、内容缺漏、操作性差的得1分；</w:t>
            </w:r>
          </w:p>
          <w:p>
            <w:pPr>
              <w:pStyle w:val="2"/>
              <w:spacing w:line="240" w:lineRule="auto"/>
              <w:rPr>
                <w:rFonts w:ascii="宋体" w:hAnsi="宋体" w:cs="宋体"/>
                <w:color w:val="auto"/>
                <w:sz w:val="11"/>
                <w:szCs w:val="11"/>
                <w:highlight w:val="none"/>
              </w:rPr>
            </w:pPr>
            <w:r>
              <w:rPr>
                <w:rFonts w:hint="eastAsia" w:ascii="宋体" w:hAnsi="宋体" w:cs="宋体"/>
                <w:b w:val="0"/>
                <w:color w:val="auto"/>
                <w:sz w:val="16"/>
                <w:szCs w:val="16"/>
                <w:highlight w:val="none"/>
              </w:rPr>
              <w:t>（4）</w:t>
            </w:r>
            <w:r>
              <w:rPr>
                <w:rFonts w:hint="eastAsia" w:ascii="宋体" w:hAnsi="宋体" w:cs="宋体"/>
                <w:b w:val="0"/>
                <w:color w:val="auto"/>
                <w:sz w:val="16"/>
                <w:szCs w:val="16"/>
                <w:highlight w:val="none"/>
                <w:lang w:val="zh-CN"/>
              </w:rPr>
              <w:t>未提供相关内容阐述或不符合项目的不得分。</w:t>
            </w:r>
          </w:p>
        </w:tc>
        <w:tc>
          <w:tcPr>
            <w:tcW w:w="706" w:type="dxa"/>
            <w:tcBorders>
              <w:top w:val="single" w:color="auto" w:sz="4" w:space="0"/>
            </w:tcBorders>
            <w:vAlign w:val="center"/>
          </w:tcPr>
          <w:p>
            <w:pPr>
              <w:widowControl/>
              <w:spacing w:line="240" w:lineRule="auto"/>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w:t>
            </w:r>
          </w:p>
        </w:tc>
        <w:tc>
          <w:tcPr>
            <w:tcW w:w="706" w:type="dxa"/>
            <w:tcBorders>
              <w:top w:val="single" w:color="auto" w:sz="4" w:space="0"/>
            </w:tcBorders>
            <w:vAlign w:val="center"/>
          </w:tcPr>
          <w:p>
            <w:pPr>
              <w:widowControl/>
              <w:spacing w:line="240" w:lineRule="auto"/>
              <w:jc w:val="center"/>
              <w:textAlignment w:val="center"/>
              <w:rPr>
                <w:rFonts w:hint="eastAsia" w:ascii="宋体" w:hAnsi="宋体" w:cs="宋体"/>
                <w:color w:val="auto"/>
                <w:kern w:val="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pacing w:line="240" w:lineRule="auto"/>
              <w:jc w:val="center"/>
              <w:rPr>
                <w:rFonts w:ascii="宋体" w:hAnsi="宋体" w:cs="宋体"/>
                <w:b/>
                <w:bCs/>
                <w:color w:val="auto"/>
                <w:sz w:val="20"/>
                <w:szCs w:val="20"/>
                <w:highlight w:val="none"/>
              </w:rPr>
            </w:pPr>
          </w:p>
        </w:tc>
        <w:tc>
          <w:tcPr>
            <w:tcW w:w="1592" w:type="dxa"/>
            <w:tcBorders>
              <w:top w:val="single" w:color="auto" w:sz="4" w:space="0"/>
            </w:tcBorders>
            <w:vAlign w:val="center"/>
          </w:tcPr>
          <w:p>
            <w:pPr>
              <w:spacing w:line="240" w:lineRule="auto"/>
              <w:jc w:val="center"/>
              <w:rPr>
                <w:rFonts w:ascii="宋体" w:hAnsi="宋体" w:cs="宋体"/>
                <w:color w:val="auto"/>
                <w:sz w:val="16"/>
                <w:szCs w:val="16"/>
                <w:highlight w:val="none"/>
              </w:rPr>
            </w:pPr>
            <w:r>
              <w:rPr>
                <w:rFonts w:hint="eastAsia" w:ascii="宋体" w:hAnsi="宋体" w:cs="宋体"/>
                <w:color w:val="auto"/>
                <w:sz w:val="16"/>
                <w:szCs w:val="16"/>
                <w:highlight w:val="none"/>
              </w:rPr>
              <w:t>质量</w:t>
            </w:r>
          </w:p>
          <w:p>
            <w:pPr>
              <w:spacing w:line="240" w:lineRule="auto"/>
              <w:jc w:val="center"/>
              <w:rPr>
                <w:rFonts w:ascii="宋体" w:hAnsi="宋体" w:cs="宋体"/>
                <w:color w:val="auto"/>
                <w:sz w:val="11"/>
                <w:szCs w:val="11"/>
                <w:highlight w:val="none"/>
              </w:rPr>
            </w:pPr>
            <w:r>
              <w:rPr>
                <w:rFonts w:hint="eastAsia" w:ascii="宋体" w:hAnsi="宋体" w:cs="宋体"/>
                <w:color w:val="auto"/>
                <w:sz w:val="16"/>
                <w:szCs w:val="16"/>
                <w:highlight w:val="none"/>
              </w:rPr>
              <w:t>保证措施</w:t>
            </w:r>
          </w:p>
        </w:tc>
        <w:tc>
          <w:tcPr>
            <w:tcW w:w="7615" w:type="dxa"/>
            <w:tcBorders>
              <w:top w:val="single" w:color="auto" w:sz="4" w:space="0"/>
            </w:tcBorders>
            <w:vAlign w:val="center"/>
          </w:tcPr>
          <w:p>
            <w:pPr>
              <w:spacing w:line="240" w:lineRule="auto"/>
              <w:rPr>
                <w:rFonts w:ascii="宋体" w:hAnsi="宋体" w:cs="宋体"/>
                <w:b/>
                <w:color w:val="auto"/>
                <w:sz w:val="16"/>
                <w:szCs w:val="16"/>
                <w:highlight w:val="none"/>
              </w:rPr>
            </w:pPr>
            <w:r>
              <w:rPr>
                <w:rFonts w:hint="eastAsia" w:ascii="宋体" w:hAnsi="宋体" w:cs="宋体"/>
                <w:b/>
                <w:color w:val="auto"/>
                <w:sz w:val="16"/>
                <w:szCs w:val="16"/>
                <w:highlight w:val="none"/>
              </w:rPr>
              <w:t>主观分：</w:t>
            </w:r>
          </w:p>
          <w:p>
            <w:pPr>
              <w:pStyle w:val="2"/>
              <w:spacing w:line="240" w:lineRule="auto"/>
              <w:rPr>
                <w:rFonts w:hint="eastAsia" w:ascii="宋体" w:hAnsi="宋体" w:cs="宋体"/>
                <w:b w:val="0"/>
                <w:color w:val="auto"/>
                <w:sz w:val="16"/>
                <w:szCs w:val="16"/>
                <w:highlight w:val="none"/>
              </w:rPr>
            </w:pPr>
            <w:r>
              <w:rPr>
                <w:rFonts w:hint="eastAsia" w:ascii="宋体" w:hAnsi="宋体" w:cs="宋体"/>
                <w:b w:val="0"/>
                <w:color w:val="auto"/>
                <w:sz w:val="16"/>
                <w:szCs w:val="16"/>
                <w:highlight w:val="none"/>
              </w:rPr>
              <w:t>根据供应商提供的针对本项目的质量保证措施、品质管理方案（包括供货期内产品生产、安装、调试、验收方案等）的全面性、科学性和可行性进行综合打分：</w:t>
            </w:r>
          </w:p>
          <w:p>
            <w:pPr>
              <w:pStyle w:val="2"/>
              <w:spacing w:line="240" w:lineRule="auto"/>
              <w:rPr>
                <w:rFonts w:hint="eastAsia" w:ascii="宋体" w:hAnsi="宋体" w:cs="宋体"/>
                <w:b w:val="0"/>
                <w:color w:val="auto"/>
                <w:sz w:val="16"/>
                <w:szCs w:val="16"/>
                <w:highlight w:val="none"/>
              </w:rPr>
            </w:pPr>
            <w:r>
              <w:rPr>
                <w:rFonts w:hint="eastAsia" w:ascii="宋体" w:hAnsi="宋体" w:cs="宋体"/>
                <w:b w:val="0"/>
                <w:color w:val="auto"/>
                <w:sz w:val="16"/>
                <w:szCs w:val="16"/>
                <w:highlight w:val="none"/>
              </w:rPr>
              <w:t>（1）方案详实、内容完整、操作性强的得</w:t>
            </w:r>
            <w:r>
              <w:rPr>
                <w:rFonts w:hint="eastAsia" w:ascii="宋体" w:hAnsi="宋体" w:cs="宋体"/>
                <w:b w:val="0"/>
                <w:color w:val="auto"/>
                <w:sz w:val="16"/>
                <w:szCs w:val="16"/>
                <w:highlight w:val="none"/>
                <w:lang w:val="en-US" w:eastAsia="zh-CN"/>
              </w:rPr>
              <w:t>7</w:t>
            </w:r>
            <w:r>
              <w:rPr>
                <w:rFonts w:hint="eastAsia" w:ascii="宋体" w:hAnsi="宋体" w:cs="宋体"/>
                <w:b w:val="0"/>
                <w:color w:val="auto"/>
                <w:sz w:val="16"/>
                <w:szCs w:val="16"/>
                <w:highlight w:val="none"/>
              </w:rPr>
              <w:t>分；</w:t>
            </w:r>
          </w:p>
          <w:p>
            <w:pPr>
              <w:pStyle w:val="2"/>
              <w:spacing w:line="240" w:lineRule="auto"/>
              <w:rPr>
                <w:rFonts w:hint="eastAsia" w:ascii="宋体" w:hAnsi="宋体" w:cs="宋体"/>
                <w:b w:val="0"/>
                <w:color w:val="auto"/>
                <w:sz w:val="16"/>
                <w:szCs w:val="16"/>
                <w:highlight w:val="none"/>
              </w:rPr>
            </w:pPr>
            <w:r>
              <w:rPr>
                <w:rFonts w:hint="eastAsia" w:ascii="宋体" w:hAnsi="宋体" w:cs="宋体"/>
                <w:b w:val="0"/>
                <w:color w:val="auto"/>
                <w:sz w:val="16"/>
                <w:szCs w:val="16"/>
                <w:highlight w:val="none"/>
              </w:rPr>
              <w:t>（2）方案合理、内容常规、操作简略的给进行分档评分；</w:t>
            </w:r>
          </w:p>
          <w:p>
            <w:pPr>
              <w:pStyle w:val="2"/>
              <w:spacing w:line="240" w:lineRule="auto"/>
              <w:rPr>
                <w:rFonts w:hint="eastAsia" w:ascii="宋体" w:hAnsi="宋体" w:cs="宋体"/>
                <w:b w:val="0"/>
                <w:bCs/>
                <w:color w:val="auto"/>
                <w:sz w:val="16"/>
                <w:szCs w:val="16"/>
                <w:highlight w:val="none"/>
              </w:rPr>
            </w:pPr>
            <w:r>
              <w:rPr>
                <w:rFonts w:hint="eastAsia" w:ascii="宋体" w:hAnsi="宋体" w:cs="宋体"/>
                <w:b w:val="0"/>
                <w:bCs/>
                <w:color w:val="auto"/>
                <w:sz w:val="16"/>
                <w:szCs w:val="16"/>
                <w:highlight w:val="none"/>
              </w:rPr>
              <w:t>一档：</w:t>
            </w:r>
            <w:r>
              <w:rPr>
                <w:rFonts w:hint="eastAsia" w:ascii="宋体" w:hAnsi="宋体" w:cs="宋体"/>
                <w:b w:val="0"/>
                <w:bCs/>
                <w:color w:val="auto"/>
                <w:sz w:val="16"/>
                <w:szCs w:val="16"/>
                <w:highlight w:val="none"/>
                <w:lang w:val="en-US" w:eastAsia="zh-CN"/>
              </w:rPr>
              <w:t>6</w:t>
            </w:r>
            <w:r>
              <w:rPr>
                <w:rFonts w:hint="eastAsia" w:ascii="宋体" w:hAnsi="宋体" w:cs="宋体"/>
                <w:b w:val="0"/>
                <w:bCs/>
                <w:color w:val="auto"/>
                <w:sz w:val="16"/>
                <w:szCs w:val="16"/>
                <w:highlight w:val="none"/>
              </w:rPr>
              <w:t>分  二档：5分  三档  4分  四档：</w:t>
            </w:r>
            <w:r>
              <w:rPr>
                <w:rFonts w:hint="eastAsia" w:ascii="宋体" w:hAnsi="宋体" w:cs="宋体"/>
                <w:b w:val="0"/>
                <w:bCs/>
                <w:color w:val="auto"/>
                <w:sz w:val="16"/>
                <w:szCs w:val="16"/>
                <w:highlight w:val="none"/>
                <w:lang w:val="en-US" w:eastAsia="zh-CN"/>
              </w:rPr>
              <w:t>3</w:t>
            </w:r>
            <w:r>
              <w:rPr>
                <w:rFonts w:hint="eastAsia" w:ascii="宋体" w:hAnsi="宋体" w:cs="宋体"/>
                <w:b w:val="0"/>
                <w:bCs/>
                <w:color w:val="auto"/>
                <w:sz w:val="16"/>
                <w:szCs w:val="16"/>
                <w:highlight w:val="none"/>
              </w:rPr>
              <w:t>分  五档：</w:t>
            </w:r>
            <w:r>
              <w:rPr>
                <w:rFonts w:hint="eastAsia" w:ascii="宋体" w:hAnsi="宋体" w:cs="宋体"/>
                <w:b w:val="0"/>
                <w:bCs/>
                <w:color w:val="auto"/>
                <w:sz w:val="16"/>
                <w:szCs w:val="16"/>
                <w:highlight w:val="none"/>
                <w:lang w:val="en-US" w:eastAsia="zh-CN"/>
              </w:rPr>
              <w:t>2</w:t>
            </w:r>
            <w:r>
              <w:rPr>
                <w:rFonts w:hint="eastAsia" w:ascii="宋体" w:hAnsi="宋体" w:cs="宋体"/>
                <w:b w:val="0"/>
                <w:bCs/>
                <w:color w:val="auto"/>
                <w:sz w:val="16"/>
                <w:szCs w:val="16"/>
                <w:highlight w:val="none"/>
              </w:rPr>
              <w:t>分</w:t>
            </w:r>
          </w:p>
          <w:p>
            <w:pPr>
              <w:pStyle w:val="2"/>
              <w:spacing w:line="240" w:lineRule="auto"/>
              <w:rPr>
                <w:rFonts w:hint="eastAsia" w:ascii="宋体" w:hAnsi="宋体" w:cs="宋体"/>
                <w:b w:val="0"/>
                <w:color w:val="auto"/>
                <w:sz w:val="16"/>
                <w:szCs w:val="16"/>
                <w:highlight w:val="none"/>
              </w:rPr>
            </w:pPr>
            <w:r>
              <w:rPr>
                <w:rFonts w:hint="eastAsia" w:ascii="宋体" w:hAnsi="宋体" w:cs="宋体"/>
                <w:b w:val="0"/>
                <w:color w:val="auto"/>
                <w:sz w:val="16"/>
                <w:szCs w:val="16"/>
                <w:highlight w:val="none"/>
              </w:rPr>
              <w:t>（3）方案粗糙、内容缺漏、操作性差的得1分；</w:t>
            </w:r>
          </w:p>
          <w:p>
            <w:pPr>
              <w:pStyle w:val="2"/>
              <w:spacing w:line="240" w:lineRule="auto"/>
              <w:rPr>
                <w:rFonts w:ascii="宋体" w:hAnsi="宋体" w:cs="宋体"/>
                <w:color w:val="auto"/>
                <w:sz w:val="11"/>
                <w:szCs w:val="11"/>
                <w:highlight w:val="none"/>
              </w:rPr>
            </w:pPr>
            <w:r>
              <w:rPr>
                <w:rFonts w:hint="eastAsia" w:ascii="宋体" w:hAnsi="宋体" w:cs="宋体"/>
                <w:b w:val="0"/>
                <w:color w:val="auto"/>
                <w:sz w:val="16"/>
                <w:szCs w:val="16"/>
                <w:highlight w:val="none"/>
              </w:rPr>
              <w:t>（4）</w:t>
            </w:r>
            <w:r>
              <w:rPr>
                <w:rFonts w:hint="eastAsia" w:ascii="宋体" w:hAnsi="宋体" w:cs="宋体"/>
                <w:b w:val="0"/>
                <w:color w:val="auto"/>
                <w:sz w:val="16"/>
                <w:szCs w:val="16"/>
                <w:highlight w:val="none"/>
                <w:lang w:val="zh-CN"/>
              </w:rPr>
              <w:t>未提供相关内容阐述或不符合项目的不得分。</w:t>
            </w:r>
          </w:p>
        </w:tc>
        <w:tc>
          <w:tcPr>
            <w:tcW w:w="706" w:type="dxa"/>
            <w:tcBorders>
              <w:top w:val="single" w:color="auto" w:sz="4" w:space="0"/>
            </w:tcBorders>
            <w:vAlign w:val="center"/>
          </w:tcPr>
          <w:p>
            <w:pPr>
              <w:widowControl/>
              <w:spacing w:line="240" w:lineRule="auto"/>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w:t>
            </w:r>
          </w:p>
        </w:tc>
        <w:tc>
          <w:tcPr>
            <w:tcW w:w="706" w:type="dxa"/>
            <w:tcBorders>
              <w:top w:val="single" w:color="auto" w:sz="4" w:space="0"/>
            </w:tcBorders>
            <w:vAlign w:val="center"/>
          </w:tcPr>
          <w:p>
            <w:pPr>
              <w:widowControl/>
              <w:spacing w:line="240" w:lineRule="auto"/>
              <w:jc w:val="center"/>
              <w:textAlignment w:val="center"/>
              <w:rPr>
                <w:rFonts w:hint="eastAsia" w:ascii="宋体" w:hAnsi="宋体" w:cs="宋体"/>
                <w:color w:val="auto"/>
                <w:kern w:val="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pacing w:line="240" w:lineRule="auto"/>
              <w:jc w:val="center"/>
              <w:rPr>
                <w:rFonts w:ascii="宋体" w:hAnsi="宋体" w:cs="宋体"/>
                <w:b/>
                <w:bCs/>
                <w:color w:val="auto"/>
                <w:sz w:val="20"/>
                <w:szCs w:val="20"/>
                <w:highlight w:val="none"/>
              </w:rPr>
            </w:pPr>
          </w:p>
        </w:tc>
        <w:tc>
          <w:tcPr>
            <w:tcW w:w="1592" w:type="dxa"/>
            <w:tcBorders>
              <w:top w:val="single" w:color="auto" w:sz="4" w:space="0"/>
            </w:tcBorders>
            <w:vAlign w:val="center"/>
          </w:tcPr>
          <w:p>
            <w:pPr>
              <w:spacing w:line="240" w:lineRule="auto"/>
              <w:jc w:val="center"/>
              <w:textAlignment w:val="center"/>
              <w:rPr>
                <w:rFonts w:ascii="宋体" w:hAnsi="宋体" w:cs="宋体"/>
                <w:color w:val="auto"/>
                <w:sz w:val="16"/>
                <w:szCs w:val="16"/>
                <w:highlight w:val="none"/>
              </w:rPr>
            </w:pPr>
            <w:r>
              <w:rPr>
                <w:rFonts w:hint="eastAsia" w:ascii="宋体" w:hAnsi="宋体" w:cs="宋体"/>
                <w:color w:val="auto"/>
                <w:sz w:val="16"/>
                <w:szCs w:val="16"/>
                <w:highlight w:val="none"/>
              </w:rPr>
              <w:t>售后</w:t>
            </w:r>
          </w:p>
          <w:p>
            <w:pPr>
              <w:spacing w:line="240" w:lineRule="auto"/>
              <w:jc w:val="center"/>
              <w:textAlignment w:val="center"/>
              <w:rPr>
                <w:rFonts w:ascii="宋体" w:hAnsi="宋体" w:cs="宋体"/>
                <w:color w:val="auto"/>
                <w:sz w:val="11"/>
                <w:szCs w:val="11"/>
                <w:highlight w:val="none"/>
              </w:rPr>
            </w:pPr>
            <w:r>
              <w:rPr>
                <w:rFonts w:hint="eastAsia" w:ascii="宋体" w:hAnsi="宋体" w:cs="宋体"/>
                <w:color w:val="auto"/>
                <w:sz w:val="16"/>
                <w:szCs w:val="16"/>
                <w:highlight w:val="none"/>
              </w:rPr>
              <w:t>服务方案</w:t>
            </w:r>
          </w:p>
        </w:tc>
        <w:tc>
          <w:tcPr>
            <w:tcW w:w="7615" w:type="dxa"/>
            <w:tcBorders>
              <w:top w:val="single" w:color="auto" w:sz="4" w:space="0"/>
            </w:tcBorders>
            <w:vAlign w:val="center"/>
          </w:tcPr>
          <w:p>
            <w:pPr>
              <w:spacing w:line="240" w:lineRule="auto"/>
              <w:rPr>
                <w:rFonts w:ascii="宋体" w:hAnsi="宋体" w:cs="宋体"/>
                <w:b/>
                <w:color w:val="auto"/>
                <w:sz w:val="16"/>
                <w:szCs w:val="16"/>
                <w:highlight w:val="none"/>
              </w:rPr>
            </w:pPr>
            <w:r>
              <w:rPr>
                <w:rFonts w:hint="eastAsia" w:ascii="宋体" w:hAnsi="宋体" w:cs="宋体"/>
                <w:b/>
                <w:color w:val="auto"/>
                <w:sz w:val="16"/>
                <w:szCs w:val="16"/>
                <w:highlight w:val="none"/>
              </w:rPr>
              <w:t>主观分：</w:t>
            </w:r>
          </w:p>
          <w:p>
            <w:pPr>
              <w:pStyle w:val="2"/>
              <w:spacing w:line="240" w:lineRule="auto"/>
              <w:rPr>
                <w:rFonts w:hint="eastAsia" w:ascii="宋体" w:hAnsi="宋体" w:cs="宋体"/>
                <w:b w:val="0"/>
                <w:bCs/>
                <w:color w:val="auto"/>
                <w:sz w:val="16"/>
                <w:szCs w:val="16"/>
                <w:highlight w:val="none"/>
              </w:rPr>
            </w:pPr>
            <w:r>
              <w:rPr>
                <w:rFonts w:hint="eastAsia" w:ascii="宋体" w:hAnsi="宋体" w:cs="宋体"/>
                <w:b w:val="0"/>
                <w:bCs/>
                <w:color w:val="auto"/>
                <w:sz w:val="16"/>
                <w:szCs w:val="16"/>
                <w:highlight w:val="none"/>
              </w:rPr>
              <w:t>根据供应商提供的售后维护机构和人员情况、提供快速的售后服务响应、售后服务方案、售后服务承诺的可行性、完整性、服务承诺落实的保障措施的可操作性、培训内容及方式的完整性进行综合打分“</w:t>
            </w:r>
          </w:p>
          <w:p>
            <w:pPr>
              <w:pStyle w:val="2"/>
              <w:spacing w:line="240" w:lineRule="auto"/>
              <w:rPr>
                <w:rFonts w:hint="eastAsia" w:ascii="宋体" w:hAnsi="宋体" w:cs="宋体"/>
                <w:b w:val="0"/>
                <w:bCs/>
                <w:color w:val="auto"/>
                <w:sz w:val="16"/>
                <w:szCs w:val="16"/>
                <w:highlight w:val="none"/>
              </w:rPr>
            </w:pPr>
            <w:r>
              <w:rPr>
                <w:rFonts w:hint="eastAsia" w:ascii="宋体" w:hAnsi="宋体" w:cs="宋体"/>
                <w:b w:val="0"/>
                <w:bCs/>
                <w:color w:val="auto"/>
                <w:sz w:val="16"/>
                <w:szCs w:val="16"/>
                <w:highlight w:val="none"/>
              </w:rPr>
              <w:t>（1）服务方案完整，科学合理，可操作性强，完全满足项目需求的得</w:t>
            </w:r>
            <w:r>
              <w:rPr>
                <w:rFonts w:hint="eastAsia" w:ascii="宋体" w:hAnsi="宋体" w:cs="宋体"/>
                <w:b w:val="0"/>
                <w:bCs/>
                <w:color w:val="auto"/>
                <w:sz w:val="16"/>
                <w:szCs w:val="16"/>
                <w:highlight w:val="none"/>
                <w:lang w:val="en-US" w:eastAsia="zh-CN"/>
              </w:rPr>
              <w:t>7</w:t>
            </w:r>
            <w:r>
              <w:rPr>
                <w:rFonts w:hint="eastAsia" w:ascii="宋体" w:hAnsi="宋体" w:cs="宋体"/>
                <w:b w:val="0"/>
                <w:bCs/>
                <w:color w:val="auto"/>
                <w:sz w:val="16"/>
                <w:szCs w:val="16"/>
                <w:highlight w:val="none"/>
              </w:rPr>
              <w:t>分；</w:t>
            </w:r>
          </w:p>
          <w:p>
            <w:pPr>
              <w:pStyle w:val="2"/>
              <w:spacing w:line="240" w:lineRule="auto"/>
              <w:rPr>
                <w:rFonts w:hint="eastAsia" w:ascii="宋体" w:hAnsi="宋体" w:cs="宋体"/>
                <w:b w:val="0"/>
                <w:bCs/>
                <w:color w:val="auto"/>
                <w:sz w:val="16"/>
                <w:szCs w:val="16"/>
                <w:highlight w:val="none"/>
              </w:rPr>
            </w:pPr>
            <w:r>
              <w:rPr>
                <w:rFonts w:hint="eastAsia" w:ascii="宋体" w:hAnsi="宋体" w:cs="宋体"/>
                <w:b w:val="0"/>
                <w:bCs/>
                <w:color w:val="auto"/>
                <w:sz w:val="16"/>
                <w:szCs w:val="16"/>
                <w:highlight w:val="none"/>
              </w:rPr>
              <w:t>（2）服务方案较粗略但能满足项目需求，存在不够科学合理或可操作性不强的进行分档评分：</w:t>
            </w:r>
          </w:p>
          <w:p>
            <w:pPr>
              <w:pStyle w:val="2"/>
              <w:spacing w:line="240" w:lineRule="auto"/>
              <w:rPr>
                <w:rFonts w:hint="eastAsia" w:ascii="宋体" w:hAnsi="宋体" w:cs="宋体"/>
                <w:b w:val="0"/>
                <w:bCs/>
                <w:color w:val="auto"/>
                <w:sz w:val="16"/>
                <w:szCs w:val="16"/>
                <w:highlight w:val="none"/>
              </w:rPr>
            </w:pPr>
            <w:r>
              <w:rPr>
                <w:rFonts w:hint="eastAsia" w:ascii="宋体" w:hAnsi="宋体" w:cs="宋体"/>
                <w:b w:val="0"/>
                <w:bCs/>
                <w:color w:val="auto"/>
                <w:sz w:val="16"/>
                <w:szCs w:val="16"/>
                <w:highlight w:val="none"/>
              </w:rPr>
              <w:t>一档：</w:t>
            </w:r>
            <w:r>
              <w:rPr>
                <w:rFonts w:hint="eastAsia" w:ascii="宋体" w:hAnsi="宋体" w:cs="宋体"/>
                <w:b w:val="0"/>
                <w:bCs/>
                <w:color w:val="auto"/>
                <w:sz w:val="16"/>
                <w:szCs w:val="16"/>
                <w:highlight w:val="none"/>
                <w:lang w:val="en-US" w:eastAsia="zh-CN"/>
              </w:rPr>
              <w:t>6</w:t>
            </w:r>
            <w:r>
              <w:rPr>
                <w:rFonts w:hint="eastAsia" w:ascii="宋体" w:hAnsi="宋体" w:cs="宋体"/>
                <w:b w:val="0"/>
                <w:bCs/>
                <w:color w:val="auto"/>
                <w:sz w:val="16"/>
                <w:szCs w:val="16"/>
                <w:highlight w:val="none"/>
              </w:rPr>
              <w:t>分  二档：5分  三档  4分  四档：</w:t>
            </w:r>
            <w:r>
              <w:rPr>
                <w:rFonts w:hint="eastAsia" w:ascii="宋体" w:hAnsi="宋体" w:cs="宋体"/>
                <w:b w:val="0"/>
                <w:bCs/>
                <w:color w:val="auto"/>
                <w:sz w:val="16"/>
                <w:szCs w:val="16"/>
                <w:highlight w:val="none"/>
                <w:lang w:val="en-US" w:eastAsia="zh-CN"/>
              </w:rPr>
              <w:t>3</w:t>
            </w:r>
            <w:r>
              <w:rPr>
                <w:rFonts w:hint="eastAsia" w:ascii="宋体" w:hAnsi="宋体" w:cs="宋体"/>
                <w:b w:val="0"/>
                <w:bCs/>
                <w:color w:val="auto"/>
                <w:sz w:val="16"/>
                <w:szCs w:val="16"/>
                <w:highlight w:val="none"/>
              </w:rPr>
              <w:t>分  五档：</w:t>
            </w:r>
            <w:r>
              <w:rPr>
                <w:rFonts w:hint="eastAsia" w:ascii="宋体" w:hAnsi="宋体" w:cs="宋体"/>
                <w:b w:val="0"/>
                <w:bCs/>
                <w:color w:val="auto"/>
                <w:sz w:val="16"/>
                <w:szCs w:val="16"/>
                <w:highlight w:val="none"/>
                <w:lang w:val="en-US" w:eastAsia="zh-CN"/>
              </w:rPr>
              <w:t>2</w:t>
            </w:r>
            <w:r>
              <w:rPr>
                <w:rFonts w:hint="eastAsia" w:ascii="宋体" w:hAnsi="宋体" w:cs="宋体"/>
                <w:b w:val="0"/>
                <w:bCs/>
                <w:color w:val="auto"/>
                <w:sz w:val="16"/>
                <w:szCs w:val="16"/>
                <w:highlight w:val="none"/>
              </w:rPr>
              <w:t>分</w:t>
            </w:r>
          </w:p>
          <w:p>
            <w:pPr>
              <w:pStyle w:val="2"/>
              <w:spacing w:line="240" w:lineRule="auto"/>
              <w:rPr>
                <w:rFonts w:hint="eastAsia" w:ascii="宋体" w:hAnsi="宋体" w:cs="宋体"/>
                <w:b w:val="0"/>
                <w:bCs/>
                <w:color w:val="auto"/>
                <w:sz w:val="16"/>
                <w:szCs w:val="16"/>
                <w:highlight w:val="none"/>
              </w:rPr>
            </w:pPr>
            <w:r>
              <w:rPr>
                <w:rFonts w:hint="eastAsia" w:ascii="宋体" w:hAnsi="宋体" w:cs="宋体"/>
                <w:b w:val="0"/>
                <w:bCs/>
                <w:color w:val="auto"/>
                <w:sz w:val="16"/>
                <w:szCs w:val="16"/>
                <w:highlight w:val="none"/>
              </w:rPr>
              <w:t>（3）服务方案内容不全，不能体现售后服务具体内容，不能满足项目需求的得1分；</w:t>
            </w:r>
          </w:p>
          <w:p>
            <w:pPr>
              <w:pStyle w:val="2"/>
              <w:spacing w:line="240" w:lineRule="auto"/>
              <w:rPr>
                <w:rFonts w:ascii="宋体" w:hAnsi="宋体" w:cs="宋体"/>
                <w:color w:val="auto"/>
                <w:sz w:val="11"/>
                <w:szCs w:val="11"/>
                <w:highlight w:val="none"/>
              </w:rPr>
            </w:pPr>
            <w:r>
              <w:rPr>
                <w:rFonts w:hint="eastAsia" w:ascii="宋体" w:hAnsi="宋体" w:cs="宋体"/>
                <w:b w:val="0"/>
                <w:color w:val="auto"/>
                <w:sz w:val="16"/>
                <w:szCs w:val="16"/>
                <w:highlight w:val="none"/>
              </w:rPr>
              <w:t>（4）</w:t>
            </w:r>
            <w:r>
              <w:rPr>
                <w:rFonts w:hint="eastAsia" w:ascii="宋体" w:hAnsi="宋体" w:cs="宋体"/>
                <w:b w:val="0"/>
                <w:color w:val="auto"/>
                <w:sz w:val="16"/>
                <w:szCs w:val="16"/>
                <w:highlight w:val="none"/>
                <w:lang w:val="zh-CN"/>
              </w:rPr>
              <w:t>未提供相关内容阐述或不符合项目的不得分。</w:t>
            </w:r>
          </w:p>
        </w:tc>
        <w:tc>
          <w:tcPr>
            <w:tcW w:w="706" w:type="dxa"/>
            <w:tcBorders>
              <w:top w:val="single" w:color="auto" w:sz="4" w:space="0"/>
            </w:tcBorders>
            <w:vAlign w:val="center"/>
          </w:tcPr>
          <w:p>
            <w:pPr>
              <w:widowControl/>
              <w:spacing w:line="240" w:lineRule="auto"/>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w:t>
            </w:r>
          </w:p>
        </w:tc>
        <w:tc>
          <w:tcPr>
            <w:tcW w:w="706" w:type="dxa"/>
            <w:tcBorders>
              <w:top w:val="single" w:color="auto" w:sz="4" w:space="0"/>
            </w:tcBorders>
            <w:vAlign w:val="center"/>
          </w:tcPr>
          <w:p>
            <w:pPr>
              <w:widowControl/>
              <w:spacing w:line="240" w:lineRule="auto"/>
              <w:jc w:val="center"/>
              <w:textAlignment w:val="center"/>
              <w:rPr>
                <w:rFonts w:hint="eastAsia" w:ascii="宋体" w:hAnsi="宋体" w:cs="宋体"/>
                <w:color w:val="auto"/>
                <w:kern w:val="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spacing w:line="240" w:lineRule="auto"/>
              <w:jc w:val="center"/>
              <w:rPr>
                <w:rFonts w:ascii="宋体" w:hAnsi="宋体" w:cs="宋体"/>
                <w:b/>
                <w:bCs/>
                <w:color w:val="auto"/>
                <w:sz w:val="20"/>
                <w:szCs w:val="20"/>
                <w:highlight w:val="none"/>
              </w:rPr>
            </w:pPr>
          </w:p>
        </w:tc>
        <w:tc>
          <w:tcPr>
            <w:tcW w:w="1592" w:type="dxa"/>
            <w:tcBorders>
              <w:top w:val="single" w:color="auto" w:sz="4" w:space="0"/>
            </w:tcBorders>
            <w:vAlign w:val="center"/>
          </w:tcPr>
          <w:p>
            <w:pPr>
              <w:widowControl/>
              <w:spacing w:line="240" w:lineRule="auto"/>
              <w:jc w:val="center"/>
              <w:rPr>
                <w:rFonts w:ascii="宋体" w:hAnsi="宋体" w:cs="宋体"/>
                <w:color w:val="auto"/>
                <w:sz w:val="11"/>
                <w:szCs w:val="11"/>
                <w:highlight w:val="none"/>
              </w:rPr>
            </w:pPr>
            <w:r>
              <w:rPr>
                <w:rFonts w:hint="eastAsia" w:ascii="宋体" w:hAnsi="宋体" w:cs="宋体"/>
                <w:color w:val="auto"/>
                <w:sz w:val="16"/>
                <w:szCs w:val="16"/>
                <w:highlight w:val="none"/>
              </w:rPr>
              <w:t>项目质保</w:t>
            </w:r>
          </w:p>
        </w:tc>
        <w:tc>
          <w:tcPr>
            <w:tcW w:w="7615" w:type="dxa"/>
            <w:tcBorders>
              <w:top w:val="single" w:color="auto" w:sz="4" w:space="0"/>
            </w:tcBorders>
            <w:vAlign w:val="center"/>
          </w:tcPr>
          <w:p>
            <w:pPr>
              <w:wordWrap w:val="0"/>
              <w:adjustRightInd w:val="0"/>
              <w:snapToGrid w:val="0"/>
              <w:spacing w:line="240" w:lineRule="auto"/>
              <w:jc w:val="left"/>
              <w:rPr>
                <w:rFonts w:ascii="宋体" w:hAnsi="宋体" w:cs="宋体"/>
                <w:b/>
                <w:bCs/>
                <w:color w:val="auto"/>
                <w:sz w:val="16"/>
                <w:szCs w:val="16"/>
                <w:highlight w:val="none"/>
              </w:rPr>
            </w:pPr>
            <w:r>
              <w:rPr>
                <w:rFonts w:hint="eastAsia" w:ascii="宋体" w:hAnsi="宋体" w:cs="宋体"/>
                <w:b/>
                <w:bCs/>
                <w:color w:val="auto"/>
                <w:sz w:val="16"/>
                <w:szCs w:val="16"/>
                <w:highlight w:val="none"/>
              </w:rPr>
              <w:t>客观分：</w:t>
            </w:r>
          </w:p>
          <w:p>
            <w:pPr>
              <w:wordWrap w:val="0"/>
              <w:adjustRightInd w:val="0"/>
              <w:snapToGrid w:val="0"/>
              <w:spacing w:line="240" w:lineRule="auto"/>
              <w:jc w:val="left"/>
              <w:rPr>
                <w:rFonts w:ascii="宋体" w:hAnsi="宋体" w:cs="宋体"/>
                <w:color w:val="auto"/>
                <w:sz w:val="11"/>
                <w:szCs w:val="11"/>
                <w:highlight w:val="none"/>
              </w:rPr>
            </w:pPr>
            <w:r>
              <w:rPr>
                <w:rFonts w:hint="eastAsia" w:ascii="宋体" w:hAnsi="宋体" w:cs="宋体"/>
                <w:color w:val="auto"/>
                <w:sz w:val="16"/>
                <w:szCs w:val="16"/>
                <w:highlight w:val="none"/>
              </w:rPr>
              <w:t>要求质保期不少于3年（自验收合格之日起计算），满足招标文件基本要求的不得分，每增加一年得1分，最高得2分。延保时间不足一年的不得分。注：供应商应出具承诺函（格式自拟），未提供该项内容不得分。</w:t>
            </w:r>
          </w:p>
        </w:tc>
        <w:tc>
          <w:tcPr>
            <w:tcW w:w="706" w:type="dxa"/>
            <w:tcBorders>
              <w:top w:val="single" w:color="auto" w:sz="4" w:space="0"/>
            </w:tcBorders>
            <w:vAlign w:val="center"/>
          </w:tcPr>
          <w:p>
            <w:pPr>
              <w:widowControl/>
              <w:spacing w:line="240" w:lineRule="auto"/>
              <w:jc w:val="center"/>
              <w:rPr>
                <w:rFonts w:ascii="宋体" w:hAnsi="宋体" w:cs="宋体"/>
                <w:color w:val="auto"/>
                <w:sz w:val="20"/>
                <w:szCs w:val="20"/>
                <w:highlight w:val="none"/>
              </w:rPr>
            </w:pPr>
          </w:p>
        </w:tc>
        <w:tc>
          <w:tcPr>
            <w:tcW w:w="706" w:type="dxa"/>
            <w:tcBorders>
              <w:top w:val="single" w:color="auto" w:sz="4" w:space="0"/>
            </w:tcBorders>
            <w:vAlign w:val="center"/>
          </w:tcPr>
          <w:p>
            <w:pPr>
              <w:widowControl/>
              <w:spacing w:line="240" w:lineRule="auto"/>
              <w:jc w:val="center"/>
              <w:rPr>
                <w:rFonts w:hint="eastAsia" w:ascii="宋体" w:hAnsi="宋体" w:cs="宋体"/>
                <w:color w:val="auto"/>
                <w:sz w:val="20"/>
                <w:szCs w:val="20"/>
                <w:highlight w:val="none"/>
              </w:rPr>
            </w:pPr>
          </w:p>
        </w:tc>
      </w:tr>
    </w:tbl>
    <w:p>
      <w:pPr>
        <w:widowControl/>
        <w:jc w:val="left"/>
        <w:rPr>
          <w:rFonts w:ascii="宋体" w:hAnsi="宋体"/>
          <w:b/>
          <w:color w:val="auto"/>
          <w:sz w:val="28"/>
          <w:highlight w:val="none"/>
        </w:rPr>
      </w:pPr>
    </w:p>
    <w:p>
      <w:pPr>
        <w:widowControl/>
        <w:jc w:val="left"/>
        <w:rPr>
          <w:rFonts w:ascii="宋体" w:hAnsi="宋体"/>
          <w:b/>
          <w:color w:val="auto"/>
          <w:sz w:val="28"/>
          <w:highlight w:val="none"/>
        </w:rPr>
      </w:pPr>
      <w:r>
        <w:rPr>
          <w:rFonts w:ascii="宋体" w:hAnsi="宋体"/>
          <w:b/>
          <w:color w:val="auto"/>
          <w:sz w:val="28"/>
          <w:highlight w:val="none"/>
        </w:rPr>
        <w:br w:type="page"/>
      </w:r>
    </w:p>
    <w:p>
      <w:pPr>
        <w:spacing w:line="360" w:lineRule="auto"/>
        <w:rPr>
          <w:rFonts w:ascii="宋体" w:hAnsi="宋体"/>
          <w:b/>
          <w:color w:val="auto"/>
          <w:sz w:val="28"/>
          <w:highlight w:val="none"/>
        </w:rPr>
      </w:pPr>
      <w:r>
        <w:rPr>
          <w:rFonts w:hint="eastAsia" w:ascii="宋体" w:hAnsi="宋体"/>
          <w:b/>
          <w:color w:val="auto"/>
          <w:sz w:val="28"/>
          <w:highlight w:val="none"/>
        </w:rPr>
        <w:t>附件7</w:t>
      </w:r>
    </w:p>
    <w:p>
      <w:pPr>
        <w:adjustRightInd w:val="0"/>
        <w:snapToGrid w:val="0"/>
        <w:spacing w:line="312" w:lineRule="auto"/>
        <w:ind w:right="480"/>
        <w:jc w:val="center"/>
        <w:rPr>
          <w:rFonts w:ascii="宋体" w:hAnsi="宋体"/>
          <w:b/>
          <w:color w:val="auto"/>
          <w:kern w:val="0"/>
          <w:sz w:val="32"/>
          <w:szCs w:val="32"/>
          <w:highlight w:val="none"/>
        </w:rPr>
      </w:pPr>
      <w:bookmarkStart w:id="174" w:name="_Toc20653"/>
      <w:r>
        <w:rPr>
          <w:rFonts w:hint="eastAsia" w:ascii="宋体" w:hAnsi="宋体"/>
          <w:b/>
          <w:color w:val="auto"/>
          <w:kern w:val="0"/>
          <w:sz w:val="32"/>
          <w:szCs w:val="32"/>
          <w:highlight w:val="none"/>
        </w:rPr>
        <w:t>投 标 函</w:t>
      </w:r>
      <w:bookmarkEnd w:id="174"/>
    </w:p>
    <w:p>
      <w:pPr>
        <w:snapToGrid w:val="0"/>
        <w:spacing w:line="380" w:lineRule="exact"/>
        <w:rPr>
          <w:rFonts w:ascii="宋体" w:hAnsi="宋体"/>
          <w:color w:val="auto"/>
          <w:sz w:val="24"/>
          <w:szCs w:val="20"/>
          <w:highlight w:val="none"/>
        </w:rPr>
      </w:pPr>
      <w:r>
        <w:rPr>
          <w:rFonts w:hint="eastAsia" w:ascii="宋体" w:hAnsi="宋体"/>
          <w:color w:val="auto"/>
          <w:sz w:val="24"/>
          <w:highlight w:val="none"/>
        </w:rPr>
        <w:t>致：</w:t>
      </w:r>
      <w:r>
        <w:rPr>
          <w:rFonts w:hint="eastAsia" w:ascii="宋体" w:hAnsi="宋体"/>
          <w:color w:val="auto"/>
          <w:sz w:val="24"/>
          <w:highlight w:val="none"/>
          <w:u w:val="single"/>
        </w:rPr>
        <w:t>浙江中永工程咨询有限公司</w:t>
      </w:r>
      <w:r>
        <w:rPr>
          <w:rFonts w:hint="eastAsia" w:ascii="宋体" w:hAnsi="宋体" w:cs="宋体"/>
          <w:color w:val="auto"/>
          <w:kern w:val="0"/>
          <w:sz w:val="24"/>
          <w:highlight w:val="none"/>
        </w:rPr>
        <w:t>（采购代理机构名称）：</w:t>
      </w:r>
    </w:p>
    <w:p>
      <w:pPr>
        <w:snapToGrid w:val="0"/>
        <w:spacing w:line="380" w:lineRule="exact"/>
        <w:ind w:firstLine="480" w:firstLineChars="200"/>
        <w:rPr>
          <w:rFonts w:ascii="宋体" w:hAnsi="宋体"/>
          <w:color w:val="auto"/>
          <w:sz w:val="24"/>
          <w:highlight w:val="none"/>
        </w:rPr>
      </w:pPr>
      <w:r>
        <w:rPr>
          <w:rFonts w:hint="eastAsia" w:ascii="宋体" w:hAnsi="宋体"/>
          <w:color w:val="auto"/>
          <w:sz w:val="24"/>
          <w:highlight w:val="none"/>
        </w:rPr>
        <w:t>1.我方自愿参加贵方组织的</w:t>
      </w:r>
      <w:r>
        <w:rPr>
          <w:rFonts w:hint="eastAsia" w:ascii="宋体" w:hAnsi="宋体"/>
          <w:color w:val="auto"/>
          <w:sz w:val="24"/>
          <w:highlight w:val="none"/>
          <w:u w:val="single"/>
        </w:rPr>
        <w:t>台州市白云小学改扩建工程（综合楼设备设施）</w:t>
      </w:r>
      <w:r>
        <w:rPr>
          <w:rFonts w:hint="eastAsia" w:ascii="宋体" w:hAnsi="宋体"/>
          <w:color w:val="auto"/>
          <w:sz w:val="24"/>
          <w:highlight w:val="none"/>
        </w:rPr>
        <w:t>项目（项目编号：</w:t>
      </w:r>
      <w:r>
        <w:rPr>
          <w:rFonts w:hint="eastAsia" w:ascii="宋体" w:hAnsi="宋体"/>
          <w:color w:val="auto"/>
          <w:sz w:val="24"/>
          <w:highlight w:val="none"/>
          <w:u w:val="single"/>
        </w:rPr>
        <w:t>ZYZFCG〔2025〕009</w:t>
      </w:r>
      <w:r>
        <w:rPr>
          <w:rFonts w:hint="eastAsia" w:ascii="宋体" w:hAnsi="宋体"/>
          <w:color w:val="auto"/>
          <w:sz w:val="24"/>
          <w:highlight w:val="none"/>
        </w:rPr>
        <w:t>）的投标，并</w:t>
      </w:r>
      <w:r>
        <w:rPr>
          <w:rFonts w:ascii="宋体" w:hAnsi="宋体"/>
          <w:color w:val="auto"/>
          <w:sz w:val="24"/>
          <w:highlight w:val="none"/>
        </w:rPr>
        <w:t>按</w:t>
      </w:r>
      <w:r>
        <w:rPr>
          <w:rFonts w:hint="eastAsia" w:ascii="宋体" w:hAnsi="宋体"/>
          <w:color w:val="auto"/>
          <w:sz w:val="24"/>
          <w:highlight w:val="none"/>
        </w:rPr>
        <w:t>招标文件</w:t>
      </w:r>
      <w:r>
        <w:rPr>
          <w:rFonts w:ascii="宋体" w:hAnsi="宋体"/>
          <w:color w:val="auto"/>
          <w:sz w:val="24"/>
          <w:highlight w:val="none"/>
        </w:rPr>
        <w:t>的要求</w:t>
      </w:r>
      <w:r>
        <w:rPr>
          <w:rFonts w:hint="eastAsia" w:ascii="宋体" w:hAnsi="宋体"/>
          <w:color w:val="auto"/>
          <w:sz w:val="24"/>
          <w:highlight w:val="none"/>
        </w:rPr>
        <w:t>提交投标文件。</w:t>
      </w:r>
    </w:p>
    <w:p>
      <w:pPr>
        <w:adjustRightInd w:val="0"/>
        <w:snapToGrid w:val="0"/>
        <w:spacing w:line="360" w:lineRule="exact"/>
        <w:ind w:firstLine="480" w:firstLineChars="200"/>
        <w:rPr>
          <w:rFonts w:ascii="宋体" w:hAnsi="宋体"/>
          <w:color w:val="auto"/>
          <w:sz w:val="24"/>
          <w:highlight w:val="none"/>
        </w:rPr>
      </w:pPr>
      <w:r>
        <w:rPr>
          <w:rFonts w:hint="eastAsia" w:ascii="宋体" w:hAnsi="宋体"/>
          <w:color w:val="auto"/>
          <w:sz w:val="24"/>
          <w:highlight w:val="none"/>
        </w:rPr>
        <w:t>2.我方完全理解并接受招标文件（包括更正文件）的各项规定和要求，不再对招标文件的合理性、合法性等相关内容提出质疑或投诉。</w:t>
      </w:r>
    </w:p>
    <w:p>
      <w:pPr>
        <w:adjustRightInd w:val="0"/>
        <w:snapToGrid w:val="0"/>
        <w:spacing w:line="360" w:lineRule="exact"/>
        <w:ind w:firstLine="480" w:firstLineChars="200"/>
        <w:rPr>
          <w:rFonts w:ascii="宋体" w:hAnsi="宋体"/>
          <w:color w:val="auto"/>
          <w:sz w:val="24"/>
          <w:highlight w:val="none"/>
        </w:rPr>
      </w:pPr>
      <w:r>
        <w:rPr>
          <w:rFonts w:hint="eastAsia" w:ascii="宋体" w:hAnsi="宋体"/>
          <w:color w:val="auto"/>
          <w:sz w:val="24"/>
          <w:highlight w:val="none"/>
        </w:rPr>
        <w:t>3.我方不是采购单位的附属机构以及其它法律法规所规定的限制投标单位。</w:t>
      </w:r>
    </w:p>
    <w:p>
      <w:pPr>
        <w:adjustRightInd w:val="0"/>
        <w:snapToGrid w:val="0"/>
        <w:spacing w:line="360" w:lineRule="exact"/>
        <w:ind w:firstLine="480" w:firstLineChars="200"/>
        <w:rPr>
          <w:rFonts w:ascii="宋体" w:hAnsi="宋体"/>
          <w:color w:val="auto"/>
          <w:sz w:val="24"/>
          <w:highlight w:val="none"/>
        </w:rPr>
      </w:pPr>
      <w:r>
        <w:rPr>
          <w:rFonts w:hint="eastAsia" w:ascii="宋体" w:hAnsi="宋体"/>
          <w:color w:val="auto"/>
          <w:sz w:val="24"/>
          <w:highlight w:val="none"/>
        </w:rPr>
        <w:t>4.我方向贵方提交的所有投标文件、资料（包括所有证明材料等）都是准确、真实、合规的，如有虚假或隐瞒，我方愿意承担一切后果。</w:t>
      </w:r>
    </w:p>
    <w:p>
      <w:pPr>
        <w:adjustRightInd w:val="0"/>
        <w:snapToGrid w:val="0"/>
        <w:spacing w:line="360" w:lineRule="exact"/>
        <w:ind w:firstLine="480" w:firstLineChars="200"/>
        <w:rPr>
          <w:rFonts w:ascii="宋体" w:hAnsi="宋体"/>
          <w:color w:val="auto"/>
          <w:sz w:val="24"/>
          <w:highlight w:val="none"/>
        </w:rPr>
      </w:pPr>
      <w:r>
        <w:rPr>
          <w:rFonts w:hint="eastAsia" w:ascii="宋体" w:hAnsi="宋体"/>
          <w:color w:val="auto"/>
          <w:sz w:val="24"/>
          <w:highlight w:val="none"/>
        </w:rPr>
        <w:t>5.本单位与采购人、其他所有供应商之间均不存在利害关系。</w:t>
      </w:r>
    </w:p>
    <w:p>
      <w:pPr>
        <w:adjustRightInd w:val="0"/>
        <w:snapToGrid w:val="0"/>
        <w:spacing w:line="360" w:lineRule="exact"/>
        <w:ind w:firstLine="480" w:firstLineChars="200"/>
        <w:rPr>
          <w:rFonts w:ascii="宋体" w:hAnsi="宋体"/>
          <w:color w:val="auto"/>
          <w:sz w:val="24"/>
          <w:highlight w:val="none"/>
        </w:rPr>
      </w:pPr>
      <w:r>
        <w:rPr>
          <w:rFonts w:hint="eastAsia" w:ascii="宋体" w:hAnsi="宋体"/>
          <w:color w:val="auto"/>
          <w:sz w:val="24"/>
          <w:highlight w:val="none"/>
        </w:rPr>
        <w:t>6.本单位不与采购人或采购组织机构串通投标，损害国家利益、社会公共利益或者他人的合法权益。</w:t>
      </w:r>
    </w:p>
    <w:p>
      <w:pPr>
        <w:adjustRightInd w:val="0"/>
        <w:snapToGrid w:val="0"/>
        <w:spacing w:line="360" w:lineRule="exact"/>
        <w:ind w:firstLine="480" w:firstLineChars="200"/>
        <w:rPr>
          <w:rFonts w:ascii="宋体" w:hAnsi="宋体"/>
          <w:color w:val="auto"/>
          <w:sz w:val="24"/>
          <w:highlight w:val="none"/>
        </w:rPr>
      </w:pPr>
      <w:r>
        <w:rPr>
          <w:rFonts w:hint="eastAsia" w:ascii="宋体" w:hAnsi="宋体"/>
          <w:color w:val="auto"/>
          <w:sz w:val="24"/>
          <w:highlight w:val="none"/>
        </w:rPr>
        <w:t>7.本单位不向招采购人或者评标委员会成员行贿以牟取中标。</w:t>
      </w:r>
    </w:p>
    <w:p>
      <w:pPr>
        <w:adjustRightInd w:val="0"/>
        <w:snapToGrid w:val="0"/>
        <w:spacing w:line="360" w:lineRule="exact"/>
        <w:ind w:firstLine="480" w:firstLineChars="200"/>
        <w:rPr>
          <w:rFonts w:ascii="宋体" w:hAnsi="宋体"/>
          <w:color w:val="auto"/>
          <w:sz w:val="24"/>
          <w:highlight w:val="none"/>
        </w:rPr>
      </w:pPr>
      <w:r>
        <w:rPr>
          <w:rFonts w:hint="eastAsia" w:ascii="宋体" w:hAnsi="宋体"/>
          <w:color w:val="auto"/>
          <w:sz w:val="24"/>
          <w:highlight w:val="none"/>
        </w:rPr>
        <w:t>8.本次投标有效期自投标截止之日起 90天内有效。</w:t>
      </w:r>
    </w:p>
    <w:p>
      <w:pPr>
        <w:adjustRightInd w:val="0"/>
        <w:snapToGrid w:val="0"/>
        <w:spacing w:line="360" w:lineRule="exact"/>
        <w:ind w:firstLine="480" w:firstLineChars="200"/>
        <w:rPr>
          <w:rFonts w:ascii="宋体" w:hAnsi="宋体"/>
          <w:color w:val="auto"/>
          <w:sz w:val="24"/>
          <w:highlight w:val="none"/>
        </w:rPr>
      </w:pPr>
      <w:r>
        <w:rPr>
          <w:rFonts w:hint="eastAsia" w:ascii="宋体" w:hAnsi="宋体"/>
          <w:color w:val="auto"/>
          <w:sz w:val="24"/>
          <w:highlight w:val="none"/>
        </w:rPr>
        <w:t>9.如中标，本投标文件至本项目合同履行完毕均保持有效，同意按照贵方要求提供与投标有关的一切数据或资料，并按招标文件及招投标法律、法规的规定履行合同责任和义务。</w:t>
      </w:r>
    </w:p>
    <w:p>
      <w:pPr>
        <w:adjustRightInd w:val="0"/>
        <w:snapToGrid w:val="0"/>
        <w:spacing w:line="360" w:lineRule="exact"/>
        <w:ind w:firstLine="480" w:firstLineChars="200"/>
        <w:rPr>
          <w:rFonts w:ascii="宋体" w:hAnsi="宋体"/>
          <w:color w:val="auto"/>
          <w:sz w:val="24"/>
          <w:highlight w:val="none"/>
        </w:rPr>
      </w:pPr>
      <w:r>
        <w:rPr>
          <w:rFonts w:hint="eastAsia" w:ascii="宋体" w:hAnsi="宋体"/>
          <w:color w:val="auto"/>
          <w:sz w:val="24"/>
          <w:highlight w:val="none"/>
        </w:rPr>
        <w:t>10.以上事项如有虚假或隐瞒，我方愿意承担一切后果，并不再寻求任何旨在减轻或免除法律责任的辩解，同意我方的履约保证金（如有）不予退回，并对采购单位因此引起的损失予以赔偿。</w:t>
      </w:r>
    </w:p>
    <w:p>
      <w:pPr>
        <w:adjustRightInd w:val="0"/>
        <w:snapToGrid w:val="0"/>
        <w:spacing w:line="360" w:lineRule="exact"/>
        <w:ind w:firstLine="480" w:firstLineChars="200"/>
        <w:rPr>
          <w:rFonts w:ascii="宋体" w:hAnsi="宋体"/>
          <w:color w:val="auto"/>
          <w:sz w:val="24"/>
          <w:highlight w:val="none"/>
        </w:rPr>
      </w:pPr>
      <w:r>
        <w:rPr>
          <w:rFonts w:hint="eastAsia" w:ascii="宋体" w:hAnsi="宋体"/>
          <w:color w:val="auto"/>
          <w:sz w:val="24"/>
          <w:highlight w:val="none"/>
        </w:rPr>
        <w:t>11.我方全权授权被授权人办理针对上述项目的投标、开标、评标、签约等具体事务和签署相关文件，对被授权的各项行为负全部责任，在撤销授权的书面通知以前，本授权书一直有效，被授权人无转委托权。</w:t>
      </w:r>
    </w:p>
    <w:p>
      <w:pPr>
        <w:adjustRightInd w:val="0"/>
        <w:snapToGrid w:val="0"/>
        <w:spacing w:line="360" w:lineRule="exact"/>
        <w:ind w:firstLine="482" w:firstLineChars="200"/>
        <w:rPr>
          <w:rFonts w:ascii="宋体" w:hAnsi="宋体"/>
          <w:b/>
          <w:bCs/>
          <w:color w:val="auto"/>
          <w:sz w:val="24"/>
          <w:highlight w:val="none"/>
        </w:rPr>
      </w:pPr>
      <w:r>
        <w:rPr>
          <w:rFonts w:hint="eastAsia" w:ascii="宋体" w:hAnsi="宋体"/>
          <w:b/>
          <w:bCs/>
          <w:color w:val="auto"/>
          <w:sz w:val="24"/>
          <w:highlight w:val="none"/>
        </w:rPr>
        <w:t>与本投标有关的一切正式往来信函、传真或邮件（例如质疑回复函、中标（成交）通知书、合同等）请采用如下联系方式送达，我方确保能够及时、准确收悉。</w:t>
      </w:r>
    </w:p>
    <w:p>
      <w:pPr>
        <w:adjustRightInd w:val="0"/>
        <w:snapToGrid w:val="0"/>
        <w:spacing w:line="360" w:lineRule="exact"/>
        <w:ind w:firstLine="480" w:firstLineChars="200"/>
        <w:rPr>
          <w:rFonts w:ascii="宋体" w:hAnsi="宋体"/>
          <w:color w:val="auto"/>
          <w:sz w:val="24"/>
          <w:highlight w:val="none"/>
          <w:u w:val="single"/>
        </w:rPr>
      </w:pPr>
      <w:r>
        <w:rPr>
          <w:rFonts w:hint="eastAsia" w:ascii="宋体" w:hAnsi="宋体"/>
          <w:color w:val="auto"/>
          <w:sz w:val="24"/>
          <w:highlight w:val="none"/>
        </w:rPr>
        <w:t>邮寄详细地址：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pPr>
        <w:adjustRightInd w:val="0"/>
        <w:snapToGrid w:val="0"/>
        <w:spacing w:line="360" w:lineRule="exact"/>
        <w:ind w:firstLine="480" w:firstLineChars="200"/>
        <w:rPr>
          <w:rFonts w:ascii="宋体" w:hAnsi="宋体"/>
          <w:color w:val="auto"/>
          <w:sz w:val="24"/>
          <w:highlight w:val="none"/>
        </w:rPr>
      </w:pPr>
      <w:r>
        <w:rPr>
          <w:rFonts w:hint="eastAsia" w:ascii="宋体" w:hAnsi="宋体"/>
          <w:color w:val="auto"/>
          <w:sz w:val="24"/>
          <w:highlight w:val="none"/>
        </w:rPr>
        <w:t>收件人姓名：</w:t>
      </w:r>
      <w:r>
        <w:rPr>
          <w:rFonts w:hint="eastAsia" w:ascii="宋体" w:hAnsi="宋体"/>
          <w:color w:val="auto"/>
          <w:sz w:val="24"/>
          <w:highlight w:val="none"/>
          <w:u w:val="single"/>
        </w:rPr>
        <w:t xml:space="preserve">              </w:t>
      </w:r>
      <w:r>
        <w:rPr>
          <w:rFonts w:hint="eastAsia" w:ascii="宋体" w:hAnsi="宋体"/>
          <w:color w:val="auto"/>
          <w:sz w:val="24"/>
          <w:highlight w:val="none"/>
        </w:rPr>
        <w:t>联系手机：</w:t>
      </w:r>
      <w:r>
        <w:rPr>
          <w:rFonts w:hint="eastAsia" w:ascii="宋体" w:hAnsi="宋体"/>
          <w:color w:val="auto"/>
          <w:sz w:val="24"/>
          <w:highlight w:val="none"/>
          <w:u w:val="single"/>
        </w:rPr>
        <w:t xml:space="preserve">              </w:t>
      </w:r>
    </w:p>
    <w:p>
      <w:pPr>
        <w:adjustRightInd w:val="0"/>
        <w:snapToGrid w:val="0"/>
        <w:spacing w:line="360" w:lineRule="exact"/>
        <w:ind w:firstLine="480" w:firstLineChars="200"/>
        <w:rPr>
          <w:rFonts w:ascii="宋体" w:hAnsi="宋体"/>
          <w:color w:val="auto"/>
          <w:sz w:val="24"/>
          <w:highlight w:val="none"/>
        </w:rPr>
      </w:pPr>
      <w:r>
        <w:rPr>
          <w:rFonts w:hint="eastAsia" w:ascii="宋体" w:hAnsi="宋体"/>
          <w:color w:val="auto"/>
          <w:sz w:val="24"/>
          <w:highlight w:val="none"/>
        </w:rPr>
        <w:t>公司电子邮箱</w:t>
      </w:r>
      <w:r>
        <w:rPr>
          <w:rFonts w:hint="eastAsia" w:ascii="宋体" w:hAnsi="宋体"/>
          <w:b/>
          <w:bCs/>
          <w:color w:val="auto"/>
          <w:sz w:val="24"/>
          <w:highlight w:val="none"/>
        </w:rPr>
        <w:t>：</w:t>
      </w:r>
      <w:r>
        <w:rPr>
          <w:rFonts w:hint="eastAsia" w:ascii="宋体" w:hAnsi="宋体"/>
          <w:color w:val="auto"/>
          <w:sz w:val="24"/>
          <w:highlight w:val="none"/>
          <w:u w:val="single"/>
        </w:rPr>
        <w:t xml:space="preserve">              </w:t>
      </w:r>
    </w:p>
    <w:p>
      <w:pPr>
        <w:adjustRightInd w:val="0"/>
        <w:snapToGrid w:val="0"/>
        <w:spacing w:line="360" w:lineRule="exact"/>
        <w:ind w:firstLine="482" w:firstLineChars="200"/>
        <w:rPr>
          <w:rFonts w:ascii="宋体" w:hAnsi="宋体"/>
          <w:b/>
          <w:bCs/>
          <w:color w:val="auto"/>
          <w:sz w:val="24"/>
          <w:highlight w:val="none"/>
        </w:rPr>
      </w:pPr>
      <w:r>
        <w:rPr>
          <w:rFonts w:hint="eastAsia" w:ascii="宋体" w:hAnsi="宋体"/>
          <w:b/>
          <w:bCs/>
          <w:color w:val="auto"/>
          <w:sz w:val="24"/>
          <w:highlight w:val="none"/>
        </w:rPr>
        <w:t>为了方便评审小组在必要时对供应商进行询标，请供应商填写以下响应文件编制人信息，以便及时、准确进行询标，响应文件编制人信息可不限于1人。</w:t>
      </w:r>
    </w:p>
    <w:p>
      <w:pPr>
        <w:adjustRightInd w:val="0"/>
        <w:snapToGrid w:val="0"/>
        <w:spacing w:line="360" w:lineRule="exact"/>
        <w:ind w:firstLine="482" w:firstLineChars="200"/>
        <w:rPr>
          <w:rFonts w:ascii="宋体" w:hAnsi="宋体"/>
          <w:b/>
          <w:bCs/>
          <w:color w:val="auto"/>
          <w:sz w:val="24"/>
          <w:highlight w:val="none"/>
          <w:u w:val="single"/>
        </w:rPr>
      </w:pPr>
      <w:r>
        <w:rPr>
          <w:rFonts w:hint="eastAsia" w:ascii="宋体" w:hAnsi="宋体"/>
          <w:b/>
          <w:bCs/>
          <w:color w:val="auto"/>
          <w:sz w:val="24"/>
          <w:highlight w:val="none"/>
        </w:rPr>
        <w:t>响应</w:t>
      </w:r>
      <w:r>
        <w:rPr>
          <w:rFonts w:hint="eastAsia" w:ascii="宋体" w:hAnsi="宋体"/>
          <w:b/>
          <w:color w:val="auto"/>
          <w:sz w:val="24"/>
          <w:highlight w:val="none"/>
        </w:rPr>
        <w:t>文件</w:t>
      </w:r>
      <w:r>
        <w:rPr>
          <w:rFonts w:hint="eastAsia" w:ascii="宋体" w:hAnsi="宋体"/>
          <w:b/>
          <w:bCs/>
          <w:color w:val="auto"/>
          <w:sz w:val="24"/>
          <w:highlight w:val="none"/>
        </w:rPr>
        <w:t>编制人姓名：</w:t>
      </w:r>
      <w:r>
        <w:rPr>
          <w:rFonts w:hint="eastAsia" w:ascii="宋体" w:hAnsi="宋体"/>
          <w:color w:val="auto"/>
          <w:sz w:val="24"/>
          <w:highlight w:val="none"/>
          <w:u w:val="single"/>
        </w:rPr>
        <w:t xml:space="preserve">              </w:t>
      </w:r>
      <w:r>
        <w:rPr>
          <w:rFonts w:hint="eastAsia" w:ascii="宋体" w:hAnsi="宋体"/>
          <w:b/>
          <w:bCs/>
          <w:color w:val="auto"/>
          <w:sz w:val="24"/>
          <w:highlight w:val="none"/>
        </w:rPr>
        <w:t>手机号码：</w:t>
      </w:r>
      <w:r>
        <w:rPr>
          <w:rFonts w:hint="eastAsia" w:ascii="宋体" w:hAnsi="宋体"/>
          <w:color w:val="auto"/>
          <w:sz w:val="24"/>
          <w:highlight w:val="none"/>
          <w:u w:val="single"/>
        </w:rPr>
        <w:t xml:space="preserve">              </w:t>
      </w:r>
    </w:p>
    <w:p>
      <w:pPr>
        <w:adjustRightInd w:val="0"/>
        <w:snapToGrid w:val="0"/>
        <w:spacing w:line="360" w:lineRule="exact"/>
        <w:ind w:firstLine="424" w:firstLineChars="177"/>
        <w:rPr>
          <w:rFonts w:ascii="宋体" w:hAnsi="宋体"/>
          <w:color w:val="auto"/>
          <w:sz w:val="24"/>
          <w:highlight w:val="none"/>
        </w:rPr>
      </w:pPr>
    </w:p>
    <w:p>
      <w:pPr>
        <w:adjustRightInd w:val="0"/>
        <w:snapToGrid w:val="0"/>
        <w:spacing w:line="360" w:lineRule="exact"/>
        <w:rPr>
          <w:rFonts w:ascii="宋体" w:hAnsi="宋体"/>
          <w:color w:val="auto"/>
          <w:sz w:val="24"/>
          <w:highlight w:val="none"/>
          <w:u w:val="single"/>
        </w:rPr>
      </w:pPr>
      <w:r>
        <w:rPr>
          <w:rFonts w:hint="eastAsia" w:ascii="宋体" w:hAnsi="宋体"/>
          <w:color w:val="auto"/>
          <w:sz w:val="24"/>
          <w:highlight w:val="none"/>
        </w:rPr>
        <w:t>供应商名称（电子印章）：</w:t>
      </w:r>
    </w:p>
    <w:p>
      <w:pPr>
        <w:adjustRightInd w:val="0"/>
        <w:snapToGrid w:val="0"/>
        <w:spacing w:line="360" w:lineRule="exact"/>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widowControl/>
        <w:jc w:val="left"/>
        <w:rPr>
          <w:rFonts w:ascii="宋体" w:hAnsi="宋体"/>
          <w:b/>
          <w:color w:val="auto"/>
          <w:sz w:val="28"/>
          <w:highlight w:val="none"/>
        </w:rPr>
      </w:pPr>
      <w:r>
        <w:rPr>
          <w:rFonts w:hint="eastAsia" w:hAnsi="宋体"/>
          <w:color w:val="auto"/>
          <w:sz w:val="24"/>
          <w:highlight w:val="none"/>
        </w:rPr>
        <w:t>日期:     年   月   日</w:t>
      </w:r>
      <w:r>
        <w:rPr>
          <w:rFonts w:ascii="宋体" w:hAnsi="宋体"/>
          <w:b/>
          <w:color w:val="auto"/>
          <w:sz w:val="28"/>
          <w:highlight w:val="none"/>
        </w:rPr>
        <w:br w:type="page"/>
      </w:r>
    </w:p>
    <w:p>
      <w:pPr>
        <w:spacing w:line="360" w:lineRule="auto"/>
        <w:rPr>
          <w:rFonts w:hint="eastAsia" w:ascii="宋体" w:hAnsi="宋体"/>
          <w:b/>
          <w:color w:val="auto"/>
          <w:sz w:val="28"/>
          <w:highlight w:val="none"/>
        </w:rPr>
      </w:pPr>
      <w:r>
        <w:rPr>
          <w:rFonts w:hint="eastAsia" w:ascii="宋体" w:hAnsi="宋体"/>
          <w:b/>
          <w:color w:val="auto"/>
          <w:sz w:val="28"/>
          <w:highlight w:val="none"/>
        </w:rPr>
        <w:t>附件8</w:t>
      </w:r>
    </w:p>
    <w:p>
      <w:pPr>
        <w:pStyle w:val="34"/>
        <w:shd w:val="clear" w:color="auto" w:fill="FFFFFF"/>
        <w:spacing w:before="0" w:beforeAutospacing="0" w:after="0" w:afterAutospacing="0"/>
        <w:jc w:val="center"/>
        <w:rPr>
          <w:b/>
          <w:bCs/>
          <w:color w:val="auto"/>
          <w:spacing w:val="21"/>
          <w:sz w:val="32"/>
          <w:szCs w:val="32"/>
          <w:highlight w:val="none"/>
        </w:rPr>
      </w:pPr>
      <w:r>
        <w:rPr>
          <w:rFonts w:hint="eastAsia"/>
          <w:b/>
          <w:color w:val="auto"/>
          <w:sz w:val="32"/>
          <w:szCs w:val="32"/>
          <w:highlight w:val="none"/>
        </w:rPr>
        <w:t>供应商</w:t>
      </w:r>
      <w:r>
        <w:rPr>
          <w:rFonts w:hint="eastAsia"/>
          <w:b/>
          <w:bCs/>
          <w:color w:val="auto"/>
          <w:spacing w:val="21"/>
          <w:sz w:val="32"/>
          <w:szCs w:val="32"/>
          <w:highlight w:val="none"/>
        </w:rPr>
        <w:t>基本情况表</w:t>
      </w:r>
    </w:p>
    <w:tbl>
      <w:tblPr>
        <w:tblStyle w:val="25"/>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82" w:type="dxa"/>
            <w:vAlign w:val="center"/>
          </w:tcPr>
          <w:p>
            <w:pPr>
              <w:pStyle w:val="34"/>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27"/>
                <w:sz w:val="18"/>
                <w:szCs w:val="18"/>
                <w:highlight w:val="none"/>
              </w:rPr>
              <w:t>企业名称</w:t>
            </w:r>
          </w:p>
        </w:tc>
        <w:tc>
          <w:tcPr>
            <w:tcW w:w="3979" w:type="dxa"/>
            <w:gridSpan w:val="6"/>
            <w:vAlign w:val="center"/>
          </w:tcPr>
          <w:p>
            <w:pPr>
              <w:pStyle w:val="34"/>
              <w:shd w:val="clear" w:color="auto" w:fill="FFFFFF"/>
              <w:adjustRightInd w:val="0"/>
              <w:snapToGrid w:val="0"/>
              <w:ind w:left="-105" w:leftChars="-50" w:right="-105" w:rightChars="-50"/>
              <w:jc w:val="center"/>
              <w:rPr>
                <w:bCs/>
                <w:color w:val="auto"/>
                <w:sz w:val="18"/>
                <w:szCs w:val="18"/>
                <w:highlight w:val="none"/>
              </w:rPr>
            </w:pPr>
          </w:p>
        </w:tc>
        <w:tc>
          <w:tcPr>
            <w:tcW w:w="2001" w:type="dxa"/>
            <w:gridSpan w:val="3"/>
            <w:vAlign w:val="center"/>
          </w:tcPr>
          <w:p>
            <w:pPr>
              <w:pStyle w:val="34"/>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法人代表</w:t>
            </w:r>
          </w:p>
        </w:tc>
        <w:tc>
          <w:tcPr>
            <w:tcW w:w="2151" w:type="dxa"/>
            <w:gridSpan w:val="2"/>
            <w:vAlign w:val="center"/>
          </w:tcPr>
          <w:p>
            <w:pPr>
              <w:pStyle w:val="34"/>
              <w:shd w:val="clear" w:color="auto" w:fill="FFFFFF"/>
              <w:adjustRightInd w:val="0"/>
              <w:snapToGrid w:val="0"/>
              <w:ind w:left="-105" w:leftChars="-50" w:right="-105" w:rightChars="-50"/>
              <w:jc w:val="center"/>
              <w:rPr>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82" w:type="dxa"/>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27"/>
                <w:sz w:val="18"/>
                <w:szCs w:val="18"/>
                <w:highlight w:val="none"/>
              </w:rPr>
              <w:t>地址</w:t>
            </w:r>
          </w:p>
        </w:tc>
        <w:tc>
          <w:tcPr>
            <w:tcW w:w="3979" w:type="dxa"/>
            <w:gridSpan w:val="6"/>
            <w:tcBorders>
              <w:bottom w:val="single" w:color="auto" w:sz="4" w:space="0"/>
            </w:tcBorders>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p>
        </w:tc>
        <w:tc>
          <w:tcPr>
            <w:tcW w:w="2001" w:type="dxa"/>
            <w:gridSpan w:val="3"/>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企业性质</w:t>
            </w:r>
          </w:p>
        </w:tc>
        <w:tc>
          <w:tcPr>
            <w:tcW w:w="2151" w:type="dxa"/>
            <w:gridSpan w:val="2"/>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82" w:type="dxa"/>
            <w:tcBorders>
              <w:bottom w:val="single" w:color="auto" w:sz="4" w:space="0"/>
            </w:tcBorders>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27"/>
                <w:sz w:val="18"/>
                <w:szCs w:val="18"/>
                <w:highlight w:val="none"/>
              </w:rPr>
              <w:t>股东姓名</w:t>
            </w:r>
          </w:p>
        </w:tc>
        <w:tc>
          <w:tcPr>
            <w:tcW w:w="701" w:type="dxa"/>
            <w:tcBorders>
              <w:bottom w:val="single" w:color="auto" w:sz="4" w:space="0"/>
            </w:tcBorders>
            <w:vAlign w:val="center"/>
          </w:tcPr>
          <w:p>
            <w:pPr>
              <w:pStyle w:val="34"/>
              <w:shd w:val="clear" w:color="auto" w:fill="FFFFFF"/>
              <w:adjustRightInd w:val="0"/>
              <w:snapToGrid w:val="0"/>
              <w:spacing w:before="0" w:beforeAutospacing="0" w:after="0" w:afterAutospacing="0"/>
              <w:ind w:left="-105" w:leftChars="-50" w:right="-105" w:rightChars="-50"/>
              <w:jc w:val="center"/>
              <w:rPr>
                <w:bCs/>
                <w:color w:val="auto"/>
                <w:spacing w:val="16"/>
                <w:sz w:val="18"/>
                <w:szCs w:val="18"/>
                <w:highlight w:val="none"/>
              </w:rPr>
            </w:pPr>
          </w:p>
        </w:tc>
        <w:tc>
          <w:tcPr>
            <w:tcW w:w="910" w:type="dxa"/>
            <w:gridSpan w:val="2"/>
            <w:tcBorders>
              <w:bottom w:val="single" w:color="auto" w:sz="4" w:space="0"/>
            </w:tcBorders>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股权结构（%）</w:t>
            </w:r>
          </w:p>
        </w:tc>
        <w:tc>
          <w:tcPr>
            <w:tcW w:w="2368" w:type="dxa"/>
            <w:gridSpan w:val="3"/>
            <w:tcBorders>
              <w:bottom w:val="single" w:color="auto" w:sz="4" w:space="0"/>
            </w:tcBorders>
            <w:vAlign w:val="center"/>
          </w:tcPr>
          <w:p>
            <w:pPr>
              <w:widowControl/>
              <w:adjustRightInd w:val="0"/>
              <w:snapToGrid w:val="0"/>
              <w:ind w:left="-105" w:leftChars="-50" w:right="-105" w:rightChars="-50"/>
              <w:jc w:val="center"/>
              <w:rPr>
                <w:rFonts w:ascii="宋体" w:hAnsi="宋体" w:cs="宋体"/>
                <w:bCs/>
                <w:color w:val="auto"/>
                <w:spacing w:val="16"/>
                <w:kern w:val="0"/>
                <w:sz w:val="18"/>
                <w:szCs w:val="18"/>
                <w:highlight w:val="none"/>
              </w:rPr>
            </w:pPr>
          </w:p>
          <w:p>
            <w:pPr>
              <w:pStyle w:val="34"/>
              <w:shd w:val="clear" w:color="auto" w:fill="FFFFFF"/>
              <w:adjustRightInd w:val="0"/>
              <w:snapToGrid w:val="0"/>
              <w:ind w:left="-105" w:leftChars="-50" w:right="-105" w:rightChars="-50"/>
              <w:jc w:val="center"/>
              <w:rPr>
                <w:bCs/>
                <w:color w:val="auto"/>
                <w:spacing w:val="16"/>
                <w:sz w:val="18"/>
                <w:szCs w:val="18"/>
                <w:highlight w:val="none"/>
              </w:rPr>
            </w:pPr>
          </w:p>
        </w:tc>
        <w:tc>
          <w:tcPr>
            <w:tcW w:w="2001" w:type="dxa"/>
            <w:gridSpan w:val="3"/>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股东关系</w:t>
            </w:r>
          </w:p>
        </w:tc>
        <w:tc>
          <w:tcPr>
            <w:tcW w:w="2151" w:type="dxa"/>
            <w:gridSpan w:val="2"/>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682" w:type="dxa"/>
            <w:vMerge w:val="restart"/>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2"/>
                <w:sz w:val="18"/>
                <w:szCs w:val="18"/>
                <w:highlight w:val="none"/>
              </w:rPr>
              <w:t>联系人</w:t>
            </w:r>
            <w:r>
              <w:rPr>
                <w:rFonts w:hint="eastAsia"/>
                <w:bCs/>
                <w:color w:val="auto"/>
                <w:spacing w:val="27"/>
                <w:sz w:val="18"/>
                <w:szCs w:val="18"/>
                <w:highlight w:val="none"/>
              </w:rPr>
              <w:t>姓名</w:t>
            </w:r>
          </w:p>
        </w:tc>
        <w:tc>
          <w:tcPr>
            <w:tcW w:w="701" w:type="dxa"/>
            <w:vMerge w:val="restart"/>
            <w:tcBorders>
              <w:top w:val="nil"/>
            </w:tcBorders>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p>
        </w:tc>
        <w:tc>
          <w:tcPr>
            <w:tcW w:w="910" w:type="dxa"/>
            <w:gridSpan w:val="2"/>
            <w:tcBorders>
              <w:top w:val="nil"/>
              <w:bottom w:val="single" w:color="auto" w:sz="4" w:space="0"/>
            </w:tcBorders>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固定电话</w:t>
            </w:r>
          </w:p>
        </w:tc>
        <w:tc>
          <w:tcPr>
            <w:tcW w:w="2368" w:type="dxa"/>
            <w:gridSpan w:val="3"/>
            <w:tcBorders>
              <w:top w:val="nil"/>
              <w:bottom w:val="single" w:color="auto" w:sz="4" w:space="0"/>
            </w:tcBorders>
            <w:vAlign w:val="center"/>
          </w:tcPr>
          <w:p>
            <w:pPr>
              <w:pStyle w:val="34"/>
              <w:shd w:val="clear" w:color="auto" w:fill="FFFFFF"/>
              <w:adjustRightInd w:val="0"/>
              <w:snapToGrid w:val="0"/>
              <w:ind w:right="-105" w:rightChars="-50"/>
              <w:rPr>
                <w:bCs/>
                <w:color w:val="auto"/>
                <w:spacing w:val="16"/>
                <w:sz w:val="18"/>
                <w:szCs w:val="18"/>
                <w:highlight w:val="none"/>
              </w:rPr>
            </w:pPr>
          </w:p>
        </w:tc>
        <w:tc>
          <w:tcPr>
            <w:tcW w:w="2001" w:type="dxa"/>
            <w:gridSpan w:val="3"/>
            <w:vMerge w:val="restart"/>
            <w:vAlign w:val="center"/>
          </w:tcPr>
          <w:p>
            <w:pPr>
              <w:pStyle w:val="34"/>
              <w:shd w:val="clear" w:color="auto" w:fill="FFFFFF"/>
              <w:adjustRightInd w:val="0"/>
              <w:snapToGrid w:val="0"/>
              <w:spacing w:before="0" w:beforeAutospacing="0" w:after="0" w:afterAutospacing="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传真</w:t>
            </w:r>
          </w:p>
        </w:tc>
        <w:tc>
          <w:tcPr>
            <w:tcW w:w="2151" w:type="dxa"/>
            <w:gridSpan w:val="2"/>
            <w:vMerge w:val="restart"/>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82" w:type="dxa"/>
            <w:vMerge w:val="continue"/>
            <w:tcBorders>
              <w:bottom w:val="single" w:color="auto" w:sz="4" w:space="0"/>
            </w:tcBorders>
            <w:vAlign w:val="center"/>
          </w:tcPr>
          <w:p>
            <w:pPr>
              <w:pStyle w:val="34"/>
              <w:shd w:val="clear" w:color="auto" w:fill="FFFFFF"/>
              <w:adjustRightInd w:val="0"/>
              <w:snapToGrid w:val="0"/>
              <w:ind w:left="-105" w:leftChars="-50" w:right="-105" w:rightChars="-50"/>
              <w:jc w:val="center"/>
              <w:rPr>
                <w:bCs/>
                <w:color w:val="auto"/>
                <w:sz w:val="18"/>
                <w:szCs w:val="18"/>
                <w:highlight w:val="none"/>
              </w:rPr>
            </w:pPr>
          </w:p>
        </w:tc>
        <w:tc>
          <w:tcPr>
            <w:tcW w:w="701" w:type="dxa"/>
            <w:vMerge w:val="continue"/>
            <w:tcBorders>
              <w:bottom w:val="single" w:color="auto" w:sz="4" w:space="0"/>
            </w:tcBorders>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p>
        </w:tc>
        <w:tc>
          <w:tcPr>
            <w:tcW w:w="910" w:type="dxa"/>
            <w:gridSpan w:val="2"/>
            <w:tcBorders>
              <w:bottom w:val="single" w:color="auto" w:sz="4" w:space="0"/>
            </w:tcBorders>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27"/>
                <w:sz w:val="18"/>
                <w:szCs w:val="18"/>
                <w:highlight w:val="none"/>
              </w:rPr>
              <w:t>手机</w:t>
            </w:r>
          </w:p>
        </w:tc>
        <w:tc>
          <w:tcPr>
            <w:tcW w:w="2368" w:type="dxa"/>
            <w:gridSpan w:val="3"/>
            <w:tcBorders>
              <w:bottom w:val="single" w:color="auto" w:sz="4" w:space="0"/>
            </w:tcBorders>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p>
        </w:tc>
        <w:tc>
          <w:tcPr>
            <w:tcW w:w="2001" w:type="dxa"/>
            <w:gridSpan w:val="3"/>
            <w:vMerge w:val="continue"/>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p>
        </w:tc>
        <w:tc>
          <w:tcPr>
            <w:tcW w:w="2151" w:type="dxa"/>
            <w:gridSpan w:val="2"/>
            <w:vMerge w:val="continue"/>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682" w:type="dxa"/>
            <w:vMerge w:val="restart"/>
            <w:vAlign w:val="center"/>
          </w:tcPr>
          <w:p>
            <w:pPr>
              <w:pStyle w:val="34"/>
              <w:shd w:val="clear" w:color="auto" w:fill="FFFFFF"/>
              <w:adjustRightInd w:val="0"/>
              <w:snapToGrid w:val="0"/>
              <w:ind w:left="-105" w:leftChars="-50" w:right="-105" w:rightChars="-50"/>
              <w:jc w:val="center"/>
              <w:rPr>
                <w:bCs/>
                <w:color w:val="auto"/>
                <w:sz w:val="18"/>
                <w:szCs w:val="18"/>
                <w:highlight w:val="none"/>
              </w:rPr>
            </w:pPr>
            <w:r>
              <w:rPr>
                <w:bCs/>
                <w:color w:val="auto"/>
                <w:sz w:val="18"/>
                <w:szCs w:val="18"/>
                <w:highlight w:val="none"/>
              </w:rPr>
              <w:t>1</w:t>
            </w:r>
            <w:r>
              <w:rPr>
                <w:rFonts w:hint="eastAsia"/>
                <w:bCs/>
                <w:color w:val="auto"/>
                <w:sz w:val="18"/>
                <w:szCs w:val="18"/>
                <w:highlight w:val="none"/>
              </w:rPr>
              <w:t>.</w:t>
            </w:r>
          </w:p>
          <w:p>
            <w:pPr>
              <w:pStyle w:val="34"/>
              <w:shd w:val="clear" w:color="auto" w:fill="FFFFFF"/>
              <w:adjustRightInd w:val="0"/>
              <w:snapToGrid w:val="0"/>
              <w:ind w:left="-105" w:leftChars="-50" w:right="-105" w:rightChars="-50"/>
              <w:jc w:val="center"/>
              <w:rPr>
                <w:bCs/>
                <w:color w:val="auto"/>
                <w:sz w:val="18"/>
                <w:szCs w:val="18"/>
                <w:highlight w:val="none"/>
              </w:rPr>
            </w:pPr>
            <w:r>
              <w:rPr>
                <w:rFonts w:hint="eastAsia"/>
                <w:bCs/>
                <w:color w:val="auto"/>
                <w:sz w:val="18"/>
                <w:szCs w:val="18"/>
                <w:highlight w:val="none"/>
              </w:rPr>
              <w:t>企</w:t>
            </w:r>
          </w:p>
          <w:p>
            <w:pPr>
              <w:pStyle w:val="34"/>
              <w:shd w:val="clear" w:color="auto" w:fill="FFFFFF"/>
              <w:adjustRightInd w:val="0"/>
              <w:snapToGrid w:val="0"/>
              <w:ind w:left="-105" w:leftChars="-50" w:right="-105" w:rightChars="-50"/>
              <w:jc w:val="center"/>
              <w:rPr>
                <w:bCs/>
                <w:color w:val="auto"/>
                <w:sz w:val="18"/>
                <w:szCs w:val="18"/>
                <w:highlight w:val="none"/>
              </w:rPr>
            </w:pPr>
            <w:r>
              <w:rPr>
                <w:rFonts w:hint="eastAsia"/>
                <w:bCs/>
                <w:color w:val="auto"/>
                <w:sz w:val="18"/>
                <w:szCs w:val="18"/>
                <w:highlight w:val="none"/>
              </w:rPr>
              <w:t>业</w:t>
            </w:r>
          </w:p>
          <w:p>
            <w:pPr>
              <w:pStyle w:val="34"/>
              <w:shd w:val="clear" w:color="auto" w:fill="FFFFFF"/>
              <w:adjustRightInd w:val="0"/>
              <w:snapToGrid w:val="0"/>
              <w:ind w:left="-105" w:leftChars="-50" w:right="-105" w:rightChars="-50"/>
              <w:jc w:val="center"/>
              <w:rPr>
                <w:bCs/>
                <w:color w:val="auto"/>
                <w:spacing w:val="27"/>
                <w:sz w:val="18"/>
                <w:szCs w:val="18"/>
                <w:highlight w:val="none"/>
              </w:rPr>
            </w:pPr>
            <w:r>
              <w:rPr>
                <w:rFonts w:hint="eastAsia"/>
                <w:bCs/>
                <w:color w:val="auto"/>
                <w:spacing w:val="27"/>
                <w:sz w:val="18"/>
                <w:szCs w:val="18"/>
                <w:highlight w:val="none"/>
              </w:rPr>
              <w:t>概</w:t>
            </w:r>
          </w:p>
          <w:p>
            <w:pPr>
              <w:pStyle w:val="34"/>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27"/>
                <w:sz w:val="18"/>
                <w:szCs w:val="18"/>
                <w:highlight w:val="none"/>
              </w:rPr>
              <w:t>况</w:t>
            </w:r>
          </w:p>
        </w:tc>
        <w:tc>
          <w:tcPr>
            <w:tcW w:w="701" w:type="dxa"/>
            <w:tcBorders>
              <w:top w:val="nil"/>
            </w:tcBorders>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职工人数</w:t>
            </w:r>
          </w:p>
        </w:tc>
        <w:tc>
          <w:tcPr>
            <w:tcW w:w="910" w:type="dxa"/>
            <w:gridSpan w:val="2"/>
            <w:tcBorders>
              <w:top w:val="nil"/>
            </w:tcBorders>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p>
        </w:tc>
        <w:tc>
          <w:tcPr>
            <w:tcW w:w="1163" w:type="dxa"/>
            <w:tcBorders>
              <w:top w:val="nil"/>
            </w:tcBorders>
            <w:vAlign w:val="center"/>
          </w:tcPr>
          <w:p>
            <w:pPr>
              <w:pStyle w:val="34"/>
              <w:shd w:val="clear" w:color="auto" w:fill="FFFFFF"/>
              <w:adjustRightInd w:val="0"/>
              <w:snapToGrid w:val="0"/>
              <w:spacing w:before="0" w:beforeAutospacing="0" w:after="0" w:afterAutospacing="0"/>
              <w:ind w:left="-105" w:leftChars="-50" w:right="-105" w:rightChars="-50"/>
              <w:jc w:val="center"/>
              <w:rPr>
                <w:bCs/>
                <w:color w:val="auto"/>
                <w:sz w:val="18"/>
                <w:szCs w:val="18"/>
                <w:highlight w:val="none"/>
              </w:rPr>
            </w:pPr>
            <w:r>
              <w:rPr>
                <w:rFonts w:hint="eastAsia"/>
                <w:bCs/>
                <w:color w:val="auto"/>
                <w:spacing w:val="18"/>
                <w:sz w:val="18"/>
                <w:szCs w:val="18"/>
                <w:highlight w:val="none"/>
              </w:rPr>
              <w:t>具备大专以</w:t>
            </w:r>
            <w:r>
              <w:rPr>
                <w:rFonts w:hint="eastAsia"/>
                <w:bCs/>
                <w:color w:val="auto"/>
                <w:spacing w:val="12"/>
                <w:sz w:val="18"/>
                <w:szCs w:val="18"/>
                <w:highlight w:val="none"/>
              </w:rPr>
              <w:t>上学历人数</w:t>
            </w:r>
          </w:p>
        </w:tc>
        <w:tc>
          <w:tcPr>
            <w:tcW w:w="1205" w:type="dxa"/>
            <w:gridSpan w:val="2"/>
            <w:tcBorders>
              <w:top w:val="nil"/>
            </w:tcBorders>
            <w:vAlign w:val="center"/>
          </w:tcPr>
          <w:p>
            <w:pPr>
              <w:widowControl/>
              <w:adjustRightInd w:val="0"/>
              <w:snapToGrid w:val="0"/>
              <w:ind w:left="-105" w:leftChars="-50" w:right="-105" w:rightChars="-50"/>
              <w:jc w:val="center"/>
              <w:rPr>
                <w:rFonts w:ascii="宋体" w:hAnsi="宋体" w:cs="宋体"/>
                <w:bCs/>
                <w:color w:val="auto"/>
                <w:spacing w:val="16"/>
                <w:kern w:val="0"/>
                <w:sz w:val="18"/>
                <w:szCs w:val="18"/>
                <w:highlight w:val="none"/>
              </w:rPr>
            </w:pPr>
          </w:p>
          <w:p>
            <w:pPr>
              <w:widowControl/>
              <w:adjustRightInd w:val="0"/>
              <w:snapToGrid w:val="0"/>
              <w:ind w:left="-105" w:leftChars="-50" w:right="-105" w:rightChars="-50"/>
              <w:jc w:val="center"/>
              <w:rPr>
                <w:rFonts w:ascii="宋体" w:hAnsi="宋体" w:cs="宋体"/>
                <w:bCs/>
                <w:color w:val="auto"/>
                <w:spacing w:val="16"/>
                <w:kern w:val="0"/>
                <w:sz w:val="18"/>
                <w:szCs w:val="18"/>
                <w:highlight w:val="none"/>
              </w:rPr>
            </w:pPr>
          </w:p>
          <w:p>
            <w:pPr>
              <w:pStyle w:val="34"/>
              <w:shd w:val="clear" w:color="auto" w:fill="FFFFFF"/>
              <w:adjustRightInd w:val="0"/>
              <w:snapToGrid w:val="0"/>
              <w:ind w:left="-105" w:leftChars="-50" w:right="-105" w:rightChars="-50"/>
              <w:jc w:val="center"/>
              <w:rPr>
                <w:bCs/>
                <w:color w:val="auto"/>
                <w:spacing w:val="16"/>
                <w:sz w:val="18"/>
                <w:szCs w:val="18"/>
                <w:highlight w:val="none"/>
              </w:rPr>
            </w:pPr>
          </w:p>
        </w:tc>
        <w:tc>
          <w:tcPr>
            <w:tcW w:w="2001" w:type="dxa"/>
            <w:gridSpan w:val="3"/>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65"/>
                <w:sz w:val="18"/>
                <w:szCs w:val="18"/>
                <w:highlight w:val="none"/>
              </w:rPr>
              <w:t>国家授予技</w:t>
            </w:r>
            <w:r>
              <w:rPr>
                <w:rFonts w:hint="eastAsia"/>
                <w:bCs/>
                <w:color w:val="auto"/>
                <w:spacing w:val="12"/>
                <w:sz w:val="18"/>
                <w:szCs w:val="18"/>
                <w:highlight w:val="none"/>
              </w:rPr>
              <w:t>术职称人数</w:t>
            </w:r>
          </w:p>
        </w:tc>
        <w:tc>
          <w:tcPr>
            <w:tcW w:w="2151" w:type="dxa"/>
            <w:gridSpan w:val="2"/>
            <w:vAlign w:val="center"/>
          </w:tcPr>
          <w:p>
            <w:pPr>
              <w:widowControl/>
              <w:adjustRightInd w:val="0"/>
              <w:snapToGrid w:val="0"/>
              <w:ind w:left="-105" w:leftChars="-50" w:right="-105" w:rightChars="-50"/>
              <w:jc w:val="center"/>
              <w:rPr>
                <w:rFonts w:ascii="宋体" w:hAnsi="宋体" w:cs="宋体"/>
                <w:bCs/>
                <w:color w:val="auto"/>
                <w:spacing w:val="16"/>
                <w:kern w:val="0"/>
                <w:sz w:val="18"/>
                <w:szCs w:val="18"/>
                <w:highlight w:val="none"/>
              </w:rPr>
            </w:pPr>
          </w:p>
          <w:p>
            <w:pPr>
              <w:pStyle w:val="34"/>
              <w:shd w:val="clear" w:color="auto" w:fill="FFFFFF"/>
              <w:adjustRightInd w:val="0"/>
              <w:snapToGrid w:val="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682" w:type="dxa"/>
            <w:vMerge w:val="continue"/>
            <w:vAlign w:val="center"/>
          </w:tcPr>
          <w:p>
            <w:pPr>
              <w:pStyle w:val="34"/>
              <w:shd w:val="clear" w:color="auto" w:fill="FFFFFF"/>
              <w:adjustRightInd w:val="0"/>
              <w:snapToGrid w:val="0"/>
              <w:ind w:left="-105" w:leftChars="-50" w:right="-105" w:rightChars="-50"/>
              <w:jc w:val="center"/>
              <w:rPr>
                <w:bCs/>
                <w:color w:val="auto"/>
                <w:sz w:val="18"/>
                <w:szCs w:val="18"/>
                <w:highlight w:val="none"/>
              </w:rPr>
            </w:pPr>
          </w:p>
        </w:tc>
        <w:tc>
          <w:tcPr>
            <w:tcW w:w="701" w:type="dxa"/>
            <w:vAlign w:val="center"/>
          </w:tcPr>
          <w:p>
            <w:pPr>
              <w:pStyle w:val="34"/>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占地面积</w:t>
            </w:r>
          </w:p>
        </w:tc>
        <w:tc>
          <w:tcPr>
            <w:tcW w:w="910" w:type="dxa"/>
            <w:gridSpan w:val="2"/>
            <w:vAlign w:val="center"/>
          </w:tcPr>
          <w:p>
            <w:pPr>
              <w:pStyle w:val="34"/>
              <w:shd w:val="clear" w:color="auto" w:fill="FFFFFF"/>
              <w:adjustRightInd w:val="0"/>
              <w:snapToGrid w:val="0"/>
              <w:ind w:left="-105" w:leftChars="-50" w:right="-105" w:rightChars="-50"/>
              <w:jc w:val="center"/>
              <w:rPr>
                <w:bCs/>
                <w:color w:val="auto"/>
                <w:sz w:val="18"/>
                <w:szCs w:val="18"/>
                <w:highlight w:val="none"/>
              </w:rPr>
            </w:pPr>
          </w:p>
        </w:tc>
        <w:tc>
          <w:tcPr>
            <w:tcW w:w="1163" w:type="dxa"/>
            <w:vAlign w:val="center"/>
          </w:tcPr>
          <w:p>
            <w:pPr>
              <w:pStyle w:val="34"/>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建筑面积</w:t>
            </w:r>
          </w:p>
        </w:tc>
        <w:tc>
          <w:tcPr>
            <w:tcW w:w="1205" w:type="dxa"/>
            <w:gridSpan w:val="2"/>
            <w:vAlign w:val="center"/>
          </w:tcPr>
          <w:p>
            <w:pPr>
              <w:pStyle w:val="34"/>
              <w:shd w:val="clear" w:color="auto" w:fill="FFFFFF"/>
              <w:adjustRightInd w:val="0"/>
              <w:snapToGrid w:val="0"/>
              <w:ind w:left="-105" w:leftChars="-50" w:right="-105" w:rightChars="-50" w:firstLine="420"/>
              <w:jc w:val="center"/>
              <w:rPr>
                <w:bCs/>
                <w:color w:val="auto"/>
                <w:sz w:val="18"/>
                <w:szCs w:val="18"/>
                <w:highlight w:val="none"/>
              </w:rPr>
            </w:pPr>
            <w:r>
              <w:rPr>
                <w:rFonts w:hint="eastAsia"/>
                <w:bCs/>
                <w:color w:val="auto"/>
                <w:sz w:val="18"/>
                <w:szCs w:val="18"/>
                <w:highlight w:val="none"/>
              </w:rPr>
              <w:t>平方米</w:t>
            </w:r>
          </w:p>
          <w:p>
            <w:pPr>
              <w:pStyle w:val="34"/>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□自有□租賃</w:t>
            </w:r>
          </w:p>
        </w:tc>
        <w:tc>
          <w:tcPr>
            <w:tcW w:w="2001" w:type="dxa"/>
            <w:gridSpan w:val="3"/>
            <w:vAlign w:val="center"/>
          </w:tcPr>
          <w:p>
            <w:pPr>
              <w:pStyle w:val="34"/>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生产经营场所及场所的设施与设备</w:t>
            </w:r>
          </w:p>
        </w:tc>
        <w:tc>
          <w:tcPr>
            <w:tcW w:w="2151" w:type="dxa"/>
            <w:gridSpan w:val="2"/>
            <w:vAlign w:val="center"/>
          </w:tcPr>
          <w:p>
            <w:pPr>
              <w:pStyle w:val="34"/>
              <w:shd w:val="clear" w:color="auto" w:fill="FFFFFF"/>
              <w:adjustRightInd w:val="0"/>
              <w:snapToGrid w:val="0"/>
              <w:spacing w:before="0" w:beforeAutospacing="0" w:after="0" w:afterAutospacing="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82" w:type="dxa"/>
            <w:vMerge w:val="continue"/>
            <w:vAlign w:val="center"/>
          </w:tcPr>
          <w:p>
            <w:pPr>
              <w:pStyle w:val="34"/>
              <w:shd w:val="clear" w:color="auto" w:fill="FFFFFF"/>
              <w:adjustRightInd w:val="0"/>
              <w:snapToGrid w:val="0"/>
              <w:ind w:left="-105" w:leftChars="-50" w:right="-105" w:rightChars="-50"/>
              <w:jc w:val="center"/>
              <w:rPr>
                <w:bCs/>
                <w:color w:val="auto"/>
                <w:sz w:val="18"/>
                <w:szCs w:val="18"/>
                <w:highlight w:val="none"/>
              </w:rPr>
            </w:pPr>
          </w:p>
        </w:tc>
        <w:tc>
          <w:tcPr>
            <w:tcW w:w="701" w:type="dxa"/>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注册资金</w:t>
            </w:r>
          </w:p>
        </w:tc>
        <w:tc>
          <w:tcPr>
            <w:tcW w:w="910" w:type="dxa"/>
            <w:gridSpan w:val="2"/>
            <w:vAlign w:val="center"/>
          </w:tcPr>
          <w:p>
            <w:pPr>
              <w:pStyle w:val="34"/>
              <w:shd w:val="clear" w:color="auto" w:fill="FFFFFF"/>
              <w:adjustRightInd w:val="0"/>
              <w:snapToGrid w:val="0"/>
              <w:ind w:left="-105" w:leftChars="-50" w:right="-105" w:rightChars="-50"/>
              <w:jc w:val="center"/>
              <w:rPr>
                <w:bCs/>
                <w:color w:val="auto"/>
                <w:sz w:val="18"/>
                <w:szCs w:val="18"/>
                <w:highlight w:val="none"/>
              </w:rPr>
            </w:pPr>
          </w:p>
        </w:tc>
        <w:tc>
          <w:tcPr>
            <w:tcW w:w="1163" w:type="dxa"/>
            <w:vAlign w:val="center"/>
          </w:tcPr>
          <w:p>
            <w:pPr>
              <w:pStyle w:val="34"/>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注册发证</w:t>
            </w:r>
            <w:r>
              <w:rPr>
                <w:rFonts w:hint="eastAsia"/>
                <w:bCs/>
                <w:color w:val="auto"/>
                <w:spacing w:val="27"/>
                <w:sz w:val="18"/>
                <w:szCs w:val="18"/>
                <w:highlight w:val="none"/>
              </w:rPr>
              <w:t>机关</w:t>
            </w:r>
          </w:p>
        </w:tc>
        <w:tc>
          <w:tcPr>
            <w:tcW w:w="3206" w:type="dxa"/>
            <w:gridSpan w:val="5"/>
            <w:vAlign w:val="center"/>
          </w:tcPr>
          <w:p>
            <w:pPr>
              <w:widowControl/>
              <w:adjustRightInd w:val="0"/>
              <w:snapToGrid w:val="0"/>
              <w:ind w:left="-105" w:leftChars="-50" w:right="-105" w:rightChars="-50"/>
              <w:jc w:val="center"/>
              <w:rPr>
                <w:rFonts w:ascii="宋体" w:hAnsi="宋体" w:cs="宋体"/>
                <w:bCs/>
                <w:color w:val="auto"/>
                <w:kern w:val="0"/>
                <w:sz w:val="18"/>
                <w:szCs w:val="18"/>
                <w:highlight w:val="none"/>
              </w:rPr>
            </w:pPr>
          </w:p>
          <w:p>
            <w:pPr>
              <w:pStyle w:val="34"/>
              <w:shd w:val="clear" w:color="auto" w:fill="FFFFFF"/>
              <w:adjustRightInd w:val="0"/>
              <w:snapToGrid w:val="0"/>
              <w:ind w:left="-105" w:leftChars="-50" w:right="-105" w:rightChars="-50"/>
              <w:jc w:val="center"/>
              <w:rPr>
                <w:bCs/>
                <w:color w:val="auto"/>
                <w:sz w:val="18"/>
                <w:szCs w:val="18"/>
                <w:highlight w:val="none"/>
              </w:rPr>
            </w:pPr>
          </w:p>
        </w:tc>
        <w:tc>
          <w:tcPr>
            <w:tcW w:w="1218" w:type="dxa"/>
            <w:vAlign w:val="center"/>
          </w:tcPr>
          <w:p>
            <w:pPr>
              <w:pStyle w:val="34"/>
              <w:shd w:val="clear" w:color="auto" w:fill="FFFFFF"/>
              <w:adjustRightInd w:val="0"/>
              <w:snapToGrid w:val="0"/>
              <w:ind w:left="-105" w:leftChars="-50" w:right="-105" w:rightChars="-50"/>
              <w:jc w:val="center"/>
              <w:rPr>
                <w:bCs/>
                <w:color w:val="auto"/>
                <w:sz w:val="18"/>
                <w:szCs w:val="18"/>
                <w:highlight w:val="none"/>
              </w:rPr>
            </w:pPr>
            <w:r>
              <w:rPr>
                <w:rFonts w:hint="eastAsia"/>
                <w:bCs/>
                <w:color w:val="auto"/>
                <w:sz w:val="18"/>
                <w:szCs w:val="18"/>
                <w:highlight w:val="none"/>
              </w:rPr>
              <w:t>公司成</w:t>
            </w:r>
            <w:r>
              <w:rPr>
                <w:rFonts w:hint="eastAsia"/>
                <w:bCs/>
                <w:color w:val="auto"/>
                <w:spacing w:val="12"/>
                <w:sz w:val="18"/>
                <w:szCs w:val="18"/>
                <w:highlight w:val="none"/>
              </w:rPr>
              <w:t>立时间</w:t>
            </w:r>
          </w:p>
        </w:tc>
        <w:tc>
          <w:tcPr>
            <w:tcW w:w="933" w:type="dxa"/>
            <w:vAlign w:val="center"/>
          </w:tcPr>
          <w:p>
            <w:pPr>
              <w:pStyle w:val="34"/>
              <w:shd w:val="clear" w:color="auto" w:fill="FFFFFF"/>
              <w:adjustRightInd w:val="0"/>
              <w:snapToGrid w:val="0"/>
              <w:ind w:left="-105" w:leftChars="-50" w:right="-105" w:rightChars="-50"/>
              <w:jc w:val="center"/>
              <w:rPr>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82" w:type="dxa"/>
            <w:vMerge w:val="continue"/>
            <w:vAlign w:val="center"/>
          </w:tcPr>
          <w:p>
            <w:pPr>
              <w:pStyle w:val="34"/>
              <w:shd w:val="clear" w:color="auto" w:fill="FFFFFF"/>
              <w:adjustRightInd w:val="0"/>
              <w:snapToGrid w:val="0"/>
              <w:ind w:left="-105" w:leftChars="-50" w:right="-105" w:rightChars="-50"/>
              <w:jc w:val="center"/>
              <w:rPr>
                <w:bCs/>
                <w:color w:val="auto"/>
                <w:sz w:val="18"/>
                <w:szCs w:val="18"/>
                <w:highlight w:val="none"/>
              </w:rPr>
            </w:pPr>
          </w:p>
        </w:tc>
        <w:tc>
          <w:tcPr>
            <w:tcW w:w="701" w:type="dxa"/>
            <w:vAlign w:val="center"/>
          </w:tcPr>
          <w:p>
            <w:pPr>
              <w:pStyle w:val="34"/>
              <w:shd w:val="clear" w:color="auto" w:fill="FFFFFF"/>
              <w:adjustRightInd w:val="0"/>
              <w:snapToGrid w:val="0"/>
              <w:ind w:left="-105" w:leftChars="-50" w:right="-105" w:rightChars="-50"/>
              <w:jc w:val="center"/>
              <w:rPr>
                <w:bCs/>
                <w:color w:val="auto"/>
                <w:sz w:val="18"/>
                <w:szCs w:val="18"/>
                <w:highlight w:val="none"/>
              </w:rPr>
            </w:pPr>
            <w:r>
              <w:rPr>
                <w:rFonts w:hint="eastAsia"/>
                <w:bCs/>
                <w:color w:val="auto"/>
                <w:sz w:val="18"/>
                <w:szCs w:val="18"/>
                <w:highlight w:val="none"/>
              </w:rPr>
              <w:t>核准经营范围</w:t>
            </w:r>
          </w:p>
        </w:tc>
        <w:tc>
          <w:tcPr>
            <w:tcW w:w="7430" w:type="dxa"/>
            <w:gridSpan w:val="10"/>
            <w:vAlign w:val="center"/>
          </w:tcPr>
          <w:p>
            <w:pPr>
              <w:pStyle w:val="34"/>
              <w:shd w:val="clear" w:color="auto" w:fill="FFFFFF"/>
              <w:adjustRightInd w:val="0"/>
              <w:snapToGrid w:val="0"/>
              <w:ind w:left="-105" w:leftChars="-50" w:right="-105" w:rightChars="-50"/>
              <w:jc w:val="center"/>
              <w:rPr>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682" w:type="dxa"/>
            <w:vMerge w:val="continue"/>
            <w:vAlign w:val="center"/>
          </w:tcPr>
          <w:p>
            <w:pPr>
              <w:pStyle w:val="34"/>
              <w:shd w:val="clear" w:color="auto" w:fill="FFFFFF"/>
              <w:adjustRightInd w:val="0"/>
              <w:snapToGrid w:val="0"/>
              <w:ind w:left="-105" w:leftChars="-50" w:right="-105" w:rightChars="-50"/>
              <w:jc w:val="center"/>
              <w:rPr>
                <w:bCs/>
                <w:color w:val="auto"/>
                <w:sz w:val="18"/>
                <w:szCs w:val="18"/>
                <w:highlight w:val="none"/>
              </w:rPr>
            </w:pPr>
          </w:p>
        </w:tc>
        <w:tc>
          <w:tcPr>
            <w:tcW w:w="8131" w:type="dxa"/>
            <w:gridSpan w:val="11"/>
            <w:vAlign w:val="center"/>
          </w:tcPr>
          <w:p>
            <w:pPr>
              <w:pStyle w:val="34"/>
              <w:shd w:val="clear" w:color="auto" w:fill="FFFFFF"/>
              <w:adjustRightInd w:val="0"/>
              <w:snapToGrid w:val="0"/>
              <w:ind w:left="-105" w:leftChars="-50" w:right="-105" w:rightChars="-50"/>
              <w:rPr>
                <w:bCs/>
                <w:color w:val="auto"/>
                <w:spacing w:val="13"/>
                <w:sz w:val="18"/>
                <w:szCs w:val="18"/>
                <w:highlight w:val="none"/>
              </w:rPr>
            </w:pPr>
            <w:r>
              <w:rPr>
                <w:rFonts w:hint="eastAsia"/>
                <w:bCs/>
                <w:color w:val="auto"/>
                <w:spacing w:val="13"/>
                <w:sz w:val="18"/>
                <w:szCs w:val="18"/>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82" w:type="dxa"/>
            <w:vMerge w:val="restart"/>
            <w:vAlign w:val="center"/>
          </w:tcPr>
          <w:p>
            <w:pPr>
              <w:pStyle w:val="34"/>
              <w:shd w:val="clear" w:color="auto" w:fill="FFFFFF"/>
              <w:adjustRightInd w:val="0"/>
              <w:snapToGrid w:val="0"/>
              <w:ind w:left="-105" w:leftChars="-50" w:right="-105" w:rightChars="-50"/>
              <w:jc w:val="center"/>
              <w:rPr>
                <w:bCs/>
                <w:color w:val="auto"/>
                <w:sz w:val="18"/>
                <w:szCs w:val="18"/>
                <w:highlight w:val="none"/>
              </w:rPr>
            </w:pPr>
            <w:r>
              <w:rPr>
                <w:bCs/>
                <w:color w:val="auto"/>
                <w:sz w:val="18"/>
                <w:szCs w:val="18"/>
                <w:highlight w:val="none"/>
              </w:rPr>
              <w:t>2</w:t>
            </w:r>
            <w:r>
              <w:rPr>
                <w:rFonts w:hint="eastAsia"/>
                <w:bCs/>
                <w:color w:val="auto"/>
                <w:sz w:val="18"/>
                <w:szCs w:val="18"/>
                <w:highlight w:val="none"/>
              </w:rPr>
              <w:t>．</w:t>
            </w:r>
          </w:p>
          <w:p>
            <w:pPr>
              <w:pStyle w:val="34"/>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z w:val="18"/>
                <w:szCs w:val="18"/>
                <w:highlight w:val="none"/>
              </w:rPr>
              <w:t>企</w:t>
            </w:r>
            <w:r>
              <w:rPr>
                <w:rFonts w:hint="eastAsia"/>
                <w:bCs/>
                <w:color w:val="auto"/>
                <w:spacing w:val="12"/>
                <w:sz w:val="18"/>
                <w:szCs w:val="18"/>
                <w:highlight w:val="none"/>
              </w:rPr>
              <w:t>业有关资质获证情况</w:t>
            </w:r>
          </w:p>
        </w:tc>
        <w:tc>
          <w:tcPr>
            <w:tcW w:w="1553" w:type="dxa"/>
            <w:gridSpan w:val="2"/>
            <w:vMerge w:val="restart"/>
            <w:vAlign w:val="center"/>
          </w:tcPr>
          <w:p>
            <w:pPr>
              <w:pStyle w:val="34"/>
              <w:shd w:val="clear" w:color="auto" w:fill="FFFFFF"/>
              <w:adjustRightInd w:val="0"/>
              <w:snapToGrid w:val="0"/>
              <w:spacing w:before="0" w:beforeAutospacing="0" w:after="0" w:afterAutospacing="0"/>
              <w:ind w:left="-105" w:leftChars="-50" w:right="-105" w:rightChars="-50"/>
              <w:jc w:val="center"/>
              <w:rPr>
                <w:bCs/>
                <w:color w:val="auto"/>
                <w:spacing w:val="16"/>
                <w:sz w:val="18"/>
                <w:szCs w:val="18"/>
                <w:highlight w:val="none"/>
              </w:rPr>
            </w:pPr>
            <w:r>
              <w:rPr>
                <w:rFonts w:hint="eastAsia"/>
                <w:bCs/>
                <w:color w:val="auto"/>
                <w:spacing w:val="12"/>
                <w:sz w:val="18"/>
                <w:szCs w:val="18"/>
                <w:highlight w:val="none"/>
              </w:rPr>
              <w:t>产品生产许可证情况</w:t>
            </w:r>
            <w:r>
              <w:rPr>
                <w:rFonts w:hint="eastAsia"/>
                <w:bCs/>
                <w:color w:val="auto"/>
                <w:spacing w:val="41"/>
                <w:sz w:val="18"/>
                <w:szCs w:val="18"/>
                <w:highlight w:val="none"/>
              </w:rPr>
              <w:t>（对需获得生产许可证的</w:t>
            </w:r>
            <w:r>
              <w:rPr>
                <w:rFonts w:hint="eastAsia"/>
                <w:bCs/>
                <w:color w:val="auto"/>
                <w:spacing w:val="11"/>
                <w:sz w:val="18"/>
                <w:szCs w:val="18"/>
                <w:highlight w:val="none"/>
              </w:rPr>
              <w:t>产品要填写此栏）</w:t>
            </w:r>
          </w:p>
        </w:tc>
        <w:tc>
          <w:tcPr>
            <w:tcW w:w="1333" w:type="dxa"/>
            <w:gridSpan w:val="3"/>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产品名称</w:t>
            </w:r>
          </w:p>
        </w:tc>
        <w:tc>
          <w:tcPr>
            <w:tcW w:w="1418" w:type="dxa"/>
            <w:gridSpan w:val="2"/>
            <w:vAlign w:val="center"/>
          </w:tcPr>
          <w:p>
            <w:pPr>
              <w:pStyle w:val="34"/>
              <w:shd w:val="clear" w:color="auto" w:fill="FFFFFF"/>
              <w:adjustRightInd w:val="0"/>
              <w:snapToGrid w:val="0"/>
              <w:spacing w:before="0" w:beforeAutospacing="0" w:after="0" w:afterAutospacing="0"/>
              <w:ind w:left="-105" w:leftChars="-50" w:right="-105" w:rightChars="-50"/>
              <w:jc w:val="center"/>
              <w:rPr>
                <w:bCs/>
                <w:color w:val="auto"/>
                <w:sz w:val="18"/>
                <w:szCs w:val="18"/>
                <w:highlight w:val="none"/>
              </w:rPr>
            </w:pPr>
            <w:r>
              <w:rPr>
                <w:rFonts w:hint="eastAsia"/>
                <w:bCs/>
                <w:color w:val="auto"/>
                <w:spacing w:val="16"/>
                <w:sz w:val="18"/>
                <w:szCs w:val="18"/>
                <w:highlight w:val="none"/>
              </w:rPr>
              <w:t>发证机关</w:t>
            </w:r>
          </w:p>
        </w:tc>
        <w:tc>
          <w:tcPr>
            <w:tcW w:w="1276" w:type="dxa"/>
            <w:vAlign w:val="center"/>
          </w:tcPr>
          <w:p>
            <w:pPr>
              <w:pStyle w:val="34"/>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27"/>
                <w:sz w:val="18"/>
                <w:szCs w:val="18"/>
                <w:highlight w:val="none"/>
              </w:rPr>
              <w:t>编号</w:t>
            </w:r>
          </w:p>
        </w:tc>
        <w:tc>
          <w:tcPr>
            <w:tcW w:w="1618" w:type="dxa"/>
            <w:gridSpan w:val="2"/>
            <w:vAlign w:val="center"/>
          </w:tcPr>
          <w:p>
            <w:pPr>
              <w:pStyle w:val="34"/>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发证时间</w:t>
            </w:r>
          </w:p>
        </w:tc>
        <w:tc>
          <w:tcPr>
            <w:tcW w:w="933" w:type="dxa"/>
            <w:vAlign w:val="center"/>
          </w:tcPr>
          <w:p>
            <w:pPr>
              <w:pStyle w:val="34"/>
              <w:shd w:val="clear" w:color="auto" w:fill="FFFFFF"/>
              <w:adjustRightInd w:val="0"/>
              <w:snapToGrid w:val="0"/>
              <w:spacing w:before="0" w:beforeAutospacing="0" w:after="0" w:afterAutospacing="0"/>
              <w:ind w:left="-105" w:leftChars="-50" w:right="-105" w:rightChars="-50"/>
              <w:jc w:val="center"/>
              <w:rPr>
                <w:bCs/>
                <w:color w:val="auto"/>
                <w:sz w:val="18"/>
                <w:szCs w:val="18"/>
                <w:highlight w:val="none"/>
              </w:rPr>
            </w:pPr>
            <w:r>
              <w:rPr>
                <w:rFonts w:hint="eastAsia"/>
                <w:bCs/>
                <w:color w:val="auto"/>
                <w:spacing w:val="27"/>
                <w:sz w:val="18"/>
                <w:szCs w:val="18"/>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682" w:type="dxa"/>
            <w:vMerge w:val="continue"/>
            <w:vAlign w:val="center"/>
          </w:tcPr>
          <w:p>
            <w:pPr>
              <w:pStyle w:val="34"/>
              <w:shd w:val="clear" w:color="auto" w:fill="FFFFFF"/>
              <w:adjustRightInd w:val="0"/>
              <w:snapToGrid w:val="0"/>
              <w:ind w:left="-105" w:leftChars="-50" w:right="-105" w:rightChars="-50"/>
              <w:jc w:val="center"/>
              <w:rPr>
                <w:bCs/>
                <w:color w:val="auto"/>
                <w:sz w:val="18"/>
                <w:szCs w:val="18"/>
                <w:highlight w:val="none"/>
              </w:rPr>
            </w:pPr>
          </w:p>
        </w:tc>
        <w:tc>
          <w:tcPr>
            <w:tcW w:w="1553" w:type="dxa"/>
            <w:gridSpan w:val="2"/>
            <w:vMerge w:val="continue"/>
            <w:vAlign w:val="center"/>
          </w:tcPr>
          <w:p>
            <w:pPr>
              <w:pStyle w:val="34"/>
              <w:shd w:val="clear" w:color="auto" w:fill="FFFFFF"/>
              <w:adjustRightInd w:val="0"/>
              <w:snapToGrid w:val="0"/>
              <w:ind w:left="-105" w:leftChars="-50" w:right="-105" w:rightChars="-50"/>
              <w:jc w:val="center"/>
              <w:rPr>
                <w:bCs/>
                <w:color w:val="auto"/>
                <w:sz w:val="18"/>
                <w:szCs w:val="18"/>
                <w:highlight w:val="none"/>
              </w:rPr>
            </w:pPr>
          </w:p>
        </w:tc>
        <w:tc>
          <w:tcPr>
            <w:tcW w:w="1333" w:type="dxa"/>
            <w:gridSpan w:val="3"/>
            <w:vAlign w:val="center"/>
          </w:tcPr>
          <w:p>
            <w:pPr>
              <w:pStyle w:val="34"/>
              <w:shd w:val="clear" w:color="auto" w:fill="FFFFFF"/>
              <w:adjustRightInd w:val="0"/>
              <w:snapToGrid w:val="0"/>
              <w:ind w:left="-105" w:leftChars="-50" w:right="-105" w:rightChars="-50"/>
              <w:jc w:val="center"/>
              <w:rPr>
                <w:bCs/>
                <w:color w:val="auto"/>
                <w:sz w:val="18"/>
                <w:szCs w:val="18"/>
                <w:highlight w:val="none"/>
              </w:rPr>
            </w:pPr>
          </w:p>
        </w:tc>
        <w:tc>
          <w:tcPr>
            <w:tcW w:w="1418" w:type="dxa"/>
            <w:gridSpan w:val="2"/>
            <w:vAlign w:val="center"/>
          </w:tcPr>
          <w:p>
            <w:pPr>
              <w:pStyle w:val="34"/>
              <w:shd w:val="clear" w:color="auto" w:fill="FFFFFF"/>
              <w:adjustRightInd w:val="0"/>
              <w:snapToGrid w:val="0"/>
              <w:ind w:left="-105" w:leftChars="-50" w:right="-105" w:rightChars="-50"/>
              <w:jc w:val="center"/>
              <w:rPr>
                <w:bCs/>
                <w:color w:val="auto"/>
                <w:sz w:val="18"/>
                <w:szCs w:val="18"/>
                <w:highlight w:val="none"/>
              </w:rPr>
            </w:pPr>
          </w:p>
        </w:tc>
        <w:tc>
          <w:tcPr>
            <w:tcW w:w="1276" w:type="dxa"/>
            <w:vAlign w:val="center"/>
          </w:tcPr>
          <w:p>
            <w:pPr>
              <w:pStyle w:val="34"/>
              <w:shd w:val="clear" w:color="auto" w:fill="FFFFFF"/>
              <w:adjustRightInd w:val="0"/>
              <w:snapToGrid w:val="0"/>
              <w:ind w:left="-105" w:leftChars="-50" w:right="-105" w:rightChars="-50"/>
              <w:jc w:val="center"/>
              <w:rPr>
                <w:bCs/>
                <w:color w:val="auto"/>
                <w:sz w:val="18"/>
                <w:szCs w:val="18"/>
                <w:highlight w:val="none"/>
              </w:rPr>
            </w:pPr>
          </w:p>
        </w:tc>
        <w:tc>
          <w:tcPr>
            <w:tcW w:w="2551" w:type="dxa"/>
            <w:gridSpan w:val="3"/>
            <w:vAlign w:val="center"/>
          </w:tcPr>
          <w:p>
            <w:pPr>
              <w:pStyle w:val="34"/>
              <w:shd w:val="clear" w:color="auto" w:fill="FFFFFF"/>
              <w:adjustRightInd w:val="0"/>
              <w:snapToGrid w:val="0"/>
              <w:ind w:left="-105" w:leftChars="-50" w:right="-105" w:rightChars="-50"/>
              <w:jc w:val="center"/>
              <w:rPr>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682" w:type="dxa"/>
            <w:vMerge w:val="continue"/>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p>
        </w:tc>
        <w:tc>
          <w:tcPr>
            <w:tcW w:w="1553" w:type="dxa"/>
            <w:gridSpan w:val="2"/>
            <w:vAlign w:val="center"/>
          </w:tcPr>
          <w:p>
            <w:pPr>
              <w:pStyle w:val="34"/>
              <w:shd w:val="clear" w:color="auto" w:fill="FFFFFF"/>
              <w:adjustRightInd w:val="0"/>
              <w:snapToGrid w:val="0"/>
              <w:spacing w:before="0" w:beforeAutospacing="0" w:after="0" w:afterAutospacing="0"/>
              <w:ind w:left="-105" w:leftChars="-50" w:right="-105" w:rightChars="-50"/>
              <w:jc w:val="center"/>
              <w:rPr>
                <w:bCs/>
                <w:color w:val="auto"/>
                <w:spacing w:val="41"/>
                <w:sz w:val="18"/>
                <w:szCs w:val="18"/>
                <w:highlight w:val="none"/>
              </w:rPr>
            </w:pPr>
            <w:r>
              <w:rPr>
                <w:rFonts w:hint="eastAsia"/>
                <w:bCs/>
                <w:color w:val="auto"/>
                <w:spacing w:val="41"/>
                <w:sz w:val="18"/>
                <w:szCs w:val="18"/>
                <w:highlight w:val="none"/>
              </w:rPr>
              <w:t>企业通过质量体系、环保</w:t>
            </w:r>
            <w:r>
              <w:rPr>
                <w:rFonts w:hint="eastAsia"/>
                <w:bCs/>
                <w:color w:val="auto"/>
                <w:spacing w:val="11"/>
                <w:sz w:val="18"/>
                <w:szCs w:val="18"/>
                <w:highlight w:val="none"/>
              </w:rPr>
              <w:t>体系、计量等认证情况</w:t>
            </w:r>
          </w:p>
        </w:tc>
        <w:tc>
          <w:tcPr>
            <w:tcW w:w="6578" w:type="dxa"/>
            <w:gridSpan w:val="9"/>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82" w:type="dxa"/>
            <w:vMerge w:val="continue"/>
            <w:vAlign w:val="center"/>
          </w:tcPr>
          <w:p>
            <w:pPr>
              <w:pStyle w:val="34"/>
              <w:shd w:val="clear" w:color="auto" w:fill="FFFFFF"/>
              <w:adjustRightInd w:val="0"/>
              <w:snapToGrid w:val="0"/>
              <w:ind w:left="-105" w:leftChars="-50" w:right="-105" w:rightChars="-50"/>
              <w:jc w:val="center"/>
              <w:rPr>
                <w:bCs/>
                <w:color w:val="auto"/>
                <w:spacing w:val="27"/>
                <w:sz w:val="18"/>
                <w:szCs w:val="18"/>
                <w:highlight w:val="none"/>
              </w:rPr>
            </w:pPr>
          </w:p>
        </w:tc>
        <w:tc>
          <w:tcPr>
            <w:tcW w:w="1553" w:type="dxa"/>
            <w:gridSpan w:val="2"/>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0"/>
                <w:sz w:val="18"/>
                <w:szCs w:val="18"/>
                <w:highlight w:val="none"/>
              </w:rPr>
              <w:t>企业获得专利情况</w:t>
            </w:r>
          </w:p>
        </w:tc>
        <w:tc>
          <w:tcPr>
            <w:tcW w:w="6578" w:type="dxa"/>
            <w:gridSpan w:val="9"/>
            <w:vAlign w:val="center"/>
          </w:tcPr>
          <w:p>
            <w:pPr>
              <w:pStyle w:val="34"/>
              <w:shd w:val="clear" w:color="auto" w:fill="FFFFFF"/>
              <w:adjustRightInd w:val="0"/>
              <w:snapToGrid w:val="0"/>
              <w:ind w:left="-105" w:leftChars="-50" w:right="-105" w:rightChars="-50"/>
              <w:jc w:val="center"/>
              <w:rPr>
                <w:bCs/>
                <w:color w:val="auto"/>
                <w:spacing w:val="16"/>
                <w:sz w:val="18"/>
                <w:szCs w:val="18"/>
                <w:highlight w:val="none"/>
              </w:rPr>
            </w:pPr>
          </w:p>
        </w:tc>
      </w:tr>
    </w:tbl>
    <w:p>
      <w:pPr>
        <w:pStyle w:val="38"/>
        <w:tabs>
          <w:tab w:val="left" w:pos="1050"/>
        </w:tabs>
        <w:spacing w:line="360" w:lineRule="auto"/>
        <w:ind w:firstLine="422"/>
        <w:rPr>
          <w:rFonts w:ascii="宋体" w:hAnsi="宋体"/>
          <w:color w:val="auto"/>
          <w:szCs w:val="21"/>
          <w:highlight w:val="none"/>
        </w:rPr>
      </w:pPr>
      <w:r>
        <w:rPr>
          <w:rFonts w:hint="eastAsia" w:ascii="宋体" w:hAnsi="宋体"/>
          <w:b/>
          <w:color w:val="auto"/>
          <w:szCs w:val="21"/>
          <w:highlight w:val="none"/>
        </w:rPr>
        <w:t>要求：</w:t>
      </w:r>
      <w:r>
        <w:rPr>
          <w:rFonts w:hint="eastAsia" w:ascii="宋体" w:hAnsi="宋体"/>
          <w:color w:val="auto"/>
          <w:szCs w:val="21"/>
          <w:highlight w:val="none"/>
        </w:rPr>
        <w:t>在填写时，如本表格不适合响应单位的实际情况，可根据本表格式自行划表填写。</w:t>
      </w: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供应商名称（电子印章）：</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法定代表人或授权委托人签</w:t>
      </w:r>
      <w:r>
        <w:rPr>
          <w:rFonts w:hint="eastAsia" w:ascii="宋体" w:hAnsi="宋体" w:cs="仿宋_GB2312"/>
          <w:color w:val="auto"/>
          <w:kern w:val="0"/>
          <w:sz w:val="24"/>
          <w:highlight w:val="none"/>
          <w:lang w:val="zh-CN"/>
        </w:rPr>
        <w:t>字或电子印章</w:t>
      </w:r>
      <w:r>
        <w:rPr>
          <w:rFonts w:hint="eastAsia" w:ascii="宋体" w:hAnsi="宋体"/>
          <w:color w:val="auto"/>
          <w:sz w:val="24"/>
          <w:highlight w:val="none"/>
        </w:rPr>
        <w:t>：</w:t>
      </w:r>
    </w:p>
    <w:p>
      <w:pPr>
        <w:pStyle w:val="34"/>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pStyle w:val="24"/>
        <w:rPr>
          <w:rFonts w:hint="eastAsia"/>
          <w:color w:val="auto"/>
          <w:highlight w:val="none"/>
        </w:rPr>
      </w:pPr>
    </w:p>
    <w:p>
      <w:pPr>
        <w:spacing w:line="360" w:lineRule="auto"/>
        <w:rPr>
          <w:rFonts w:hint="eastAsia" w:ascii="宋体" w:hAnsi="宋体"/>
          <w:b/>
          <w:color w:val="auto"/>
          <w:sz w:val="28"/>
          <w:highlight w:val="none"/>
        </w:rPr>
      </w:pPr>
      <w:r>
        <w:rPr>
          <w:rFonts w:hint="eastAsia" w:ascii="宋体" w:hAnsi="宋体"/>
          <w:b/>
          <w:color w:val="auto"/>
          <w:sz w:val="28"/>
          <w:highlight w:val="none"/>
        </w:rPr>
        <w:t>附件9</w:t>
      </w:r>
    </w:p>
    <w:p>
      <w:pPr>
        <w:pStyle w:val="38"/>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证书、证明材料一览表</w:t>
      </w:r>
    </w:p>
    <w:p>
      <w:pPr>
        <w:pStyle w:val="38"/>
        <w:spacing w:line="360" w:lineRule="auto"/>
        <w:jc w:val="center"/>
        <w:rPr>
          <w:rFonts w:ascii="宋体" w:hAnsi="宋体" w:cs="Arial"/>
          <w:color w:val="auto"/>
          <w:sz w:val="28"/>
          <w:szCs w:val="28"/>
          <w:highlight w:val="none"/>
        </w:rPr>
      </w:pPr>
    </w:p>
    <w:tbl>
      <w:tblPr>
        <w:tblStyle w:val="25"/>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8"/>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tcPr>
          <w:p>
            <w:pPr>
              <w:pStyle w:val="38"/>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tcPr>
          <w:p>
            <w:pPr>
              <w:pStyle w:val="38"/>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tcPr>
          <w:p>
            <w:pPr>
              <w:pStyle w:val="38"/>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8"/>
              <w:spacing w:line="360" w:lineRule="auto"/>
              <w:jc w:val="center"/>
              <w:rPr>
                <w:rFonts w:ascii="宋体" w:hAnsi="宋体" w:cs="Arial"/>
                <w:color w:val="auto"/>
                <w:szCs w:val="21"/>
                <w:highlight w:val="none"/>
              </w:rPr>
            </w:pPr>
          </w:p>
        </w:tc>
        <w:tc>
          <w:tcPr>
            <w:tcW w:w="2258" w:type="dxa"/>
            <w:tcBorders>
              <w:top w:val="single" w:color="auto" w:sz="4" w:space="0"/>
            </w:tcBorders>
          </w:tcPr>
          <w:p>
            <w:pPr>
              <w:pStyle w:val="38"/>
              <w:spacing w:line="360" w:lineRule="auto"/>
              <w:jc w:val="center"/>
              <w:rPr>
                <w:rFonts w:ascii="宋体" w:hAnsi="宋体" w:cs="Arial"/>
                <w:color w:val="auto"/>
                <w:szCs w:val="21"/>
                <w:highlight w:val="none"/>
              </w:rPr>
            </w:pPr>
          </w:p>
        </w:tc>
        <w:tc>
          <w:tcPr>
            <w:tcW w:w="2260" w:type="dxa"/>
            <w:tcBorders>
              <w:top w:val="single" w:color="auto" w:sz="4" w:space="0"/>
            </w:tcBorders>
          </w:tcPr>
          <w:p>
            <w:pPr>
              <w:pStyle w:val="38"/>
              <w:spacing w:line="360" w:lineRule="auto"/>
              <w:jc w:val="center"/>
              <w:rPr>
                <w:rFonts w:ascii="宋体" w:hAnsi="宋体" w:cs="Arial"/>
                <w:color w:val="auto"/>
                <w:szCs w:val="21"/>
                <w:highlight w:val="none"/>
              </w:rPr>
            </w:pPr>
          </w:p>
        </w:tc>
        <w:tc>
          <w:tcPr>
            <w:tcW w:w="2047" w:type="dxa"/>
            <w:tcBorders>
              <w:top w:val="single" w:color="auto" w:sz="4" w:space="0"/>
              <w:right w:val="single" w:color="auto" w:sz="4" w:space="0"/>
            </w:tcBorders>
          </w:tcPr>
          <w:p>
            <w:pPr>
              <w:pStyle w:val="38"/>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8"/>
              <w:spacing w:line="360" w:lineRule="auto"/>
              <w:jc w:val="center"/>
              <w:rPr>
                <w:rFonts w:ascii="宋体" w:hAnsi="宋体" w:cs="Arial"/>
                <w:color w:val="auto"/>
                <w:szCs w:val="21"/>
                <w:highlight w:val="none"/>
              </w:rPr>
            </w:pPr>
          </w:p>
        </w:tc>
        <w:tc>
          <w:tcPr>
            <w:tcW w:w="2258" w:type="dxa"/>
          </w:tcPr>
          <w:p>
            <w:pPr>
              <w:pStyle w:val="38"/>
              <w:spacing w:line="360" w:lineRule="auto"/>
              <w:jc w:val="center"/>
              <w:rPr>
                <w:rFonts w:ascii="宋体" w:hAnsi="宋体" w:cs="Arial"/>
                <w:color w:val="auto"/>
                <w:szCs w:val="21"/>
                <w:highlight w:val="none"/>
              </w:rPr>
            </w:pPr>
          </w:p>
        </w:tc>
        <w:tc>
          <w:tcPr>
            <w:tcW w:w="2260" w:type="dxa"/>
          </w:tcPr>
          <w:p>
            <w:pPr>
              <w:pStyle w:val="38"/>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38"/>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8"/>
              <w:spacing w:line="360" w:lineRule="auto"/>
              <w:jc w:val="center"/>
              <w:rPr>
                <w:rFonts w:ascii="宋体" w:hAnsi="宋体" w:cs="Arial"/>
                <w:color w:val="auto"/>
                <w:szCs w:val="21"/>
                <w:highlight w:val="none"/>
              </w:rPr>
            </w:pPr>
          </w:p>
        </w:tc>
        <w:tc>
          <w:tcPr>
            <w:tcW w:w="2258" w:type="dxa"/>
          </w:tcPr>
          <w:p>
            <w:pPr>
              <w:pStyle w:val="38"/>
              <w:spacing w:line="360" w:lineRule="auto"/>
              <w:jc w:val="center"/>
              <w:rPr>
                <w:rFonts w:ascii="宋体" w:hAnsi="宋体" w:cs="Arial"/>
                <w:color w:val="auto"/>
                <w:szCs w:val="21"/>
                <w:highlight w:val="none"/>
              </w:rPr>
            </w:pPr>
          </w:p>
        </w:tc>
        <w:tc>
          <w:tcPr>
            <w:tcW w:w="2260" w:type="dxa"/>
          </w:tcPr>
          <w:p>
            <w:pPr>
              <w:pStyle w:val="38"/>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38"/>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8"/>
              <w:spacing w:line="360" w:lineRule="auto"/>
              <w:jc w:val="center"/>
              <w:rPr>
                <w:rFonts w:ascii="宋体" w:hAnsi="宋体" w:cs="Arial"/>
                <w:color w:val="auto"/>
                <w:szCs w:val="21"/>
                <w:highlight w:val="none"/>
              </w:rPr>
            </w:pPr>
          </w:p>
        </w:tc>
        <w:tc>
          <w:tcPr>
            <w:tcW w:w="2258" w:type="dxa"/>
          </w:tcPr>
          <w:p>
            <w:pPr>
              <w:pStyle w:val="38"/>
              <w:spacing w:line="360" w:lineRule="auto"/>
              <w:jc w:val="center"/>
              <w:rPr>
                <w:rFonts w:ascii="宋体" w:hAnsi="宋体" w:cs="Arial"/>
                <w:color w:val="auto"/>
                <w:szCs w:val="21"/>
                <w:highlight w:val="none"/>
              </w:rPr>
            </w:pPr>
          </w:p>
        </w:tc>
        <w:tc>
          <w:tcPr>
            <w:tcW w:w="2260" w:type="dxa"/>
          </w:tcPr>
          <w:p>
            <w:pPr>
              <w:pStyle w:val="38"/>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38"/>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8"/>
              <w:spacing w:line="360" w:lineRule="auto"/>
              <w:jc w:val="center"/>
              <w:rPr>
                <w:rFonts w:ascii="宋体" w:hAnsi="宋体" w:cs="Arial"/>
                <w:color w:val="auto"/>
                <w:szCs w:val="21"/>
                <w:highlight w:val="none"/>
              </w:rPr>
            </w:pPr>
          </w:p>
        </w:tc>
        <w:tc>
          <w:tcPr>
            <w:tcW w:w="2258" w:type="dxa"/>
          </w:tcPr>
          <w:p>
            <w:pPr>
              <w:pStyle w:val="38"/>
              <w:spacing w:line="360" w:lineRule="auto"/>
              <w:jc w:val="center"/>
              <w:rPr>
                <w:rFonts w:ascii="宋体" w:hAnsi="宋体" w:cs="Arial"/>
                <w:color w:val="auto"/>
                <w:szCs w:val="21"/>
                <w:highlight w:val="none"/>
              </w:rPr>
            </w:pPr>
          </w:p>
        </w:tc>
        <w:tc>
          <w:tcPr>
            <w:tcW w:w="2260" w:type="dxa"/>
          </w:tcPr>
          <w:p>
            <w:pPr>
              <w:pStyle w:val="38"/>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38"/>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8"/>
              <w:spacing w:line="360" w:lineRule="auto"/>
              <w:jc w:val="center"/>
              <w:rPr>
                <w:rFonts w:ascii="宋体" w:hAnsi="宋体" w:cs="Arial"/>
                <w:color w:val="auto"/>
                <w:szCs w:val="21"/>
                <w:highlight w:val="none"/>
              </w:rPr>
            </w:pPr>
          </w:p>
        </w:tc>
        <w:tc>
          <w:tcPr>
            <w:tcW w:w="2258" w:type="dxa"/>
          </w:tcPr>
          <w:p>
            <w:pPr>
              <w:pStyle w:val="38"/>
              <w:spacing w:line="360" w:lineRule="auto"/>
              <w:jc w:val="center"/>
              <w:rPr>
                <w:rFonts w:ascii="宋体" w:hAnsi="宋体" w:cs="Arial"/>
                <w:color w:val="auto"/>
                <w:szCs w:val="21"/>
                <w:highlight w:val="none"/>
              </w:rPr>
            </w:pPr>
          </w:p>
        </w:tc>
        <w:tc>
          <w:tcPr>
            <w:tcW w:w="2260" w:type="dxa"/>
          </w:tcPr>
          <w:p>
            <w:pPr>
              <w:pStyle w:val="38"/>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38"/>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8"/>
              <w:spacing w:line="360" w:lineRule="auto"/>
              <w:jc w:val="center"/>
              <w:rPr>
                <w:rFonts w:ascii="宋体" w:hAnsi="宋体" w:cs="Arial"/>
                <w:color w:val="auto"/>
                <w:szCs w:val="21"/>
                <w:highlight w:val="none"/>
              </w:rPr>
            </w:pPr>
          </w:p>
        </w:tc>
        <w:tc>
          <w:tcPr>
            <w:tcW w:w="2258" w:type="dxa"/>
            <w:tcBorders>
              <w:bottom w:val="single" w:color="auto" w:sz="4" w:space="0"/>
            </w:tcBorders>
          </w:tcPr>
          <w:p>
            <w:pPr>
              <w:pStyle w:val="38"/>
              <w:spacing w:line="360" w:lineRule="auto"/>
              <w:jc w:val="center"/>
              <w:rPr>
                <w:rFonts w:ascii="宋体" w:hAnsi="宋体" w:cs="Arial"/>
                <w:color w:val="auto"/>
                <w:szCs w:val="21"/>
                <w:highlight w:val="none"/>
              </w:rPr>
            </w:pPr>
          </w:p>
        </w:tc>
        <w:tc>
          <w:tcPr>
            <w:tcW w:w="2260" w:type="dxa"/>
            <w:tcBorders>
              <w:bottom w:val="single" w:color="auto" w:sz="4" w:space="0"/>
            </w:tcBorders>
          </w:tcPr>
          <w:p>
            <w:pPr>
              <w:pStyle w:val="38"/>
              <w:spacing w:line="360" w:lineRule="auto"/>
              <w:jc w:val="center"/>
              <w:rPr>
                <w:rFonts w:ascii="宋体" w:hAnsi="宋体" w:cs="Arial"/>
                <w:color w:val="auto"/>
                <w:szCs w:val="21"/>
                <w:highlight w:val="none"/>
              </w:rPr>
            </w:pPr>
          </w:p>
        </w:tc>
        <w:tc>
          <w:tcPr>
            <w:tcW w:w="2047" w:type="dxa"/>
            <w:tcBorders>
              <w:bottom w:val="single" w:color="auto" w:sz="4" w:space="0"/>
              <w:right w:val="single" w:color="auto" w:sz="4" w:space="0"/>
            </w:tcBorders>
          </w:tcPr>
          <w:p>
            <w:pPr>
              <w:pStyle w:val="38"/>
              <w:spacing w:line="360" w:lineRule="auto"/>
              <w:jc w:val="center"/>
              <w:rPr>
                <w:rFonts w:ascii="宋体" w:hAnsi="宋体" w:cs="Arial"/>
                <w:color w:val="auto"/>
                <w:szCs w:val="21"/>
                <w:highlight w:val="none"/>
              </w:rPr>
            </w:pPr>
          </w:p>
        </w:tc>
      </w:tr>
    </w:tbl>
    <w:p>
      <w:pPr>
        <w:pStyle w:val="38"/>
        <w:tabs>
          <w:tab w:val="left" w:pos="1050"/>
        </w:tabs>
        <w:spacing w:line="360" w:lineRule="auto"/>
        <w:rPr>
          <w:rFonts w:ascii="仿宋_GB2312" w:hAnsi="宋体" w:eastAsia="仿宋_GB2312"/>
          <w:color w:val="auto"/>
          <w:sz w:val="24"/>
          <w:highlight w:val="none"/>
        </w:rPr>
      </w:pPr>
    </w:p>
    <w:p>
      <w:pPr>
        <w:pStyle w:val="38"/>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38"/>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1.填写投标供应商获得资质、认证或企业信誉证书；</w:t>
      </w:r>
    </w:p>
    <w:p>
      <w:pPr>
        <w:pStyle w:val="38"/>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2.附所列证书扫描件或影印件或其他证明材料。</w:t>
      </w:r>
    </w:p>
    <w:p>
      <w:pPr>
        <w:pStyle w:val="38"/>
        <w:tabs>
          <w:tab w:val="left" w:pos="1050"/>
        </w:tabs>
        <w:spacing w:line="360" w:lineRule="auto"/>
        <w:ind w:firstLine="720" w:firstLineChars="300"/>
        <w:rPr>
          <w:rFonts w:ascii="仿宋_GB2312" w:hAnsi="宋体" w:eastAsia="仿宋_GB2312"/>
          <w:color w:val="auto"/>
          <w:sz w:val="24"/>
          <w:highlight w:val="none"/>
        </w:rPr>
      </w:pPr>
    </w:p>
    <w:p>
      <w:pPr>
        <w:pStyle w:val="38"/>
        <w:tabs>
          <w:tab w:val="left" w:pos="1050"/>
        </w:tabs>
        <w:spacing w:line="360" w:lineRule="auto"/>
        <w:ind w:firstLine="720" w:firstLineChars="300"/>
        <w:rPr>
          <w:rFonts w:ascii="仿宋_GB2312" w:hAnsi="宋体" w:eastAsia="仿宋_GB2312"/>
          <w:color w:val="auto"/>
          <w:sz w:val="24"/>
          <w:highlight w:val="none"/>
        </w:rPr>
      </w:pPr>
    </w:p>
    <w:p>
      <w:pPr>
        <w:pStyle w:val="38"/>
        <w:tabs>
          <w:tab w:val="left" w:pos="1050"/>
        </w:tabs>
        <w:spacing w:line="360" w:lineRule="auto"/>
        <w:ind w:firstLine="720" w:firstLineChars="300"/>
        <w:rPr>
          <w:rFonts w:ascii="仿宋_GB2312" w:hAnsi="宋体" w:eastAsia="仿宋_GB2312"/>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供应商名称（电子印章）：</w:t>
      </w: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法定代表人或授权委托人签</w:t>
      </w:r>
      <w:r>
        <w:rPr>
          <w:rFonts w:hint="eastAsia" w:ascii="宋体" w:hAnsi="宋体" w:cs="仿宋_GB2312"/>
          <w:color w:val="auto"/>
          <w:kern w:val="0"/>
          <w:sz w:val="24"/>
          <w:highlight w:val="none"/>
          <w:lang w:val="zh-CN"/>
        </w:rPr>
        <w:t>字或电子印章</w:t>
      </w:r>
      <w:r>
        <w:rPr>
          <w:rFonts w:hint="eastAsia" w:ascii="宋体" w:hAnsi="宋体"/>
          <w:color w:val="auto"/>
          <w:sz w:val="24"/>
          <w:highlight w:val="none"/>
        </w:rPr>
        <w:t>：</w:t>
      </w:r>
    </w:p>
    <w:p>
      <w:pPr>
        <w:pStyle w:val="34"/>
        <w:shd w:val="clear" w:color="auto" w:fill="FFFFFF"/>
        <w:spacing w:before="0" w:beforeAutospacing="0" w:after="0" w:afterAutospacing="0" w:line="360" w:lineRule="auto"/>
        <w:ind w:firstLine="424" w:firstLineChars="177"/>
        <w:rPr>
          <w:color w:val="auto"/>
          <w:highlight w:val="none"/>
        </w:rPr>
      </w:pPr>
    </w:p>
    <w:p>
      <w:pPr>
        <w:pStyle w:val="34"/>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spacing w:line="360" w:lineRule="auto"/>
        <w:rPr>
          <w:rFonts w:ascii="宋体" w:hAnsi="宋体"/>
          <w:b/>
          <w:color w:val="auto"/>
          <w:sz w:val="28"/>
          <w:highlight w:val="none"/>
        </w:rPr>
      </w:pPr>
    </w:p>
    <w:p>
      <w:pPr>
        <w:widowControl/>
        <w:jc w:val="left"/>
        <w:rPr>
          <w:rFonts w:ascii="宋体" w:hAnsi="宋体"/>
          <w:b/>
          <w:color w:val="auto"/>
          <w:sz w:val="28"/>
          <w:highlight w:val="none"/>
        </w:rPr>
      </w:pPr>
      <w:r>
        <w:rPr>
          <w:rFonts w:ascii="宋体" w:hAnsi="宋体"/>
          <w:b/>
          <w:color w:val="auto"/>
          <w:sz w:val="28"/>
          <w:highlight w:val="none"/>
        </w:rPr>
        <w:br w:type="page"/>
      </w:r>
    </w:p>
    <w:p>
      <w:pPr>
        <w:spacing w:line="360" w:lineRule="auto"/>
        <w:rPr>
          <w:rFonts w:ascii="宋体" w:hAnsi="宋体"/>
          <w:b/>
          <w:color w:val="auto"/>
          <w:sz w:val="28"/>
          <w:highlight w:val="none"/>
        </w:rPr>
      </w:pPr>
      <w:r>
        <w:rPr>
          <w:rFonts w:hint="eastAsia" w:ascii="宋体" w:hAnsi="宋体"/>
          <w:b/>
          <w:color w:val="auto"/>
          <w:sz w:val="28"/>
          <w:highlight w:val="none"/>
        </w:rPr>
        <w:t>附件10</w:t>
      </w:r>
    </w:p>
    <w:p>
      <w:pPr>
        <w:pStyle w:val="37"/>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类似项目实施情况一览表</w:t>
      </w:r>
    </w:p>
    <w:p>
      <w:pPr>
        <w:pStyle w:val="37"/>
        <w:spacing w:line="360" w:lineRule="auto"/>
        <w:jc w:val="center"/>
        <w:rPr>
          <w:rFonts w:ascii="仿宋_GB2312" w:eastAsia="仿宋_GB2312"/>
          <w:b/>
          <w:color w:val="auto"/>
          <w:sz w:val="28"/>
          <w:szCs w:val="28"/>
          <w:highlight w:val="none"/>
        </w:rPr>
      </w:pPr>
    </w:p>
    <w:tbl>
      <w:tblPr>
        <w:tblStyle w:val="25"/>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auto"/>
                <w:sz w:val="24"/>
                <w:highlight w:val="none"/>
              </w:rPr>
            </w:pPr>
          </w:p>
        </w:tc>
      </w:tr>
    </w:tbl>
    <w:p>
      <w:pPr>
        <w:autoSpaceDE w:val="0"/>
        <w:autoSpaceDN w:val="0"/>
        <w:adjustRightInd w:val="0"/>
        <w:spacing w:before="156"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156" w:beforeLines="50" w:line="360" w:lineRule="auto"/>
        <w:ind w:firstLine="424" w:firstLineChars="202"/>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扫描件或影印件可只提供首页、含金额页、盖章页并加盖投标供应商电子印章</w:t>
      </w:r>
      <w:r>
        <w:rPr>
          <w:rFonts w:ascii="宋体" w:hAnsi="宋体" w:cs="Arial"/>
          <w:color w:val="auto"/>
          <w:szCs w:val="21"/>
          <w:highlight w:val="none"/>
        </w:rPr>
        <w:t>）；</w:t>
      </w:r>
    </w:p>
    <w:p>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.投标供应商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widowControl/>
        <w:jc w:val="left"/>
        <w:rPr>
          <w:rFonts w:ascii="宋体" w:hAnsi="宋体"/>
          <w:b/>
          <w:color w:val="auto"/>
          <w:sz w:val="28"/>
          <w:highlight w:val="none"/>
        </w:rPr>
      </w:pPr>
    </w:p>
    <w:p>
      <w:pPr>
        <w:widowControl/>
        <w:jc w:val="left"/>
        <w:rPr>
          <w:rFonts w:ascii="宋体" w:hAnsi="宋体"/>
          <w:b/>
          <w:color w:val="auto"/>
          <w:sz w:val="28"/>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供应商名称（电子印章）：</w:t>
      </w: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法定代表人或授权委托人签</w:t>
      </w:r>
      <w:r>
        <w:rPr>
          <w:rFonts w:hint="eastAsia" w:ascii="宋体" w:hAnsi="宋体" w:cs="仿宋_GB2312"/>
          <w:color w:val="auto"/>
          <w:kern w:val="0"/>
          <w:sz w:val="24"/>
          <w:highlight w:val="none"/>
          <w:lang w:val="zh-CN"/>
        </w:rPr>
        <w:t>字或电子印章</w:t>
      </w:r>
      <w:r>
        <w:rPr>
          <w:rFonts w:hint="eastAsia" w:ascii="宋体" w:hAnsi="宋体"/>
          <w:color w:val="auto"/>
          <w:sz w:val="24"/>
          <w:highlight w:val="none"/>
        </w:rPr>
        <w:t>：</w:t>
      </w:r>
    </w:p>
    <w:p>
      <w:pPr>
        <w:pStyle w:val="34"/>
        <w:shd w:val="clear" w:color="auto" w:fill="FFFFFF"/>
        <w:spacing w:before="0" w:beforeAutospacing="0" w:after="0" w:afterAutospacing="0" w:line="360" w:lineRule="auto"/>
        <w:ind w:firstLine="424" w:firstLineChars="177"/>
        <w:rPr>
          <w:color w:val="auto"/>
          <w:highlight w:val="none"/>
        </w:rPr>
      </w:pPr>
    </w:p>
    <w:p>
      <w:pPr>
        <w:pStyle w:val="34"/>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widowControl/>
        <w:jc w:val="left"/>
        <w:rPr>
          <w:rFonts w:ascii="宋体" w:hAnsi="宋体"/>
          <w:b/>
          <w:color w:val="auto"/>
          <w:sz w:val="28"/>
          <w:highlight w:val="none"/>
        </w:rPr>
      </w:pPr>
      <w:r>
        <w:rPr>
          <w:rFonts w:ascii="宋体" w:hAnsi="宋体"/>
          <w:b/>
          <w:color w:val="auto"/>
          <w:sz w:val="28"/>
          <w:highlight w:val="none"/>
        </w:rPr>
        <w:br w:type="page"/>
      </w:r>
    </w:p>
    <w:p>
      <w:pPr>
        <w:spacing w:line="360" w:lineRule="auto"/>
        <w:rPr>
          <w:rFonts w:ascii="宋体" w:hAnsi="宋体"/>
          <w:b/>
          <w:color w:val="auto"/>
          <w:sz w:val="28"/>
          <w:highlight w:val="none"/>
        </w:rPr>
      </w:pPr>
      <w:r>
        <w:rPr>
          <w:rFonts w:hint="eastAsia" w:ascii="宋体" w:hAnsi="宋体"/>
          <w:b/>
          <w:color w:val="auto"/>
          <w:sz w:val="28"/>
          <w:highlight w:val="none"/>
        </w:rPr>
        <w:t>附件11</w:t>
      </w:r>
    </w:p>
    <w:p>
      <w:pPr>
        <w:spacing w:line="360" w:lineRule="auto"/>
        <w:ind w:left="549" w:hanging="549" w:hangingChars="171"/>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技术规格偏离表</w:t>
      </w:r>
    </w:p>
    <w:tbl>
      <w:tblPr>
        <w:tblStyle w:val="25"/>
        <w:tblW w:w="9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30"/>
        <w:gridCol w:w="1050"/>
        <w:gridCol w:w="1855"/>
        <w:gridCol w:w="1855"/>
        <w:gridCol w:w="185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vMerge w:val="restart"/>
            <w:tcBorders>
              <w:top w:val="single" w:color="auto" w:sz="4" w:space="0"/>
              <w:left w:val="single" w:color="auto" w:sz="4" w:space="0"/>
              <w:right w:val="single" w:color="auto" w:sz="4" w:space="0"/>
            </w:tcBorders>
            <w:vAlign w:val="center"/>
          </w:tcPr>
          <w:p>
            <w:pPr>
              <w:pStyle w:val="42"/>
              <w:tabs>
                <w:tab w:val="left" w:pos="3200"/>
              </w:tabs>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980" w:type="dxa"/>
            <w:gridSpan w:val="2"/>
            <w:tcBorders>
              <w:top w:val="single" w:color="auto" w:sz="4" w:space="0"/>
              <w:left w:val="single" w:color="auto" w:sz="4" w:space="0"/>
              <w:right w:val="single" w:color="auto" w:sz="4" w:space="0"/>
            </w:tcBorders>
            <w:vAlign w:val="center"/>
          </w:tcPr>
          <w:p>
            <w:pPr>
              <w:pStyle w:val="42"/>
              <w:tabs>
                <w:tab w:val="left" w:pos="3200"/>
              </w:tabs>
              <w:jc w:val="center"/>
              <w:rPr>
                <w:rFonts w:hint="eastAsia" w:ascii="宋体" w:hAnsi="宋体" w:cs="宋体"/>
                <w:color w:val="auto"/>
                <w:sz w:val="24"/>
                <w:highlight w:val="none"/>
              </w:rPr>
            </w:pPr>
            <w:r>
              <w:rPr>
                <w:rFonts w:hint="eastAsia" w:ascii="宋体" w:hAnsi="宋体" w:cs="宋体"/>
                <w:color w:val="auto"/>
                <w:sz w:val="24"/>
                <w:highlight w:val="none"/>
              </w:rPr>
              <w:t>投标产品名称</w:t>
            </w:r>
          </w:p>
        </w:tc>
        <w:tc>
          <w:tcPr>
            <w:tcW w:w="1855" w:type="dxa"/>
            <w:vMerge w:val="restart"/>
            <w:tcBorders>
              <w:top w:val="single" w:color="auto" w:sz="4" w:space="0"/>
              <w:left w:val="single" w:color="auto" w:sz="4" w:space="0"/>
              <w:right w:val="single" w:color="auto" w:sz="4" w:space="0"/>
            </w:tcBorders>
            <w:vAlign w:val="center"/>
          </w:tcPr>
          <w:p>
            <w:pPr>
              <w:pStyle w:val="42"/>
              <w:jc w:val="center"/>
              <w:rPr>
                <w:rFonts w:hint="eastAsia" w:ascii="宋体" w:hAnsi="宋体" w:cs="宋体"/>
                <w:color w:val="auto"/>
                <w:sz w:val="24"/>
                <w:highlight w:val="none"/>
              </w:rPr>
            </w:pPr>
            <w:r>
              <w:rPr>
                <w:rFonts w:hint="eastAsia" w:ascii="宋体" w:hAnsi="宋体" w:cs="宋体"/>
                <w:color w:val="auto"/>
                <w:sz w:val="24"/>
                <w:highlight w:val="none"/>
              </w:rPr>
              <w:t>招标文件要求</w:t>
            </w:r>
          </w:p>
        </w:tc>
        <w:tc>
          <w:tcPr>
            <w:tcW w:w="1855" w:type="dxa"/>
            <w:vMerge w:val="restart"/>
            <w:tcBorders>
              <w:top w:val="single" w:color="auto" w:sz="4" w:space="0"/>
              <w:left w:val="single" w:color="auto" w:sz="4" w:space="0"/>
              <w:right w:val="single" w:color="auto" w:sz="4" w:space="0"/>
            </w:tcBorders>
            <w:vAlign w:val="center"/>
          </w:tcPr>
          <w:p>
            <w:pPr>
              <w:pStyle w:val="42"/>
              <w:jc w:val="center"/>
              <w:rPr>
                <w:rFonts w:hint="eastAsia" w:ascii="宋体" w:hAnsi="宋体" w:cs="宋体"/>
                <w:color w:val="auto"/>
                <w:sz w:val="24"/>
                <w:highlight w:val="none"/>
              </w:rPr>
            </w:pPr>
            <w:r>
              <w:rPr>
                <w:rFonts w:hint="eastAsia" w:ascii="宋体" w:hAnsi="宋体" w:cs="宋体"/>
                <w:color w:val="auto"/>
                <w:sz w:val="24"/>
                <w:highlight w:val="none"/>
              </w:rPr>
              <w:t>投标产品详细规格</w:t>
            </w:r>
          </w:p>
        </w:tc>
        <w:tc>
          <w:tcPr>
            <w:tcW w:w="1855" w:type="dxa"/>
            <w:vMerge w:val="restart"/>
            <w:tcBorders>
              <w:top w:val="single" w:color="auto" w:sz="4" w:space="0"/>
              <w:left w:val="single" w:color="auto" w:sz="4" w:space="0"/>
              <w:right w:val="single" w:color="auto" w:sz="4" w:space="0"/>
            </w:tcBorders>
            <w:vAlign w:val="center"/>
          </w:tcPr>
          <w:p>
            <w:pPr>
              <w:pStyle w:val="42"/>
              <w:jc w:val="center"/>
              <w:rPr>
                <w:rFonts w:hint="eastAsia" w:ascii="宋体" w:hAnsi="宋体" w:cs="宋体"/>
                <w:color w:val="auto"/>
                <w:sz w:val="24"/>
                <w:highlight w:val="none"/>
              </w:rPr>
            </w:pPr>
            <w:r>
              <w:rPr>
                <w:rFonts w:hint="eastAsia" w:ascii="宋体" w:hAnsi="宋体" w:cs="宋体"/>
                <w:color w:val="auto"/>
                <w:sz w:val="24"/>
                <w:highlight w:val="none"/>
              </w:rPr>
              <w:t>偏离情况详细说明</w:t>
            </w:r>
          </w:p>
        </w:tc>
        <w:tc>
          <w:tcPr>
            <w:tcW w:w="945" w:type="dxa"/>
            <w:vMerge w:val="restart"/>
            <w:tcBorders>
              <w:top w:val="single" w:color="auto" w:sz="4" w:space="0"/>
              <w:left w:val="single" w:color="auto" w:sz="4" w:space="0"/>
              <w:right w:val="single" w:color="auto" w:sz="4" w:space="0"/>
            </w:tcBorders>
            <w:vAlign w:val="center"/>
          </w:tcPr>
          <w:p>
            <w:pPr>
              <w:pStyle w:val="42"/>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vMerge w:val="continue"/>
            <w:tcBorders>
              <w:left w:val="single" w:color="auto" w:sz="4" w:space="0"/>
              <w:right w:val="single" w:color="auto" w:sz="4" w:space="0"/>
            </w:tcBorders>
            <w:vAlign w:val="center"/>
          </w:tcPr>
          <w:p>
            <w:pPr>
              <w:pStyle w:val="42"/>
              <w:tabs>
                <w:tab w:val="left" w:pos="3200"/>
              </w:tabs>
              <w:jc w:val="center"/>
              <w:rPr>
                <w:rFonts w:hint="eastAsia" w:ascii="宋体" w:hAnsi="宋体" w:cs="宋体"/>
                <w:b/>
                <w:bCs/>
                <w:color w:val="auto"/>
                <w:sz w:val="24"/>
                <w:highlight w:val="none"/>
              </w:rPr>
            </w:pPr>
          </w:p>
        </w:tc>
        <w:tc>
          <w:tcPr>
            <w:tcW w:w="930" w:type="dxa"/>
            <w:tcBorders>
              <w:top w:val="single" w:color="auto" w:sz="4" w:space="0"/>
              <w:left w:val="single" w:color="auto" w:sz="4" w:space="0"/>
              <w:right w:val="single" w:color="auto" w:sz="4" w:space="0"/>
            </w:tcBorders>
            <w:vAlign w:val="center"/>
          </w:tcPr>
          <w:p>
            <w:pPr>
              <w:pStyle w:val="42"/>
              <w:tabs>
                <w:tab w:val="left" w:pos="3200"/>
              </w:tabs>
              <w:jc w:val="center"/>
              <w:rPr>
                <w:rFonts w:hint="eastAsia" w:ascii="宋体" w:hAnsi="宋体" w:cs="宋体"/>
                <w:color w:val="auto"/>
                <w:sz w:val="24"/>
                <w:highlight w:val="none"/>
              </w:rPr>
            </w:pPr>
            <w:r>
              <w:rPr>
                <w:rFonts w:hint="eastAsia" w:ascii="宋体" w:hAnsi="宋体" w:cs="宋体"/>
                <w:color w:val="auto"/>
                <w:sz w:val="24"/>
                <w:highlight w:val="none"/>
              </w:rPr>
              <w:t>品牌</w:t>
            </w:r>
          </w:p>
        </w:tc>
        <w:tc>
          <w:tcPr>
            <w:tcW w:w="1050" w:type="dxa"/>
            <w:tcBorders>
              <w:top w:val="single" w:color="auto" w:sz="4" w:space="0"/>
              <w:left w:val="single" w:color="auto" w:sz="4" w:space="0"/>
              <w:right w:val="single" w:color="auto" w:sz="4" w:space="0"/>
            </w:tcBorders>
            <w:vAlign w:val="center"/>
          </w:tcPr>
          <w:p>
            <w:pPr>
              <w:pStyle w:val="42"/>
              <w:tabs>
                <w:tab w:val="left" w:pos="3200"/>
              </w:tabs>
              <w:jc w:val="center"/>
              <w:rPr>
                <w:rFonts w:hint="eastAsia" w:ascii="宋体" w:hAnsi="宋体" w:cs="宋体"/>
                <w:color w:val="auto"/>
                <w:sz w:val="24"/>
                <w:highlight w:val="none"/>
              </w:rPr>
            </w:pPr>
            <w:r>
              <w:rPr>
                <w:rFonts w:hint="eastAsia" w:ascii="宋体" w:hAnsi="宋体" w:cs="宋体"/>
                <w:color w:val="auto"/>
                <w:sz w:val="24"/>
                <w:highlight w:val="none"/>
              </w:rPr>
              <w:t>型号</w:t>
            </w:r>
          </w:p>
        </w:tc>
        <w:tc>
          <w:tcPr>
            <w:tcW w:w="1855" w:type="dxa"/>
            <w:vMerge w:val="continue"/>
            <w:tcBorders>
              <w:left w:val="single" w:color="auto" w:sz="4" w:space="0"/>
              <w:right w:val="single" w:color="auto" w:sz="4" w:space="0"/>
            </w:tcBorders>
            <w:vAlign w:val="center"/>
          </w:tcPr>
          <w:p>
            <w:pPr>
              <w:pStyle w:val="42"/>
              <w:jc w:val="center"/>
              <w:rPr>
                <w:rFonts w:hint="eastAsia" w:ascii="宋体" w:hAnsi="宋体" w:cs="宋体"/>
                <w:color w:val="auto"/>
                <w:sz w:val="24"/>
                <w:highlight w:val="none"/>
              </w:rPr>
            </w:pPr>
          </w:p>
        </w:tc>
        <w:tc>
          <w:tcPr>
            <w:tcW w:w="1855" w:type="dxa"/>
            <w:vMerge w:val="continue"/>
            <w:tcBorders>
              <w:left w:val="single" w:color="auto" w:sz="4" w:space="0"/>
              <w:right w:val="single" w:color="auto" w:sz="4" w:space="0"/>
            </w:tcBorders>
            <w:vAlign w:val="center"/>
          </w:tcPr>
          <w:p>
            <w:pPr>
              <w:pStyle w:val="42"/>
              <w:jc w:val="center"/>
              <w:rPr>
                <w:rFonts w:hint="eastAsia" w:ascii="宋体" w:hAnsi="宋体" w:cs="宋体"/>
                <w:color w:val="auto"/>
                <w:sz w:val="24"/>
                <w:highlight w:val="none"/>
              </w:rPr>
            </w:pPr>
          </w:p>
        </w:tc>
        <w:tc>
          <w:tcPr>
            <w:tcW w:w="1855" w:type="dxa"/>
            <w:vMerge w:val="continue"/>
            <w:tcBorders>
              <w:left w:val="single" w:color="auto" w:sz="4" w:space="0"/>
              <w:right w:val="single" w:color="auto" w:sz="4" w:space="0"/>
            </w:tcBorders>
            <w:vAlign w:val="center"/>
          </w:tcPr>
          <w:p>
            <w:pPr>
              <w:pStyle w:val="42"/>
              <w:jc w:val="center"/>
              <w:rPr>
                <w:rFonts w:hint="eastAsia" w:ascii="宋体" w:hAnsi="宋体" w:cs="宋体"/>
                <w:color w:val="auto"/>
                <w:sz w:val="24"/>
                <w:highlight w:val="none"/>
              </w:rPr>
            </w:pPr>
          </w:p>
        </w:tc>
        <w:tc>
          <w:tcPr>
            <w:tcW w:w="945" w:type="dxa"/>
            <w:vMerge w:val="continue"/>
            <w:tcBorders>
              <w:left w:val="single" w:color="auto" w:sz="4" w:space="0"/>
              <w:right w:val="single" w:color="auto" w:sz="4" w:space="0"/>
            </w:tcBorders>
            <w:vAlign w:val="center"/>
          </w:tcPr>
          <w:p>
            <w:pPr>
              <w:pStyle w:val="42"/>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vAlign w:val="center"/>
          </w:tcPr>
          <w:p>
            <w:pPr>
              <w:pStyle w:val="42"/>
              <w:tabs>
                <w:tab w:val="left" w:pos="3200"/>
              </w:tabs>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30" w:type="dxa"/>
            <w:tcBorders>
              <w:top w:val="single" w:color="auto" w:sz="4" w:space="0"/>
              <w:left w:val="single" w:color="auto" w:sz="4" w:space="0"/>
              <w:right w:val="single" w:color="auto" w:sz="4" w:space="0"/>
            </w:tcBorders>
            <w:vAlign w:val="center"/>
          </w:tcPr>
          <w:p>
            <w:pPr>
              <w:pStyle w:val="42"/>
              <w:jc w:val="center"/>
              <w:rPr>
                <w:rFonts w:hint="eastAsia" w:ascii="宋体" w:hAnsi="宋体" w:cs="宋体"/>
                <w:color w:val="auto"/>
                <w:sz w:val="24"/>
                <w:highlight w:val="none"/>
              </w:rPr>
            </w:pPr>
          </w:p>
        </w:tc>
        <w:tc>
          <w:tcPr>
            <w:tcW w:w="1050" w:type="dxa"/>
            <w:tcBorders>
              <w:top w:val="single" w:color="auto" w:sz="4" w:space="0"/>
              <w:left w:val="single" w:color="auto" w:sz="4" w:space="0"/>
              <w:right w:val="single" w:color="auto" w:sz="4" w:space="0"/>
            </w:tcBorders>
            <w:vAlign w:val="center"/>
          </w:tcPr>
          <w:p>
            <w:pPr>
              <w:pStyle w:val="42"/>
              <w:jc w:val="center"/>
              <w:rPr>
                <w:rFonts w:hint="eastAsia"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pPr>
              <w:pStyle w:val="42"/>
              <w:jc w:val="center"/>
              <w:rPr>
                <w:rFonts w:hint="eastAsia"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pPr>
              <w:pStyle w:val="42"/>
              <w:jc w:val="center"/>
              <w:rPr>
                <w:rFonts w:hint="eastAsia"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pPr>
              <w:pStyle w:val="42"/>
              <w:jc w:val="center"/>
              <w:rPr>
                <w:rFonts w:hint="eastAsia" w:ascii="宋体" w:hAnsi="宋体" w:cs="宋体"/>
                <w:color w:val="auto"/>
                <w:sz w:val="24"/>
                <w:highlight w:val="none"/>
                <w:lang w:val="en-GB"/>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42"/>
              <w:jc w:val="center"/>
              <w:rPr>
                <w:rFonts w:hint="eastAsia" w:ascii="宋体" w:hAnsi="宋体" w:cs="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vAlign w:val="center"/>
          </w:tcPr>
          <w:p>
            <w:pPr>
              <w:pStyle w:val="42"/>
              <w:tabs>
                <w:tab w:val="left" w:pos="3200"/>
              </w:tabs>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30" w:type="dxa"/>
            <w:tcBorders>
              <w:left w:val="single" w:color="auto" w:sz="4" w:space="0"/>
              <w:right w:val="single" w:color="auto" w:sz="4" w:space="0"/>
            </w:tcBorders>
            <w:vAlign w:val="center"/>
          </w:tcPr>
          <w:p>
            <w:pPr>
              <w:pStyle w:val="42"/>
              <w:jc w:val="center"/>
              <w:rPr>
                <w:rFonts w:hint="eastAsia" w:ascii="宋体" w:hAnsi="宋体" w:cs="宋体"/>
                <w:color w:val="auto"/>
                <w:sz w:val="24"/>
                <w:highlight w:val="none"/>
              </w:rPr>
            </w:pPr>
          </w:p>
        </w:tc>
        <w:tc>
          <w:tcPr>
            <w:tcW w:w="1050" w:type="dxa"/>
            <w:tcBorders>
              <w:left w:val="single" w:color="auto" w:sz="4" w:space="0"/>
              <w:right w:val="single" w:color="auto" w:sz="4" w:space="0"/>
            </w:tcBorders>
            <w:vAlign w:val="center"/>
          </w:tcPr>
          <w:p>
            <w:pPr>
              <w:pStyle w:val="42"/>
              <w:jc w:val="center"/>
              <w:rPr>
                <w:rFonts w:hint="eastAsia"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pPr>
              <w:pStyle w:val="42"/>
              <w:jc w:val="center"/>
              <w:rPr>
                <w:rFonts w:hint="eastAsia"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pPr>
              <w:pStyle w:val="42"/>
              <w:jc w:val="center"/>
              <w:rPr>
                <w:rFonts w:hint="eastAsia"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pPr>
              <w:pStyle w:val="42"/>
              <w:jc w:val="center"/>
              <w:rPr>
                <w:rFonts w:hint="eastAsia" w:ascii="宋体" w:hAnsi="宋体" w:cs="宋体"/>
                <w:color w:val="auto"/>
                <w:sz w:val="24"/>
                <w:highlight w:val="none"/>
                <w:lang w:val="en-GB"/>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42"/>
              <w:jc w:val="center"/>
              <w:rPr>
                <w:rFonts w:hint="eastAsia" w:ascii="宋体" w:hAnsi="宋体" w:cs="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vAlign w:val="center"/>
          </w:tcPr>
          <w:p>
            <w:pPr>
              <w:pStyle w:val="42"/>
              <w:tabs>
                <w:tab w:val="left" w:pos="3200"/>
              </w:tabs>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930" w:type="dxa"/>
            <w:tcBorders>
              <w:left w:val="single" w:color="auto" w:sz="4" w:space="0"/>
              <w:bottom w:val="single" w:color="auto" w:sz="4" w:space="0"/>
              <w:right w:val="single" w:color="auto" w:sz="4" w:space="0"/>
            </w:tcBorders>
            <w:vAlign w:val="center"/>
          </w:tcPr>
          <w:p>
            <w:pPr>
              <w:pStyle w:val="42"/>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050" w:type="dxa"/>
            <w:tcBorders>
              <w:left w:val="single" w:color="auto" w:sz="4" w:space="0"/>
              <w:bottom w:val="single" w:color="auto" w:sz="4" w:space="0"/>
              <w:right w:val="single" w:color="auto" w:sz="4" w:space="0"/>
            </w:tcBorders>
            <w:vAlign w:val="center"/>
          </w:tcPr>
          <w:p>
            <w:pPr>
              <w:pStyle w:val="42"/>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pPr>
              <w:pStyle w:val="42"/>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pPr>
              <w:pStyle w:val="42"/>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pPr>
              <w:pStyle w:val="42"/>
              <w:jc w:val="center"/>
              <w:rPr>
                <w:rFonts w:hint="eastAsia" w:ascii="宋体" w:hAnsi="宋体" w:cs="宋体"/>
                <w:color w:val="auto"/>
                <w:sz w:val="24"/>
                <w:highlight w:val="none"/>
                <w:lang w:val="en-GB"/>
              </w:rPr>
            </w:pPr>
            <w:r>
              <w:rPr>
                <w:rFonts w:hint="eastAsia" w:ascii="宋体" w:hAnsi="宋体" w:cs="宋体"/>
                <w:color w:val="auto"/>
                <w:sz w:val="24"/>
                <w:highlight w:val="none"/>
              </w:rPr>
              <w:t>…</w:t>
            </w:r>
          </w:p>
        </w:tc>
        <w:tc>
          <w:tcPr>
            <w:tcW w:w="945" w:type="dxa"/>
            <w:tcBorders>
              <w:top w:val="single" w:color="auto" w:sz="4" w:space="0"/>
              <w:left w:val="single" w:color="auto" w:sz="4" w:space="0"/>
              <w:bottom w:val="single" w:color="auto" w:sz="4" w:space="0"/>
              <w:right w:val="single" w:color="auto" w:sz="4" w:space="0"/>
            </w:tcBorders>
            <w:vAlign w:val="center"/>
          </w:tcPr>
          <w:p>
            <w:pPr>
              <w:pStyle w:val="42"/>
              <w:jc w:val="center"/>
              <w:rPr>
                <w:rFonts w:hint="eastAsia" w:ascii="宋体" w:hAnsi="宋体" w:cs="宋体"/>
                <w:color w:val="auto"/>
                <w:sz w:val="24"/>
                <w:highlight w:val="none"/>
                <w:lang w:val="en-GB"/>
              </w:rPr>
            </w:pPr>
            <w:r>
              <w:rPr>
                <w:rFonts w:hint="eastAsia" w:ascii="宋体" w:hAnsi="宋体" w:cs="宋体"/>
                <w:color w:val="auto"/>
                <w:sz w:val="24"/>
                <w:highlight w:val="none"/>
              </w:rPr>
              <w:t>…</w:t>
            </w:r>
          </w:p>
        </w:tc>
      </w:tr>
    </w:tbl>
    <w:p>
      <w:pPr>
        <w:pStyle w:val="42"/>
        <w:spacing w:line="360" w:lineRule="auto"/>
        <w:rPr>
          <w:rFonts w:hint="eastAsia" w:ascii="宋体" w:hAnsi="宋体" w:cs="宋体"/>
          <w:color w:val="auto"/>
          <w:szCs w:val="21"/>
          <w:highlight w:val="none"/>
        </w:rPr>
      </w:pPr>
      <w:r>
        <w:rPr>
          <w:rFonts w:hint="eastAsia" w:ascii="宋体" w:hAnsi="宋体"/>
          <w:b/>
          <w:color w:val="auto"/>
          <w:szCs w:val="21"/>
          <w:highlight w:val="none"/>
        </w:rPr>
        <w:t>要求：</w:t>
      </w:r>
      <w:r>
        <w:rPr>
          <w:rFonts w:hint="eastAsia" w:ascii="宋体" w:hAnsi="宋体" w:cs="宋体"/>
          <w:color w:val="auto"/>
          <w:szCs w:val="21"/>
          <w:highlight w:val="none"/>
        </w:rPr>
        <w:t xml:space="preserve"> </w:t>
      </w:r>
    </w:p>
    <w:p>
      <w:pPr>
        <w:pStyle w:val="42"/>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1.供应商应根据投标产品的实际规格，并对照招标文件要求，对确实存在投标规格要求与招标文件要求有偏离情况的，应真实、认真的填写本表。“投标产品名称”栏注明产品的名称；“投标产品详细规格” 栏注明投标产品的详细技术参数；“偏离情况详细说明”栏注明详细的偏离指标及说明；“备注”栏注明此项偏离为“正偏离”或“负偏离”；供应商应任何原因漏写或缺项或填写不正确的，后果由供应商自行承担。</w:t>
      </w:r>
    </w:p>
    <w:p>
      <w:pPr>
        <w:pStyle w:val="42"/>
        <w:tabs>
          <w:tab w:val="left" w:pos="1267"/>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真实填写本表，并对其真实性负责。评标委员会将根据评审办法和细则进行打分。如某项投标规格实际为“负偏离”，而供应商注明为“正偏离”或不注明的，评标委员会可对此项偏离按评审办法加倍减分。</w:t>
      </w:r>
    </w:p>
    <w:p>
      <w:pPr>
        <w:pStyle w:val="42"/>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3.供应商注明的偏离情况只作为评审专家评定的参考，最终是否构成偏离或实质性偏离情况应由评标委员会决定。</w:t>
      </w:r>
    </w:p>
    <w:p>
      <w:pPr>
        <w:pStyle w:val="42"/>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4.投标规格的实际偏离情况以评标委员会综合评价为准，解释权属评标委员会。</w:t>
      </w:r>
    </w:p>
    <w:p>
      <w:pPr>
        <w:spacing w:line="320" w:lineRule="exact"/>
        <w:ind w:left="420"/>
        <w:rPr>
          <w:rFonts w:hint="eastAsia" w:ascii="宋体" w:hAnsi="宋体" w:cs="宋体"/>
          <w:color w:val="auto"/>
          <w:szCs w:val="21"/>
          <w:highlight w:val="none"/>
        </w:rPr>
      </w:pPr>
      <w:r>
        <w:rPr>
          <w:rFonts w:hint="eastAsia" w:ascii="宋体" w:hAnsi="宋体" w:cs="宋体"/>
          <w:color w:val="auto"/>
          <w:szCs w:val="21"/>
          <w:highlight w:val="none"/>
        </w:rPr>
        <w:t>5.本表如跨页，需每页加盖供应商电子公章。</w:t>
      </w:r>
    </w:p>
    <w:p>
      <w:pPr>
        <w:spacing w:line="360" w:lineRule="auto"/>
        <w:rPr>
          <w:rFonts w:hint="eastAsia" w:ascii="宋体" w:hAnsi="宋体"/>
          <w:b/>
          <w:color w:val="auto"/>
          <w:szCs w:val="21"/>
          <w:highlight w:val="none"/>
        </w:rPr>
      </w:pP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供应商名称（电子印章）：</w:t>
      </w:r>
    </w:p>
    <w:p>
      <w:pPr>
        <w:pStyle w:val="2"/>
        <w:ind w:firstLine="422"/>
        <w:rPr>
          <w:color w:val="auto"/>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法定代表人（负责人）或授权委托人签</w:t>
      </w:r>
      <w:r>
        <w:rPr>
          <w:rFonts w:hint="eastAsia" w:ascii="宋体" w:hAnsi="宋体" w:cs="仿宋_GB2312"/>
          <w:color w:val="auto"/>
          <w:kern w:val="0"/>
          <w:sz w:val="24"/>
          <w:highlight w:val="none"/>
          <w:lang w:val="zh-CN"/>
        </w:rPr>
        <w:t>字或电子印章</w:t>
      </w:r>
      <w:r>
        <w:rPr>
          <w:rFonts w:hint="eastAsia" w:ascii="宋体" w:hAnsi="宋体"/>
          <w:color w:val="auto"/>
          <w:sz w:val="24"/>
          <w:highlight w:val="none"/>
        </w:rPr>
        <w:t>：</w:t>
      </w:r>
    </w:p>
    <w:p>
      <w:pPr>
        <w:pStyle w:val="2"/>
        <w:ind w:firstLine="422"/>
        <w:rPr>
          <w:color w:val="auto"/>
          <w:highlight w:val="none"/>
        </w:rPr>
      </w:pPr>
    </w:p>
    <w:p>
      <w:pPr>
        <w:pStyle w:val="34"/>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widowControl/>
        <w:jc w:val="left"/>
        <w:rPr>
          <w:rFonts w:ascii="宋体" w:hAnsi="宋体"/>
          <w:b/>
          <w:color w:val="auto"/>
          <w:sz w:val="28"/>
          <w:highlight w:val="none"/>
        </w:rPr>
      </w:pPr>
      <w:r>
        <w:rPr>
          <w:rFonts w:ascii="宋体" w:hAnsi="宋体"/>
          <w:b/>
          <w:color w:val="auto"/>
          <w:sz w:val="28"/>
          <w:highlight w:val="none"/>
        </w:rPr>
        <w:br w:type="page"/>
      </w:r>
    </w:p>
    <w:p>
      <w:pPr>
        <w:spacing w:line="360" w:lineRule="auto"/>
        <w:rPr>
          <w:rFonts w:ascii="宋体" w:hAnsi="宋体"/>
          <w:b/>
          <w:color w:val="auto"/>
          <w:sz w:val="28"/>
          <w:highlight w:val="none"/>
        </w:rPr>
      </w:pPr>
      <w:r>
        <w:rPr>
          <w:rFonts w:hint="eastAsia" w:ascii="宋体" w:hAnsi="宋体"/>
          <w:b/>
          <w:color w:val="auto"/>
          <w:sz w:val="28"/>
          <w:highlight w:val="none"/>
        </w:rPr>
        <w:t>附件12</w:t>
      </w:r>
    </w:p>
    <w:p>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商务需求响应表</w:t>
      </w:r>
    </w:p>
    <w:p>
      <w:pPr>
        <w:spacing w:line="360" w:lineRule="auto"/>
        <w:ind w:left="481" w:leftChars="229" w:firstLine="813" w:firstLineChars="450"/>
        <w:rPr>
          <w:rFonts w:ascii="宋体" w:hAnsi="宋体"/>
          <w:b/>
          <w:color w:val="auto"/>
          <w:sz w:val="18"/>
          <w:szCs w:val="18"/>
          <w:highlight w:val="none"/>
        </w:rPr>
      </w:pPr>
    </w:p>
    <w:tbl>
      <w:tblPr>
        <w:tblStyle w:val="25"/>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auto"/>
                <w:sz w:val="24"/>
                <w:highlight w:val="none"/>
              </w:rPr>
            </w:pPr>
            <w:r>
              <w:rPr>
                <w:rFonts w:hint="eastAsia" w:ascii="宋体" w:hAnsi="宋体"/>
                <w:b/>
                <w:color w:val="auto"/>
                <w:sz w:val="24"/>
                <w:highlight w:val="none"/>
              </w:rPr>
              <w:t>序号</w:t>
            </w:r>
          </w:p>
        </w:tc>
        <w:tc>
          <w:tcPr>
            <w:tcW w:w="1785" w:type="dxa"/>
            <w:vAlign w:val="center"/>
          </w:tcPr>
          <w:p>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vAlign w:val="center"/>
          </w:tcPr>
          <w:p>
            <w:pPr>
              <w:ind w:left="53" w:leftChars="25"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vAlign w:val="center"/>
          </w:tcPr>
          <w:p>
            <w:pPr>
              <w:ind w:left="152"/>
              <w:rPr>
                <w:rFonts w:ascii="宋体" w:hAnsi="宋体"/>
                <w:b/>
                <w:color w:val="auto"/>
                <w:sz w:val="24"/>
                <w:highlight w:val="none"/>
              </w:rPr>
            </w:pPr>
            <w:r>
              <w:rPr>
                <w:rFonts w:hint="eastAsia" w:ascii="宋体" w:hAnsi="宋体"/>
                <w:b/>
                <w:color w:val="auto"/>
                <w:sz w:val="24"/>
                <w:highlight w:val="none"/>
              </w:rPr>
              <w:t>是否响应</w:t>
            </w:r>
          </w:p>
        </w:tc>
        <w:tc>
          <w:tcPr>
            <w:tcW w:w="2625" w:type="dxa"/>
            <w:vAlign w:val="center"/>
          </w:tcPr>
          <w:p>
            <w:pPr>
              <w:jc w:val="center"/>
              <w:rPr>
                <w:rFonts w:ascii="宋体" w:hAnsi="宋体"/>
                <w:b/>
                <w:color w:val="auto"/>
                <w:sz w:val="24"/>
                <w:highlight w:val="none"/>
              </w:rPr>
            </w:pPr>
            <w:r>
              <w:rPr>
                <w:rFonts w:hint="eastAsia" w:ascii="宋体" w:hAnsi="宋体"/>
                <w:b/>
                <w:color w:val="auto"/>
                <w:sz w:val="24"/>
                <w:highlight w:val="none"/>
              </w:rPr>
              <w:t>投标供应商的承诺或说明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bl>
    <w:p>
      <w:pPr>
        <w:spacing w:line="360" w:lineRule="auto"/>
        <w:rPr>
          <w:rFonts w:ascii="宋体" w:hAnsi="宋体"/>
          <w:color w:val="auto"/>
          <w:sz w:val="24"/>
          <w:highlight w:val="none"/>
        </w:rPr>
      </w:pPr>
      <w:r>
        <w:rPr>
          <w:rFonts w:hint="eastAsia" w:ascii="宋体" w:hAnsi="宋体"/>
          <w:b/>
          <w:color w:val="auto"/>
          <w:szCs w:val="21"/>
          <w:highlight w:val="none"/>
        </w:rPr>
        <w:t>要求：本表“内容”栏根据招标文件第三章招标需求“三、商务需求”内容填写。如全部条款均无偏离，可不需逐条响应，在本表中写明“商务需求全部条款均无偏离，完全响应招标文件要求”，如有条款偏离，则必须逐条填写响应情况。</w:t>
      </w: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供应商名称（电子印章）：</w:t>
      </w: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法定代表人或授权委托人签</w:t>
      </w:r>
      <w:r>
        <w:rPr>
          <w:rFonts w:hint="eastAsia" w:ascii="宋体" w:hAnsi="宋体" w:cs="仿宋_GB2312"/>
          <w:color w:val="auto"/>
          <w:kern w:val="0"/>
          <w:sz w:val="24"/>
          <w:highlight w:val="none"/>
          <w:lang w:val="zh-CN"/>
        </w:rPr>
        <w:t>字或电子印章</w:t>
      </w:r>
      <w:r>
        <w:rPr>
          <w:rFonts w:hint="eastAsia" w:ascii="宋体" w:hAnsi="宋体"/>
          <w:color w:val="auto"/>
          <w:sz w:val="24"/>
          <w:highlight w:val="none"/>
        </w:rPr>
        <w:t>：</w:t>
      </w:r>
    </w:p>
    <w:p>
      <w:pPr>
        <w:pStyle w:val="34"/>
        <w:shd w:val="clear" w:color="auto" w:fill="FFFFFF"/>
        <w:spacing w:before="0" w:beforeAutospacing="0" w:after="0" w:afterAutospacing="0" w:line="360" w:lineRule="auto"/>
        <w:ind w:firstLine="424" w:firstLineChars="177"/>
        <w:rPr>
          <w:color w:val="auto"/>
          <w:highlight w:val="none"/>
        </w:rPr>
      </w:pPr>
    </w:p>
    <w:p>
      <w:pPr>
        <w:pStyle w:val="34"/>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tabs>
          <w:tab w:val="left" w:pos="2460"/>
        </w:tabs>
        <w:spacing w:line="360" w:lineRule="auto"/>
        <w:ind w:firstLine="435"/>
        <w:rPr>
          <w:rFonts w:ascii="宋体" w:hAnsi="宋体"/>
          <w:b/>
          <w:color w:val="auto"/>
          <w:sz w:val="28"/>
          <w:highlight w:val="none"/>
        </w:rPr>
      </w:pPr>
    </w:p>
    <w:p>
      <w:pPr>
        <w:widowControl/>
        <w:jc w:val="left"/>
        <w:rPr>
          <w:rFonts w:ascii="宋体" w:hAnsi="宋体"/>
          <w:b/>
          <w:color w:val="auto"/>
          <w:sz w:val="28"/>
          <w:highlight w:val="none"/>
        </w:rPr>
      </w:pPr>
      <w:r>
        <w:rPr>
          <w:rFonts w:ascii="宋体" w:hAnsi="宋体"/>
          <w:b/>
          <w:color w:val="auto"/>
          <w:sz w:val="28"/>
          <w:highlight w:val="none"/>
        </w:rPr>
        <w:br w:type="page"/>
      </w:r>
    </w:p>
    <w:p>
      <w:pPr>
        <w:pStyle w:val="37"/>
        <w:spacing w:line="360" w:lineRule="auto"/>
        <w:jc w:val="left"/>
        <w:rPr>
          <w:rFonts w:ascii="宋体" w:hAnsi="宋体"/>
          <w:b/>
          <w:color w:val="auto"/>
          <w:sz w:val="28"/>
          <w:highlight w:val="none"/>
        </w:rPr>
      </w:pPr>
      <w:r>
        <w:rPr>
          <w:rFonts w:hint="eastAsia" w:ascii="宋体" w:hAnsi="宋体"/>
          <w:b/>
          <w:color w:val="auto"/>
          <w:sz w:val="28"/>
          <w:highlight w:val="none"/>
        </w:rPr>
        <w:t>附件13</w:t>
      </w:r>
    </w:p>
    <w:p>
      <w:pPr>
        <w:spacing w:line="360" w:lineRule="auto"/>
        <w:ind w:left="-2" w:hanging="2"/>
        <w:jc w:val="center"/>
        <w:rPr>
          <w:rFonts w:ascii="宋体" w:hAnsi="宋体"/>
          <w:b/>
          <w:color w:val="auto"/>
          <w:sz w:val="32"/>
          <w:szCs w:val="32"/>
          <w:highlight w:val="none"/>
        </w:rPr>
      </w:pPr>
      <w:bookmarkStart w:id="175" w:name="_Toc30363_WPSOffice_Level1"/>
      <w:bookmarkStart w:id="176" w:name="_Toc16144_WPSOffice_Level1"/>
      <w:bookmarkStart w:id="177" w:name="OLE_LINK46"/>
      <w:r>
        <w:rPr>
          <w:rFonts w:hint="eastAsia" w:ascii="宋体" w:hAnsi="宋体"/>
          <w:b/>
          <w:color w:val="auto"/>
          <w:sz w:val="32"/>
          <w:szCs w:val="32"/>
          <w:highlight w:val="none"/>
        </w:rPr>
        <w:t xml:space="preserve">开标一览表 </w:t>
      </w:r>
      <w:bookmarkEnd w:id="175"/>
      <w:bookmarkEnd w:id="176"/>
    </w:p>
    <w:p>
      <w:pPr>
        <w:spacing w:line="360" w:lineRule="auto"/>
        <w:ind w:left="-2" w:hanging="2"/>
        <w:jc w:val="center"/>
        <w:rPr>
          <w:rFonts w:ascii="宋体" w:hAnsi="宋体"/>
          <w:b/>
          <w:color w:val="auto"/>
          <w:sz w:val="32"/>
          <w:szCs w:val="32"/>
          <w:highlight w:val="none"/>
        </w:rPr>
      </w:pPr>
    </w:p>
    <w:p>
      <w:pPr>
        <w:pStyle w:val="14"/>
        <w:spacing w:line="320" w:lineRule="exact"/>
        <w:rPr>
          <w:rFonts w:hAnsi="宋体"/>
          <w:b/>
          <w:color w:val="auto"/>
          <w:sz w:val="24"/>
          <w:highlight w:val="none"/>
        </w:rPr>
      </w:pPr>
      <w:r>
        <w:rPr>
          <w:rFonts w:hAnsi="宋体"/>
          <w:b/>
          <w:color w:val="auto"/>
          <w:sz w:val="24"/>
          <w:highlight w:val="none"/>
        </w:rPr>
        <w:t>项目编号：</w:t>
      </w:r>
      <w:r>
        <w:rPr>
          <w:rFonts w:hint="eastAsia" w:hAnsi="宋体"/>
          <w:b/>
          <w:color w:val="auto"/>
          <w:sz w:val="24"/>
          <w:highlight w:val="none"/>
        </w:rPr>
        <w:t>ZYZFCG〔2025〕009</w:t>
      </w:r>
    </w:p>
    <w:p>
      <w:pPr>
        <w:pStyle w:val="43"/>
        <w:spacing w:line="360" w:lineRule="auto"/>
        <w:ind w:right="480"/>
        <w:jc w:val="left"/>
        <w:rPr>
          <w:rFonts w:ascii="宋体" w:hAnsi="宋体"/>
          <w:color w:val="auto"/>
          <w:sz w:val="24"/>
          <w:highlight w:val="none"/>
        </w:rPr>
      </w:pPr>
      <w:r>
        <w:rPr>
          <w:rFonts w:hAnsi="宋体"/>
          <w:b/>
          <w:color w:val="auto"/>
          <w:sz w:val="24"/>
          <w:highlight w:val="none"/>
        </w:rPr>
        <w:t>项目名称：</w:t>
      </w:r>
      <w:r>
        <w:rPr>
          <w:rFonts w:hint="eastAsia" w:hAnsi="宋体"/>
          <w:b/>
          <w:color w:val="auto"/>
          <w:sz w:val="24"/>
          <w:highlight w:val="none"/>
        </w:rPr>
        <w:t>台州市白云小学改扩建工程（综合楼设备设施）</w:t>
      </w:r>
    </w:p>
    <w:p>
      <w:pPr>
        <w:pStyle w:val="43"/>
        <w:spacing w:line="360" w:lineRule="auto"/>
        <w:ind w:right="480"/>
        <w:jc w:val="right"/>
        <w:rPr>
          <w:rFonts w:hAnsi="宋体"/>
          <w:color w:val="auto"/>
          <w:sz w:val="24"/>
          <w:highlight w:val="none"/>
        </w:rPr>
      </w:pPr>
      <w:r>
        <w:rPr>
          <w:rFonts w:hint="eastAsia" w:ascii="宋体" w:hAnsi="宋体"/>
          <w:color w:val="auto"/>
          <w:sz w:val="24"/>
          <w:highlight w:val="none"/>
        </w:rPr>
        <w:t>[货币单位：人民币元]</w:t>
      </w:r>
    </w:p>
    <w:tbl>
      <w:tblPr>
        <w:tblStyle w:val="25"/>
        <w:tblW w:w="86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69" w:hRule="atLeast"/>
          <w:jc w:val="center"/>
        </w:trPr>
        <w:tc>
          <w:tcPr>
            <w:tcW w:w="2694" w:type="dxa"/>
            <w:vMerge w:val="restart"/>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投标总报价(元)</w:t>
            </w:r>
          </w:p>
        </w:tc>
        <w:tc>
          <w:tcPr>
            <w:tcW w:w="1349" w:type="dxa"/>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vAlign w:val="center"/>
          </w:tcPr>
          <w:p>
            <w:pPr>
              <w:autoSpaceDE w:val="0"/>
              <w:autoSpaceDN w:val="0"/>
              <w:spacing w:line="450" w:lineRule="exact"/>
              <w:jc w:val="center"/>
              <w:textAlignment w:val="bottom"/>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30" w:hRule="atLeast"/>
          <w:jc w:val="center"/>
        </w:trPr>
        <w:tc>
          <w:tcPr>
            <w:tcW w:w="2694" w:type="dxa"/>
            <w:vMerge w:val="continue"/>
            <w:vAlign w:val="center"/>
          </w:tcPr>
          <w:p>
            <w:pPr>
              <w:rPr>
                <w:rFonts w:ascii="宋体" w:hAnsi="宋体"/>
                <w:color w:val="auto"/>
                <w:sz w:val="24"/>
                <w:highlight w:val="none"/>
              </w:rPr>
            </w:pPr>
          </w:p>
        </w:tc>
        <w:tc>
          <w:tcPr>
            <w:tcW w:w="1349" w:type="dxa"/>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vAlign w:val="center"/>
          </w:tcPr>
          <w:p>
            <w:pPr>
              <w:autoSpaceDE w:val="0"/>
              <w:autoSpaceDN w:val="0"/>
              <w:spacing w:line="450" w:lineRule="exact"/>
              <w:jc w:val="center"/>
              <w:textAlignment w:val="bottom"/>
              <w:rPr>
                <w:rFonts w:ascii="宋体" w:hAnsi="宋体"/>
                <w:color w:val="auto"/>
                <w:sz w:val="24"/>
                <w:highlight w:val="none"/>
              </w:rPr>
            </w:pPr>
          </w:p>
        </w:tc>
      </w:tr>
    </w:tbl>
    <w:p>
      <w:pPr>
        <w:spacing w:line="360" w:lineRule="auto"/>
        <w:rPr>
          <w:rFonts w:ascii="宋体" w:hAnsi="宋体"/>
          <w:b/>
          <w:color w:val="auto"/>
          <w:szCs w:val="21"/>
          <w:highlight w:val="none"/>
        </w:rPr>
      </w:pPr>
      <w:bookmarkStart w:id="178" w:name="OLE_LINK92"/>
      <w:r>
        <w:rPr>
          <w:rFonts w:hint="eastAsia" w:ascii="宋体" w:hAnsi="宋体"/>
          <w:b/>
          <w:color w:val="auto"/>
          <w:szCs w:val="21"/>
          <w:highlight w:val="none"/>
        </w:rPr>
        <w:t>说明：</w:t>
      </w:r>
    </w:p>
    <w:p>
      <w:pPr>
        <w:spacing w:line="360" w:lineRule="auto"/>
        <w:ind w:firstLine="480" w:firstLineChars="200"/>
        <w:rPr>
          <w:rFonts w:ascii="宋体" w:hAnsi="宋体"/>
          <w:color w:val="auto"/>
          <w:sz w:val="24"/>
          <w:highlight w:val="none"/>
        </w:rPr>
      </w:pPr>
      <w:bookmarkStart w:id="179" w:name="_Hlk171417480"/>
      <w:r>
        <w:rPr>
          <w:rFonts w:hint="eastAsia" w:ascii="宋体" w:hAnsi="宋体"/>
          <w:color w:val="auto"/>
          <w:sz w:val="24"/>
          <w:highlight w:val="none"/>
        </w:rPr>
        <w:t>1. 投标总报价为完成本项目服务及要求所包含的所有费用。</w:t>
      </w:r>
    </w:p>
    <w:p>
      <w:pPr>
        <w:spacing w:line="360" w:lineRule="auto"/>
        <w:ind w:firstLine="480" w:firstLineChars="200"/>
        <w:rPr>
          <w:rFonts w:ascii="宋体" w:hAnsi="宋体"/>
          <w:b/>
          <w:bCs/>
          <w:i/>
          <w:color w:val="auto"/>
          <w:sz w:val="24"/>
          <w:highlight w:val="none"/>
          <w:u w:val="single"/>
        </w:rPr>
      </w:pPr>
      <w:r>
        <w:rPr>
          <w:rFonts w:hint="eastAsia" w:ascii="宋体" w:hAnsi="宋体"/>
          <w:color w:val="auto"/>
          <w:sz w:val="24"/>
          <w:highlight w:val="none"/>
        </w:rPr>
        <w:t>▲2.报价一经涂改，应在涂改处加盖单位公章，或者由法定代表人或授权委托人签</w:t>
      </w:r>
      <w:r>
        <w:rPr>
          <w:rFonts w:hint="eastAsia" w:ascii="宋体" w:hAnsi="宋体" w:cs="仿宋_GB2312"/>
          <w:color w:val="auto"/>
          <w:kern w:val="0"/>
          <w:sz w:val="24"/>
          <w:highlight w:val="none"/>
          <w:lang w:val="zh-CN"/>
        </w:rPr>
        <w:t>字或电子印章</w:t>
      </w:r>
      <w:r>
        <w:rPr>
          <w:rFonts w:hint="eastAsia" w:ascii="宋体" w:hAnsi="宋体"/>
          <w:color w:val="auto"/>
          <w:sz w:val="24"/>
          <w:highlight w:val="none"/>
        </w:rPr>
        <w:t>，否则其投标作无效标处理。</w:t>
      </w:r>
      <w:bookmarkEnd w:id="179"/>
    </w:p>
    <w:bookmarkEnd w:id="178"/>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供应商名称（电子印章）：</w:t>
      </w: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bookmarkStart w:id="180" w:name="OLE_LINK107"/>
      <w:bookmarkStart w:id="181" w:name="OLE_LINK108"/>
      <w:r>
        <w:rPr>
          <w:rFonts w:hint="eastAsia" w:ascii="宋体" w:hAnsi="宋体"/>
          <w:color w:val="auto"/>
          <w:sz w:val="24"/>
          <w:highlight w:val="none"/>
        </w:rPr>
        <w:t>法定代表人或授权委托人签</w:t>
      </w:r>
      <w:r>
        <w:rPr>
          <w:rFonts w:hint="eastAsia" w:ascii="宋体" w:hAnsi="宋体" w:cs="仿宋_GB2312"/>
          <w:color w:val="auto"/>
          <w:kern w:val="0"/>
          <w:sz w:val="24"/>
          <w:highlight w:val="none"/>
          <w:lang w:val="zh-CN"/>
        </w:rPr>
        <w:t>字或电子印章</w:t>
      </w:r>
      <w:bookmarkEnd w:id="180"/>
      <w:bookmarkEnd w:id="181"/>
      <w:r>
        <w:rPr>
          <w:rFonts w:hint="eastAsia" w:ascii="宋体" w:hAnsi="宋体"/>
          <w:color w:val="auto"/>
          <w:sz w:val="24"/>
          <w:highlight w:val="none"/>
        </w:rPr>
        <w:t>：</w:t>
      </w:r>
    </w:p>
    <w:p>
      <w:pPr>
        <w:pStyle w:val="34"/>
        <w:shd w:val="clear" w:color="auto" w:fill="FFFFFF"/>
        <w:spacing w:before="0" w:beforeAutospacing="0" w:after="0" w:afterAutospacing="0" w:line="360" w:lineRule="auto"/>
        <w:ind w:firstLine="424" w:firstLineChars="177"/>
        <w:rPr>
          <w:color w:val="auto"/>
          <w:highlight w:val="none"/>
        </w:rPr>
      </w:pPr>
    </w:p>
    <w:p>
      <w:pPr>
        <w:pStyle w:val="34"/>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widowControl/>
        <w:jc w:val="left"/>
        <w:rPr>
          <w:rFonts w:ascii="宋体" w:hAnsi="宋体"/>
          <w:b/>
          <w:color w:val="auto"/>
          <w:sz w:val="28"/>
          <w:highlight w:val="none"/>
        </w:rPr>
      </w:pPr>
      <w:r>
        <w:rPr>
          <w:rFonts w:ascii="宋体" w:hAnsi="宋体"/>
          <w:b/>
          <w:color w:val="auto"/>
          <w:sz w:val="28"/>
          <w:highlight w:val="none"/>
        </w:rPr>
        <w:br w:type="page"/>
      </w:r>
    </w:p>
    <w:p>
      <w:pPr>
        <w:spacing w:line="360" w:lineRule="auto"/>
        <w:rPr>
          <w:rFonts w:ascii="宋体" w:hAnsi="宋体"/>
          <w:b/>
          <w:color w:val="auto"/>
          <w:sz w:val="28"/>
          <w:highlight w:val="none"/>
        </w:rPr>
      </w:pPr>
      <w:r>
        <w:rPr>
          <w:rFonts w:hint="eastAsia" w:ascii="宋体" w:hAnsi="宋体"/>
          <w:b/>
          <w:color w:val="auto"/>
          <w:sz w:val="28"/>
          <w:highlight w:val="none"/>
        </w:rPr>
        <w:t>附件14</w:t>
      </w:r>
    </w:p>
    <w:p>
      <w:pPr>
        <w:spacing w:line="360" w:lineRule="auto"/>
        <w:ind w:left="480"/>
        <w:jc w:val="center"/>
        <w:rPr>
          <w:rFonts w:ascii="宋体" w:hAnsi="宋体"/>
          <w:color w:val="auto"/>
          <w:highlight w:val="none"/>
        </w:rPr>
      </w:pPr>
      <w:r>
        <w:rPr>
          <w:rFonts w:hint="eastAsia" w:ascii="宋体" w:hAnsi="宋体"/>
          <w:b/>
          <w:color w:val="auto"/>
          <w:sz w:val="32"/>
          <w:szCs w:val="32"/>
          <w:highlight w:val="none"/>
        </w:rPr>
        <w:t xml:space="preserve">报价明细表 </w:t>
      </w:r>
    </w:p>
    <w:p>
      <w:pPr>
        <w:pStyle w:val="14"/>
        <w:spacing w:line="320" w:lineRule="exact"/>
        <w:ind w:firstLine="482"/>
        <w:rPr>
          <w:rFonts w:hAnsi="宋体"/>
          <w:b/>
          <w:color w:val="auto"/>
          <w:sz w:val="24"/>
          <w:highlight w:val="none"/>
        </w:rPr>
      </w:pPr>
      <w:r>
        <w:rPr>
          <w:rFonts w:hAnsi="宋体"/>
          <w:b/>
          <w:color w:val="auto"/>
          <w:sz w:val="24"/>
          <w:highlight w:val="none"/>
        </w:rPr>
        <w:t>项目编号：</w:t>
      </w:r>
      <w:r>
        <w:rPr>
          <w:rFonts w:hint="eastAsia" w:hAnsi="宋体"/>
          <w:b/>
          <w:color w:val="auto"/>
          <w:sz w:val="24"/>
          <w:highlight w:val="none"/>
        </w:rPr>
        <w:t>ZYZFCG〔2025〕009</w:t>
      </w:r>
    </w:p>
    <w:p>
      <w:pPr>
        <w:pStyle w:val="14"/>
        <w:spacing w:line="320" w:lineRule="exact"/>
        <w:ind w:firstLine="482"/>
        <w:rPr>
          <w:rFonts w:hAnsi="宋体"/>
          <w:color w:val="auto"/>
          <w:sz w:val="24"/>
          <w:highlight w:val="none"/>
        </w:rPr>
      </w:pPr>
      <w:r>
        <w:rPr>
          <w:rFonts w:hAnsi="宋体"/>
          <w:b/>
          <w:color w:val="auto"/>
          <w:sz w:val="24"/>
          <w:highlight w:val="none"/>
        </w:rPr>
        <w:t>项目名称：</w:t>
      </w:r>
      <w:r>
        <w:rPr>
          <w:rFonts w:hint="eastAsia" w:hAnsi="宋体"/>
          <w:b/>
          <w:color w:val="auto"/>
          <w:sz w:val="24"/>
          <w:highlight w:val="none"/>
        </w:rPr>
        <w:t>台州市白云小学改扩建工程（综合楼设备设施）</w:t>
      </w:r>
    </w:p>
    <w:p>
      <w:pPr>
        <w:pStyle w:val="24"/>
        <w:rPr>
          <w:color w:val="auto"/>
          <w:highlight w:val="none"/>
        </w:rPr>
      </w:pPr>
    </w:p>
    <w:p>
      <w:pPr>
        <w:pStyle w:val="43"/>
        <w:spacing w:line="360" w:lineRule="auto"/>
        <w:ind w:right="480"/>
        <w:jc w:val="right"/>
        <w:rPr>
          <w:rFonts w:ascii="宋体" w:hAnsi="宋体"/>
          <w:color w:val="auto"/>
          <w:sz w:val="24"/>
          <w:highlight w:val="none"/>
        </w:rPr>
      </w:pPr>
      <w:r>
        <w:rPr>
          <w:rFonts w:hint="eastAsia" w:ascii="宋体" w:hAnsi="宋体"/>
          <w:color w:val="auto"/>
          <w:sz w:val="24"/>
          <w:highlight w:val="none"/>
        </w:rPr>
        <w:t>[货币单位：人民币元]</w:t>
      </w:r>
    </w:p>
    <w:tbl>
      <w:tblPr>
        <w:tblStyle w:val="2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2154"/>
        <w:gridCol w:w="1384"/>
        <w:gridCol w:w="1138"/>
        <w:gridCol w:w="1306"/>
        <w:gridCol w:w="1306"/>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 w:hRule="atLeast"/>
        </w:trPr>
        <w:tc>
          <w:tcPr>
            <w:tcW w:w="466" w:type="dxa"/>
            <w:vAlign w:val="center"/>
          </w:tcPr>
          <w:p>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序号</w:t>
            </w:r>
          </w:p>
        </w:tc>
        <w:tc>
          <w:tcPr>
            <w:tcW w:w="2154" w:type="dxa"/>
            <w:vAlign w:val="center"/>
          </w:tcPr>
          <w:p>
            <w:pPr>
              <w:adjustRightInd w:val="0"/>
              <w:snapToGrid w:val="0"/>
              <w:jc w:val="center"/>
              <w:rPr>
                <w:rFonts w:cs="宋体" w:asciiTheme="minorEastAsia" w:hAnsiTheme="minorEastAsia" w:eastAsiaTheme="minorEastAsia"/>
                <w:b/>
                <w:bCs/>
                <w:color w:val="auto"/>
                <w:szCs w:val="21"/>
                <w:highlight w:val="none"/>
              </w:rPr>
            </w:pPr>
            <w:bookmarkStart w:id="182" w:name="OLE_LINK6"/>
            <w:r>
              <w:rPr>
                <w:rFonts w:cs="宋体" w:asciiTheme="minorEastAsia" w:hAnsiTheme="minorEastAsia" w:eastAsiaTheme="minorEastAsia"/>
                <w:b/>
                <w:bCs/>
                <w:color w:val="auto"/>
                <w:szCs w:val="21"/>
                <w:highlight w:val="none"/>
              </w:rPr>
              <w:t>产品名称</w:t>
            </w:r>
            <w:bookmarkEnd w:id="182"/>
          </w:p>
        </w:tc>
        <w:tc>
          <w:tcPr>
            <w:tcW w:w="1384" w:type="dxa"/>
            <w:vAlign w:val="center"/>
          </w:tcPr>
          <w:p>
            <w:pPr>
              <w:adjustRightInd w:val="0"/>
              <w:snapToGrid w:val="0"/>
              <w:jc w:val="center"/>
              <w:rPr>
                <w:rFonts w:cs="宋体" w:asciiTheme="minorEastAsia" w:hAnsiTheme="minorEastAsia" w:eastAsiaTheme="minorEastAsia"/>
                <w:b/>
                <w:bCs/>
                <w:color w:val="auto"/>
                <w:szCs w:val="21"/>
                <w:highlight w:val="none"/>
              </w:rPr>
            </w:pPr>
            <w:r>
              <w:rPr>
                <w:rFonts w:cs="宋体" w:asciiTheme="minorEastAsia" w:hAnsiTheme="minorEastAsia" w:eastAsiaTheme="minorEastAsia"/>
                <w:b/>
                <w:bCs/>
                <w:color w:val="auto"/>
                <w:szCs w:val="21"/>
                <w:highlight w:val="none"/>
              </w:rPr>
              <w:t>品牌</w:t>
            </w:r>
            <w:r>
              <w:rPr>
                <w:rFonts w:hint="eastAsia" w:cs="宋体" w:asciiTheme="minorEastAsia" w:hAnsiTheme="minorEastAsia" w:eastAsiaTheme="minorEastAsia"/>
                <w:b/>
                <w:bCs/>
                <w:color w:val="auto"/>
                <w:szCs w:val="21"/>
                <w:highlight w:val="none"/>
              </w:rPr>
              <w:t>/型号</w:t>
            </w:r>
          </w:p>
        </w:tc>
        <w:tc>
          <w:tcPr>
            <w:tcW w:w="1138" w:type="dxa"/>
            <w:vAlign w:val="center"/>
          </w:tcPr>
          <w:p>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数量</w:t>
            </w:r>
          </w:p>
        </w:tc>
        <w:tc>
          <w:tcPr>
            <w:tcW w:w="1306" w:type="dxa"/>
            <w:vAlign w:val="center"/>
          </w:tcPr>
          <w:p>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单位</w:t>
            </w:r>
          </w:p>
        </w:tc>
        <w:tc>
          <w:tcPr>
            <w:tcW w:w="1306" w:type="dxa"/>
            <w:vAlign w:val="center"/>
          </w:tcPr>
          <w:p>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单价（元）</w:t>
            </w:r>
          </w:p>
        </w:tc>
        <w:tc>
          <w:tcPr>
            <w:tcW w:w="1306" w:type="dxa"/>
            <w:vAlign w:val="center"/>
          </w:tcPr>
          <w:p>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trPr>
        <w:tc>
          <w:tcPr>
            <w:tcW w:w="466" w:type="dxa"/>
            <w:vAlign w:val="center"/>
          </w:tcPr>
          <w:p>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p>
        </w:tc>
        <w:tc>
          <w:tcPr>
            <w:tcW w:w="2154"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84" w:type="dxa"/>
            <w:vAlign w:val="center"/>
          </w:tcPr>
          <w:p>
            <w:pPr>
              <w:adjustRightInd w:val="0"/>
              <w:snapToGrid w:val="0"/>
              <w:rPr>
                <w:rFonts w:cs="宋体" w:asciiTheme="minorEastAsia" w:hAnsiTheme="minorEastAsia" w:eastAsiaTheme="minorEastAsia"/>
                <w:color w:val="auto"/>
                <w:szCs w:val="21"/>
                <w:highlight w:val="none"/>
              </w:rPr>
            </w:pPr>
          </w:p>
        </w:tc>
        <w:tc>
          <w:tcPr>
            <w:tcW w:w="1138"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06"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06"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06" w:type="dxa"/>
            <w:vAlign w:val="center"/>
          </w:tcPr>
          <w:p>
            <w:pPr>
              <w:adjustRightInd w:val="0"/>
              <w:snapToGrid w:val="0"/>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trPr>
        <w:tc>
          <w:tcPr>
            <w:tcW w:w="466" w:type="dxa"/>
            <w:vAlign w:val="center"/>
          </w:tcPr>
          <w:p>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p>
        </w:tc>
        <w:tc>
          <w:tcPr>
            <w:tcW w:w="2154"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84" w:type="dxa"/>
            <w:vAlign w:val="center"/>
          </w:tcPr>
          <w:p>
            <w:pPr>
              <w:adjustRightInd w:val="0"/>
              <w:snapToGrid w:val="0"/>
              <w:rPr>
                <w:rFonts w:cs="宋体" w:asciiTheme="minorEastAsia" w:hAnsiTheme="minorEastAsia" w:eastAsiaTheme="minorEastAsia"/>
                <w:color w:val="auto"/>
                <w:szCs w:val="21"/>
                <w:highlight w:val="none"/>
              </w:rPr>
            </w:pPr>
          </w:p>
        </w:tc>
        <w:tc>
          <w:tcPr>
            <w:tcW w:w="1138"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06"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06" w:type="dxa"/>
            <w:vAlign w:val="center"/>
          </w:tcPr>
          <w:p>
            <w:pPr>
              <w:adjustRightInd w:val="0"/>
              <w:snapToGrid w:val="0"/>
              <w:rPr>
                <w:rFonts w:cs="宋体" w:asciiTheme="minorEastAsia" w:hAnsiTheme="minorEastAsia" w:eastAsiaTheme="minorEastAsia"/>
                <w:color w:val="auto"/>
                <w:szCs w:val="21"/>
                <w:highlight w:val="none"/>
              </w:rPr>
            </w:pPr>
          </w:p>
        </w:tc>
        <w:tc>
          <w:tcPr>
            <w:tcW w:w="1306" w:type="dxa"/>
            <w:vAlign w:val="center"/>
          </w:tcPr>
          <w:p>
            <w:pPr>
              <w:adjustRightInd w:val="0"/>
              <w:snapToGrid w:val="0"/>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466" w:type="dxa"/>
            <w:vAlign w:val="center"/>
          </w:tcPr>
          <w:p>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p>
        </w:tc>
        <w:tc>
          <w:tcPr>
            <w:tcW w:w="2154"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84" w:type="dxa"/>
            <w:vAlign w:val="center"/>
          </w:tcPr>
          <w:p>
            <w:pPr>
              <w:adjustRightInd w:val="0"/>
              <w:snapToGrid w:val="0"/>
              <w:rPr>
                <w:rFonts w:cs="宋体" w:asciiTheme="minorEastAsia" w:hAnsiTheme="minorEastAsia" w:eastAsiaTheme="minorEastAsia"/>
                <w:color w:val="auto"/>
                <w:szCs w:val="21"/>
                <w:highlight w:val="none"/>
              </w:rPr>
            </w:pPr>
          </w:p>
        </w:tc>
        <w:tc>
          <w:tcPr>
            <w:tcW w:w="1138"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06"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06" w:type="dxa"/>
            <w:vAlign w:val="center"/>
          </w:tcPr>
          <w:p>
            <w:pPr>
              <w:adjustRightInd w:val="0"/>
              <w:snapToGrid w:val="0"/>
              <w:rPr>
                <w:rFonts w:cs="宋体" w:asciiTheme="minorEastAsia" w:hAnsiTheme="minorEastAsia" w:eastAsiaTheme="minorEastAsia"/>
                <w:color w:val="auto"/>
                <w:szCs w:val="21"/>
                <w:highlight w:val="none"/>
              </w:rPr>
            </w:pPr>
          </w:p>
        </w:tc>
        <w:tc>
          <w:tcPr>
            <w:tcW w:w="1306" w:type="dxa"/>
            <w:vAlign w:val="center"/>
          </w:tcPr>
          <w:p>
            <w:pPr>
              <w:adjustRightInd w:val="0"/>
              <w:snapToGrid w:val="0"/>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466" w:type="dxa"/>
            <w:vAlign w:val="center"/>
          </w:tcPr>
          <w:p>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p>
        </w:tc>
        <w:tc>
          <w:tcPr>
            <w:tcW w:w="2154"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84" w:type="dxa"/>
            <w:vAlign w:val="center"/>
          </w:tcPr>
          <w:p>
            <w:pPr>
              <w:adjustRightInd w:val="0"/>
              <w:snapToGrid w:val="0"/>
              <w:rPr>
                <w:rFonts w:cs="宋体" w:asciiTheme="minorEastAsia" w:hAnsiTheme="minorEastAsia" w:eastAsiaTheme="minorEastAsia"/>
                <w:color w:val="auto"/>
                <w:szCs w:val="21"/>
                <w:highlight w:val="none"/>
              </w:rPr>
            </w:pPr>
          </w:p>
        </w:tc>
        <w:tc>
          <w:tcPr>
            <w:tcW w:w="1138"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06"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06" w:type="dxa"/>
            <w:vAlign w:val="center"/>
          </w:tcPr>
          <w:p>
            <w:pPr>
              <w:adjustRightInd w:val="0"/>
              <w:snapToGrid w:val="0"/>
              <w:rPr>
                <w:rFonts w:cs="宋体" w:asciiTheme="minorEastAsia" w:hAnsiTheme="minorEastAsia" w:eastAsiaTheme="minorEastAsia"/>
                <w:color w:val="auto"/>
                <w:szCs w:val="21"/>
                <w:highlight w:val="none"/>
              </w:rPr>
            </w:pPr>
          </w:p>
        </w:tc>
        <w:tc>
          <w:tcPr>
            <w:tcW w:w="1306" w:type="dxa"/>
            <w:vAlign w:val="center"/>
          </w:tcPr>
          <w:p>
            <w:pPr>
              <w:adjustRightInd w:val="0"/>
              <w:snapToGrid w:val="0"/>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466" w:type="dxa"/>
            <w:vAlign w:val="center"/>
          </w:tcPr>
          <w:p>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p>
        </w:tc>
        <w:tc>
          <w:tcPr>
            <w:tcW w:w="2154"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84" w:type="dxa"/>
            <w:vAlign w:val="center"/>
          </w:tcPr>
          <w:p>
            <w:pPr>
              <w:adjustRightInd w:val="0"/>
              <w:snapToGrid w:val="0"/>
              <w:rPr>
                <w:rFonts w:cs="宋体" w:asciiTheme="minorEastAsia" w:hAnsiTheme="minorEastAsia" w:eastAsiaTheme="minorEastAsia"/>
                <w:color w:val="auto"/>
                <w:szCs w:val="21"/>
                <w:highlight w:val="none"/>
              </w:rPr>
            </w:pPr>
          </w:p>
        </w:tc>
        <w:tc>
          <w:tcPr>
            <w:tcW w:w="1138"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06"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06" w:type="dxa"/>
            <w:vAlign w:val="center"/>
          </w:tcPr>
          <w:p>
            <w:pPr>
              <w:adjustRightInd w:val="0"/>
              <w:snapToGrid w:val="0"/>
              <w:rPr>
                <w:rFonts w:cs="宋体" w:asciiTheme="minorEastAsia" w:hAnsiTheme="minorEastAsia" w:eastAsiaTheme="minorEastAsia"/>
                <w:color w:val="auto"/>
                <w:szCs w:val="21"/>
                <w:highlight w:val="none"/>
              </w:rPr>
            </w:pPr>
          </w:p>
        </w:tc>
        <w:tc>
          <w:tcPr>
            <w:tcW w:w="1306" w:type="dxa"/>
            <w:vAlign w:val="center"/>
          </w:tcPr>
          <w:p>
            <w:pPr>
              <w:adjustRightInd w:val="0"/>
              <w:snapToGrid w:val="0"/>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trPr>
        <w:tc>
          <w:tcPr>
            <w:tcW w:w="466" w:type="dxa"/>
            <w:vAlign w:val="center"/>
          </w:tcPr>
          <w:p>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w:t>
            </w:r>
          </w:p>
        </w:tc>
        <w:tc>
          <w:tcPr>
            <w:tcW w:w="2154"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84" w:type="dxa"/>
            <w:vAlign w:val="center"/>
          </w:tcPr>
          <w:p>
            <w:pPr>
              <w:adjustRightInd w:val="0"/>
              <w:snapToGrid w:val="0"/>
              <w:rPr>
                <w:rFonts w:cs="宋体" w:asciiTheme="minorEastAsia" w:hAnsiTheme="minorEastAsia" w:eastAsiaTheme="minorEastAsia"/>
                <w:color w:val="auto"/>
                <w:szCs w:val="21"/>
                <w:highlight w:val="none"/>
              </w:rPr>
            </w:pPr>
          </w:p>
        </w:tc>
        <w:tc>
          <w:tcPr>
            <w:tcW w:w="1138"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06"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06" w:type="dxa"/>
            <w:vAlign w:val="center"/>
          </w:tcPr>
          <w:p>
            <w:pPr>
              <w:adjustRightInd w:val="0"/>
              <w:snapToGrid w:val="0"/>
              <w:rPr>
                <w:rFonts w:cs="宋体" w:asciiTheme="minorEastAsia" w:hAnsiTheme="minorEastAsia" w:eastAsiaTheme="minorEastAsia"/>
                <w:color w:val="auto"/>
                <w:szCs w:val="21"/>
                <w:highlight w:val="none"/>
              </w:rPr>
            </w:pPr>
          </w:p>
        </w:tc>
        <w:tc>
          <w:tcPr>
            <w:tcW w:w="1306" w:type="dxa"/>
            <w:vAlign w:val="center"/>
          </w:tcPr>
          <w:p>
            <w:pPr>
              <w:adjustRightInd w:val="0"/>
              <w:snapToGrid w:val="0"/>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trPr>
        <w:tc>
          <w:tcPr>
            <w:tcW w:w="466" w:type="dxa"/>
            <w:vAlign w:val="center"/>
          </w:tcPr>
          <w:p>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w:t>
            </w:r>
          </w:p>
        </w:tc>
        <w:tc>
          <w:tcPr>
            <w:tcW w:w="2154"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84" w:type="dxa"/>
            <w:vAlign w:val="center"/>
          </w:tcPr>
          <w:p>
            <w:pPr>
              <w:adjustRightInd w:val="0"/>
              <w:snapToGrid w:val="0"/>
              <w:rPr>
                <w:rFonts w:cs="宋体" w:asciiTheme="minorEastAsia" w:hAnsiTheme="minorEastAsia" w:eastAsiaTheme="minorEastAsia"/>
                <w:color w:val="auto"/>
                <w:szCs w:val="21"/>
                <w:highlight w:val="none"/>
              </w:rPr>
            </w:pPr>
          </w:p>
        </w:tc>
        <w:tc>
          <w:tcPr>
            <w:tcW w:w="1138"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06"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06" w:type="dxa"/>
            <w:vAlign w:val="center"/>
          </w:tcPr>
          <w:p>
            <w:pPr>
              <w:adjustRightInd w:val="0"/>
              <w:snapToGrid w:val="0"/>
              <w:rPr>
                <w:rFonts w:cs="宋体" w:asciiTheme="minorEastAsia" w:hAnsiTheme="minorEastAsia" w:eastAsiaTheme="minorEastAsia"/>
                <w:color w:val="auto"/>
                <w:szCs w:val="21"/>
                <w:highlight w:val="none"/>
              </w:rPr>
            </w:pPr>
          </w:p>
        </w:tc>
        <w:tc>
          <w:tcPr>
            <w:tcW w:w="1306" w:type="dxa"/>
            <w:vAlign w:val="center"/>
          </w:tcPr>
          <w:p>
            <w:pPr>
              <w:adjustRightInd w:val="0"/>
              <w:snapToGrid w:val="0"/>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trPr>
        <w:tc>
          <w:tcPr>
            <w:tcW w:w="466" w:type="dxa"/>
            <w:vAlign w:val="center"/>
          </w:tcPr>
          <w:p>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8</w:t>
            </w:r>
          </w:p>
        </w:tc>
        <w:tc>
          <w:tcPr>
            <w:tcW w:w="2154"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84" w:type="dxa"/>
            <w:vAlign w:val="center"/>
          </w:tcPr>
          <w:p>
            <w:pPr>
              <w:adjustRightInd w:val="0"/>
              <w:snapToGrid w:val="0"/>
              <w:rPr>
                <w:rFonts w:cs="宋体" w:asciiTheme="minorEastAsia" w:hAnsiTheme="minorEastAsia" w:eastAsiaTheme="minorEastAsia"/>
                <w:color w:val="auto"/>
                <w:szCs w:val="21"/>
                <w:highlight w:val="none"/>
              </w:rPr>
            </w:pPr>
          </w:p>
        </w:tc>
        <w:tc>
          <w:tcPr>
            <w:tcW w:w="1138"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06"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06" w:type="dxa"/>
            <w:vAlign w:val="center"/>
          </w:tcPr>
          <w:p>
            <w:pPr>
              <w:adjustRightInd w:val="0"/>
              <w:snapToGrid w:val="0"/>
              <w:rPr>
                <w:rFonts w:cs="宋体" w:asciiTheme="minorEastAsia" w:hAnsiTheme="minorEastAsia" w:eastAsiaTheme="minorEastAsia"/>
                <w:color w:val="auto"/>
                <w:szCs w:val="21"/>
                <w:highlight w:val="none"/>
              </w:rPr>
            </w:pPr>
          </w:p>
        </w:tc>
        <w:tc>
          <w:tcPr>
            <w:tcW w:w="1306" w:type="dxa"/>
            <w:vAlign w:val="center"/>
          </w:tcPr>
          <w:p>
            <w:pPr>
              <w:adjustRightInd w:val="0"/>
              <w:snapToGrid w:val="0"/>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trPr>
        <w:tc>
          <w:tcPr>
            <w:tcW w:w="466" w:type="dxa"/>
            <w:vAlign w:val="center"/>
          </w:tcPr>
          <w:p>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9</w:t>
            </w:r>
          </w:p>
        </w:tc>
        <w:tc>
          <w:tcPr>
            <w:tcW w:w="2154"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84" w:type="dxa"/>
            <w:vAlign w:val="center"/>
          </w:tcPr>
          <w:p>
            <w:pPr>
              <w:adjustRightInd w:val="0"/>
              <w:snapToGrid w:val="0"/>
              <w:rPr>
                <w:rFonts w:cs="宋体" w:asciiTheme="minorEastAsia" w:hAnsiTheme="minorEastAsia" w:eastAsiaTheme="minorEastAsia"/>
                <w:color w:val="auto"/>
                <w:szCs w:val="21"/>
                <w:highlight w:val="none"/>
              </w:rPr>
            </w:pPr>
          </w:p>
        </w:tc>
        <w:tc>
          <w:tcPr>
            <w:tcW w:w="1138"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06"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06" w:type="dxa"/>
            <w:vAlign w:val="center"/>
          </w:tcPr>
          <w:p>
            <w:pPr>
              <w:adjustRightInd w:val="0"/>
              <w:snapToGrid w:val="0"/>
              <w:rPr>
                <w:rFonts w:cs="宋体" w:asciiTheme="minorEastAsia" w:hAnsiTheme="minorEastAsia" w:eastAsiaTheme="minorEastAsia"/>
                <w:color w:val="auto"/>
                <w:szCs w:val="21"/>
                <w:highlight w:val="none"/>
              </w:rPr>
            </w:pPr>
          </w:p>
        </w:tc>
        <w:tc>
          <w:tcPr>
            <w:tcW w:w="1306" w:type="dxa"/>
            <w:vAlign w:val="center"/>
          </w:tcPr>
          <w:p>
            <w:pPr>
              <w:adjustRightInd w:val="0"/>
              <w:snapToGrid w:val="0"/>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466" w:type="dxa"/>
            <w:vAlign w:val="center"/>
          </w:tcPr>
          <w:p>
            <w:pPr>
              <w:adjustRightInd w:val="0"/>
              <w:snapToGrid w:val="0"/>
              <w:rPr>
                <w:rFonts w:cs="宋体" w:asciiTheme="minorEastAsia" w:hAnsiTheme="minorEastAsia" w:eastAsiaTheme="minorEastAsia"/>
                <w:color w:val="auto"/>
                <w:szCs w:val="21"/>
                <w:highlight w:val="none"/>
              </w:rPr>
            </w:pPr>
          </w:p>
        </w:tc>
        <w:tc>
          <w:tcPr>
            <w:tcW w:w="2154" w:type="dxa"/>
            <w:vAlign w:val="center"/>
          </w:tcPr>
          <w:p>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p>
        </w:tc>
        <w:tc>
          <w:tcPr>
            <w:tcW w:w="1384" w:type="dxa"/>
            <w:vAlign w:val="center"/>
          </w:tcPr>
          <w:p>
            <w:pPr>
              <w:adjustRightInd w:val="0"/>
              <w:snapToGrid w:val="0"/>
              <w:rPr>
                <w:rFonts w:cs="宋体" w:asciiTheme="minorEastAsia" w:hAnsiTheme="minorEastAsia" w:eastAsiaTheme="minorEastAsia"/>
                <w:color w:val="auto"/>
                <w:szCs w:val="21"/>
                <w:highlight w:val="none"/>
              </w:rPr>
            </w:pPr>
          </w:p>
        </w:tc>
        <w:tc>
          <w:tcPr>
            <w:tcW w:w="1138"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06" w:type="dxa"/>
            <w:vAlign w:val="center"/>
          </w:tcPr>
          <w:p>
            <w:pPr>
              <w:adjustRightInd w:val="0"/>
              <w:snapToGrid w:val="0"/>
              <w:jc w:val="center"/>
              <w:rPr>
                <w:rFonts w:cs="宋体" w:asciiTheme="minorEastAsia" w:hAnsiTheme="minorEastAsia" w:eastAsiaTheme="minorEastAsia"/>
                <w:color w:val="auto"/>
                <w:szCs w:val="21"/>
                <w:highlight w:val="none"/>
              </w:rPr>
            </w:pPr>
          </w:p>
        </w:tc>
        <w:tc>
          <w:tcPr>
            <w:tcW w:w="1306" w:type="dxa"/>
            <w:vAlign w:val="center"/>
          </w:tcPr>
          <w:p>
            <w:pPr>
              <w:adjustRightInd w:val="0"/>
              <w:snapToGrid w:val="0"/>
              <w:rPr>
                <w:rFonts w:cs="宋体" w:asciiTheme="minorEastAsia" w:hAnsiTheme="minorEastAsia" w:eastAsiaTheme="minorEastAsia"/>
                <w:color w:val="auto"/>
                <w:szCs w:val="21"/>
                <w:highlight w:val="none"/>
              </w:rPr>
            </w:pPr>
          </w:p>
        </w:tc>
        <w:tc>
          <w:tcPr>
            <w:tcW w:w="1306" w:type="dxa"/>
            <w:vAlign w:val="center"/>
          </w:tcPr>
          <w:p>
            <w:pPr>
              <w:adjustRightInd w:val="0"/>
              <w:snapToGrid w:val="0"/>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trPr>
        <w:tc>
          <w:tcPr>
            <w:tcW w:w="7754" w:type="dxa"/>
            <w:gridSpan w:val="6"/>
            <w:vAlign w:val="center"/>
          </w:tcPr>
          <w:p>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合计（元）</w:t>
            </w:r>
          </w:p>
        </w:tc>
        <w:tc>
          <w:tcPr>
            <w:tcW w:w="1306" w:type="dxa"/>
            <w:vAlign w:val="center"/>
          </w:tcPr>
          <w:p>
            <w:pPr>
              <w:adjustRightInd w:val="0"/>
              <w:snapToGrid w:val="0"/>
              <w:jc w:val="center"/>
              <w:rPr>
                <w:rFonts w:cs="宋体" w:asciiTheme="minorEastAsia" w:hAnsiTheme="minorEastAsia" w:eastAsiaTheme="minorEastAsia"/>
                <w:color w:val="auto"/>
                <w:szCs w:val="21"/>
                <w:highlight w:val="none"/>
              </w:rPr>
            </w:pPr>
          </w:p>
        </w:tc>
      </w:tr>
    </w:tbl>
    <w:p>
      <w:pPr>
        <w:adjustRightInd w:val="0"/>
        <w:snapToGrid w:val="0"/>
        <w:rPr>
          <w:rFonts w:ascii="宋体" w:hAnsi="宋体"/>
          <w:b/>
          <w:color w:val="auto"/>
          <w:sz w:val="18"/>
          <w:szCs w:val="18"/>
          <w:highlight w:val="none"/>
        </w:rPr>
      </w:pPr>
    </w:p>
    <w:p>
      <w:pPr>
        <w:adjustRightInd w:val="0"/>
        <w:snapToGrid w:val="0"/>
        <w:rPr>
          <w:rFonts w:hint="eastAsia" w:ascii="宋体" w:hAnsi="宋体"/>
          <w:b/>
          <w:color w:val="auto"/>
          <w:sz w:val="18"/>
          <w:szCs w:val="18"/>
          <w:highlight w:val="none"/>
        </w:rPr>
      </w:pPr>
      <w:r>
        <w:rPr>
          <w:rFonts w:hint="eastAsia" w:ascii="宋体" w:hAnsi="宋体"/>
          <w:b/>
          <w:color w:val="auto"/>
          <w:sz w:val="18"/>
          <w:szCs w:val="18"/>
          <w:highlight w:val="none"/>
        </w:rPr>
        <w:t>要求</w:t>
      </w:r>
    </w:p>
    <w:p>
      <w:pPr>
        <w:adjustRightInd w:val="0"/>
        <w:snapToGrid w:val="0"/>
        <w:rPr>
          <w:rFonts w:ascii="宋体"/>
          <w:color w:val="auto"/>
          <w:szCs w:val="21"/>
          <w:highlight w:val="none"/>
          <w:lang w:val="zh-CN"/>
        </w:rPr>
      </w:pPr>
      <w:r>
        <w:rPr>
          <w:rFonts w:hint="eastAsia" w:ascii="宋体"/>
          <w:color w:val="auto"/>
          <w:szCs w:val="21"/>
          <w:highlight w:val="none"/>
          <w:lang w:val="zh-CN"/>
        </w:rPr>
        <w:t>1.本表中产品名称、单位、数量需招标文件第三章招标需求“（二）采购清单一致；品牌型号、规格参数必须和商务与技术文件的附件 “技术规格偏离表”表中相关内容一致，否则报价无效。2.“报价明细表”中的报价合计应与“开标一览表”中的投标总报价相一致，不一致时，以开标一览表为准调整单价。</w:t>
      </w: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供应商名称（电子印章）：</w:t>
      </w: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法定代表人或授权委托人签</w:t>
      </w:r>
      <w:r>
        <w:rPr>
          <w:rFonts w:hint="eastAsia" w:ascii="宋体" w:hAnsi="宋体" w:cs="仿宋_GB2312"/>
          <w:color w:val="auto"/>
          <w:kern w:val="0"/>
          <w:sz w:val="24"/>
          <w:highlight w:val="none"/>
          <w:lang w:val="zh-CN"/>
        </w:rPr>
        <w:t>字或电子印章</w:t>
      </w:r>
      <w:r>
        <w:rPr>
          <w:rFonts w:hint="eastAsia" w:ascii="宋体" w:hAnsi="宋体"/>
          <w:color w:val="auto"/>
          <w:sz w:val="24"/>
          <w:highlight w:val="none"/>
        </w:rPr>
        <w:t>：</w:t>
      </w:r>
    </w:p>
    <w:p>
      <w:pPr>
        <w:pStyle w:val="34"/>
        <w:shd w:val="clear" w:color="auto" w:fill="FFFFFF"/>
        <w:spacing w:before="0" w:beforeAutospacing="0" w:after="0" w:afterAutospacing="0" w:line="360" w:lineRule="auto"/>
        <w:ind w:firstLine="424" w:firstLineChars="177"/>
        <w:rPr>
          <w:color w:val="auto"/>
          <w:highlight w:val="none"/>
        </w:rPr>
      </w:pPr>
    </w:p>
    <w:p>
      <w:pPr>
        <w:pStyle w:val="34"/>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bookmarkEnd w:id="177"/>
    <w:p>
      <w:pPr>
        <w:rPr>
          <w:b/>
          <w:color w:val="auto"/>
          <w:sz w:val="28"/>
          <w:highlight w:val="none"/>
        </w:rPr>
      </w:pPr>
    </w:p>
    <w:sectPr>
      <w:headerReference r:id="rId3" w:type="default"/>
      <w:footerReference r:id="rId4" w:type="default"/>
      <w:pgSz w:w="11906" w:h="16838"/>
      <w:pgMar w:top="1440" w:right="1361" w:bottom="1276"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1"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pPr>
                            <w:pStyle w:val="1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XcYXXSAAAAAwEAAA8AAAAA&#10;AAAAAQAgAAAAIgAAAGRycy9kb3ducmV2LnhtbFBLAQIUABQAAAAIAIdO4kCC1galGgIAABMEAAAO&#10;AAAAAAAAAAEAIAAAACEBAABkcnMvZTJvRG9jLnhtbFBLBQYAAAAABgAGAFkBAACt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p>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48CB86"/>
    <w:multiLevelType w:val="singleLevel"/>
    <w:tmpl w:val="DF48CB86"/>
    <w:lvl w:ilvl="0" w:tentative="0">
      <w:start w:val="1"/>
      <w:numFmt w:val="chineseCounting"/>
      <w:suff w:val="nothing"/>
      <w:lvlText w:val="（%1）"/>
      <w:lvlJc w:val="left"/>
      <w:rPr>
        <w:rFonts w:hint="eastAsia"/>
      </w:rPr>
    </w:lvl>
  </w:abstractNum>
  <w:abstractNum w:abstractNumId="1">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2">
    <w:nsid w:val="461E5E94"/>
    <w:multiLevelType w:val="singleLevel"/>
    <w:tmpl w:val="461E5E94"/>
    <w:lvl w:ilvl="0" w:tentative="0">
      <w:start w:val="2"/>
      <w:numFmt w:val="chineseCounting"/>
      <w:suff w:val="space"/>
      <w:lvlText w:val="第%1章"/>
      <w:lvlJc w:val="left"/>
      <w:rPr>
        <w:rFonts w:hint="eastAsia"/>
      </w:rPr>
    </w:lvl>
  </w:abstractNum>
  <w:abstractNum w:abstractNumId="3">
    <w:nsid w:val="49074A7D"/>
    <w:multiLevelType w:val="multilevel"/>
    <w:tmpl w:val="49074A7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7A7AA0"/>
    <w:multiLevelType w:val="singleLevel"/>
    <w:tmpl w:val="527A7AA0"/>
    <w:lvl w:ilvl="0" w:tentative="0">
      <w:start w:val="2"/>
      <w:numFmt w:val="chineseCounting"/>
      <w:suff w:val="nothing"/>
      <w:lvlText w:val="%1、"/>
      <w:lvlJc w:val="left"/>
      <w:rPr>
        <w:rFonts w:hint="eastAsia"/>
      </w:rPr>
    </w:lvl>
  </w:abstractNum>
  <w:abstractNum w:abstractNumId="5">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6">
    <w:nsid w:val="66DDD653"/>
    <w:multiLevelType w:val="singleLevel"/>
    <w:tmpl w:val="66DDD653"/>
    <w:lvl w:ilvl="0" w:tentative="0">
      <w:start w:val="1"/>
      <w:numFmt w:val="chineseCounting"/>
      <w:suff w:val="space"/>
      <w:lvlText w:val="第%1章"/>
      <w:lvlJc w:val="left"/>
      <w:rPr>
        <w:rFonts w:hint="eastAsia"/>
      </w:rPr>
    </w:lvl>
  </w:abstractNum>
  <w:num w:numId="1">
    <w:abstractNumId w:val="5"/>
  </w:num>
  <w:num w:numId="2">
    <w:abstractNumId w:val="1"/>
  </w:num>
  <w:num w:numId="3">
    <w:abstractNumId w:val="6"/>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MmYxN2FlODQwNmI4NDBhMmQyMDBmMmZlYzI2YmEifQ=="/>
    <w:docVar w:name="KSO_WPS_MARK_KEY" w:val="3edbdf94-11e4-4e31-99e8-f02d3dc09510"/>
  </w:docVars>
  <w:rsids>
    <w:rsidRoot w:val="685F2B0C"/>
    <w:rsid w:val="000023D1"/>
    <w:rsid w:val="00005D17"/>
    <w:rsid w:val="0000610C"/>
    <w:rsid w:val="000104F7"/>
    <w:rsid w:val="00010D3E"/>
    <w:rsid w:val="00011EAB"/>
    <w:rsid w:val="00012823"/>
    <w:rsid w:val="00012874"/>
    <w:rsid w:val="000135D2"/>
    <w:rsid w:val="0001675A"/>
    <w:rsid w:val="000201CC"/>
    <w:rsid w:val="00020640"/>
    <w:rsid w:val="00021925"/>
    <w:rsid w:val="00023B58"/>
    <w:rsid w:val="00024228"/>
    <w:rsid w:val="00025769"/>
    <w:rsid w:val="00025EC6"/>
    <w:rsid w:val="0002606B"/>
    <w:rsid w:val="00026495"/>
    <w:rsid w:val="00026658"/>
    <w:rsid w:val="00027C93"/>
    <w:rsid w:val="00030D77"/>
    <w:rsid w:val="00032411"/>
    <w:rsid w:val="00035D48"/>
    <w:rsid w:val="000365FC"/>
    <w:rsid w:val="00040DE5"/>
    <w:rsid w:val="000416A1"/>
    <w:rsid w:val="00044E9D"/>
    <w:rsid w:val="00044EFD"/>
    <w:rsid w:val="00044F94"/>
    <w:rsid w:val="00045369"/>
    <w:rsid w:val="00045B59"/>
    <w:rsid w:val="00050377"/>
    <w:rsid w:val="00051E6E"/>
    <w:rsid w:val="000538AC"/>
    <w:rsid w:val="00054CB1"/>
    <w:rsid w:val="00055033"/>
    <w:rsid w:val="00056436"/>
    <w:rsid w:val="00056D95"/>
    <w:rsid w:val="00062126"/>
    <w:rsid w:val="00063098"/>
    <w:rsid w:val="00063147"/>
    <w:rsid w:val="0006339A"/>
    <w:rsid w:val="00063BC6"/>
    <w:rsid w:val="00064552"/>
    <w:rsid w:val="0006508F"/>
    <w:rsid w:val="00065526"/>
    <w:rsid w:val="000661A2"/>
    <w:rsid w:val="00071BA1"/>
    <w:rsid w:val="00071FCA"/>
    <w:rsid w:val="000725C2"/>
    <w:rsid w:val="0007292A"/>
    <w:rsid w:val="000734A1"/>
    <w:rsid w:val="000758AD"/>
    <w:rsid w:val="000772D8"/>
    <w:rsid w:val="00082BA4"/>
    <w:rsid w:val="00084091"/>
    <w:rsid w:val="00090024"/>
    <w:rsid w:val="000904B4"/>
    <w:rsid w:val="00091768"/>
    <w:rsid w:val="00091C29"/>
    <w:rsid w:val="00091D82"/>
    <w:rsid w:val="00091F69"/>
    <w:rsid w:val="00091FE2"/>
    <w:rsid w:val="00092281"/>
    <w:rsid w:val="00093508"/>
    <w:rsid w:val="000947D5"/>
    <w:rsid w:val="00094E6D"/>
    <w:rsid w:val="00095B4A"/>
    <w:rsid w:val="00095D0A"/>
    <w:rsid w:val="000965BF"/>
    <w:rsid w:val="000971A3"/>
    <w:rsid w:val="000A2B60"/>
    <w:rsid w:val="000A3678"/>
    <w:rsid w:val="000A3DB6"/>
    <w:rsid w:val="000A56B2"/>
    <w:rsid w:val="000A6004"/>
    <w:rsid w:val="000A68C7"/>
    <w:rsid w:val="000B00DA"/>
    <w:rsid w:val="000B0383"/>
    <w:rsid w:val="000B1CD7"/>
    <w:rsid w:val="000B3313"/>
    <w:rsid w:val="000B4ED5"/>
    <w:rsid w:val="000B5EFC"/>
    <w:rsid w:val="000B631B"/>
    <w:rsid w:val="000B6762"/>
    <w:rsid w:val="000B72ED"/>
    <w:rsid w:val="000B7A91"/>
    <w:rsid w:val="000C1666"/>
    <w:rsid w:val="000C1FE5"/>
    <w:rsid w:val="000C497E"/>
    <w:rsid w:val="000C4AC7"/>
    <w:rsid w:val="000C4D6A"/>
    <w:rsid w:val="000C58E4"/>
    <w:rsid w:val="000C60C2"/>
    <w:rsid w:val="000C6FD6"/>
    <w:rsid w:val="000D0BD7"/>
    <w:rsid w:val="000D2604"/>
    <w:rsid w:val="000D31E0"/>
    <w:rsid w:val="000D38C5"/>
    <w:rsid w:val="000D3A89"/>
    <w:rsid w:val="000D3E53"/>
    <w:rsid w:val="000D74EF"/>
    <w:rsid w:val="000E5A26"/>
    <w:rsid w:val="000E63FC"/>
    <w:rsid w:val="000E704D"/>
    <w:rsid w:val="000E7A23"/>
    <w:rsid w:val="000F0F0F"/>
    <w:rsid w:val="000F2182"/>
    <w:rsid w:val="000F23B5"/>
    <w:rsid w:val="000F6229"/>
    <w:rsid w:val="000F6DB1"/>
    <w:rsid w:val="000F7121"/>
    <w:rsid w:val="000F7AB7"/>
    <w:rsid w:val="0010057E"/>
    <w:rsid w:val="00101E97"/>
    <w:rsid w:val="00101F5B"/>
    <w:rsid w:val="00102078"/>
    <w:rsid w:val="0010267A"/>
    <w:rsid w:val="00102AF6"/>
    <w:rsid w:val="00102EAF"/>
    <w:rsid w:val="00103347"/>
    <w:rsid w:val="001044A1"/>
    <w:rsid w:val="00104F55"/>
    <w:rsid w:val="00105C18"/>
    <w:rsid w:val="00106FDC"/>
    <w:rsid w:val="00107943"/>
    <w:rsid w:val="001107A5"/>
    <w:rsid w:val="00110E86"/>
    <w:rsid w:val="001112A3"/>
    <w:rsid w:val="001133E8"/>
    <w:rsid w:val="00113651"/>
    <w:rsid w:val="00113A82"/>
    <w:rsid w:val="0011412B"/>
    <w:rsid w:val="0011578E"/>
    <w:rsid w:val="001162DB"/>
    <w:rsid w:val="00117AB2"/>
    <w:rsid w:val="001201F5"/>
    <w:rsid w:val="00120D78"/>
    <w:rsid w:val="0012124B"/>
    <w:rsid w:val="00122404"/>
    <w:rsid w:val="001229D6"/>
    <w:rsid w:val="001237AC"/>
    <w:rsid w:val="00125EA6"/>
    <w:rsid w:val="001261B0"/>
    <w:rsid w:val="00127AAA"/>
    <w:rsid w:val="00131615"/>
    <w:rsid w:val="001345E2"/>
    <w:rsid w:val="00134C11"/>
    <w:rsid w:val="0013558A"/>
    <w:rsid w:val="001367E1"/>
    <w:rsid w:val="001408B9"/>
    <w:rsid w:val="00140D59"/>
    <w:rsid w:val="00140EDF"/>
    <w:rsid w:val="00141B96"/>
    <w:rsid w:val="00142762"/>
    <w:rsid w:val="001434A8"/>
    <w:rsid w:val="00143861"/>
    <w:rsid w:val="00145466"/>
    <w:rsid w:val="001455A8"/>
    <w:rsid w:val="00153222"/>
    <w:rsid w:val="00153DDE"/>
    <w:rsid w:val="00154D28"/>
    <w:rsid w:val="001553F0"/>
    <w:rsid w:val="00156C78"/>
    <w:rsid w:val="00157475"/>
    <w:rsid w:val="0016041E"/>
    <w:rsid w:val="00160F2A"/>
    <w:rsid w:val="0016159C"/>
    <w:rsid w:val="00163086"/>
    <w:rsid w:val="001636E9"/>
    <w:rsid w:val="00164D15"/>
    <w:rsid w:val="00165EE9"/>
    <w:rsid w:val="00167815"/>
    <w:rsid w:val="00167E61"/>
    <w:rsid w:val="00167F4E"/>
    <w:rsid w:val="001701DB"/>
    <w:rsid w:val="00170A0E"/>
    <w:rsid w:val="00171A8C"/>
    <w:rsid w:val="00172360"/>
    <w:rsid w:val="00172B3A"/>
    <w:rsid w:val="00172DA3"/>
    <w:rsid w:val="00175794"/>
    <w:rsid w:val="0017587E"/>
    <w:rsid w:val="0017674E"/>
    <w:rsid w:val="00180BC2"/>
    <w:rsid w:val="00180D1D"/>
    <w:rsid w:val="00182009"/>
    <w:rsid w:val="00182E2E"/>
    <w:rsid w:val="00183718"/>
    <w:rsid w:val="0018379D"/>
    <w:rsid w:val="00183A4A"/>
    <w:rsid w:val="00183A81"/>
    <w:rsid w:val="001840A1"/>
    <w:rsid w:val="00184C83"/>
    <w:rsid w:val="00185730"/>
    <w:rsid w:val="00185DED"/>
    <w:rsid w:val="00186105"/>
    <w:rsid w:val="001870AB"/>
    <w:rsid w:val="00187324"/>
    <w:rsid w:val="001875D0"/>
    <w:rsid w:val="00187705"/>
    <w:rsid w:val="00187844"/>
    <w:rsid w:val="00191A12"/>
    <w:rsid w:val="00191C79"/>
    <w:rsid w:val="00192EDA"/>
    <w:rsid w:val="001948A9"/>
    <w:rsid w:val="00195089"/>
    <w:rsid w:val="001950A3"/>
    <w:rsid w:val="001961FF"/>
    <w:rsid w:val="00196AE1"/>
    <w:rsid w:val="00197544"/>
    <w:rsid w:val="001A0847"/>
    <w:rsid w:val="001A0CFF"/>
    <w:rsid w:val="001A1866"/>
    <w:rsid w:val="001A2400"/>
    <w:rsid w:val="001A4E0A"/>
    <w:rsid w:val="001A58D2"/>
    <w:rsid w:val="001A5A6F"/>
    <w:rsid w:val="001A5EB9"/>
    <w:rsid w:val="001A6396"/>
    <w:rsid w:val="001A6B3B"/>
    <w:rsid w:val="001A7419"/>
    <w:rsid w:val="001A7F11"/>
    <w:rsid w:val="001B191E"/>
    <w:rsid w:val="001B538C"/>
    <w:rsid w:val="001B61CA"/>
    <w:rsid w:val="001B646E"/>
    <w:rsid w:val="001B68CC"/>
    <w:rsid w:val="001C0967"/>
    <w:rsid w:val="001C3B4C"/>
    <w:rsid w:val="001C6051"/>
    <w:rsid w:val="001C6CAB"/>
    <w:rsid w:val="001C6D90"/>
    <w:rsid w:val="001C7833"/>
    <w:rsid w:val="001C7DC0"/>
    <w:rsid w:val="001D11CE"/>
    <w:rsid w:val="001D406D"/>
    <w:rsid w:val="001D4E2E"/>
    <w:rsid w:val="001D6A57"/>
    <w:rsid w:val="001D7998"/>
    <w:rsid w:val="001E3931"/>
    <w:rsid w:val="001E790E"/>
    <w:rsid w:val="001E7A86"/>
    <w:rsid w:val="001E7CC1"/>
    <w:rsid w:val="001F0A22"/>
    <w:rsid w:val="001F0D4B"/>
    <w:rsid w:val="001F0D71"/>
    <w:rsid w:val="001F1A6B"/>
    <w:rsid w:val="001F2064"/>
    <w:rsid w:val="001F21EF"/>
    <w:rsid w:val="001F368C"/>
    <w:rsid w:val="001F3BC2"/>
    <w:rsid w:val="001F58A5"/>
    <w:rsid w:val="001F6B19"/>
    <w:rsid w:val="001F788E"/>
    <w:rsid w:val="00202AC4"/>
    <w:rsid w:val="00202B74"/>
    <w:rsid w:val="00202E1B"/>
    <w:rsid w:val="00203B0A"/>
    <w:rsid w:val="00207BF6"/>
    <w:rsid w:val="00207CFA"/>
    <w:rsid w:val="0021510A"/>
    <w:rsid w:val="002158E7"/>
    <w:rsid w:val="0021788A"/>
    <w:rsid w:val="00222E5A"/>
    <w:rsid w:val="00223312"/>
    <w:rsid w:val="0022454E"/>
    <w:rsid w:val="002269A3"/>
    <w:rsid w:val="0022732F"/>
    <w:rsid w:val="002323AA"/>
    <w:rsid w:val="00233829"/>
    <w:rsid w:val="00240FC2"/>
    <w:rsid w:val="00243519"/>
    <w:rsid w:val="00243D55"/>
    <w:rsid w:val="002443FC"/>
    <w:rsid w:val="0024589F"/>
    <w:rsid w:val="00246762"/>
    <w:rsid w:val="00246853"/>
    <w:rsid w:val="002468A2"/>
    <w:rsid w:val="00246FDE"/>
    <w:rsid w:val="002471F2"/>
    <w:rsid w:val="002502AF"/>
    <w:rsid w:val="002554B9"/>
    <w:rsid w:val="002601B5"/>
    <w:rsid w:val="0026033B"/>
    <w:rsid w:val="00261CCE"/>
    <w:rsid w:val="002629BC"/>
    <w:rsid w:val="0026554A"/>
    <w:rsid w:val="0026655A"/>
    <w:rsid w:val="00267485"/>
    <w:rsid w:val="00272B9C"/>
    <w:rsid w:val="00276C41"/>
    <w:rsid w:val="00281F2C"/>
    <w:rsid w:val="002826A1"/>
    <w:rsid w:val="002838CC"/>
    <w:rsid w:val="002846F0"/>
    <w:rsid w:val="00284B88"/>
    <w:rsid w:val="00284C79"/>
    <w:rsid w:val="00285C0A"/>
    <w:rsid w:val="00286E9F"/>
    <w:rsid w:val="0028776F"/>
    <w:rsid w:val="00291503"/>
    <w:rsid w:val="00291AF0"/>
    <w:rsid w:val="00292769"/>
    <w:rsid w:val="00292FF7"/>
    <w:rsid w:val="00293D51"/>
    <w:rsid w:val="00296406"/>
    <w:rsid w:val="002A0283"/>
    <w:rsid w:val="002A1E3E"/>
    <w:rsid w:val="002A2A65"/>
    <w:rsid w:val="002A35AB"/>
    <w:rsid w:val="002A5EE6"/>
    <w:rsid w:val="002A6F0F"/>
    <w:rsid w:val="002A7015"/>
    <w:rsid w:val="002B0ED6"/>
    <w:rsid w:val="002B1627"/>
    <w:rsid w:val="002B1EEC"/>
    <w:rsid w:val="002B35F2"/>
    <w:rsid w:val="002B4462"/>
    <w:rsid w:val="002B475D"/>
    <w:rsid w:val="002B5B0A"/>
    <w:rsid w:val="002B78A9"/>
    <w:rsid w:val="002B79A7"/>
    <w:rsid w:val="002B79F2"/>
    <w:rsid w:val="002B7A22"/>
    <w:rsid w:val="002C133B"/>
    <w:rsid w:val="002C1B92"/>
    <w:rsid w:val="002C1F07"/>
    <w:rsid w:val="002C24AB"/>
    <w:rsid w:val="002C2CBC"/>
    <w:rsid w:val="002C4887"/>
    <w:rsid w:val="002C6D8C"/>
    <w:rsid w:val="002D127C"/>
    <w:rsid w:val="002D1DF7"/>
    <w:rsid w:val="002D1ED8"/>
    <w:rsid w:val="002D2C92"/>
    <w:rsid w:val="002D403F"/>
    <w:rsid w:val="002D5182"/>
    <w:rsid w:val="002D58B8"/>
    <w:rsid w:val="002D7466"/>
    <w:rsid w:val="002D7BAF"/>
    <w:rsid w:val="002E01C1"/>
    <w:rsid w:val="002E0EE9"/>
    <w:rsid w:val="002E1636"/>
    <w:rsid w:val="002E193A"/>
    <w:rsid w:val="002E2550"/>
    <w:rsid w:val="002E31BA"/>
    <w:rsid w:val="002E4709"/>
    <w:rsid w:val="002E4E95"/>
    <w:rsid w:val="002E5EB7"/>
    <w:rsid w:val="002E663A"/>
    <w:rsid w:val="002F2721"/>
    <w:rsid w:val="002F4153"/>
    <w:rsid w:val="002F5369"/>
    <w:rsid w:val="002F5DC4"/>
    <w:rsid w:val="002F63E5"/>
    <w:rsid w:val="002F7ADC"/>
    <w:rsid w:val="003013B4"/>
    <w:rsid w:val="00302C9F"/>
    <w:rsid w:val="00307354"/>
    <w:rsid w:val="00307A74"/>
    <w:rsid w:val="00307B35"/>
    <w:rsid w:val="0031005A"/>
    <w:rsid w:val="00310371"/>
    <w:rsid w:val="00312D08"/>
    <w:rsid w:val="00312F8D"/>
    <w:rsid w:val="00314D3C"/>
    <w:rsid w:val="00315916"/>
    <w:rsid w:val="00315B6A"/>
    <w:rsid w:val="0031785A"/>
    <w:rsid w:val="00320028"/>
    <w:rsid w:val="003200FE"/>
    <w:rsid w:val="00320659"/>
    <w:rsid w:val="003238EE"/>
    <w:rsid w:val="0032487C"/>
    <w:rsid w:val="00325519"/>
    <w:rsid w:val="003259CB"/>
    <w:rsid w:val="00325CAA"/>
    <w:rsid w:val="00326820"/>
    <w:rsid w:val="003268B6"/>
    <w:rsid w:val="00327264"/>
    <w:rsid w:val="003274C9"/>
    <w:rsid w:val="00330834"/>
    <w:rsid w:val="003313BB"/>
    <w:rsid w:val="003340BE"/>
    <w:rsid w:val="00334C00"/>
    <w:rsid w:val="00336510"/>
    <w:rsid w:val="00337E0A"/>
    <w:rsid w:val="00340B8B"/>
    <w:rsid w:val="00341EDA"/>
    <w:rsid w:val="00343882"/>
    <w:rsid w:val="00346006"/>
    <w:rsid w:val="00346DAD"/>
    <w:rsid w:val="00347B43"/>
    <w:rsid w:val="00347E0E"/>
    <w:rsid w:val="00350AC7"/>
    <w:rsid w:val="00350F58"/>
    <w:rsid w:val="00351456"/>
    <w:rsid w:val="00351504"/>
    <w:rsid w:val="003525D0"/>
    <w:rsid w:val="00352C59"/>
    <w:rsid w:val="00352E06"/>
    <w:rsid w:val="00353991"/>
    <w:rsid w:val="00354996"/>
    <w:rsid w:val="00354AFA"/>
    <w:rsid w:val="00354D40"/>
    <w:rsid w:val="0035715C"/>
    <w:rsid w:val="003573EA"/>
    <w:rsid w:val="003631C5"/>
    <w:rsid w:val="00363C50"/>
    <w:rsid w:val="00364999"/>
    <w:rsid w:val="003653AC"/>
    <w:rsid w:val="003672DD"/>
    <w:rsid w:val="00367841"/>
    <w:rsid w:val="0037065F"/>
    <w:rsid w:val="00370B2B"/>
    <w:rsid w:val="00372EF4"/>
    <w:rsid w:val="003734B5"/>
    <w:rsid w:val="00374382"/>
    <w:rsid w:val="0037468B"/>
    <w:rsid w:val="00374D62"/>
    <w:rsid w:val="00375106"/>
    <w:rsid w:val="003801C9"/>
    <w:rsid w:val="003841F2"/>
    <w:rsid w:val="00385A32"/>
    <w:rsid w:val="003863DD"/>
    <w:rsid w:val="00386858"/>
    <w:rsid w:val="003911E3"/>
    <w:rsid w:val="0039194B"/>
    <w:rsid w:val="00393334"/>
    <w:rsid w:val="003A4954"/>
    <w:rsid w:val="003A49B9"/>
    <w:rsid w:val="003A5E76"/>
    <w:rsid w:val="003B080B"/>
    <w:rsid w:val="003B1592"/>
    <w:rsid w:val="003B2261"/>
    <w:rsid w:val="003B4A18"/>
    <w:rsid w:val="003B638A"/>
    <w:rsid w:val="003B6DB0"/>
    <w:rsid w:val="003B6E1C"/>
    <w:rsid w:val="003B6E9D"/>
    <w:rsid w:val="003B7274"/>
    <w:rsid w:val="003C0136"/>
    <w:rsid w:val="003C0D3C"/>
    <w:rsid w:val="003C173C"/>
    <w:rsid w:val="003C1B9A"/>
    <w:rsid w:val="003C2948"/>
    <w:rsid w:val="003C29DF"/>
    <w:rsid w:val="003C44BC"/>
    <w:rsid w:val="003D0B8B"/>
    <w:rsid w:val="003D1A4C"/>
    <w:rsid w:val="003D20AF"/>
    <w:rsid w:val="003D285A"/>
    <w:rsid w:val="003D5841"/>
    <w:rsid w:val="003D6ACE"/>
    <w:rsid w:val="003E0D6C"/>
    <w:rsid w:val="003E1261"/>
    <w:rsid w:val="003E3DA8"/>
    <w:rsid w:val="003E49D9"/>
    <w:rsid w:val="003E5CC4"/>
    <w:rsid w:val="003E6D9A"/>
    <w:rsid w:val="003E714F"/>
    <w:rsid w:val="003E7DFB"/>
    <w:rsid w:val="003F164E"/>
    <w:rsid w:val="003F2FD4"/>
    <w:rsid w:val="003F5069"/>
    <w:rsid w:val="003F581F"/>
    <w:rsid w:val="003F612C"/>
    <w:rsid w:val="004000FE"/>
    <w:rsid w:val="00404792"/>
    <w:rsid w:val="004052D7"/>
    <w:rsid w:val="0041159F"/>
    <w:rsid w:val="00411763"/>
    <w:rsid w:val="00412C91"/>
    <w:rsid w:val="00412F66"/>
    <w:rsid w:val="00415AB1"/>
    <w:rsid w:val="00415F4A"/>
    <w:rsid w:val="004165DB"/>
    <w:rsid w:val="00422E83"/>
    <w:rsid w:val="00422F5F"/>
    <w:rsid w:val="00426C9E"/>
    <w:rsid w:val="00430515"/>
    <w:rsid w:val="00432372"/>
    <w:rsid w:val="00432639"/>
    <w:rsid w:val="00432B14"/>
    <w:rsid w:val="0043520A"/>
    <w:rsid w:val="004352B6"/>
    <w:rsid w:val="00436A09"/>
    <w:rsid w:val="004407AC"/>
    <w:rsid w:val="00440952"/>
    <w:rsid w:val="004415EE"/>
    <w:rsid w:val="004420D4"/>
    <w:rsid w:val="004423C6"/>
    <w:rsid w:val="00442411"/>
    <w:rsid w:val="00443805"/>
    <w:rsid w:val="004439F7"/>
    <w:rsid w:val="00446546"/>
    <w:rsid w:val="00446E3A"/>
    <w:rsid w:val="004510D1"/>
    <w:rsid w:val="00455D3A"/>
    <w:rsid w:val="004570CD"/>
    <w:rsid w:val="004574D9"/>
    <w:rsid w:val="004576E1"/>
    <w:rsid w:val="00460FDE"/>
    <w:rsid w:val="004647F9"/>
    <w:rsid w:val="0046542E"/>
    <w:rsid w:val="00467237"/>
    <w:rsid w:val="00472E2A"/>
    <w:rsid w:val="004731D1"/>
    <w:rsid w:val="0047322C"/>
    <w:rsid w:val="00473575"/>
    <w:rsid w:val="0048006A"/>
    <w:rsid w:val="0048212C"/>
    <w:rsid w:val="00483432"/>
    <w:rsid w:val="00483440"/>
    <w:rsid w:val="00484DC9"/>
    <w:rsid w:val="0048654D"/>
    <w:rsid w:val="004867A6"/>
    <w:rsid w:val="00487122"/>
    <w:rsid w:val="00494809"/>
    <w:rsid w:val="00495A30"/>
    <w:rsid w:val="00496C25"/>
    <w:rsid w:val="00496D8B"/>
    <w:rsid w:val="00497BF8"/>
    <w:rsid w:val="00497F70"/>
    <w:rsid w:val="004A06B0"/>
    <w:rsid w:val="004A1AF5"/>
    <w:rsid w:val="004A25F7"/>
    <w:rsid w:val="004A387A"/>
    <w:rsid w:val="004A40BA"/>
    <w:rsid w:val="004A5B9A"/>
    <w:rsid w:val="004A7239"/>
    <w:rsid w:val="004B03DF"/>
    <w:rsid w:val="004B106E"/>
    <w:rsid w:val="004B18D1"/>
    <w:rsid w:val="004B4892"/>
    <w:rsid w:val="004B6B83"/>
    <w:rsid w:val="004C18CE"/>
    <w:rsid w:val="004C199D"/>
    <w:rsid w:val="004C25AC"/>
    <w:rsid w:val="004C6AAC"/>
    <w:rsid w:val="004D071E"/>
    <w:rsid w:val="004D0C72"/>
    <w:rsid w:val="004D38A4"/>
    <w:rsid w:val="004D3AA5"/>
    <w:rsid w:val="004D4146"/>
    <w:rsid w:val="004D4849"/>
    <w:rsid w:val="004D53E2"/>
    <w:rsid w:val="004D5C66"/>
    <w:rsid w:val="004E0FD3"/>
    <w:rsid w:val="004E2211"/>
    <w:rsid w:val="004E7C33"/>
    <w:rsid w:val="004F08A8"/>
    <w:rsid w:val="004F0D00"/>
    <w:rsid w:val="004F2D40"/>
    <w:rsid w:val="004F4492"/>
    <w:rsid w:val="004F4528"/>
    <w:rsid w:val="004F4795"/>
    <w:rsid w:val="004F7A6B"/>
    <w:rsid w:val="0050134D"/>
    <w:rsid w:val="00501C38"/>
    <w:rsid w:val="005029CF"/>
    <w:rsid w:val="00503208"/>
    <w:rsid w:val="00503776"/>
    <w:rsid w:val="0050480F"/>
    <w:rsid w:val="00504BE3"/>
    <w:rsid w:val="00505391"/>
    <w:rsid w:val="00505397"/>
    <w:rsid w:val="0050782E"/>
    <w:rsid w:val="00510BD9"/>
    <w:rsid w:val="00510C7D"/>
    <w:rsid w:val="0051351F"/>
    <w:rsid w:val="00513CE4"/>
    <w:rsid w:val="00514C00"/>
    <w:rsid w:val="005151AD"/>
    <w:rsid w:val="0051536A"/>
    <w:rsid w:val="00515CBA"/>
    <w:rsid w:val="0051707B"/>
    <w:rsid w:val="0051757E"/>
    <w:rsid w:val="00517610"/>
    <w:rsid w:val="005178DA"/>
    <w:rsid w:val="0052058F"/>
    <w:rsid w:val="00521B09"/>
    <w:rsid w:val="0052387F"/>
    <w:rsid w:val="0052439A"/>
    <w:rsid w:val="005300B1"/>
    <w:rsid w:val="00530345"/>
    <w:rsid w:val="0053071D"/>
    <w:rsid w:val="005307F7"/>
    <w:rsid w:val="00531A0E"/>
    <w:rsid w:val="00533B97"/>
    <w:rsid w:val="005352DE"/>
    <w:rsid w:val="005356D4"/>
    <w:rsid w:val="00536026"/>
    <w:rsid w:val="005373F1"/>
    <w:rsid w:val="00537C30"/>
    <w:rsid w:val="00541D7E"/>
    <w:rsid w:val="005422C6"/>
    <w:rsid w:val="0054274C"/>
    <w:rsid w:val="00542C2B"/>
    <w:rsid w:val="00546691"/>
    <w:rsid w:val="005466B4"/>
    <w:rsid w:val="00546E61"/>
    <w:rsid w:val="00547F7D"/>
    <w:rsid w:val="005501A9"/>
    <w:rsid w:val="00550736"/>
    <w:rsid w:val="00551A8C"/>
    <w:rsid w:val="00551CBB"/>
    <w:rsid w:val="00552EF5"/>
    <w:rsid w:val="00553570"/>
    <w:rsid w:val="00554EA3"/>
    <w:rsid w:val="00556ADE"/>
    <w:rsid w:val="00557053"/>
    <w:rsid w:val="005603E8"/>
    <w:rsid w:val="00560D7A"/>
    <w:rsid w:val="00565267"/>
    <w:rsid w:val="0056599B"/>
    <w:rsid w:val="00565EC4"/>
    <w:rsid w:val="0056681C"/>
    <w:rsid w:val="00567242"/>
    <w:rsid w:val="00567696"/>
    <w:rsid w:val="00567950"/>
    <w:rsid w:val="00570235"/>
    <w:rsid w:val="005714E6"/>
    <w:rsid w:val="00571834"/>
    <w:rsid w:val="005718BB"/>
    <w:rsid w:val="00571EA1"/>
    <w:rsid w:val="005723E5"/>
    <w:rsid w:val="00572B0E"/>
    <w:rsid w:val="0057567E"/>
    <w:rsid w:val="0057617E"/>
    <w:rsid w:val="00580928"/>
    <w:rsid w:val="00580B7E"/>
    <w:rsid w:val="00580EB2"/>
    <w:rsid w:val="0058200F"/>
    <w:rsid w:val="00582383"/>
    <w:rsid w:val="0058399B"/>
    <w:rsid w:val="00583A92"/>
    <w:rsid w:val="00585A2F"/>
    <w:rsid w:val="0059173F"/>
    <w:rsid w:val="00591DD9"/>
    <w:rsid w:val="005947D9"/>
    <w:rsid w:val="0059787B"/>
    <w:rsid w:val="005A1DDD"/>
    <w:rsid w:val="005A3F58"/>
    <w:rsid w:val="005B1BFB"/>
    <w:rsid w:val="005B23D4"/>
    <w:rsid w:val="005B35BE"/>
    <w:rsid w:val="005B5795"/>
    <w:rsid w:val="005B7A28"/>
    <w:rsid w:val="005B7CD3"/>
    <w:rsid w:val="005C07F6"/>
    <w:rsid w:val="005C16F3"/>
    <w:rsid w:val="005C4FB0"/>
    <w:rsid w:val="005C57B9"/>
    <w:rsid w:val="005C713B"/>
    <w:rsid w:val="005D0179"/>
    <w:rsid w:val="005D0BF9"/>
    <w:rsid w:val="005D0DD1"/>
    <w:rsid w:val="005D0E1C"/>
    <w:rsid w:val="005D1A40"/>
    <w:rsid w:val="005D24EB"/>
    <w:rsid w:val="005D5393"/>
    <w:rsid w:val="005D58D5"/>
    <w:rsid w:val="005E0610"/>
    <w:rsid w:val="005E1ABA"/>
    <w:rsid w:val="005E316D"/>
    <w:rsid w:val="005E4494"/>
    <w:rsid w:val="005E4D34"/>
    <w:rsid w:val="005E51C2"/>
    <w:rsid w:val="005E5EA6"/>
    <w:rsid w:val="005F0037"/>
    <w:rsid w:val="005F0C8D"/>
    <w:rsid w:val="005F0DE2"/>
    <w:rsid w:val="005F2544"/>
    <w:rsid w:val="005F3224"/>
    <w:rsid w:val="005F38D9"/>
    <w:rsid w:val="005F3CEF"/>
    <w:rsid w:val="005F4C38"/>
    <w:rsid w:val="005F6B77"/>
    <w:rsid w:val="00600C52"/>
    <w:rsid w:val="006048CC"/>
    <w:rsid w:val="00604D60"/>
    <w:rsid w:val="00605CC2"/>
    <w:rsid w:val="00607524"/>
    <w:rsid w:val="00610F11"/>
    <w:rsid w:val="0061141C"/>
    <w:rsid w:val="0061261C"/>
    <w:rsid w:val="0061429F"/>
    <w:rsid w:val="006144ED"/>
    <w:rsid w:val="006163FA"/>
    <w:rsid w:val="006220BB"/>
    <w:rsid w:val="00622162"/>
    <w:rsid w:val="00622E7B"/>
    <w:rsid w:val="00623931"/>
    <w:rsid w:val="00623C67"/>
    <w:rsid w:val="006331FD"/>
    <w:rsid w:val="00633F82"/>
    <w:rsid w:val="00635531"/>
    <w:rsid w:val="00635E01"/>
    <w:rsid w:val="006416F2"/>
    <w:rsid w:val="006419B9"/>
    <w:rsid w:val="006422AD"/>
    <w:rsid w:val="00644691"/>
    <w:rsid w:val="00644F67"/>
    <w:rsid w:val="00650F4B"/>
    <w:rsid w:val="0065108A"/>
    <w:rsid w:val="006557D1"/>
    <w:rsid w:val="00656547"/>
    <w:rsid w:val="00657894"/>
    <w:rsid w:val="00657CF9"/>
    <w:rsid w:val="00660BB4"/>
    <w:rsid w:val="00661E6E"/>
    <w:rsid w:val="006630C0"/>
    <w:rsid w:val="00663BFA"/>
    <w:rsid w:val="00664CB1"/>
    <w:rsid w:val="00664FA6"/>
    <w:rsid w:val="00667357"/>
    <w:rsid w:val="006705AE"/>
    <w:rsid w:val="006712DB"/>
    <w:rsid w:val="00674F82"/>
    <w:rsid w:val="0067579D"/>
    <w:rsid w:val="0067593A"/>
    <w:rsid w:val="00675C74"/>
    <w:rsid w:val="00676A49"/>
    <w:rsid w:val="00677547"/>
    <w:rsid w:val="00680E87"/>
    <w:rsid w:val="0068385E"/>
    <w:rsid w:val="0068418A"/>
    <w:rsid w:val="0069168B"/>
    <w:rsid w:val="0069173C"/>
    <w:rsid w:val="00695945"/>
    <w:rsid w:val="0069596D"/>
    <w:rsid w:val="006973EB"/>
    <w:rsid w:val="006A106B"/>
    <w:rsid w:val="006A1FD0"/>
    <w:rsid w:val="006A26E6"/>
    <w:rsid w:val="006A3F8F"/>
    <w:rsid w:val="006A774E"/>
    <w:rsid w:val="006A795C"/>
    <w:rsid w:val="006A7CBC"/>
    <w:rsid w:val="006B12B3"/>
    <w:rsid w:val="006B1B0B"/>
    <w:rsid w:val="006B1BB0"/>
    <w:rsid w:val="006B2249"/>
    <w:rsid w:val="006B2980"/>
    <w:rsid w:val="006B2E98"/>
    <w:rsid w:val="006B2EED"/>
    <w:rsid w:val="006B32B5"/>
    <w:rsid w:val="006B3325"/>
    <w:rsid w:val="006B38DF"/>
    <w:rsid w:val="006B3BC4"/>
    <w:rsid w:val="006B4A22"/>
    <w:rsid w:val="006B4FA8"/>
    <w:rsid w:val="006B557F"/>
    <w:rsid w:val="006B6F5D"/>
    <w:rsid w:val="006C0397"/>
    <w:rsid w:val="006C0C74"/>
    <w:rsid w:val="006C1AD5"/>
    <w:rsid w:val="006C1E1B"/>
    <w:rsid w:val="006C439A"/>
    <w:rsid w:val="006C43D2"/>
    <w:rsid w:val="006C4A67"/>
    <w:rsid w:val="006C5B6D"/>
    <w:rsid w:val="006C6E5C"/>
    <w:rsid w:val="006D0D7B"/>
    <w:rsid w:val="006D0F41"/>
    <w:rsid w:val="006D1EA3"/>
    <w:rsid w:val="006D2415"/>
    <w:rsid w:val="006D2917"/>
    <w:rsid w:val="006D351B"/>
    <w:rsid w:val="006D3E43"/>
    <w:rsid w:val="006D3E94"/>
    <w:rsid w:val="006D5793"/>
    <w:rsid w:val="006D5C96"/>
    <w:rsid w:val="006D67F4"/>
    <w:rsid w:val="006D6E07"/>
    <w:rsid w:val="006E00B6"/>
    <w:rsid w:val="006E2110"/>
    <w:rsid w:val="006E4BC8"/>
    <w:rsid w:val="006E4D4D"/>
    <w:rsid w:val="006E5FC6"/>
    <w:rsid w:val="006E61ED"/>
    <w:rsid w:val="006E69CF"/>
    <w:rsid w:val="006F007D"/>
    <w:rsid w:val="006F209D"/>
    <w:rsid w:val="006F24CC"/>
    <w:rsid w:val="006F40E2"/>
    <w:rsid w:val="006F4994"/>
    <w:rsid w:val="006F6482"/>
    <w:rsid w:val="006F64F4"/>
    <w:rsid w:val="006F6D11"/>
    <w:rsid w:val="006F76BC"/>
    <w:rsid w:val="006F790F"/>
    <w:rsid w:val="007016E4"/>
    <w:rsid w:val="00702DD3"/>
    <w:rsid w:val="00704A69"/>
    <w:rsid w:val="00704DEF"/>
    <w:rsid w:val="0070627A"/>
    <w:rsid w:val="007063A0"/>
    <w:rsid w:val="00706E0F"/>
    <w:rsid w:val="00707A1A"/>
    <w:rsid w:val="00710743"/>
    <w:rsid w:val="00713075"/>
    <w:rsid w:val="00716E76"/>
    <w:rsid w:val="00717E32"/>
    <w:rsid w:val="0072171C"/>
    <w:rsid w:val="00722338"/>
    <w:rsid w:val="00723B97"/>
    <w:rsid w:val="007249F0"/>
    <w:rsid w:val="00726309"/>
    <w:rsid w:val="00726340"/>
    <w:rsid w:val="007272D9"/>
    <w:rsid w:val="007272F8"/>
    <w:rsid w:val="00730392"/>
    <w:rsid w:val="007304B2"/>
    <w:rsid w:val="00730C39"/>
    <w:rsid w:val="00731EFE"/>
    <w:rsid w:val="0073288F"/>
    <w:rsid w:val="0073366E"/>
    <w:rsid w:val="00735070"/>
    <w:rsid w:val="0073576A"/>
    <w:rsid w:val="0073616F"/>
    <w:rsid w:val="007364BA"/>
    <w:rsid w:val="00736A6D"/>
    <w:rsid w:val="0074033C"/>
    <w:rsid w:val="007408A2"/>
    <w:rsid w:val="007415C5"/>
    <w:rsid w:val="007420F5"/>
    <w:rsid w:val="00742306"/>
    <w:rsid w:val="00743280"/>
    <w:rsid w:val="00743327"/>
    <w:rsid w:val="007445E7"/>
    <w:rsid w:val="0074469A"/>
    <w:rsid w:val="00744B91"/>
    <w:rsid w:val="007452E0"/>
    <w:rsid w:val="00745D65"/>
    <w:rsid w:val="007469A2"/>
    <w:rsid w:val="00747075"/>
    <w:rsid w:val="0074750B"/>
    <w:rsid w:val="007477AD"/>
    <w:rsid w:val="00747831"/>
    <w:rsid w:val="007478DE"/>
    <w:rsid w:val="00747B91"/>
    <w:rsid w:val="00751E70"/>
    <w:rsid w:val="007526F4"/>
    <w:rsid w:val="00754360"/>
    <w:rsid w:val="00754393"/>
    <w:rsid w:val="00755D31"/>
    <w:rsid w:val="007611BE"/>
    <w:rsid w:val="00761332"/>
    <w:rsid w:val="007616C3"/>
    <w:rsid w:val="00761822"/>
    <w:rsid w:val="007621A2"/>
    <w:rsid w:val="00762F61"/>
    <w:rsid w:val="00764DF5"/>
    <w:rsid w:val="00765384"/>
    <w:rsid w:val="0076659D"/>
    <w:rsid w:val="00766613"/>
    <w:rsid w:val="00767084"/>
    <w:rsid w:val="007670F6"/>
    <w:rsid w:val="00770BA3"/>
    <w:rsid w:val="0077178E"/>
    <w:rsid w:val="00772426"/>
    <w:rsid w:val="00773529"/>
    <w:rsid w:val="007753A4"/>
    <w:rsid w:val="007765A5"/>
    <w:rsid w:val="0077767F"/>
    <w:rsid w:val="00777A4A"/>
    <w:rsid w:val="00781070"/>
    <w:rsid w:val="007822BA"/>
    <w:rsid w:val="00782798"/>
    <w:rsid w:val="00782D65"/>
    <w:rsid w:val="00783182"/>
    <w:rsid w:val="0078404F"/>
    <w:rsid w:val="00785D1C"/>
    <w:rsid w:val="00787FF5"/>
    <w:rsid w:val="007915C6"/>
    <w:rsid w:val="00791BB7"/>
    <w:rsid w:val="00791BD0"/>
    <w:rsid w:val="00792D81"/>
    <w:rsid w:val="007932C8"/>
    <w:rsid w:val="00794103"/>
    <w:rsid w:val="007952C9"/>
    <w:rsid w:val="00795A4B"/>
    <w:rsid w:val="007A2090"/>
    <w:rsid w:val="007A3562"/>
    <w:rsid w:val="007A3690"/>
    <w:rsid w:val="007A3AC3"/>
    <w:rsid w:val="007A47B1"/>
    <w:rsid w:val="007A569A"/>
    <w:rsid w:val="007B1401"/>
    <w:rsid w:val="007B3A6F"/>
    <w:rsid w:val="007B442F"/>
    <w:rsid w:val="007B46EE"/>
    <w:rsid w:val="007B585C"/>
    <w:rsid w:val="007B6AE4"/>
    <w:rsid w:val="007B7192"/>
    <w:rsid w:val="007B7AC1"/>
    <w:rsid w:val="007C1E50"/>
    <w:rsid w:val="007C22CC"/>
    <w:rsid w:val="007C330A"/>
    <w:rsid w:val="007C4B76"/>
    <w:rsid w:val="007C55F8"/>
    <w:rsid w:val="007C6E91"/>
    <w:rsid w:val="007C7E76"/>
    <w:rsid w:val="007D5847"/>
    <w:rsid w:val="007D6489"/>
    <w:rsid w:val="007E1447"/>
    <w:rsid w:val="007E1D89"/>
    <w:rsid w:val="007E2E23"/>
    <w:rsid w:val="007E434B"/>
    <w:rsid w:val="007E4C4E"/>
    <w:rsid w:val="007E6D58"/>
    <w:rsid w:val="007F0083"/>
    <w:rsid w:val="007F123B"/>
    <w:rsid w:val="007F1752"/>
    <w:rsid w:val="007F3A3B"/>
    <w:rsid w:val="007F53BA"/>
    <w:rsid w:val="007F77B9"/>
    <w:rsid w:val="007F7EF3"/>
    <w:rsid w:val="008001BE"/>
    <w:rsid w:val="00804E32"/>
    <w:rsid w:val="00804E5A"/>
    <w:rsid w:val="008051E3"/>
    <w:rsid w:val="00805B1D"/>
    <w:rsid w:val="0081072F"/>
    <w:rsid w:val="00810864"/>
    <w:rsid w:val="0081238E"/>
    <w:rsid w:val="0081283B"/>
    <w:rsid w:val="00812A1F"/>
    <w:rsid w:val="00812A45"/>
    <w:rsid w:val="00812B5B"/>
    <w:rsid w:val="008141CB"/>
    <w:rsid w:val="008148D4"/>
    <w:rsid w:val="00814F54"/>
    <w:rsid w:val="00815028"/>
    <w:rsid w:val="008162AD"/>
    <w:rsid w:val="008177F6"/>
    <w:rsid w:val="00820262"/>
    <w:rsid w:val="008213D2"/>
    <w:rsid w:val="0082524D"/>
    <w:rsid w:val="008264B3"/>
    <w:rsid w:val="00830E0C"/>
    <w:rsid w:val="00831123"/>
    <w:rsid w:val="00831D3C"/>
    <w:rsid w:val="00831DB0"/>
    <w:rsid w:val="00831E24"/>
    <w:rsid w:val="008322BB"/>
    <w:rsid w:val="008331D0"/>
    <w:rsid w:val="00834CAE"/>
    <w:rsid w:val="008356F6"/>
    <w:rsid w:val="00836E5D"/>
    <w:rsid w:val="008370CE"/>
    <w:rsid w:val="00841D83"/>
    <w:rsid w:val="00841F52"/>
    <w:rsid w:val="00843662"/>
    <w:rsid w:val="00844F9C"/>
    <w:rsid w:val="00845853"/>
    <w:rsid w:val="00846C99"/>
    <w:rsid w:val="008471EA"/>
    <w:rsid w:val="008503DB"/>
    <w:rsid w:val="00850CCA"/>
    <w:rsid w:val="0085573A"/>
    <w:rsid w:val="00856D4E"/>
    <w:rsid w:val="0085750A"/>
    <w:rsid w:val="0086017F"/>
    <w:rsid w:val="008602F8"/>
    <w:rsid w:val="008605E7"/>
    <w:rsid w:val="008628A8"/>
    <w:rsid w:val="008639DC"/>
    <w:rsid w:val="00864002"/>
    <w:rsid w:val="008668D5"/>
    <w:rsid w:val="00866CF1"/>
    <w:rsid w:val="00867A91"/>
    <w:rsid w:val="008700D9"/>
    <w:rsid w:val="0087161F"/>
    <w:rsid w:val="00871C14"/>
    <w:rsid w:val="0087483F"/>
    <w:rsid w:val="0087703C"/>
    <w:rsid w:val="0087727F"/>
    <w:rsid w:val="00877E49"/>
    <w:rsid w:val="00881C3A"/>
    <w:rsid w:val="00884C07"/>
    <w:rsid w:val="008850DC"/>
    <w:rsid w:val="008854EA"/>
    <w:rsid w:val="008872D1"/>
    <w:rsid w:val="00887834"/>
    <w:rsid w:val="008920D9"/>
    <w:rsid w:val="00892368"/>
    <w:rsid w:val="00896F26"/>
    <w:rsid w:val="00897563"/>
    <w:rsid w:val="008A0AED"/>
    <w:rsid w:val="008A26EA"/>
    <w:rsid w:val="008A3B56"/>
    <w:rsid w:val="008A5300"/>
    <w:rsid w:val="008A597D"/>
    <w:rsid w:val="008A5A8A"/>
    <w:rsid w:val="008A6E17"/>
    <w:rsid w:val="008A7060"/>
    <w:rsid w:val="008A770A"/>
    <w:rsid w:val="008A7E3F"/>
    <w:rsid w:val="008B121F"/>
    <w:rsid w:val="008B40C6"/>
    <w:rsid w:val="008B4E2F"/>
    <w:rsid w:val="008B515A"/>
    <w:rsid w:val="008B60DE"/>
    <w:rsid w:val="008B6D1D"/>
    <w:rsid w:val="008B7193"/>
    <w:rsid w:val="008B747A"/>
    <w:rsid w:val="008C24C4"/>
    <w:rsid w:val="008C389D"/>
    <w:rsid w:val="008D07CD"/>
    <w:rsid w:val="008D1748"/>
    <w:rsid w:val="008D2CA3"/>
    <w:rsid w:val="008D40A1"/>
    <w:rsid w:val="008D4B43"/>
    <w:rsid w:val="008D6FD8"/>
    <w:rsid w:val="008D71D4"/>
    <w:rsid w:val="008E1CC2"/>
    <w:rsid w:val="008E23D6"/>
    <w:rsid w:val="008E28EE"/>
    <w:rsid w:val="008E37AF"/>
    <w:rsid w:val="008E3DAF"/>
    <w:rsid w:val="008E3E03"/>
    <w:rsid w:val="008E3E7F"/>
    <w:rsid w:val="008F0CFD"/>
    <w:rsid w:val="008F219A"/>
    <w:rsid w:val="008F3AB9"/>
    <w:rsid w:val="008F49B4"/>
    <w:rsid w:val="008F5065"/>
    <w:rsid w:val="008F5E96"/>
    <w:rsid w:val="009011B2"/>
    <w:rsid w:val="009012BD"/>
    <w:rsid w:val="009019EF"/>
    <w:rsid w:val="0090290F"/>
    <w:rsid w:val="00902B61"/>
    <w:rsid w:val="00904AFF"/>
    <w:rsid w:val="00905DA1"/>
    <w:rsid w:val="00906054"/>
    <w:rsid w:val="009064FA"/>
    <w:rsid w:val="00906683"/>
    <w:rsid w:val="00912665"/>
    <w:rsid w:val="00912DD7"/>
    <w:rsid w:val="00912E55"/>
    <w:rsid w:val="00914F4C"/>
    <w:rsid w:val="00917B65"/>
    <w:rsid w:val="009213A1"/>
    <w:rsid w:val="009219DA"/>
    <w:rsid w:val="0092254B"/>
    <w:rsid w:val="00923BDC"/>
    <w:rsid w:val="009249CD"/>
    <w:rsid w:val="009255C9"/>
    <w:rsid w:val="009261B1"/>
    <w:rsid w:val="00927294"/>
    <w:rsid w:val="00930E85"/>
    <w:rsid w:val="00932C25"/>
    <w:rsid w:val="009333C6"/>
    <w:rsid w:val="009334C3"/>
    <w:rsid w:val="009349A4"/>
    <w:rsid w:val="009353A0"/>
    <w:rsid w:val="009354DB"/>
    <w:rsid w:val="00940AA7"/>
    <w:rsid w:val="00941B27"/>
    <w:rsid w:val="009431AD"/>
    <w:rsid w:val="00945AFA"/>
    <w:rsid w:val="009460ED"/>
    <w:rsid w:val="00947935"/>
    <w:rsid w:val="00947E4B"/>
    <w:rsid w:val="0095137C"/>
    <w:rsid w:val="0095225D"/>
    <w:rsid w:val="00953049"/>
    <w:rsid w:val="0095363C"/>
    <w:rsid w:val="00954156"/>
    <w:rsid w:val="009556C1"/>
    <w:rsid w:val="00955CB7"/>
    <w:rsid w:val="00955DCB"/>
    <w:rsid w:val="00956250"/>
    <w:rsid w:val="00956DE2"/>
    <w:rsid w:val="00957A7D"/>
    <w:rsid w:val="00960E45"/>
    <w:rsid w:val="009622EE"/>
    <w:rsid w:val="00962D4C"/>
    <w:rsid w:val="0096363F"/>
    <w:rsid w:val="00963A27"/>
    <w:rsid w:val="00964265"/>
    <w:rsid w:val="009649A6"/>
    <w:rsid w:val="0096587B"/>
    <w:rsid w:val="00966EED"/>
    <w:rsid w:val="00967660"/>
    <w:rsid w:val="00967A35"/>
    <w:rsid w:val="00970158"/>
    <w:rsid w:val="00973604"/>
    <w:rsid w:val="00974E65"/>
    <w:rsid w:val="009755BF"/>
    <w:rsid w:val="009766C9"/>
    <w:rsid w:val="0097708C"/>
    <w:rsid w:val="00977393"/>
    <w:rsid w:val="00977F01"/>
    <w:rsid w:val="00977F74"/>
    <w:rsid w:val="009800C8"/>
    <w:rsid w:val="00980134"/>
    <w:rsid w:val="009835E6"/>
    <w:rsid w:val="009837F4"/>
    <w:rsid w:val="0098381A"/>
    <w:rsid w:val="009841F0"/>
    <w:rsid w:val="00984F75"/>
    <w:rsid w:val="0098570A"/>
    <w:rsid w:val="0098696B"/>
    <w:rsid w:val="00987EDA"/>
    <w:rsid w:val="00991ADF"/>
    <w:rsid w:val="00992011"/>
    <w:rsid w:val="00997F5D"/>
    <w:rsid w:val="009A0889"/>
    <w:rsid w:val="009A220B"/>
    <w:rsid w:val="009A52BE"/>
    <w:rsid w:val="009A5CE0"/>
    <w:rsid w:val="009A601D"/>
    <w:rsid w:val="009A6C42"/>
    <w:rsid w:val="009B00CF"/>
    <w:rsid w:val="009B27D9"/>
    <w:rsid w:val="009B3257"/>
    <w:rsid w:val="009B341B"/>
    <w:rsid w:val="009B3A04"/>
    <w:rsid w:val="009B49F5"/>
    <w:rsid w:val="009B5455"/>
    <w:rsid w:val="009B5F10"/>
    <w:rsid w:val="009B6719"/>
    <w:rsid w:val="009C12CF"/>
    <w:rsid w:val="009C2161"/>
    <w:rsid w:val="009C24D3"/>
    <w:rsid w:val="009C471E"/>
    <w:rsid w:val="009C5FB2"/>
    <w:rsid w:val="009C67BD"/>
    <w:rsid w:val="009C6BDA"/>
    <w:rsid w:val="009C72D1"/>
    <w:rsid w:val="009C7C8B"/>
    <w:rsid w:val="009D12AF"/>
    <w:rsid w:val="009D2DE2"/>
    <w:rsid w:val="009D31C9"/>
    <w:rsid w:val="009D41ED"/>
    <w:rsid w:val="009D46C4"/>
    <w:rsid w:val="009D6A9E"/>
    <w:rsid w:val="009D73EB"/>
    <w:rsid w:val="009E0E2B"/>
    <w:rsid w:val="009E295C"/>
    <w:rsid w:val="009E3011"/>
    <w:rsid w:val="009E3FAA"/>
    <w:rsid w:val="009E4B28"/>
    <w:rsid w:val="009E6BE7"/>
    <w:rsid w:val="009E7AB0"/>
    <w:rsid w:val="009F1430"/>
    <w:rsid w:val="009F3891"/>
    <w:rsid w:val="009F66A1"/>
    <w:rsid w:val="00A0011D"/>
    <w:rsid w:val="00A0023E"/>
    <w:rsid w:val="00A01562"/>
    <w:rsid w:val="00A02053"/>
    <w:rsid w:val="00A03F09"/>
    <w:rsid w:val="00A0670F"/>
    <w:rsid w:val="00A0746A"/>
    <w:rsid w:val="00A11684"/>
    <w:rsid w:val="00A13525"/>
    <w:rsid w:val="00A146D5"/>
    <w:rsid w:val="00A151DF"/>
    <w:rsid w:val="00A1527E"/>
    <w:rsid w:val="00A15484"/>
    <w:rsid w:val="00A214A3"/>
    <w:rsid w:val="00A22252"/>
    <w:rsid w:val="00A235A9"/>
    <w:rsid w:val="00A23E66"/>
    <w:rsid w:val="00A26F0A"/>
    <w:rsid w:val="00A3174F"/>
    <w:rsid w:val="00A318BA"/>
    <w:rsid w:val="00A32721"/>
    <w:rsid w:val="00A32866"/>
    <w:rsid w:val="00A334B4"/>
    <w:rsid w:val="00A348CD"/>
    <w:rsid w:val="00A34D8F"/>
    <w:rsid w:val="00A374F0"/>
    <w:rsid w:val="00A37641"/>
    <w:rsid w:val="00A4307A"/>
    <w:rsid w:val="00A433BB"/>
    <w:rsid w:val="00A435E3"/>
    <w:rsid w:val="00A43BEF"/>
    <w:rsid w:val="00A45A86"/>
    <w:rsid w:val="00A45AD5"/>
    <w:rsid w:val="00A4713A"/>
    <w:rsid w:val="00A478CD"/>
    <w:rsid w:val="00A50568"/>
    <w:rsid w:val="00A509E2"/>
    <w:rsid w:val="00A524D8"/>
    <w:rsid w:val="00A52C43"/>
    <w:rsid w:val="00A52CA3"/>
    <w:rsid w:val="00A53A61"/>
    <w:rsid w:val="00A53FE3"/>
    <w:rsid w:val="00A544B2"/>
    <w:rsid w:val="00A54B28"/>
    <w:rsid w:val="00A54CEA"/>
    <w:rsid w:val="00A54D32"/>
    <w:rsid w:val="00A556E1"/>
    <w:rsid w:val="00A5590E"/>
    <w:rsid w:val="00A55B33"/>
    <w:rsid w:val="00A56DD0"/>
    <w:rsid w:val="00A60F02"/>
    <w:rsid w:val="00A61BA4"/>
    <w:rsid w:val="00A61CCE"/>
    <w:rsid w:val="00A6258B"/>
    <w:rsid w:val="00A628EA"/>
    <w:rsid w:val="00A63FC0"/>
    <w:rsid w:val="00A6496D"/>
    <w:rsid w:val="00A6633B"/>
    <w:rsid w:val="00A67BC4"/>
    <w:rsid w:val="00A71516"/>
    <w:rsid w:val="00A7284B"/>
    <w:rsid w:val="00A728A6"/>
    <w:rsid w:val="00A72C64"/>
    <w:rsid w:val="00A72EE9"/>
    <w:rsid w:val="00A73C78"/>
    <w:rsid w:val="00A74766"/>
    <w:rsid w:val="00A80B01"/>
    <w:rsid w:val="00A81679"/>
    <w:rsid w:val="00A816C2"/>
    <w:rsid w:val="00A82309"/>
    <w:rsid w:val="00A8233D"/>
    <w:rsid w:val="00A840EE"/>
    <w:rsid w:val="00A85AC9"/>
    <w:rsid w:val="00A87B29"/>
    <w:rsid w:val="00A90206"/>
    <w:rsid w:val="00A90510"/>
    <w:rsid w:val="00A9056F"/>
    <w:rsid w:val="00A9088C"/>
    <w:rsid w:val="00A90A94"/>
    <w:rsid w:val="00A917CB"/>
    <w:rsid w:val="00A917EF"/>
    <w:rsid w:val="00A9181B"/>
    <w:rsid w:val="00A921FD"/>
    <w:rsid w:val="00A92601"/>
    <w:rsid w:val="00A93B87"/>
    <w:rsid w:val="00A9534F"/>
    <w:rsid w:val="00A959E9"/>
    <w:rsid w:val="00A973B8"/>
    <w:rsid w:val="00AA079C"/>
    <w:rsid w:val="00AA1D9C"/>
    <w:rsid w:val="00AA32C7"/>
    <w:rsid w:val="00AA3DC8"/>
    <w:rsid w:val="00AA447B"/>
    <w:rsid w:val="00AA49FB"/>
    <w:rsid w:val="00AA509E"/>
    <w:rsid w:val="00AA5C5E"/>
    <w:rsid w:val="00AA5D53"/>
    <w:rsid w:val="00AA6339"/>
    <w:rsid w:val="00AA671D"/>
    <w:rsid w:val="00AA72D7"/>
    <w:rsid w:val="00AB05E2"/>
    <w:rsid w:val="00AB072A"/>
    <w:rsid w:val="00AB27D2"/>
    <w:rsid w:val="00AB2AAA"/>
    <w:rsid w:val="00AB2F32"/>
    <w:rsid w:val="00AB40AE"/>
    <w:rsid w:val="00AB49B7"/>
    <w:rsid w:val="00AB55F8"/>
    <w:rsid w:val="00AB5620"/>
    <w:rsid w:val="00AB5E99"/>
    <w:rsid w:val="00AC1CC1"/>
    <w:rsid w:val="00AC2881"/>
    <w:rsid w:val="00AC3596"/>
    <w:rsid w:val="00AC4224"/>
    <w:rsid w:val="00AC551D"/>
    <w:rsid w:val="00AC56DB"/>
    <w:rsid w:val="00AC74BE"/>
    <w:rsid w:val="00AD0FB3"/>
    <w:rsid w:val="00AD17A5"/>
    <w:rsid w:val="00AD22B0"/>
    <w:rsid w:val="00AD36BD"/>
    <w:rsid w:val="00AD4676"/>
    <w:rsid w:val="00AD49EC"/>
    <w:rsid w:val="00AD7488"/>
    <w:rsid w:val="00AD7D74"/>
    <w:rsid w:val="00AE0151"/>
    <w:rsid w:val="00AE1DD7"/>
    <w:rsid w:val="00AE4FD1"/>
    <w:rsid w:val="00AE506A"/>
    <w:rsid w:val="00AE695F"/>
    <w:rsid w:val="00AE745C"/>
    <w:rsid w:val="00AE78AD"/>
    <w:rsid w:val="00AE7CB5"/>
    <w:rsid w:val="00AF0288"/>
    <w:rsid w:val="00AF04FF"/>
    <w:rsid w:val="00AF09DB"/>
    <w:rsid w:val="00AF0D4B"/>
    <w:rsid w:val="00AF2773"/>
    <w:rsid w:val="00AF3141"/>
    <w:rsid w:val="00AF3A5F"/>
    <w:rsid w:val="00AF3C0C"/>
    <w:rsid w:val="00AF446A"/>
    <w:rsid w:val="00AF4E6B"/>
    <w:rsid w:val="00AF50D4"/>
    <w:rsid w:val="00AF6DBF"/>
    <w:rsid w:val="00AF74C6"/>
    <w:rsid w:val="00B0229B"/>
    <w:rsid w:val="00B0515F"/>
    <w:rsid w:val="00B061C0"/>
    <w:rsid w:val="00B07D2B"/>
    <w:rsid w:val="00B07D9F"/>
    <w:rsid w:val="00B11568"/>
    <w:rsid w:val="00B117E0"/>
    <w:rsid w:val="00B11C8F"/>
    <w:rsid w:val="00B14F4E"/>
    <w:rsid w:val="00B152D5"/>
    <w:rsid w:val="00B16A10"/>
    <w:rsid w:val="00B17A10"/>
    <w:rsid w:val="00B17BAA"/>
    <w:rsid w:val="00B17CC4"/>
    <w:rsid w:val="00B17FA3"/>
    <w:rsid w:val="00B2017A"/>
    <w:rsid w:val="00B20AE9"/>
    <w:rsid w:val="00B216DA"/>
    <w:rsid w:val="00B2207C"/>
    <w:rsid w:val="00B220FC"/>
    <w:rsid w:val="00B238FF"/>
    <w:rsid w:val="00B2580A"/>
    <w:rsid w:val="00B258FF"/>
    <w:rsid w:val="00B25DDC"/>
    <w:rsid w:val="00B277B5"/>
    <w:rsid w:val="00B27BE9"/>
    <w:rsid w:val="00B30CEC"/>
    <w:rsid w:val="00B3131B"/>
    <w:rsid w:val="00B31DA2"/>
    <w:rsid w:val="00B32BFC"/>
    <w:rsid w:val="00B32FB0"/>
    <w:rsid w:val="00B33C87"/>
    <w:rsid w:val="00B33CEA"/>
    <w:rsid w:val="00B33DD3"/>
    <w:rsid w:val="00B35632"/>
    <w:rsid w:val="00B40131"/>
    <w:rsid w:val="00B40ED8"/>
    <w:rsid w:val="00B41D37"/>
    <w:rsid w:val="00B41E6B"/>
    <w:rsid w:val="00B41E6F"/>
    <w:rsid w:val="00B42405"/>
    <w:rsid w:val="00B427D0"/>
    <w:rsid w:val="00B42AB0"/>
    <w:rsid w:val="00B42CD0"/>
    <w:rsid w:val="00B43F4B"/>
    <w:rsid w:val="00B4407A"/>
    <w:rsid w:val="00B46383"/>
    <w:rsid w:val="00B4667D"/>
    <w:rsid w:val="00B47D92"/>
    <w:rsid w:val="00B50A98"/>
    <w:rsid w:val="00B525AD"/>
    <w:rsid w:val="00B54B5F"/>
    <w:rsid w:val="00B54B92"/>
    <w:rsid w:val="00B60DC7"/>
    <w:rsid w:val="00B62256"/>
    <w:rsid w:val="00B635C4"/>
    <w:rsid w:val="00B641A8"/>
    <w:rsid w:val="00B65828"/>
    <w:rsid w:val="00B71396"/>
    <w:rsid w:val="00B7448C"/>
    <w:rsid w:val="00B74B1D"/>
    <w:rsid w:val="00B767BC"/>
    <w:rsid w:val="00B76A02"/>
    <w:rsid w:val="00B774BB"/>
    <w:rsid w:val="00B77EB5"/>
    <w:rsid w:val="00B77F8D"/>
    <w:rsid w:val="00B81DD9"/>
    <w:rsid w:val="00B85D7D"/>
    <w:rsid w:val="00B8768A"/>
    <w:rsid w:val="00B876A1"/>
    <w:rsid w:val="00B876F4"/>
    <w:rsid w:val="00B900F2"/>
    <w:rsid w:val="00B9112A"/>
    <w:rsid w:val="00B91413"/>
    <w:rsid w:val="00B925D5"/>
    <w:rsid w:val="00B932DE"/>
    <w:rsid w:val="00B95458"/>
    <w:rsid w:val="00B9584E"/>
    <w:rsid w:val="00B95899"/>
    <w:rsid w:val="00B96410"/>
    <w:rsid w:val="00B970B2"/>
    <w:rsid w:val="00BA1835"/>
    <w:rsid w:val="00BA1F0A"/>
    <w:rsid w:val="00BA35F2"/>
    <w:rsid w:val="00BA4589"/>
    <w:rsid w:val="00BA51E3"/>
    <w:rsid w:val="00BA5327"/>
    <w:rsid w:val="00BA66B8"/>
    <w:rsid w:val="00BB09E0"/>
    <w:rsid w:val="00BB3390"/>
    <w:rsid w:val="00BB451F"/>
    <w:rsid w:val="00BB5805"/>
    <w:rsid w:val="00BB5859"/>
    <w:rsid w:val="00BB6A08"/>
    <w:rsid w:val="00BB78A2"/>
    <w:rsid w:val="00BB7D3E"/>
    <w:rsid w:val="00BC0DE1"/>
    <w:rsid w:val="00BC115B"/>
    <w:rsid w:val="00BC2B4F"/>
    <w:rsid w:val="00BC31B8"/>
    <w:rsid w:val="00BC4441"/>
    <w:rsid w:val="00BD0238"/>
    <w:rsid w:val="00BD0856"/>
    <w:rsid w:val="00BD2AA9"/>
    <w:rsid w:val="00BD2D53"/>
    <w:rsid w:val="00BE00B6"/>
    <w:rsid w:val="00BE2F39"/>
    <w:rsid w:val="00BE3D00"/>
    <w:rsid w:val="00BE48C0"/>
    <w:rsid w:val="00BF1F56"/>
    <w:rsid w:val="00BF40F9"/>
    <w:rsid w:val="00BF58D0"/>
    <w:rsid w:val="00BF6EED"/>
    <w:rsid w:val="00BF7689"/>
    <w:rsid w:val="00C01BDD"/>
    <w:rsid w:val="00C023C1"/>
    <w:rsid w:val="00C02E0F"/>
    <w:rsid w:val="00C0475D"/>
    <w:rsid w:val="00C05789"/>
    <w:rsid w:val="00C060CA"/>
    <w:rsid w:val="00C061A0"/>
    <w:rsid w:val="00C067B2"/>
    <w:rsid w:val="00C07C01"/>
    <w:rsid w:val="00C10096"/>
    <w:rsid w:val="00C10949"/>
    <w:rsid w:val="00C117E5"/>
    <w:rsid w:val="00C12058"/>
    <w:rsid w:val="00C13BA8"/>
    <w:rsid w:val="00C13BBB"/>
    <w:rsid w:val="00C15432"/>
    <w:rsid w:val="00C175B1"/>
    <w:rsid w:val="00C20BB0"/>
    <w:rsid w:val="00C222D7"/>
    <w:rsid w:val="00C23511"/>
    <w:rsid w:val="00C23FAC"/>
    <w:rsid w:val="00C25A0E"/>
    <w:rsid w:val="00C25B76"/>
    <w:rsid w:val="00C27D49"/>
    <w:rsid w:val="00C301E2"/>
    <w:rsid w:val="00C34A4F"/>
    <w:rsid w:val="00C3746A"/>
    <w:rsid w:val="00C41424"/>
    <w:rsid w:val="00C42250"/>
    <w:rsid w:val="00C428C1"/>
    <w:rsid w:val="00C43864"/>
    <w:rsid w:val="00C439DD"/>
    <w:rsid w:val="00C44013"/>
    <w:rsid w:val="00C50B60"/>
    <w:rsid w:val="00C53535"/>
    <w:rsid w:val="00C53CCE"/>
    <w:rsid w:val="00C54C18"/>
    <w:rsid w:val="00C55066"/>
    <w:rsid w:val="00C556F1"/>
    <w:rsid w:val="00C55A23"/>
    <w:rsid w:val="00C602D2"/>
    <w:rsid w:val="00C6157D"/>
    <w:rsid w:val="00C62245"/>
    <w:rsid w:val="00C62579"/>
    <w:rsid w:val="00C62590"/>
    <w:rsid w:val="00C627C1"/>
    <w:rsid w:val="00C6282D"/>
    <w:rsid w:val="00C643C9"/>
    <w:rsid w:val="00C66021"/>
    <w:rsid w:val="00C66D50"/>
    <w:rsid w:val="00C67F81"/>
    <w:rsid w:val="00C707B9"/>
    <w:rsid w:val="00C747B9"/>
    <w:rsid w:val="00C76011"/>
    <w:rsid w:val="00C77BFA"/>
    <w:rsid w:val="00C8280E"/>
    <w:rsid w:val="00C83C7F"/>
    <w:rsid w:val="00C83D7B"/>
    <w:rsid w:val="00C84D46"/>
    <w:rsid w:val="00C854A1"/>
    <w:rsid w:val="00C85F62"/>
    <w:rsid w:val="00C860B6"/>
    <w:rsid w:val="00C87100"/>
    <w:rsid w:val="00C87992"/>
    <w:rsid w:val="00C9040A"/>
    <w:rsid w:val="00C93249"/>
    <w:rsid w:val="00C939D9"/>
    <w:rsid w:val="00CA07E1"/>
    <w:rsid w:val="00CA1C35"/>
    <w:rsid w:val="00CA1E1B"/>
    <w:rsid w:val="00CA5777"/>
    <w:rsid w:val="00CA5D9C"/>
    <w:rsid w:val="00CB003B"/>
    <w:rsid w:val="00CB03BB"/>
    <w:rsid w:val="00CB09AF"/>
    <w:rsid w:val="00CB1B0B"/>
    <w:rsid w:val="00CB2177"/>
    <w:rsid w:val="00CB2332"/>
    <w:rsid w:val="00CB6881"/>
    <w:rsid w:val="00CB6D64"/>
    <w:rsid w:val="00CB7099"/>
    <w:rsid w:val="00CB714A"/>
    <w:rsid w:val="00CB7F3C"/>
    <w:rsid w:val="00CC06C8"/>
    <w:rsid w:val="00CC098A"/>
    <w:rsid w:val="00CC1771"/>
    <w:rsid w:val="00CC37F5"/>
    <w:rsid w:val="00CC3ED8"/>
    <w:rsid w:val="00CC45F2"/>
    <w:rsid w:val="00CC475B"/>
    <w:rsid w:val="00CC7CCA"/>
    <w:rsid w:val="00CC7DF3"/>
    <w:rsid w:val="00CD02D8"/>
    <w:rsid w:val="00CD08B7"/>
    <w:rsid w:val="00CD20F3"/>
    <w:rsid w:val="00CD4228"/>
    <w:rsid w:val="00CD4610"/>
    <w:rsid w:val="00CD5BE1"/>
    <w:rsid w:val="00CD62B7"/>
    <w:rsid w:val="00CD69FD"/>
    <w:rsid w:val="00CD70AA"/>
    <w:rsid w:val="00CE0F1D"/>
    <w:rsid w:val="00CE1621"/>
    <w:rsid w:val="00CE2DB4"/>
    <w:rsid w:val="00CE3108"/>
    <w:rsid w:val="00CE44E2"/>
    <w:rsid w:val="00CE713B"/>
    <w:rsid w:val="00CE76EB"/>
    <w:rsid w:val="00CE7DB5"/>
    <w:rsid w:val="00CE7FA2"/>
    <w:rsid w:val="00CF0431"/>
    <w:rsid w:val="00CF088B"/>
    <w:rsid w:val="00CF0965"/>
    <w:rsid w:val="00CF4635"/>
    <w:rsid w:val="00CF6387"/>
    <w:rsid w:val="00CF7856"/>
    <w:rsid w:val="00D00365"/>
    <w:rsid w:val="00D00430"/>
    <w:rsid w:val="00D00E5F"/>
    <w:rsid w:val="00D011AB"/>
    <w:rsid w:val="00D033B8"/>
    <w:rsid w:val="00D03BCF"/>
    <w:rsid w:val="00D044FA"/>
    <w:rsid w:val="00D04B1F"/>
    <w:rsid w:val="00D060F1"/>
    <w:rsid w:val="00D1082B"/>
    <w:rsid w:val="00D113B9"/>
    <w:rsid w:val="00D120FE"/>
    <w:rsid w:val="00D139CE"/>
    <w:rsid w:val="00D13DBC"/>
    <w:rsid w:val="00D14385"/>
    <w:rsid w:val="00D14AD5"/>
    <w:rsid w:val="00D15CD1"/>
    <w:rsid w:val="00D17442"/>
    <w:rsid w:val="00D17D8E"/>
    <w:rsid w:val="00D21394"/>
    <w:rsid w:val="00D21481"/>
    <w:rsid w:val="00D21A49"/>
    <w:rsid w:val="00D227DB"/>
    <w:rsid w:val="00D22905"/>
    <w:rsid w:val="00D23765"/>
    <w:rsid w:val="00D238C2"/>
    <w:rsid w:val="00D23997"/>
    <w:rsid w:val="00D250E9"/>
    <w:rsid w:val="00D25709"/>
    <w:rsid w:val="00D259CA"/>
    <w:rsid w:val="00D26224"/>
    <w:rsid w:val="00D27B51"/>
    <w:rsid w:val="00D30EE6"/>
    <w:rsid w:val="00D3181C"/>
    <w:rsid w:val="00D3288C"/>
    <w:rsid w:val="00D32AED"/>
    <w:rsid w:val="00D32E0D"/>
    <w:rsid w:val="00D36197"/>
    <w:rsid w:val="00D379FD"/>
    <w:rsid w:val="00D4092C"/>
    <w:rsid w:val="00D420D5"/>
    <w:rsid w:val="00D4534B"/>
    <w:rsid w:val="00D4667C"/>
    <w:rsid w:val="00D467F3"/>
    <w:rsid w:val="00D46C6E"/>
    <w:rsid w:val="00D508C3"/>
    <w:rsid w:val="00D514A0"/>
    <w:rsid w:val="00D5402F"/>
    <w:rsid w:val="00D54241"/>
    <w:rsid w:val="00D562B2"/>
    <w:rsid w:val="00D56863"/>
    <w:rsid w:val="00D605DC"/>
    <w:rsid w:val="00D610D3"/>
    <w:rsid w:val="00D61B02"/>
    <w:rsid w:val="00D63882"/>
    <w:rsid w:val="00D7256E"/>
    <w:rsid w:val="00D74BD1"/>
    <w:rsid w:val="00D74FD5"/>
    <w:rsid w:val="00D76274"/>
    <w:rsid w:val="00D81728"/>
    <w:rsid w:val="00D81B79"/>
    <w:rsid w:val="00D84CE0"/>
    <w:rsid w:val="00D84F84"/>
    <w:rsid w:val="00D864A7"/>
    <w:rsid w:val="00D86D57"/>
    <w:rsid w:val="00D86D8C"/>
    <w:rsid w:val="00D87512"/>
    <w:rsid w:val="00D87E42"/>
    <w:rsid w:val="00D90D02"/>
    <w:rsid w:val="00D914D0"/>
    <w:rsid w:val="00D9485E"/>
    <w:rsid w:val="00D94C6C"/>
    <w:rsid w:val="00D958BB"/>
    <w:rsid w:val="00D95A91"/>
    <w:rsid w:val="00D95A96"/>
    <w:rsid w:val="00D96B2E"/>
    <w:rsid w:val="00D978F8"/>
    <w:rsid w:val="00D97ADC"/>
    <w:rsid w:val="00D97B0B"/>
    <w:rsid w:val="00DA21AC"/>
    <w:rsid w:val="00DA3ADB"/>
    <w:rsid w:val="00DA63BF"/>
    <w:rsid w:val="00DA77A2"/>
    <w:rsid w:val="00DA78CF"/>
    <w:rsid w:val="00DB1951"/>
    <w:rsid w:val="00DB260F"/>
    <w:rsid w:val="00DB2B57"/>
    <w:rsid w:val="00DB2C23"/>
    <w:rsid w:val="00DB2F9F"/>
    <w:rsid w:val="00DB78DE"/>
    <w:rsid w:val="00DC1188"/>
    <w:rsid w:val="00DC23E9"/>
    <w:rsid w:val="00DC2A5D"/>
    <w:rsid w:val="00DC5412"/>
    <w:rsid w:val="00DC71C5"/>
    <w:rsid w:val="00DD215D"/>
    <w:rsid w:val="00DD2183"/>
    <w:rsid w:val="00DD267F"/>
    <w:rsid w:val="00DD5D47"/>
    <w:rsid w:val="00DD648A"/>
    <w:rsid w:val="00DD68A2"/>
    <w:rsid w:val="00DE0D7A"/>
    <w:rsid w:val="00DE299E"/>
    <w:rsid w:val="00DE2F5C"/>
    <w:rsid w:val="00DE4116"/>
    <w:rsid w:val="00DE44F4"/>
    <w:rsid w:val="00DE479D"/>
    <w:rsid w:val="00DE6F9B"/>
    <w:rsid w:val="00DE78E7"/>
    <w:rsid w:val="00DF13EF"/>
    <w:rsid w:val="00DF1915"/>
    <w:rsid w:val="00DF278E"/>
    <w:rsid w:val="00DF293C"/>
    <w:rsid w:val="00DF5A80"/>
    <w:rsid w:val="00DF5D83"/>
    <w:rsid w:val="00DF6482"/>
    <w:rsid w:val="00DF64FF"/>
    <w:rsid w:val="00DF7371"/>
    <w:rsid w:val="00E001A4"/>
    <w:rsid w:val="00E02558"/>
    <w:rsid w:val="00E03325"/>
    <w:rsid w:val="00E03D07"/>
    <w:rsid w:val="00E06FB3"/>
    <w:rsid w:val="00E206D5"/>
    <w:rsid w:val="00E2163B"/>
    <w:rsid w:val="00E21DC8"/>
    <w:rsid w:val="00E24D13"/>
    <w:rsid w:val="00E24D86"/>
    <w:rsid w:val="00E25EC2"/>
    <w:rsid w:val="00E277DF"/>
    <w:rsid w:val="00E27964"/>
    <w:rsid w:val="00E30C4E"/>
    <w:rsid w:val="00E31A3D"/>
    <w:rsid w:val="00E328A0"/>
    <w:rsid w:val="00E35670"/>
    <w:rsid w:val="00E366BC"/>
    <w:rsid w:val="00E3758D"/>
    <w:rsid w:val="00E37D3E"/>
    <w:rsid w:val="00E409D1"/>
    <w:rsid w:val="00E42018"/>
    <w:rsid w:val="00E43284"/>
    <w:rsid w:val="00E433A0"/>
    <w:rsid w:val="00E47DB6"/>
    <w:rsid w:val="00E50189"/>
    <w:rsid w:val="00E50E5B"/>
    <w:rsid w:val="00E5149A"/>
    <w:rsid w:val="00E5189A"/>
    <w:rsid w:val="00E51EAB"/>
    <w:rsid w:val="00E52034"/>
    <w:rsid w:val="00E53EBA"/>
    <w:rsid w:val="00E5428A"/>
    <w:rsid w:val="00E54C42"/>
    <w:rsid w:val="00E56795"/>
    <w:rsid w:val="00E56F28"/>
    <w:rsid w:val="00E60BE8"/>
    <w:rsid w:val="00E6155E"/>
    <w:rsid w:val="00E63D11"/>
    <w:rsid w:val="00E67A67"/>
    <w:rsid w:val="00E712FD"/>
    <w:rsid w:val="00E71D9A"/>
    <w:rsid w:val="00E723D0"/>
    <w:rsid w:val="00E72548"/>
    <w:rsid w:val="00E7269A"/>
    <w:rsid w:val="00E73D94"/>
    <w:rsid w:val="00E756EB"/>
    <w:rsid w:val="00E75916"/>
    <w:rsid w:val="00E765E7"/>
    <w:rsid w:val="00E77159"/>
    <w:rsid w:val="00E80918"/>
    <w:rsid w:val="00E82EA8"/>
    <w:rsid w:val="00E84094"/>
    <w:rsid w:val="00E8479D"/>
    <w:rsid w:val="00E84CCF"/>
    <w:rsid w:val="00E86D75"/>
    <w:rsid w:val="00E870B0"/>
    <w:rsid w:val="00E87C89"/>
    <w:rsid w:val="00E90AA5"/>
    <w:rsid w:val="00E94B99"/>
    <w:rsid w:val="00E97186"/>
    <w:rsid w:val="00E977BF"/>
    <w:rsid w:val="00E97F94"/>
    <w:rsid w:val="00EA01C9"/>
    <w:rsid w:val="00EA027B"/>
    <w:rsid w:val="00EA0C14"/>
    <w:rsid w:val="00EA1712"/>
    <w:rsid w:val="00EA1BEF"/>
    <w:rsid w:val="00EA1D8D"/>
    <w:rsid w:val="00EA2B01"/>
    <w:rsid w:val="00EA2B1E"/>
    <w:rsid w:val="00EA49F7"/>
    <w:rsid w:val="00EA59F2"/>
    <w:rsid w:val="00EA5C91"/>
    <w:rsid w:val="00EA6055"/>
    <w:rsid w:val="00EA6DFB"/>
    <w:rsid w:val="00EA6ED8"/>
    <w:rsid w:val="00EA7FC4"/>
    <w:rsid w:val="00EB076B"/>
    <w:rsid w:val="00EB27C2"/>
    <w:rsid w:val="00EB33A1"/>
    <w:rsid w:val="00EB487B"/>
    <w:rsid w:val="00EB5800"/>
    <w:rsid w:val="00EB5E1C"/>
    <w:rsid w:val="00EB76E0"/>
    <w:rsid w:val="00EC0CFE"/>
    <w:rsid w:val="00EC55FD"/>
    <w:rsid w:val="00EC5B3C"/>
    <w:rsid w:val="00EC5EAC"/>
    <w:rsid w:val="00EC64D9"/>
    <w:rsid w:val="00EC6BA2"/>
    <w:rsid w:val="00EC75A5"/>
    <w:rsid w:val="00EC7C39"/>
    <w:rsid w:val="00EC7E87"/>
    <w:rsid w:val="00ED2072"/>
    <w:rsid w:val="00ED222C"/>
    <w:rsid w:val="00ED3337"/>
    <w:rsid w:val="00ED4026"/>
    <w:rsid w:val="00ED424A"/>
    <w:rsid w:val="00ED5604"/>
    <w:rsid w:val="00ED5E5F"/>
    <w:rsid w:val="00EE24B1"/>
    <w:rsid w:val="00EE24D1"/>
    <w:rsid w:val="00EE263B"/>
    <w:rsid w:val="00EE377F"/>
    <w:rsid w:val="00EE3BC6"/>
    <w:rsid w:val="00EE3FE1"/>
    <w:rsid w:val="00EE4085"/>
    <w:rsid w:val="00EE5788"/>
    <w:rsid w:val="00EE59C5"/>
    <w:rsid w:val="00EE6673"/>
    <w:rsid w:val="00EE7CE1"/>
    <w:rsid w:val="00EF118B"/>
    <w:rsid w:val="00EF49AC"/>
    <w:rsid w:val="00EF4BF4"/>
    <w:rsid w:val="00EF6C0D"/>
    <w:rsid w:val="00EF7258"/>
    <w:rsid w:val="00F02807"/>
    <w:rsid w:val="00F02927"/>
    <w:rsid w:val="00F02A06"/>
    <w:rsid w:val="00F02F37"/>
    <w:rsid w:val="00F04CD7"/>
    <w:rsid w:val="00F055AF"/>
    <w:rsid w:val="00F0589E"/>
    <w:rsid w:val="00F06BDB"/>
    <w:rsid w:val="00F1149E"/>
    <w:rsid w:val="00F116E6"/>
    <w:rsid w:val="00F11D29"/>
    <w:rsid w:val="00F1277D"/>
    <w:rsid w:val="00F138AB"/>
    <w:rsid w:val="00F15B8A"/>
    <w:rsid w:val="00F16260"/>
    <w:rsid w:val="00F174DF"/>
    <w:rsid w:val="00F17ADF"/>
    <w:rsid w:val="00F17EB9"/>
    <w:rsid w:val="00F20145"/>
    <w:rsid w:val="00F20DFF"/>
    <w:rsid w:val="00F2150D"/>
    <w:rsid w:val="00F24D0B"/>
    <w:rsid w:val="00F26CCE"/>
    <w:rsid w:val="00F26DA7"/>
    <w:rsid w:val="00F275B2"/>
    <w:rsid w:val="00F27BF4"/>
    <w:rsid w:val="00F30588"/>
    <w:rsid w:val="00F30AF1"/>
    <w:rsid w:val="00F312F8"/>
    <w:rsid w:val="00F34C84"/>
    <w:rsid w:val="00F36123"/>
    <w:rsid w:val="00F36C55"/>
    <w:rsid w:val="00F41575"/>
    <w:rsid w:val="00F41692"/>
    <w:rsid w:val="00F43D41"/>
    <w:rsid w:val="00F467B5"/>
    <w:rsid w:val="00F46A05"/>
    <w:rsid w:val="00F46F3D"/>
    <w:rsid w:val="00F500F0"/>
    <w:rsid w:val="00F501CB"/>
    <w:rsid w:val="00F50BE2"/>
    <w:rsid w:val="00F50C0F"/>
    <w:rsid w:val="00F50C6A"/>
    <w:rsid w:val="00F538FA"/>
    <w:rsid w:val="00F55B89"/>
    <w:rsid w:val="00F57D5E"/>
    <w:rsid w:val="00F6149C"/>
    <w:rsid w:val="00F6173E"/>
    <w:rsid w:val="00F6523B"/>
    <w:rsid w:val="00F6559E"/>
    <w:rsid w:val="00F71986"/>
    <w:rsid w:val="00F73061"/>
    <w:rsid w:val="00F736AC"/>
    <w:rsid w:val="00F74F83"/>
    <w:rsid w:val="00F75AA0"/>
    <w:rsid w:val="00F7629D"/>
    <w:rsid w:val="00F7732B"/>
    <w:rsid w:val="00F83411"/>
    <w:rsid w:val="00F843AB"/>
    <w:rsid w:val="00F84767"/>
    <w:rsid w:val="00F85934"/>
    <w:rsid w:val="00F85A50"/>
    <w:rsid w:val="00F85EEC"/>
    <w:rsid w:val="00F86787"/>
    <w:rsid w:val="00F875DF"/>
    <w:rsid w:val="00F900CA"/>
    <w:rsid w:val="00F90385"/>
    <w:rsid w:val="00F91C63"/>
    <w:rsid w:val="00F93358"/>
    <w:rsid w:val="00F945C8"/>
    <w:rsid w:val="00F9478F"/>
    <w:rsid w:val="00F94BF3"/>
    <w:rsid w:val="00F9739F"/>
    <w:rsid w:val="00F9798D"/>
    <w:rsid w:val="00FA3522"/>
    <w:rsid w:val="00FA3895"/>
    <w:rsid w:val="00FA4098"/>
    <w:rsid w:val="00FA49B5"/>
    <w:rsid w:val="00FA5ADA"/>
    <w:rsid w:val="00FB176B"/>
    <w:rsid w:val="00FB4469"/>
    <w:rsid w:val="00FB44C8"/>
    <w:rsid w:val="00FB561E"/>
    <w:rsid w:val="00FB5D35"/>
    <w:rsid w:val="00FB764E"/>
    <w:rsid w:val="00FC101D"/>
    <w:rsid w:val="00FC1E7F"/>
    <w:rsid w:val="00FC2F8E"/>
    <w:rsid w:val="00FC6768"/>
    <w:rsid w:val="00FC6AD3"/>
    <w:rsid w:val="00FC6DBF"/>
    <w:rsid w:val="00FD16D2"/>
    <w:rsid w:val="00FD33D2"/>
    <w:rsid w:val="00FD4D8B"/>
    <w:rsid w:val="00FD4E6F"/>
    <w:rsid w:val="00FD5D17"/>
    <w:rsid w:val="00FD69D5"/>
    <w:rsid w:val="00FE0614"/>
    <w:rsid w:val="00FE061F"/>
    <w:rsid w:val="00FE1A52"/>
    <w:rsid w:val="00FE284E"/>
    <w:rsid w:val="00FE6A67"/>
    <w:rsid w:val="00FF0AFC"/>
    <w:rsid w:val="00FF1508"/>
    <w:rsid w:val="00FF1604"/>
    <w:rsid w:val="00FF7A94"/>
    <w:rsid w:val="010742D5"/>
    <w:rsid w:val="010F7B98"/>
    <w:rsid w:val="01270A4D"/>
    <w:rsid w:val="01851778"/>
    <w:rsid w:val="01A729ED"/>
    <w:rsid w:val="01AE11E6"/>
    <w:rsid w:val="01B729F0"/>
    <w:rsid w:val="01D439A7"/>
    <w:rsid w:val="01E96BCD"/>
    <w:rsid w:val="01EA636A"/>
    <w:rsid w:val="01F53A09"/>
    <w:rsid w:val="02222883"/>
    <w:rsid w:val="02A01370"/>
    <w:rsid w:val="02AD7FEF"/>
    <w:rsid w:val="02C62BA9"/>
    <w:rsid w:val="03006736"/>
    <w:rsid w:val="034C79A8"/>
    <w:rsid w:val="035148F2"/>
    <w:rsid w:val="035E327D"/>
    <w:rsid w:val="03624C71"/>
    <w:rsid w:val="037171B2"/>
    <w:rsid w:val="03723D7D"/>
    <w:rsid w:val="03A55E37"/>
    <w:rsid w:val="04071573"/>
    <w:rsid w:val="04357EE7"/>
    <w:rsid w:val="043E0AAC"/>
    <w:rsid w:val="044F2C90"/>
    <w:rsid w:val="04500C47"/>
    <w:rsid w:val="045B2245"/>
    <w:rsid w:val="04604D98"/>
    <w:rsid w:val="04762FE4"/>
    <w:rsid w:val="048361AE"/>
    <w:rsid w:val="048962DE"/>
    <w:rsid w:val="04C4032D"/>
    <w:rsid w:val="04C403D8"/>
    <w:rsid w:val="04DA625A"/>
    <w:rsid w:val="04EF476C"/>
    <w:rsid w:val="0528054A"/>
    <w:rsid w:val="05287815"/>
    <w:rsid w:val="052D2D41"/>
    <w:rsid w:val="0538232A"/>
    <w:rsid w:val="0552233D"/>
    <w:rsid w:val="055C3A53"/>
    <w:rsid w:val="05720B50"/>
    <w:rsid w:val="05782C43"/>
    <w:rsid w:val="05903056"/>
    <w:rsid w:val="05B01B1D"/>
    <w:rsid w:val="05E17C80"/>
    <w:rsid w:val="05E55725"/>
    <w:rsid w:val="05E5760D"/>
    <w:rsid w:val="06066F04"/>
    <w:rsid w:val="063164E1"/>
    <w:rsid w:val="0639353C"/>
    <w:rsid w:val="06474E34"/>
    <w:rsid w:val="06484055"/>
    <w:rsid w:val="065949DD"/>
    <w:rsid w:val="06653EC4"/>
    <w:rsid w:val="0699402C"/>
    <w:rsid w:val="069C64C8"/>
    <w:rsid w:val="06A0112C"/>
    <w:rsid w:val="06A81BEC"/>
    <w:rsid w:val="06DC60DB"/>
    <w:rsid w:val="06E45A7E"/>
    <w:rsid w:val="06F44F8B"/>
    <w:rsid w:val="06F84851"/>
    <w:rsid w:val="06FB0045"/>
    <w:rsid w:val="077B362D"/>
    <w:rsid w:val="079A6E72"/>
    <w:rsid w:val="079F3EE7"/>
    <w:rsid w:val="07AA1AB7"/>
    <w:rsid w:val="07DF5164"/>
    <w:rsid w:val="07E50580"/>
    <w:rsid w:val="07EE133F"/>
    <w:rsid w:val="08065B86"/>
    <w:rsid w:val="08274ACF"/>
    <w:rsid w:val="08310251"/>
    <w:rsid w:val="084703F0"/>
    <w:rsid w:val="08696EDC"/>
    <w:rsid w:val="08705B4A"/>
    <w:rsid w:val="087A7753"/>
    <w:rsid w:val="08814CE3"/>
    <w:rsid w:val="08884C10"/>
    <w:rsid w:val="08887A2E"/>
    <w:rsid w:val="08986544"/>
    <w:rsid w:val="08BB6846"/>
    <w:rsid w:val="08D55A74"/>
    <w:rsid w:val="08DC3175"/>
    <w:rsid w:val="08E052CE"/>
    <w:rsid w:val="08FD3C48"/>
    <w:rsid w:val="09161D47"/>
    <w:rsid w:val="093D3ABC"/>
    <w:rsid w:val="09CE19BC"/>
    <w:rsid w:val="09E70A54"/>
    <w:rsid w:val="09E84CCD"/>
    <w:rsid w:val="0A051115"/>
    <w:rsid w:val="0A3A5C5D"/>
    <w:rsid w:val="0A8528D5"/>
    <w:rsid w:val="0A8A0A3A"/>
    <w:rsid w:val="0AB52BD8"/>
    <w:rsid w:val="0AD56F1F"/>
    <w:rsid w:val="0AEA3C8C"/>
    <w:rsid w:val="0B1E0CF0"/>
    <w:rsid w:val="0B1E2894"/>
    <w:rsid w:val="0B3A637F"/>
    <w:rsid w:val="0BCE1370"/>
    <w:rsid w:val="0BCF240A"/>
    <w:rsid w:val="0BD53BE7"/>
    <w:rsid w:val="0BD84E5C"/>
    <w:rsid w:val="0BE34CD8"/>
    <w:rsid w:val="0BE83010"/>
    <w:rsid w:val="0BF47D4E"/>
    <w:rsid w:val="0BF86799"/>
    <w:rsid w:val="0C377F1F"/>
    <w:rsid w:val="0C516743"/>
    <w:rsid w:val="0C5D1BDB"/>
    <w:rsid w:val="0C7E2237"/>
    <w:rsid w:val="0CA34118"/>
    <w:rsid w:val="0CA758F8"/>
    <w:rsid w:val="0CCD457A"/>
    <w:rsid w:val="0CED2959"/>
    <w:rsid w:val="0CEF3BF8"/>
    <w:rsid w:val="0D000761"/>
    <w:rsid w:val="0D1B387B"/>
    <w:rsid w:val="0D3F7F2E"/>
    <w:rsid w:val="0D6344EC"/>
    <w:rsid w:val="0D705EC6"/>
    <w:rsid w:val="0D7446FA"/>
    <w:rsid w:val="0DB14507"/>
    <w:rsid w:val="0DB757B9"/>
    <w:rsid w:val="0DE545F3"/>
    <w:rsid w:val="0DE7555E"/>
    <w:rsid w:val="0E072513"/>
    <w:rsid w:val="0F0D0D2C"/>
    <w:rsid w:val="0F385060"/>
    <w:rsid w:val="0F58781F"/>
    <w:rsid w:val="0F5D7625"/>
    <w:rsid w:val="0F6147A2"/>
    <w:rsid w:val="0F76123D"/>
    <w:rsid w:val="0F86061B"/>
    <w:rsid w:val="0FC27645"/>
    <w:rsid w:val="0FD4645C"/>
    <w:rsid w:val="1007199F"/>
    <w:rsid w:val="100F3B6B"/>
    <w:rsid w:val="101A3630"/>
    <w:rsid w:val="102C199B"/>
    <w:rsid w:val="105576A8"/>
    <w:rsid w:val="10BE1B05"/>
    <w:rsid w:val="10C64B9C"/>
    <w:rsid w:val="10CB7C05"/>
    <w:rsid w:val="10CF3933"/>
    <w:rsid w:val="10FD1FE7"/>
    <w:rsid w:val="113A3727"/>
    <w:rsid w:val="115B5C4F"/>
    <w:rsid w:val="118A244C"/>
    <w:rsid w:val="11A2124C"/>
    <w:rsid w:val="11C20C82"/>
    <w:rsid w:val="11D0460B"/>
    <w:rsid w:val="11DE5C79"/>
    <w:rsid w:val="12101447"/>
    <w:rsid w:val="12215961"/>
    <w:rsid w:val="125F1817"/>
    <w:rsid w:val="128D04EC"/>
    <w:rsid w:val="12AA2320"/>
    <w:rsid w:val="12DB53B1"/>
    <w:rsid w:val="12E81B94"/>
    <w:rsid w:val="13257C63"/>
    <w:rsid w:val="133707C2"/>
    <w:rsid w:val="13441C72"/>
    <w:rsid w:val="134C77A5"/>
    <w:rsid w:val="13731B39"/>
    <w:rsid w:val="13732205"/>
    <w:rsid w:val="137F0CE3"/>
    <w:rsid w:val="13C30E6E"/>
    <w:rsid w:val="141B13D5"/>
    <w:rsid w:val="141C741E"/>
    <w:rsid w:val="14234B06"/>
    <w:rsid w:val="149D3DC9"/>
    <w:rsid w:val="149E1778"/>
    <w:rsid w:val="14AD4839"/>
    <w:rsid w:val="14EA3450"/>
    <w:rsid w:val="14F767B6"/>
    <w:rsid w:val="15287486"/>
    <w:rsid w:val="15840A84"/>
    <w:rsid w:val="15AF033B"/>
    <w:rsid w:val="16031113"/>
    <w:rsid w:val="160C1329"/>
    <w:rsid w:val="16332D75"/>
    <w:rsid w:val="16502A53"/>
    <w:rsid w:val="16725D01"/>
    <w:rsid w:val="16777B9F"/>
    <w:rsid w:val="168F227C"/>
    <w:rsid w:val="169A575C"/>
    <w:rsid w:val="16AD5C51"/>
    <w:rsid w:val="16C11894"/>
    <w:rsid w:val="16C377D3"/>
    <w:rsid w:val="171F0861"/>
    <w:rsid w:val="17245C02"/>
    <w:rsid w:val="1731374B"/>
    <w:rsid w:val="173B1F0E"/>
    <w:rsid w:val="173D243C"/>
    <w:rsid w:val="17424E45"/>
    <w:rsid w:val="17534ECF"/>
    <w:rsid w:val="17554DF7"/>
    <w:rsid w:val="17DC7BF0"/>
    <w:rsid w:val="180053F0"/>
    <w:rsid w:val="181011F1"/>
    <w:rsid w:val="185F5F75"/>
    <w:rsid w:val="188227EF"/>
    <w:rsid w:val="189220EE"/>
    <w:rsid w:val="189E4B47"/>
    <w:rsid w:val="18E36CFC"/>
    <w:rsid w:val="19000C71"/>
    <w:rsid w:val="192A06DB"/>
    <w:rsid w:val="192F2B88"/>
    <w:rsid w:val="193028F8"/>
    <w:rsid w:val="19800DAF"/>
    <w:rsid w:val="198218DD"/>
    <w:rsid w:val="198D1B84"/>
    <w:rsid w:val="198E4D52"/>
    <w:rsid w:val="19923F06"/>
    <w:rsid w:val="19A54577"/>
    <w:rsid w:val="19AF2729"/>
    <w:rsid w:val="19E51688"/>
    <w:rsid w:val="19E82D37"/>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261D69"/>
    <w:rsid w:val="1B3B15AA"/>
    <w:rsid w:val="1B6A3FBF"/>
    <w:rsid w:val="1B8C6B7B"/>
    <w:rsid w:val="1B9E29B4"/>
    <w:rsid w:val="1BBF65FB"/>
    <w:rsid w:val="1BC2281C"/>
    <w:rsid w:val="1BF657FB"/>
    <w:rsid w:val="1C374515"/>
    <w:rsid w:val="1C4235A6"/>
    <w:rsid w:val="1C4F222F"/>
    <w:rsid w:val="1C542906"/>
    <w:rsid w:val="1CA86A15"/>
    <w:rsid w:val="1CBB4247"/>
    <w:rsid w:val="1CFA7EEF"/>
    <w:rsid w:val="1CFB1146"/>
    <w:rsid w:val="1D1338EC"/>
    <w:rsid w:val="1D37062D"/>
    <w:rsid w:val="1D3B199E"/>
    <w:rsid w:val="1D5B6D2E"/>
    <w:rsid w:val="1DC84F72"/>
    <w:rsid w:val="1DEC270F"/>
    <w:rsid w:val="1DF10281"/>
    <w:rsid w:val="1E0672A1"/>
    <w:rsid w:val="1E0D3D46"/>
    <w:rsid w:val="1E331E3B"/>
    <w:rsid w:val="1E370C0B"/>
    <w:rsid w:val="1E4B1B21"/>
    <w:rsid w:val="1E4E212D"/>
    <w:rsid w:val="1E561B49"/>
    <w:rsid w:val="1E5A2895"/>
    <w:rsid w:val="1E5B5B74"/>
    <w:rsid w:val="1E847B39"/>
    <w:rsid w:val="1E860C88"/>
    <w:rsid w:val="1EAD27E8"/>
    <w:rsid w:val="1ED462A6"/>
    <w:rsid w:val="1ED734FA"/>
    <w:rsid w:val="1EDB21B2"/>
    <w:rsid w:val="1EE21D29"/>
    <w:rsid w:val="1EE72005"/>
    <w:rsid w:val="1F032F89"/>
    <w:rsid w:val="1F2F246F"/>
    <w:rsid w:val="1F3E1D5D"/>
    <w:rsid w:val="1F6E3177"/>
    <w:rsid w:val="1F6F04BA"/>
    <w:rsid w:val="1F8129BD"/>
    <w:rsid w:val="20027E74"/>
    <w:rsid w:val="2024650C"/>
    <w:rsid w:val="204663FA"/>
    <w:rsid w:val="20624FA2"/>
    <w:rsid w:val="206A1137"/>
    <w:rsid w:val="20835E3C"/>
    <w:rsid w:val="20857532"/>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813D29"/>
    <w:rsid w:val="22B609EC"/>
    <w:rsid w:val="22C23296"/>
    <w:rsid w:val="22CF4727"/>
    <w:rsid w:val="23280561"/>
    <w:rsid w:val="2330019D"/>
    <w:rsid w:val="235E2799"/>
    <w:rsid w:val="23666663"/>
    <w:rsid w:val="23693289"/>
    <w:rsid w:val="23795972"/>
    <w:rsid w:val="239147E1"/>
    <w:rsid w:val="23BB34F7"/>
    <w:rsid w:val="23CB333E"/>
    <w:rsid w:val="23F91B39"/>
    <w:rsid w:val="243A5F83"/>
    <w:rsid w:val="244702BD"/>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52D09"/>
    <w:rsid w:val="25D62822"/>
    <w:rsid w:val="25F16B68"/>
    <w:rsid w:val="260663DB"/>
    <w:rsid w:val="26546373"/>
    <w:rsid w:val="26841C6E"/>
    <w:rsid w:val="26934343"/>
    <w:rsid w:val="26B424FB"/>
    <w:rsid w:val="26B73D93"/>
    <w:rsid w:val="26E62133"/>
    <w:rsid w:val="26E8081A"/>
    <w:rsid w:val="271B3205"/>
    <w:rsid w:val="277F68D2"/>
    <w:rsid w:val="27870FB2"/>
    <w:rsid w:val="278F0AAA"/>
    <w:rsid w:val="27B84345"/>
    <w:rsid w:val="27CB7A47"/>
    <w:rsid w:val="27CF31D6"/>
    <w:rsid w:val="27E53B63"/>
    <w:rsid w:val="27F52A10"/>
    <w:rsid w:val="280E4470"/>
    <w:rsid w:val="283E405F"/>
    <w:rsid w:val="28864A4C"/>
    <w:rsid w:val="28D9203E"/>
    <w:rsid w:val="28F63DEB"/>
    <w:rsid w:val="290F208E"/>
    <w:rsid w:val="295E1181"/>
    <w:rsid w:val="29B00B02"/>
    <w:rsid w:val="29B661A7"/>
    <w:rsid w:val="29DB1483"/>
    <w:rsid w:val="29DC3277"/>
    <w:rsid w:val="29FA460F"/>
    <w:rsid w:val="2A0B6D48"/>
    <w:rsid w:val="2A397DF9"/>
    <w:rsid w:val="2A7C5019"/>
    <w:rsid w:val="2A8E3410"/>
    <w:rsid w:val="2AC017A8"/>
    <w:rsid w:val="2AD63A7C"/>
    <w:rsid w:val="2B3677A4"/>
    <w:rsid w:val="2B7F5D7B"/>
    <w:rsid w:val="2B9073EB"/>
    <w:rsid w:val="2BAD682D"/>
    <w:rsid w:val="2BEE5A9C"/>
    <w:rsid w:val="2C167BD8"/>
    <w:rsid w:val="2C6B41B7"/>
    <w:rsid w:val="2CAF7AE9"/>
    <w:rsid w:val="2CB550EC"/>
    <w:rsid w:val="2CF947D9"/>
    <w:rsid w:val="2CFA06CC"/>
    <w:rsid w:val="2D3F090C"/>
    <w:rsid w:val="2D473273"/>
    <w:rsid w:val="2D8167C0"/>
    <w:rsid w:val="2D9C1D44"/>
    <w:rsid w:val="2DAB174B"/>
    <w:rsid w:val="2DAC3053"/>
    <w:rsid w:val="2DB40F04"/>
    <w:rsid w:val="2DB55317"/>
    <w:rsid w:val="2DD04A2C"/>
    <w:rsid w:val="2E1A2D69"/>
    <w:rsid w:val="2E1C2312"/>
    <w:rsid w:val="2E617376"/>
    <w:rsid w:val="2ED13170"/>
    <w:rsid w:val="2F011E82"/>
    <w:rsid w:val="2F065E17"/>
    <w:rsid w:val="2F415E64"/>
    <w:rsid w:val="2F6858EF"/>
    <w:rsid w:val="2F7674B4"/>
    <w:rsid w:val="2F9B0B20"/>
    <w:rsid w:val="2FC51659"/>
    <w:rsid w:val="2FCB2DE8"/>
    <w:rsid w:val="30082C17"/>
    <w:rsid w:val="301A6B35"/>
    <w:rsid w:val="30385048"/>
    <w:rsid w:val="30400DE6"/>
    <w:rsid w:val="3046030C"/>
    <w:rsid w:val="30577166"/>
    <w:rsid w:val="306A22A0"/>
    <w:rsid w:val="30A8450A"/>
    <w:rsid w:val="30B147B2"/>
    <w:rsid w:val="30FE64F4"/>
    <w:rsid w:val="310D00D7"/>
    <w:rsid w:val="314A5A0E"/>
    <w:rsid w:val="31682139"/>
    <w:rsid w:val="319957F6"/>
    <w:rsid w:val="31C036D0"/>
    <w:rsid w:val="31D953B1"/>
    <w:rsid w:val="31EC1741"/>
    <w:rsid w:val="31EF6CF0"/>
    <w:rsid w:val="31F7619B"/>
    <w:rsid w:val="321F0CAE"/>
    <w:rsid w:val="321F3505"/>
    <w:rsid w:val="322B0318"/>
    <w:rsid w:val="32494369"/>
    <w:rsid w:val="324C0B81"/>
    <w:rsid w:val="32517D1E"/>
    <w:rsid w:val="329B0438"/>
    <w:rsid w:val="32B63AAA"/>
    <w:rsid w:val="33091096"/>
    <w:rsid w:val="33232830"/>
    <w:rsid w:val="3341533E"/>
    <w:rsid w:val="335F3C12"/>
    <w:rsid w:val="33843CA1"/>
    <w:rsid w:val="344D764F"/>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674EF"/>
    <w:rsid w:val="367134DE"/>
    <w:rsid w:val="36787E34"/>
    <w:rsid w:val="368848BE"/>
    <w:rsid w:val="3692435D"/>
    <w:rsid w:val="36FC06E4"/>
    <w:rsid w:val="370B0055"/>
    <w:rsid w:val="374976F8"/>
    <w:rsid w:val="37533A9C"/>
    <w:rsid w:val="37821544"/>
    <w:rsid w:val="3787676D"/>
    <w:rsid w:val="37953793"/>
    <w:rsid w:val="37A53093"/>
    <w:rsid w:val="37E702EC"/>
    <w:rsid w:val="38237904"/>
    <w:rsid w:val="38727414"/>
    <w:rsid w:val="38AF4648"/>
    <w:rsid w:val="38B3392D"/>
    <w:rsid w:val="38B37C06"/>
    <w:rsid w:val="38E50A97"/>
    <w:rsid w:val="391E370A"/>
    <w:rsid w:val="392F5095"/>
    <w:rsid w:val="393C7ED6"/>
    <w:rsid w:val="39465433"/>
    <w:rsid w:val="39581B4E"/>
    <w:rsid w:val="395B6912"/>
    <w:rsid w:val="39A56F77"/>
    <w:rsid w:val="39BE4A11"/>
    <w:rsid w:val="3A27520A"/>
    <w:rsid w:val="3A3F6C87"/>
    <w:rsid w:val="3A465FD4"/>
    <w:rsid w:val="3A8818BB"/>
    <w:rsid w:val="3A956A72"/>
    <w:rsid w:val="3AD70862"/>
    <w:rsid w:val="3AE76311"/>
    <w:rsid w:val="3B1109C9"/>
    <w:rsid w:val="3B2552D7"/>
    <w:rsid w:val="3B3F7D03"/>
    <w:rsid w:val="3B970D6B"/>
    <w:rsid w:val="3BE51125"/>
    <w:rsid w:val="3BE90506"/>
    <w:rsid w:val="3BEB6832"/>
    <w:rsid w:val="3BF178CC"/>
    <w:rsid w:val="3BF82E56"/>
    <w:rsid w:val="3BFA2E9E"/>
    <w:rsid w:val="3C40766B"/>
    <w:rsid w:val="3C476B61"/>
    <w:rsid w:val="3C583A62"/>
    <w:rsid w:val="3C813EBD"/>
    <w:rsid w:val="3CB702EA"/>
    <w:rsid w:val="3CBD35C8"/>
    <w:rsid w:val="3CCF0F73"/>
    <w:rsid w:val="3CE437F4"/>
    <w:rsid w:val="3D386985"/>
    <w:rsid w:val="3D3906B1"/>
    <w:rsid w:val="3D466BC9"/>
    <w:rsid w:val="3D584E9B"/>
    <w:rsid w:val="3D7C1FDB"/>
    <w:rsid w:val="3D880E45"/>
    <w:rsid w:val="3D9C69C1"/>
    <w:rsid w:val="3DA0424A"/>
    <w:rsid w:val="3DA419D7"/>
    <w:rsid w:val="3DDA6370"/>
    <w:rsid w:val="3DDD2C1B"/>
    <w:rsid w:val="3DFF5060"/>
    <w:rsid w:val="3E136870"/>
    <w:rsid w:val="3E5D5F3B"/>
    <w:rsid w:val="3E615282"/>
    <w:rsid w:val="3E8429B9"/>
    <w:rsid w:val="3EBE7D18"/>
    <w:rsid w:val="3ECC547A"/>
    <w:rsid w:val="3EE01AD6"/>
    <w:rsid w:val="3F1A1718"/>
    <w:rsid w:val="3F4E5041"/>
    <w:rsid w:val="3F506818"/>
    <w:rsid w:val="3F8A61EF"/>
    <w:rsid w:val="3FE36C1C"/>
    <w:rsid w:val="3FEB19D5"/>
    <w:rsid w:val="40340044"/>
    <w:rsid w:val="40661E5E"/>
    <w:rsid w:val="406E45AD"/>
    <w:rsid w:val="407C0CAD"/>
    <w:rsid w:val="40924D64"/>
    <w:rsid w:val="40963A57"/>
    <w:rsid w:val="40D16C5D"/>
    <w:rsid w:val="410A3110"/>
    <w:rsid w:val="41310CA2"/>
    <w:rsid w:val="41312883"/>
    <w:rsid w:val="417E2272"/>
    <w:rsid w:val="41893506"/>
    <w:rsid w:val="419915A4"/>
    <w:rsid w:val="41A82FD1"/>
    <w:rsid w:val="41C35995"/>
    <w:rsid w:val="41CF111A"/>
    <w:rsid w:val="41CF7D38"/>
    <w:rsid w:val="41FC4A89"/>
    <w:rsid w:val="420F1D94"/>
    <w:rsid w:val="422C362E"/>
    <w:rsid w:val="423E5ED2"/>
    <w:rsid w:val="424441F1"/>
    <w:rsid w:val="425E0F00"/>
    <w:rsid w:val="426D5149"/>
    <w:rsid w:val="427E3E3A"/>
    <w:rsid w:val="428917B7"/>
    <w:rsid w:val="430B7DA4"/>
    <w:rsid w:val="430D4AC0"/>
    <w:rsid w:val="431E047F"/>
    <w:rsid w:val="431E65EF"/>
    <w:rsid w:val="435A4BBF"/>
    <w:rsid w:val="436A6565"/>
    <w:rsid w:val="437A019F"/>
    <w:rsid w:val="43891F34"/>
    <w:rsid w:val="43AF64F0"/>
    <w:rsid w:val="43B21221"/>
    <w:rsid w:val="43C63987"/>
    <w:rsid w:val="43FB7AE7"/>
    <w:rsid w:val="4400649E"/>
    <w:rsid w:val="441426C6"/>
    <w:rsid w:val="441466E5"/>
    <w:rsid w:val="4421734C"/>
    <w:rsid w:val="44437D45"/>
    <w:rsid w:val="44460A9F"/>
    <w:rsid w:val="4478624B"/>
    <w:rsid w:val="4493367B"/>
    <w:rsid w:val="44A72843"/>
    <w:rsid w:val="44AB74B4"/>
    <w:rsid w:val="44B2771E"/>
    <w:rsid w:val="44B8368E"/>
    <w:rsid w:val="452905F3"/>
    <w:rsid w:val="4531085A"/>
    <w:rsid w:val="456A35B3"/>
    <w:rsid w:val="45A45439"/>
    <w:rsid w:val="45CA7348"/>
    <w:rsid w:val="45CB72CE"/>
    <w:rsid w:val="461F4864"/>
    <w:rsid w:val="462B6DAB"/>
    <w:rsid w:val="468821D8"/>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452D6C"/>
    <w:rsid w:val="48490177"/>
    <w:rsid w:val="48734131"/>
    <w:rsid w:val="48801F0A"/>
    <w:rsid w:val="48877A3B"/>
    <w:rsid w:val="489C4879"/>
    <w:rsid w:val="489C7EA5"/>
    <w:rsid w:val="49276E58"/>
    <w:rsid w:val="494B4338"/>
    <w:rsid w:val="497C5511"/>
    <w:rsid w:val="49B65DC9"/>
    <w:rsid w:val="4A131AB1"/>
    <w:rsid w:val="4A34760C"/>
    <w:rsid w:val="4A64259A"/>
    <w:rsid w:val="4AA4128B"/>
    <w:rsid w:val="4AAA7028"/>
    <w:rsid w:val="4AD50D4A"/>
    <w:rsid w:val="4ADC75C4"/>
    <w:rsid w:val="4B2977E3"/>
    <w:rsid w:val="4B3A3263"/>
    <w:rsid w:val="4B404F96"/>
    <w:rsid w:val="4B5F395F"/>
    <w:rsid w:val="4BB73A13"/>
    <w:rsid w:val="4BE22955"/>
    <w:rsid w:val="4C60411D"/>
    <w:rsid w:val="4C9743B6"/>
    <w:rsid w:val="4CA56DBD"/>
    <w:rsid w:val="4CCD70EB"/>
    <w:rsid w:val="4CD15334"/>
    <w:rsid w:val="4CDC2AC2"/>
    <w:rsid w:val="4CEF194A"/>
    <w:rsid w:val="4D123D13"/>
    <w:rsid w:val="4D4473CA"/>
    <w:rsid w:val="4D594184"/>
    <w:rsid w:val="4D670A85"/>
    <w:rsid w:val="4D80617B"/>
    <w:rsid w:val="4D806473"/>
    <w:rsid w:val="4DB87F6B"/>
    <w:rsid w:val="4DF85FC0"/>
    <w:rsid w:val="4E1074C8"/>
    <w:rsid w:val="4E2B1D2E"/>
    <w:rsid w:val="4E2B1F9E"/>
    <w:rsid w:val="4E527CB0"/>
    <w:rsid w:val="4E6F1EF6"/>
    <w:rsid w:val="4E7B029B"/>
    <w:rsid w:val="4E9C2A45"/>
    <w:rsid w:val="4ECB07EA"/>
    <w:rsid w:val="4EDA18B9"/>
    <w:rsid w:val="4F216F20"/>
    <w:rsid w:val="4F573543"/>
    <w:rsid w:val="4F6D467A"/>
    <w:rsid w:val="4FED507D"/>
    <w:rsid w:val="4FFB62E9"/>
    <w:rsid w:val="501C4E89"/>
    <w:rsid w:val="502B325D"/>
    <w:rsid w:val="505C44C8"/>
    <w:rsid w:val="505D795E"/>
    <w:rsid w:val="50630959"/>
    <w:rsid w:val="50DD3BA3"/>
    <w:rsid w:val="50E61CAB"/>
    <w:rsid w:val="5132754D"/>
    <w:rsid w:val="513564CC"/>
    <w:rsid w:val="514E3A09"/>
    <w:rsid w:val="517C3AF1"/>
    <w:rsid w:val="51915B3D"/>
    <w:rsid w:val="519F5121"/>
    <w:rsid w:val="51F872B4"/>
    <w:rsid w:val="5229273F"/>
    <w:rsid w:val="52547228"/>
    <w:rsid w:val="529432E6"/>
    <w:rsid w:val="52A8026E"/>
    <w:rsid w:val="532C197B"/>
    <w:rsid w:val="534C6115"/>
    <w:rsid w:val="53561F88"/>
    <w:rsid w:val="536B5C40"/>
    <w:rsid w:val="53BC34C4"/>
    <w:rsid w:val="53CE29B7"/>
    <w:rsid w:val="53E93F16"/>
    <w:rsid w:val="53F04BF7"/>
    <w:rsid w:val="540337E7"/>
    <w:rsid w:val="54142032"/>
    <w:rsid w:val="54143B82"/>
    <w:rsid w:val="54451376"/>
    <w:rsid w:val="54776BE8"/>
    <w:rsid w:val="547B2C44"/>
    <w:rsid w:val="547F7066"/>
    <w:rsid w:val="548C0083"/>
    <w:rsid w:val="54BC10AE"/>
    <w:rsid w:val="54DE257B"/>
    <w:rsid w:val="54F82DE2"/>
    <w:rsid w:val="55091415"/>
    <w:rsid w:val="5533415E"/>
    <w:rsid w:val="553D5A1E"/>
    <w:rsid w:val="555B4C1C"/>
    <w:rsid w:val="55665E4B"/>
    <w:rsid w:val="557C6AE7"/>
    <w:rsid w:val="55A0704C"/>
    <w:rsid w:val="55A923B9"/>
    <w:rsid w:val="55DD38ED"/>
    <w:rsid w:val="561A3EA2"/>
    <w:rsid w:val="56295091"/>
    <w:rsid w:val="56434C8D"/>
    <w:rsid w:val="568A68D9"/>
    <w:rsid w:val="56A438D4"/>
    <w:rsid w:val="56BA5C7F"/>
    <w:rsid w:val="56EA1F97"/>
    <w:rsid w:val="570F0FFB"/>
    <w:rsid w:val="574E065D"/>
    <w:rsid w:val="575B7C13"/>
    <w:rsid w:val="5765363E"/>
    <w:rsid w:val="576E7E03"/>
    <w:rsid w:val="578A5B09"/>
    <w:rsid w:val="57AA5D1A"/>
    <w:rsid w:val="57BE32DB"/>
    <w:rsid w:val="57D631F8"/>
    <w:rsid w:val="58082218"/>
    <w:rsid w:val="581028EA"/>
    <w:rsid w:val="58344161"/>
    <w:rsid w:val="585D0DF7"/>
    <w:rsid w:val="587316C8"/>
    <w:rsid w:val="58AD641D"/>
    <w:rsid w:val="58B420E4"/>
    <w:rsid w:val="59135C67"/>
    <w:rsid w:val="593C1329"/>
    <w:rsid w:val="595A34E9"/>
    <w:rsid w:val="595B7937"/>
    <w:rsid w:val="597C7365"/>
    <w:rsid w:val="597F7369"/>
    <w:rsid w:val="59997155"/>
    <w:rsid w:val="59A2414B"/>
    <w:rsid w:val="59FE08FA"/>
    <w:rsid w:val="5A060D86"/>
    <w:rsid w:val="5A886394"/>
    <w:rsid w:val="5A9F6060"/>
    <w:rsid w:val="5ACF7403"/>
    <w:rsid w:val="5B46719F"/>
    <w:rsid w:val="5B737DCF"/>
    <w:rsid w:val="5B763FD0"/>
    <w:rsid w:val="5B941E22"/>
    <w:rsid w:val="5BA42A14"/>
    <w:rsid w:val="5BB47CCC"/>
    <w:rsid w:val="5BD05B9D"/>
    <w:rsid w:val="5BD343E6"/>
    <w:rsid w:val="5BE00F61"/>
    <w:rsid w:val="5BFB5206"/>
    <w:rsid w:val="5C294C3A"/>
    <w:rsid w:val="5CB65A64"/>
    <w:rsid w:val="5CC34489"/>
    <w:rsid w:val="5CD26BB3"/>
    <w:rsid w:val="5CEB063E"/>
    <w:rsid w:val="5D0B0214"/>
    <w:rsid w:val="5D1A0A42"/>
    <w:rsid w:val="5D4F1710"/>
    <w:rsid w:val="5D71045F"/>
    <w:rsid w:val="5DA55EAC"/>
    <w:rsid w:val="5DAC626B"/>
    <w:rsid w:val="5E146811"/>
    <w:rsid w:val="5E3F1ED0"/>
    <w:rsid w:val="5E4A015A"/>
    <w:rsid w:val="5E4E1E2F"/>
    <w:rsid w:val="5E7E280E"/>
    <w:rsid w:val="5EA343F9"/>
    <w:rsid w:val="5F164D5E"/>
    <w:rsid w:val="5F2D2E3D"/>
    <w:rsid w:val="5F511649"/>
    <w:rsid w:val="5F741C71"/>
    <w:rsid w:val="5F87675C"/>
    <w:rsid w:val="5F884475"/>
    <w:rsid w:val="5F940261"/>
    <w:rsid w:val="5FBE713C"/>
    <w:rsid w:val="5FDA399F"/>
    <w:rsid w:val="5FFA79ED"/>
    <w:rsid w:val="606D0EF6"/>
    <w:rsid w:val="60806A99"/>
    <w:rsid w:val="60B442A8"/>
    <w:rsid w:val="60FD7810"/>
    <w:rsid w:val="61013040"/>
    <w:rsid w:val="610E310A"/>
    <w:rsid w:val="611C35B8"/>
    <w:rsid w:val="611D1C0E"/>
    <w:rsid w:val="61A25580"/>
    <w:rsid w:val="61AE7556"/>
    <w:rsid w:val="61C55F7F"/>
    <w:rsid w:val="61D41854"/>
    <w:rsid w:val="61F07FA8"/>
    <w:rsid w:val="61F46458"/>
    <w:rsid w:val="62282B27"/>
    <w:rsid w:val="625A6442"/>
    <w:rsid w:val="626F0CA2"/>
    <w:rsid w:val="62C31135"/>
    <w:rsid w:val="62C76106"/>
    <w:rsid w:val="62CC474C"/>
    <w:rsid w:val="637B0B27"/>
    <w:rsid w:val="63874046"/>
    <w:rsid w:val="638B4892"/>
    <w:rsid w:val="63BB45AD"/>
    <w:rsid w:val="63C73E6D"/>
    <w:rsid w:val="63DD4529"/>
    <w:rsid w:val="63FC0611"/>
    <w:rsid w:val="641222ED"/>
    <w:rsid w:val="642B5582"/>
    <w:rsid w:val="644878A5"/>
    <w:rsid w:val="64516BFF"/>
    <w:rsid w:val="64643953"/>
    <w:rsid w:val="64963CFA"/>
    <w:rsid w:val="64B31A3E"/>
    <w:rsid w:val="64BB7086"/>
    <w:rsid w:val="64DF720B"/>
    <w:rsid w:val="64FB2F8F"/>
    <w:rsid w:val="6502750F"/>
    <w:rsid w:val="65183711"/>
    <w:rsid w:val="655769D7"/>
    <w:rsid w:val="658C66C4"/>
    <w:rsid w:val="65B76CC0"/>
    <w:rsid w:val="65C86337"/>
    <w:rsid w:val="65DC6542"/>
    <w:rsid w:val="65FE3124"/>
    <w:rsid w:val="66475BEE"/>
    <w:rsid w:val="664B7EA3"/>
    <w:rsid w:val="66921396"/>
    <w:rsid w:val="669A00A1"/>
    <w:rsid w:val="669A0A1D"/>
    <w:rsid w:val="66C77EC3"/>
    <w:rsid w:val="66CD32EE"/>
    <w:rsid w:val="66EF31C1"/>
    <w:rsid w:val="67286643"/>
    <w:rsid w:val="67340A1D"/>
    <w:rsid w:val="67415D12"/>
    <w:rsid w:val="67645CC5"/>
    <w:rsid w:val="679D0438"/>
    <w:rsid w:val="679F14A6"/>
    <w:rsid w:val="67A7594A"/>
    <w:rsid w:val="67DC5256"/>
    <w:rsid w:val="67F71CAA"/>
    <w:rsid w:val="680B2738"/>
    <w:rsid w:val="68295F6D"/>
    <w:rsid w:val="68374646"/>
    <w:rsid w:val="6851003F"/>
    <w:rsid w:val="68532F31"/>
    <w:rsid w:val="685F2B0C"/>
    <w:rsid w:val="686A5890"/>
    <w:rsid w:val="686E4CA0"/>
    <w:rsid w:val="68CD56D6"/>
    <w:rsid w:val="68CE0878"/>
    <w:rsid w:val="68DF3F07"/>
    <w:rsid w:val="68E14DD2"/>
    <w:rsid w:val="68FF17F8"/>
    <w:rsid w:val="69006D22"/>
    <w:rsid w:val="691F6273"/>
    <w:rsid w:val="6938799E"/>
    <w:rsid w:val="69875626"/>
    <w:rsid w:val="69A773FE"/>
    <w:rsid w:val="69AC4EE2"/>
    <w:rsid w:val="69B15060"/>
    <w:rsid w:val="69B72806"/>
    <w:rsid w:val="69C21FC2"/>
    <w:rsid w:val="69CB7528"/>
    <w:rsid w:val="69CC5602"/>
    <w:rsid w:val="69DE1C53"/>
    <w:rsid w:val="69DF0F70"/>
    <w:rsid w:val="69F431E5"/>
    <w:rsid w:val="69FB05D9"/>
    <w:rsid w:val="6A21429B"/>
    <w:rsid w:val="6A317FEC"/>
    <w:rsid w:val="6A395739"/>
    <w:rsid w:val="6A667351"/>
    <w:rsid w:val="6A690452"/>
    <w:rsid w:val="6AB778B5"/>
    <w:rsid w:val="6AC86B5F"/>
    <w:rsid w:val="6AD5470C"/>
    <w:rsid w:val="6AF1512E"/>
    <w:rsid w:val="6B372870"/>
    <w:rsid w:val="6B4C78DC"/>
    <w:rsid w:val="6B6D4BD4"/>
    <w:rsid w:val="6B736C65"/>
    <w:rsid w:val="6B884223"/>
    <w:rsid w:val="6BCC6A33"/>
    <w:rsid w:val="6BE94680"/>
    <w:rsid w:val="6BF474BF"/>
    <w:rsid w:val="6C1648A2"/>
    <w:rsid w:val="6C24541E"/>
    <w:rsid w:val="6C2B5B56"/>
    <w:rsid w:val="6C38599A"/>
    <w:rsid w:val="6C405A24"/>
    <w:rsid w:val="6C4C1DDE"/>
    <w:rsid w:val="6C7360A2"/>
    <w:rsid w:val="6C98271E"/>
    <w:rsid w:val="6CB357D4"/>
    <w:rsid w:val="6CD6095A"/>
    <w:rsid w:val="6CE453FC"/>
    <w:rsid w:val="6D09664F"/>
    <w:rsid w:val="6D1A3ED2"/>
    <w:rsid w:val="6D1C5D45"/>
    <w:rsid w:val="6D2052F1"/>
    <w:rsid w:val="6D2A1AE4"/>
    <w:rsid w:val="6D2C0363"/>
    <w:rsid w:val="6D4556BC"/>
    <w:rsid w:val="6D7C6B86"/>
    <w:rsid w:val="6D886D51"/>
    <w:rsid w:val="6D98425A"/>
    <w:rsid w:val="6D9C4CB2"/>
    <w:rsid w:val="6DA9677A"/>
    <w:rsid w:val="6DAC52D8"/>
    <w:rsid w:val="6DCC4C0D"/>
    <w:rsid w:val="6DE52F24"/>
    <w:rsid w:val="6E0D5193"/>
    <w:rsid w:val="6E2B38B7"/>
    <w:rsid w:val="6E42100A"/>
    <w:rsid w:val="6E4341AC"/>
    <w:rsid w:val="6E9D5BDB"/>
    <w:rsid w:val="6F436F8F"/>
    <w:rsid w:val="6F4D5562"/>
    <w:rsid w:val="6F663712"/>
    <w:rsid w:val="6F6D69E8"/>
    <w:rsid w:val="6F8B29B5"/>
    <w:rsid w:val="6F9B0752"/>
    <w:rsid w:val="6FD156E3"/>
    <w:rsid w:val="6FED75FB"/>
    <w:rsid w:val="70041560"/>
    <w:rsid w:val="703467FC"/>
    <w:rsid w:val="7040732E"/>
    <w:rsid w:val="7086364B"/>
    <w:rsid w:val="70A42103"/>
    <w:rsid w:val="710B27AB"/>
    <w:rsid w:val="712C6F85"/>
    <w:rsid w:val="71320E55"/>
    <w:rsid w:val="71321C7C"/>
    <w:rsid w:val="71340B64"/>
    <w:rsid w:val="71546F0E"/>
    <w:rsid w:val="716A306C"/>
    <w:rsid w:val="7170146E"/>
    <w:rsid w:val="717268C8"/>
    <w:rsid w:val="71802D0E"/>
    <w:rsid w:val="718F5890"/>
    <w:rsid w:val="719323BF"/>
    <w:rsid w:val="71B7463E"/>
    <w:rsid w:val="71BF5087"/>
    <w:rsid w:val="71C23C59"/>
    <w:rsid w:val="71C57971"/>
    <w:rsid w:val="71EC11CD"/>
    <w:rsid w:val="720506A4"/>
    <w:rsid w:val="72143E26"/>
    <w:rsid w:val="722B6EAC"/>
    <w:rsid w:val="7235573F"/>
    <w:rsid w:val="723629FF"/>
    <w:rsid w:val="726C56B8"/>
    <w:rsid w:val="7288771C"/>
    <w:rsid w:val="728D4961"/>
    <w:rsid w:val="72911F34"/>
    <w:rsid w:val="72A458E1"/>
    <w:rsid w:val="72CE592F"/>
    <w:rsid w:val="72F838AA"/>
    <w:rsid w:val="73134385"/>
    <w:rsid w:val="731726EC"/>
    <w:rsid w:val="73197AE0"/>
    <w:rsid w:val="73221860"/>
    <w:rsid w:val="73272805"/>
    <w:rsid w:val="7338174B"/>
    <w:rsid w:val="733A4EF6"/>
    <w:rsid w:val="733D0234"/>
    <w:rsid w:val="733E33D3"/>
    <w:rsid w:val="733F0360"/>
    <w:rsid w:val="73773239"/>
    <w:rsid w:val="73835DC4"/>
    <w:rsid w:val="73836ECE"/>
    <w:rsid w:val="73B47087"/>
    <w:rsid w:val="73C761B5"/>
    <w:rsid w:val="73C97C37"/>
    <w:rsid w:val="73D872D7"/>
    <w:rsid w:val="73FA14E3"/>
    <w:rsid w:val="740A7F35"/>
    <w:rsid w:val="742D4CA1"/>
    <w:rsid w:val="74336AF3"/>
    <w:rsid w:val="74613585"/>
    <w:rsid w:val="747D3462"/>
    <w:rsid w:val="74812030"/>
    <w:rsid w:val="74886161"/>
    <w:rsid w:val="74A039B1"/>
    <w:rsid w:val="74E66F49"/>
    <w:rsid w:val="74EB245C"/>
    <w:rsid w:val="753C15BB"/>
    <w:rsid w:val="75585493"/>
    <w:rsid w:val="755E6626"/>
    <w:rsid w:val="75841DF5"/>
    <w:rsid w:val="758C4CA2"/>
    <w:rsid w:val="75D40046"/>
    <w:rsid w:val="75D96E3B"/>
    <w:rsid w:val="762F29E5"/>
    <w:rsid w:val="764374F1"/>
    <w:rsid w:val="76944E76"/>
    <w:rsid w:val="769A26CA"/>
    <w:rsid w:val="76C34928"/>
    <w:rsid w:val="76D17FE1"/>
    <w:rsid w:val="76DF15B8"/>
    <w:rsid w:val="76FB601C"/>
    <w:rsid w:val="7708778F"/>
    <w:rsid w:val="770B7BD2"/>
    <w:rsid w:val="778364BE"/>
    <w:rsid w:val="7799548D"/>
    <w:rsid w:val="77ED1FBE"/>
    <w:rsid w:val="787764A6"/>
    <w:rsid w:val="78867CFB"/>
    <w:rsid w:val="78D06FA5"/>
    <w:rsid w:val="78F044C0"/>
    <w:rsid w:val="793D3D59"/>
    <w:rsid w:val="795F47C4"/>
    <w:rsid w:val="795F4B87"/>
    <w:rsid w:val="799447B2"/>
    <w:rsid w:val="79993DEC"/>
    <w:rsid w:val="79D33A4B"/>
    <w:rsid w:val="79EA1578"/>
    <w:rsid w:val="79F9227E"/>
    <w:rsid w:val="7A03141B"/>
    <w:rsid w:val="7A2F68CB"/>
    <w:rsid w:val="7A532F6D"/>
    <w:rsid w:val="7A9E603E"/>
    <w:rsid w:val="7AA163B3"/>
    <w:rsid w:val="7AB01F3D"/>
    <w:rsid w:val="7ACE4950"/>
    <w:rsid w:val="7ADB04CF"/>
    <w:rsid w:val="7ADD1DF2"/>
    <w:rsid w:val="7AFE0D18"/>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B302CB"/>
    <w:rsid w:val="7D1948FD"/>
    <w:rsid w:val="7D2C6F9F"/>
    <w:rsid w:val="7D543264"/>
    <w:rsid w:val="7D595C0E"/>
    <w:rsid w:val="7D6D7156"/>
    <w:rsid w:val="7D7115AD"/>
    <w:rsid w:val="7DAE4568"/>
    <w:rsid w:val="7DC85A4E"/>
    <w:rsid w:val="7DF550BA"/>
    <w:rsid w:val="7E531FFF"/>
    <w:rsid w:val="7E5E764B"/>
    <w:rsid w:val="7ECB55B8"/>
    <w:rsid w:val="7EE626A2"/>
    <w:rsid w:val="7EF54C4F"/>
    <w:rsid w:val="7EFB3937"/>
    <w:rsid w:val="7F020EC4"/>
    <w:rsid w:val="7F381A2F"/>
    <w:rsid w:val="7F5957B0"/>
    <w:rsid w:val="7F9846AE"/>
    <w:rsid w:val="7F9A7F46"/>
    <w:rsid w:val="7FAD0277"/>
    <w:rsid w:val="7FBD28C5"/>
    <w:rsid w:val="7FC50214"/>
    <w:rsid w:val="7FEF71EF"/>
    <w:rsid w:val="D5EDDD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paragraph" w:styleId="7">
    <w:name w:val="heading 4"/>
    <w:basedOn w:val="1"/>
    <w:next w:val="1"/>
    <w:link w:val="56"/>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line="360" w:lineRule="exact"/>
    </w:pPr>
    <w:rPr>
      <w:b/>
      <w:sz w:val="24"/>
    </w:rPr>
  </w:style>
  <w:style w:type="paragraph" w:styleId="3">
    <w:name w:val="Body Text First Indent"/>
    <w:basedOn w:val="2"/>
    <w:next w:val="1"/>
    <w:link w:val="54"/>
    <w:qFormat/>
    <w:uiPriority w:val="99"/>
    <w:pPr>
      <w:ind w:firstLine="200" w:firstLineChars="200"/>
    </w:pPr>
  </w:style>
  <w:style w:type="paragraph" w:styleId="8">
    <w:name w:val="List Number"/>
    <w:basedOn w:val="1"/>
    <w:qFormat/>
    <w:uiPriority w:val="99"/>
    <w:pPr>
      <w:numPr>
        <w:ilvl w:val="0"/>
        <w:numId w:val="2"/>
      </w:numPr>
    </w:pPr>
  </w:style>
  <w:style w:type="paragraph" w:styleId="9">
    <w:name w:val="Normal Indent"/>
    <w:basedOn w:val="1"/>
    <w:link w:val="66"/>
    <w:qFormat/>
    <w:uiPriority w:val="0"/>
    <w:pPr>
      <w:ind w:firstLine="420"/>
    </w:pPr>
    <w:rPr>
      <w:szCs w:val="20"/>
    </w:rPr>
  </w:style>
  <w:style w:type="paragraph" w:styleId="10">
    <w:name w:val="annotation text"/>
    <w:basedOn w:val="1"/>
    <w:link w:val="60"/>
    <w:qFormat/>
    <w:uiPriority w:val="0"/>
    <w:pPr>
      <w:jc w:val="left"/>
    </w:pPr>
  </w:style>
  <w:style w:type="paragraph" w:styleId="11">
    <w:name w:val="Body Text 3"/>
    <w:basedOn w:val="1"/>
    <w:link w:val="71"/>
    <w:unhideWhenUsed/>
    <w:qFormat/>
    <w:uiPriority w:val="0"/>
    <w:pPr>
      <w:spacing w:after="120"/>
    </w:pPr>
    <w:rPr>
      <w:sz w:val="16"/>
      <w:szCs w:val="16"/>
    </w:rPr>
  </w:style>
  <w:style w:type="paragraph" w:styleId="12">
    <w:name w:val="Body Text Indent"/>
    <w:basedOn w:val="1"/>
    <w:next w:val="1"/>
    <w:qFormat/>
    <w:uiPriority w:val="0"/>
    <w:pPr>
      <w:spacing w:after="120"/>
      <w:ind w:left="420" w:leftChars="200"/>
    </w:pPr>
  </w:style>
  <w:style w:type="paragraph" w:styleId="13">
    <w:name w:val="Block Text"/>
    <w:basedOn w:val="1"/>
    <w:next w:val="7"/>
    <w:qFormat/>
    <w:uiPriority w:val="0"/>
    <w:pPr>
      <w:spacing w:after="120"/>
    </w:pPr>
    <w:rPr>
      <w:rFonts w:asciiTheme="minorHAnsi" w:hAnsiTheme="minorHAnsi" w:eastAsiaTheme="minorEastAsia" w:cstheme="minorBidi"/>
    </w:rPr>
  </w:style>
  <w:style w:type="paragraph" w:styleId="14">
    <w:name w:val="Plain Text"/>
    <w:basedOn w:val="1"/>
    <w:next w:val="1"/>
    <w:link w:val="58"/>
    <w:qFormat/>
    <w:uiPriority w:val="0"/>
    <w:rPr>
      <w:rFonts w:ascii="宋体" w:hAnsi="Courier New" w:cstheme="minorBidi"/>
    </w:rPr>
  </w:style>
  <w:style w:type="paragraph" w:styleId="15">
    <w:name w:val="Date"/>
    <w:basedOn w:val="1"/>
    <w:next w:val="1"/>
    <w:link w:val="59"/>
    <w:qFormat/>
    <w:uiPriority w:val="99"/>
    <w:pPr>
      <w:ind w:left="2500" w:leftChars="2500"/>
    </w:pPr>
    <w:rPr>
      <w:rFonts w:eastAsia="楷体_GB2312" w:asciiTheme="minorHAnsi" w:hAnsiTheme="minorHAnsi" w:cstheme="minorBidi"/>
      <w:sz w:val="32"/>
      <w:szCs w:val="22"/>
    </w:rPr>
  </w:style>
  <w:style w:type="paragraph" w:styleId="16">
    <w:name w:val="Balloon Text"/>
    <w:basedOn w:val="1"/>
    <w:link w:val="53"/>
    <w:qFormat/>
    <w:uiPriority w:val="0"/>
    <w:rPr>
      <w:sz w:val="18"/>
      <w:szCs w:val="18"/>
    </w:rPr>
  </w:style>
  <w:style w:type="paragraph" w:styleId="17">
    <w:name w:val="footer"/>
    <w:basedOn w:val="1"/>
    <w:link w:val="67"/>
    <w:qFormat/>
    <w:uiPriority w:val="99"/>
    <w:pPr>
      <w:tabs>
        <w:tab w:val="center" w:pos="4153"/>
        <w:tab w:val="right" w:pos="8306"/>
      </w:tabs>
      <w:snapToGrid w:val="0"/>
      <w:jc w:val="left"/>
    </w:pPr>
    <w:rPr>
      <w:sz w:val="18"/>
    </w:rPr>
  </w:style>
  <w:style w:type="paragraph" w:styleId="18">
    <w:name w:val="envelope return"/>
    <w:basedOn w:val="1"/>
    <w:qFormat/>
    <w:uiPriority w:val="0"/>
    <w:pPr>
      <w:snapToGrid w:val="0"/>
    </w:pPr>
    <w:rPr>
      <w:rFonts w:ascii="Arial" w:hAnsi="Arial"/>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6"/>
    <w:basedOn w:val="1"/>
    <w:next w:val="1"/>
    <w:qFormat/>
    <w:uiPriority w:val="39"/>
    <w:pPr>
      <w:ind w:left="1050"/>
      <w:jc w:val="left"/>
    </w:pPr>
    <w:rPr>
      <w:rFonts w:ascii="Calibri" w:hAnsi="Calibri" w:cs="Calibri"/>
      <w:sz w:val="18"/>
      <w:szCs w:val="18"/>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Title"/>
    <w:basedOn w:val="1"/>
    <w:next w:val="1"/>
    <w:link w:val="57"/>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3">
    <w:name w:val="annotation subject"/>
    <w:basedOn w:val="10"/>
    <w:next w:val="10"/>
    <w:link w:val="62"/>
    <w:qFormat/>
    <w:uiPriority w:val="0"/>
    <w:rPr>
      <w:b/>
      <w:bCs/>
    </w:rPr>
  </w:style>
  <w:style w:type="paragraph" w:styleId="24">
    <w:name w:val="Body Text First Indent 2"/>
    <w:basedOn w:val="12"/>
    <w:next w:val="1"/>
    <w:link w:val="69"/>
    <w:qFormat/>
    <w:uiPriority w:val="0"/>
    <w:pPr>
      <w:ind w:firstLine="420"/>
    </w:pPr>
  </w:style>
  <w:style w:type="table" w:styleId="26">
    <w:name w:val="Table Grid"/>
    <w:basedOn w:val="25"/>
    <w:qFormat/>
    <w:uiPriority w:val="0"/>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8">
    <w:name w:val="Hyperlink"/>
    <w:qFormat/>
    <w:uiPriority w:val="0"/>
    <w:rPr>
      <w:color w:val="0000FF"/>
      <w:u w:val="single"/>
    </w:rPr>
  </w:style>
  <w:style w:type="character" w:styleId="29">
    <w:name w:val="annotation reference"/>
    <w:basedOn w:val="27"/>
    <w:qFormat/>
    <w:uiPriority w:val="0"/>
    <w:rPr>
      <w:sz w:val="21"/>
      <w:szCs w:val="21"/>
    </w:rPr>
  </w:style>
  <w:style w:type="paragraph" w:customStyle="1" w:styleId="30">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1">
    <w:name w:val="List Paragraph"/>
    <w:basedOn w:val="1"/>
    <w:qFormat/>
    <w:uiPriority w:val="0"/>
    <w:pPr>
      <w:ind w:firstLine="420" w:firstLineChars="200"/>
    </w:pPr>
    <w:rPr>
      <w:rFonts w:ascii="Calibri" w:hAnsi="Calibri"/>
      <w:szCs w:val="22"/>
    </w:rPr>
  </w:style>
  <w:style w:type="paragraph" w:customStyle="1" w:styleId="32">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3">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qFormat/>
    <w:uiPriority w:val="0"/>
    <w:rPr>
      <w:rFonts w:ascii="Times New Roman" w:hAnsi="Times New Roman" w:eastAsia="宋体" w:cs="Times New Roman"/>
      <w:sz w:val="21"/>
      <w:szCs w:val="22"/>
      <w:lang w:val="en-US" w:eastAsia="zh-CN" w:bidi="ar-SA"/>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qFormat/>
    <w:uiPriority w:val="0"/>
    <w:pPr>
      <w:widowControl/>
      <w:jc w:val="left"/>
    </w:pPr>
    <w:rPr>
      <w:rFonts w:ascii="宋体" w:hAnsi="Courier New" w:eastAsiaTheme="minorEastAsia" w:cstheme="minorBidi"/>
      <w:szCs w:val="21"/>
    </w:rPr>
  </w:style>
  <w:style w:type="paragraph" w:customStyle="1" w:styleId="41">
    <w:name w:val="纯文本_0_1"/>
    <w:basedOn w:val="1"/>
    <w:qFormat/>
    <w:uiPriority w:val="0"/>
    <w:pPr>
      <w:widowControl/>
      <w:jc w:val="left"/>
    </w:pPr>
    <w:rPr>
      <w:rFonts w:ascii="宋体" w:hAnsi="Courier New" w:eastAsiaTheme="minorEastAsia" w:cstheme="minorBidi"/>
      <w:szCs w:val="21"/>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font21"/>
    <w:basedOn w:val="27"/>
    <w:qFormat/>
    <w:uiPriority w:val="0"/>
    <w:rPr>
      <w:rFonts w:hint="default" w:ascii="Arial" w:hAnsi="Arial" w:cs="Arial"/>
      <w:color w:val="000000"/>
      <w:sz w:val="20"/>
      <w:szCs w:val="20"/>
      <w:u w:val="none"/>
    </w:rPr>
  </w:style>
  <w:style w:type="character" w:customStyle="1" w:styleId="47">
    <w:name w:val="font01"/>
    <w:basedOn w:val="27"/>
    <w:qFormat/>
    <w:uiPriority w:val="0"/>
    <w:rPr>
      <w:rFonts w:hint="eastAsia" w:ascii="宋体" w:hAnsi="宋体" w:eastAsia="宋体" w:cs="宋体"/>
      <w:color w:val="000000"/>
      <w:sz w:val="20"/>
      <w:szCs w:val="20"/>
      <w:u w:val="none"/>
    </w:rPr>
  </w:style>
  <w:style w:type="paragraph" w:customStyle="1" w:styleId="48">
    <w:name w:val="纯文本1"/>
    <w:basedOn w:val="49"/>
    <w:qFormat/>
    <w:uiPriority w:val="0"/>
    <w:pPr>
      <w:widowControl/>
      <w:jc w:val="left"/>
    </w:pPr>
    <w:rPr>
      <w:rFonts w:ascii="宋体" w:hAnsi="Courier New"/>
    </w:rPr>
  </w:style>
  <w:style w:type="paragraph" w:customStyle="1" w:styleId="4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0">
    <w:name w:val="Table Paragraph"/>
    <w:basedOn w:val="1"/>
    <w:qFormat/>
    <w:uiPriority w:val="1"/>
    <w:rPr>
      <w:rFonts w:ascii="宋体" w:hAnsi="宋体" w:cs="宋体"/>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默认段落字体 Para Char Char Char Char Char Char Char Char Char1 Char Char Char Char"/>
    <w:basedOn w:val="1"/>
    <w:qFormat/>
    <w:uiPriority w:val="0"/>
    <w:rPr>
      <w:rFonts w:ascii="Tahoma" w:hAnsi="Tahoma"/>
      <w:sz w:val="24"/>
      <w:szCs w:val="20"/>
    </w:rPr>
  </w:style>
  <w:style w:type="character" w:customStyle="1" w:styleId="53">
    <w:name w:val="批注框文本 Char"/>
    <w:basedOn w:val="27"/>
    <w:link w:val="16"/>
    <w:qFormat/>
    <w:uiPriority w:val="0"/>
    <w:rPr>
      <w:kern w:val="2"/>
      <w:sz w:val="18"/>
      <w:szCs w:val="18"/>
    </w:rPr>
  </w:style>
  <w:style w:type="character" w:customStyle="1" w:styleId="54">
    <w:name w:val="正文首行缩进 Char"/>
    <w:basedOn w:val="27"/>
    <w:link w:val="3"/>
    <w:qFormat/>
    <w:uiPriority w:val="99"/>
    <w:rPr>
      <w:kern w:val="2"/>
      <w:sz w:val="21"/>
      <w:szCs w:val="24"/>
    </w:rPr>
  </w:style>
  <w:style w:type="paragraph" w:customStyle="1" w:styleId="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6">
    <w:name w:val="标题 4 Char"/>
    <w:basedOn w:val="27"/>
    <w:link w:val="7"/>
    <w:qFormat/>
    <w:uiPriority w:val="0"/>
    <w:rPr>
      <w:rFonts w:asciiTheme="majorHAnsi" w:hAnsiTheme="majorHAnsi" w:eastAsiaTheme="majorEastAsia" w:cstheme="majorBidi"/>
      <w:b/>
      <w:bCs/>
      <w:kern w:val="2"/>
      <w:sz w:val="28"/>
      <w:szCs w:val="28"/>
    </w:rPr>
  </w:style>
  <w:style w:type="character" w:customStyle="1" w:styleId="57">
    <w:name w:val="标题 Char"/>
    <w:basedOn w:val="27"/>
    <w:link w:val="22"/>
    <w:qFormat/>
    <w:uiPriority w:val="0"/>
    <w:rPr>
      <w:rFonts w:ascii="Cambria" w:hAnsi="Cambria"/>
      <w:b/>
      <w:color w:val="000000"/>
      <w:sz w:val="32"/>
      <w:szCs w:val="32"/>
    </w:rPr>
  </w:style>
  <w:style w:type="character" w:customStyle="1" w:styleId="58">
    <w:name w:val="纯文本 Char"/>
    <w:link w:val="14"/>
    <w:qFormat/>
    <w:uiPriority w:val="0"/>
    <w:rPr>
      <w:rFonts w:ascii="宋体" w:hAnsi="Courier New" w:cstheme="minorBidi"/>
      <w:kern w:val="2"/>
      <w:sz w:val="21"/>
      <w:szCs w:val="24"/>
    </w:rPr>
  </w:style>
  <w:style w:type="character" w:customStyle="1" w:styleId="59">
    <w:name w:val="日期 Char"/>
    <w:basedOn w:val="27"/>
    <w:link w:val="15"/>
    <w:qFormat/>
    <w:uiPriority w:val="99"/>
    <w:rPr>
      <w:rFonts w:eastAsia="楷体_GB2312" w:asciiTheme="minorHAnsi" w:hAnsiTheme="minorHAnsi" w:cstheme="minorBidi"/>
      <w:kern w:val="2"/>
      <w:sz w:val="32"/>
      <w:szCs w:val="22"/>
    </w:rPr>
  </w:style>
  <w:style w:type="character" w:customStyle="1" w:styleId="60">
    <w:name w:val="批注文字 Char"/>
    <w:basedOn w:val="27"/>
    <w:link w:val="10"/>
    <w:qFormat/>
    <w:uiPriority w:val="99"/>
    <w:rPr>
      <w:kern w:val="2"/>
      <w:sz w:val="21"/>
      <w:szCs w:val="24"/>
    </w:rPr>
  </w:style>
  <w:style w:type="paragraph" w:customStyle="1" w:styleId="61">
    <w:name w:val="列出段落1"/>
    <w:basedOn w:val="1"/>
    <w:link w:val="65"/>
    <w:qFormat/>
    <w:uiPriority w:val="34"/>
    <w:pPr>
      <w:widowControl/>
      <w:ind w:firstLine="420" w:firstLineChars="200"/>
      <w:jc w:val="left"/>
    </w:pPr>
    <w:rPr>
      <w:rFonts w:asciiTheme="minorHAnsi" w:hAnsiTheme="minorHAnsi" w:eastAsiaTheme="minorEastAsia" w:cstheme="minorBidi"/>
      <w:sz w:val="24"/>
      <w:szCs w:val="22"/>
    </w:rPr>
  </w:style>
  <w:style w:type="character" w:customStyle="1" w:styleId="62">
    <w:name w:val="批注主题 Char"/>
    <w:basedOn w:val="60"/>
    <w:link w:val="23"/>
    <w:qFormat/>
    <w:uiPriority w:val="0"/>
    <w:rPr>
      <w:b/>
      <w:bCs/>
      <w:kern w:val="2"/>
      <w:sz w:val="21"/>
      <w:szCs w:val="24"/>
    </w:rPr>
  </w:style>
  <w:style w:type="paragraph" w:customStyle="1" w:styleId="6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4">
    <w:name w:val="列出段落3"/>
    <w:basedOn w:val="1"/>
    <w:qFormat/>
    <w:uiPriority w:val="34"/>
    <w:pPr>
      <w:ind w:firstLine="420" w:firstLineChars="200"/>
    </w:pPr>
  </w:style>
  <w:style w:type="character" w:customStyle="1" w:styleId="65">
    <w:name w:val="List Paragraph Char"/>
    <w:link w:val="61"/>
    <w:qFormat/>
    <w:locked/>
    <w:uiPriority w:val="34"/>
    <w:rPr>
      <w:rFonts w:asciiTheme="minorHAnsi" w:hAnsiTheme="minorHAnsi" w:eastAsiaTheme="minorEastAsia" w:cstheme="minorBidi"/>
      <w:kern w:val="2"/>
      <w:sz w:val="24"/>
      <w:szCs w:val="22"/>
    </w:rPr>
  </w:style>
  <w:style w:type="character" w:customStyle="1" w:styleId="66">
    <w:name w:val="正文缩进 Char"/>
    <w:link w:val="9"/>
    <w:qFormat/>
    <w:uiPriority w:val="0"/>
    <w:rPr>
      <w:kern w:val="2"/>
      <w:sz w:val="21"/>
    </w:rPr>
  </w:style>
  <w:style w:type="character" w:customStyle="1" w:styleId="67">
    <w:name w:val="页脚 Char"/>
    <w:basedOn w:val="27"/>
    <w:link w:val="17"/>
    <w:qFormat/>
    <w:uiPriority w:val="99"/>
    <w:rPr>
      <w:kern w:val="2"/>
      <w:sz w:val="18"/>
      <w:szCs w:val="24"/>
    </w:rPr>
  </w:style>
  <w:style w:type="paragraph" w:customStyle="1" w:styleId="68">
    <w:name w:val="表格文字"/>
    <w:basedOn w:val="1"/>
    <w:next w:val="2"/>
    <w:qFormat/>
    <w:uiPriority w:val="99"/>
    <w:pPr>
      <w:adjustRightInd w:val="0"/>
      <w:spacing w:line="420" w:lineRule="atLeast"/>
      <w:jc w:val="left"/>
      <w:textAlignment w:val="baseline"/>
    </w:pPr>
    <w:rPr>
      <w:kern w:val="0"/>
      <w:szCs w:val="21"/>
    </w:rPr>
  </w:style>
  <w:style w:type="character" w:customStyle="1" w:styleId="69">
    <w:name w:val="正文首行缩进 2 Char"/>
    <w:basedOn w:val="27"/>
    <w:link w:val="24"/>
    <w:qFormat/>
    <w:uiPriority w:val="0"/>
    <w:rPr>
      <w:kern w:val="2"/>
      <w:sz w:val="21"/>
      <w:szCs w:val="24"/>
    </w:rPr>
  </w:style>
  <w:style w:type="paragraph" w:customStyle="1" w:styleId="70">
    <w:name w:val="Fließtext"/>
    <w:basedOn w:val="1"/>
    <w:qFormat/>
    <w:uiPriority w:val="0"/>
    <w:pPr>
      <w:overflowPunct w:val="0"/>
      <w:autoSpaceDE w:val="0"/>
      <w:autoSpaceDN w:val="0"/>
      <w:adjustRightInd w:val="0"/>
      <w:textAlignment w:val="baseline"/>
    </w:pPr>
    <w:rPr>
      <w:kern w:val="28"/>
      <w:szCs w:val="20"/>
    </w:rPr>
  </w:style>
  <w:style w:type="character" w:customStyle="1" w:styleId="71">
    <w:name w:val="正文文本 3 Char"/>
    <w:basedOn w:val="27"/>
    <w:link w:val="11"/>
    <w:qFormat/>
    <w:uiPriority w:val="0"/>
    <w:rPr>
      <w:kern w:val="2"/>
      <w:sz w:val="16"/>
      <w:szCs w:val="16"/>
    </w:rPr>
  </w:style>
  <w:style w:type="character" w:customStyle="1" w:styleId="72">
    <w:name w:val="批注文字 字符"/>
    <w:qFormat/>
    <w:uiPriority w:val="99"/>
    <w:rPr>
      <w:rFonts w:ascii="宋体" w:hAnsi="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33E06C-D790-4792-84F5-EC41A35BD766}">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53</Pages>
  <Words>31878</Words>
  <Characters>33365</Characters>
  <Lines>240</Lines>
  <Paragraphs>67</Paragraphs>
  <TotalTime>4</TotalTime>
  <ScaleCrop>false</ScaleCrop>
  <LinksUpToDate>false</LinksUpToDate>
  <CharactersWithSpaces>34407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2025-03-18T00:50:00Z</dcterms:created>
  <dc:creator>Thorpe521</dc:creator>
  <cp:lastModifiedBy>哈哈 </cp:lastModifiedBy>
  <cp:lastPrinted>2024-05-30T00:43:00Z</cp:lastPrinted>
  <dcterms:modified xsi:type="dcterms:W3CDTF">2025-05-26T08:05:01Z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B5528B7B5F5048D99A3643148523CF5C</vt:lpwstr>
  </property>
  <property fmtid="{D5CDD505-2E9C-101B-9397-08002B2CF9AE}" pid="4" name="woTemplateTypoMode" linkTarget="0">
    <vt:lpwstr>web</vt:lpwstr>
  </property>
  <property fmtid="{D5CDD505-2E9C-101B-9397-08002B2CF9AE}" pid="5" name="woTemplate" linkTarget="0">
    <vt:i4>1</vt:i4>
  </property>
</Properties>
</file>