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olor w:val="000000" w:themeColor="text1"/>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drawing>
          <wp:inline distT="0" distB="0" distL="0" distR="0">
            <wp:extent cx="1424940" cy="1235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24940" cy="1235075"/>
                    </a:xfrm>
                    <a:prstGeom prst="rect">
                      <a:avLst/>
                    </a:prstGeom>
                    <a:noFill/>
                    <a:ln>
                      <a:noFill/>
                    </a:ln>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olor w:val="000000" w:themeColor="text1"/>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color w:val="000000" w:themeColor="text1"/>
          <w:kern w:val="0"/>
          <w:sz w:val="52"/>
          <w:szCs w:val="52"/>
          <w14:textFill>
            <w14:solidFill>
              <w14:schemeClr w14:val="tx1"/>
            </w14:solidFill>
          </w14:textFill>
        </w:rPr>
      </w:pPr>
      <w:r>
        <w:rPr>
          <w:rFonts w:hint="eastAsia" w:ascii="宋体" w:hAnsi="宋体" w:cs="宋体"/>
          <w:b/>
          <w:color w:val="000000" w:themeColor="text1"/>
          <w:kern w:val="0"/>
          <w:sz w:val="52"/>
          <w:szCs w:val="52"/>
          <w14:textFill>
            <w14:solidFill>
              <w14:schemeClr w14:val="tx1"/>
            </w14:solidFill>
          </w14:textFill>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color w:val="000000" w:themeColor="text1"/>
          <w:sz w:val="24"/>
          <w14:textFill>
            <w14:solidFill>
              <w14:schemeClr w14:val="tx1"/>
            </w14:solidFill>
          </w14:textFill>
        </w:rPr>
        <w:t>（线上电子招投标）</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eastAsia="宋体" w:cs="宋体"/>
          <w:b/>
          <w:bCs/>
          <w:color w:val="000000" w:themeColor="text1"/>
          <w:kern w:val="0"/>
          <w:sz w:val="32"/>
          <w:szCs w:val="32"/>
          <w:lang w:eastAsia="zh-CN"/>
          <w14:textFill>
            <w14:solidFill>
              <w14:schemeClr w14:val="tx1"/>
            </w14:solidFill>
          </w14:textFill>
        </w:rPr>
      </w:pPr>
      <w:r>
        <w:rPr>
          <w:rFonts w:hint="eastAsia" w:ascii="宋体" w:hAnsi="宋体" w:cs="宋体"/>
          <w:b/>
          <w:bCs/>
          <w:color w:val="000000" w:themeColor="text1"/>
          <w:kern w:val="0"/>
          <w:sz w:val="32"/>
          <w:szCs w:val="32"/>
          <w:lang w:eastAsia="zh-CN"/>
          <w14:textFill>
            <w14:solidFill>
              <w14:schemeClr w14:val="tx1"/>
            </w14:solidFill>
          </w14:textFill>
        </w:rPr>
        <w:t>WLCG-2024-CS018号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宋体"/>
          <w:color w:val="000000" w:themeColor="text1"/>
          <w:kern w:val="0"/>
          <w:sz w:val="30"/>
          <w:szCs w:val="30"/>
          <w14:textFill>
            <w14:solidFill>
              <w14:schemeClr w14:val="tx1"/>
            </w14:solidFill>
          </w14:textFill>
        </w:rPr>
      </w:pPr>
    </w:p>
    <w:p>
      <w:pPr>
        <w:autoSpaceDE w:val="0"/>
        <w:autoSpaceDN w:val="0"/>
        <w:adjustRightInd w:val="0"/>
        <w:spacing w:line="360" w:lineRule="auto"/>
        <w:ind w:firstLine="1120" w:firstLineChars="400"/>
        <w:rPr>
          <w:rFonts w:ascii="宋体" w:hAnsi="宋体"/>
          <w:color w:val="000000" w:themeColor="text1"/>
          <w:kern w:val="0"/>
          <w:sz w:val="28"/>
          <w14:textFill>
            <w14:solidFill>
              <w14:schemeClr w14:val="tx1"/>
            </w14:solidFill>
          </w14:textFill>
        </w:rPr>
      </w:pPr>
      <w:r>
        <w:rPr>
          <w:rFonts w:hint="eastAsia" w:ascii="宋体" w:hAnsi="宋体"/>
          <w:color w:val="000000" w:themeColor="text1"/>
          <w:kern w:val="0"/>
          <w:sz w:val="28"/>
          <w14:textFill>
            <w14:solidFill>
              <w14:schemeClr w14:val="tx1"/>
            </w14:solidFill>
          </w14:textFill>
        </w:rPr>
        <w:t>采购项目：椒江区人民法院数字法庭存储扩容项目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firstLine="1120" w:firstLineChars="400"/>
        <w:jc w:val="left"/>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kern w:val="0"/>
          <w:sz w:val="28"/>
          <w14:textFill>
            <w14:solidFill>
              <w14:schemeClr w14:val="tx1"/>
            </w14:solidFill>
          </w14:textFill>
        </w:rPr>
        <w:t>采 购 人：</w:t>
      </w:r>
      <w:r>
        <w:rPr>
          <w:rFonts w:hint="eastAsia" w:ascii="宋体"/>
          <w:color w:val="000000" w:themeColor="text1"/>
          <w:kern w:val="0"/>
          <w:sz w:val="28"/>
          <w14:textFill>
            <w14:solidFill>
              <w14:schemeClr w14:val="tx1"/>
            </w14:solidFill>
          </w14:textFill>
        </w:rPr>
        <w:t>台州市椒江区人民法院</w:t>
      </w:r>
    </w:p>
    <w:p>
      <w:pPr>
        <w:pStyle w:val="12"/>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台州蔚蓝投资咨询有限公司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3360" w:firstLineChars="1200"/>
        <w:rPr>
          <w:rFonts w:ascii="宋体" w:hAnsi="宋体" w:cs="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202</w:t>
      </w:r>
      <w:r>
        <w:rPr>
          <w:rFonts w:hint="eastAsia" w:ascii="宋体" w:hAnsi="宋体"/>
          <w:color w:val="000000" w:themeColor="text1"/>
          <w:sz w:val="28"/>
          <w:szCs w:val="28"/>
          <w:lang w:val="en-US" w:eastAsia="zh-CN"/>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月</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themeColor="text1"/>
          <w:kern w:val="0"/>
          <w:sz w:val="28"/>
          <w:szCs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themeColor="text1"/>
          <w:kern w:val="0"/>
          <w:sz w:val="28"/>
          <w:szCs w:val="28"/>
          <w14:textFill>
            <w14:solidFill>
              <w14:schemeClr w14:val="tx1"/>
            </w14:solidFill>
          </w14:textFill>
        </w:rPr>
      </w:pPr>
    </w:p>
    <w:p>
      <w:pPr>
        <w:pStyle w:val="12"/>
        <w:rPr>
          <w:rFonts w:ascii="宋体" w:hAnsi="宋体" w:cs="Arial"/>
          <w:b/>
          <w:bCs/>
          <w:color w:val="000000" w:themeColor="text1"/>
          <w:sz w:val="36"/>
          <w:szCs w:val="36"/>
          <w14:textFill>
            <w14:solidFill>
              <w14:schemeClr w14:val="tx1"/>
            </w14:solidFill>
          </w14:textFill>
        </w:rPr>
      </w:pPr>
    </w:p>
    <w:p>
      <w:pPr>
        <w:spacing w:line="360" w:lineRule="auto"/>
        <w:jc w:val="center"/>
        <w:rPr>
          <w:rFonts w:ascii="宋体" w:hAnsi="宋体" w:cs="Arial"/>
          <w:b/>
          <w:bCs/>
          <w:color w:val="000000" w:themeColor="text1"/>
          <w:sz w:val="36"/>
          <w:szCs w:val="36"/>
          <w14:textFill>
            <w14:solidFill>
              <w14:schemeClr w14:val="tx1"/>
            </w14:solidFill>
          </w14:textFill>
        </w:rPr>
      </w:pPr>
      <w:r>
        <w:rPr>
          <w:rFonts w:hint="eastAsia" w:ascii="宋体" w:hAnsi="宋体" w:cs="Arial"/>
          <w:b/>
          <w:bCs/>
          <w:color w:val="000000" w:themeColor="text1"/>
          <w:sz w:val="36"/>
          <w:szCs w:val="36"/>
          <w14:textFill>
            <w14:solidFill>
              <w14:schemeClr w14:val="tx1"/>
            </w14:solidFill>
          </w14:textFill>
        </w:rPr>
        <w:t>目    录</w:t>
      </w:r>
    </w:p>
    <w:p>
      <w:pPr>
        <w:spacing w:line="360" w:lineRule="auto"/>
        <w:ind w:left="960"/>
        <w:rPr>
          <w:rFonts w:ascii="宋体" w:hAnsi="宋体"/>
          <w:color w:val="000000" w:themeColor="text1"/>
          <w:sz w:val="10"/>
          <w14:textFill>
            <w14:solidFill>
              <w14:schemeClr w14:val="tx1"/>
            </w14:solidFill>
          </w14:textFill>
        </w:rPr>
      </w:pPr>
    </w:p>
    <w:p>
      <w:pPr>
        <w:spacing w:line="360" w:lineRule="auto"/>
        <w:ind w:left="960"/>
        <w:rPr>
          <w:rFonts w:ascii="宋体" w:hAnsi="宋体"/>
          <w:color w:val="000000" w:themeColor="text1"/>
          <w:sz w:val="10"/>
          <w14:textFill>
            <w14:solidFill>
              <w14:schemeClr w14:val="tx1"/>
            </w14:solidFill>
          </w14:textFill>
        </w:rPr>
      </w:pPr>
    </w:p>
    <w:p>
      <w:pPr>
        <w:spacing w:line="360" w:lineRule="auto"/>
        <w:ind w:left="960"/>
        <w:rPr>
          <w:rFonts w:ascii="宋体" w:hAnsi="宋体"/>
          <w:color w:val="000000" w:themeColor="text1"/>
          <w:sz w:val="10"/>
          <w14:textFill>
            <w14:solidFill>
              <w14:schemeClr w14:val="tx1"/>
            </w14:solidFill>
          </w14:textFill>
        </w:rPr>
      </w:pPr>
    </w:p>
    <w:p>
      <w:pPr>
        <w:spacing w:line="360" w:lineRule="auto"/>
        <w:ind w:left="359" w:leftChars="171" w:firstLine="481" w:firstLineChars="17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一、竞争性磋商公告</w:t>
      </w:r>
    </w:p>
    <w:p>
      <w:pPr>
        <w:spacing w:line="360" w:lineRule="auto"/>
        <w:ind w:left="359" w:leftChars="171" w:firstLine="481" w:firstLineChars="171"/>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w:t>
      </w:r>
      <w:r>
        <w:rPr>
          <w:rFonts w:hint="eastAsia" w:ascii="宋体" w:hAnsi="宋体"/>
          <w:b/>
          <w:color w:val="000000" w:themeColor="text1"/>
          <w:kern w:val="0"/>
          <w:sz w:val="28"/>
          <w:szCs w:val="28"/>
          <w14:textFill>
            <w14:solidFill>
              <w14:schemeClr w14:val="tx1"/>
            </w14:solidFill>
          </w14:textFill>
        </w:rPr>
        <w:t>项目需求</w:t>
      </w:r>
    </w:p>
    <w:p>
      <w:pPr>
        <w:spacing w:line="360" w:lineRule="auto"/>
        <w:ind w:left="359" w:leftChars="171" w:firstLine="481" w:firstLineChars="17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三、供应商须知</w:t>
      </w:r>
    </w:p>
    <w:p>
      <w:pPr>
        <w:spacing w:line="360" w:lineRule="auto"/>
        <w:ind w:left="359" w:leftChars="171" w:firstLine="481" w:firstLineChars="17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四、评审办法及评审标准</w:t>
      </w:r>
    </w:p>
    <w:p>
      <w:pPr>
        <w:spacing w:line="360" w:lineRule="auto"/>
        <w:ind w:firstLine="703" w:firstLineChars="250"/>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 xml:space="preserve"> 五、政府采购合同主要条款指引</w:t>
      </w:r>
    </w:p>
    <w:p>
      <w:pPr>
        <w:spacing w:line="360" w:lineRule="auto"/>
        <w:ind w:left="359" w:leftChars="171" w:firstLine="481" w:firstLineChars="17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六、响应文件格式附件</w:t>
      </w:r>
    </w:p>
    <w:p>
      <w:pPr>
        <w:spacing w:line="360" w:lineRule="auto"/>
        <w:rPr>
          <w:rFonts w:ascii="宋体" w:hAnsi="宋体"/>
          <w:b/>
          <w:color w:val="000000" w:themeColor="text1"/>
          <w:sz w:val="28"/>
          <w:szCs w:val="28"/>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ascii="宋体" w:hAnsi="宋体" w:cs="宋体"/>
          <w:color w:val="000000" w:themeColor="text1"/>
          <w:kern w:val="0"/>
          <w:sz w:val="30"/>
          <w:szCs w:val="30"/>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right="23"/>
        <w:rPr>
          <w:rFonts w:ascii="宋体" w:hAnsi="宋体" w:cs="宋体"/>
          <w:b/>
          <w:color w:val="000000" w:themeColor="text1"/>
          <w:kern w:val="0"/>
          <w:sz w:val="36"/>
          <w:szCs w:val="36"/>
          <w14:textFill>
            <w14:solidFill>
              <w14:schemeClr w14:val="tx1"/>
            </w14:solidFill>
          </w14:textFill>
        </w:rPr>
      </w:pPr>
    </w:p>
    <w:p>
      <w:pPr>
        <w:pStyle w:val="12"/>
        <w:rPr>
          <w:color w:val="000000" w:themeColor="text1"/>
          <w14:textFill>
            <w14:solidFill>
              <w14:schemeClr w14:val="tx1"/>
            </w14:solidFill>
          </w14:textFill>
        </w:rPr>
      </w:pPr>
    </w:p>
    <w:p>
      <w:pPr>
        <w:pStyle w:val="13"/>
        <w:ind w:firstLine="2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7"/>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7"/>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tabs>
          <w:tab w:val="left" w:pos="0"/>
        </w:tabs>
        <w:autoSpaceDE w:val="0"/>
        <w:autoSpaceDN w:val="0"/>
        <w:adjustRightInd w:val="0"/>
        <w:spacing w:before="0" w:after="0" w:line="360" w:lineRule="auto"/>
        <w:jc w:val="center"/>
        <w:rPr>
          <w:rFonts w:ascii="宋体" w:hAnsi="宋体"/>
          <w:color w:val="000000" w:themeColor="text1"/>
          <w:sz w:val="36"/>
          <w:szCs w:val="36"/>
          <w14:textFill>
            <w14:solidFill>
              <w14:schemeClr w14:val="tx1"/>
            </w14:solidFill>
          </w14:textFill>
        </w:rPr>
      </w:pPr>
      <w:bookmarkStart w:id="0" w:name="_Toc28359011"/>
      <w:bookmarkStart w:id="1" w:name="_Toc35393797"/>
      <w:r>
        <w:rPr>
          <w:rFonts w:hint="eastAsia" w:ascii="宋体" w:hAnsi="宋体"/>
          <w:color w:val="000000" w:themeColor="text1"/>
          <w:sz w:val="36"/>
          <w:szCs w:val="36"/>
          <w14:textFill>
            <w14:solidFill>
              <w14:schemeClr w14:val="tx1"/>
            </w14:solidFill>
          </w14:textFill>
        </w:rPr>
        <w:t>第一章   竞争性磋商公告</w:t>
      </w:r>
      <w:bookmarkEnd w:id="0"/>
      <w:bookmarkEnd w:id="1"/>
    </w:p>
    <w:p>
      <w:pPr>
        <w:rPr>
          <w:rFonts w:ascii="宋体" w:hAnsi="宋体"/>
          <w:color w:val="000000" w:themeColor="text1"/>
          <w14:textFill>
            <w14:solidFill>
              <w14:schemeClr w14:val="tx1"/>
            </w14:solidFill>
          </w14:textFill>
        </w:rPr>
      </w:pPr>
    </w:p>
    <w:p>
      <w:pPr>
        <w:pBdr>
          <w:top w:val="single" w:color="auto" w:sz="4" w:space="1"/>
          <w:left w:val="single" w:color="auto" w:sz="4" w:space="4"/>
          <w:bottom w:val="single" w:color="auto" w:sz="4" w:space="1"/>
          <w:right w:val="single" w:color="auto" w:sz="4" w:space="4"/>
        </w:pBd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椒江法院数字法庭智能化升级改造项目的潜在供应商应在</w:t>
      </w:r>
      <w:r>
        <w:rPr>
          <w:rFonts w:hint="eastAsia" w:ascii="宋体" w:hAnsi="宋体"/>
          <w:color w:val="000000" w:themeColor="text1"/>
          <w:sz w:val="28"/>
          <w:szCs w:val="28"/>
          <w:u w:val="single"/>
          <w14:textFill>
            <w14:solidFill>
              <w14:schemeClr w14:val="tx1"/>
            </w14:solidFill>
          </w14:textFill>
        </w:rPr>
        <w:t>浙江政府采购网（http://zfcg.czt.zj.gov.cn）</w:t>
      </w:r>
      <w:r>
        <w:rPr>
          <w:rFonts w:hint="eastAsia" w:ascii="宋体" w:hAnsi="宋体"/>
          <w:color w:val="000000" w:themeColor="text1"/>
          <w:sz w:val="28"/>
          <w:szCs w:val="28"/>
          <w14:textFill>
            <w14:solidFill>
              <w14:schemeClr w14:val="tx1"/>
            </w14:solidFill>
          </w14:textFill>
        </w:rPr>
        <w:t>获取（下载）采购文件，并于</w:t>
      </w:r>
      <w:r>
        <w:rPr>
          <w:rFonts w:hint="eastAsia" w:ascii="宋体" w:hAnsi="宋体"/>
          <w:color w:val="000000" w:themeColor="text1"/>
          <w:sz w:val="28"/>
          <w:szCs w:val="28"/>
          <w:u w:val="single"/>
          <w14:textFill>
            <w14:solidFill>
              <w14:schemeClr w14:val="tx1"/>
            </w14:solidFill>
          </w14:textFill>
        </w:rPr>
        <w:t>202</w:t>
      </w:r>
      <w:r>
        <w:rPr>
          <w:rFonts w:hint="eastAsia" w:ascii="宋体" w:hAnsi="宋体"/>
          <w:color w:val="000000" w:themeColor="text1"/>
          <w:sz w:val="28"/>
          <w:szCs w:val="28"/>
          <w:u w:val="single"/>
          <w:lang w:val="en-US" w:eastAsia="zh-CN"/>
          <w14:textFill>
            <w14:solidFill>
              <w14:schemeClr w14:val="tx1"/>
            </w14:solidFill>
          </w14:textFill>
        </w:rPr>
        <w:t>4</w:t>
      </w:r>
      <w:r>
        <w:rPr>
          <w:rFonts w:hint="eastAsia" w:ascii="宋体" w:hAnsi="宋体"/>
          <w:color w:val="000000" w:themeColor="text1"/>
          <w:sz w:val="28"/>
          <w:szCs w:val="28"/>
          <w:u w:val="single"/>
          <w14:textFill>
            <w14:solidFill>
              <w14:schemeClr w14:val="tx1"/>
            </w14:solidFill>
          </w14:textFill>
        </w:rPr>
        <w:t>年</w:t>
      </w:r>
      <w:r>
        <w:rPr>
          <w:rFonts w:hint="eastAsia" w:ascii="宋体" w:hAnsi="宋体"/>
          <w:color w:val="000000" w:themeColor="text1"/>
          <w:sz w:val="28"/>
          <w:szCs w:val="28"/>
          <w:u w:val="single"/>
          <w:lang w:val="en-US" w:eastAsia="zh-CN"/>
          <w14:textFill>
            <w14:solidFill>
              <w14:schemeClr w14:val="tx1"/>
            </w14:solidFill>
          </w14:textFill>
        </w:rPr>
        <w:t>6月5日9</w:t>
      </w:r>
      <w:r>
        <w:rPr>
          <w:rFonts w:hint="eastAsia" w:ascii="宋体" w:hAnsi="宋体"/>
          <w:color w:val="000000" w:themeColor="text1"/>
          <w:sz w:val="28"/>
          <w:szCs w:val="28"/>
          <w:u w:val="single"/>
          <w14:textFill>
            <w14:solidFill>
              <w14:schemeClr w14:val="tx1"/>
            </w14:solidFill>
          </w14:textFill>
        </w:rPr>
        <w:t>点</w:t>
      </w:r>
      <w:r>
        <w:rPr>
          <w:rFonts w:hint="eastAsia" w:ascii="宋体" w:hAnsi="宋体"/>
          <w:color w:val="000000" w:themeColor="text1"/>
          <w:sz w:val="28"/>
          <w:szCs w:val="28"/>
          <w:u w:val="single"/>
          <w:lang w:val="en-US" w:eastAsia="zh-CN"/>
          <w14:textFill>
            <w14:solidFill>
              <w14:schemeClr w14:val="tx1"/>
            </w14:solidFill>
          </w14:textFill>
        </w:rPr>
        <w:t>00</w:t>
      </w:r>
      <w:r>
        <w:rPr>
          <w:rFonts w:hint="eastAsia" w:ascii="宋体" w:hAnsi="宋体"/>
          <w:color w:val="000000" w:themeColor="text1"/>
          <w:sz w:val="28"/>
          <w:szCs w:val="28"/>
          <w:u w:val="single"/>
          <w14:textFill>
            <w14:solidFill>
              <w14:schemeClr w14:val="tx1"/>
            </w14:solidFill>
          </w14:textFill>
        </w:rPr>
        <w:t>分</w:t>
      </w:r>
      <w:r>
        <w:rPr>
          <w:rFonts w:hint="eastAsia" w:ascii="宋体" w:hAnsi="宋体"/>
          <w:bCs/>
          <w:color w:val="000000" w:themeColor="text1"/>
          <w:sz w:val="28"/>
          <w:szCs w:val="28"/>
          <w14:textFill>
            <w14:solidFill>
              <w14:schemeClr w14:val="tx1"/>
            </w14:solidFill>
          </w14:textFill>
        </w:rPr>
        <w:t>（北京时间）前递交（上传）响应</w:t>
      </w:r>
      <w:r>
        <w:rPr>
          <w:rFonts w:ascii="宋体" w:hAnsi="宋体"/>
          <w:bCs/>
          <w:color w:val="000000" w:themeColor="text1"/>
          <w:sz w:val="28"/>
          <w:szCs w:val="28"/>
          <w14:textFill>
            <w14:solidFill>
              <w14:schemeClr w14:val="tx1"/>
            </w14:solidFill>
          </w14:textFill>
        </w:rPr>
        <w:t>文件</w:t>
      </w:r>
      <w:r>
        <w:rPr>
          <w:rFonts w:hint="eastAsia" w:ascii="宋体" w:hAnsi="宋体"/>
          <w:color w:val="000000" w:themeColor="text1"/>
          <w:sz w:val="28"/>
          <w:szCs w:val="28"/>
          <w14:textFill>
            <w14:solidFill>
              <w14:schemeClr w14:val="tx1"/>
            </w14:solidFill>
          </w14:textFill>
        </w:rPr>
        <w:t>。</w:t>
      </w:r>
    </w:p>
    <w:p>
      <w:pPr>
        <w:rPr>
          <w:rFonts w:ascii="宋体" w:hAnsi="宋体"/>
          <w:color w:val="000000" w:themeColor="text1"/>
          <w:sz w:val="24"/>
          <w14:textFill>
            <w14:solidFill>
              <w14:schemeClr w14:val="tx1"/>
            </w14:solidFill>
          </w14:textFill>
        </w:rPr>
      </w:pPr>
    </w:p>
    <w:p>
      <w:pPr>
        <w:pStyle w:val="4"/>
        <w:spacing w:before="0" w:after="0" w:line="360" w:lineRule="auto"/>
        <w:rPr>
          <w:rFonts w:ascii="宋体" w:hAnsi="宋体" w:eastAsia="宋体" w:cs="宋体"/>
          <w:bCs w:val="0"/>
          <w:color w:val="000000" w:themeColor="text1"/>
          <w:sz w:val="24"/>
          <w:szCs w:val="24"/>
          <w14:textFill>
            <w14:solidFill>
              <w14:schemeClr w14:val="tx1"/>
            </w14:solidFill>
          </w14:textFill>
        </w:rPr>
      </w:pPr>
      <w:bookmarkStart w:id="2" w:name="_Toc28359012"/>
      <w:bookmarkStart w:id="3" w:name="_Toc35393798"/>
      <w:bookmarkStart w:id="4" w:name="_Toc35393629"/>
      <w:bookmarkStart w:id="5" w:name="_Toc28359089"/>
      <w:r>
        <w:rPr>
          <w:rFonts w:hint="eastAsia" w:ascii="宋体" w:hAnsi="宋体" w:eastAsia="宋体" w:cs="宋体"/>
          <w:bCs w:val="0"/>
          <w:color w:val="000000" w:themeColor="text1"/>
          <w:sz w:val="24"/>
          <w:szCs w:val="24"/>
          <w14:textFill>
            <w14:solidFill>
              <w14:schemeClr w14:val="tx1"/>
            </w14:solidFill>
          </w14:textFill>
        </w:rPr>
        <w:t>一、项目基本情况</w:t>
      </w:r>
      <w:bookmarkEnd w:id="2"/>
      <w:bookmarkEnd w:id="3"/>
      <w:bookmarkEnd w:id="4"/>
      <w:bookmarkEnd w:id="5"/>
    </w:p>
    <w:p>
      <w:pPr>
        <w:spacing w:line="360" w:lineRule="auto"/>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hint="eastAsia" w:ascii="宋体" w:hAnsi="宋体"/>
          <w:color w:val="000000" w:themeColor="text1"/>
          <w:sz w:val="24"/>
          <w:lang w:eastAsia="zh-CN"/>
          <w14:textFill>
            <w14:solidFill>
              <w14:schemeClr w14:val="tx1"/>
            </w14:solidFill>
          </w14:textFill>
        </w:rPr>
        <w:t>WLCG-2024-CS018号</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项目名称：椒江区人民法院数字法庭存储扩容项目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采购方式：竞争性磋商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预算金额：</w:t>
      </w:r>
      <w:r>
        <w:rPr>
          <w:rFonts w:hint="eastAsia" w:ascii="宋体" w:hAnsi="宋体"/>
          <w:color w:val="000000" w:themeColor="text1"/>
          <w:sz w:val="24"/>
          <w:lang w:val="en-US" w:eastAsia="zh-CN"/>
          <w14:textFill>
            <w14:solidFill>
              <w14:schemeClr w14:val="tx1"/>
            </w14:solidFill>
          </w14:textFill>
        </w:rPr>
        <w:t>45万</w:t>
      </w:r>
      <w:r>
        <w:rPr>
          <w:rFonts w:hint="eastAsia" w:ascii="宋体" w:hAnsi="宋体"/>
          <w:color w:val="000000" w:themeColor="text1"/>
          <w:sz w:val="24"/>
          <w14:textFill>
            <w14:solidFill>
              <w14:schemeClr w14:val="tx1"/>
            </w14:solidFill>
          </w14:textFill>
        </w:rPr>
        <w:t>元</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最高限价：</w:t>
      </w:r>
      <w:r>
        <w:rPr>
          <w:rFonts w:hint="eastAsia" w:ascii="宋体" w:hAnsi="宋体"/>
          <w:color w:val="000000" w:themeColor="text1"/>
          <w:sz w:val="24"/>
          <w:lang w:val="en-US" w:eastAsia="zh-CN"/>
          <w14:textFill>
            <w14:solidFill>
              <w14:schemeClr w14:val="tx1"/>
            </w14:solidFill>
          </w14:textFill>
        </w:rPr>
        <w:t>45万</w:t>
      </w:r>
      <w:r>
        <w:rPr>
          <w:rFonts w:hint="eastAsia" w:ascii="宋体" w:hAnsi="宋体"/>
          <w:color w:val="000000" w:themeColor="text1"/>
          <w:sz w:val="24"/>
          <w14:textFill>
            <w14:solidFill>
              <w14:schemeClr w14:val="tx1"/>
            </w14:solidFill>
          </w14:textFill>
        </w:rPr>
        <w:t>元</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采购需求：</w:t>
      </w:r>
    </w:p>
    <w:tbl>
      <w:tblPr>
        <w:tblStyle w:val="30"/>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1687"/>
        <w:gridCol w:w="849"/>
        <w:gridCol w:w="850"/>
        <w:gridCol w:w="1702"/>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3164"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12" w:lineRule="auto"/>
              <w:ind w:right="23" w:firstLine="120" w:firstLineChars="50"/>
              <w:jc w:val="center"/>
              <w:rPr>
                <w:rFonts w:ascii="宋体" w:hAnsi="宋体" w:cs="Times New Roman"/>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168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12" w:lineRule="auto"/>
              <w:ind w:right="23"/>
              <w:jc w:val="center"/>
              <w:rPr>
                <w:rFonts w:ascii="宋体" w:hAnsi="宋体" w:cs="Times New Roman"/>
                <w:b/>
                <w:color w:val="000000" w:themeColor="text1"/>
                <w:sz w:val="24"/>
                <w:szCs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简要技术要求</w:t>
            </w:r>
          </w:p>
        </w:tc>
        <w:tc>
          <w:tcPr>
            <w:tcW w:w="849"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12" w:lineRule="auto"/>
              <w:ind w:right="23"/>
              <w:jc w:val="center"/>
              <w:rPr>
                <w:rFonts w:ascii="宋体" w:hAnsi="宋体" w:cs="Times New Roman"/>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12" w:lineRule="auto"/>
              <w:ind w:right="23"/>
              <w:jc w:val="center"/>
              <w:rPr>
                <w:rFonts w:ascii="宋体" w:hAnsi="宋体" w:cs="Times New Roman"/>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12" w:lineRule="auto"/>
              <w:ind w:left="-105" w:leftChars="-50" w:right="-105" w:rightChars="-50"/>
              <w:jc w:val="center"/>
              <w:rPr>
                <w:rFonts w:ascii="宋体" w:hAnsi="宋体" w:cs="Times New Roman"/>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预算总金额</w:t>
            </w:r>
          </w:p>
          <w:p>
            <w:pPr>
              <w:tabs>
                <w:tab w:val="left" w:pos="8280"/>
              </w:tabs>
              <w:autoSpaceDE w:val="0"/>
              <w:autoSpaceDN w:val="0"/>
              <w:adjustRightInd w:val="0"/>
              <w:snapToGrid w:val="0"/>
              <w:spacing w:line="312" w:lineRule="auto"/>
              <w:ind w:left="-105" w:leftChars="-50" w:right="-105" w:rightChars="-50"/>
              <w:jc w:val="center"/>
              <w:rPr>
                <w:rFonts w:ascii="宋体" w:hAnsi="宋体" w:cs="Times New Roman"/>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投标上限价</w:t>
            </w:r>
            <w:r>
              <w:rPr>
                <w:rFonts w:hint="eastAsia" w:ascii="宋体" w:hAnsi="宋体"/>
                <w:b/>
                <w:color w:val="000000" w:themeColor="text1"/>
                <w:sz w:val="24"/>
                <w14:textFill>
                  <w14:solidFill>
                    <w14:schemeClr w14:val="tx1"/>
                  </w14:solidFill>
                </w14:textFill>
              </w:rPr>
              <w:t>）</w:t>
            </w:r>
          </w:p>
        </w:tc>
        <w:tc>
          <w:tcPr>
            <w:tcW w:w="177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12" w:lineRule="auto"/>
              <w:ind w:right="23"/>
              <w:jc w:val="center"/>
              <w:rPr>
                <w:rFonts w:ascii="宋体" w:hAnsi="宋体" w:cs="Times New Roman"/>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164"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椒江区人民法院数字法庭存储扩容项目</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宋体" w:hAnsi="宋体" w:cs="Times New Roman"/>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详见</w:t>
            </w:r>
            <w:r>
              <w:rPr>
                <w:rFonts w:hint="eastAsia" w:ascii="宋体" w:hAnsi="宋体"/>
                <w:color w:val="000000" w:themeColor="text1"/>
                <w:sz w:val="24"/>
                <w:lang w:val="en-US" w:eastAsia="zh-CN"/>
                <w14:textFill>
                  <w14:solidFill>
                    <w14:schemeClr w14:val="tx1"/>
                  </w14:solidFill>
                </w14:textFill>
              </w:rPr>
              <w:t>项目</w:t>
            </w:r>
            <w:r>
              <w:rPr>
                <w:rFonts w:hint="eastAsia" w:ascii="宋体" w:hAnsi="宋体"/>
                <w:color w:val="000000" w:themeColor="text1"/>
                <w:sz w:val="24"/>
                <w14:textFill>
                  <w14:solidFill>
                    <w14:schemeClr w14:val="tx1"/>
                  </w14:solidFill>
                </w14:textFill>
              </w:rPr>
              <w:t>需求</w:t>
            </w:r>
          </w:p>
        </w:tc>
        <w:tc>
          <w:tcPr>
            <w:tcW w:w="84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ind w:firstLine="240" w:firstLineChars="100"/>
              <w:jc w:val="center"/>
              <w:rPr>
                <w:rFonts w:ascii="宋体" w:hAnsi="宋体" w:cs="Times New Roman"/>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ind w:firstLine="240" w:firstLineChars="100"/>
              <w:jc w:val="center"/>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套</w:t>
            </w:r>
          </w:p>
        </w:tc>
        <w:tc>
          <w:tcPr>
            <w:tcW w:w="1702"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ind w:firstLine="240" w:firstLineChars="100"/>
              <w:jc w:val="center"/>
              <w:rPr>
                <w:rFonts w:ascii="宋体" w:hAnsi="宋体" w:cs="Times New Roman"/>
                <w:color w:val="000000" w:themeColor="text1"/>
                <w:sz w:val="24"/>
                <w:szCs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45</w:t>
            </w:r>
            <w:r>
              <w:rPr>
                <w:rFonts w:hint="eastAsia" w:ascii="宋体" w:hAnsi="宋体"/>
                <w:color w:val="000000" w:themeColor="text1"/>
                <w:sz w:val="24"/>
                <w14:textFill>
                  <w14:solidFill>
                    <w14:schemeClr w14:val="tx1"/>
                  </w14:solidFill>
                </w14:textFill>
              </w:rPr>
              <w:t>万元</w:t>
            </w: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both"/>
              <w:rPr>
                <w:rFonts w:ascii="宋体" w:hAnsi="宋体" w:cs="Times New Roman"/>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合同签订后</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eastAsia="zh-CN"/>
                <w14:textFill>
                  <w14:solidFill>
                    <w14:schemeClr w14:val="tx1"/>
                  </w14:solidFill>
                </w14:textFill>
              </w:rPr>
              <w:t>个工作日</w:t>
            </w:r>
            <w:r>
              <w:rPr>
                <w:rFonts w:hint="eastAsia" w:ascii="宋体" w:hAnsi="宋体"/>
                <w:color w:val="000000" w:themeColor="text1"/>
                <w:sz w:val="24"/>
                <w14:textFill>
                  <w14:solidFill>
                    <w14:schemeClr w14:val="tx1"/>
                  </w14:solidFill>
                </w14:textFill>
              </w:rPr>
              <w:t>内</w:t>
            </w:r>
          </w:p>
        </w:tc>
      </w:tr>
    </w:tbl>
    <w:p>
      <w:pPr>
        <w:pStyle w:val="4"/>
        <w:spacing w:before="0" w:after="0" w:line="360" w:lineRule="auto"/>
        <w:rPr>
          <w:rFonts w:ascii="宋体" w:hAnsi="宋体" w:eastAsia="宋体" w:cs="宋体"/>
          <w:bCs w:val="0"/>
          <w:color w:val="000000" w:themeColor="text1"/>
          <w:sz w:val="24"/>
          <w:szCs w:val="24"/>
          <w14:textFill>
            <w14:solidFill>
              <w14:schemeClr w14:val="tx1"/>
            </w14:solidFill>
          </w14:textFill>
        </w:rPr>
      </w:pPr>
      <w:bookmarkStart w:id="6" w:name="_Toc35393630"/>
      <w:bookmarkStart w:id="7" w:name="_Toc35393799"/>
      <w:bookmarkStart w:id="8" w:name="_Toc28359090"/>
      <w:bookmarkStart w:id="9" w:name="_Toc28359013"/>
      <w:r>
        <w:rPr>
          <w:rFonts w:hint="eastAsia" w:ascii="宋体" w:hAnsi="宋体" w:eastAsia="宋体" w:cs="宋体"/>
          <w:bCs w:val="0"/>
          <w:color w:val="000000" w:themeColor="text1"/>
          <w:sz w:val="24"/>
          <w:szCs w:val="24"/>
          <w14:textFill>
            <w14:solidFill>
              <w14:schemeClr w14:val="tx1"/>
            </w14:solidFill>
          </w14:textFill>
        </w:rPr>
        <w:t>二、申请人的资格要求：</w:t>
      </w:r>
      <w:bookmarkEnd w:id="6"/>
      <w:bookmarkEnd w:id="7"/>
      <w:bookmarkEnd w:id="8"/>
      <w:bookmarkEnd w:id="9"/>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1.满足《中华人民共和国政府采购法》第二十二条规定；</w:t>
      </w:r>
      <w:r>
        <w:rPr>
          <w:rFonts w:ascii="宋体" w:hAnsi="宋体"/>
          <w:color w:val="000000" w:themeColor="text1"/>
          <w:sz w:val="24"/>
          <w14:textFill>
            <w14:solidFill>
              <w14:schemeClr w14:val="tx1"/>
            </w14:solidFill>
          </w14:textFill>
        </w:rPr>
        <w:t>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仿宋"/>
          <w:color w:val="000000" w:themeColor="text1"/>
          <w:sz w:val="24"/>
          <w:u w:val="single"/>
          <w14:textFill>
            <w14:solidFill>
              <w14:schemeClr w14:val="tx1"/>
            </w14:solidFill>
          </w14:textFill>
        </w:rPr>
      </w:pPr>
      <w:bookmarkStart w:id="10" w:name="_Toc28359014"/>
      <w:bookmarkStart w:id="11" w:name="_Toc28359091"/>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.落实政府采购政策需满足的资格要求：</w:t>
      </w:r>
      <w:r>
        <w:rPr>
          <w:rFonts w:hint="eastAsia" w:ascii="宋体" w:hAnsi="宋体" w:cs="仿宋"/>
          <w:color w:val="000000" w:themeColor="text1"/>
          <w:sz w:val="24"/>
          <w:u w:val="single"/>
          <w14:textFill>
            <w14:solidFill>
              <w14:schemeClr w14:val="tx1"/>
            </w14:solidFill>
          </w14:textFill>
        </w:rPr>
        <w:t>本项目专门面向中小企业采购，在本次政府采购活动中，供应商所提供的</w:t>
      </w:r>
      <w:r>
        <w:rPr>
          <w:rFonts w:hint="eastAsia" w:ascii="宋体" w:hAnsi="宋体" w:cs="仿宋"/>
          <w:color w:val="000000" w:themeColor="text1"/>
          <w:sz w:val="24"/>
          <w:u w:val="single"/>
          <w:lang w:val="en-US" w:eastAsia="zh-CN"/>
          <w14:textFill>
            <w14:solidFill>
              <w14:schemeClr w14:val="tx1"/>
            </w14:solidFill>
          </w14:textFill>
        </w:rPr>
        <w:t>货物</w:t>
      </w:r>
      <w:r>
        <w:rPr>
          <w:rFonts w:hint="eastAsia" w:ascii="宋体" w:hAnsi="宋体" w:cs="仿宋"/>
          <w:color w:val="000000" w:themeColor="text1"/>
          <w:sz w:val="24"/>
          <w:u w:val="single"/>
          <w14:textFill>
            <w14:solidFill>
              <w14:schemeClr w14:val="tx1"/>
            </w14:solidFill>
          </w14:textFill>
        </w:rPr>
        <w:t xml:space="preserve">符合《政府采购促进中小企业发展管理办法》（财库【2020】46号）第四条（三）款情形的，享受该办法规定对中小企业的扶持政策。残疾人福利性单位和监狱企业视同小型、微型企业。  </w:t>
      </w:r>
    </w:p>
    <w:p>
      <w:pPr>
        <w:spacing w:line="360" w:lineRule="auto"/>
        <w:ind w:firstLine="480" w:firstLineChars="200"/>
        <w:rPr>
          <w:rFonts w:ascii="宋体" w:hAnsi="宋体" w:cs="仿宋"/>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3.本项目的特定资格要求：</w:t>
      </w:r>
      <w:r>
        <w:rPr>
          <w:rFonts w:hint="eastAsia" w:ascii="宋体" w:hAnsi="宋体" w:cs="仿宋"/>
          <w:color w:val="000000" w:themeColor="text1"/>
          <w:sz w:val="24"/>
          <w:u w:val="single"/>
          <w14:textFill>
            <w14:solidFill>
              <w14:schemeClr w14:val="tx1"/>
            </w14:solidFill>
          </w14:textFill>
        </w:rPr>
        <w:t>（1）本项目不接受联合体磋商。</w:t>
      </w:r>
    </w:p>
    <w:p>
      <w:pPr>
        <w:pStyle w:val="4"/>
        <w:spacing w:before="0" w:after="0" w:line="360" w:lineRule="auto"/>
        <w:rPr>
          <w:rFonts w:ascii="宋体" w:hAnsi="宋体" w:eastAsia="宋体" w:cs="宋体"/>
          <w:bCs w:val="0"/>
          <w:color w:val="000000" w:themeColor="text1"/>
          <w:sz w:val="24"/>
          <w:szCs w:val="24"/>
          <w14:textFill>
            <w14:solidFill>
              <w14:schemeClr w14:val="tx1"/>
            </w14:solidFill>
          </w14:textFill>
        </w:rPr>
      </w:pPr>
      <w:bookmarkStart w:id="12" w:name="_Toc35393800"/>
      <w:bookmarkStart w:id="13" w:name="_Toc35393631"/>
      <w:r>
        <w:rPr>
          <w:rFonts w:hint="eastAsia" w:ascii="宋体" w:hAnsi="宋体" w:eastAsia="宋体" w:cs="宋体"/>
          <w:bCs w:val="0"/>
          <w:color w:val="000000" w:themeColor="text1"/>
          <w:sz w:val="24"/>
          <w:szCs w:val="24"/>
          <w14:textFill>
            <w14:solidFill>
              <w14:schemeClr w14:val="tx1"/>
            </w14:solidFill>
          </w14:textFill>
        </w:rPr>
        <w:t>三、获取采购文件</w:t>
      </w:r>
      <w:bookmarkEnd w:id="10"/>
      <w:bookmarkEnd w:id="11"/>
      <w:bookmarkEnd w:id="12"/>
      <w:bookmarkEnd w:id="13"/>
    </w:p>
    <w:p>
      <w:pPr>
        <w:spacing w:line="360" w:lineRule="auto"/>
        <w:ind w:firstLine="54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lang w:eastAsia="zh-CN"/>
          <w14:textFill>
            <w14:solidFill>
              <w14:schemeClr w14:val="tx1"/>
            </w14:solidFill>
          </w14:textFill>
        </w:rPr>
        <w:t>公告发出</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lang w:eastAsia="zh-CN"/>
          <w14:textFill>
            <w14:solidFill>
              <w14:schemeClr w14:val="tx1"/>
            </w14:solidFill>
          </w14:textFill>
        </w:rPr>
        <w:t>2024年</w:t>
      </w:r>
      <w:r>
        <w:rPr>
          <w:rFonts w:hint="eastAsia" w:ascii="宋体" w:hAnsi="宋体" w:cs="宋体"/>
          <w:color w:val="000000" w:themeColor="text1"/>
          <w:sz w:val="24"/>
          <w:highlight w:val="none"/>
          <w:lang w:val="en-US" w:eastAsia="zh-CN"/>
          <w14:textFill>
            <w14:solidFill>
              <w14:schemeClr w14:val="tx1"/>
            </w14:solidFill>
          </w14:textFill>
        </w:rPr>
        <w:t>6月5日</w:t>
      </w:r>
    </w:p>
    <w:p>
      <w:pPr>
        <w:spacing w:line="360" w:lineRule="auto"/>
        <w:ind w:firstLine="54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地点：本项目招标文件实行“浙江政府采购网”（http://zfcg.czt.zj.gov.cn）在线获取， 不提供招标文件纸质版。供应商获取招标文件前应先完成“浙江政府采购网”的账号注册。注册流程详见https://middle.zcygov.cn/v-settle-front/registry“政采云”，咨询电话：400-881-7190。已经注册成功的供应商无需重复注册。</w:t>
      </w:r>
    </w:p>
    <w:p>
      <w:pPr>
        <w:spacing w:line="360" w:lineRule="auto"/>
        <w:ind w:firstLine="54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snapToGrid w:val="0"/>
        <w:spacing w:line="360" w:lineRule="auto"/>
        <w:ind w:firstLine="54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提示：磋商公告附件内的采购文件（或采购需求）仅供阅览使用，供应商只有在“政府采购云平台”注册登陆，完成获取采购文件申请并下载了采购文件后才视作依法获取采购文件（法律法规所指的供应商获取采购文件时间以供应商完成获取采购文件申请后下载采购文件的时间为准）。未按采购文件规定方法获取采购文件的供应商，其磋商响应文件将被拒绝。</w:t>
      </w:r>
    </w:p>
    <w:p>
      <w:pPr>
        <w:snapToGrid w:val="0"/>
        <w:spacing w:line="360" w:lineRule="auto"/>
        <w:ind w:firstLine="54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售价：0元</w:t>
      </w:r>
    </w:p>
    <w:p>
      <w:pPr>
        <w:pStyle w:val="4"/>
        <w:keepNext w:val="0"/>
        <w:keepLines w:val="0"/>
        <w:snapToGrid w:val="0"/>
        <w:spacing w:before="0" w:after="0" w:line="360" w:lineRule="auto"/>
        <w:rPr>
          <w:rFonts w:ascii="宋体" w:hAnsi="宋体" w:eastAsia="宋体" w:cs="宋体"/>
          <w:bCs w:val="0"/>
          <w:color w:val="000000" w:themeColor="text1"/>
          <w:sz w:val="24"/>
          <w:szCs w:val="24"/>
          <w14:textFill>
            <w14:solidFill>
              <w14:schemeClr w14:val="tx1"/>
            </w14:solidFill>
          </w14:textFill>
        </w:rPr>
      </w:pPr>
      <w:bookmarkStart w:id="14" w:name="_Toc35393801"/>
      <w:bookmarkStart w:id="15" w:name="_Toc35393632"/>
      <w:bookmarkStart w:id="16" w:name="_Toc28359092"/>
      <w:bookmarkStart w:id="17" w:name="_Toc28359015"/>
      <w:r>
        <w:rPr>
          <w:rFonts w:hint="eastAsia" w:ascii="宋体" w:hAnsi="宋体" w:eastAsia="宋体" w:cs="宋体"/>
          <w:bCs w:val="0"/>
          <w:color w:val="000000" w:themeColor="text1"/>
          <w:sz w:val="24"/>
          <w:szCs w:val="24"/>
          <w14:textFill>
            <w14:solidFill>
              <w14:schemeClr w14:val="tx1"/>
            </w14:solidFill>
          </w14:textFill>
        </w:rPr>
        <w:t>四、响应文件提交</w:t>
      </w:r>
      <w:bookmarkEnd w:id="14"/>
      <w:bookmarkEnd w:id="15"/>
      <w:bookmarkEnd w:id="16"/>
      <w:bookmarkEnd w:id="17"/>
    </w:p>
    <w:p>
      <w:pPr>
        <w:snapToGrid w:val="0"/>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截止时间：</w:t>
      </w:r>
      <w:r>
        <w:rPr>
          <w:rFonts w:hint="eastAsia" w:ascii="宋体" w:hAnsi="宋体"/>
          <w:color w:val="000000" w:themeColor="text1"/>
          <w:sz w:val="24"/>
          <w:highlight w:val="none"/>
          <w:lang w:eastAsia="zh-CN"/>
          <w14:textFill>
            <w14:solidFill>
              <w14:schemeClr w14:val="tx1"/>
            </w14:solidFill>
          </w14:textFill>
        </w:rPr>
        <w:t>2024年</w:t>
      </w:r>
      <w:r>
        <w:rPr>
          <w:rFonts w:hint="eastAsia" w:ascii="宋体" w:hAnsi="宋体"/>
          <w:color w:val="000000" w:themeColor="text1"/>
          <w:sz w:val="24"/>
          <w:highlight w:val="none"/>
          <w:lang w:val="en-US" w:eastAsia="zh-CN"/>
          <w14:textFill>
            <w14:solidFill>
              <w14:schemeClr w14:val="tx1"/>
            </w14:solidFill>
          </w14:textFill>
        </w:rPr>
        <w:t>6月5日9</w:t>
      </w:r>
      <w:r>
        <w:rPr>
          <w:rFonts w:hint="eastAsia" w:ascii="宋体" w:hAnsi="宋体"/>
          <w:color w:val="000000" w:themeColor="text1"/>
          <w:sz w:val="24"/>
          <w:highlight w:val="none"/>
          <w14:textFill>
            <w14:solidFill>
              <w14:schemeClr w14:val="tx1"/>
            </w14:solidFill>
          </w14:textFill>
        </w:rPr>
        <w:t>时</w:t>
      </w:r>
      <w:r>
        <w:rPr>
          <w:rFonts w:hint="eastAsia" w:ascii="宋体" w:hAnsi="宋体"/>
          <w:color w:val="000000" w:themeColor="text1"/>
          <w:sz w:val="24"/>
          <w:highlight w:val="none"/>
          <w:lang w:val="en-US" w:eastAsia="zh-CN"/>
          <w14:textFill>
            <w14:solidFill>
              <w14:schemeClr w14:val="tx1"/>
            </w14:solidFill>
          </w14:textFill>
        </w:rPr>
        <w:t>0</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分</w:t>
      </w:r>
      <w:r>
        <w:rPr>
          <w:rFonts w:hint="eastAsia" w:ascii="宋体" w:hAnsi="宋体"/>
          <w:bCs/>
          <w:color w:val="000000" w:themeColor="text1"/>
          <w:sz w:val="24"/>
          <w:highlight w:val="none"/>
          <w14:textFill>
            <w14:solidFill>
              <w14:schemeClr w14:val="tx1"/>
            </w14:solidFill>
          </w14:textFill>
        </w:rPr>
        <w:t>（北京时间）</w:t>
      </w:r>
    </w:p>
    <w:p>
      <w:pPr>
        <w:snapToGri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地点：“政府采购云平台”在线投标响应。</w:t>
      </w:r>
    </w:p>
    <w:p>
      <w:pPr>
        <w:pStyle w:val="4"/>
        <w:keepNext w:val="0"/>
        <w:keepLines w:val="0"/>
        <w:snapToGrid w:val="0"/>
        <w:spacing w:before="0" w:after="0" w:line="360" w:lineRule="auto"/>
        <w:rPr>
          <w:rFonts w:ascii="宋体" w:hAnsi="宋体" w:eastAsia="宋体" w:cs="宋体"/>
          <w:bCs w:val="0"/>
          <w:color w:val="000000" w:themeColor="text1"/>
          <w:sz w:val="24"/>
          <w:szCs w:val="24"/>
          <w:highlight w:val="none"/>
          <w14:textFill>
            <w14:solidFill>
              <w14:schemeClr w14:val="tx1"/>
            </w14:solidFill>
          </w14:textFill>
        </w:rPr>
      </w:pPr>
      <w:bookmarkStart w:id="18" w:name="_Toc28359016"/>
      <w:bookmarkStart w:id="19" w:name="_Toc35393633"/>
      <w:bookmarkStart w:id="20" w:name="_Toc28359093"/>
      <w:bookmarkStart w:id="21" w:name="_Toc35393802"/>
      <w:r>
        <w:rPr>
          <w:rFonts w:hint="eastAsia" w:ascii="宋体" w:hAnsi="宋体" w:eastAsia="宋体" w:cs="宋体"/>
          <w:bCs w:val="0"/>
          <w:color w:val="000000" w:themeColor="text1"/>
          <w:sz w:val="24"/>
          <w:szCs w:val="24"/>
          <w:highlight w:val="none"/>
          <w14:textFill>
            <w14:solidFill>
              <w14:schemeClr w14:val="tx1"/>
            </w14:solidFill>
          </w14:textFill>
        </w:rPr>
        <w:t>五、开启</w:t>
      </w:r>
      <w:bookmarkEnd w:id="18"/>
      <w:bookmarkEnd w:id="19"/>
      <w:bookmarkEnd w:id="20"/>
      <w:bookmarkEnd w:id="21"/>
    </w:p>
    <w:p>
      <w:pPr>
        <w:snapToGrid w:val="0"/>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w:t>
      </w:r>
      <w:r>
        <w:rPr>
          <w:rFonts w:hint="eastAsia" w:ascii="宋体" w:hAnsi="宋体"/>
          <w:color w:val="000000" w:themeColor="text1"/>
          <w:sz w:val="24"/>
          <w:highlight w:val="none"/>
          <w:lang w:eastAsia="zh-CN"/>
          <w14:textFill>
            <w14:solidFill>
              <w14:schemeClr w14:val="tx1"/>
            </w14:solidFill>
          </w14:textFill>
        </w:rPr>
        <w:t>2024年</w:t>
      </w:r>
      <w:r>
        <w:rPr>
          <w:rFonts w:hint="eastAsia" w:ascii="宋体" w:hAnsi="宋体"/>
          <w:color w:val="000000" w:themeColor="text1"/>
          <w:sz w:val="24"/>
          <w:highlight w:val="none"/>
          <w:lang w:val="en-US" w:eastAsia="zh-CN"/>
          <w14:textFill>
            <w14:solidFill>
              <w14:schemeClr w14:val="tx1"/>
            </w14:solidFill>
          </w14:textFill>
        </w:rPr>
        <w:t>6月5日9</w:t>
      </w:r>
      <w:r>
        <w:rPr>
          <w:rFonts w:hint="eastAsia" w:ascii="宋体" w:hAnsi="宋体"/>
          <w:color w:val="000000" w:themeColor="text1"/>
          <w:sz w:val="24"/>
          <w:highlight w:val="none"/>
          <w14:textFill>
            <w14:solidFill>
              <w14:schemeClr w14:val="tx1"/>
            </w14:solidFill>
          </w14:textFill>
        </w:rPr>
        <w:t>时</w:t>
      </w:r>
      <w:r>
        <w:rPr>
          <w:rFonts w:hint="eastAsia" w:ascii="宋体" w:hAnsi="宋体"/>
          <w:color w:val="000000" w:themeColor="text1"/>
          <w:sz w:val="24"/>
          <w:highlight w:val="none"/>
          <w:lang w:val="en-US" w:eastAsia="zh-CN"/>
          <w14:textFill>
            <w14:solidFill>
              <w14:schemeClr w14:val="tx1"/>
            </w14:solidFill>
          </w14:textFill>
        </w:rPr>
        <w:t>0</w:t>
      </w:r>
      <w:r>
        <w:rPr>
          <w:rFonts w:ascii="宋体" w:hAnsi="宋体"/>
          <w:color w:val="000000" w:themeColor="text1"/>
          <w:sz w:val="24"/>
          <w:highlight w:val="none"/>
          <w14:textFill>
            <w14:solidFill>
              <w14:schemeClr w14:val="tx1"/>
            </w14:solidFill>
          </w14:textFill>
        </w:rPr>
        <w:t>0</w:t>
      </w:r>
      <w:r>
        <w:rPr>
          <w:rFonts w:hint="eastAsia" w:ascii="宋体" w:hAnsi="宋体"/>
          <w:color w:val="000000" w:themeColor="text1"/>
          <w:sz w:val="24"/>
          <w:highlight w:val="none"/>
          <w14:textFill>
            <w14:solidFill>
              <w14:schemeClr w14:val="tx1"/>
            </w14:solidFill>
          </w14:textFill>
        </w:rPr>
        <w:t>分</w:t>
      </w:r>
      <w:r>
        <w:rPr>
          <w:rFonts w:hint="eastAsia" w:ascii="宋体" w:hAnsi="宋体"/>
          <w:bCs/>
          <w:color w:val="000000" w:themeColor="text1"/>
          <w:sz w:val="24"/>
          <w:highlight w:val="none"/>
          <w14:textFill>
            <w14:solidFill>
              <w14:schemeClr w14:val="tx1"/>
            </w14:solidFill>
          </w14:textFill>
        </w:rPr>
        <w:t>（北京时间）</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地点：通过“政府采购云平台”实现在线投标响应。请在开标开始当日</w:t>
      </w:r>
      <w:r>
        <w:rPr>
          <w:rFonts w:hint="eastAsia" w:ascii="宋体" w:hAnsi="宋体"/>
          <w:color w:val="000000" w:themeColor="text1"/>
          <w:sz w:val="24"/>
          <w:lang w:val="en-US" w:eastAsia="zh-CN"/>
          <w14:textFill>
            <w14:solidFill>
              <w14:schemeClr w14:val="tx1"/>
            </w14:solidFill>
          </w14:textFill>
        </w:rPr>
        <w:t>9</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0</w:t>
      </w:r>
      <w:r>
        <w:rPr>
          <w:rFonts w:ascii="宋体" w:hAnsi="宋体"/>
          <w:color w:val="000000" w:themeColor="text1"/>
          <w:sz w:val="24"/>
          <w14:textFill>
            <w14:solidFill>
              <w14:schemeClr w14:val="tx1"/>
            </w14:solidFill>
          </w14:textFill>
        </w:rPr>
        <w:t>0至</w:t>
      </w:r>
      <w:r>
        <w:rPr>
          <w:rFonts w:hint="eastAsia" w:ascii="宋体" w:hAnsi="宋体"/>
          <w:color w:val="000000" w:themeColor="text1"/>
          <w:sz w:val="24"/>
          <w:lang w:val="en-US" w:eastAsia="zh-CN"/>
          <w14:textFill>
            <w14:solidFill>
              <w14:schemeClr w14:val="tx1"/>
            </w14:solidFill>
          </w14:textFill>
        </w:rPr>
        <w:t>9</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将投标响应文件自行完成远程解密。</w:t>
      </w:r>
      <w:r>
        <w:rPr>
          <w:rFonts w:hint="eastAsia" w:ascii="宋体" w:hAnsi="宋体" w:cs="宋体"/>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投标响应文件未按时解密，</w:t>
      </w:r>
      <w:r>
        <w:rPr>
          <w:rFonts w:hint="eastAsia" w:ascii="宋体" w:hAnsi="宋体"/>
          <w:color w:val="000000" w:themeColor="text1"/>
          <w:sz w:val="24"/>
          <w:lang w:eastAsia="zh-CN"/>
          <w14:textFill>
            <w14:solidFill>
              <w14:schemeClr w14:val="tx1"/>
            </w14:solidFill>
          </w14:textFill>
        </w:rPr>
        <w:t>且未规定提交备份文件的</w:t>
      </w:r>
      <w:r>
        <w:rPr>
          <w:rFonts w:hint="eastAsia" w:ascii="宋体" w:hAnsi="宋体" w:cs="宋体"/>
          <w:color w:val="000000" w:themeColor="text1"/>
          <w:sz w:val="24"/>
          <w14:textFill>
            <w14:solidFill>
              <w14:schemeClr w14:val="tx1"/>
            </w14:solidFill>
          </w14:textFill>
        </w:rPr>
        <w:t>投标无效</w:t>
      </w:r>
      <w:r>
        <w:rPr>
          <w:rFonts w:hint="eastAsia" w:ascii="宋体" w:hAnsi="宋体"/>
          <w:color w:val="000000" w:themeColor="text1"/>
          <w:sz w:val="24"/>
          <w14:textFill>
            <w14:solidFill>
              <w14:schemeClr w14:val="tx1"/>
            </w14:solidFill>
          </w14:textFill>
        </w:rPr>
        <w:t>。</w:t>
      </w:r>
    </w:p>
    <w:p>
      <w:pPr>
        <w:pStyle w:val="4"/>
        <w:keepNext w:val="0"/>
        <w:keepLines w:val="0"/>
        <w:snapToGrid w:val="0"/>
        <w:spacing w:before="0" w:after="0" w:line="360" w:lineRule="auto"/>
        <w:rPr>
          <w:rFonts w:ascii="宋体" w:hAnsi="宋体" w:eastAsia="宋体" w:cs="宋体"/>
          <w:bCs w:val="0"/>
          <w:color w:val="000000" w:themeColor="text1"/>
          <w:sz w:val="24"/>
          <w:szCs w:val="24"/>
          <w14:textFill>
            <w14:solidFill>
              <w14:schemeClr w14:val="tx1"/>
            </w14:solidFill>
          </w14:textFill>
        </w:rPr>
      </w:pPr>
      <w:bookmarkStart w:id="22" w:name="_Toc28359094"/>
      <w:bookmarkStart w:id="23" w:name="_Toc35393803"/>
      <w:bookmarkStart w:id="24" w:name="_Toc35393634"/>
      <w:bookmarkStart w:id="25" w:name="_Toc28359017"/>
      <w:r>
        <w:rPr>
          <w:rFonts w:hint="eastAsia" w:ascii="宋体" w:hAnsi="宋体" w:eastAsia="宋体" w:cs="宋体"/>
          <w:bCs w:val="0"/>
          <w:color w:val="000000" w:themeColor="text1"/>
          <w:sz w:val="24"/>
          <w:szCs w:val="24"/>
          <w14:textFill>
            <w14:solidFill>
              <w14:schemeClr w14:val="tx1"/>
            </w14:solidFill>
          </w14:textFill>
        </w:rPr>
        <w:t>六、公告期限</w:t>
      </w:r>
      <w:bookmarkEnd w:id="22"/>
      <w:bookmarkEnd w:id="23"/>
      <w:bookmarkEnd w:id="24"/>
      <w:bookmarkEnd w:id="25"/>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自本公告发布之日起3个工作日。</w:t>
      </w:r>
    </w:p>
    <w:p>
      <w:pPr>
        <w:pStyle w:val="4"/>
        <w:keepNext w:val="0"/>
        <w:keepLines w:val="0"/>
        <w:snapToGrid w:val="0"/>
        <w:spacing w:before="0" w:after="0" w:line="360" w:lineRule="auto"/>
        <w:rPr>
          <w:rFonts w:ascii="宋体" w:hAnsi="宋体" w:eastAsia="宋体" w:cs="宋体"/>
          <w:bCs w:val="0"/>
          <w:color w:val="000000" w:themeColor="text1"/>
          <w:sz w:val="24"/>
          <w:szCs w:val="24"/>
          <w14:textFill>
            <w14:solidFill>
              <w14:schemeClr w14:val="tx1"/>
            </w14:solidFill>
          </w14:textFill>
        </w:rPr>
      </w:pPr>
      <w:bookmarkStart w:id="26" w:name="_Toc35393804"/>
      <w:bookmarkStart w:id="27" w:name="_Toc35393635"/>
      <w:r>
        <w:rPr>
          <w:rFonts w:hint="eastAsia" w:ascii="宋体" w:hAnsi="宋体" w:eastAsia="宋体" w:cs="宋体"/>
          <w:bCs w:val="0"/>
          <w:color w:val="000000" w:themeColor="text1"/>
          <w:sz w:val="24"/>
          <w:szCs w:val="24"/>
          <w14:textFill>
            <w14:solidFill>
              <w14:schemeClr w14:val="tx1"/>
            </w14:solidFill>
          </w14:textFill>
        </w:rPr>
        <w:t>七、其他补充事宜</w:t>
      </w:r>
      <w:bookmarkEnd w:id="26"/>
      <w:bookmarkEnd w:id="27"/>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（一）供应商认为采购文件使自己的权益受到损害的，可以自收到采购文件之日或者采购文件公告期限届满之日起7个工作日内，以书面形式就同一环节一次性向采购人和采构代理机构提出质疑</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后续就</w:t>
      </w:r>
      <w:r>
        <w:rPr>
          <w:rFonts w:hint="eastAsia" w:ascii="宋体" w:hAnsi="宋体" w:cs="宋体"/>
          <w:color w:val="000000" w:themeColor="text1"/>
          <w:kern w:val="0"/>
          <w:sz w:val="24"/>
          <w14:textFill>
            <w14:solidFill>
              <w14:schemeClr w14:val="tx1"/>
            </w14:solidFill>
          </w14:textFill>
        </w:rPr>
        <w:t>招标过程、中标结果</w:t>
      </w:r>
      <w:r>
        <w:rPr>
          <w:rFonts w:hint="eastAsia" w:ascii="宋体" w:hAnsi="宋体" w:cs="宋体"/>
          <w:color w:val="000000" w:themeColor="text1"/>
          <w:kern w:val="0"/>
          <w:sz w:val="24"/>
          <w:lang w:val="en-US" w:eastAsia="zh-CN"/>
          <w14:textFill>
            <w14:solidFill>
              <w14:schemeClr w14:val="tx1"/>
            </w14:solidFill>
          </w14:textFill>
        </w:rPr>
        <w:t>提出质疑的，也应在同一环节一次性提出</w:t>
      </w:r>
      <w:r>
        <w:rPr>
          <w:rFonts w:hint="eastAsia" w:ascii="宋体" w:hAnsi="宋体" w:cs="宋体"/>
          <w:color w:val="000000" w:themeColor="text1"/>
          <w:kern w:val="0"/>
          <w:sz w:val="24"/>
          <w14:textFill>
            <w14:solidFill>
              <w14:schemeClr w14:val="tx1"/>
            </w14:solidFill>
          </w14:textFill>
        </w:rPr>
        <w:t>。否则，被质疑人可不予接受。质疑供应商对采购人、采构代理机构的答复不满意或者采购人、采构代理机构未在规定的时间内作出答复的，可以在答复期满后十五个工作日内向同级政府采购监督管理部门投诉。</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 在线投标响应（电子投标）说明</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1、本项目通过“政府采购云平台（</w:t>
      </w:r>
      <w:r>
        <w:rPr>
          <w:rFonts w:ascii="宋体" w:hAnsi="宋体" w:cs="宋体"/>
          <w:color w:val="000000" w:themeColor="text1"/>
          <w:kern w:val="0"/>
          <w:sz w:val="24"/>
          <w14:textFill>
            <w14:solidFill>
              <w14:schemeClr w14:val="tx1"/>
            </w14:solidFill>
          </w14:textFill>
        </w:rPr>
        <w:t>https://www.zcygov.cn/</w:t>
      </w:r>
      <w:r>
        <w:rPr>
          <w:rFonts w:hint="eastAsia" w:ascii="宋体" w:hAnsi="宋体" w:cs="宋体"/>
          <w:color w:val="000000" w:themeColor="text1"/>
          <w:kern w:val="0"/>
          <w:sz w:val="24"/>
          <w14:textFill>
            <w14:solidFill>
              <w14:schemeClr w14:val="tx1"/>
            </w14:solidFill>
          </w14:textFill>
        </w:rPr>
        <w:t>）”实行在线投标响应（电子投标），供应商应先安装“政采云电子交易客户端”，并按照本招标文件和“政府采购云平台”的要求，通过“政采云电子交易客户端”编制并加密投标文件。</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供应商未按规定加密的投标文件，“政府采购云平台”将予以拒收。</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"http://www.zjzfcg.gov.cn/bidClientTemplate/2019-05-27/12945.html" \t "_blank" \o "CA驱动和申领流程"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CA驱动和申领流程</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”进行查阅；</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3、投标供应商应当在投标截止时间前，将生成的“电子加密投标文件”上传递交至“政府采购云平台”。</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投标截止时间以后上传递交的投标文件将被“政府采购云平台”拒收。</w:t>
      </w:r>
    </w:p>
    <w:p>
      <w:pPr>
        <w:spacing w:line="360" w:lineRule="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4、</w:t>
      </w:r>
      <w:r>
        <w:rPr>
          <w:rFonts w:ascii="宋体" w:hAnsi="宋体" w:cs="宋体"/>
          <w:color w:val="000000" w:themeColor="text1"/>
          <w:kern w:val="0"/>
          <w:sz w:val="24"/>
          <w14:textFill>
            <w14:solidFill>
              <w14:schemeClr w14:val="tx1"/>
            </w14:solidFill>
          </w14:textFill>
        </w:rPr>
        <w:t xml:space="preserve">投标供应商在“政府采购云平台”完成“电子加密投标文件”的上传递交后，还可以（顺丰/EMS邮寄形式）在投标截止时间前递交以介质（U盘）存储的 </w:t>
      </w:r>
      <w:r>
        <w:rPr>
          <w:rFonts w:hint="eastAsia" w:ascii="宋体" w:hAnsi="宋体" w:cs="宋体"/>
          <w:color w:val="000000" w:themeColor="text1"/>
          <w:kern w:val="0"/>
          <w:sz w:val="24"/>
          <w14:textFill>
            <w14:solidFill>
              <w14:schemeClr w14:val="tx1"/>
            </w14:solidFill>
          </w14:textFill>
        </w:rPr>
        <w:t>“备份投标文件”（一份）；“备份投标文件”应当密封包装，并在包装上标注投标项目名称、投标单位名称并加盖公章。密封包装后确保在投标截止时间前（建议使用EMS/顺丰邮寄形式）送达一份（邮寄地址：台州市椒江区开元路299号，台州蔚蓝投资咨询有限公司，赵老师18858688080或发送后缀格式为.bfbs的备份文件至代理邮箱3291544104@qq.com）。没有密封包装或者逾期邮寄送达至投标地点的“备份投标文件”将不予接收。</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6、▲未传输递交电子投标文件的，</w:t>
      </w:r>
      <w:r>
        <w:rPr>
          <w:rFonts w:hint="eastAsia" w:ascii="宋体" w:hAnsi="宋体" w:cs="宋体"/>
          <w:color w:val="000000" w:themeColor="text1"/>
          <w:kern w:val="0"/>
          <w:sz w:val="24"/>
          <w:lang w:eastAsia="zh-CN"/>
          <w14:textFill>
            <w14:solidFill>
              <w14:schemeClr w14:val="tx1"/>
            </w14:solidFill>
          </w14:textFill>
        </w:rPr>
        <w:t>且</w:t>
      </w:r>
      <w:r>
        <w:rPr>
          <w:rFonts w:hint="eastAsia" w:ascii="宋体" w:hAnsi="宋体" w:cs="宋体"/>
          <w:color w:val="000000" w:themeColor="text1"/>
          <w:kern w:val="0"/>
          <w:sz w:val="24"/>
          <w14:textFill>
            <w14:solidFill>
              <w14:schemeClr w14:val="tx1"/>
            </w14:solidFill>
          </w14:textFill>
        </w:rPr>
        <w:t>未按规定提供相应的备份投标文件</w:t>
      </w:r>
      <w:r>
        <w:rPr>
          <w:rFonts w:hint="eastAsia" w:ascii="宋体" w:hAnsi="宋体" w:cs="宋体"/>
          <w:color w:val="000000" w:themeColor="text1"/>
          <w:kern w:val="0"/>
          <w:sz w:val="24"/>
          <w:lang w:eastAsia="zh-CN"/>
          <w14:textFill>
            <w14:solidFill>
              <w14:schemeClr w14:val="tx1"/>
            </w14:solidFill>
          </w14:textFill>
        </w:rPr>
        <w:t>的</w:t>
      </w:r>
      <w:r>
        <w:rPr>
          <w:rFonts w:hint="eastAsia" w:ascii="宋体" w:hAnsi="宋体" w:cs="宋体"/>
          <w:color w:val="000000" w:themeColor="text1"/>
          <w:kern w:val="0"/>
          <w:sz w:val="24"/>
          <w14:textFill>
            <w14:solidFill>
              <w14:schemeClr w14:val="tx1"/>
            </w14:solidFill>
          </w14:textFill>
        </w:rPr>
        <w:t>投标无效。</w:t>
      </w:r>
    </w:p>
    <w:p>
      <w:pPr>
        <w:snapToGrid w:val="0"/>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（三）中标供应商如有融资需求，可使用附件中银行政采贷服务。</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873"/>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银行</w:t>
            </w:r>
          </w:p>
        </w:tc>
        <w:tc>
          <w:tcPr>
            <w:tcW w:w="1873"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贷款年利率</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联系人</w:t>
            </w:r>
          </w:p>
        </w:tc>
        <w:tc>
          <w:tcPr>
            <w:tcW w:w="2131"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中国工商银行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3.8%起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卢嘉诚</w:t>
            </w:r>
          </w:p>
        </w:tc>
        <w:tc>
          <w:tcPr>
            <w:tcW w:w="2131" w:type="dxa"/>
            <w:vAlign w:val="center"/>
          </w:tcPr>
          <w:p>
            <w:pPr>
              <w:ind w:firstLine="240" w:firstLineChars="100"/>
              <w:rPr>
                <w:rFonts w:hint="eastAsia" w:ascii="宋体" w:hAnsi="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88588246</w:t>
            </w:r>
          </w:p>
          <w:p>
            <w:pPr>
              <w:ind w:firstLine="240" w:firstLineChars="100"/>
              <w:rPr>
                <w:color w:val="000000" w:themeColor="text1"/>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中国农业银行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3.8%起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龚盛</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中国建设银行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3.8%起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梅晶晶</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88525339</w:t>
            </w:r>
          </w:p>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中国银行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3.75%起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任茜</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浦发银行台州分行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4.05%起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王渊</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浦发银行椒江分行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4.05%起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孙瑞华</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交通银行台州分行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3.75%起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周翔宇</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招商银行台州分行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4.32%起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王海玲</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浙商银行台州分行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5.01%起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章涉漪</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81880185</w:t>
            </w:r>
          </w:p>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中信银行台州分行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4.15%起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陈金园</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华夏银行台州分行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4.5%起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邱明达</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81871518</w:t>
            </w:r>
          </w:p>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泰隆银行开发区支行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5.6%起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梁宛莉</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民泰银行椒江支行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5.8%起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陈慧珠</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绍兴银行台州分行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5.1%起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郭庭斌</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温州银行台州分行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4.55%起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王晓波</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平安银行台州分行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6.53%起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李俊丽</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宁波银行台州分行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4.35%起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戴莉丽</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金华银行台州分行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4.05%起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金雪婷</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81886670</w:t>
            </w:r>
          </w:p>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台州银行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5.6%起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洪婷</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pPr>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邮储银行台州分行</w:t>
            </w:r>
          </w:p>
        </w:tc>
        <w:tc>
          <w:tcPr>
            <w:tcW w:w="1873"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3.85%起</w:t>
            </w:r>
          </w:p>
        </w:tc>
        <w:tc>
          <w:tcPr>
            <w:tcW w:w="1688" w:type="dxa"/>
            <w:vAlign w:val="center"/>
          </w:tcPr>
          <w:p>
            <w:pPr>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董庆</w:t>
            </w:r>
          </w:p>
        </w:tc>
        <w:tc>
          <w:tcPr>
            <w:tcW w:w="2131" w:type="dxa"/>
            <w:vAlign w:val="center"/>
          </w:tcPr>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81888982</w:t>
            </w:r>
          </w:p>
          <w:p>
            <w:pPr>
              <w:ind w:firstLine="240" w:firstLineChars="1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18957683735</w:t>
            </w:r>
          </w:p>
        </w:tc>
      </w:tr>
    </w:tbl>
    <w:p>
      <w:pPr>
        <w:pStyle w:val="4"/>
        <w:keepNext w:val="0"/>
        <w:keepLines w:val="0"/>
        <w:snapToGrid w:val="0"/>
        <w:spacing w:before="0" w:after="0" w:line="360" w:lineRule="auto"/>
        <w:ind w:firstLine="240" w:firstLineChars="100"/>
        <w:rPr>
          <w:rFonts w:ascii="宋体" w:hAnsi="宋体" w:eastAsia="宋体" w:cs="宋体"/>
          <w:b w:val="0"/>
          <w:bCs w:val="0"/>
          <w:color w:val="000000" w:themeColor="text1"/>
          <w:kern w:val="0"/>
          <w:sz w:val="24"/>
          <w:szCs w:val="24"/>
          <w14:textFill>
            <w14:solidFill>
              <w14:schemeClr w14:val="tx1"/>
            </w14:solidFill>
          </w14:textFill>
        </w:rPr>
      </w:pPr>
      <w:bookmarkStart w:id="28" w:name="_Toc28359018"/>
      <w:bookmarkStart w:id="29" w:name="_Toc35393805"/>
      <w:bookmarkStart w:id="30" w:name="_Toc28359095"/>
      <w:bookmarkStart w:id="31" w:name="_Toc35393636"/>
      <w:r>
        <w:rPr>
          <w:rFonts w:hint="eastAsia" w:ascii="宋体" w:hAnsi="宋体" w:eastAsia="宋体" w:cs="宋体"/>
          <w:b w:val="0"/>
          <w:bCs w:val="0"/>
          <w:color w:val="000000" w:themeColor="text1"/>
          <w:kern w:val="0"/>
          <w:sz w:val="24"/>
          <w:szCs w:val="24"/>
          <w14:textFill>
            <w14:solidFill>
              <w14:schemeClr w14:val="tx1"/>
            </w14:solidFill>
          </w14:textFill>
        </w:rPr>
        <w:t>（四）中标供应商如有需求，可使用附件中合同履约保函、预付款保函。</w:t>
      </w:r>
    </w:p>
    <w:p>
      <w:pPr>
        <w:ind w:firstLine="3000" w:firstLineChars="12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合同履约保函联系方式</w:t>
      </w:r>
    </w:p>
    <w:tbl>
      <w:tblPr>
        <w:tblStyle w:val="31"/>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2264"/>
        <w:gridCol w:w="1003"/>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5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保险公司名称</w:t>
            </w:r>
          </w:p>
        </w:tc>
        <w:tc>
          <w:tcPr>
            <w:tcW w:w="2264"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保费率</w:t>
            </w:r>
          </w:p>
        </w:tc>
        <w:tc>
          <w:tcPr>
            <w:tcW w:w="1003"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p>
        </w:tc>
        <w:tc>
          <w:tcPr>
            <w:tcW w:w="1536"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中国人寿财产保险股份有限公司台州中心支公司</w:t>
            </w:r>
          </w:p>
        </w:tc>
        <w:tc>
          <w:tcPr>
            <w:tcW w:w="2264"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年费率</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，最低保费</w:t>
            </w:r>
            <w:r>
              <w:rPr>
                <w:color w:val="000000" w:themeColor="text1"/>
                <w:sz w:val="24"/>
                <w14:textFill>
                  <w14:solidFill>
                    <w14:schemeClr w14:val="tx1"/>
                  </w14:solidFill>
                </w14:textFill>
              </w:rPr>
              <w:t>500</w:t>
            </w:r>
            <w:r>
              <w:rPr>
                <w:rFonts w:hint="eastAsia"/>
                <w:color w:val="000000" w:themeColor="text1"/>
                <w:sz w:val="24"/>
                <w14:textFill>
                  <w14:solidFill>
                    <w14:schemeClr w14:val="tx1"/>
                  </w14:solidFill>
                </w14:textFill>
              </w:rPr>
              <w:t>元</w:t>
            </w:r>
          </w:p>
        </w:tc>
        <w:tc>
          <w:tcPr>
            <w:tcW w:w="1003"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徐凌</w:t>
            </w:r>
          </w:p>
        </w:tc>
        <w:tc>
          <w:tcPr>
            <w:tcW w:w="1536" w:type="dxa"/>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永诚财产保险股份有限公司台州分公司</w:t>
            </w:r>
          </w:p>
        </w:tc>
        <w:tc>
          <w:tcPr>
            <w:tcW w:w="2264"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年费率</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，最低保费</w:t>
            </w:r>
            <w:r>
              <w:rPr>
                <w:color w:val="000000" w:themeColor="text1"/>
                <w:sz w:val="24"/>
                <w14:textFill>
                  <w14:solidFill>
                    <w14:schemeClr w14:val="tx1"/>
                  </w14:solidFill>
                </w14:textFill>
              </w:rPr>
              <w:t>1000</w:t>
            </w:r>
            <w:r>
              <w:rPr>
                <w:rFonts w:hint="eastAsia"/>
                <w:color w:val="000000" w:themeColor="text1"/>
                <w:sz w:val="24"/>
                <w14:textFill>
                  <w14:solidFill>
                    <w14:schemeClr w14:val="tx1"/>
                  </w14:solidFill>
                </w14:textFill>
              </w:rPr>
              <w:t>元</w:t>
            </w:r>
          </w:p>
        </w:tc>
        <w:tc>
          <w:tcPr>
            <w:tcW w:w="1003"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尹刚强</w:t>
            </w:r>
          </w:p>
        </w:tc>
        <w:tc>
          <w:tcPr>
            <w:tcW w:w="1536" w:type="dxa"/>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华泰财产保险有限公司台州中心支公司</w:t>
            </w:r>
          </w:p>
        </w:tc>
        <w:tc>
          <w:tcPr>
            <w:tcW w:w="2264"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年费率</w:t>
            </w:r>
            <w:r>
              <w:rPr>
                <w:color w:val="000000" w:themeColor="text1"/>
                <w:sz w:val="24"/>
                <w14:textFill>
                  <w14:solidFill>
                    <w14:schemeClr w14:val="tx1"/>
                  </w14:solidFill>
                </w14:textFill>
              </w:rPr>
              <w:t>0.5%</w:t>
            </w:r>
            <w:r>
              <w:rPr>
                <w:rFonts w:hint="eastAsia"/>
                <w:color w:val="000000" w:themeColor="text1"/>
                <w:sz w:val="24"/>
                <w14:textFill>
                  <w14:solidFill>
                    <w14:schemeClr w14:val="tx1"/>
                  </w14:solidFill>
                </w14:textFill>
              </w:rPr>
              <w:t>，最低保费</w:t>
            </w:r>
            <w:r>
              <w:rPr>
                <w:color w:val="000000" w:themeColor="text1"/>
                <w:sz w:val="24"/>
                <w14:textFill>
                  <w14:solidFill>
                    <w14:schemeClr w14:val="tx1"/>
                  </w14:solidFill>
                </w14:textFill>
              </w:rPr>
              <w:t>1000</w:t>
            </w:r>
            <w:r>
              <w:rPr>
                <w:rFonts w:hint="eastAsia"/>
                <w:color w:val="000000" w:themeColor="text1"/>
                <w:sz w:val="24"/>
                <w14:textFill>
                  <w14:solidFill>
                    <w14:schemeClr w14:val="tx1"/>
                  </w14:solidFill>
                </w14:textFill>
              </w:rPr>
              <w:t>元</w:t>
            </w:r>
          </w:p>
        </w:tc>
        <w:tc>
          <w:tcPr>
            <w:tcW w:w="1003"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王灵芳</w:t>
            </w:r>
          </w:p>
        </w:tc>
        <w:tc>
          <w:tcPr>
            <w:tcW w:w="1536" w:type="dxa"/>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88869818 13586123199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857"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中国大地财产保险股份有限公司台州中心支公司</w:t>
            </w:r>
          </w:p>
        </w:tc>
        <w:tc>
          <w:tcPr>
            <w:tcW w:w="2264"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年费率</w:t>
            </w:r>
            <w:r>
              <w:rPr>
                <w:color w:val="000000" w:themeColor="text1"/>
                <w:sz w:val="24"/>
                <w14:textFill>
                  <w14:solidFill>
                    <w14:schemeClr w14:val="tx1"/>
                  </w14:solidFill>
                </w14:textFill>
              </w:rPr>
              <w:t>1.5%</w:t>
            </w:r>
            <w:r>
              <w:rPr>
                <w:rFonts w:hint="eastAsia"/>
                <w:color w:val="000000" w:themeColor="text1"/>
                <w:sz w:val="24"/>
                <w14:textFill>
                  <w14:solidFill>
                    <w14:schemeClr w14:val="tx1"/>
                  </w14:solidFill>
                </w14:textFill>
              </w:rPr>
              <w:t>，最低保费</w:t>
            </w:r>
            <w:r>
              <w:rPr>
                <w:color w:val="000000" w:themeColor="text1"/>
                <w:sz w:val="24"/>
                <w14:textFill>
                  <w14:solidFill>
                    <w14:schemeClr w14:val="tx1"/>
                  </w14:solidFill>
                </w14:textFill>
              </w:rPr>
              <w:t>1000</w:t>
            </w:r>
            <w:r>
              <w:rPr>
                <w:rFonts w:hint="eastAsia"/>
                <w:color w:val="000000" w:themeColor="text1"/>
                <w:sz w:val="24"/>
                <w14:textFill>
                  <w14:solidFill>
                    <w14:schemeClr w14:val="tx1"/>
                  </w14:solidFill>
                </w14:textFill>
              </w:rPr>
              <w:t>元</w:t>
            </w:r>
          </w:p>
        </w:tc>
        <w:tc>
          <w:tcPr>
            <w:tcW w:w="1003"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徐小明</w:t>
            </w:r>
          </w:p>
        </w:tc>
        <w:tc>
          <w:tcPr>
            <w:tcW w:w="1536" w:type="dxa"/>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88552788      13968603112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阳光保险台州中心支公司</w:t>
            </w:r>
          </w:p>
        </w:tc>
        <w:tc>
          <w:tcPr>
            <w:tcW w:w="2264"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年费率</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，最低保费</w:t>
            </w:r>
            <w:r>
              <w:rPr>
                <w:color w:val="000000" w:themeColor="text1"/>
                <w:sz w:val="24"/>
                <w14:textFill>
                  <w14:solidFill>
                    <w14:schemeClr w14:val="tx1"/>
                  </w14:solidFill>
                </w14:textFill>
              </w:rPr>
              <w:t>500</w:t>
            </w:r>
            <w:r>
              <w:rPr>
                <w:rFonts w:hint="eastAsia"/>
                <w:color w:val="000000" w:themeColor="text1"/>
                <w:sz w:val="24"/>
                <w14:textFill>
                  <w14:solidFill>
                    <w14:schemeClr w14:val="tx1"/>
                  </w14:solidFill>
                </w14:textFill>
              </w:rPr>
              <w:t>元</w:t>
            </w:r>
          </w:p>
        </w:tc>
        <w:tc>
          <w:tcPr>
            <w:tcW w:w="1003"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林高明</w:t>
            </w:r>
          </w:p>
        </w:tc>
        <w:tc>
          <w:tcPr>
            <w:tcW w:w="1536" w:type="dxa"/>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中华联合财产保险股份有限公司台州中心支公司</w:t>
            </w:r>
          </w:p>
        </w:tc>
        <w:tc>
          <w:tcPr>
            <w:tcW w:w="2264"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年费率</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，最低保费</w:t>
            </w:r>
            <w:r>
              <w:rPr>
                <w:color w:val="000000" w:themeColor="text1"/>
                <w:sz w:val="24"/>
                <w14:textFill>
                  <w14:solidFill>
                    <w14:schemeClr w14:val="tx1"/>
                  </w14:solidFill>
                </w14:textFill>
              </w:rPr>
              <w:t>500</w:t>
            </w:r>
            <w:r>
              <w:rPr>
                <w:rFonts w:hint="eastAsia"/>
                <w:color w:val="000000" w:themeColor="text1"/>
                <w:sz w:val="24"/>
                <w14:textFill>
                  <w14:solidFill>
                    <w14:schemeClr w14:val="tx1"/>
                  </w14:solidFill>
                </w14:textFill>
              </w:rPr>
              <w:t>元</w:t>
            </w:r>
          </w:p>
        </w:tc>
        <w:tc>
          <w:tcPr>
            <w:tcW w:w="1003"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王仙高</w:t>
            </w:r>
          </w:p>
        </w:tc>
        <w:tc>
          <w:tcPr>
            <w:tcW w:w="1536" w:type="dxa"/>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中国人民财产保险股份有限公司台州中心支公司</w:t>
            </w:r>
          </w:p>
        </w:tc>
        <w:tc>
          <w:tcPr>
            <w:tcW w:w="2264"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年费率</w:t>
            </w:r>
            <w:r>
              <w:rPr>
                <w:color w:val="000000" w:themeColor="text1"/>
                <w:sz w:val="24"/>
                <w14:textFill>
                  <w14:solidFill>
                    <w14:schemeClr w14:val="tx1"/>
                  </w14:solidFill>
                </w14:textFill>
              </w:rPr>
              <w:t>0.3%</w:t>
            </w:r>
            <w:r>
              <w:rPr>
                <w:rFonts w:hint="eastAsia"/>
                <w:color w:val="000000" w:themeColor="text1"/>
                <w:sz w:val="24"/>
                <w14:textFill>
                  <w14:solidFill>
                    <w14:schemeClr w14:val="tx1"/>
                  </w14:solidFill>
                </w14:textFill>
              </w:rPr>
              <w:t>，最低保费</w:t>
            </w:r>
            <w:r>
              <w:rPr>
                <w:color w:val="000000" w:themeColor="text1"/>
                <w:sz w:val="24"/>
                <w14:textFill>
                  <w14:solidFill>
                    <w14:schemeClr w14:val="tx1"/>
                  </w14:solidFill>
                </w14:textFill>
              </w:rPr>
              <w:t>1000</w:t>
            </w:r>
            <w:r>
              <w:rPr>
                <w:rFonts w:hint="eastAsia"/>
                <w:color w:val="000000" w:themeColor="text1"/>
                <w:sz w:val="24"/>
                <w14:textFill>
                  <w14:solidFill>
                    <w14:schemeClr w14:val="tx1"/>
                  </w14:solidFill>
                </w14:textFill>
              </w:rPr>
              <w:t>元</w:t>
            </w:r>
          </w:p>
        </w:tc>
        <w:tc>
          <w:tcPr>
            <w:tcW w:w="1003"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王仙春</w:t>
            </w:r>
          </w:p>
        </w:tc>
        <w:tc>
          <w:tcPr>
            <w:tcW w:w="1536" w:type="dxa"/>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3857" w:type="dxa"/>
          </w:tcPr>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永安财产保险股份有限公司台州中心支公司</w:t>
            </w:r>
          </w:p>
        </w:tc>
        <w:tc>
          <w:tcPr>
            <w:tcW w:w="2264" w:type="dxa"/>
          </w:tcPr>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年费率</w:t>
            </w:r>
            <w:r>
              <w:rPr>
                <w:color w:val="000000" w:themeColor="text1"/>
                <w:sz w:val="24"/>
                <w14:textFill>
                  <w14:solidFill>
                    <w14:schemeClr w14:val="tx1"/>
                  </w14:solidFill>
                </w14:textFill>
              </w:rPr>
              <w:t>0.3%</w:t>
            </w:r>
            <w:r>
              <w:rPr>
                <w:rFonts w:hint="eastAsia"/>
                <w:color w:val="000000" w:themeColor="text1"/>
                <w:sz w:val="24"/>
                <w14:textFill>
                  <w14:solidFill>
                    <w14:schemeClr w14:val="tx1"/>
                  </w14:solidFill>
                </w14:textFill>
              </w:rPr>
              <w:t>，最低保费</w:t>
            </w:r>
            <w:r>
              <w:rPr>
                <w:color w:val="000000" w:themeColor="text1"/>
                <w:sz w:val="24"/>
                <w14:textFill>
                  <w14:solidFill>
                    <w14:schemeClr w14:val="tx1"/>
                  </w14:solidFill>
                </w14:textFill>
              </w:rPr>
              <w:t>1000</w:t>
            </w:r>
          </w:p>
        </w:tc>
        <w:tc>
          <w:tcPr>
            <w:tcW w:w="1003" w:type="dxa"/>
          </w:tcPr>
          <w:p>
            <w:pPr>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王春宇</w:t>
            </w:r>
          </w:p>
        </w:tc>
        <w:tc>
          <w:tcPr>
            <w:tcW w:w="1536" w:type="dxa"/>
          </w:tcPr>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13676675331</w:t>
            </w:r>
          </w:p>
        </w:tc>
      </w:tr>
    </w:tbl>
    <w:p>
      <w:pPr>
        <w:ind w:firstLine="3360" w:firstLineChars="14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预付款保函联系方式</w:t>
      </w:r>
    </w:p>
    <w:tbl>
      <w:tblPr>
        <w:tblStyle w:val="31"/>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2357"/>
        <w:gridCol w:w="1003"/>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765"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保险公司名称</w:t>
            </w:r>
          </w:p>
        </w:tc>
        <w:tc>
          <w:tcPr>
            <w:tcW w:w="235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保费率</w:t>
            </w:r>
          </w:p>
        </w:tc>
        <w:tc>
          <w:tcPr>
            <w:tcW w:w="1003"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p>
        </w:tc>
        <w:tc>
          <w:tcPr>
            <w:tcW w:w="1536"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765"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中国人寿财产保险股份有限公司台州中心支公司</w:t>
            </w:r>
          </w:p>
        </w:tc>
        <w:tc>
          <w:tcPr>
            <w:tcW w:w="2357"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年费率</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，最低保费</w:t>
            </w:r>
            <w:r>
              <w:rPr>
                <w:color w:val="000000" w:themeColor="text1"/>
                <w:sz w:val="24"/>
                <w14:textFill>
                  <w14:solidFill>
                    <w14:schemeClr w14:val="tx1"/>
                  </w14:solidFill>
                </w14:textFill>
              </w:rPr>
              <w:t>500</w:t>
            </w:r>
            <w:r>
              <w:rPr>
                <w:rFonts w:hint="eastAsia"/>
                <w:color w:val="000000" w:themeColor="text1"/>
                <w:sz w:val="24"/>
                <w14:textFill>
                  <w14:solidFill>
                    <w14:schemeClr w14:val="tx1"/>
                  </w14:solidFill>
                </w14:textFill>
              </w:rPr>
              <w:t>元</w:t>
            </w:r>
          </w:p>
        </w:tc>
        <w:tc>
          <w:tcPr>
            <w:tcW w:w="1003"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徐凌</w:t>
            </w:r>
          </w:p>
        </w:tc>
        <w:tc>
          <w:tcPr>
            <w:tcW w:w="1536" w:type="dxa"/>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3765"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阳光保险台州中心支公司</w:t>
            </w:r>
          </w:p>
        </w:tc>
        <w:tc>
          <w:tcPr>
            <w:tcW w:w="2357"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年费率</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，最低保费</w:t>
            </w:r>
            <w:r>
              <w:rPr>
                <w:color w:val="000000" w:themeColor="text1"/>
                <w:sz w:val="24"/>
                <w14:textFill>
                  <w14:solidFill>
                    <w14:schemeClr w14:val="tx1"/>
                  </w14:solidFill>
                </w14:textFill>
              </w:rPr>
              <w:t>500</w:t>
            </w:r>
            <w:r>
              <w:rPr>
                <w:rFonts w:hint="eastAsia"/>
                <w:color w:val="000000" w:themeColor="text1"/>
                <w:sz w:val="24"/>
                <w14:textFill>
                  <w14:solidFill>
                    <w14:schemeClr w14:val="tx1"/>
                  </w14:solidFill>
                </w14:textFill>
              </w:rPr>
              <w:t>元</w:t>
            </w:r>
          </w:p>
        </w:tc>
        <w:tc>
          <w:tcPr>
            <w:tcW w:w="1003"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林高明</w:t>
            </w:r>
          </w:p>
        </w:tc>
        <w:tc>
          <w:tcPr>
            <w:tcW w:w="1536" w:type="dxa"/>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765"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天安财产保险股份有限公司台州中心支公司</w:t>
            </w:r>
          </w:p>
        </w:tc>
        <w:tc>
          <w:tcPr>
            <w:tcW w:w="2357"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年费率</w:t>
            </w: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，最低保费</w:t>
            </w:r>
            <w:r>
              <w:rPr>
                <w:color w:val="000000" w:themeColor="text1"/>
                <w:sz w:val="24"/>
                <w14:textFill>
                  <w14:solidFill>
                    <w14:schemeClr w14:val="tx1"/>
                  </w14:solidFill>
                </w14:textFill>
              </w:rPr>
              <w:t>500</w:t>
            </w:r>
            <w:r>
              <w:rPr>
                <w:rFonts w:hint="eastAsia"/>
                <w:color w:val="000000" w:themeColor="text1"/>
                <w:sz w:val="24"/>
                <w14:textFill>
                  <w14:solidFill>
                    <w14:schemeClr w14:val="tx1"/>
                  </w14:solidFill>
                </w14:textFill>
              </w:rPr>
              <w:t>元</w:t>
            </w:r>
          </w:p>
        </w:tc>
        <w:tc>
          <w:tcPr>
            <w:tcW w:w="1003"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罗赛</w:t>
            </w:r>
          </w:p>
        </w:tc>
        <w:tc>
          <w:tcPr>
            <w:tcW w:w="1536" w:type="dxa"/>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13736605643</w:t>
            </w:r>
          </w:p>
        </w:tc>
      </w:tr>
    </w:tbl>
    <w:p>
      <w:pPr>
        <w:pStyle w:val="29"/>
        <w:ind w:firstLine="0" w:firstLineChars="0"/>
        <w:rPr>
          <w:color w:val="000000" w:themeColor="text1"/>
          <w14:textFill>
            <w14:solidFill>
              <w14:schemeClr w14:val="tx1"/>
            </w14:solidFill>
          </w14:textFill>
        </w:rPr>
      </w:pPr>
    </w:p>
    <w:p>
      <w:pPr>
        <w:pStyle w:val="4"/>
        <w:keepNext w:val="0"/>
        <w:keepLines w:val="0"/>
        <w:snapToGrid w:val="0"/>
        <w:spacing w:before="0" w:after="0" w:line="360" w:lineRule="auto"/>
        <w:rPr>
          <w:rFonts w:ascii="宋体" w:hAnsi="宋体" w:eastAsia="宋体" w:cs="宋体"/>
          <w:bCs w:val="0"/>
          <w:color w:val="000000" w:themeColor="text1"/>
          <w:sz w:val="24"/>
          <w:szCs w:val="24"/>
          <w14:textFill>
            <w14:solidFill>
              <w14:schemeClr w14:val="tx1"/>
            </w14:solidFill>
          </w14:textFill>
        </w:rPr>
      </w:pPr>
      <w:r>
        <w:rPr>
          <w:rFonts w:hint="eastAsia" w:ascii="宋体" w:hAnsi="宋体" w:eastAsia="宋体" w:cs="宋体"/>
          <w:bCs w:val="0"/>
          <w:color w:val="000000" w:themeColor="text1"/>
          <w:sz w:val="24"/>
          <w:szCs w:val="24"/>
          <w14:textFill>
            <w14:solidFill>
              <w14:schemeClr w14:val="tx1"/>
            </w14:solidFill>
          </w14:textFill>
        </w:rPr>
        <w:t>八、凡对本次采购提出询问，请按</w:t>
      </w:r>
      <w:r>
        <w:rPr>
          <w:rFonts w:ascii="宋体" w:hAnsi="宋体" w:eastAsia="宋体" w:cs="宋体"/>
          <w:bCs w:val="0"/>
          <w:color w:val="000000" w:themeColor="text1"/>
          <w:sz w:val="24"/>
          <w:szCs w:val="24"/>
          <w14:textFill>
            <w14:solidFill>
              <w14:schemeClr w14:val="tx1"/>
            </w14:solidFill>
          </w14:textFill>
        </w:rPr>
        <w:t>以下方式</w:t>
      </w:r>
      <w:r>
        <w:rPr>
          <w:rFonts w:hint="eastAsia" w:ascii="宋体" w:hAnsi="宋体" w:eastAsia="宋体" w:cs="宋体"/>
          <w:bCs w:val="0"/>
          <w:color w:val="000000" w:themeColor="text1"/>
          <w:sz w:val="24"/>
          <w:szCs w:val="24"/>
          <w14:textFill>
            <w14:solidFill>
              <w14:schemeClr w14:val="tx1"/>
            </w14:solidFill>
          </w14:textFill>
        </w:rPr>
        <w:t>联系。</w:t>
      </w:r>
      <w:bookmarkEnd w:id="28"/>
      <w:bookmarkEnd w:id="29"/>
      <w:bookmarkEnd w:id="30"/>
      <w:bookmarkEnd w:id="31"/>
    </w:p>
    <w:p>
      <w:pPr>
        <w:pStyle w:val="4"/>
        <w:spacing w:before="0" w:after="0" w:line="360" w:lineRule="auto"/>
        <w:ind w:firstLine="482" w:firstLineChars="200"/>
        <w:rPr>
          <w:rFonts w:ascii="宋体" w:hAnsi="宋体" w:eastAsia="宋体" w:cs="Times New Roman"/>
          <w:b w:val="0"/>
          <w:bCs w:val="0"/>
          <w:color w:val="000000" w:themeColor="text1"/>
          <w:sz w:val="24"/>
          <w:szCs w:val="24"/>
          <w14:textFill>
            <w14:solidFill>
              <w14:schemeClr w14:val="tx1"/>
            </w14:solidFill>
          </w14:textFill>
        </w:rPr>
      </w:pPr>
      <w:bookmarkStart w:id="32" w:name="_Toc35393806"/>
      <w:bookmarkStart w:id="33" w:name="_Toc28359019"/>
      <w:bookmarkStart w:id="34" w:name="_Toc28359096"/>
      <w:bookmarkStart w:id="35" w:name="_Toc35393637"/>
      <w:r>
        <w:rPr>
          <w:rFonts w:hint="eastAsia" w:ascii="宋体" w:hAnsi="宋体" w:eastAsia="宋体" w:cs="宋体"/>
          <w:bCs w:val="0"/>
          <w:color w:val="000000" w:themeColor="text1"/>
          <w:sz w:val="24"/>
          <w:szCs w:val="24"/>
          <w14:textFill>
            <w14:solidFill>
              <w14:schemeClr w14:val="tx1"/>
            </w14:solidFill>
          </w14:textFill>
        </w:rPr>
        <w:t>1</w:t>
      </w:r>
      <w:r>
        <w:rPr>
          <w:rFonts w:hint="eastAsia" w:ascii="宋体" w:hAnsi="宋体" w:eastAsia="宋体" w:cs="Times New Roman"/>
          <w:b w:val="0"/>
          <w:bCs w:val="0"/>
          <w:color w:val="000000" w:themeColor="text1"/>
          <w:sz w:val="24"/>
          <w:szCs w:val="24"/>
          <w14:textFill>
            <w14:solidFill>
              <w14:schemeClr w14:val="tx1"/>
            </w14:solidFill>
          </w14:textFill>
        </w:rPr>
        <w:t>.</w:t>
      </w:r>
      <w:bookmarkEnd w:id="32"/>
      <w:bookmarkEnd w:id="33"/>
      <w:bookmarkEnd w:id="34"/>
      <w:bookmarkEnd w:id="35"/>
      <w:bookmarkStart w:id="36" w:name="_Toc28359097"/>
      <w:bookmarkStart w:id="37" w:name="_Toc35393638"/>
      <w:bookmarkStart w:id="38" w:name="_Toc35393807"/>
      <w:bookmarkStart w:id="39" w:name="_Toc28359020"/>
      <w:r>
        <w:rPr>
          <w:rFonts w:hint="eastAsia" w:ascii="宋体" w:hAnsi="宋体" w:eastAsia="宋体" w:cs="Times New Roman"/>
          <w:b w:val="0"/>
          <w:bCs w:val="0"/>
          <w:color w:val="000000" w:themeColor="text1"/>
          <w:sz w:val="24"/>
          <w:szCs w:val="24"/>
          <w14:textFill>
            <w14:solidFill>
              <w14:schemeClr w14:val="tx1"/>
            </w14:solidFill>
          </w14:textFill>
        </w:rPr>
        <w:t>采购人信息</w:t>
      </w:r>
    </w:p>
    <w:p>
      <w:pPr>
        <w:spacing w:line="360" w:lineRule="auto"/>
        <w:ind w:left="1079" w:leftChars="371" w:hanging="300" w:hangingChars="12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    称：台州市椒江区人民法院</w:t>
      </w:r>
    </w:p>
    <w:p>
      <w:pPr>
        <w:spacing w:line="360" w:lineRule="auto"/>
        <w:ind w:left="1079" w:leftChars="371" w:hanging="300" w:hangingChars="12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址：台州市椒江区云西路233号</w:t>
      </w:r>
    </w:p>
    <w:p>
      <w:pPr>
        <w:spacing w:line="360" w:lineRule="auto"/>
        <w:ind w:left="1079" w:leftChars="371" w:hanging="300" w:hangingChars="125"/>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14:textFill>
            <w14:solidFill>
              <w14:schemeClr w14:val="tx1"/>
            </w14:solidFill>
          </w14:textFill>
        </w:rPr>
        <w:t>项</w:t>
      </w:r>
      <w:r>
        <w:rPr>
          <w:rFonts w:hint="eastAsia" w:ascii="宋体" w:hAnsi="宋体"/>
          <w:color w:val="000000" w:themeColor="text1"/>
          <w:sz w:val="24"/>
          <w:highlight w:val="none"/>
          <w14:textFill>
            <w14:solidFill>
              <w14:schemeClr w14:val="tx1"/>
            </w14:solidFill>
          </w14:textFill>
        </w:rPr>
        <w:t>目联系人</w:t>
      </w:r>
      <w:r>
        <w:rPr>
          <w:rFonts w:ascii="宋体" w:hAnsi="宋体"/>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lang w:val="en-US" w:eastAsia="zh-CN"/>
          <w14:textFill>
            <w14:solidFill>
              <w14:schemeClr w14:val="tx1"/>
            </w14:solidFill>
          </w14:textFill>
        </w:rPr>
        <w:t>潘</w:t>
      </w:r>
      <w:r>
        <w:rPr>
          <w:rFonts w:hint="eastAsia" w:ascii="宋体" w:hAnsi="宋体" w:cs="Arial"/>
          <w:color w:val="000000" w:themeColor="text1"/>
          <w:sz w:val="24"/>
          <w:highlight w:val="none"/>
          <w14:textFill>
            <w14:solidFill>
              <w14:schemeClr w14:val="tx1"/>
            </w14:solidFill>
          </w14:textFill>
        </w:rPr>
        <w:t>老师</w:t>
      </w:r>
    </w:p>
    <w:p>
      <w:pPr>
        <w:snapToGrid w:val="0"/>
        <w:spacing w:line="360" w:lineRule="auto"/>
        <w:ind w:firstLine="960" w:firstLineChars="4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联系方式：</w:t>
      </w:r>
      <w:r>
        <w:rPr>
          <w:rFonts w:ascii="宋体" w:hAnsi="宋体" w:cs="Arial"/>
          <w:color w:val="000000" w:themeColor="text1"/>
          <w:sz w:val="24"/>
          <w14:textFill>
            <w14:solidFill>
              <w14:schemeClr w14:val="tx1"/>
            </w14:solidFill>
          </w14:textFill>
        </w:rPr>
        <w:t>0576-</w:t>
      </w:r>
      <w:r>
        <w:rPr>
          <w:rFonts w:hint="eastAsia" w:ascii="宋体" w:hAnsi="宋体" w:cs="Arial"/>
          <w:color w:val="000000" w:themeColor="text1"/>
          <w:sz w:val="24"/>
          <w:lang w:val="en-US" w:eastAsia="zh-CN"/>
          <w14:textFill>
            <w14:solidFill>
              <w14:schemeClr w14:val="tx1"/>
            </w14:solidFill>
          </w14:textFill>
        </w:rPr>
        <w:t>88108086</w:t>
      </w:r>
    </w:p>
    <w:p>
      <w:pPr>
        <w:spacing w:line="360" w:lineRule="auto"/>
        <w:ind w:left="1079" w:leftChars="371" w:hanging="300" w:hangingChars="12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质疑联系人：</w:t>
      </w:r>
      <w:r>
        <w:rPr>
          <w:rFonts w:hint="eastAsia" w:ascii="宋体" w:hAnsi="宋体" w:cs="Arial"/>
          <w:color w:val="000000" w:themeColor="text1"/>
          <w:sz w:val="24"/>
          <w:lang w:val="en-US" w:eastAsia="zh-CN"/>
          <w14:textFill>
            <w14:solidFill>
              <w14:schemeClr w14:val="tx1"/>
            </w14:solidFill>
          </w14:textFill>
        </w:rPr>
        <w:t>项</w:t>
      </w:r>
      <w:r>
        <w:rPr>
          <w:rFonts w:hint="eastAsia" w:ascii="宋体" w:hAnsi="宋体" w:cs="Arial"/>
          <w:color w:val="000000" w:themeColor="text1"/>
          <w:sz w:val="24"/>
          <w14:textFill>
            <w14:solidFill>
              <w14:schemeClr w14:val="tx1"/>
            </w14:solidFill>
          </w14:textFill>
        </w:rPr>
        <w:t>老师</w:t>
      </w:r>
    </w:p>
    <w:p>
      <w:pPr>
        <w:spacing w:line="360" w:lineRule="auto"/>
        <w:ind w:left="1079" w:leftChars="371" w:hanging="300" w:hangingChars="12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联系方式：</w:t>
      </w:r>
      <w:r>
        <w:rPr>
          <w:rFonts w:ascii="宋体" w:hAnsi="宋体" w:cs="Arial"/>
          <w:color w:val="000000" w:themeColor="text1"/>
          <w:sz w:val="24"/>
          <w14:textFill>
            <w14:solidFill>
              <w14:schemeClr w14:val="tx1"/>
            </w14:solidFill>
          </w14:textFill>
        </w:rPr>
        <w:t>0576</w:t>
      </w:r>
      <w:r>
        <w:rPr>
          <w:rFonts w:hint="eastAsia" w:ascii="宋体" w:hAnsi="宋体" w:cs="Arial"/>
          <w:color w:val="000000" w:themeColor="text1"/>
          <w:sz w:val="24"/>
          <w14:textFill>
            <w14:solidFill>
              <w14:schemeClr w14:val="tx1"/>
            </w14:solidFill>
          </w14:textFill>
        </w:rPr>
        <w:t>-88108090</w:t>
      </w:r>
    </w:p>
    <w:p>
      <w:pPr>
        <w:pStyle w:val="4"/>
        <w:keepNext w:val="0"/>
        <w:keepLines w:val="0"/>
        <w:snapToGrid w:val="0"/>
        <w:spacing w:before="0" w:after="0" w:line="360" w:lineRule="auto"/>
        <w:ind w:firstLine="480" w:firstLineChars="200"/>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2.采购代理机构信息</w:t>
      </w:r>
      <w:bookmarkEnd w:id="36"/>
      <w:bookmarkEnd w:id="37"/>
      <w:bookmarkEnd w:id="38"/>
      <w:bookmarkEnd w:id="39"/>
    </w:p>
    <w:p>
      <w:pPr>
        <w:snapToGrid w:val="0"/>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    称：台州蔚蓝投资咨询有限公司</w:t>
      </w:r>
    </w:p>
    <w:p>
      <w:pPr>
        <w:snapToGrid w:val="0"/>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址：台州市椒江区开元路299号</w:t>
      </w:r>
    </w:p>
    <w:p>
      <w:pPr>
        <w:snapToGrid w:val="0"/>
        <w:spacing w:after="0"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项目联系人：</w:t>
      </w:r>
      <w:r>
        <w:rPr>
          <w:rFonts w:hint="eastAsia" w:ascii="宋体" w:hAnsi="宋体"/>
          <w:color w:val="000000" w:themeColor="text1"/>
          <w:sz w:val="24"/>
          <w:lang w:eastAsia="zh-CN"/>
          <w14:textFill>
            <w14:solidFill>
              <w14:schemeClr w14:val="tx1"/>
            </w14:solidFill>
          </w14:textFill>
        </w:rPr>
        <w:t>冯</w:t>
      </w:r>
      <w:r>
        <w:rPr>
          <w:rFonts w:hint="eastAsia" w:ascii="宋体" w:hAnsi="宋体"/>
          <w:color w:val="000000" w:themeColor="text1"/>
          <w:sz w:val="24"/>
          <w14:textFill>
            <w14:solidFill>
              <w14:schemeClr w14:val="tx1"/>
            </w14:solidFill>
          </w14:textFill>
        </w:rPr>
        <w:t>工</w:t>
      </w:r>
    </w:p>
    <w:p>
      <w:pPr>
        <w:snapToGrid w:val="0"/>
        <w:spacing w:line="360" w:lineRule="auto"/>
        <w:ind w:firstLine="720" w:firstLineChars="3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联系方式：</w:t>
      </w:r>
      <w:r>
        <w:rPr>
          <w:rFonts w:hint="eastAsia" w:ascii="宋体" w:hAnsi="宋体"/>
          <w:color w:val="000000" w:themeColor="text1"/>
          <w:sz w:val="24"/>
          <w:lang w:val="en-US" w:eastAsia="zh-CN"/>
          <w14:textFill>
            <w14:solidFill>
              <w14:schemeClr w14:val="tx1"/>
            </w14:solidFill>
          </w14:textFill>
        </w:rPr>
        <w:t>13750642421</w:t>
      </w:r>
    </w:p>
    <w:p>
      <w:pPr>
        <w:snapToGrid w:val="0"/>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质疑联系人：</w:t>
      </w:r>
      <w:r>
        <w:rPr>
          <w:rFonts w:hint="eastAsia" w:ascii="宋体" w:hAnsi="宋体"/>
          <w:color w:val="000000" w:themeColor="text1"/>
          <w:sz w:val="24"/>
          <w:lang w:eastAsia="zh-CN"/>
          <w14:textFill>
            <w14:solidFill>
              <w14:schemeClr w14:val="tx1"/>
            </w14:solidFill>
          </w14:textFill>
        </w:rPr>
        <w:t>李</w:t>
      </w:r>
      <w:r>
        <w:rPr>
          <w:rFonts w:hint="eastAsia" w:ascii="宋体" w:hAnsi="宋体"/>
          <w:color w:val="000000" w:themeColor="text1"/>
          <w:sz w:val="24"/>
          <w14:textFill>
            <w14:solidFill>
              <w14:schemeClr w14:val="tx1"/>
            </w14:solidFill>
          </w14:textFill>
        </w:rPr>
        <w:t>工</w:t>
      </w:r>
    </w:p>
    <w:p>
      <w:pPr>
        <w:snapToGrid w:val="0"/>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联系方式：</w:t>
      </w:r>
      <w:r>
        <w:rPr>
          <w:rFonts w:ascii="宋体" w:hAnsi="宋体"/>
          <w:color w:val="000000" w:themeColor="text1"/>
          <w:sz w:val="24"/>
          <w14:textFill>
            <w14:solidFill>
              <w14:schemeClr w14:val="tx1"/>
            </w14:solidFill>
          </w14:textFill>
        </w:rPr>
        <w:t>0576</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88508578</w:t>
      </w:r>
    </w:p>
    <w:p>
      <w:pPr>
        <w:pStyle w:val="4"/>
        <w:spacing w:before="0" w:after="0" w:line="360" w:lineRule="auto"/>
        <w:ind w:firstLine="482" w:firstLineChars="200"/>
        <w:rPr>
          <w:rFonts w:ascii="宋体" w:hAnsi="宋体" w:eastAsia="宋体" w:cs="宋体"/>
          <w:bCs w:val="0"/>
          <w:color w:val="000000" w:themeColor="text1"/>
          <w:sz w:val="24"/>
          <w:szCs w:val="24"/>
          <w14:textFill>
            <w14:solidFill>
              <w14:schemeClr w14:val="tx1"/>
            </w14:solidFill>
          </w14:textFill>
        </w:rPr>
      </w:pPr>
      <w:bookmarkStart w:id="40" w:name="_Toc35393808"/>
      <w:bookmarkStart w:id="41" w:name="_Toc28359098"/>
      <w:bookmarkStart w:id="42" w:name="_Toc35393639"/>
      <w:bookmarkStart w:id="43" w:name="_Toc28359021"/>
      <w:r>
        <w:rPr>
          <w:rFonts w:hint="eastAsia" w:ascii="宋体" w:hAnsi="宋体" w:eastAsia="宋体" w:cs="宋体"/>
          <w:bCs w:val="0"/>
          <w:color w:val="000000" w:themeColor="text1"/>
          <w:sz w:val="24"/>
          <w:szCs w:val="24"/>
          <w14:textFill>
            <w14:solidFill>
              <w14:schemeClr w14:val="tx1"/>
            </w14:solidFill>
          </w14:textFill>
        </w:rPr>
        <w:t>3.</w:t>
      </w:r>
      <w:bookmarkEnd w:id="40"/>
      <w:bookmarkEnd w:id="41"/>
      <w:bookmarkEnd w:id="42"/>
      <w:bookmarkEnd w:id="43"/>
      <w:r>
        <w:rPr>
          <w:rFonts w:hint="eastAsia" w:ascii="宋体" w:hAnsi="宋体" w:eastAsia="宋体" w:cs="宋体"/>
          <w:bCs w:val="0"/>
          <w:color w:val="000000" w:themeColor="text1"/>
          <w:sz w:val="24"/>
          <w:szCs w:val="24"/>
          <w14:textFill>
            <w14:solidFill>
              <w14:schemeClr w14:val="tx1"/>
            </w14:solidFill>
          </w14:textFill>
        </w:rPr>
        <w:t>同级政府采购监督管理部门</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720" w:firstLineChars="3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名称：椒江区政府采购监管科</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720" w:firstLineChars="3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联系人：王老师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720" w:firstLineChars="3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监督投诉电话：0576-</w:t>
      </w:r>
      <w:r>
        <w:rPr>
          <w:rFonts w:ascii="宋体" w:hAnsi="宋体" w:cs="宋体"/>
          <w:bCs/>
          <w:color w:val="000000" w:themeColor="text1"/>
          <w:sz w:val="24"/>
          <w14:textFill>
            <w14:solidFill>
              <w14:schemeClr w14:val="tx1"/>
            </w14:solidFill>
          </w14:textFill>
        </w:rPr>
        <w:t>88225817</w:t>
      </w:r>
      <w:r>
        <w:rPr>
          <w:rFonts w:hint="eastAsia" w:ascii="宋体" w:hAnsi="宋体" w:cs="宋体"/>
          <w:bCs/>
          <w:color w:val="000000" w:themeColor="text1"/>
          <w:sz w:val="24"/>
          <w14:textFill>
            <w14:solidFill>
              <w14:schemeClr w14:val="tx1"/>
            </w14:solidFill>
          </w14:textFill>
        </w:rPr>
        <w:t>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720" w:firstLineChars="3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地    址：浙江省台州市椒江区建设路6号</w:t>
      </w:r>
    </w:p>
    <w:p>
      <w:pPr>
        <w:pStyle w:val="12"/>
        <w:rPr>
          <w:color w:val="000000" w:themeColor="text1"/>
          <w14:textFill>
            <w14:solidFill>
              <w14:schemeClr w14:val="tx1"/>
            </w14:solidFill>
          </w14:textFill>
        </w:rPr>
      </w:pPr>
    </w:p>
    <w:p>
      <w:pPr>
        <w:pStyle w:val="13"/>
        <w:ind w:firstLine="210"/>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pStyle w:val="12"/>
        <w:ind w:firstLine="5040" w:firstLineChars="2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台州蔚蓝投资咨询有限公司</w:t>
      </w:r>
    </w:p>
    <w:p>
      <w:pPr>
        <w:pStyle w:val="67"/>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2024年</w:t>
      </w:r>
      <w:r>
        <w:rPr>
          <w:rFonts w:hint="eastAsia" w:ascii="宋体" w:hAnsi="宋体"/>
          <w:color w:val="000000" w:themeColor="text1"/>
          <w:sz w:val="24"/>
          <w:lang w:val="en-US" w:eastAsia="zh-CN"/>
          <w14:textFill>
            <w14:solidFill>
              <w14:schemeClr w14:val="tx1"/>
            </w14:solidFill>
          </w14:textFill>
        </w:rPr>
        <w:t>5月</w:t>
      </w:r>
    </w:p>
    <w:p>
      <w:pPr>
        <w:pStyle w:val="4"/>
        <w:keepNext w:val="0"/>
        <w:keepLines w:val="0"/>
        <w:snapToGrid w:val="0"/>
        <w:spacing w:before="0" w:after="0" w:line="288" w:lineRule="auto"/>
        <w:jc w:val="center"/>
        <w:rPr>
          <w:rFonts w:ascii="宋体" w:hAnsi="宋体" w:eastAsia="宋体" w:cs="宋体"/>
          <w:b w:val="0"/>
          <w:color w:val="000000" w:themeColor="text1"/>
          <w:sz w:val="28"/>
          <w:szCs w:val="28"/>
          <w14:textFill>
            <w14:solidFill>
              <w14:schemeClr w14:val="tx1"/>
            </w14:solidFill>
          </w14:textFill>
        </w:rPr>
      </w:pPr>
      <w:r>
        <w:rPr>
          <w:rFonts w:hint="eastAsia" w:ascii="宋体" w:hAnsi="宋体" w:eastAsia="宋体" w:cs="宋体"/>
          <w:b w:val="0"/>
          <w:color w:val="000000" w:themeColor="text1"/>
          <w:sz w:val="28"/>
          <w:szCs w:val="28"/>
          <w14:textFill>
            <w14:solidFill>
              <w14:schemeClr w14:val="tx1"/>
            </w14:solidFill>
          </w14:textFill>
        </w:rPr>
        <w:br w:type="page"/>
      </w:r>
      <w:r>
        <w:rPr>
          <w:rFonts w:hint="eastAsia" w:ascii="宋体" w:hAnsi="宋体" w:eastAsia="宋体"/>
          <w:color w:val="000000" w:themeColor="text1"/>
          <w:sz w:val="36"/>
          <w:szCs w:val="36"/>
          <w14:textFill>
            <w14:solidFill>
              <w14:schemeClr w14:val="tx1"/>
            </w14:solidFill>
          </w14:textFill>
        </w:rPr>
        <w:t xml:space="preserve">第二章  </w:t>
      </w:r>
      <w:bookmarkStart w:id="44" w:name="_Hlk34662782"/>
      <w:r>
        <w:rPr>
          <w:rFonts w:hint="eastAsia" w:ascii="宋体" w:hAnsi="宋体" w:eastAsia="宋体"/>
          <w:color w:val="000000" w:themeColor="text1"/>
          <w:sz w:val="36"/>
          <w:szCs w:val="36"/>
          <w14:textFill>
            <w14:solidFill>
              <w14:schemeClr w14:val="tx1"/>
            </w14:solidFill>
          </w14:textFill>
        </w:rPr>
        <w:t>项目需求</w:t>
      </w:r>
      <w:bookmarkEnd w:id="44"/>
    </w:p>
    <w:p>
      <w:pPr>
        <w:pStyle w:val="12"/>
        <w:rPr>
          <w:rFonts w:ascii="宋体" w:hAnsi="宋体"/>
          <w:color w:val="000000" w:themeColor="text1"/>
          <w14:textFill>
            <w14:solidFill>
              <w14:schemeClr w14:val="tx1"/>
            </w14:solidFill>
          </w14:textFill>
        </w:rPr>
      </w:pPr>
    </w:p>
    <w:p>
      <w:pPr>
        <w:tabs>
          <w:tab w:val="left" w:pos="8280"/>
        </w:tabs>
        <w:autoSpaceDE w:val="0"/>
        <w:autoSpaceDN w:val="0"/>
        <w:adjustRightInd w:val="0"/>
        <w:spacing w:line="360" w:lineRule="auto"/>
        <w:ind w:right="25"/>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一、招标项目一览表</w:t>
      </w:r>
    </w:p>
    <w:p>
      <w:pPr>
        <w:tabs>
          <w:tab w:val="left" w:pos="8280"/>
        </w:tabs>
        <w:autoSpaceDE w:val="0"/>
        <w:autoSpaceDN w:val="0"/>
        <w:adjustRightInd w:val="0"/>
        <w:spacing w:line="360" w:lineRule="auto"/>
        <w:ind w:right="25" w:firstLine="2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本次招标共</w:t>
      </w:r>
      <w:r>
        <w:rPr>
          <w:rFonts w:hint="eastAsia" w:ascii="宋体" w:hAnsi="宋体"/>
          <w:color w:val="000000" w:themeColor="text1"/>
          <w:sz w:val="24"/>
          <w:u w:val="single"/>
          <w14:textFill>
            <w14:solidFill>
              <w14:schemeClr w14:val="tx1"/>
            </w14:solidFill>
          </w14:textFill>
        </w:rPr>
        <w:t xml:space="preserve"> 1 </w:t>
      </w:r>
      <w:r>
        <w:rPr>
          <w:rFonts w:hint="eastAsia" w:ascii="宋体" w:hAnsi="宋体"/>
          <w:color w:val="000000" w:themeColor="text1"/>
          <w:sz w:val="24"/>
          <w14:textFill>
            <w14:solidFill>
              <w14:schemeClr w14:val="tx1"/>
            </w14:solidFill>
          </w14:textFill>
        </w:rPr>
        <w:t>个标段，具体内容如下表：</w:t>
      </w:r>
    </w:p>
    <w:tbl>
      <w:tblPr>
        <w:tblStyle w:val="30"/>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1687"/>
        <w:gridCol w:w="849"/>
        <w:gridCol w:w="850"/>
        <w:gridCol w:w="1702"/>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3164"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12" w:lineRule="auto"/>
              <w:ind w:right="23" w:firstLine="120" w:firstLineChars="50"/>
              <w:jc w:val="center"/>
              <w:rPr>
                <w:rFonts w:ascii="宋体" w:hAnsi="宋体" w:cs="Times New Roman"/>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1687"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12" w:lineRule="auto"/>
              <w:ind w:right="23"/>
              <w:jc w:val="center"/>
              <w:rPr>
                <w:rFonts w:ascii="宋体" w:hAnsi="宋体" w:cs="Times New Roman"/>
                <w:b/>
                <w:color w:val="000000" w:themeColor="text1"/>
                <w:sz w:val="24"/>
                <w:szCs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简要技术要求</w:t>
            </w:r>
          </w:p>
        </w:tc>
        <w:tc>
          <w:tcPr>
            <w:tcW w:w="849"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12" w:lineRule="auto"/>
              <w:ind w:right="23"/>
              <w:jc w:val="center"/>
              <w:rPr>
                <w:rFonts w:ascii="宋体" w:hAnsi="宋体" w:cs="Times New Roman"/>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12" w:lineRule="auto"/>
              <w:ind w:right="23"/>
              <w:jc w:val="center"/>
              <w:rPr>
                <w:rFonts w:ascii="宋体" w:hAnsi="宋体" w:cs="Times New Roman"/>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70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12" w:lineRule="auto"/>
              <w:ind w:left="-105" w:leftChars="-50" w:right="-105" w:rightChars="-50"/>
              <w:jc w:val="center"/>
              <w:rPr>
                <w:rFonts w:ascii="宋体" w:hAnsi="宋体" w:cs="Times New Roman"/>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预算总金额</w:t>
            </w:r>
          </w:p>
          <w:p>
            <w:pPr>
              <w:tabs>
                <w:tab w:val="left" w:pos="8280"/>
              </w:tabs>
              <w:autoSpaceDE w:val="0"/>
              <w:autoSpaceDN w:val="0"/>
              <w:adjustRightInd w:val="0"/>
              <w:snapToGrid w:val="0"/>
              <w:spacing w:line="312" w:lineRule="auto"/>
              <w:ind w:left="-105" w:leftChars="-50" w:right="-105" w:rightChars="-50"/>
              <w:jc w:val="center"/>
              <w:rPr>
                <w:rFonts w:ascii="宋体" w:hAnsi="宋体" w:cs="Times New Roman"/>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投标上限价</w:t>
            </w:r>
            <w:r>
              <w:rPr>
                <w:rFonts w:hint="eastAsia" w:ascii="宋体" w:hAnsi="宋体"/>
                <w:b/>
                <w:color w:val="000000" w:themeColor="text1"/>
                <w:sz w:val="24"/>
                <w14:textFill>
                  <w14:solidFill>
                    <w14:schemeClr w14:val="tx1"/>
                  </w14:solidFill>
                </w14:textFill>
              </w:rPr>
              <w:t>）</w:t>
            </w:r>
          </w:p>
        </w:tc>
        <w:tc>
          <w:tcPr>
            <w:tcW w:w="177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12" w:lineRule="auto"/>
              <w:ind w:right="23"/>
              <w:jc w:val="center"/>
              <w:rPr>
                <w:rFonts w:ascii="宋体" w:hAnsi="宋体" w:cs="Times New Roman"/>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164"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椒江区人民法院数字法庭存储扩容项目</w:t>
            </w:r>
          </w:p>
        </w:tc>
        <w:tc>
          <w:tcPr>
            <w:tcW w:w="1687"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ascii="宋体" w:hAnsi="宋体" w:cs="Times New Roman"/>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详见</w:t>
            </w:r>
            <w:r>
              <w:rPr>
                <w:rFonts w:hint="eastAsia" w:ascii="宋体" w:hAnsi="宋体"/>
                <w:color w:val="000000" w:themeColor="text1"/>
                <w:sz w:val="24"/>
                <w:lang w:val="en-US" w:eastAsia="zh-CN"/>
                <w14:textFill>
                  <w14:solidFill>
                    <w14:schemeClr w14:val="tx1"/>
                  </w14:solidFill>
                </w14:textFill>
              </w:rPr>
              <w:t>项目</w:t>
            </w:r>
            <w:r>
              <w:rPr>
                <w:rFonts w:hint="eastAsia" w:ascii="宋体" w:hAnsi="宋体"/>
                <w:color w:val="000000" w:themeColor="text1"/>
                <w:sz w:val="24"/>
                <w14:textFill>
                  <w14:solidFill>
                    <w14:schemeClr w14:val="tx1"/>
                  </w14:solidFill>
                </w14:textFill>
              </w:rPr>
              <w:t>需求</w:t>
            </w:r>
          </w:p>
        </w:tc>
        <w:tc>
          <w:tcPr>
            <w:tcW w:w="84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ind w:firstLine="240" w:firstLineChars="100"/>
              <w:jc w:val="center"/>
              <w:rPr>
                <w:rFonts w:ascii="宋体" w:hAnsi="宋体" w:cs="Times New Roman"/>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ind w:firstLine="240" w:firstLineChars="100"/>
              <w:jc w:val="center"/>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套</w:t>
            </w:r>
          </w:p>
        </w:tc>
        <w:tc>
          <w:tcPr>
            <w:tcW w:w="1702"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ind w:firstLine="240" w:firstLineChars="100"/>
              <w:jc w:val="center"/>
              <w:rPr>
                <w:rFonts w:ascii="宋体" w:hAnsi="宋体" w:cs="Times New Roman"/>
                <w:color w:val="000000" w:themeColor="text1"/>
                <w:sz w:val="24"/>
                <w:szCs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45</w:t>
            </w:r>
            <w:r>
              <w:rPr>
                <w:rFonts w:hint="eastAsia" w:ascii="宋体" w:hAnsi="宋体"/>
                <w:color w:val="000000" w:themeColor="text1"/>
                <w:sz w:val="24"/>
                <w14:textFill>
                  <w14:solidFill>
                    <w14:schemeClr w14:val="tx1"/>
                  </w14:solidFill>
                </w14:textFill>
              </w:rPr>
              <w:t>万元</w:t>
            </w: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both"/>
              <w:rPr>
                <w:rFonts w:ascii="宋体" w:hAnsi="宋体" w:cs="Times New Roman"/>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合同签订后</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eastAsia="zh-CN"/>
                <w14:textFill>
                  <w14:solidFill>
                    <w14:schemeClr w14:val="tx1"/>
                  </w14:solidFill>
                </w14:textFill>
              </w:rPr>
              <w:t>个工作日</w:t>
            </w:r>
            <w:r>
              <w:rPr>
                <w:rFonts w:hint="eastAsia" w:ascii="宋体" w:hAnsi="宋体"/>
                <w:color w:val="000000" w:themeColor="text1"/>
                <w:sz w:val="24"/>
                <w14:textFill>
                  <w14:solidFill>
                    <w14:schemeClr w14:val="tx1"/>
                  </w14:solidFill>
                </w14:textFill>
              </w:rPr>
              <w:t>内</w:t>
            </w:r>
          </w:p>
        </w:tc>
      </w:tr>
    </w:tbl>
    <w:p>
      <w:pPr>
        <w:pStyle w:val="19"/>
        <w:spacing w:before="124" w:beforeLines="28" w:beforeAutospacing="0" w:after="0" w:afterAutospacing="0"/>
        <w:ind w:left="0" w:leftChars="0"/>
        <w:rPr>
          <w:rFonts w:hint="eastAsia"/>
          <w:b/>
          <w:bCs/>
          <w:color w:val="000000" w:themeColor="text1"/>
          <w:sz w:val="24"/>
          <w:lang w:eastAsia="zh-CN"/>
          <w14:textFill>
            <w14:solidFill>
              <w14:schemeClr w14:val="tx1"/>
            </w14:solidFill>
          </w14:textFill>
        </w:rPr>
      </w:pPr>
      <w:r>
        <w:rPr>
          <w:rFonts w:hint="eastAsia"/>
          <w:b/>
          <w:bCs/>
          <w:color w:val="000000" w:themeColor="text1"/>
          <w:sz w:val="24"/>
          <w:lang w:eastAsia="zh-CN"/>
          <w14:textFill>
            <w14:solidFill>
              <w14:schemeClr w14:val="tx1"/>
            </w14:solidFill>
          </w14:textFill>
        </w:rPr>
        <w:t>二、技术需求</w:t>
      </w:r>
    </w:p>
    <w:p>
      <w:pPr>
        <w:pStyle w:val="19"/>
        <w:spacing w:beforeAutospacing="0" w:after="0" w:afterAutospacing="0"/>
        <w:ind w:left="0" w:leftChars="0"/>
        <w:rPr>
          <w:rFonts w:hint="eastAsia"/>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（一）</w:t>
      </w:r>
      <w:r>
        <w:rPr>
          <w:rFonts w:hint="eastAsia"/>
          <w:b/>
          <w:bCs/>
          <w:color w:val="000000" w:themeColor="text1"/>
          <w:sz w:val="24"/>
          <w14:textFill>
            <w14:solidFill>
              <w14:schemeClr w14:val="tx1"/>
            </w14:solidFill>
          </w14:textFill>
        </w:rPr>
        <w:t>、项目背景</w:t>
      </w:r>
    </w:p>
    <w:p>
      <w:pPr>
        <w:pStyle w:val="19"/>
        <w:spacing w:before="221" w:beforeLines="50" w:beforeAutospacing="0"/>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随着台州市椒江区人民法院数字法庭录像量越来越大，现有存储容已不足满足使用需求，需对目前使用的存储进行扩容，以支撑未来8年内数字法庭录像应用。在建设上需保护已有投资的基础上完成必要的存储池资源扩展，并保证目前存储录像完整性和安全性。</w:t>
      </w:r>
    </w:p>
    <w:p>
      <w:pPr>
        <w:pStyle w:val="19"/>
        <w:spacing w:beforeAutospacing="0" w:after="0" w:afterAutospacing="0"/>
        <w:ind w:left="0" w:leftChars="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（二）、采购清单与技术要求</w:t>
      </w:r>
    </w:p>
    <w:tbl>
      <w:tblPr>
        <w:tblStyle w:val="30"/>
        <w:tblW w:w="0" w:type="auto"/>
        <w:tblInd w:w="0" w:type="dxa"/>
        <w:tblLayout w:type="fixed"/>
        <w:tblCellMar>
          <w:top w:w="15" w:type="dxa"/>
          <w:left w:w="15" w:type="dxa"/>
          <w:bottom w:w="15" w:type="dxa"/>
          <w:right w:w="15" w:type="dxa"/>
        </w:tblCellMar>
      </w:tblPr>
      <w:tblGrid>
        <w:gridCol w:w="741"/>
        <w:gridCol w:w="2520"/>
        <w:gridCol w:w="3945"/>
        <w:gridCol w:w="1080"/>
      </w:tblGrid>
      <w:tr>
        <w:tblPrEx>
          <w:tblCellMar>
            <w:top w:w="15" w:type="dxa"/>
            <w:left w:w="15" w:type="dxa"/>
            <w:bottom w:w="15" w:type="dxa"/>
            <w:right w:w="15" w:type="dxa"/>
          </w:tblCellMar>
        </w:tblPrEx>
        <w:trPr>
          <w:trHeight w:val="510" w:hRule="atLeast"/>
        </w:trPr>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
              <w:spacing w:beforeAutospacing="0"/>
              <w:ind w:left="0" w:left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2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设备名称</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
              <w:ind w:left="0" w:leftChars="0"/>
              <w:rPr>
                <w:rFonts w:hint="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技术</w:t>
            </w:r>
            <w:r>
              <w:rPr>
                <w:rFonts w:hint="eastAsia"/>
                <w:color w:val="000000" w:themeColor="text1"/>
                <w:sz w:val="24"/>
                <w:lang w:val="en-US" w:eastAsia="zh-CN"/>
                <w14:textFill>
                  <w14:solidFill>
                    <w14:schemeClr w14:val="tx1"/>
                  </w14:solidFill>
                </w14:textFill>
              </w:rPr>
              <w:t>指标要求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数量</w:t>
            </w:r>
          </w:p>
        </w:tc>
      </w:tr>
      <w:tr>
        <w:tblPrEx>
          <w:tblCellMar>
            <w:top w:w="15" w:type="dxa"/>
            <w:left w:w="15" w:type="dxa"/>
            <w:bottom w:w="15" w:type="dxa"/>
            <w:right w:w="15" w:type="dxa"/>
          </w:tblCellMar>
        </w:tblPrEx>
        <w:trPr>
          <w:trHeight w:val="510" w:hRule="atLeast"/>
        </w:trPr>
        <w:tc>
          <w:tcPr>
            <w:tcW w:w="7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
              <w:ind w:left="0" w:leftChars="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存储扩展柜</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
              <w:ind w:left="0" w:leftChars="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如下表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套</w:t>
            </w:r>
          </w:p>
        </w:tc>
      </w:tr>
    </w:tbl>
    <w:p>
      <w:pPr>
        <w:pStyle w:val="19"/>
        <w:spacing w:before="318" w:beforeLines="73" w:beforeAutospacing="0" w:after="0" w:afterAutospacing="0"/>
        <w:ind w:left="0" w:leftChars="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（三）、技术指标要求</w:t>
      </w:r>
    </w:p>
    <w:tbl>
      <w:tblPr>
        <w:tblStyle w:val="30"/>
        <w:tblW w:w="82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8"/>
        <w:gridCol w:w="6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指标项目</w:t>
            </w:r>
          </w:p>
        </w:tc>
        <w:tc>
          <w:tcPr>
            <w:tcW w:w="6585"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技术指标要求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▲基本要求</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对现有的数字法庭存储柏科RD6800存储系统进行升级扩容：包括存储扩展单元，硬盘，容量扩展、分区许可、远程复制、存储虚拟化管理许可等。保证存储设备扩容与现有的存储平台的兼容性，并可实现现有生产存储设备和扩容存储设备双活配置和容灾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▲存储扩展单元</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配置2个冗余存储扩展控制器，≥80个可用磁盘槽位，48Gb SAS扩展通道，冗余电源，冗余风扇，机架套件，能与原有存储系统硬盘做成同一个Raid组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运算芯片</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控制器配置独立ASIC专用存储运算芯片，提高存储运算能力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★规格</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采用高密度设计以节省机柜空间，当前单柜高度≤5U，深度≤1M，可用3.5"磁盘槽位≥80个。系统最大可支持磁盘槽位数≥1000个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硬盘</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配置30块8TB 7.2K 企业级NLSAS硬盘，含硬盘托架、适配器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★相关许可</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配置200TB的存储容量扩展许可和存储虚拟化管理许可，实现存储的虚拟化和统一管理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RAID级别支持</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支持RAID0/1/10/5/6及RAID2.0等多种RAID方式，支持全局动态热备盘，在采用RAID2.0时支持磁盘剩余空间热备技术而无需单独热备盘，支持RAID类型的动态在线更改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智能上电技术</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支持智能化硬盘加电技术，即硬盘缓上电技术，避免大量硬盘同时上电时，引起电流过载风险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硬盘预拷贝技术</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能够实时智能监控硬盘状态，将疑似故障盘的数据迁移到热备盘上，预防或降低硬盘失效风险，也可以对阵列组中的指定硬盘进行克隆替换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Stripe Size</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根据应用需求不同可以自由调整条带大小达到最优化模式，可实现4K、8K、16K、32K、64K、128K、256K、512K、1024K、2048K、4096K等不同大小的条带，同时可在线更改RAID组条带大小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磁盘漫游</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本次配置的磁盘柜可实现SSD/SAS/NL-SAS等硬盘混插，提供磁盘漫游功能避免由于磁盘被错误插拔而导致的数据丢失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存储分层</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可将设备内置磁盘以及外置存储的不同类型（SSD/SAS/NL-SAS）的磁盘系统空间划分成不同的资源池，进行分级管理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自动精简配置</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配置存储空间自动精简配置功能，采用瘦供给的磁盘分配方式，可灵活分配存储空间，避免磁盘资源分配失调，系统存储资源自动统一配备，可实现大于实际磁盘空间的服务器可见逻辑空间，以满足业务长期规划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操作系统支持</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保护支持基于X86平台Windows、Linux系统和国产操作系统、支持基于国产化CPU平台（包括飞腾、龙芯、申威等）的相应操作系统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★SAN存储加速</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可通过SAN存储加速功能监控磁盘的访问模式，然后自动将频繁访问的热点数据提取到SSD等高性能磁盘组成的缓存中以加快读取速度，从而加速随机访问及整体I/O的读取速度，提供热点数据资源策略和访问统计信息的功能截图（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★快照</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支持存储卷级快照功能，单卷最大支持≥1000个快照，服务器可以直接对快照还原点进行读写操作，提供快照代理实现、快照挂载等功能截图（加盖原厂公章）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★CDP持续数据保护</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default"/>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提供基于磁盘I/O的持续数据保护和数据回滚功能，可以恢复最近一段时间内任意时间点(微秒/百万分之一秒)的数据，当出现系统整机故障或者逻辑故障时数据恢复RPO≈0，提供微秒级CDP持续数据保护功能的截图（加盖原厂公章），并提供CDP持续数据保护（Continuous Data Protection）软件著作权证书。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★存储双活</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能与现有柏科存储设备实现存储双活，存储软、硬件故障都可以自动切换到另一台存储设备，不影响存储系统的数据完整性和业务的可用性，确保数据”零”丢失，业务“零”停顿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★容灾保护</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default"/>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能与原有的柏科BCM容灾备份系统无缝兼容，无需二次开发，实现将存储设备中的数据直接实时方式远程容灾到BCM灾备设备中，可以防止各种逻辑错误，可以恢复最近一段时间内任意时间点的数据，并提供BCM容灾管理（Business Continuity Management）软件著作权证书。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★远程复制</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基于I/O级的远程复制功能，实现生产存储和灾备存储系统之间的远程数据复制，支持IP网络或FC协议的压缩与加密复制，支持存储系统级别一对一、一对多与多对多的同步/异步/增量双向复制，提供断点续传功能，具备窄带(非光纤)传输能力（容灾复制）功能，远程传输的数据块可设为不大于 512B，提供512B数据块复制功能截图（加盖原厂公章）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保修与交付</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提供原厂5年7x24小时免费人工、部件保修服务，8小时响应带备件上门服务；为保证原厂服务的有效执行，要求所有设备保修信息均为采购单位，可以从原厂得到查询验证。最终项目实施由生产厂商负责，并且提供指定技术接口人；预中标公告发布之日起3个工作日内，提供原厂质保与服务承诺函（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★对接改造等技术服务</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项目所采购设备需与现有存储系统实现全面兼容与无缝对接，确保对现有存储系统进行高效升级、调优以及容量扩展，实现存储池的统一管理和维护，提升整体存储系统的运行效率和稳定性。同时，结合现有业务系统的主机及空间调整需求，进行在线数据迁移、布局优化等对接改造工作，过程中要保证整体业务的连续性与可用性。要求提供原厂承诺函并加盖公章。（承诺函格式自拟）</w:t>
            </w:r>
          </w:p>
        </w:tc>
      </w:tr>
    </w:tbl>
    <w:p>
      <w:pPr>
        <w:pStyle w:val="19"/>
        <w:spacing w:before="221" w:beforeLines="50" w:beforeAutospacing="0" w:after="0" w:afterAutospacing="0"/>
        <w:ind w:left="0" w:leftChars="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（四）、规范要求</w:t>
      </w:r>
    </w:p>
    <w:p>
      <w:pPr>
        <w:pStyle w:val="19"/>
        <w:spacing w:beforeAutospacing="0"/>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1.需求详见</w:t>
      </w:r>
      <w:r>
        <w:rPr>
          <w:rFonts w:hint="eastAsia"/>
          <w:color w:val="000000" w:themeColor="text1"/>
          <w:sz w:val="24"/>
          <w14:textFill>
            <w14:solidFill>
              <w14:schemeClr w14:val="tx1"/>
            </w14:solidFill>
          </w14:textFill>
        </w:rPr>
        <w:t>技术指标，投标人需按</w:t>
      </w:r>
      <w:r>
        <w:rPr>
          <w:rFonts w:hint="eastAsia"/>
          <w:color w:val="000000" w:themeColor="text1"/>
          <w:sz w:val="24"/>
          <w:lang w:val="en-US" w:eastAsia="zh-CN"/>
          <w14:textFill>
            <w14:solidFill>
              <w14:schemeClr w14:val="tx1"/>
            </w14:solidFill>
          </w14:textFill>
        </w:rPr>
        <w:t>要求</w:t>
      </w:r>
      <w:r>
        <w:rPr>
          <w:rFonts w:hint="eastAsia"/>
          <w:color w:val="000000" w:themeColor="text1"/>
          <w:sz w:val="24"/>
          <w14:textFill>
            <w14:solidFill>
              <w14:schemeClr w14:val="tx1"/>
            </w14:solidFill>
          </w14:textFill>
        </w:rPr>
        <w:t>逐条应答，并提供必要材料予以证明，评标委员会严格按照技术指标要求和评分标准进行评比。实质性要求用▲标注，▲标注项不得负偏离，如果负偏离，则投标文件无效。</w:t>
      </w:r>
    </w:p>
    <w:p>
      <w:pPr>
        <w:pStyle w:val="19"/>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2.投</w:t>
      </w:r>
      <w:r>
        <w:rPr>
          <w:rFonts w:hint="eastAsia"/>
          <w:color w:val="000000" w:themeColor="text1"/>
          <w:sz w:val="24"/>
          <w14:textFill>
            <w14:solidFill>
              <w14:schemeClr w14:val="tx1"/>
            </w14:solidFill>
          </w14:textFill>
        </w:rPr>
        <w:t>标人保证所提供的产品有合法销售权的全新原厂原装产品，采购人能取得所有软硬件的所有权。所提供产品可以通过设备序列号在生产厂商官方网站或生产厂商400/800电话中进行验证，并可查询维保期限。</w:t>
      </w:r>
    </w:p>
    <w:p>
      <w:pPr>
        <w:pStyle w:val="19"/>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3.投标人应确保</w:t>
      </w:r>
      <w:r>
        <w:rPr>
          <w:rFonts w:hint="eastAsia"/>
          <w:color w:val="000000" w:themeColor="text1"/>
          <w:sz w:val="24"/>
          <w14:textFill>
            <w14:solidFill>
              <w14:schemeClr w14:val="tx1"/>
            </w14:solidFill>
          </w14:textFill>
        </w:rPr>
        <w:t>所有软、硬件与现有</w:t>
      </w:r>
      <w:r>
        <w:rPr>
          <w:rFonts w:hint="eastAsia"/>
          <w:color w:val="000000" w:themeColor="text1"/>
          <w:sz w:val="24"/>
          <w:lang w:val="en-US" w:eastAsia="zh-CN"/>
          <w14:textFill>
            <w14:solidFill>
              <w14:schemeClr w14:val="tx1"/>
            </w14:solidFill>
          </w14:textFill>
        </w:rPr>
        <w:t>主设备</w:t>
      </w:r>
      <w:r>
        <w:rPr>
          <w:rFonts w:hint="eastAsia"/>
          <w:color w:val="000000" w:themeColor="text1"/>
          <w:sz w:val="24"/>
          <w14:textFill>
            <w14:solidFill>
              <w14:schemeClr w14:val="tx1"/>
            </w14:solidFill>
          </w14:textFill>
        </w:rPr>
        <w:t>产品</w:t>
      </w:r>
      <w:r>
        <w:rPr>
          <w:rFonts w:hint="eastAsia"/>
          <w:color w:val="000000" w:themeColor="text1"/>
          <w:sz w:val="24"/>
          <w:lang w:val="en-US" w:eastAsia="zh-CN"/>
          <w14:textFill>
            <w14:solidFill>
              <w14:schemeClr w14:val="tx1"/>
            </w14:solidFill>
          </w14:textFill>
        </w:rPr>
        <w:t>及各</w:t>
      </w:r>
      <w:r>
        <w:rPr>
          <w:rFonts w:hint="eastAsia"/>
          <w:color w:val="000000" w:themeColor="text1"/>
          <w:sz w:val="24"/>
          <w14:textFill>
            <w14:solidFill>
              <w14:schemeClr w14:val="tx1"/>
            </w14:solidFill>
          </w14:textFill>
        </w:rPr>
        <w:t>系统</w:t>
      </w:r>
      <w:r>
        <w:rPr>
          <w:rFonts w:hint="eastAsia"/>
          <w:color w:val="000000" w:themeColor="text1"/>
          <w:sz w:val="24"/>
          <w:lang w:val="en-US" w:eastAsia="zh-CN"/>
          <w14:textFill>
            <w14:solidFill>
              <w14:schemeClr w14:val="tx1"/>
            </w14:solidFill>
          </w14:textFill>
        </w:rPr>
        <w:t>的</w:t>
      </w:r>
      <w:r>
        <w:rPr>
          <w:rFonts w:hint="eastAsia"/>
          <w:color w:val="000000" w:themeColor="text1"/>
          <w:sz w:val="24"/>
          <w14:textFill>
            <w14:solidFill>
              <w14:schemeClr w14:val="tx1"/>
            </w14:solidFill>
          </w14:textFill>
        </w:rPr>
        <w:t>兼容</w:t>
      </w:r>
      <w:r>
        <w:rPr>
          <w:rFonts w:hint="eastAsia"/>
          <w:color w:val="000000" w:themeColor="text1"/>
          <w:sz w:val="24"/>
          <w:lang w:val="en-US" w:eastAsia="zh-CN"/>
          <w14:textFill>
            <w14:solidFill>
              <w14:schemeClr w14:val="tx1"/>
            </w14:solidFill>
          </w14:textFill>
        </w:rPr>
        <w:t>性</w:t>
      </w:r>
      <w:r>
        <w:rPr>
          <w:rFonts w:hint="eastAsia"/>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以便</w:t>
      </w:r>
      <w:r>
        <w:rPr>
          <w:rFonts w:hint="eastAsia"/>
          <w:color w:val="000000" w:themeColor="text1"/>
          <w:sz w:val="24"/>
          <w14:textFill>
            <w14:solidFill>
              <w14:schemeClr w14:val="tx1"/>
            </w14:solidFill>
          </w14:textFill>
        </w:rPr>
        <w:t>在进行改造后能保护原有系统的投资</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不额外增加采购人的维护成本</w:t>
      </w:r>
      <w:r>
        <w:rPr>
          <w:rFonts w:hint="eastAsia"/>
          <w:color w:val="000000" w:themeColor="text1"/>
          <w:sz w:val="24"/>
          <w14:textFill>
            <w14:solidFill>
              <w14:schemeClr w14:val="tx1"/>
            </w14:solidFill>
          </w14:textFill>
        </w:rPr>
        <w:t>。</w:t>
      </w:r>
    </w:p>
    <w:p>
      <w:pPr>
        <w:pStyle w:val="19"/>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采购人</w:t>
      </w:r>
      <w:r>
        <w:rPr>
          <w:rFonts w:hint="eastAsia"/>
          <w:color w:val="000000" w:themeColor="text1"/>
          <w:sz w:val="24"/>
          <w:lang w:val="en-US" w:eastAsia="zh-CN"/>
          <w14:textFill>
            <w14:solidFill>
              <w14:schemeClr w14:val="tx1"/>
            </w14:solidFill>
          </w14:textFill>
        </w:rPr>
        <w:t>有可能</w:t>
      </w:r>
      <w:r>
        <w:rPr>
          <w:rFonts w:hint="eastAsia"/>
          <w:color w:val="000000" w:themeColor="text1"/>
          <w:sz w:val="24"/>
          <w14:textFill>
            <w14:solidFill>
              <w14:schemeClr w14:val="tx1"/>
            </w14:solidFill>
          </w14:textFill>
        </w:rPr>
        <w:t>委托经国家认可的检测机构对</w:t>
      </w:r>
      <w:r>
        <w:rPr>
          <w:rFonts w:hint="eastAsia"/>
          <w:color w:val="000000" w:themeColor="text1"/>
          <w:sz w:val="24"/>
          <w:lang w:val="en-US" w:eastAsia="zh-CN"/>
          <w14:textFill>
            <w14:solidFill>
              <w14:schemeClr w14:val="tx1"/>
            </w14:solidFill>
          </w14:textFill>
        </w:rPr>
        <w:t>中标人所供</w:t>
      </w:r>
      <w:r>
        <w:rPr>
          <w:rFonts w:hint="eastAsia"/>
          <w:color w:val="000000" w:themeColor="text1"/>
          <w:sz w:val="24"/>
          <w14:textFill>
            <w14:solidFill>
              <w14:schemeClr w14:val="tx1"/>
            </w14:solidFill>
          </w14:textFill>
        </w:rPr>
        <w:t>设备进行检测，如检测结果证明确有质量问题或技术参数不符合采购人要求，中标人应无条件同意退换货，且检测费用由中标人承担，并承担因此逾期交货的违约责任。</w:t>
      </w:r>
    </w:p>
    <w:p>
      <w:pPr>
        <w:pStyle w:val="19"/>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采购人针对产品交付和实施情况进行验收，如发现产品或安装实施达不到采购要求将不予验收，并保留向中标人和厂商追究相关责任的权利。</w:t>
      </w:r>
    </w:p>
    <w:p>
      <w:pPr>
        <w:pStyle w:val="19"/>
        <w:spacing w:beforeAutospacing="0" w:after="0" w:afterAutospacing="0"/>
        <w:ind w:left="0" w:leftChars="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（五）、网络及数据安全要求</w:t>
      </w:r>
    </w:p>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 xml:space="preserve">数据安全要求 </w:t>
      </w:r>
    </w:p>
    <w:p>
      <w:pPr>
        <w:pStyle w:val="19"/>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台州市椒江区人民法院数据保密要求高，项目实施过程中确保数据的机密性、完整性、可用性和抗抵赖是本次项目实施中的核心任务。投标人须确保用户方数据安全，保证重要数据零丢失，对工作中涉及到的数据、文件等任何资料进行保密。</w:t>
      </w:r>
    </w:p>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网络安全要求</w:t>
      </w:r>
    </w:p>
    <w:p>
      <w:pPr>
        <w:pStyle w:val="19"/>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台州市椒江区人民法院网络安全要求较高，项目实施过程中需确保用户方的网络安全，不得发生网络安全事件，项目实施前需对实施人员进行网络安全相关培训。项目实施方案里需包含网络安全相关内容。</w:t>
      </w:r>
    </w:p>
    <w:p>
      <w:pPr>
        <w:pStyle w:val="19"/>
        <w:ind w:left="0" w:leftChars="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安全性原则</w:t>
      </w:r>
    </w:p>
    <w:p>
      <w:pPr>
        <w:pStyle w:val="19"/>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项目实施过程中必须在流程和制度上保障系统的安全性，与用户单位、安装实施人员签订保密协议。</w:t>
      </w:r>
    </w:p>
    <w:p>
      <w:pPr>
        <w:pStyle w:val="19"/>
        <w:spacing w:beforeAutospacing="0" w:after="0" w:afterAutospacing="0"/>
        <w:ind w:left="0" w:leftChars="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（六）、实施与服务要求</w:t>
      </w:r>
    </w:p>
    <w:p>
      <w:pPr>
        <w:pStyle w:val="19"/>
        <w:ind w:left="0" w:leftChars="0"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 中标人在完成指定存储的容量扩容与系统升级，建成虚拟化存储池统一管理、统一维护平台。然后根据现有数字法庭、电子档案等业务系统的具体情况制定迁移、优化、扩容等方案，存储虚拟化整合优化与业务迁移必须在线进行，不允许影响业务，因迁移工作导致的业务停顿所带来的损失由中标方全部承担。</w:t>
      </w:r>
    </w:p>
    <w:p>
      <w:pPr>
        <w:pStyle w:val="19"/>
        <w:ind w:left="0" w:leftChars="0"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 中标人应具备集成经验且具备充分的技术力量，以便在了解采购人现有的硬件（存储、服务器、网络等）整体架构及使用情况，虚拟化平台系统版本、部署情况，数据库版本与业务系统关联的调研基础上制定实施计划，在获取采购人确认后方可进行实施，以保障项目实施质量。</w:t>
      </w:r>
    </w:p>
    <w:p>
      <w:pPr>
        <w:pStyle w:val="19"/>
        <w:ind w:left="0" w:leftChars="0"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 存储扩容与升级工作由原厂工程师为主，项目交付后由原厂工程师进行每季度一次的定期巡检，提供设备运行状态和性能的分析，并提交一份详细的系统可用行、安全性、运行状况分析报告，投标时提供原厂实施与巡检技术支持承诺等材料。</w:t>
      </w:r>
    </w:p>
    <w:p>
      <w:pPr>
        <w:pStyle w:val="19"/>
        <w:ind w:left="0" w:leftChars="0"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 安装调试完成后，中标人应向采购方提供安装、调试报告，应包括下列内容：系统配置信息细节、安装调试结果、安装调试过程中出现的问题及解决办法。</w:t>
      </w:r>
    </w:p>
    <w:p>
      <w:pPr>
        <w:pStyle w:val="19"/>
        <w:ind w:left="0" w:leftChars="0"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 中标人在项目实施完成后，根据所有实施结果与相关文档进行后期维护方面的技术培训，使采购人具有独立进行产品管理、纠错处理和故障排除的能力，以保证系统后期的正常安全运行。</w:t>
      </w:r>
    </w:p>
    <w:p>
      <w:pPr>
        <w:pStyle w:val="19"/>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6. 本期所采购软硬件产品的质保期自合同项目正式验收起五年。如系统出现故障不能正常运行，投标人在接到采购人的请求后，应立即安排技术人员在30分钟内进行维护响应，应不超过8小时内对故障进行及时处理，确保系统正常运行，如故障无法在短期内恢复，应在24小时内提供应急顶替设备。</w:t>
      </w:r>
    </w:p>
    <w:p>
      <w:pPr>
        <w:pStyle w:val="19"/>
        <w:spacing w:beforeAutospacing="0" w:after="0" w:afterAutospacing="0"/>
        <w:ind w:left="0" w:leftChars="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三、商务需求</w:t>
      </w:r>
    </w:p>
    <w:p>
      <w:pPr>
        <w:pStyle w:val="19"/>
        <w:ind w:left="0" w:leftChars="0"/>
        <w:rPr>
          <w:rFonts w:hint="eastAsia"/>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（一）质保期：</w:t>
      </w:r>
      <w:r>
        <w:rPr>
          <w:rFonts w:hint="eastAsia"/>
          <w:color w:val="000000" w:themeColor="text1"/>
          <w:sz w:val="24"/>
          <w:lang w:eastAsia="zh-CN"/>
          <w14:textFill>
            <w14:solidFill>
              <w14:schemeClr w14:val="tx1"/>
            </w14:solidFill>
          </w14:textFill>
        </w:rPr>
        <w:t>软硬件提供</w:t>
      </w:r>
      <w:r>
        <w:rPr>
          <w:rFonts w:hint="eastAsia"/>
          <w:color w:val="000000" w:themeColor="text1"/>
          <w:sz w:val="24"/>
          <w14:textFill>
            <w14:solidFill>
              <w14:schemeClr w14:val="tx1"/>
            </w14:solidFill>
          </w14:textFill>
        </w:rPr>
        <w:t>原厂</w:t>
      </w:r>
      <w:r>
        <w:rPr>
          <w:rFonts w:hint="eastAsia"/>
          <w:color w:val="000000" w:themeColor="text1"/>
          <w:sz w:val="24"/>
          <w:lang w:val="en-US" w:eastAsia="zh-CN"/>
          <w14:textFill>
            <w14:solidFill>
              <w14:schemeClr w14:val="tx1"/>
            </w14:solidFill>
          </w14:textFill>
        </w:rPr>
        <w:t>五</w:t>
      </w:r>
      <w:r>
        <w:rPr>
          <w:rFonts w:hint="eastAsia"/>
          <w:color w:val="000000" w:themeColor="text1"/>
          <w:sz w:val="24"/>
          <w14:textFill>
            <w14:solidFill>
              <w14:schemeClr w14:val="tx1"/>
            </w14:solidFill>
          </w14:textFill>
        </w:rPr>
        <w:t>年质保与售后维护服务。自项目验收合格之日起算。</w:t>
      </w:r>
    </w:p>
    <w:p>
      <w:pPr>
        <w:pStyle w:val="19"/>
        <w:ind w:left="0" w:leftChars="0"/>
        <w:rPr>
          <w:rFonts w:hint="eastAsia"/>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（二）交货时间及地点：</w:t>
      </w:r>
      <w:r>
        <w:rPr>
          <w:rFonts w:hint="eastAsia"/>
          <w:color w:val="000000" w:themeColor="text1"/>
          <w:sz w:val="24"/>
          <w14:textFill>
            <w14:solidFill>
              <w14:schemeClr w14:val="tx1"/>
            </w14:solidFill>
          </w14:textFill>
        </w:rPr>
        <w:t>自签订合同之日起  30  个工作日内供货、安装调试完毕；安装地点：用户指定地点</w:t>
      </w:r>
    </w:p>
    <w:p>
      <w:pPr>
        <w:pStyle w:val="19"/>
        <w:ind w:left="0" w:leftChars="0"/>
        <w:rPr>
          <w:rFonts w:hint="eastAsia"/>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（三）付款条件：</w:t>
      </w:r>
      <w:r>
        <w:rPr>
          <w:rFonts w:hint="eastAsia"/>
          <w:color w:val="000000" w:themeColor="text1"/>
          <w:sz w:val="24"/>
          <w14:textFill>
            <w14:solidFill>
              <w14:schemeClr w14:val="tx1"/>
            </w14:solidFill>
          </w14:textFill>
        </w:rPr>
        <w:t>本项目款项支付分三期支付。第一期支付采购人在合同签定后7个工作日内完成向中标供应商支付项目预付款，项目预付款为支付合同额的45%，同时中标供应商向采购人提交银行、保险公司等金融机构出具同等金额的预付款保函</w:t>
      </w:r>
      <w:r>
        <w:rPr>
          <w:rFonts w:hint="eastAsia"/>
          <w:color w:val="000000" w:themeColor="text1"/>
          <w:sz w:val="24"/>
          <w:lang w:eastAsia="zh-CN"/>
          <w14:textFill>
            <w14:solidFill>
              <w14:schemeClr w14:val="tx1"/>
            </w14:solidFill>
          </w14:textFill>
        </w:rPr>
        <w:t>（采购人收到中标供应商的保函后再进行预付款支付）</w:t>
      </w:r>
      <w:r>
        <w:rPr>
          <w:rFonts w:hint="eastAsia"/>
          <w:color w:val="000000" w:themeColor="text1"/>
          <w:sz w:val="24"/>
          <w14:textFill>
            <w14:solidFill>
              <w14:schemeClr w14:val="tx1"/>
            </w14:solidFill>
          </w14:textFill>
        </w:rPr>
        <w:t>。第二期设备到货安装完毕支付合同总金额40%，第三期验收合格后支付合同总金额的15%。</w:t>
      </w:r>
    </w:p>
    <w:p>
      <w:pPr>
        <w:pStyle w:val="19"/>
        <w:spacing w:beforeAutospacing="0" w:after="0" w:afterAutospacing="0"/>
        <w:ind w:left="0" w:leftChars="0"/>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（四）售后服务</w:t>
      </w:r>
    </w:p>
    <w:p>
      <w:pPr>
        <w:pStyle w:val="19"/>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1、质保期内中标供应商应提供7×24小时电话技术服务，并提供充足的备品备件，提供的备品备件必须存放于采购单位，满足日常维修需求；</w:t>
      </w:r>
    </w:p>
    <w:p>
      <w:pPr>
        <w:pStyle w:val="19"/>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质保期内因产品本身缺陷造成各种故障应由中标供应商免费维修，并在《投标文件》中说明在保质期内提供的服务计划。在产品整个使用期内，中标供应商应确保货物的正常使用。在接到采购人维修要求后30分钟内作出响应，2小时内到达现场处置，8小时内修复。若不能修复，则需要免费提供后备或替代产品，以保证采购人正常使用；</w:t>
      </w:r>
    </w:p>
    <w:p>
      <w:pPr>
        <w:pStyle w:val="19"/>
        <w:ind w:left="0" w:leftChars="0"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3、投标人在投标时应提供质保期后的服务计划或建议，明确收费事项及标准等事宜。</w:t>
      </w:r>
    </w:p>
    <w:p>
      <w:pPr>
        <w:pStyle w:val="19"/>
        <w:ind w:left="0" w:leftChars="0"/>
        <w:rPr>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四、其他要求：</w:t>
      </w:r>
      <w:r>
        <w:rPr>
          <w:rFonts w:hint="eastAsia"/>
          <w:color w:val="000000" w:themeColor="text1"/>
          <w:sz w:val="24"/>
          <w14:textFill>
            <w14:solidFill>
              <w14:schemeClr w14:val="tx1"/>
            </w14:solidFill>
          </w14:textFill>
        </w:rPr>
        <w:t>本项目属交钥匙工程，中标人不得以任何理由增加费用。项目实施过程中可能涉及的所有财务成本已经包含投标总报价之中，对标书中未体现，但又是所必须的组件，都包含在本次报价中。同时，中标方需对项目建设期间的安全责任问题及第三方责任赔偿负责，投标的报价为包含实现本项目的所有功能及安全保障工作所需费用，所有价格均采用人民币报价，其应包括（但不限于）施工设备、劳务、现场恢复、管理、材料、系统集成、安装调试、软件开发、试运行、质保、保险、利润、税金、培训费、措施费、人身意外伤害保险费、备品备件费用等。</w:t>
      </w:r>
    </w:p>
    <w:p>
      <w:pPr>
        <w:pStyle w:val="19"/>
        <w:ind w:left="0" w:leftChars="0"/>
        <w:rPr>
          <w:color w:val="000000" w:themeColor="text1"/>
          <w:sz w:val="24"/>
          <w14:textFill>
            <w14:solidFill>
              <w14:schemeClr w14:val="tx1"/>
            </w14:solidFill>
          </w14:textFill>
        </w:rPr>
      </w:pPr>
    </w:p>
    <w:p>
      <w:pPr>
        <w:pStyle w:val="19"/>
        <w:ind w:left="0" w:leftChars="0"/>
        <w:rPr>
          <w:color w:val="000000" w:themeColor="text1"/>
          <w:sz w:val="24"/>
          <w14:textFill>
            <w14:solidFill>
              <w14:schemeClr w14:val="tx1"/>
            </w14:solidFill>
          </w14:textFill>
        </w:rPr>
      </w:pPr>
    </w:p>
    <w:p>
      <w:pPr>
        <w:snapToGrid w:val="0"/>
        <w:spacing w:line="360" w:lineRule="auto"/>
        <w:jc w:val="center"/>
        <w:rPr>
          <w:rFonts w:hint="eastAsia" w:ascii="宋体" w:hAnsi="宋体"/>
          <w:b/>
          <w:color w:val="000000" w:themeColor="text1"/>
          <w:sz w:val="36"/>
          <w:szCs w:val="36"/>
          <w14:textFill>
            <w14:solidFill>
              <w14:schemeClr w14:val="tx1"/>
            </w14:solidFill>
          </w14:textFill>
        </w:rPr>
      </w:pPr>
    </w:p>
    <w:p>
      <w:pPr>
        <w:snapToGrid w:val="0"/>
        <w:spacing w:line="360" w:lineRule="auto"/>
        <w:jc w:val="center"/>
        <w:rPr>
          <w:rFonts w:hint="eastAsia" w:ascii="宋体" w:hAnsi="宋体"/>
          <w:b/>
          <w:color w:val="000000" w:themeColor="text1"/>
          <w:sz w:val="36"/>
          <w:szCs w:val="36"/>
          <w14:textFill>
            <w14:solidFill>
              <w14:schemeClr w14:val="tx1"/>
            </w14:solidFill>
          </w14:textFill>
        </w:rPr>
      </w:pPr>
    </w:p>
    <w:p>
      <w:pPr>
        <w:snapToGrid w:val="0"/>
        <w:spacing w:line="360" w:lineRule="auto"/>
        <w:jc w:val="center"/>
        <w:rPr>
          <w:rFonts w:hint="eastAsia" w:ascii="宋体" w:hAnsi="宋体"/>
          <w:b/>
          <w:color w:val="000000" w:themeColor="text1"/>
          <w:sz w:val="36"/>
          <w:szCs w:val="36"/>
          <w14:textFill>
            <w14:solidFill>
              <w14:schemeClr w14:val="tx1"/>
            </w14:solidFill>
          </w14:textFill>
        </w:rPr>
      </w:pPr>
    </w:p>
    <w:p>
      <w:pPr>
        <w:snapToGrid w:val="0"/>
        <w:spacing w:line="360" w:lineRule="auto"/>
        <w:jc w:val="center"/>
        <w:rPr>
          <w:rFonts w:hint="eastAsia" w:ascii="宋体" w:hAnsi="宋体"/>
          <w:b/>
          <w:color w:val="000000" w:themeColor="text1"/>
          <w:sz w:val="36"/>
          <w:szCs w:val="36"/>
          <w14:textFill>
            <w14:solidFill>
              <w14:schemeClr w14:val="tx1"/>
            </w14:solidFill>
          </w14:textFill>
        </w:rPr>
      </w:pPr>
    </w:p>
    <w:p>
      <w:pPr>
        <w:snapToGrid w:val="0"/>
        <w:spacing w:line="360" w:lineRule="auto"/>
        <w:jc w:val="center"/>
        <w:rPr>
          <w:rFonts w:hint="eastAsia" w:ascii="宋体" w:hAnsi="宋体"/>
          <w:b/>
          <w:color w:val="000000" w:themeColor="text1"/>
          <w:sz w:val="36"/>
          <w:szCs w:val="36"/>
          <w14:textFill>
            <w14:solidFill>
              <w14:schemeClr w14:val="tx1"/>
            </w14:solidFill>
          </w14:textFill>
        </w:rPr>
      </w:pPr>
    </w:p>
    <w:p>
      <w:pPr>
        <w:snapToGrid w:val="0"/>
        <w:spacing w:line="360" w:lineRule="auto"/>
        <w:jc w:val="center"/>
        <w:rPr>
          <w:rFonts w:hint="eastAsia" w:ascii="宋体" w:hAnsi="宋体"/>
          <w:b/>
          <w:color w:val="000000" w:themeColor="text1"/>
          <w:sz w:val="36"/>
          <w:szCs w:val="36"/>
          <w14:textFill>
            <w14:solidFill>
              <w14:schemeClr w14:val="tx1"/>
            </w14:solidFill>
          </w14:textFill>
        </w:rPr>
      </w:pPr>
    </w:p>
    <w:p>
      <w:pPr>
        <w:snapToGrid w:val="0"/>
        <w:spacing w:line="360" w:lineRule="auto"/>
        <w:jc w:val="center"/>
        <w:rPr>
          <w:color w:val="000000" w:themeColor="text1"/>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第三章  供应商须知</w:t>
      </w: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前附表</w:t>
      </w:r>
    </w:p>
    <w:tbl>
      <w:tblPr>
        <w:tblStyle w:val="30"/>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95"/>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40" w:lineRule="exact"/>
              <w:jc w:val="center"/>
              <w:rPr>
                <w:rFonts w:ascii="宋体" w:hAnsi="宋体" w:cs="宋体"/>
                <w:color w:val="000000" w:themeColor="text1"/>
                <w:sz w:val="24"/>
                <w14:textFill>
                  <w14:solidFill>
                    <w14:schemeClr w14:val="tx1"/>
                  </w14:solidFill>
                </w14:textFill>
              </w:rPr>
            </w:pPr>
            <w:bookmarkStart w:id="45" w:name="_Hlk61252961"/>
            <w:r>
              <w:rPr>
                <w:rFonts w:hint="eastAsia" w:ascii="宋体" w:hAnsi="宋体" w:cs="宋体"/>
                <w:color w:val="000000" w:themeColor="text1"/>
                <w:sz w:val="24"/>
                <w14:textFill>
                  <w14:solidFill>
                    <w14:schemeClr w14:val="tx1"/>
                  </w14:solidFill>
                </w14:textFill>
              </w:rPr>
              <w:t>序号</w:t>
            </w:r>
          </w:p>
        </w:tc>
        <w:tc>
          <w:tcPr>
            <w:tcW w:w="149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    目</w:t>
            </w:r>
          </w:p>
        </w:tc>
        <w:tc>
          <w:tcPr>
            <w:tcW w:w="652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供应商特定资格要求</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4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答疑会或</w:t>
            </w:r>
            <w:r>
              <w:rPr>
                <w:rFonts w:hint="eastAsia" w:ascii="宋体" w:hAnsi="宋体" w:cs="宋体"/>
                <w:color w:val="000000" w:themeColor="text1"/>
                <w:sz w:val="24"/>
                <w14:textFill>
                  <w14:solidFill>
                    <w14:schemeClr w14:val="tx1"/>
                  </w14:solidFill>
                </w14:textFill>
              </w:rPr>
              <w:t>现场踏勘</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不组织，供应商</w:t>
            </w:r>
            <w:r>
              <w:rPr>
                <w:rFonts w:hint="eastAsia" w:ascii="宋体" w:hAnsi="宋体" w:cs="宋体"/>
                <w:color w:val="000000" w:themeColor="text1"/>
                <w:sz w:val="24"/>
                <w:lang w:val="en-US" w:eastAsia="zh-CN"/>
                <w14:textFill>
                  <w14:solidFill>
                    <w14:schemeClr w14:val="tx1"/>
                  </w14:solidFill>
                </w14:textFill>
              </w:rPr>
              <w:t>需</w:t>
            </w:r>
            <w:r>
              <w:rPr>
                <w:rFonts w:hint="eastAsia" w:ascii="宋体" w:hAnsi="宋体" w:cs="宋体"/>
                <w:color w:val="000000" w:themeColor="text1"/>
                <w:sz w:val="24"/>
                <w14:textFill>
                  <w14:solidFill>
                    <w14:schemeClr w14:val="tx1"/>
                  </w14:solidFill>
                </w14:textFill>
              </w:rPr>
              <w:t>自行前往现场踏勘。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4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ascii="Segoe UI Emoji" w:hAnsi="Segoe UI Emoji" w:cs="Segoe UI Emoji"/>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电子投标文件（包括“电子加密投标文件”和“备份投标文件”，在投标文件编制完成后同时生成）；</w:t>
            </w: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（1）“电子加密投标文件”是指通过“政采云电子交易客户端”完成投标文件编制后生成并加密的数据电文形式的投标文件。</w:t>
            </w: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cs="宋体"/>
                <w:bCs/>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“备份投标文件”是指与“电子加密投标文件”同时生成的数据电文形式的电子文件（备份标书）（</w:t>
            </w:r>
            <w:r>
              <w:rPr>
                <w:rFonts w:ascii="宋体" w:hAnsi="宋体" w:cs="宋体"/>
                <w:color w:val="000000" w:themeColor="text1"/>
                <w:sz w:val="24"/>
                <w14:textFill>
                  <w14:solidFill>
                    <w14:schemeClr w14:val="tx1"/>
                  </w14:solidFill>
                </w14:textFill>
              </w:rPr>
              <w:t>后缀格式为.bfbs</w:t>
            </w:r>
            <w:r>
              <w:rPr>
                <w:rFonts w:hint="eastAsia" w:ascii="宋体" w:hAnsi="宋体" w:cs="宋体"/>
                <w:color w:val="000000" w:themeColor="text1"/>
                <w:sz w:val="24"/>
                <w14:textFill>
                  <w14:solidFill>
                    <w14:schemeClr w14:val="tx1"/>
                  </w14:solidFill>
                </w14:textFill>
              </w:rPr>
              <w:t>），其他方式编制的备份投标文件视为无效备份投标文件。</w:t>
            </w:r>
          </w:p>
          <w:p>
            <w:pPr>
              <w:spacing w:line="340" w:lineRule="exac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）中标供应商中标后需提供纸质投标文件给采购代理机构作为备案存档，纸质投标文件系电子投标文件纸质版，两者内容应一致；数量为：资格证明文件</w:t>
            </w:r>
            <w:r>
              <w:rPr>
                <w:rFonts w:hint="eastAsia" w:ascii="宋体" w:hAnsi="宋体" w:cs="宋体"/>
                <w:color w:val="000000" w:themeColor="text1"/>
                <w:sz w:val="24"/>
                <w14:textFill>
                  <w14:solidFill>
                    <w14:schemeClr w14:val="tx1"/>
                  </w14:solidFill>
                </w14:textFill>
              </w:rPr>
              <w:t>一正二副</w:t>
            </w:r>
            <w:r>
              <w:rPr>
                <w:rFonts w:ascii="宋体" w:hAnsi="宋体" w:cs="宋体"/>
                <w:color w:val="000000" w:themeColor="text1"/>
                <w:sz w:val="24"/>
                <w14:textFill>
                  <w14:solidFill>
                    <w14:schemeClr w14:val="tx1"/>
                  </w14:solidFill>
                </w14:textFill>
              </w:rPr>
              <w:t>；资格及商务技术文件</w:t>
            </w:r>
            <w:r>
              <w:rPr>
                <w:rFonts w:hint="eastAsia" w:ascii="宋体" w:hAnsi="宋体" w:cs="宋体"/>
                <w:color w:val="000000" w:themeColor="text1"/>
                <w:sz w:val="24"/>
                <w14:textFill>
                  <w14:solidFill>
                    <w14:schemeClr w14:val="tx1"/>
                  </w14:solidFill>
                </w14:textFill>
              </w:rPr>
              <w:t>一正二副</w:t>
            </w:r>
            <w:r>
              <w:rPr>
                <w:rFonts w:ascii="宋体" w:hAnsi="宋体" w:cs="宋体"/>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一正二副</w:t>
            </w:r>
            <w:r>
              <w:rPr>
                <w:rFonts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4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w:t>
            </w:r>
          </w:p>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份数</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（1）“电子加密投标文件”：在线上传提交一份。</w:t>
            </w: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2）“备份投标文件”：密封包装后确保在投标截止时间前（</w:t>
            </w:r>
            <w:r>
              <w:rPr>
                <w:rFonts w:hint="eastAsia" w:ascii="宋体" w:hAnsi="宋体" w:cs="宋体"/>
                <w:color w:val="000000" w:themeColor="text1"/>
                <w:sz w:val="24"/>
                <w14:textFill>
                  <w14:solidFill>
                    <w14:schemeClr w14:val="tx1"/>
                  </w14:solidFill>
                </w14:textFill>
              </w:rPr>
              <w:t>建议使用</w:t>
            </w:r>
            <w:r>
              <w:rPr>
                <w:rFonts w:ascii="宋体" w:hAnsi="宋体" w:cs="宋体"/>
                <w:color w:val="000000" w:themeColor="text1"/>
                <w:sz w:val="24"/>
                <w14:textFill>
                  <w14:solidFill>
                    <w14:schemeClr w14:val="tx1"/>
                  </w14:solidFill>
                </w14:textFill>
              </w:rPr>
              <w:t>EMS/顺丰邮寄形式）送达一份（邮寄地址：台州市椒江区开元路299</w:t>
            </w:r>
            <w:r>
              <w:rPr>
                <w:rFonts w:hint="eastAsia" w:ascii="宋体" w:hAnsi="宋体" w:cs="宋体"/>
                <w:color w:val="000000" w:themeColor="text1"/>
                <w:sz w:val="24"/>
                <w14:textFill>
                  <w14:solidFill>
                    <w14:schemeClr w14:val="tx1"/>
                  </w14:solidFill>
                </w14:textFill>
              </w:rPr>
              <w:t>号，台州蔚蓝投资咨询有限公司，赵老师</w:t>
            </w:r>
            <w:r>
              <w:rPr>
                <w:rFonts w:ascii="宋体" w:hAnsi="宋体" w:cs="宋体"/>
                <w:color w:val="000000" w:themeColor="text1"/>
                <w:sz w:val="24"/>
                <w14:textFill>
                  <w14:solidFill>
                    <w14:schemeClr w14:val="tx1"/>
                  </w14:solidFill>
                </w14:textFill>
              </w:rPr>
              <w:t>18858688080</w:t>
            </w:r>
            <w:r>
              <w:rPr>
                <w:rFonts w:hint="eastAsia" w:ascii="宋体" w:hAnsi="宋体" w:cs="宋体"/>
                <w:color w:val="000000" w:themeColor="text1"/>
                <w:sz w:val="24"/>
                <w14:textFill>
                  <w14:solidFill>
                    <w14:schemeClr w14:val="tx1"/>
                  </w14:solidFill>
                </w14:textFill>
              </w:rPr>
              <w:t>或发送</w:t>
            </w:r>
            <w:r>
              <w:rPr>
                <w:rFonts w:ascii="宋体" w:hAnsi="宋体" w:cs="宋体"/>
                <w:color w:val="000000" w:themeColor="text1"/>
                <w:sz w:val="24"/>
                <w14:textFill>
                  <w14:solidFill>
                    <w14:schemeClr w14:val="tx1"/>
                  </w14:solidFill>
                </w14:textFill>
              </w:rPr>
              <w:t>后缀格式为.bfbs</w:t>
            </w:r>
            <w:r>
              <w:rPr>
                <w:rFonts w:hint="eastAsia" w:ascii="宋体" w:hAnsi="宋体" w:cs="宋体"/>
                <w:color w:val="000000" w:themeColor="text1"/>
                <w:sz w:val="24"/>
                <w14:textFill>
                  <w14:solidFill>
                    <w14:schemeClr w14:val="tx1"/>
                  </w14:solidFill>
                </w14:textFill>
              </w:rPr>
              <w:t>的备份文件至代理邮箱3291544104@qq.com）。（自选邮寄，自选形式）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4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投标文件的上传与递交</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（1）“电子加密投标文件”的上传、递交：</w:t>
            </w: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w:t>
            </w:r>
            <w:r>
              <w:rPr>
                <w:rFonts w:hint="eastAsia" w:cs="宋体"/>
                <w:bCs/>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投标供应商应在投标截止时间前将“电子加密投标文件”成功上传递交至“政府采购云平台”，否则投标无效。</w:t>
            </w: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b.“电子加密投标文件”成功上传递交后，供应商可自行打印投标文件接收回执。</w:t>
            </w: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（2）“备份投标文件”的密封包装、递交：</w:t>
            </w:r>
          </w:p>
          <w:p>
            <w:pPr>
              <w:spacing w:line="3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a.投标供应商在“政府采购云平台”完成“电子加密投标文件”的上传递交后，还可以（顺丰/EMS邮寄形式）在投标截止时间前递交以介质（U盘）存储的 </w:t>
            </w:r>
            <w:r>
              <w:rPr>
                <w:rFonts w:hint="eastAsia" w:ascii="宋体" w:hAnsi="宋体" w:cs="宋体"/>
                <w:color w:val="000000" w:themeColor="text1"/>
                <w:sz w:val="24"/>
                <w14:textFill>
                  <w14:solidFill>
                    <w14:schemeClr w14:val="tx1"/>
                  </w14:solidFill>
                </w14:textFill>
              </w:rPr>
              <w:t>“备份投标文件”（一份）；</w:t>
            </w: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w:t>
            </w:r>
            <w:r>
              <w:rPr>
                <w:rFonts w:hint="eastAsia" w:cs="宋体"/>
                <w:bCs/>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“备份投标文件”应当密封包装，并在包装上标注投标项目名称、投标单位名称并加盖公章。没有密封包装或者逾期邮寄送达至投标地点的“备份投标文件”将不予接收；</w:t>
            </w: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w:t>
            </w:r>
            <w:r>
              <w:rPr>
                <w:rFonts w:hint="eastAsia" w:cs="宋体"/>
                <w:bCs/>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温馨提醒：供应商应提前上传，以便在上传时遇到技术问题，有充足的时间提请教平台的技术人员。</w:t>
            </w: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“政采云”平台客服电话：400-881-7190</w:t>
            </w:r>
          </w:p>
          <w:p>
            <w:pPr>
              <w:spacing w:line="340" w:lineRule="exac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3）中标供应商中标后需提供纸质投标文件给采购代理机构作为备案存档，纸质投标文件系电子投标文件纸质版，两者内容应一致；数量为：资格证明文件</w:t>
            </w:r>
            <w:r>
              <w:rPr>
                <w:rFonts w:hint="eastAsia" w:ascii="宋体" w:hAnsi="宋体" w:cs="宋体"/>
                <w:color w:val="000000" w:themeColor="text1"/>
                <w:sz w:val="24"/>
                <w14:textFill>
                  <w14:solidFill>
                    <w14:schemeClr w14:val="tx1"/>
                  </w14:solidFill>
                </w14:textFill>
              </w:rPr>
              <w:t>一正二副</w:t>
            </w:r>
            <w:r>
              <w:rPr>
                <w:rFonts w:ascii="宋体" w:hAnsi="宋体" w:cs="宋体"/>
                <w:color w:val="000000" w:themeColor="text1"/>
                <w:sz w:val="24"/>
                <w14:textFill>
                  <w14:solidFill>
                    <w14:schemeClr w14:val="tx1"/>
                  </w14:solidFill>
                </w14:textFill>
              </w:rPr>
              <w:t>；资格及商务技术文件</w:t>
            </w:r>
            <w:r>
              <w:rPr>
                <w:rFonts w:hint="eastAsia" w:ascii="宋体" w:hAnsi="宋体" w:cs="宋体"/>
                <w:color w:val="000000" w:themeColor="text1"/>
                <w:sz w:val="24"/>
                <w14:textFill>
                  <w14:solidFill>
                    <w14:schemeClr w14:val="tx1"/>
                  </w14:solidFill>
                </w14:textFill>
              </w:rPr>
              <w:t>一正二副</w:t>
            </w:r>
            <w:r>
              <w:rPr>
                <w:rFonts w:ascii="宋体" w:hAnsi="宋体" w:cs="宋体"/>
                <w:color w:val="000000" w:themeColor="text1"/>
                <w:sz w:val="24"/>
                <w14:textFill>
                  <w14:solidFill>
                    <w14:schemeClr w14:val="tx1"/>
                  </w14:solidFill>
                </w14:textFill>
              </w:rPr>
              <w:t>；报价文件</w:t>
            </w:r>
            <w:r>
              <w:rPr>
                <w:rFonts w:hint="eastAsia" w:ascii="宋体" w:hAnsi="宋体" w:cs="宋体"/>
                <w:color w:val="000000" w:themeColor="text1"/>
                <w:sz w:val="24"/>
                <w14:textFill>
                  <w14:solidFill>
                    <w14:schemeClr w14:val="tx1"/>
                  </w14:solidFill>
                </w14:textFill>
              </w:rPr>
              <w:t>一正二副</w:t>
            </w:r>
            <w:r>
              <w:rPr>
                <w:rFonts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4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投标有效期为90天，投标有效期从提交投标文件的截止之日起算。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投标人信用信息查询渠道及截止时点、信用信息查询记录和证据留存的具体方式、信用信息的使用规则</w:t>
            </w:r>
          </w:p>
          <w:p>
            <w:pPr>
              <w:spacing w:line="340" w:lineRule="exact"/>
              <w:jc w:val="center"/>
              <w:rPr>
                <w:rFonts w:ascii="宋体" w:hAnsi="宋体" w:cs="宋体"/>
                <w:color w:val="000000" w:themeColor="text1"/>
                <w:sz w:val="24"/>
                <w14:textFill>
                  <w14:solidFill>
                    <w14:schemeClr w14:val="tx1"/>
                  </w14:solidFill>
                </w14:textFill>
              </w:rPr>
            </w:pPr>
          </w:p>
        </w:tc>
        <w:tc>
          <w:tcPr>
            <w:tcW w:w="65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1、查询渠道：信用中国（网址：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ascii="宋体" w:hAnsi="宋体" w:cs="宋体"/>
                <w:color w:val="000000" w:themeColor="text1"/>
                <w:sz w:val="24"/>
                <w14:textFill>
                  <w14:solidFill>
                    <w14:schemeClr w14:val="tx1"/>
                  </w14:solidFill>
                </w14:textFill>
              </w:rPr>
              <w:t>http://www.creditchina.gov.cn</w:t>
            </w:r>
            <w:r>
              <w:rPr>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）、中国政府采购网</w:t>
            </w:r>
            <w:r>
              <w:rPr>
                <w:rFonts w:ascii="宋体" w:hAnsi="宋体" w:cs="宋体"/>
                <w:color w:val="000000" w:themeColor="text1"/>
                <w:sz w:val="24"/>
                <w14:textFill>
                  <w14:solidFill>
                    <w14:schemeClr w14:val="tx1"/>
                  </w14:solidFill>
                </w14:textFill>
              </w:rPr>
              <w:t>(网址：http://www.ccgp.gov.cn</w:t>
            </w:r>
            <w:r>
              <w:rPr>
                <w:rFonts w:hint="eastAsia" w:ascii="宋体" w:hAnsi="宋体" w:cs="宋体"/>
                <w:color w:val="000000" w:themeColor="text1"/>
                <w:sz w:val="24"/>
                <w14:textFill>
                  <w14:solidFill>
                    <w14:schemeClr w14:val="tx1"/>
                  </w14:solidFill>
                </w14:textFill>
              </w:rPr>
              <w:t>）、国家企业信用信息公示系统（</w:t>
            </w:r>
            <w:r>
              <w:rPr>
                <w:rFonts w:ascii="宋体" w:hAnsi="宋体" w:cs="宋体"/>
                <w:color w:val="000000" w:themeColor="text1"/>
                <w:sz w:val="24"/>
                <w14:textFill>
                  <w14:solidFill>
                    <w14:schemeClr w14:val="tx1"/>
                  </w14:solidFill>
                </w14:textFill>
              </w:rPr>
              <w:t>http://www.gsxt.gov.cn/index.html）等。</w:t>
            </w:r>
          </w:p>
          <w:p>
            <w:pPr>
              <w:spacing w:line="3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2、截止时点：</w:t>
            </w:r>
            <w:r>
              <w:rPr>
                <w:rFonts w:hint="eastAsia" w:ascii="宋体" w:hAnsi="宋体" w:cs="宋体"/>
                <w:color w:val="000000" w:themeColor="text1"/>
                <w:sz w:val="24"/>
                <w14:textFill>
                  <w14:solidFill>
                    <w14:schemeClr w14:val="tx1"/>
                  </w14:solidFill>
                </w14:textFill>
              </w:rPr>
              <w:t>开标后评审前。</w:t>
            </w:r>
          </w:p>
          <w:p>
            <w:pPr>
              <w:spacing w:line="3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3、信用信息查询记录和证据留存的具体方式</w:t>
            </w:r>
            <w:r>
              <w:rPr>
                <w:rFonts w:hint="eastAsia" w:ascii="宋体" w:hAnsi="宋体" w:cs="宋体"/>
                <w:color w:val="000000" w:themeColor="text1"/>
                <w:sz w:val="24"/>
                <w14:textFill>
                  <w14:solidFill>
                    <w14:schemeClr w14:val="tx1"/>
                  </w14:solidFill>
                </w14:textFill>
              </w:rPr>
              <w:t>：由采购组织机构在规定查询时间内打印信用信息查询记录并归入项目档案。</w:t>
            </w:r>
          </w:p>
          <w:p>
            <w:pPr>
              <w:spacing w:line="34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w:t>
            </w:r>
            <w:r>
              <w:rPr>
                <w:rFonts w:hint="eastAsia" w:ascii="宋体" w:hAnsi="宋体" w:cs="宋体"/>
                <w:color w:val="000000" w:themeColor="text1"/>
                <w:sz w:val="24"/>
                <w14:textFill>
                  <w14:solidFill>
                    <w14:schemeClr w14:val="tx1"/>
                  </w14:solidFill>
                </w14:textFill>
              </w:rPr>
              <w:t>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rPr>
                <w:rFonts w:ascii="宋体" w:hAnsi="宋体" w:cs="Arial"/>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中小企业扶持政策</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1、本项目专门面向中小企业</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不再进行价格优惠扣除。</w:t>
            </w: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2、小微企业参加政府采购活动，应当出具附件中《中小企业声明函》，否则不享受相关小微企业扶持政策。</w:t>
            </w:r>
          </w:p>
          <w:p>
            <w:pPr>
              <w:tabs>
                <w:tab w:val="left" w:pos="720"/>
                <w:tab w:val="left" w:pos="900"/>
                <w:tab w:val="left" w:pos="1260"/>
                <w:tab w:val="left" w:pos="2160"/>
                <w:tab w:val="left" w:pos="2880"/>
                <w:tab w:val="left" w:pos="3600"/>
                <w:tab w:val="left" w:pos="4320"/>
                <w:tab w:val="left" w:pos="5040"/>
                <w:tab w:val="left" w:pos="5760"/>
              </w:tabs>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3、提供声明函内容不实的，属于提供虚假材料谋取中标、成交，将按相关规定追究相应责任。</w:t>
            </w:r>
          </w:p>
          <w:p>
            <w:pPr>
              <w:spacing w:line="340" w:lineRule="exac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4、本项目的所属行业：</w:t>
            </w:r>
            <w:r>
              <w:rPr>
                <w:rFonts w:hint="eastAsia" w:ascii="宋体" w:hAnsi="宋体"/>
                <w:color w:val="000000" w:themeColor="text1"/>
                <w:sz w:val="24"/>
                <w:szCs w:val="24"/>
                <w:highlight w:val="none"/>
                <w14:textFill>
                  <w14:solidFill>
                    <w14:schemeClr w14:val="tx1"/>
                  </w14:solidFill>
                </w14:textFill>
              </w:rPr>
              <w:t>其他未列明行业</w:t>
            </w:r>
            <w:r>
              <w:rPr>
                <w:rFonts w:hint="eastAsia" w:ascii="宋体" w:hAnsi="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14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磋商时间及地点</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时间：北京时间</w:t>
            </w:r>
            <w:r>
              <w:rPr>
                <w:rFonts w:hint="eastAsia" w:ascii="宋体" w:hAnsi="宋体" w:cs="宋体"/>
                <w:color w:val="000000" w:themeColor="text1"/>
                <w:sz w:val="24"/>
                <w:highlight w:val="none"/>
                <w:lang w:eastAsia="zh-CN"/>
                <w14:textFill>
                  <w14:solidFill>
                    <w14:schemeClr w14:val="tx1"/>
                  </w14:solidFill>
                </w14:textFill>
              </w:rPr>
              <w:t>2024年</w:t>
            </w:r>
            <w:r>
              <w:rPr>
                <w:rFonts w:hint="eastAsia" w:ascii="宋体" w:hAnsi="宋体" w:cs="宋体"/>
                <w:color w:val="000000" w:themeColor="text1"/>
                <w:sz w:val="24"/>
                <w:highlight w:val="none"/>
                <w:lang w:val="en-US" w:eastAsia="zh-CN"/>
                <w14:textFill>
                  <w14:solidFill>
                    <w14:schemeClr w14:val="tx1"/>
                  </w14:solidFill>
                </w14:textFill>
              </w:rPr>
              <w:t>6月5</w:t>
            </w:r>
            <w:r>
              <w:rPr>
                <w:rFonts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9</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0</w:t>
            </w:r>
            <w:r>
              <w:rPr>
                <w:rFonts w:ascii="宋体" w:hAnsi="宋体" w:cs="宋体"/>
                <w:color w:val="000000" w:themeColor="text1"/>
                <w:sz w:val="24"/>
                <w:highlight w:val="none"/>
                <w14:textFill>
                  <w14:solidFill>
                    <w14:schemeClr w14:val="tx1"/>
                  </w14:solidFill>
                </w14:textFill>
              </w:rPr>
              <w:t>0</w:t>
            </w: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地点：通过“政府采购云平台（</w:t>
            </w:r>
            <w:r>
              <w:rPr>
                <w:rFonts w:ascii="宋体" w:hAnsi="宋体" w:cs="宋体"/>
                <w:color w:val="000000" w:themeColor="text1"/>
                <w:sz w:val="24"/>
                <w14:textFill>
                  <w14:solidFill>
                    <w14:schemeClr w14:val="tx1"/>
                  </w14:solidFill>
                </w14:textFill>
              </w:rPr>
              <w:t>https://www.zcygov.cn/</w:t>
            </w:r>
            <w:r>
              <w:rPr>
                <w:rFonts w:hint="eastAsia" w:ascii="宋体" w:hAnsi="宋体" w:cs="宋体"/>
                <w:color w:val="000000" w:themeColor="text1"/>
                <w:sz w:val="24"/>
                <w14:textFill>
                  <w14:solidFill>
                    <w14:schemeClr w14:val="tx1"/>
                  </w14:solidFill>
                </w14:textFill>
              </w:rPr>
              <w:t>）”实行在线投标响应。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14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w:t>
            </w:r>
          </w:p>
        </w:tc>
        <w:tc>
          <w:tcPr>
            <w:tcW w:w="149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2</w:t>
            </w:r>
          </w:p>
        </w:tc>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实质性条款</w:t>
            </w:r>
          </w:p>
        </w:tc>
        <w:tc>
          <w:tcPr>
            <w:tcW w:w="652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40" w:lineRule="exact"/>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带“</w:t>
            </w:r>
            <w:r>
              <w:rPr>
                <w:rFonts w:hint="eastAsia" w:ascii="宋体" w:hAnsi="宋体" w:cs="宋体"/>
                <w:bCs/>
                <w:color w:val="000000" w:themeColor="text1"/>
                <w:sz w:val="24"/>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3</w:t>
            </w:r>
          </w:p>
        </w:tc>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样品及演示</w:t>
            </w:r>
          </w:p>
        </w:tc>
        <w:tc>
          <w:tcPr>
            <w:tcW w:w="65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hint="eastAsia" w:ascii="宋体" w:hAnsi="宋体" w:eastAsia="宋体" w:cs="宋体"/>
                <w:color w:val="000000" w:themeColor="text1"/>
                <w:kern w:val="0"/>
                <w:sz w:val="24"/>
                <w:lang w:val="zh-CN" w:eastAsia="zh-CN"/>
                <w14:textFill>
                  <w14:solidFill>
                    <w14:schemeClr w14:val="tx1"/>
                  </w14:solidFill>
                </w14:textFill>
              </w:rPr>
            </w:pPr>
            <w:r>
              <w:rPr>
                <w:rFonts w:hint="eastAsia" w:ascii="宋体" w:hAnsi="宋体" w:cs="宋体"/>
                <w:b w:val="0"/>
                <w:bCs w:val="0"/>
                <w:color w:val="000000" w:themeColor="text1"/>
                <w:kern w:val="0"/>
                <w:sz w:val="24"/>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4</w:t>
            </w:r>
          </w:p>
        </w:tc>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节能环保</w:t>
            </w:r>
          </w:p>
        </w:tc>
        <w:tc>
          <w:tcPr>
            <w:tcW w:w="65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5</w:t>
            </w:r>
          </w:p>
        </w:tc>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解释权</w:t>
            </w:r>
          </w:p>
        </w:tc>
        <w:tc>
          <w:tcPr>
            <w:tcW w:w="65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本磋商文件解释权属于采购人和</w:t>
            </w:r>
            <w:bookmarkStart w:id="46" w:name="_Hlk1308556"/>
            <w:r>
              <w:rPr>
                <w:rFonts w:hint="eastAsia" w:ascii="宋体" w:hAnsi="宋体" w:cs="Arial"/>
                <w:color w:val="000000" w:themeColor="text1"/>
                <w:sz w:val="24"/>
                <w14:textFill>
                  <w14:solidFill>
                    <w14:schemeClr w14:val="tx1"/>
                  </w14:solidFill>
                </w14:textFill>
              </w:rPr>
              <w:t>台州蔚蓝投资咨询有限公司</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6</w:t>
            </w:r>
          </w:p>
        </w:tc>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资料归档</w:t>
            </w:r>
          </w:p>
        </w:tc>
        <w:tc>
          <w:tcPr>
            <w:tcW w:w="65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成交供应商在收到中标通知后7个工作日内提交纸质版投标文件（内容同电子投标文件）一正两副，用于项目资料存档。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7</w:t>
            </w:r>
          </w:p>
        </w:tc>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注意事项</w:t>
            </w:r>
          </w:p>
        </w:tc>
        <w:tc>
          <w:tcPr>
            <w:tcW w:w="65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1、投标供应商应严格按照磋商文件及补充文件的规定和要求编制磋商响应文件。在编制磋商响应文件过程中,应严格遵循实事求是、诚信投标的原则,如有偏离,应如实填写响应偏离。</w:t>
            </w: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2、如果发现本磋商文件中存在歧视性不公正条款或违法违规等内容时,请投标供应商在磋商文件的质疑有效期内及时书面提出。</w:t>
            </w: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3、采购结果公告期间, 磋商供应商不得通过非正当途径获取法律法规规定评标委员会(包括其他相关人员)应当保密的相关内容。</w:t>
            </w:r>
          </w:p>
        </w:tc>
      </w:tr>
      <w:bookmarkEnd w:id="45"/>
    </w:tbl>
    <w:p>
      <w:pPr>
        <w:rPr>
          <w:rFonts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br w:type="page"/>
      </w:r>
      <w:r>
        <w:rPr>
          <w:rFonts w:hint="eastAsia" w:hAnsi="宋体"/>
          <w:b/>
          <w:color w:val="000000" w:themeColor="text1"/>
          <w:sz w:val="24"/>
          <w14:textFill>
            <w14:solidFill>
              <w14:schemeClr w14:val="tx1"/>
            </w14:solidFill>
          </w14:textFill>
        </w:rPr>
        <w:t>一、总则</w:t>
      </w:r>
    </w:p>
    <w:p>
      <w:pPr>
        <w:pStyle w:val="17"/>
        <w:snapToGrid w:val="0"/>
        <w:spacing w:line="360" w:lineRule="auto"/>
        <w:ind w:firstLine="482" w:firstLineChars="200"/>
        <w:jc w:val="left"/>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（一） 适用范围</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w:t>
      </w:r>
      <w:r>
        <w:rPr>
          <w:rFonts w:hint="eastAsia" w:ascii="宋体" w:hAnsi="宋体"/>
          <w:bCs/>
          <w:color w:val="000000" w:themeColor="text1"/>
          <w:sz w:val="24"/>
          <w14:textFill>
            <w14:solidFill>
              <w14:schemeClr w14:val="tx1"/>
            </w14:solidFill>
          </w14:textFill>
        </w:rPr>
        <w:t>磋商文件</w:t>
      </w:r>
      <w:r>
        <w:rPr>
          <w:rFonts w:hint="eastAsia" w:ascii="宋体" w:hAnsi="宋体"/>
          <w:color w:val="000000" w:themeColor="text1"/>
          <w:sz w:val="24"/>
          <w14:textFill>
            <w14:solidFill>
              <w14:schemeClr w14:val="tx1"/>
            </w14:solidFill>
          </w14:textFill>
        </w:rPr>
        <w:t>适用于</w:t>
      </w:r>
      <w:r>
        <w:rPr>
          <w:rFonts w:hint="eastAsia" w:ascii="宋体" w:hAnsi="宋体"/>
          <w:bCs/>
          <w:color w:val="000000" w:themeColor="text1"/>
          <w:sz w:val="24"/>
          <w14:textFill>
            <w14:solidFill>
              <w14:schemeClr w14:val="tx1"/>
            </w14:solidFill>
          </w14:textFill>
        </w:rPr>
        <w:t>本次</w:t>
      </w:r>
      <w:r>
        <w:rPr>
          <w:rFonts w:hint="eastAsia" w:ascii="宋体" w:hAnsi="宋体"/>
          <w:color w:val="000000" w:themeColor="text1"/>
          <w:sz w:val="24"/>
          <w14:textFill>
            <w14:solidFill>
              <w14:schemeClr w14:val="tx1"/>
            </w14:solidFill>
          </w14:textFill>
        </w:rPr>
        <w:t>项目的磋商、</w:t>
      </w:r>
      <w:r>
        <w:rPr>
          <w:rFonts w:hint="eastAsia" w:ascii="宋体" w:hAnsi="宋体"/>
          <w:bCs/>
          <w:color w:val="000000" w:themeColor="text1"/>
          <w:sz w:val="24"/>
          <w14:textFill>
            <w14:solidFill>
              <w14:schemeClr w14:val="tx1"/>
            </w14:solidFill>
          </w14:textFill>
        </w:rPr>
        <w:t>评审、确定成交供应商</w:t>
      </w:r>
      <w:r>
        <w:rPr>
          <w:rFonts w:hint="eastAsia" w:ascii="宋体" w:hAnsi="宋体"/>
          <w:color w:val="000000" w:themeColor="text1"/>
          <w:sz w:val="24"/>
          <w14:textFill>
            <w14:solidFill>
              <w14:schemeClr w14:val="tx1"/>
            </w14:solidFill>
          </w14:textFill>
        </w:rPr>
        <w:t>、验收、合同履约、付款等行为（法律、法规另有规定的，从其规定）。</w:t>
      </w:r>
    </w:p>
    <w:p>
      <w:pPr>
        <w:snapToGrid w:val="0"/>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（二）定义</w:t>
      </w:r>
    </w:p>
    <w:p>
      <w:pPr>
        <w:pStyle w:val="5"/>
        <w:keepNext w:val="0"/>
        <w:keepLines w:val="0"/>
        <w:tabs>
          <w:tab w:val="left" w:pos="0"/>
          <w:tab w:val="left" w:pos="851"/>
        </w:tabs>
        <w:autoSpaceDE w:val="0"/>
        <w:autoSpaceDN w:val="0"/>
        <w:adjustRightInd w:val="0"/>
        <w:snapToGrid w:val="0"/>
        <w:spacing w:before="0" w:after="0"/>
        <w:ind w:firstLine="480"/>
        <w:jc w:val="left"/>
        <w:rPr>
          <w:rFonts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1、</w:t>
      </w:r>
      <w:r>
        <w:rPr>
          <w:rFonts w:hint="eastAsia" w:ascii="宋体" w:hAnsi="宋体" w:eastAsia="宋体"/>
          <w:b w:val="0"/>
          <w:bCs w:val="0"/>
          <w:color w:val="000000" w:themeColor="text1"/>
          <w:sz w:val="24"/>
          <w:szCs w:val="24"/>
          <w:lang w:val="zh-CN"/>
          <w14:textFill>
            <w14:solidFill>
              <w14:schemeClr w14:val="tx1"/>
            </w14:solidFill>
          </w14:textFill>
        </w:rPr>
        <w:t>“采购组织机构”指采购人委托组织磋商的集中采购机构或采购代理机构。</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2、采购人：是指委托</w:t>
      </w:r>
      <w:r>
        <w:rPr>
          <w:rFonts w:hint="eastAsia" w:ascii="宋体" w:hAnsi="宋体"/>
          <w:color w:val="000000" w:themeColor="text1"/>
          <w:sz w:val="24"/>
          <w:lang w:val="zh-CN"/>
          <w14:textFill>
            <w14:solidFill>
              <w14:schemeClr w14:val="tx1"/>
            </w14:solidFill>
          </w14:textFill>
        </w:rPr>
        <w:t>集中采购机构或</w:t>
      </w:r>
      <w:r>
        <w:rPr>
          <w:rFonts w:hint="eastAsia" w:ascii="宋体" w:hAnsi="宋体"/>
          <w:color w:val="000000" w:themeColor="text1"/>
          <w:sz w:val="24"/>
          <w14:textFill>
            <w14:solidFill>
              <w14:schemeClr w14:val="tx1"/>
            </w14:solidFill>
          </w14:textFill>
        </w:rPr>
        <w:t>采购代理机构采购本次项目的国家机关、事业单位和团体组织。</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3、磋商供应商：是指向采购组织机构提交磋商响应文件的单位或个人。</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4、成交供应商：是指经评标委员会评审确定的对磋商文件作出实质性响应，经采购人按照规定在评标委员会推荐的成交候选人中确定的或受采购人委托直接确认的，与采购人签订合同资格的供应商。</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、货物：是指各种形态和种类的物品，包括原材料、燃料、设备、产品等。</w:t>
      </w:r>
    </w:p>
    <w:p>
      <w:pPr>
        <w:snapToGrid w:val="0"/>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6、服务：是指除货物和工程以外的政府采购对象，包括各类专业服务、信息网络开发服务、金融保险服务、运输服务，以及维修与维护服务等。</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、“书面形式”包括信函、传真等。</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、“▲”系指实质性要求条款。</w:t>
      </w:r>
    </w:p>
    <w:p>
      <w:pPr>
        <w:snapToGrid w:val="0"/>
        <w:spacing w:line="360" w:lineRule="auto"/>
        <w:ind w:firstLine="482" w:firstLineChars="200"/>
        <w:jc w:val="left"/>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（三）磋商费用</w:t>
      </w:r>
    </w:p>
    <w:p>
      <w:pPr>
        <w:pStyle w:val="17"/>
        <w:adjustRightInd w:val="0"/>
        <w:snapToGrid w:val="0"/>
        <w:spacing w:line="312" w:lineRule="auto"/>
        <w:ind w:firstLine="480" w:firstLineChars="200"/>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不论投标结果如何，投标人均应自行承担所有与投标有关的全部费用（磋商采购文件有相关规定除外）。</w:t>
      </w:r>
    </w:p>
    <w:p>
      <w:pPr>
        <w:pStyle w:val="29"/>
        <w:ind w:firstLine="480"/>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采购代理服务费由中标成交单位支付。</w:t>
      </w:r>
    </w:p>
    <w:p>
      <w:pPr>
        <w:pStyle w:val="29"/>
        <w:ind w:firstLine="480"/>
        <w:rPr>
          <w:rFonts w:hAnsi="宋体"/>
          <w:bCs/>
          <w:color w:val="000000" w:themeColor="text1"/>
          <w:sz w:val="24"/>
          <w14:textFill>
            <w14:solidFill>
              <w14:schemeClr w14:val="tx1"/>
            </w14:solidFill>
          </w14:textFill>
        </w:rPr>
      </w:pPr>
      <w:r>
        <w:rPr>
          <w:rFonts w:hint="eastAsia" w:hAnsi="宋体"/>
          <w:bCs/>
          <w:color w:val="000000" w:themeColor="text1"/>
          <w:sz w:val="24"/>
          <w:highlight w:val="none"/>
          <w14:textFill>
            <w14:solidFill>
              <w14:schemeClr w14:val="tx1"/>
            </w14:solidFill>
          </w14:textFill>
        </w:rPr>
        <w:t>代理服务费</w:t>
      </w:r>
      <w:r>
        <w:rPr>
          <w:rFonts w:hint="eastAsia" w:hAnsi="宋体"/>
          <w:bCs/>
          <w:color w:val="000000" w:themeColor="text1"/>
          <w:sz w:val="24"/>
          <w:highlight w:val="none"/>
          <w:lang w:eastAsia="zh-CN"/>
          <w14:textFill>
            <w14:solidFill>
              <w14:schemeClr w14:val="tx1"/>
            </w14:solidFill>
          </w14:textFill>
        </w:rPr>
        <w:t>按下表</w:t>
      </w:r>
      <w:r>
        <w:rPr>
          <w:rFonts w:hint="eastAsia" w:hAnsi="宋体"/>
          <w:bCs/>
          <w:color w:val="000000" w:themeColor="text1"/>
          <w:sz w:val="24"/>
          <w:highlight w:val="none"/>
          <w14:textFill>
            <w14:solidFill>
              <w14:schemeClr w14:val="tx1"/>
            </w14:solidFill>
          </w14:textFill>
        </w:rPr>
        <w:t>向成交单位收取，代理费结算不足</w:t>
      </w:r>
      <w:r>
        <w:rPr>
          <w:rFonts w:hint="eastAsia" w:hAnsi="宋体"/>
          <w:bCs/>
          <w:color w:val="000000" w:themeColor="text1"/>
          <w:sz w:val="24"/>
          <w:highlight w:val="none"/>
          <w:lang w:val="en-US" w:eastAsia="zh-CN"/>
          <w14:textFill>
            <w14:solidFill>
              <w14:schemeClr w14:val="tx1"/>
            </w14:solidFill>
          </w14:textFill>
        </w:rPr>
        <w:t>陆仟</w:t>
      </w:r>
      <w:r>
        <w:rPr>
          <w:rFonts w:hint="eastAsia" w:hAnsi="宋体"/>
          <w:bCs/>
          <w:color w:val="000000" w:themeColor="text1"/>
          <w:sz w:val="24"/>
          <w:highlight w:val="none"/>
          <w14:textFill>
            <w14:solidFill>
              <w14:schemeClr w14:val="tx1"/>
            </w14:solidFill>
          </w14:textFill>
        </w:rPr>
        <w:t>元的，按定额</w:t>
      </w:r>
      <w:r>
        <w:rPr>
          <w:rFonts w:hint="eastAsia" w:hAnsi="宋体"/>
          <w:bCs/>
          <w:color w:val="000000" w:themeColor="text1"/>
          <w:sz w:val="24"/>
          <w:highlight w:val="none"/>
          <w:lang w:eastAsia="zh-CN"/>
          <w14:textFill>
            <w14:solidFill>
              <w14:schemeClr w14:val="tx1"/>
            </w14:solidFill>
          </w14:textFill>
        </w:rPr>
        <w:t>陆</w:t>
      </w:r>
      <w:r>
        <w:rPr>
          <w:rFonts w:hint="eastAsia" w:hAnsi="宋体"/>
          <w:bCs/>
          <w:color w:val="000000" w:themeColor="text1"/>
          <w:sz w:val="24"/>
          <w:highlight w:val="none"/>
          <w14:textFill>
            <w14:solidFill>
              <w14:schemeClr w14:val="tx1"/>
            </w14:solidFill>
          </w14:textFill>
        </w:rPr>
        <w:t>仟元收取,该费用</w:t>
      </w:r>
      <w:r>
        <w:rPr>
          <w:rFonts w:hint="eastAsia" w:hAnsi="宋体"/>
          <w:bCs/>
          <w:color w:val="000000" w:themeColor="text1"/>
          <w:sz w:val="24"/>
          <w14:textFill>
            <w14:solidFill>
              <w14:schemeClr w14:val="tx1"/>
            </w14:solidFill>
          </w14:textFill>
        </w:rPr>
        <w:t>成交方须在中标公示5个工作日内一次性付清。</w:t>
      </w:r>
      <w:r>
        <w:rPr>
          <w:rFonts w:hint="eastAsia" w:ascii="宋体"/>
          <w:color w:val="000000" w:themeColor="text1"/>
          <w:sz w:val="24"/>
          <w14:textFill>
            <w14:solidFill>
              <w14:schemeClr w14:val="tx1"/>
            </w14:solidFill>
          </w14:textFill>
        </w:rPr>
        <w:t>本项目采购代理服务费已包含在总报价内，投标供应商在投标报价中综合考虑。</w:t>
      </w:r>
      <w:r>
        <w:rPr>
          <w:rFonts w:hint="eastAsia" w:hAnsi="宋体"/>
          <w:bCs/>
          <w:color w:val="000000" w:themeColor="text1"/>
          <w:sz w:val="24"/>
          <w14:textFill>
            <w14:solidFill>
              <w14:schemeClr w14:val="tx1"/>
            </w14:solidFill>
          </w14:textFill>
        </w:rPr>
        <w:t>（户名：台州蔚蓝投资咨询有限公司开户银行；台州银行市府大道支行；账号：530407263700015）财务电话：0576-88508578。</w:t>
      </w:r>
    </w:p>
    <w:p>
      <w:pPr>
        <w:pStyle w:val="29"/>
        <w:ind w:firstLine="560"/>
        <w:rPr>
          <w:rFonts w:hAnsi="宋体"/>
          <w:bCs/>
          <w:color w:val="000000" w:themeColor="text1"/>
          <w:sz w:val="24"/>
          <w14:textFill>
            <w14:solidFill>
              <w14:schemeClr w14:val="tx1"/>
            </w14:solidFill>
          </w14:textFill>
        </w:rPr>
      </w:pPr>
      <w:r>
        <w:rPr>
          <w:color w:val="000000" w:themeColor="text1"/>
          <w14:textFill>
            <w14:solidFill>
              <w14:schemeClr w14:val="tx1"/>
            </w14:solidFill>
          </w14:textFill>
        </w:rPr>
        <w:drawing>
          <wp:inline distT="0" distB="0" distL="0" distR="0">
            <wp:extent cx="4328795" cy="1381760"/>
            <wp:effectExtent l="0" t="0" r="0" b="8890"/>
            <wp:docPr id="2"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表格&#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83057" cy="1399333"/>
                    </a:xfrm>
                    <a:prstGeom prst="rect">
                      <a:avLst/>
                    </a:prstGeom>
                    <a:noFill/>
                    <a:ln>
                      <a:noFill/>
                    </a:ln>
                  </pic:spPr>
                </pic:pic>
              </a:graphicData>
            </a:graphic>
          </wp:inline>
        </w:drawing>
      </w:r>
    </w:p>
    <w:p>
      <w:pPr>
        <w:snapToGrid w:val="0"/>
        <w:spacing w:line="360" w:lineRule="auto"/>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（四）特别说明</w:t>
      </w:r>
    </w:p>
    <w:p>
      <w:pPr>
        <w:pStyle w:val="17"/>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1、供应商磋商所使用的资格、信誉、荣誉、业绩与企业认证必须为本法人所拥有。供应商磋商所使用的采购项目实施人员必须为本法人员工（指必须为本法人公司正式员工）。</w:t>
      </w:r>
      <w:r>
        <w:rPr>
          <w:rFonts w:hint="eastAsia"/>
          <w:color w:val="000000" w:themeColor="text1"/>
          <w:sz w:val="24"/>
          <w14:textFill>
            <w14:solidFill>
              <w14:schemeClr w14:val="tx1"/>
            </w14:solidFill>
          </w14:textFill>
        </w:rPr>
        <w:t>▲其中涉及资格条件的如非本法人所拥有，则投标无效。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2、供应商所标产品除</w:t>
      </w:r>
      <w:r>
        <w:rPr>
          <w:rFonts w:hint="eastAsia" w:ascii="宋体" w:hAnsi="宋体"/>
          <w:bCs/>
          <w:color w:val="000000" w:themeColor="text1"/>
          <w:sz w:val="24"/>
          <w14:textFill>
            <w14:solidFill>
              <w14:schemeClr w14:val="tx1"/>
            </w14:solidFill>
          </w14:textFill>
        </w:rPr>
        <w:t>磋商文件</w:t>
      </w:r>
      <w:r>
        <w:rPr>
          <w:rFonts w:hint="eastAsia" w:ascii="宋体" w:hAnsi="宋体"/>
          <w:color w:val="000000" w:themeColor="text1"/>
          <w:sz w:val="24"/>
          <w14:textFill>
            <w14:solidFill>
              <w14:schemeClr w14:val="tx1"/>
            </w14:solidFill>
          </w14:textFill>
        </w:rPr>
        <w:t>中明确规定要求“提供官网截图或相应检测报告的证明材料”以外，所有技术参数描述均以磋商响应文件为准。</w:t>
      </w:r>
      <w:r>
        <w:rPr>
          <w:rFonts w:hint="eastAsia" w:ascii="宋体" w:hAnsi="宋体"/>
          <w:b/>
          <w:color w:val="000000" w:themeColor="text1"/>
          <w:sz w:val="24"/>
          <w14:textFill>
            <w14:solidFill>
              <w14:schemeClr w14:val="tx1"/>
            </w14:solidFill>
          </w14:textFill>
        </w:rPr>
        <w:t>磋商供应商对所标产品技术参数的真实性承担法律责任。</w:t>
      </w:r>
      <w:r>
        <w:rPr>
          <w:rFonts w:hint="eastAsia" w:ascii="宋体" w:hAnsi="宋体"/>
          <w:color w:val="000000" w:themeColor="text1"/>
          <w:sz w:val="24"/>
          <w14:textFill>
            <w14:solidFill>
              <w14:schemeClr w14:val="tx1"/>
            </w14:solidFill>
          </w14:textFill>
        </w:rPr>
        <w:t>项目</w:t>
      </w:r>
      <w:r>
        <w:rPr>
          <w:rFonts w:hint="eastAsia" w:ascii="宋体" w:hAnsi="宋体"/>
          <w:bCs/>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rFonts w:ascii="宋体" w:hAnsi="宋体"/>
          <w:color w:val="000000" w:themeColor="text1"/>
          <w:sz w:val="24"/>
          <w14:textFill>
            <w14:solidFill>
              <w14:schemeClr w14:val="tx1"/>
            </w14:solidFill>
          </w14:textFill>
        </w:rPr>
        <w:tab/>
      </w:r>
    </w:p>
    <w:p>
      <w:pPr>
        <w:pStyle w:val="52"/>
        <w:snapToGrid w:val="0"/>
        <w:spacing w:line="360" w:lineRule="auto"/>
        <w:ind w:firstLine="482"/>
        <w:rPr>
          <w:rFonts w:ascii="宋体" w:hAnsi="宋体"/>
          <w:color w:val="000000" w:themeColor="text1"/>
          <w:sz w:val="24"/>
          <w:szCs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3、供应商在</w:t>
      </w:r>
      <w:r>
        <w:rPr>
          <w:rFonts w:hint="eastAsia" w:ascii="宋体" w:hAnsi="宋体"/>
          <w:bCs/>
          <w:color w:val="000000" w:themeColor="text1"/>
          <w:sz w:val="24"/>
          <w:szCs w:val="24"/>
          <w14:textFill>
            <w14:solidFill>
              <w14:schemeClr w14:val="tx1"/>
            </w14:solidFill>
          </w14:textFill>
        </w:rPr>
        <w:t>磋商</w:t>
      </w:r>
      <w:r>
        <w:rPr>
          <w:rFonts w:hint="eastAsia" w:ascii="宋体" w:hAnsi="宋体"/>
          <w:color w:val="000000" w:themeColor="text1"/>
          <w:sz w:val="24"/>
          <w:szCs w:val="24"/>
          <w14:textFill>
            <w14:solidFill>
              <w14:schemeClr w14:val="tx1"/>
            </w14:solidFill>
          </w14:textFill>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2"/>
        <w:snapToGrid w:val="0"/>
        <w:spacing w:line="360" w:lineRule="auto"/>
        <w:ind w:firstLine="482"/>
        <w:rPr>
          <w:rFonts w:ascii="宋体" w:hAnsi="宋体"/>
          <w:color w:val="000000" w:themeColor="text1"/>
          <w:sz w:val="24"/>
          <w:szCs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4、供应商不得相互串通磋商报价，不得妨碍其他供应商的公平竞争，不得损害采购人或其他供应商的合法权益，供应商不得以向采购人、评标委员会成员行贿或者采取其他不正当手段谋取成交。</w:t>
      </w:r>
    </w:p>
    <w:p>
      <w:pPr>
        <w:pStyle w:val="52"/>
        <w:snapToGrid w:val="0"/>
        <w:spacing w:line="360" w:lineRule="auto"/>
        <w:ind w:firstLine="482"/>
        <w:rPr>
          <w:rFonts w:ascii="宋体" w:hAnsi="宋体"/>
          <w:color w:val="000000" w:themeColor="text1"/>
          <w:sz w:val="24"/>
          <w:szCs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5、为采购项目提供整体设计、规范编制或者项目管理、监理、检测等服务的供应商，不得再参加该采购项目的其他采购活动。</w:t>
      </w:r>
    </w:p>
    <w:p>
      <w:pPr>
        <w:pStyle w:val="25"/>
        <w:rPr>
          <w:rFonts w:cs="宋体"/>
          <w:color w:val="000000" w:themeColor="text1"/>
          <w14:textFill>
            <w14:solidFill>
              <w14:schemeClr w14:val="tx1"/>
            </w14:solidFill>
          </w14:textFill>
        </w:rPr>
      </w:pPr>
      <w:r>
        <w:rPr>
          <w:rFonts w:hint="eastAsia"/>
          <w:color w:val="000000" w:themeColor="text1"/>
          <w14:textFill>
            <w14:solidFill>
              <w14:schemeClr w14:val="tx1"/>
            </w14:solidFill>
          </w14:textFill>
        </w:rPr>
        <w:t>6、磋商响应文件格式中的表格式样可以根据项目差别做适当调整,但应当保</w:t>
      </w:r>
      <w:r>
        <w:rPr>
          <w:rFonts w:hint="eastAsia" w:cs="宋体"/>
          <w:color w:val="000000" w:themeColor="text1"/>
          <w14:textFill>
            <w14:solidFill>
              <w14:schemeClr w14:val="tx1"/>
            </w14:solidFill>
          </w14:textFill>
        </w:rPr>
        <w:t>持表格样式基本形态不变。</w:t>
      </w:r>
    </w:p>
    <w:p>
      <w:pPr>
        <w:pStyle w:val="2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szCs w:val="20"/>
          <w14:textFill>
            <w14:solidFill>
              <w14:schemeClr w14:val="tx1"/>
            </w14:solidFill>
          </w14:textFill>
        </w:rPr>
        <w:t>▲8</w:t>
      </w:r>
      <w:r>
        <w:rPr>
          <w:rFonts w:hint="eastAsia" w:ascii="宋体" w:hAnsi="宋体" w:cs="宋体"/>
          <w:b/>
          <w:bCs/>
          <w:color w:val="000000" w:themeColor="text1"/>
          <w:sz w:val="24"/>
          <w:szCs w:val="20"/>
          <w:lang w:eastAsia="zh-Hans"/>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pPr>
        <w:pStyle w:val="5"/>
        <w:keepNext w:val="0"/>
        <w:keepLines w:val="0"/>
        <w:tabs>
          <w:tab w:val="left" w:pos="851"/>
        </w:tabs>
        <w:autoSpaceDE w:val="0"/>
        <w:autoSpaceDN w:val="0"/>
        <w:adjustRightInd w:val="0"/>
        <w:snapToGrid w:val="0"/>
        <w:spacing w:before="0" w:after="0"/>
        <w:ind w:firstLine="482"/>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r>
        <w:rPr>
          <w:rFonts w:hint="eastAsia" w:ascii="宋体" w:hAnsi="宋体" w:eastAsia="宋体"/>
          <w:b w:val="0"/>
          <w:bCs w:val="0"/>
          <w:color w:val="000000" w:themeColor="text1"/>
          <w:sz w:val="24"/>
          <w:szCs w:val="24"/>
          <w14:textFill>
            <w14:solidFill>
              <w14:schemeClr w14:val="tx1"/>
            </w14:solidFill>
          </w14:textFill>
        </w:rPr>
        <w:t>、本项目不允许转包</w:t>
      </w:r>
      <w:r>
        <w:rPr>
          <w:rFonts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szCs w:val="24"/>
          <w14:textFill>
            <w14:solidFill>
              <w14:schemeClr w14:val="tx1"/>
            </w14:solidFill>
          </w14:textFill>
        </w:rPr>
        <w:t>分包。</w:t>
      </w:r>
    </w:p>
    <w:p>
      <w:pPr>
        <w:pStyle w:val="5"/>
        <w:keepNext w:val="0"/>
        <w:keepLines w:val="0"/>
        <w:tabs>
          <w:tab w:val="left" w:pos="851"/>
        </w:tabs>
        <w:autoSpaceDE w:val="0"/>
        <w:autoSpaceDN w:val="0"/>
        <w:adjustRightInd w:val="0"/>
        <w:snapToGrid w:val="0"/>
        <w:spacing w:before="0" w:after="0"/>
        <w:ind w:left="0" w:leftChars="0" w:firstLine="720" w:firstLineChars="300"/>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10、根据《政府采购促进中小企业发展管理办法》，在政府采购活动中，在货物采购项目中，货物由中小企业制造，即货物由中小企业生产且使用该中小企业商号或者注册商，享受本办法规定的中小企业扶持政策：供应商提供的货物既有中小企业制造货物，也有大型企业制造货物的不享受本办法规定的中小企业扶持政策。故，参与本项目的中小企业，应当保证其提供的货物全部来自中小企业（如非提供自产货物的，应当在《中小企业声明函》中明确货物是否来源于中小企业，并对其真实性负责）。</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二、磋商响应文件</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（一）磋商响应文件的组成</w:t>
      </w:r>
    </w:p>
    <w:p>
      <w:pPr>
        <w:snapToGrid w:val="0"/>
        <w:spacing w:line="360" w:lineRule="auto"/>
        <w:ind w:firstLine="480" w:firstLineChars="200"/>
        <w:rPr>
          <w:rFonts w:ascii="宋体" w:hAnsi="宋体" w:cs="仿宋_GB2312"/>
          <w:color w:val="000000" w:themeColor="text1"/>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供应商应仔细阅读磋商采购文件的所有内容，按磋商采购文件的要求，详细编制磋商响应文件</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kern w:val="0"/>
          <w:sz w:val="24"/>
          <w:lang w:val="zh-CN"/>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特别提示：如有要求提供资料原件的，相关原件需清晰扫描在投标文件中</w:t>
      </w:r>
      <w:r>
        <w:rPr>
          <w:rFonts w:hint="eastAsia" w:ascii="宋体" w:hAnsi="宋体"/>
          <w:color w:val="000000" w:themeColor="text1"/>
          <w:kern w:val="0"/>
          <w:sz w:val="24"/>
          <w:lang w:val="zh-CN"/>
          <w14:textFill>
            <w14:solidFill>
              <w14:schemeClr w14:val="tx1"/>
            </w14:solidFill>
          </w14:textFill>
        </w:rPr>
        <w:t>】</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1、资格证明内容的组成：</w:t>
      </w:r>
    </w:p>
    <w:p>
      <w:pPr>
        <w:pStyle w:val="25"/>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（1）磋商声明书；</w:t>
      </w:r>
    </w:p>
    <w:p>
      <w:pPr>
        <w:widowControl/>
        <w:spacing w:line="360" w:lineRule="auto"/>
        <w:ind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（2）授权委托书或法定代表人证明书（适用法定代表人亲自参加的）；</w:t>
      </w:r>
    </w:p>
    <w:p>
      <w:pPr>
        <w:widowControl/>
        <w:spacing w:line="360" w:lineRule="auto"/>
        <w:ind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（3）在中华人民共和国境内注册的法人或者其他组织的营业执照等证明文件，自然人的身份证明；</w:t>
      </w:r>
    </w:p>
    <w:p>
      <w:pPr>
        <w:widowControl/>
        <w:spacing w:line="360" w:lineRule="auto"/>
        <w:ind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符合参与政府采购活动的资格条件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具备良好的商业信誉和健全的财务会计制度并且没有税收缴纳、社会保障等方面的失信记录的承诺函；</w:t>
      </w:r>
    </w:p>
    <w:p>
      <w:pPr>
        <w:widowControl/>
        <w:spacing w:line="360" w:lineRule="auto"/>
        <w:ind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（5）具备履行合同所必需的设备和专业技术能力的承诺函；</w:t>
      </w:r>
    </w:p>
    <w:p>
      <w:pPr>
        <w:widowControl/>
        <w:spacing w:line="360" w:lineRule="auto"/>
        <w:ind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（6）中小企业声明函等政府采购优惠政策相关资料；</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）提供采购公告中符合供应商特定条件的有效资质证书复印件（磋商供应商特定条件中有要求的必须提供），以及需要说明的其他资料；</w:t>
      </w:r>
    </w:p>
    <w:p>
      <w:pPr>
        <w:snapToGrid w:val="0"/>
        <w:spacing w:line="360" w:lineRule="auto"/>
        <w:ind w:firstLine="482" w:firstLineChars="200"/>
        <w:rPr>
          <w:rFonts w:ascii="宋体" w:hAnsi="宋体" w:cs="宋体"/>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2、商务与技术内容的组成：</w:t>
      </w:r>
    </w:p>
    <w:p>
      <w:pPr>
        <w:pStyle w:val="8"/>
        <w:adjustRightInd w:val="0"/>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（1）供应商情况介绍（企业情况介绍）</w:t>
      </w:r>
      <w:r>
        <w:rPr>
          <w:rFonts w:hint="eastAsia" w:ascii="宋体" w:hAnsi="宋体" w:cs="宋体"/>
          <w:color w:val="000000" w:themeColor="text1"/>
          <w:sz w:val="24"/>
          <w14:textFill>
            <w14:solidFill>
              <w14:schemeClr w14:val="tx1"/>
            </w14:solidFill>
          </w14:textFill>
        </w:rPr>
        <w:t>；</w:t>
      </w:r>
    </w:p>
    <w:p>
      <w:pPr>
        <w:pStyle w:val="8"/>
        <w:snapToGrid w:val="0"/>
        <w:spacing w:line="312"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w:t>
      </w:r>
      <w:r>
        <w:rPr>
          <w:rFonts w:ascii="宋体" w:hAnsi="宋体" w:cs="宋体"/>
          <w:color w:val="000000" w:themeColor="text1"/>
          <w:sz w:val="24"/>
          <w14:textFill>
            <w14:solidFill>
              <w14:schemeClr w14:val="tx1"/>
            </w14:solidFill>
          </w14:textFill>
        </w:rPr>
        <w:t>通过的</w:t>
      </w:r>
      <w:r>
        <w:rPr>
          <w:rFonts w:hint="eastAsia" w:ascii="宋体" w:hAnsi="宋体" w:cs="宋体"/>
          <w:color w:val="000000" w:themeColor="text1"/>
          <w:sz w:val="24"/>
          <w14:textFill>
            <w14:solidFill>
              <w14:schemeClr w14:val="tx1"/>
            </w14:solidFill>
          </w14:textFill>
        </w:rPr>
        <w:t>质量管理和</w:t>
      </w:r>
      <w:r>
        <w:rPr>
          <w:rFonts w:ascii="宋体" w:hAnsi="宋体" w:cs="宋体"/>
          <w:color w:val="000000" w:themeColor="text1"/>
          <w:sz w:val="24"/>
          <w14:textFill>
            <w14:solidFill>
              <w14:schemeClr w14:val="tx1"/>
            </w14:solidFill>
          </w14:textFill>
        </w:rPr>
        <w:t>质量</w:t>
      </w:r>
      <w:r>
        <w:rPr>
          <w:rFonts w:hint="eastAsia" w:ascii="宋体" w:hAnsi="宋体" w:cs="宋体"/>
          <w:color w:val="000000" w:themeColor="text1"/>
          <w:sz w:val="24"/>
          <w14:textFill>
            <w14:solidFill>
              <w14:schemeClr w14:val="tx1"/>
            </w14:solidFill>
          </w14:textFill>
        </w:rPr>
        <w:t>保证</w:t>
      </w:r>
      <w:r>
        <w:rPr>
          <w:rFonts w:ascii="宋体" w:hAnsi="宋体" w:cs="宋体"/>
          <w:color w:val="000000" w:themeColor="text1"/>
          <w:sz w:val="24"/>
          <w14:textFill>
            <w14:solidFill>
              <w14:schemeClr w14:val="tx1"/>
            </w14:solidFill>
          </w14:textFill>
        </w:rPr>
        <w:t>体系、环保体系、</w:t>
      </w:r>
      <w:r>
        <w:rPr>
          <w:rFonts w:hint="eastAsia" w:ascii="宋体" w:hAnsi="宋体" w:cs="宋体"/>
          <w:color w:val="000000" w:themeColor="text1"/>
          <w:sz w:val="24"/>
          <w14:textFill>
            <w14:solidFill>
              <w14:schemeClr w14:val="tx1"/>
            </w14:solidFill>
          </w14:textFill>
        </w:rPr>
        <w:t>自主创新相关证书、软件著作权证等等与本项目相关</w:t>
      </w:r>
      <w:r>
        <w:rPr>
          <w:rFonts w:ascii="宋体" w:hAnsi="宋体" w:cs="宋体"/>
          <w:color w:val="000000" w:themeColor="text1"/>
          <w:sz w:val="24"/>
          <w14:textFill>
            <w14:solidFill>
              <w14:schemeClr w14:val="tx1"/>
            </w14:solidFill>
          </w14:textFill>
        </w:rPr>
        <w:t>的认证证书</w:t>
      </w:r>
      <w:r>
        <w:rPr>
          <w:rFonts w:hint="eastAsia" w:ascii="宋体" w:hAnsi="宋体" w:cs="宋体"/>
          <w:color w:val="000000" w:themeColor="text1"/>
          <w:sz w:val="24"/>
          <w14:textFill>
            <w14:solidFill>
              <w14:schemeClr w14:val="tx1"/>
            </w14:solidFill>
          </w14:textFill>
        </w:rPr>
        <w:t>或文件；</w:t>
      </w:r>
    </w:p>
    <w:p>
      <w:pPr>
        <w:pStyle w:val="8"/>
        <w:adjustRightInd w:val="0"/>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（3）近三年来项目的成功案例（投标人类似项目实施情况一览表、合同复印件及其相应的发票、用户验收报告等）</w:t>
      </w:r>
      <w:r>
        <w:rPr>
          <w:rFonts w:hint="eastAsia" w:ascii="宋体" w:hAnsi="宋体" w:cs="宋体"/>
          <w:color w:val="000000" w:themeColor="text1"/>
          <w:sz w:val="24"/>
          <w14:textFill>
            <w14:solidFill>
              <w14:schemeClr w14:val="tx1"/>
            </w14:solidFill>
          </w14:textFill>
        </w:rPr>
        <w:t>；</w:t>
      </w:r>
    </w:p>
    <w:p>
      <w:pPr>
        <w:pStyle w:val="8"/>
        <w:adjustRightInd w:val="0"/>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（4）磋商响应方案描述：</w:t>
      </w:r>
    </w:p>
    <w:p>
      <w:pPr>
        <w:pStyle w:val="8"/>
        <w:adjustRightInd w:val="0"/>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项目背景、需求的理解与分析(供应商对项目背景、现状及需求的理解情况，对项目现状和需求描述的全面性、准确性、针对性，项目功能设计完备、对系统各组成部分等功能进行准确的分析，对项目重点、难点的把握，解决方案及合理化建议)。</w:t>
      </w:r>
    </w:p>
    <w:p>
      <w:pPr>
        <w:pStyle w:val="8"/>
        <w:widowControl/>
        <w:adjustRightInd w:val="0"/>
        <w:snapToGrid w:val="0"/>
        <w:spacing w:line="360" w:lineRule="auto"/>
        <w:ind w:left="218" w:leftChars="104"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B.项目组织实施方案（包括项目工期、确保项目实施的措施或方案、项目实施进度安排、项目实施人员及项目负责人的资质、类似经验及社保证明等）。</w:t>
      </w:r>
    </w:p>
    <w:p>
      <w:pPr>
        <w:pStyle w:val="8"/>
        <w:widowControl/>
        <w:adjustRightInd w:val="0"/>
        <w:snapToGrid w:val="0"/>
        <w:spacing w:line="360" w:lineRule="auto"/>
        <w:ind w:firstLine="660" w:firstLineChars="275"/>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w:t>
      </w:r>
      <w:r>
        <w:rPr>
          <w:rFonts w:ascii="宋体" w:hAnsi="宋体"/>
          <w:color w:val="000000" w:themeColor="text1"/>
          <w:kern w:val="0"/>
          <w:sz w:val="24"/>
          <w:szCs w:val="24"/>
          <w14:textFill>
            <w14:solidFill>
              <w14:schemeClr w14:val="tx1"/>
            </w14:solidFill>
          </w14:textFill>
        </w:rPr>
        <w:t>验收方案</w:t>
      </w:r>
      <w:r>
        <w:rPr>
          <w:rFonts w:hint="eastAsia" w:ascii="宋体" w:hAnsi="宋体"/>
          <w:color w:val="000000" w:themeColor="text1"/>
          <w:kern w:val="0"/>
          <w:sz w:val="24"/>
          <w:szCs w:val="24"/>
          <w14:textFill>
            <w14:solidFill>
              <w14:schemeClr w14:val="tx1"/>
            </w14:solidFill>
          </w14:textFill>
        </w:rPr>
        <w:t>（包括项目验收标准和验收方法等）</w:t>
      </w:r>
      <w:r>
        <w:rPr>
          <w:rFonts w:hint="eastAsia" w:ascii="宋体" w:hAnsi="宋体"/>
          <w:color w:val="000000" w:themeColor="text1"/>
          <w:sz w:val="24"/>
          <w:szCs w:val="24"/>
          <w14:textFill>
            <w14:solidFill>
              <w14:schemeClr w14:val="tx1"/>
            </w14:solidFill>
          </w14:textFill>
        </w:rPr>
        <w:t>和措施；</w:t>
      </w:r>
    </w:p>
    <w:p>
      <w:pPr>
        <w:pStyle w:val="8"/>
        <w:adjustRightInd w:val="0"/>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）本地化服务方案和售后服务措施及承诺（售后技术服务方案、人员配备、</w:t>
      </w:r>
      <w:r>
        <w:rPr>
          <w:rFonts w:hint="eastAsia" w:ascii="宋体" w:hAnsi="宋体" w:cs="宋体"/>
          <w:color w:val="000000" w:themeColor="text1"/>
          <w:sz w:val="24"/>
          <w14:textFill>
            <w14:solidFill>
              <w14:schemeClr w14:val="tx1"/>
            </w14:solidFill>
          </w14:textFill>
        </w:rPr>
        <w:t>故障响应时间、技术培训方案等）。</w:t>
      </w:r>
    </w:p>
    <w:p>
      <w:pPr>
        <w:pStyle w:val="8"/>
        <w:adjustRightInd w:val="0"/>
        <w:snapToGrid w:val="0"/>
        <w:spacing w:line="312"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）供应商认为需要提供的其他资料（包括可能影响投标人商务与技术文件评分的各类证明材料）。</w:t>
      </w:r>
    </w:p>
    <w:p>
      <w:pPr>
        <w:pStyle w:val="8"/>
        <w:adjustRightInd w:val="0"/>
        <w:snapToGrid w:val="0"/>
        <w:spacing w:line="312" w:lineRule="auto"/>
        <w:ind w:firstLine="482" w:firstLineChars="200"/>
        <w:rPr>
          <w:rFonts w:ascii="宋体" w:hAnsi="宋体"/>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各投标人可结合需求和评分标准提供相关资料，格式可自拟。</w:t>
      </w:r>
    </w:p>
    <w:p>
      <w:pPr>
        <w:autoSpaceDE w:val="0"/>
        <w:autoSpaceDN w:val="0"/>
        <w:adjustRightInd w:val="0"/>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3、报价内容的组成</w:t>
      </w:r>
    </w:p>
    <w:p>
      <w:pPr>
        <w:pStyle w:val="25"/>
        <w:rPr>
          <w:color w:val="000000" w:themeColor="text1"/>
          <w14:textFill>
            <w14:solidFill>
              <w14:schemeClr w14:val="tx1"/>
            </w14:solidFill>
          </w14:textFill>
        </w:rPr>
      </w:pPr>
      <w:r>
        <w:rPr>
          <w:rFonts w:hint="eastAsia"/>
          <w:color w:val="000000" w:themeColor="text1"/>
          <w14:textFill>
            <w14:solidFill>
              <w14:schemeClr w14:val="tx1"/>
            </w14:solidFill>
          </w14:textFill>
        </w:rPr>
        <w:t>（1）报价内容由首次报价一览表、</w:t>
      </w:r>
      <w:bookmarkStart w:id="47" w:name="_Hlk62050721"/>
      <w:r>
        <w:rPr>
          <w:rFonts w:hint="eastAsia"/>
          <w:color w:val="000000" w:themeColor="text1"/>
          <w:kern w:val="0"/>
          <w14:textFill>
            <w14:solidFill>
              <w14:schemeClr w14:val="tx1"/>
            </w14:solidFill>
          </w14:textFill>
        </w:rPr>
        <w:t>报价明细表</w:t>
      </w:r>
      <w:bookmarkEnd w:id="47"/>
      <w:r>
        <w:rPr>
          <w:rFonts w:hint="eastAsia"/>
          <w:color w:val="000000" w:themeColor="text1"/>
          <w14:textFill>
            <w14:solidFill>
              <w14:schemeClr w14:val="tx1"/>
            </w14:solidFill>
          </w14:textFill>
        </w:rPr>
        <w:t>以及供应商认为其他需要说明的内容组成。</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此报价为供应商针对本项目报出的唯一的首次报价，包含其它一切所要涉及到的费用，有选择的报价将被拒绝。</w:t>
      </w:r>
    </w:p>
    <w:p>
      <w:pPr>
        <w:snapToGri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lang w:val="zh-CN"/>
          <w14:textFill>
            <w14:solidFill>
              <w14:schemeClr w14:val="tx1"/>
            </w14:solidFill>
          </w14:textFill>
        </w:rPr>
        <w:t>）总报价应当包括为完成本次项目所需一切费用及合同包含的所有风险责任等各项费用及不可预见费等所需的全部费用。</w:t>
      </w:r>
    </w:p>
    <w:p>
      <w:pPr>
        <w:snapToGri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相关报价单由于表达不清引起的后果由供应商负责。</w:t>
      </w:r>
    </w:p>
    <w:p>
      <w:pPr>
        <w:snapToGrid w:val="0"/>
        <w:spacing w:line="360" w:lineRule="auto"/>
        <w:ind w:left="480"/>
        <w:rPr>
          <w:rFonts w:ascii="宋体" w:hAnsi="宋体" w:cs="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（5）报价有关表格应按磋商采购文件中相关附表格式填写。</w:t>
      </w:r>
    </w:p>
    <w:p>
      <w:pPr>
        <w:numPr>
          <w:ilvl w:val="0"/>
          <w:numId w:val="2"/>
        </w:numPr>
        <w:snapToGrid w:val="0"/>
        <w:spacing w:line="360" w:lineRule="auto"/>
        <w:ind w:left="0" w:firstLine="482" w:firstLineChars="200"/>
        <w:rPr>
          <w:rFonts w:ascii="宋体" w:hAnsi="宋体" w:cs="宋体"/>
          <w:color w:val="000000" w:themeColor="text1"/>
          <w:sz w:val="24"/>
          <w:lang w:val="zh-CN"/>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磋商响应文件的制作、封装及递交要求</w:t>
      </w:r>
    </w:p>
    <w:p>
      <w:pPr>
        <w:autoSpaceDE w:val="0"/>
        <w:autoSpaceDN w:val="0"/>
        <w:adjustRightIn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1、磋商响应文件的制作要求</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（1）供应商应按照磋商响应文件组成内容及项目磋商需求制作磋商响应文件</w:t>
      </w:r>
      <w:r>
        <w:rPr>
          <w:rFonts w:hint="eastAsia" w:ascii="宋体" w:hAnsi="宋体"/>
          <w:color w:val="000000" w:themeColor="text1"/>
          <w:kern w:val="0"/>
          <w:sz w:val="24"/>
          <w14:textFill>
            <w14:solidFill>
              <w14:schemeClr w14:val="tx1"/>
            </w14:solidFill>
          </w14:textFill>
        </w:rPr>
        <w:t>。</w:t>
      </w:r>
    </w:p>
    <w:p>
      <w:pPr>
        <w:autoSpaceDE w:val="0"/>
        <w:autoSpaceDN w:val="0"/>
        <w:adjustRightIn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s="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供应商应对所提供的全部资料的真实性承担法律责任，磋商响应文件</w:t>
      </w:r>
      <w:r>
        <w:rPr>
          <w:rFonts w:hint="eastAsia" w:ascii="宋体" w:hAnsi="宋体"/>
          <w:color w:val="000000" w:themeColor="text1"/>
          <w:kern w:val="0"/>
          <w:sz w:val="24"/>
          <w:lang w:val="zh-CN"/>
          <w14:textFill>
            <w14:solidFill>
              <w14:schemeClr w14:val="tx1"/>
            </w14:solidFill>
          </w14:textFill>
        </w:rPr>
        <w:t>内容中有要求盖章或签字的地方，必须加盖</w:t>
      </w:r>
      <w:r>
        <w:rPr>
          <w:rFonts w:hint="eastAsia" w:ascii="宋体" w:hAnsi="宋体"/>
          <w:color w:val="000000" w:themeColor="text1"/>
          <w:sz w:val="24"/>
          <w14:textFill>
            <w14:solidFill>
              <w14:schemeClr w14:val="tx1"/>
            </w14:solidFill>
          </w14:textFill>
        </w:rPr>
        <w:t>磋商供应商</w:t>
      </w:r>
      <w:r>
        <w:rPr>
          <w:rFonts w:hint="eastAsia" w:ascii="宋体" w:hAnsi="宋体"/>
          <w:color w:val="000000" w:themeColor="text1"/>
          <w:kern w:val="0"/>
          <w:sz w:val="24"/>
          <w:lang w:val="zh-CN"/>
          <w14:textFill>
            <w14:solidFill>
              <w14:schemeClr w14:val="tx1"/>
            </w14:solidFill>
          </w14:textFill>
        </w:rPr>
        <w:t>的公章以及法定代表人或授权代表的盖章或签字，其中</w:t>
      </w:r>
      <w:r>
        <w:rPr>
          <w:rFonts w:hint="eastAsia" w:ascii="宋体" w:hAnsi="宋体"/>
          <w:color w:val="000000" w:themeColor="text1"/>
          <w:sz w:val="24"/>
          <w14:textFill>
            <w14:solidFill>
              <w14:schemeClr w14:val="tx1"/>
            </w14:solidFill>
          </w14:textFill>
        </w:rPr>
        <w:t>所有证书类文件提供的复印件</w:t>
      </w:r>
      <w:r>
        <w:rPr>
          <w:rFonts w:hint="eastAsia" w:ascii="宋体" w:hAnsi="宋体"/>
          <w:color w:val="000000" w:themeColor="text1"/>
          <w:kern w:val="0"/>
          <w:sz w:val="24"/>
          <w14:textFill>
            <w14:solidFill>
              <w14:schemeClr w14:val="tx1"/>
            </w14:solidFill>
          </w14:textFill>
        </w:rPr>
        <w:t>必须全部加盖单位公章且</w:t>
      </w:r>
      <w:r>
        <w:rPr>
          <w:rFonts w:hint="eastAsia" w:ascii="宋体" w:hAnsi="宋体"/>
          <w:color w:val="000000" w:themeColor="text1"/>
          <w:sz w:val="24"/>
          <w14:textFill>
            <w14:solidFill>
              <w14:schemeClr w14:val="tx1"/>
            </w14:solidFill>
          </w14:textFill>
        </w:rPr>
        <w:t>必须在有效期内的。</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lang w:val="zh-CN"/>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磋商响应文件以及磋商供应商与采购组织机构就有关磋商事宜的所有来往函电，均应以中文汉语书写。除签字、盖章、专用名称等特殊情形外，以中文汉语以外的文字表述的磋商响应文件视同未提供。</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磋商计量单位，</w:t>
      </w:r>
      <w:r>
        <w:rPr>
          <w:rFonts w:hint="eastAsia" w:ascii="宋体" w:hAnsi="宋体"/>
          <w:bCs/>
          <w:color w:val="000000" w:themeColor="text1"/>
          <w:sz w:val="24"/>
          <w14:textFill>
            <w14:solidFill>
              <w14:schemeClr w14:val="tx1"/>
            </w14:solidFill>
          </w14:textFill>
        </w:rPr>
        <w:t>磋商采购文件</w:t>
      </w:r>
      <w:r>
        <w:rPr>
          <w:rFonts w:hint="eastAsia" w:ascii="宋体" w:hAnsi="宋体"/>
          <w:color w:val="000000" w:themeColor="text1"/>
          <w:sz w:val="24"/>
          <w14:textFill>
            <w14:solidFill>
              <w14:schemeClr w14:val="tx1"/>
            </w14:solidFill>
          </w14:textFill>
        </w:rPr>
        <w:t>已有明确规定的，使用</w:t>
      </w:r>
      <w:r>
        <w:rPr>
          <w:rFonts w:hint="eastAsia" w:ascii="宋体" w:hAnsi="宋体"/>
          <w:bCs/>
          <w:color w:val="000000" w:themeColor="text1"/>
          <w:sz w:val="24"/>
          <w14:textFill>
            <w14:solidFill>
              <w14:schemeClr w14:val="tx1"/>
            </w14:solidFill>
          </w14:textFill>
        </w:rPr>
        <w:t>磋商采购文件</w:t>
      </w:r>
      <w:r>
        <w:rPr>
          <w:rFonts w:hint="eastAsia" w:ascii="宋体" w:hAnsi="宋体"/>
          <w:color w:val="000000" w:themeColor="text1"/>
          <w:sz w:val="24"/>
          <w14:textFill>
            <w14:solidFill>
              <w14:schemeClr w14:val="tx1"/>
            </w14:solidFill>
          </w14:textFill>
        </w:rPr>
        <w:t>规定的计量单位；</w:t>
      </w:r>
      <w:r>
        <w:rPr>
          <w:rFonts w:hint="eastAsia" w:ascii="宋体" w:hAnsi="宋体"/>
          <w:bCs/>
          <w:color w:val="000000" w:themeColor="text1"/>
          <w:sz w:val="24"/>
          <w14:textFill>
            <w14:solidFill>
              <w14:schemeClr w14:val="tx1"/>
            </w14:solidFill>
          </w14:textFill>
        </w:rPr>
        <w:t>磋商采购文件</w:t>
      </w:r>
      <w:r>
        <w:rPr>
          <w:rFonts w:hint="eastAsia" w:ascii="宋体" w:hAnsi="宋体"/>
          <w:color w:val="000000" w:themeColor="text1"/>
          <w:sz w:val="24"/>
          <w14:textFill>
            <w14:solidFill>
              <w14:schemeClr w14:val="tx1"/>
            </w14:solidFill>
          </w14:textFill>
        </w:rPr>
        <w:t>没有规定的，应采用中华人民共和国法定计量单位（货币单位：人民币元），否则视同未响应。</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（5）若磋商供应商不按采购文件的要求提供资格审查材料，其风险由磋商供应商自行承担。</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与本次磋商无关的内容请不要制作在内，确保磋商响应文件有针对性、简洁明了。</w:t>
      </w:r>
    </w:p>
    <w:p>
      <w:pPr>
        <w:autoSpaceDE w:val="0"/>
        <w:autoSpaceDN w:val="0"/>
        <w:adjustRightInd w:val="0"/>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2、电子投标文件、电子备份投标文件制作要求</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w:t>
      </w:r>
      <w:r>
        <w:rPr>
          <w:rFonts w:hint="eastAsia" w:ascii="宋体" w:hAnsi="宋体"/>
          <w:b/>
          <w:bCs/>
          <w:color w:val="000000" w:themeColor="text1"/>
          <w:sz w:val="24"/>
          <w14:textFill>
            <w14:solidFill>
              <w14:schemeClr w14:val="tx1"/>
            </w14:solidFill>
          </w14:textFill>
        </w:rPr>
        <w:t>关联定位</w:t>
      </w:r>
      <w:r>
        <w:rPr>
          <w:rFonts w:hint="eastAsia" w:ascii="宋体" w:hAnsi="宋体"/>
          <w:color w:val="000000" w:themeColor="text1"/>
          <w:sz w:val="24"/>
          <w14:textFill>
            <w14:solidFill>
              <w14:schemeClr w14:val="tx1"/>
            </w14:solidFill>
          </w14:textFill>
        </w:rPr>
        <w:t>，以便评标委员会在评标时，点击评分项可直接定位到该评分项内容。如对招标文件的某项要求，投标人的电子投标文件（电子备份投标文件）未能关联定位提供相应的内容与其对应，则评标委员会在评审时如做出对投标人不利的评审由投标人自行承担。</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（2）电子投标文件、电子备份投标文件如内容不完整、编排混乱导致投标文件被误读、漏读，或者在按采购文件规定的部位查找不到相关内容的，由投标人自行承担。</w:t>
      </w:r>
    </w:p>
    <w:p>
      <w:pPr>
        <w:autoSpaceDE w:val="0"/>
        <w:autoSpaceDN w:val="0"/>
        <w:adjustRightInd w:val="0"/>
        <w:spacing w:line="360" w:lineRule="auto"/>
        <w:ind w:firstLine="482" w:firstLineChars="200"/>
        <w:rPr>
          <w:rFonts w:ascii="宋体" w:hAnsi="宋体"/>
          <w:color w:val="000000" w:themeColor="text1"/>
          <w:sz w:val="24"/>
          <w14:textFill>
            <w14:solidFill>
              <w14:schemeClr w14:val="tx1"/>
            </w14:solidFill>
          </w14:textFill>
        </w:rPr>
      </w:pPr>
      <w:bookmarkStart w:id="48" w:name="_Hlk52196655"/>
      <w:r>
        <w:rPr>
          <w:rFonts w:hint="eastAsia" w:ascii="宋体" w:hAnsi="宋体"/>
          <w:b/>
          <w:bCs/>
          <w:color w:val="000000" w:themeColor="text1"/>
          <w:sz w:val="24"/>
          <w14:textFill>
            <w14:solidFill>
              <w14:schemeClr w14:val="tx1"/>
            </w14:solidFill>
          </w14:textFill>
        </w:rPr>
        <w:t>温馨提醒：</w:t>
      </w:r>
      <w:r>
        <w:rPr>
          <w:rFonts w:hint="eastAsia" w:ascii="宋体" w:hAnsi="宋体"/>
          <w:color w:val="000000" w:themeColor="text1"/>
          <w:sz w:val="24"/>
          <w14:textFill>
            <w14:solidFill>
              <w14:schemeClr w14:val="tx1"/>
            </w14:solidFill>
          </w14:textFill>
        </w:rPr>
        <w:t>CA签章上目前没有法人或授权代表签字信息，需要投标人联系浙江杭州汇信科技有限公司（400-8884636）等相应公司进行办理，或在投标文件中涉及到签字的位置线下签好字然后扫描或者拍照做成PDF的格式亦可。</w:t>
      </w:r>
      <w:bookmarkEnd w:id="48"/>
    </w:p>
    <w:p>
      <w:pPr>
        <w:autoSpaceDE w:val="0"/>
        <w:autoSpaceDN w:val="0"/>
        <w:adjustRightInd w:val="0"/>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3、磋商响应文件的封装要求</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（1）磋商文件制作完成并生成标书，在开标前，供应商需将磋商响应文件上传至政采云平台，到达开标时间后，解密磋商文件，采购组织机构对磋商响应文件的误投和供应商操作失误造成的提前启封不负责任。</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（2）所有磋商响应资料按磋商采购文件的组成所列内容及顺序编制，</w:t>
      </w:r>
      <w:r>
        <w:rPr>
          <w:rFonts w:hint="eastAsia" w:ascii="宋体" w:hAnsi="宋体"/>
          <w:color w:val="000000" w:themeColor="text1"/>
          <w:sz w:val="24"/>
          <w:lang w:val="zh-CN"/>
          <w14:textFill>
            <w14:solidFill>
              <w14:schemeClr w14:val="tx1"/>
            </w14:solidFill>
          </w14:textFill>
        </w:rPr>
        <w:t>并逐页连续标注页码。因磋商响应文件内容不完整、编排混乱导致磋商响应文件被误读、漏读或者查找不到相关内容的责任由供应商自行承担。</w:t>
      </w:r>
    </w:p>
    <w:p>
      <w:pPr>
        <w:autoSpaceDE w:val="0"/>
        <w:autoSpaceDN w:val="0"/>
        <w:adjustRightIn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zh-CN"/>
          <w14:textFill>
            <w14:solidFill>
              <w14:schemeClr w14:val="tx1"/>
            </w14:solidFill>
          </w14:textFill>
        </w:rPr>
        <w:t>因密封不严、标记不明而造成失密、拒收、过早启封等情况，采购组织机构概不负责。</w:t>
      </w:r>
    </w:p>
    <w:p>
      <w:pPr>
        <w:autoSpaceDE w:val="0"/>
        <w:autoSpaceDN w:val="0"/>
        <w:adjustRightInd w:val="0"/>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kern w:val="0"/>
          <w:sz w:val="24"/>
          <w14:textFill>
            <w14:solidFill>
              <w14:schemeClr w14:val="tx1"/>
            </w14:solidFill>
          </w14:textFill>
        </w:rPr>
        <w:t>4</w:t>
      </w:r>
      <w:r>
        <w:rPr>
          <w:rFonts w:hint="eastAsia" w:ascii="宋体" w:hAnsi="宋体"/>
          <w:b/>
          <w:color w:val="000000" w:themeColor="text1"/>
          <w:kern w:val="0"/>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磋商响应文件的递交要求</w:t>
      </w:r>
    </w:p>
    <w:p>
      <w:pPr>
        <w:autoSpaceDE w:val="0"/>
        <w:autoSpaceDN w:val="0"/>
        <w:adjustRightIn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（1）磋商响应文件必须在规定时间前上传至政采云系统。</w:t>
      </w:r>
      <w:r>
        <w:rPr>
          <w:rFonts w:hint="eastAsia" w:ascii="宋体" w:hAnsi="宋体" w:eastAsia="宋体" w:cs="宋体"/>
          <w:color w:val="000000" w:themeColor="text1"/>
          <w:vertAlign w:val="baseline"/>
          <w:lang w:val="en-US" w:eastAsia="zh-CN"/>
          <w14:textFill>
            <w14:solidFill>
              <w14:schemeClr w14:val="tx1"/>
            </w14:solidFill>
          </w14:textFill>
        </w:rPr>
        <w:t>▲</w:t>
      </w:r>
      <w:r>
        <w:rPr>
          <w:rFonts w:hint="eastAsia" w:ascii="宋体" w:hAnsi="宋体"/>
          <w:color w:val="000000" w:themeColor="text1"/>
          <w:kern w:val="0"/>
          <w:sz w:val="24"/>
          <w:lang w:val="zh-CN"/>
          <w14:textFill>
            <w14:solidFill>
              <w14:schemeClr w14:val="tx1"/>
            </w14:solidFill>
          </w14:textFill>
        </w:rPr>
        <w:t>磋商响应文件在截止时间后提交，采购组织机构将拒绝接收。</w:t>
      </w:r>
    </w:p>
    <w:p>
      <w:pPr>
        <w:tabs>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（2）如有特殊情况，采购组织机构延长截止时间和磋商时间，采购组织机构和供应商的权利和义务将受到新的截止时间和磋商时间的约束。</w:t>
      </w:r>
    </w:p>
    <w:p>
      <w:pPr>
        <w:tabs>
          <w:tab w:val="left" w:pos="1898"/>
        </w:tabs>
        <w:autoSpaceDE w:val="0"/>
        <w:autoSpaceDN w:val="0"/>
        <w:adjustRightInd w:val="0"/>
        <w:spacing w:line="360" w:lineRule="auto"/>
        <w:ind w:firstLine="482" w:firstLineChars="200"/>
        <w:rPr>
          <w:rFonts w:ascii="宋体" w:hAns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5</w:t>
      </w:r>
      <w:r>
        <w:rPr>
          <w:rFonts w:hint="eastAsia" w:ascii="宋体" w:hAnsi="宋体"/>
          <w:b/>
          <w:color w:val="000000" w:themeColor="text1"/>
          <w:kern w:val="0"/>
          <w:sz w:val="24"/>
          <w14:textFill>
            <w14:solidFill>
              <w14:schemeClr w14:val="tx1"/>
            </w14:solidFill>
          </w14:textFill>
        </w:rPr>
        <w:t>、磋商响应文件的补充、修改和撤回。</w:t>
      </w:r>
    </w:p>
    <w:p>
      <w:pPr>
        <w:tabs>
          <w:tab w:val="left" w:pos="1418"/>
        </w:tabs>
        <w:autoSpaceDE w:val="0"/>
        <w:autoSpaceDN w:val="0"/>
        <w:adjustRightInd w:val="0"/>
        <w:spacing w:line="360" w:lineRule="auto"/>
        <w:ind w:firstLine="420" w:firstLineChars="200"/>
        <w:rPr>
          <w:rFonts w:ascii="宋体" w:hAnsi="宋体"/>
          <w:color w:val="000000" w:themeColor="text1"/>
          <w:kern w:val="0"/>
          <w:sz w:val="24"/>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（1）</w:t>
      </w:r>
      <w:r>
        <w:rPr>
          <w:rFonts w:hint="eastAsia" w:ascii="宋体" w:hAnsi="宋体"/>
          <w:b/>
          <w:color w:val="000000" w:themeColor="text1"/>
          <w:kern w:val="0"/>
          <w:sz w:val="24"/>
          <w14:textFill>
            <w14:solidFill>
              <w14:schemeClr w14:val="tx1"/>
            </w14:solidFill>
          </w14:textFill>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tabs>
          <w:tab w:val="left" w:pos="1418"/>
        </w:tabs>
        <w:autoSpaceDE w:val="0"/>
        <w:autoSpaceDN w:val="0"/>
        <w:adjustRightInd w:val="0"/>
        <w:spacing w:line="360" w:lineRule="auto"/>
        <w:ind w:firstLine="480" w:firstLineChars="200"/>
        <w:rPr>
          <w:rFonts w:ascii="宋体" w:hAnsi="宋体"/>
          <w:b/>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w:t>
      </w:r>
      <w:r>
        <w:rPr>
          <w:rFonts w:ascii="宋体" w:hAnsi="宋体"/>
          <w:b/>
          <w:color w:val="000000" w:themeColor="text1"/>
          <w:kern w:val="0"/>
          <w:sz w:val="24"/>
          <w14:textFill>
            <w14:solidFill>
              <w14:schemeClr w14:val="tx1"/>
            </w14:solidFill>
          </w14:textFill>
        </w:rPr>
        <w:t>投标截止时间后，投标供应商不得撤回、修改《</w:t>
      </w:r>
      <w:r>
        <w:rPr>
          <w:rFonts w:hint="eastAsia" w:ascii="宋体" w:hAnsi="宋体"/>
          <w:b/>
          <w:color w:val="000000" w:themeColor="text1"/>
          <w:kern w:val="0"/>
          <w:sz w:val="24"/>
          <w14:textFill>
            <w14:solidFill>
              <w14:schemeClr w14:val="tx1"/>
            </w14:solidFill>
          </w14:textFill>
        </w:rPr>
        <w:t>投标响应</w:t>
      </w:r>
      <w:r>
        <w:rPr>
          <w:rFonts w:ascii="宋体" w:hAnsi="宋体"/>
          <w:b/>
          <w:color w:val="000000" w:themeColor="text1"/>
          <w:kern w:val="0"/>
          <w:sz w:val="24"/>
          <w14:textFill>
            <w14:solidFill>
              <w14:schemeClr w14:val="tx1"/>
            </w14:solidFill>
          </w14:textFill>
        </w:rPr>
        <w:t>文件》</w:t>
      </w:r>
      <w:r>
        <w:rPr>
          <w:rFonts w:hint="eastAsia" w:ascii="宋体" w:hAnsi="宋体"/>
          <w:b/>
          <w:color w:val="000000" w:themeColor="text1"/>
          <w:kern w:val="0"/>
          <w:sz w:val="24"/>
          <w14:textFill>
            <w14:solidFill>
              <w14:schemeClr w14:val="tx1"/>
            </w14:solidFill>
          </w14:textFill>
        </w:rPr>
        <w:t>。</w:t>
      </w:r>
    </w:p>
    <w:p>
      <w:pPr>
        <w:tabs>
          <w:tab w:val="left" w:pos="1418"/>
        </w:tabs>
        <w:autoSpaceDE w:val="0"/>
        <w:autoSpaceDN w:val="0"/>
        <w:adjustRightInd w:val="0"/>
        <w:spacing w:line="360" w:lineRule="auto"/>
        <w:ind w:firstLine="482" w:firstLineChars="200"/>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（三）磋商响应文件的有效期</w:t>
      </w:r>
    </w:p>
    <w:p>
      <w:pPr>
        <w:pStyle w:val="7"/>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olor w:val="000000" w:themeColor="text1"/>
          <w:szCs w:val="24"/>
          <w:lang w:val="en-GB"/>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w:t>
      </w:r>
      <w:r>
        <w:rPr>
          <w:rFonts w:hint="eastAsia" w:ascii="宋体" w:hAnsi="宋体"/>
          <w:color w:val="000000" w:themeColor="text1"/>
          <w:szCs w:val="24"/>
          <w14:textFill>
            <w14:solidFill>
              <w14:schemeClr w14:val="tx1"/>
            </w14:solidFill>
          </w14:textFill>
        </w:rPr>
        <w:t>1.</w:t>
      </w:r>
      <w:r>
        <w:rPr>
          <w:rFonts w:hint="eastAsia" w:ascii="宋体" w:hAnsi="宋体"/>
          <w:color w:val="000000" w:themeColor="text1"/>
          <w:szCs w:val="24"/>
          <w:lang w:val="en-GB"/>
          <w14:textFill>
            <w14:solidFill>
              <w14:schemeClr w14:val="tx1"/>
            </w14:solidFill>
          </w14:textFill>
        </w:rPr>
        <w:t>自磋商响应截止日起90天磋商响应文件应保持有效。有效期不足的磋商响应文件将被拒绝。</w:t>
      </w:r>
    </w:p>
    <w:p>
      <w:pPr>
        <w:pStyle w:val="7"/>
        <w:widowControl w:val="0"/>
        <w:numPr>
          <w:ilvl w:val="0"/>
          <w:numId w:val="0"/>
        </w:numPr>
        <w:tabs>
          <w:tab w:val="left" w:pos="0"/>
          <w:tab w:val="left" w:pos="1200"/>
          <w:tab w:val="clear" w:pos="454"/>
        </w:tabs>
        <w:snapToGrid w:val="0"/>
        <w:spacing w:afterLines="0" w:line="360" w:lineRule="auto"/>
        <w:ind w:firstLine="480" w:firstLineChars="20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2.在特殊情况下，采购人可与磋商供应商协商延长磋商响应文件的有效期，这种要求和答复均以书面形式进行。</w:t>
      </w:r>
    </w:p>
    <w:p>
      <w:pPr>
        <w:snapToGrid w:val="0"/>
        <w:spacing w:line="360" w:lineRule="auto"/>
        <w:ind w:firstLine="420" w:firstLineChars="200"/>
        <w:jc w:val="left"/>
        <w:outlineLvl w:val="0"/>
        <w:rPr>
          <w:rFonts w:ascii="宋体" w:hAnsi="宋体"/>
          <w:color w:val="000000" w:themeColor="text1"/>
          <w:kern w:val="0"/>
          <w:sz w:val="24"/>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w:t>
      </w: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.成交供应商的</w:t>
      </w:r>
      <w:r>
        <w:rPr>
          <w:rFonts w:hint="eastAsia" w:ascii="宋体" w:hAnsi="宋体"/>
          <w:color w:val="000000" w:themeColor="text1"/>
          <w:sz w:val="24"/>
          <w14:textFill>
            <w14:solidFill>
              <w14:schemeClr w14:val="tx1"/>
            </w14:solidFill>
          </w14:textFill>
        </w:rPr>
        <w:t>磋商响应文件</w:t>
      </w:r>
      <w:r>
        <w:rPr>
          <w:rFonts w:hint="eastAsia" w:ascii="宋体" w:hAnsi="宋体"/>
          <w:color w:val="000000" w:themeColor="text1"/>
          <w:kern w:val="0"/>
          <w:sz w:val="24"/>
          <w14:textFill>
            <w14:solidFill>
              <w14:schemeClr w14:val="tx1"/>
            </w14:solidFill>
          </w14:textFill>
        </w:rPr>
        <w:t>自磋商之日起至合同履行完毕均应保持有效。</w:t>
      </w:r>
    </w:p>
    <w:p>
      <w:pPr>
        <w:tabs>
          <w:tab w:val="left" w:pos="1418"/>
        </w:tabs>
        <w:autoSpaceDE w:val="0"/>
        <w:autoSpaceDN w:val="0"/>
        <w:adjustRightInd w:val="0"/>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三、磋商保证金</w:t>
      </w:r>
    </w:p>
    <w:p>
      <w:pPr>
        <w:tabs>
          <w:tab w:val="left" w:pos="1418"/>
        </w:tabs>
        <w:autoSpaceDE w:val="0"/>
        <w:autoSpaceDN w:val="0"/>
        <w:adjustRightInd w:val="0"/>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根据《浙江省财政厅关于明确政府采购保证金管理工作的通知》文件规定，不再收取磋商保证金</w:t>
      </w:r>
      <w:r>
        <w:rPr>
          <w:rFonts w:ascii="宋体" w:hAnsi="宋体" w:cs="宋体"/>
          <w:color w:val="000000" w:themeColor="text1"/>
          <w:sz w:val="24"/>
          <w:szCs w:val="32"/>
          <w14:textFill>
            <w14:solidFill>
              <w14:schemeClr w14:val="tx1"/>
            </w14:solidFill>
          </w14:textFill>
        </w:rPr>
        <w:t>。</w:t>
      </w:r>
    </w:p>
    <w:p>
      <w:pPr>
        <w:tabs>
          <w:tab w:val="left" w:pos="1418"/>
        </w:tabs>
        <w:autoSpaceDE w:val="0"/>
        <w:autoSpaceDN w:val="0"/>
        <w:adjustRightInd w:val="0"/>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但投标人有下列情形之一的，将视情节轻重予以处罚（处罚措施由招标人合理确定，若给招标人造成损失的，须承担所有损失赔偿，并上报采购监管机构进行处理）。</w:t>
      </w:r>
    </w:p>
    <w:p>
      <w:pPr>
        <w:tabs>
          <w:tab w:val="left" w:pos="1418"/>
        </w:tabs>
        <w:autoSpaceDE w:val="0"/>
        <w:autoSpaceDN w:val="0"/>
        <w:adjustRightInd w:val="0"/>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（1）投标人在截止时间后至投标有效期内无故撤回投标文件或放弃中标资格的；</w:t>
      </w:r>
    </w:p>
    <w:p>
      <w:pPr>
        <w:tabs>
          <w:tab w:val="left" w:pos="1418"/>
        </w:tabs>
        <w:autoSpaceDE w:val="0"/>
        <w:autoSpaceDN w:val="0"/>
        <w:adjustRightInd w:val="0"/>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（2）投标人在投标过程中弄虚作假，提供虚假材料的；</w:t>
      </w:r>
    </w:p>
    <w:p>
      <w:pPr>
        <w:tabs>
          <w:tab w:val="left" w:pos="1418"/>
        </w:tabs>
        <w:autoSpaceDE w:val="0"/>
        <w:autoSpaceDN w:val="0"/>
        <w:adjustRightInd w:val="0"/>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（3）与采购人另行订立背离合同实质性内容的协议的；</w:t>
      </w:r>
    </w:p>
    <w:p>
      <w:pPr>
        <w:tabs>
          <w:tab w:val="left" w:pos="1418"/>
        </w:tabs>
        <w:autoSpaceDE w:val="0"/>
        <w:autoSpaceDN w:val="0"/>
        <w:adjustRightInd w:val="0"/>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（4）将中标项目转让或违规分包给他人；</w:t>
      </w:r>
    </w:p>
    <w:p>
      <w:pPr>
        <w:tabs>
          <w:tab w:val="left" w:pos="1418"/>
        </w:tabs>
        <w:autoSpaceDE w:val="0"/>
        <w:autoSpaceDN w:val="0"/>
        <w:adjustRightInd w:val="0"/>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（5）除因不可抗力或招标文件认可的情形以外，中标供应商不与采购人签订合同或拒绝履行合同义务的；</w:t>
      </w:r>
    </w:p>
    <w:p>
      <w:pPr>
        <w:tabs>
          <w:tab w:val="left" w:pos="1418"/>
        </w:tabs>
        <w:autoSpaceDE w:val="0"/>
        <w:autoSpaceDN w:val="0"/>
        <w:adjustRightInd w:val="0"/>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（6）供应商与采购人、其他供应商或者采购组织机构恶意串通的；</w:t>
      </w:r>
    </w:p>
    <w:p>
      <w:pPr>
        <w:tabs>
          <w:tab w:val="left" w:pos="1418"/>
        </w:tabs>
        <w:autoSpaceDE w:val="0"/>
        <w:autoSpaceDN w:val="0"/>
        <w:adjustRightInd w:val="0"/>
        <w:spacing w:line="360" w:lineRule="auto"/>
        <w:ind w:firstLine="480" w:firstLineChars="200"/>
        <w:rPr>
          <w:rFonts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（7）其他严重扰乱招投标程序的，法律、法规明确规定的其他行为。</w:t>
      </w:r>
    </w:p>
    <w:p>
      <w:pPr>
        <w:tabs>
          <w:tab w:val="left" w:pos="1418"/>
        </w:tabs>
        <w:autoSpaceDE w:val="0"/>
        <w:autoSpaceDN w:val="0"/>
        <w:adjustRightInd w:val="0"/>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四、磋商</w:t>
      </w:r>
    </w:p>
    <w:p>
      <w:pPr>
        <w:autoSpaceDE w:val="0"/>
        <w:autoSpaceDN w:val="0"/>
        <w:adjustRightInd w:val="0"/>
        <w:spacing w:line="360" w:lineRule="auto"/>
        <w:ind w:firstLine="482" w:firstLineChars="200"/>
        <w:rPr>
          <w:rFonts w:ascii="宋体" w:hAnsi="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（一）磋商程序</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1、采购组织机构将按照磋商文件规定的时间通过“政府采购云平台”组织开标、开启投标文件，所有供应商均应当准时在线参加。投标供应商</w:t>
      </w:r>
      <w:r>
        <w:rPr>
          <w:rFonts w:ascii="宋体" w:hAnsi="宋体"/>
          <w:color w:val="000000" w:themeColor="text1"/>
          <w:sz w:val="24"/>
          <w14:textFill>
            <w14:solidFill>
              <w14:schemeClr w14:val="tx1"/>
            </w14:solidFill>
          </w14:textFill>
        </w:rPr>
        <w:t>如不</w:t>
      </w:r>
      <w:r>
        <w:rPr>
          <w:rFonts w:hint="eastAsia" w:ascii="宋体" w:hAnsi="宋体"/>
          <w:color w:val="000000" w:themeColor="text1"/>
          <w:sz w:val="24"/>
          <w14:textFill>
            <w14:solidFill>
              <w14:schemeClr w14:val="tx1"/>
            </w14:solidFill>
          </w14:textFill>
        </w:rPr>
        <w:t>参加在线</w:t>
      </w:r>
      <w:r>
        <w:rPr>
          <w:rFonts w:ascii="宋体" w:hAnsi="宋体"/>
          <w:color w:val="000000" w:themeColor="text1"/>
          <w:sz w:val="24"/>
          <w14:textFill>
            <w14:solidFill>
              <w14:schemeClr w14:val="tx1"/>
            </w14:solidFill>
          </w14:textFill>
        </w:rPr>
        <w:t>开标大会的，</w:t>
      </w:r>
      <w:r>
        <w:rPr>
          <w:rFonts w:hint="eastAsia" w:ascii="宋体" w:hAnsi="宋体"/>
          <w:color w:val="000000" w:themeColor="text1"/>
          <w:sz w:val="24"/>
          <w14:textFill>
            <w14:solidFill>
              <w14:schemeClr w14:val="tx1"/>
            </w14:solidFill>
          </w14:textFill>
        </w:rPr>
        <w:t>视同认可开标结果，</w:t>
      </w:r>
      <w:r>
        <w:rPr>
          <w:rFonts w:ascii="宋体" w:hAnsi="宋体"/>
          <w:color w:val="000000" w:themeColor="text1"/>
          <w:sz w:val="24"/>
          <w14:textFill>
            <w14:solidFill>
              <w14:schemeClr w14:val="tx1"/>
            </w14:solidFill>
          </w14:textFill>
        </w:rPr>
        <w:t>事后不得对采购相关人员、开标过程和开标结果提出异议</w:t>
      </w:r>
      <w:r>
        <w:rPr>
          <w:rFonts w:hint="eastAsia" w:ascii="宋体" w:hAnsi="宋体"/>
          <w:color w:val="000000" w:themeColor="text1"/>
          <w:sz w:val="24"/>
          <w14:textFill>
            <w14:solidFill>
              <w14:schemeClr w14:val="tx1"/>
            </w14:solidFill>
          </w14:textFill>
        </w:rPr>
        <w:t>，同时投标供应商因未在线参加开标而导致投标文件无法按时解密等一切后果由供应商自行承担；</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2、采购组织机构工作人员应当核验出席磋商活动的各相关人员身份，并组织其分别登记、签到；</w:t>
      </w:r>
    </w:p>
    <w:p>
      <w:pPr>
        <w:pStyle w:val="17"/>
        <w:snapToGrid w:val="0"/>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、主持人向各投标人发出电子加密投标文件【开始解密】通知，由投标人按招标文件规定的时间内</w:t>
      </w:r>
      <w:r>
        <w:rPr>
          <w:rFonts w:hint="eastAsia" w:hAnsi="宋体"/>
          <w:b/>
          <w:bCs/>
          <w:color w:val="000000" w:themeColor="text1"/>
          <w:sz w:val="24"/>
          <w14:textFill>
            <w14:solidFill>
              <w14:schemeClr w14:val="tx1"/>
            </w14:solidFill>
          </w14:textFill>
        </w:rPr>
        <w:t>（30分钟内）</w:t>
      </w:r>
      <w:r>
        <w:rPr>
          <w:rFonts w:hint="eastAsia" w:hAnsi="宋体"/>
          <w:color w:val="000000" w:themeColor="text1"/>
          <w:sz w:val="24"/>
          <w14:textFill>
            <w14:solidFill>
              <w14:schemeClr w14:val="tx1"/>
            </w14:solidFill>
          </w14:textFill>
        </w:rPr>
        <w:t>自行进行投标文件解密。投标文件的制作和解密应使用同一个数字证书，否则将可能解密失败；</w:t>
      </w:r>
    </w:p>
    <w:p>
      <w:pPr>
        <w:pStyle w:val="17"/>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4、投标文件解密结束，各投标人签署《采购活动现场确认声明书》（见附件，打印签字）后将扫描件发送至采购代理机构邮箱：3291544104@qq.com；</w:t>
      </w:r>
    </w:p>
    <w:p>
      <w:pPr>
        <w:pStyle w:val="17"/>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5</w:t>
      </w:r>
      <w:r>
        <w:rPr>
          <w:rFonts w:hint="eastAsia" w:hAnsi="宋体"/>
          <w:color w:val="000000" w:themeColor="text1"/>
          <w:sz w:val="24"/>
          <w14:textFill>
            <w14:solidFill>
              <w14:schemeClr w14:val="tx1"/>
            </w14:solidFill>
          </w14:textFill>
        </w:rPr>
        <w:t>、采购组织机构点击【开启标书信息】，开启标书成功后进入开标流程；</w:t>
      </w:r>
    </w:p>
    <w:p>
      <w:pPr>
        <w:spacing w:line="360" w:lineRule="auto"/>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6</w:t>
      </w:r>
      <w:r>
        <w:rPr>
          <w:rFonts w:hint="eastAsia" w:hAnsi="宋体"/>
          <w:color w:val="000000" w:themeColor="text1"/>
          <w:sz w:val="24"/>
          <w14:textFill>
            <w14:solidFill>
              <w14:schemeClr w14:val="tx1"/>
            </w14:solidFill>
          </w14:textFill>
        </w:rPr>
        <w:t>、资格证明文件、商务技术文件评审；</w:t>
      </w:r>
    </w:p>
    <w:p>
      <w:pPr>
        <w:pStyle w:val="29"/>
        <w:ind w:firstLine="720" w:firstLineChars="3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6.1 资格性审查</w:t>
      </w:r>
    </w:p>
    <w:p>
      <w:pPr>
        <w:pStyle w:val="29"/>
        <w:ind w:firstLine="720" w:firstLineChars="3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响应文件解密后，采购人依法对供应商的资格进行审查，对审查发现无效的进行必要的询问，在政采云平台公布无效投标的供应商名单、投标无效的原因。</w:t>
      </w:r>
    </w:p>
    <w:tbl>
      <w:tblPr>
        <w:tblStyle w:val="30"/>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4"/>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磋商声明书</w:t>
            </w:r>
          </w:p>
        </w:tc>
        <w:tc>
          <w:tcPr>
            <w:tcW w:w="7432" w:type="dxa"/>
            <w:tcMar>
              <w:top w:w="57" w:type="dxa"/>
              <w:left w:w="108" w:type="dxa"/>
              <w:bottom w:w="0" w:type="dxa"/>
              <w:right w:w="108" w:type="dxa"/>
            </w:tcMar>
            <w:vAlign w:val="center"/>
          </w:tcPr>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等。（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授权委托书或法定代表人证明书</w:t>
            </w:r>
          </w:p>
        </w:tc>
        <w:tc>
          <w:tcPr>
            <w:tcW w:w="7432" w:type="dxa"/>
            <w:tcMar>
              <w:top w:w="57" w:type="dxa"/>
              <w:left w:w="108" w:type="dxa"/>
              <w:bottom w:w="0" w:type="dxa"/>
              <w:right w:w="108" w:type="dxa"/>
            </w:tcMar>
            <w:vAlign w:val="center"/>
          </w:tcPr>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【法定代表人授权书】签字的有效授权书，</w:t>
            </w:r>
            <w:r>
              <w:rPr>
                <w:rFonts w:hint="eastAsia" w:ascii="宋体" w:hAnsi="宋体" w:cs="宋体"/>
                <w:color w:val="000000" w:themeColor="text1"/>
                <w:sz w:val="24"/>
                <w:lang w:eastAsia="zh-CN"/>
                <w14:textFill>
                  <w14:solidFill>
                    <w14:schemeClr w14:val="tx1"/>
                  </w14:solidFill>
                </w14:textFill>
              </w:rPr>
              <w:t>法定代表</w:t>
            </w:r>
            <w:r>
              <w:rPr>
                <w:rFonts w:hint="eastAsia" w:ascii="宋体" w:hAnsi="宋体" w:cs="宋体"/>
                <w:color w:val="000000" w:themeColor="text1"/>
                <w:sz w:val="24"/>
                <w14:textFill>
                  <w14:solidFill>
                    <w14:schemeClr w14:val="tx1"/>
                  </w14:solidFill>
                </w14:textFill>
              </w:rPr>
              <w:t>人参加的提供法定代表人证明书（附件3）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具有独立承担民事责任的能力</w:t>
            </w:r>
          </w:p>
        </w:tc>
        <w:tc>
          <w:tcPr>
            <w:tcW w:w="7432" w:type="dxa"/>
            <w:tcMar>
              <w:top w:w="57" w:type="dxa"/>
              <w:left w:w="108" w:type="dxa"/>
              <w:bottom w:w="0" w:type="dxa"/>
              <w:right w:w="108" w:type="dxa"/>
            </w:tcMar>
            <w:vAlign w:val="center"/>
          </w:tcPr>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在中华人民共和国境内注册的法人或其他组织或自然人，投标时提交有效的营业执照（或事业法人登记证或身份证等相关证明）扫描件。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pPr>
              <w:spacing w:line="300" w:lineRule="auto"/>
              <w:rPr>
                <w:rFonts w:ascii="宋体" w:hAnsi="宋体" w:cs="宋体"/>
                <w:color w:val="000000" w:themeColor="text1"/>
                <w:sz w:val="24"/>
                <w14:textFill>
                  <w14:solidFill>
                    <w14:schemeClr w14:val="tx1"/>
                  </w14:solidFill>
                </w14:textFill>
              </w:rPr>
            </w:pP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信誉、财务、税收、社会保障 </w:t>
            </w:r>
          </w:p>
        </w:tc>
        <w:tc>
          <w:tcPr>
            <w:tcW w:w="7432" w:type="dxa"/>
            <w:tcMar>
              <w:top w:w="57" w:type="dxa"/>
              <w:left w:w="108" w:type="dxa"/>
              <w:bottom w:w="0" w:type="dxa"/>
              <w:right w:w="108" w:type="dxa"/>
            </w:tcMar>
            <w:vAlign w:val="center"/>
          </w:tcPr>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符合参与政府采购活动的资格条件，提供具有良好的商业信誉和健全的财务会计制度的承诺函；并且提供没有供税收缴纳、社会保障等方面的失信记录的承诺函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信用记录</w:t>
            </w:r>
          </w:p>
        </w:tc>
        <w:tc>
          <w:tcPr>
            <w:tcW w:w="7432" w:type="dxa"/>
            <w:tcMar>
              <w:top w:w="57" w:type="dxa"/>
              <w:left w:w="108" w:type="dxa"/>
              <w:bottom w:w="0" w:type="dxa"/>
              <w:right w:w="108" w:type="dxa"/>
            </w:tcMar>
            <w:vAlign w:val="center"/>
          </w:tcPr>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1.截止时点：开标后评标前</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2.信用信息查询记录和证据留存的具体方式：由采购组织机构在规定查询时间内打印信用信息查询记录并归入项目档案。</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3.使用规则：供应商未被列入“信用中国”失信被执行人或重大税收违法案件当事人名单；未处于“中国政府采购网”政府采购严重违法失信行为信息记录中的禁止参加政府采购活动期间。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pPr>
              <w:spacing w:line="24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专业能力</w:t>
            </w:r>
          </w:p>
          <w:p>
            <w:pPr>
              <w:spacing w:line="240" w:lineRule="auto"/>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承诺函</w:t>
            </w:r>
          </w:p>
        </w:tc>
        <w:tc>
          <w:tcPr>
            <w:tcW w:w="7432" w:type="dxa"/>
            <w:tcMar>
              <w:top w:w="57" w:type="dxa"/>
              <w:left w:w="108" w:type="dxa"/>
              <w:bottom w:w="0" w:type="dxa"/>
              <w:right w:w="108" w:type="dxa"/>
            </w:tcMar>
            <w:vAlign w:val="center"/>
          </w:tcPr>
          <w:p>
            <w:pPr>
              <w:spacing w:line="300" w:lineRule="auto"/>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具备履行合同所必需的设备和专业技术能力的承诺函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w:t>
            </w:r>
          </w:p>
        </w:tc>
        <w:tc>
          <w:tcPr>
            <w:tcW w:w="7432" w:type="dxa"/>
            <w:tcMar>
              <w:top w:w="57" w:type="dxa"/>
              <w:left w:w="108" w:type="dxa"/>
              <w:bottom w:w="0" w:type="dxa"/>
              <w:right w:w="108" w:type="dxa"/>
            </w:tcMar>
            <w:vAlign w:val="center"/>
          </w:tcPr>
          <w:p>
            <w:pPr>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供应商的《中小企业声明函》(格式见附件14)。</w:t>
            </w:r>
          </w:p>
          <w:p>
            <w:pPr>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狱企业、残疾人福利性单位视同中小型企业，若为残疾人福利性单位请提供残疾人福利性单位声明函（格式见附件14）；若为监狱企业，请提供省级以上监狱管理局、戒毒管理局（含新疆生产建设兵团）开具的属于监狱企业的证明文件（格式见附件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54" w:type="dxa"/>
            <w:tcMar>
              <w:top w:w="57" w:type="dxa"/>
              <w:left w:w="108" w:type="dxa"/>
              <w:bottom w:w="0" w:type="dxa"/>
              <w:right w:w="108" w:type="dxa"/>
            </w:tcMar>
            <w:vAlign w:val="center"/>
          </w:tcPr>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特定资格要求</w:t>
            </w:r>
          </w:p>
        </w:tc>
        <w:tc>
          <w:tcPr>
            <w:tcW w:w="7432" w:type="dxa"/>
            <w:tcMar>
              <w:top w:w="57" w:type="dxa"/>
              <w:left w:w="108" w:type="dxa"/>
              <w:bottom w:w="0" w:type="dxa"/>
              <w:right w:w="108" w:type="dxa"/>
            </w:tcMar>
            <w:vAlign w:val="center"/>
          </w:tcPr>
          <w:p>
            <w:pPr>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提供符合本项目特定条件要求的有效资质证书（如有要求的，必须提供）。</w:t>
            </w:r>
          </w:p>
        </w:tc>
      </w:tr>
    </w:tbl>
    <w:p>
      <w:pPr>
        <w:pStyle w:val="29"/>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符合性审查</w:t>
      </w:r>
    </w:p>
    <w:p>
      <w:pPr>
        <w:pStyle w:val="29"/>
        <w:ind w:firstLine="720" w:firstLineChars="300"/>
        <w:rPr>
          <w:rFonts w:ascii="宋体"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磋商小组</w:t>
      </w:r>
      <w:r>
        <w:rPr>
          <w:rFonts w:hint="eastAsia" w:ascii="宋体" w:hAnsi="宋体" w:cs="宋体"/>
          <w:color w:val="000000" w:themeColor="text1"/>
          <w:sz w:val="24"/>
          <w14:textFill>
            <w14:solidFill>
              <w14:schemeClr w14:val="tx1"/>
            </w14:solidFill>
          </w14:textFill>
        </w:rPr>
        <w:t>应当对符合资格的供应商的磋商响应文件进行符合性审查，以确定其是否满足磋商文件的实质性要求，对审查发现无效的进行必要的询问，在政采云平台公布无效投标的供应商名单、投标无效的原因。</w:t>
      </w:r>
    </w:p>
    <w:tbl>
      <w:tblPr>
        <w:tblStyle w:val="30"/>
        <w:tblpPr w:leftFromText="181" w:rightFromText="181" w:bottomFromText="170" w:vertAnchor="text" w:tblpXSpec="center" w:tblpY="1"/>
        <w:tblOverlap w:val="never"/>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8"/>
        <w:gridCol w:w="6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2578" w:type="dxa"/>
            <w:tcMar>
              <w:top w:w="57" w:type="dxa"/>
              <w:left w:w="108" w:type="dxa"/>
              <w:bottom w:w="0" w:type="dxa"/>
              <w:right w:w="108" w:type="dxa"/>
            </w:tcMar>
            <w:vAlign w:val="center"/>
          </w:tcPr>
          <w:p>
            <w:pPr>
              <w:pStyle w:val="93"/>
              <w:spacing w:line="300" w:lineRule="auto"/>
              <w:ind w:right="14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磋商响应文件</w:t>
            </w:r>
          </w:p>
        </w:tc>
        <w:tc>
          <w:tcPr>
            <w:tcW w:w="6708" w:type="dxa"/>
            <w:tcMar>
              <w:top w:w="57" w:type="dxa"/>
              <w:left w:w="108" w:type="dxa"/>
              <w:bottom w:w="0" w:type="dxa"/>
              <w:right w:w="108" w:type="dxa"/>
            </w:tcMar>
            <w:vAlign w:val="center"/>
          </w:tcPr>
          <w:p>
            <w:pPr>
              <w:pStyle w:val="93"/>
              <w:spacing w:line="30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磋商响应文件内容基本完整，无重大错漏，并按要求签署、盖章。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1" w:hRule="atLeast"/>
          <w:jc w:val="center"/>
        </w:trPr>
        <w:tc>
          <w:tcPr>
            <w:tcW w:w="2578" w:type="dxa"/>
            <w:tcMar>
              <w:top w:w="57" w:type="dxa"/>
              <w:left w:w="108" w:type="dxa"/>
              <w:bottom w:w="0" w:type="dxa"/>
              <w:right w:w="108" w:type="dxa"/>
            </w:tcMar>
            <w:vAlign w:val="center"/>
          </w:tcPr>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必须符合法律、行政法规规定的其他条件</w:t>
            </w:r>
          </w:p>
        </w:tc>
        <w:tc>
          <w:tcPr>
            <w:tcW w:w="6708" w:type="dxa"/>
            <w:tcMar>
              <w:top w:w="57" w:type="dxa"/>
              <w:left w:w="108" w:type="dxa"/>
              <w:bottom w:w="0" w:type="dxa"/>
              <w:right w:w="108" w:type="dxa"/>
            </w:tcMar>
            <w:vAlign w:val="center"/>
          </w:tcPr>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1.单位负责人为同一人或者存在直接控股、管理关系的不同供应商，不得同时参加本项目投标。（附件4）</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2.为本项目提供整体设计、规范编制或者项目管理、监理、检测等服务的供应商，不得再参与本项目投标。</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电子交易平台运营机构，以及与该机构有直接控股或者管理关系可能影响采购公正性的任何单位和个人，不得在该平台进行的政府采购项目电子交易中投标、响应和代理政府采购项目。</w:t>
            </w:r>
          </w:p>
          <w:p>
            <w:pPr>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pPr>
              <w:pStyle w:val="93"/>
              <w:spacing w:line="300" w:lineRule="auto"/>
              <w:ind w:right="14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“▲”实质性条款</w:t>
            </w:r>
          </w:p>
        </w:tc>
        <w:tc>
          <w:tcPr>
            <w:tcW w:w="6708" w:type="dxa"/>
            <w:tcMar>
              <w:top w:w="57" w:type="dxa"/>
              <w:left w:w="108" w:type="dxa"/>
              <w:bottom w:w="0" w:type="dxa"/>
              <w:right w:w="108" w:type="dxa"/>
            </w:tcMar>
            <w:vAlign w:val="center"/>
          </w:tcPr>
          <w:p>
            <w:pPr>
              <w:pStyle w:val="93"/>
              <w:spacing w:line="30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“▲”实质性条款必须满足磋商文件要求。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pPr>
              <w:pStyle w:val="93"/>
              <w:spacing w:line="300" w:lineRule="auto"/>
              <w:ind w:right="14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串通投标</w:t>
            </w:r>
          </w:p>
        </w:tc>
        <w:tc>
          <w:tcPr>
            <w:tcW w:w="6708" w:type="dxa"/>
            <w:tcMar>
              <w:top w:w="57" w:type="dxa"/>
              <w:left w:w="108" w:type="dxa"/>
              <w:bottom w:w="0" w:type="dxa"/>
              <w:right w:w="108" w:type="dxa"/>
            </w:tcMar>
            <w:vAlign w:val="center"/>
          </w:tcPr>
          <w:p>
            <w:pPr>
              <w:pStyle w:val="93"/>
              <w:spacing w:line="30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2578" w:type="dxa"/>
            <w:tcMar>
              <w:top w:w="57" w:type="dxa"/>
              <w:left w:w="108" w:type="dxa"/>
              <w:bottom w:w="0" w:type="dxa"/>
              <w:right w:w="108" w:type="dxa"/>
            </w:tcMar>
            <w:vAlign w:val="center"/>
          </w:tcPr>
          <w:p>
            <w:pPr>
              <w:pStyle w:val="93"/>
              <w:spacing w:line="300" w:lineRule="auto"/>
              <w:ind w:right="146"/>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附加条件</w:t>
            </w:r>
          </w:p>
        </w:tc>
        <w:tc>
          <w:tcPr>
            <w:tcW w:w="6708" w:type="dxa"/>
            <w:tcMar>
              <w:top w:w="57" w:type="dxa"/>
              <w:left w:w="108" w:type="dxa"/>
              <w:bottom w:w="0" w:type="dxa"/>
              <w:right w:w="108" w:type="dxa"/>
            </w:tcMar>
            <w:vAlign w:val="center"/>
          </w:tcPr>
          <w:p>
            <w:pPr>
              <w:pStyle w:val="93"/>
              <w:spacing w:line="30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响应文件未含有采购人不可接受的附加条件。</w:t>
            </w:r>
          </w:p>
        </w:tc>
      </w:tr>
    </w:tbl>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磋商小组为3人。磋商小组必须按照客观、公正、审慎的原则，根据磋商文件规定的评审程序、评审方法和评审标准进行独立评审。未实质性响应磋商文件的响应文件按无效响应处理，评标委员会应当告知提交响应文件的供应商</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、本次磋商为一轮磋商。磋商小组所有成员集中与单一供应商分别进行磋商，并给予所有参加磋商的供应商平等的磋商机会</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评标委员会应当及时以书面形式同时通知所有参加磋商的供应商。供应商应当按照磋商文件的变动情况和评标委员会的要求重新提交响应文件，并由其法定代表人或授权代表签字或者加盖公章</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、磋商文件能够详细列明采购标的的技术、服务要求的，磋商结束后，评标委员会将要求所有实质性响应的供应商在规定时间内提交最后报价，最后报价是供应商响应文件的有效组成部分</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、经磋商确定最终采购需求和提交最后报价的供应商后，由磋商小组采用综合评分法对提交最后报价的供应商的响应文件和最后报价进行综合评分</w:t>
      </w:r>
      <w:r>
        <w:rPr>
          <w:rFonts w:hint="eastAsia" w:ascii="宋体" w:hAnsi="宋体"/>
          <w:color w:val="000000" w:themeColor="text1"/>
          <w:sz w:val="24"/>
          <w14:textFill>
            <w14:solidFill>
              <w14:schemeClr w14:val="tx1"/>
            </w14:solidFill>
          </w14:textFill>
        </w:rPr>
        <w:t>；</w:t>
      </w:r>
    </w:p>
    <w:p>
      <w:pPr>
        <w:pStyle w:val="17"/>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r>
        <w:rPr>
          <w:rFonts w:hAnsi="宋体" w:cs="宋体"/>
          <w:color w:val="000000" w:themeColor="text1"/>
          <w:sz w:val="24"/>
          <w14:textFill>
            <w14:solidFill>
              <w14:schemeClr w14:val="tx1"/>
            </w14:solidFill>
          </w14:textFill>
        </w:rPr>
        <w:t>2</w:t>
      </w:r>
      <w:r>
        <w:rPr>
          <w:rFonts w:hint="eastAsia" w:hAnsi="宋体" w:cs="宋体"/>
          <w:color w:val="000000" w:themeColor="text1"/>
          <w:sz w:val="24"/>
          <w14:textFill>
            <w14:solidFill>
              <w14:schemeClr w14:val="tx1"/>
            </w14:solidFill>
          </w14:textFill>
        </w:rPr>
        <w:t>、磋商小组根据综合评分情况，按照评审得分由高到低顺序确定</w:t>
      </w:r>
      <w:r>
        <w:rPr>
          <w:rFonts w:hint="eastAsia" w:hAnsi="宋体" w:cs="宋体"/>
          <w:color w:val="000000" w:themeColor="text1"/>
          <w:sz w:val="24"/>
          <w:lang w:eastAsia="zh-CN"/>
          <w14:textFill>
            <w14:solidFill>
              <w14:schemeClr w14:val="tx1"/>
            </w14:solidFill>
          </w14:textFill>
        </w:rPr>
        <w:t>一家</w:t>
      </w:r>
      <w:r>
        <w:rPr>
          <w:rFonts w:hint="eastAsia" w:hAnsi="宋体" w:cs="宋体"/>
          <w:color w:val="000000" w:themeColor="text1"/>
          <w:sz w:val="24"/>
          <w14:textFill>
            <w14:solidFill>
              <w14:schemeClr w14:val="tx1"/>
            </w14:solidFill>
          </w14:textFill>
        </w:rPr>
        <w:t>预成交供应商，编写评审报告；</w:t>
      </w:r>
    </w:p>
    <w:p>
      <w:pPr>
        <w:pStyle w:val="17"/>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13、主持人宣布磋商结果（含技术得分、最后报价、报价得分及总得分），磋商采购会议结束。</w:t>
      </w:r>
    </w:p>
    <w:p>
      <w:pPr>
        <w:pStyle w:val="17"/>
        <w:spacing w:line="312" w:lineRule="auto"/>
        <w:ind w:firstLine="482" w:firstLineChars="200"/>
        <w:outlineLvl w:val="1"/>
        <w:rPr>
          <w:rFonts w:hAnsi="宋体"/>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特别说明：如政府采购云平台如对电子化开标及评审程序有调整的，按调整后的程序操作。</w:t>
      </w:r>
    </w:p>
    <w:p>
      <w:pPr>
        <w:pStyle w:val="17"/>
        <w:snapToGrid w:val="0"/>
        <w:spacing w:line="360" w:lineRule="auto"/>
        <w:ind w:firstLine="482" w:firstLineChars="200"/>
        <w:rPr>
          <w:rFonts w:hAnsi="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（二）澄清问题的形式</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磋商供应商的澄清、说明或者补正应当采用线上形式或期限内书面形式递交，并加盖公章，或者由法定代理人或其授权的代表签字，并不得超出磋商响应文件的范围或者改变磋商响应文件的实质性内容。</w:t>
      </w:r>
    </w:p>
    <w:p>
      <w:pPr>
        <w:snapToGrid w:val="0"/>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（三）错误修正</w:t>
      </w:r>
    </w:p>
    <w:p>
      <w:pPr>
        <w:pStyle w:val="26"/>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磋商响应文件报价出现前后不一致的，除</w:t>
      </w:r>
      <w:r>
        <w:rPr>
          <w:rFonts w:hint="eastAsia"/>
          <w:bCs/>
          <w:color w:val="000000" w:themeColor="text1"/>
          <w14:textFill>
            <w14:solidFill>
              <w14:schemeClr w14:val="tx1"/>
            </w14:solidFill>
          </w14:textFill>
        </w:rPr>
        <w:t>磋商采购文件</w:t>
      </w:r>
      <w:r>
        <w:rPr>
          <w:rFonts w:hint="eastAsia"/>
          <w:color w:val="000000" w:themeColor="text1"/>
          <w14:textFill>
            <w14:solidFill>
              <w14:schemeClr w14:val="tx1"/>
            </w14:solidFill>
          </w14:textFill>
        </w:rPr>
        <w:t>另有规定外，按照下列规定修正：</w:t>
      </w:r>
    </w:p>
    <w:p>
      <w:pPr>
        <w:pStyle w:val="26"/>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1、磋商响应文件中首次报价一览表内容与磋商响应文件中相应内容不一致的，以首次报价一览表为准；</w:t>
      </w:r>
    </w:p>
    <w:p>
      <w:pPr>
        <w:pStyle w:val="26"/>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2、大写金额和小写金额不一致的，以大写金额为准；</w:t>
      </w:r>
    </w:p>
    <w:p>
      <w:pPr>
        <w:pStyle w:val="26"/>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3、单价金额小数点或者百分比有明显错位的，以首次报价一览表的总价为准，并修改单价；</w:t>
      </w:r>
    </w:p>
    <w:p>
      <w:pPr>
        <w:pStyle w:val="26"/>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4、总价金额与按单价汇总金额不一致的，以单价金额计算结果为准。</w:t>
      </w:r>
    </w:p>
    <w:p>
      <w:pPr>
        <w:pStyle w:val="26"/>
        <w:spacing w:before="0" w:beforeAutospacing="0" w:after="0" w:afterAutospacing="0" w:line="360" w:lineRule="auto"/>
        <w:ind w:firstLine="482" w:firstLineChars="200"/>
        <w:jc w:val="both"/>
        <w:rPr>
          <w:color w:val="000000" w:themeColor="text1"/>
          <w14:textFill>
            <w14:solidFill>
              <w14:schemeClr w14:val="tx1"/>
            </w14:solidFill>
          </w14:textFill>
        </w:rPr>
      </w:pPr>
      <w:r>
        <w:rPr>
          <w:rFonts w:hint="eastAsia" w:cs="宋体"/>
          <w:b/>
          <w:color w:val="000000" w:themeColor="text1"/>
          <w14:textFill>
            <w14:solidFill>
              <w14:schemeClr w14:val="tx1"/>
            </w14:solidFill>
          </w14:textFill>
        </w:rPr>
        <w:t>▲</w:t>
      </w:r>
      <w:r>
        <w:rPr>
          <w:rFonts w:hint="eastAsia"/>
          <w:color w:val="000000" w:themeColor="text1"/>
          <w14:textFill>
            <w14:solidFill>
              <w14:schemeClr w14:val="tx1"/>
            </w14:solidFill>
          </w14:textFill>
        </w:rPr>
        <w:t>同时出现两种以上不一致的，按照前款规定的顺序修正。修正应当采用线上确认，或在期限内以书面形式递交，并加盖公章，或者由法定代表人或其授权的代表签字。修正后的报价经磋商供应商确认后产生约束力，磋商供应商不确认</w:t>
      </w:r>
      <w:r>
        <w:rPr>
          <w:rFonts w:hint="eastAsia"/>
          <w:color w:val="000000" w:themeColor="text1"/>
          <w:lang w:val="en-US" w:eastAsia="zh-CN"/>
          <w14:textFill>
            <w14:solidFill>
              <w14:schemeClr w14:val="tx1"/>
            </w14:solidFill>
          </w14:textFill>
        </w:rPr>
        <w:t>或未在规定时间内进行有效澄清</w:t>
      </w:r>
      <w:r>
        <w:rPr>
          <w:rFonts w:hint="eastAsia"/>
          <w:color w:val="000000" w:themeColor="text1"/>
          <w14:textFill>
            <w14:solidFill>
              <w14:schemeClr w14:val="tx1"/>
            </w14:solidFill>
          </w14:textFill>
        </w:rPr>
        <w:t>的，将终止磋商。</w:t>
      </w:r>
    </w:p>
    <w:p>
      <w:pPr>
        <w:pStyle w:val="26"/>
        <w:spacing w:before="0" w:beforeAutospacing="0" w:after="0" w:afterAutospacing="0" w:line="360" w:lineRule="auto"/>
        <w:ind w:firstLine="482" w:firstLineChars="200"/>
        <w:rPr>
          <w:color w:val="000000" w:themeColor="text1"/>
          <w14:textFill>
            <w14:solidFill>
              <w14:schemeClr w14:val="tx1"/>
            </w14:solidFill>
          </w14:textFill>
        </w:rPr>
      </w:pPr>
      <w:r>
        <w:rPr>
          <w:rFonts w:hint="eastAsia"/>
          <w:b/>
          <w:bCs/>
          <w:color w:val="000000" w:themeColor="text1"/>
          <w14:textFill>
            <w14:solidFill>
              <w14:schemeClr w14:val="tx1"/>
            </w14:solidFill>
          </w14:textFill>
        </w:rPr>
        <w:t>（四）</w:t>
      </w:r>
      <w:r>
        <w:rPr>
          <w:rFonts w:hint="eastAsia"/>
          <w:b/>
          <w:color w:val="000000" w:themeColor="text1"/>
          <w14:textFill>
            <w14:solidFill>
              <w14:schemeClr w14:val="tx1"/>
            </w14:solidFill>
          </w14:textFill>
        </w:rPr>
        <w:t>磋商供应商存在下列情况之一的，响应无效，终止磋商</w:t>
      </w:r>
    </w:p>
    <w:p>
      <w:pPr>
        <w:adjustRightInd w:val="0"/>
        <w:snapToGrid w:val="0"/>
        <w:spacing w:line="360" w:lineRule="auto"/>
        <w:ind w:firstLine="480" w:firstLineChars="200"/>
        <w:jc w:val="left"/>
        <w:rPr>
          <w:rFonts w:ascii="宋体" w:hAnsi="宋体"/>
          <w:b/>
          <w:bCs/>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1、磋商响应文件中的报价服务跟商务与技术内容中的供应服务出现重大偏差的；</w:t>
      </w:r>
    </w:p>
    <w:p>
      <w:pPr>
        <w:pStyle w:val="26"/>
        <w:tabs>
          <w:tab w:val="left" w:pos="7380"/>
        </w:tabs>
        <w:adjustRightInd w:val="0"/>
        <w:snapToGrid w:val="0"/>
        <w:spacing w:before="0" w:beforeAutospacing="0" w:after="0"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、不具备磋商采购文件中规定的资格要求的。</w:t>
      </w:r>
    </w:p>
    <w:p>
      <w:pPr>
        <w:pStyle w:val="26"/>
        <w:adjustRightInd w:val="0"/>
        <w:snapToGrid w:val="0"/>
        <w:spacing w:before="0" w:beforeAutospacing="0" w:after="0"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、磋商响应文件含有采购人不能接受的附加条件的。</w:t>
      </w:r>
    </w:p>
    <w:p>
      <w:pPr>
        <w:pStyle w:val="26"/>
        <w:tabs>
          <w:tab w:val="left" w:pos="7380"/>
        </w:tabs>
        <w:adjustRightInd w:val="0"/>
        <w:snapToGrid w:val="0"/>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、仅提交“备份投标文件”的；</w:t>
      </w:r>
    </w:p>
    <w:p>
      <w:pPr>
        <w:pStyle w:val="26"/>
        <w:tabs>
          <w:tab w:val="left" w:pos="7380"/>
        </w:tabs>
        <w:adjustRightInd w:val="0"/>
        <w:snapToGrid w:val="0"/>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、电子投标文件解密失败的，且未在规定时间内提交备份投标文件的；</w:t>
      </w:r>
    </w:p>
    <w:p>
      <w:pPr>
        <w:pStyle w:val="26"/>
        <w:tabs>
          <w:tab w:val="left" w:pos="7380"/>
        </w:tabs>
        <w:adjustRightInd w:val="0"/>
        <w:snapToGrid w:val="0"/>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、电子投标文件未按规定要求提供电子签章的；</w:t>
      </w:r>
    </w:p>
    <w:p>
      <w:pPr>
        <w:pStyle w:val="26"/>
        <w:adjustRightInd w:val="0"/>
        <w:snapToGrid w:val="0"/>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评标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与其终止磋商。</w:t>
      </w:r>
    </w:p>
    <w:p>
      <w:pPr>
        <w:pStyle w:val="26"/>
        <w:adjustRightInd w:val="0"/>
        <w:snapToGrid w:val="0"/>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、报价超过磋商采购文件中规定的预算金额/最高限价。</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9</w:t>
      </w:r>
      <w:r>
        <w:rPr>
          <w:rFonts w:hint="eastAsia" w:ascii="宋体" w:hAnsi="宋体"/>
          <w:color w:val="000000" w:themeColor="text1"/>
          <w:kern w:val="0"/>
          <w:sz w:val="24"/>
          <w14:textFill>
            <w14:solidFill>
              <w14:schemeClr w14:val="tx1"/>
            </w14:solidFill>
          </w14:textFill>
        </w:rPr>
        <w:t>、磋商响应文件提供虚假材料的。</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lang w:val="en-US" w:eastAsia="zh-CN"/>
          <w14:textFill>
            <w14:solidFill>
              <w14:schemeClr w14:val="tx1"/>
            </w14:solidFill>
          </w14:textFill>
        </w:rPr>
        <w:t>0</w:t>
      </w:r>
      <w:r>
        <w:rPr>
          <w:rFonts w:hint="eastAsia" w:ascii="宋体" w:hAnsi="宋体"/>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不同供应商的磋商响应文件由同一单位或者个人编制；</w:t>
      </w:r>
    </w:p>
    <w:p>
      <w:pPr>
        <w:pStyle w:val="26"/>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、不同供应商委托同一单位或者个人办理磋商事宜；</w:t>
      </w:r>
    </w:p>
    <w:p>
      <w:pPr>
        <w:pStyle w:val="26"/>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、不同供应商的磋商响应文件载明的项目管理成员或者联系人员为同一人；</w:t>
      </w:r>
    </w:p>
    <w:p>
      <w:pPr>
        <w:pStyle w:val="26"/>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、不同供应商的磋商响应文件异常一致或者报价呈规律性差异；</w:t>
      </w:r>
    </w:p>
    <w:p>
      <w:pPr>
        <w:pStyle w:val="26"/>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、不同供应商的磋商响应文件相互混装；</w:t>
      </w:r>
    </w:p>
    <w:p>
      <w:pPr>
        <w:autoSpaceDE w:val="0"/>
        <w:autoSpaceDN w:val="0"/>
        <w:adjustRightIn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lang w:val="en-US" w:eastAsia="zh-CN"/>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、不符合法律、法规和磋商采购文件中规定的其他实质性要求的（磋商采购文件中打“▲”内容及被拒绝的条款）。</w:t>
      </w:r>
    </w:p>
    <w:p>
      <w:pPr>
        <w:autoSpaceDE w:val="0"/>
        <w:autoSpaceDN w:val="0"/>
        <w:adjustRightInd w:val="0"/>
        <w:spacing w:line="360" w:lineRule="auto"/>
        <w:ind w:firstLine="482" w:firstLineChars="200"/>
        <w:jc w:val="left"/>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（五）有下列情况之一的，本次磋商终止。</w:t>
      </w:r>
    </w:p>
    <w:p>
      <w:pPr>
        <w:pStyle w:val="26"/>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1、出现影响采购公正的违法、违规行为的；</w:t>
      </w:r>
    </w:p>
    <w:p>
      <w:pPr>
        <w:pStyle w:val="26"/>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2、评标委员会发现磋商文件存在歧义、重大缺陷导致评审工作无法进行，或者磋商文件内容违反国家有关强制性规定的；</w:t>
      </w:r>
    </w:p>
    <w:p>
      <w:pPr>
        <w:pStyle w:val="26"/>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3、因重大变故，采购任务取消的；</w:t>
      </w:r>
    </w:p>
    <w:p>
      <w:pPr>
        <w:pStyle w:val="26"/>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4、法律、法规和磋商文件规定的其他导致评审结果无效的。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482" w:firstLineChars="200"/>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（六）磋商原则和方法</w:t>
      </w:r>
    </w:p>
    <w:p>
      <w:pPr>
        <w:pStyle w:val="17"/>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磋商原则。评标委员会必须公平、公正、客观，不带任何倾向性和启发性；不得向外界透露任何与评审有关的内容；任何单位和个人不得干扰、影响评审的正常进行；评标委员会及有关工作人员不得私下与磋商供应商接触。</w:t>
      </w:r>
    </w:p>
    <w:p>
      <w:pPr>
        <w:pStyle w:val="17"/>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2、磋商办法。具体磋商内容及评分标准等详见《第四章：评</w:t>
      </w:r>
      <w:r>
        <w:rPr>
          <w:rFonts w:hint="eastAsia" w:hAnsi="宋体"/>
          <w:color w:val="000000" w:themeColor="text1"/>
          <w:sz w:val="24"/>
          <w:lang w:eastAsia="zh-CN"/>
          <w14:textFill>
            <w14:solidFill>
              <w14:schemeClr w14:val="tx1"/>
            </w14:solidFill>
          </w14:textFill>
        </w:rPr>
        <w:t>标半</w:t>
      </w:r>
      <w:r>
        <w:rPr>
          <w:rFonts w:hint="eastAsia" w:hAnsi="宋体"/>
          <w:color w:val="000000" w:themeColor="text1"/>
          <w:sz w:val="24"/>
          <w14:textFill>
            <w14:solidFill>
              <w14:schemeClr w14:val="tx1"/>
            </w14:solidFill>
          </w14:textFill>
        </w:rPr>
        <w:t>法及评分标准》。</w:t>
      </w:r>
    </w:p>
    <w:p>
      <w:pPr>
        <w:pStyle w:val="17"/>
        <w:snapToGrid w:val="0"/>
        <w:spacing w:line="360" w:lineRule="auto"/>
        <w:ind w:firstLine="482" w:firstLineChars="200"/>
        <w:rPr>
          <w:rFonts w:hAnsi="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（七）评审过程的监控</w:t>
      </w:r>
    </w:p>
    <w:p>
      <w:pPr>
        <w:pStyle w:val="26"/>
        <w:widowControl w:val="0"/>
        <w:snapToGrid w:val="0"/>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pPr>
        <w:pStyle w:val="26"/>
        <w:widowControl w:val="0"/>
        <w:snapToGrid w:val="0"/>
        <w:spacing w:before="0" w:beforeAutospacing="0" w:after="0" w:afterAutospacing="0" w:line="360" w:lineRule="auto"/>
        <w:ind w:firstLine="482" w:firstLineChars="200"/>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五、磋商结果确定</w:t>
      </w:r>
    </w:p>
    <w:p>
      <w:pPr>
        <w:pStyle w:val="26"/>
        <w:widowControl w:val="0"/>
        <w:snapToGrid w:val="0"/>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确定成交供应商。评标委员会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3、发出成交通知书。采购组织机构在发布成交结果同时，向成交供应商发出成交通知书。</w:t>
      </w:r>
    </w:p>
    <w:p>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六、合同签订及公告</w:t>
      </w:r>
    </w:p>
    <w:p>
      <w:pPr>
        <w:pStyle w:val="14"/>
        <w:ind w:right="0" w:rightChars="0" w:firstLine="482" w:firstLineChars="200"/>
        <w:rPr>
          <w:rFonts w:hAnsi="宋体"/>
          <w:b/>
          <w:color w:val="000000" w:themeColor="text1"/>
          <w:szCs w:val="24"/>
          <w14:textFill>
            <w14:solidFill>
              <w14:schemeClr w14:val="tx1"/>
            </w14:solidFill>
          </w14:textFill>
        </w:rPr>
      </w:pPr>
      <w:r>
        <w:rPr>
          <w:rFonts w:hint="eastAsia" w:hAnsi="宋体"/>
          <w:b/>
          <w:color w:val="000000" w:themeColor="text1"/>
          <w:szCs w:val="24"/>
          <w14:textFill>
            <w14:solidFill>
              <w14:schemeClr w14:val="tx1"/>
            </w14:solidFill>
          </w14:textFill>
        </w:rPr>
        <w:t>（一）签订合同</w:t>
      </w:r>
    </w:p>
    <w:p>
      <w:pPr>
        <w:pStyle w:val="14"/>
        <w:ind w:right="0" w:rightChars="0"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1、采购人应当自成交通知书发出之日起</w:t>
      </w:r>
      <w:r>
        <w:rPr>
          <w:rFonts w:hAnsi="宋体"/>
          <w:color w:val="000000" w:themeColor="text1"/>
          <w:szCs w:val="24"/>
          <w14:textFill>
            <w14:solidFill>
              <w14:schemeClr w14:val="tx1"/>
            </w14:solidFill>
          </w14:textFill>
        </w:rPr>
        <w:t>30</w:t>
      </w:r>
      <w:r>
        <w:rPr>
          <w:rFonts w:hint="eastAsia" w:hAnsi="宋体"/>
          <w:color w:val="000000" w:themeColor="text1"/>
          <w:szCs w:val="24"/>
          <w14:textFill>
            <w14:solidFill>
              <w14:schemeClr w14:val="tx1"/>
            </w14:solidFill>
          </w14:textFill>
        </w:rPr>
        <w:t>日内，按照磋商采购文件确定的合同文本以及采购标的、规格型号、采购金额、采购数量和服务要求等事项签订政府采购合同。</w:t>
      </w:r>
    </w:p>
    <w:p>
      <w:pPr>
        <w:pStyle w:val="26"/>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pStyle w:val="26"/>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3、成交供应商无故拖延、拒签合同的,取消成交资格并追究相应责任。</w:t>
      </w:r>
    </w:p>
    <w:p>
      <w:pPr>
        <w:pStyle w:val="26"/>
        <w:spacing w:before="0" w:beforeAutospacing="0" w:after="0" w:afterAutospacing="0"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26"/>
        <w:spacing w:before="0" w:beforeAutospacing="0" w:after="0" w:afterAutospacing="0"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26"/>
        <w:spacing w:before="0" w:beforeAutospacing="0" w:after="0" w:afterAutospacing="0" w:line="360" w:lineRule="auto"/>
        <w:ind w:firstLine="482" w:firstLineChars="200"/>
        <w:rPr>
          <w:rFonts w:cs="仿宋_GB2312"/>
          <w:b/>
          <w:color w:val="000000" w:themeColor="text1"/>
          <w14:textFill>
            <w14:solidFill>
              <w14:schemeClr w14:val="tx1"/>
            </w14:solidFill>
          </w14:textFill>
        </w:rPr>
      </w:pPr>
      <w:r>
        <w:rPr>
          <w:rFonts w:hint="eastAsia"/>
          <w:b/>
          <w:color w:val="000000" w:themeColor="text1"/>
          <w14:textFill>
            <w14:solidFill>
              <w14:schemeClr w14:val="tx1"/>
            </w14:solidFill>
          </w14:textFill>
        </w:rPr>
        <w:t>（二）合同公告及备案</w:t>
      </w:r>
    </w:p>
    <w:p>
      <w:pPr>
        <w:pStyle w:val="14"/>
        <w:ind w:right="0" w:rightChars="0"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1、采购人应当自政府采购合同签订之日起2个工作日内，在省级以上财政部门指定的政府采购信息发布媒体及相关网站上公告。</w:t>
      </w:r>
    </w:p>
    <w:p>
      <w:pPr>
        <w:pStyle w:val="14"/>
        <w:ind w:right="0" w:rightChars="0"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2、采购人应当自政府采购合同签订之日起7个工作日内，</w:t>
      </w:r>
      <w:bookmarkStart w:id="49" w:name="_Hlk95221553"/>
      <w:r>
        <w:rPr>
          <w:rFonts w:hint="eastAsia" w:hAnsi="宋体"/>
          <w:color w:val="000000" w:themeColor="text1"/>
          <w:szCs w:val="24"/>
          <w14:textFill>
            <w14:solidFill>
              <w14:schemeClr w14:val="tx1"/>
            </w14:solidFill>
          </w14:textFill>
        </w:rPr>
        <w:t>将政府采购合同通过政采云平台报同级人民政府财政部门备案以及采购组织机构存档。</w:t>
      </w:r>
      <w:bookmarkEnd w:id="49"/>
    </w:p>
    <w:p>
      <w:pPr>
        <w:pStyle w:val="14"/>
        <w:ind w:right="0" w:rightChars="0" w:firstLine="480" w:firstLineChars="200"/>
        <w:rPr>
          <w:rFonts w:hAnsi="宋体"/>
          <w:color w:val="000000" w:themeColor="text1"/>
          <w:szCs w:val="24"/>
          <w14:textFill>
            <w14:solidFill>
              <w14:schemeClr w14:val="tx1"/>
            </w14:solidFill>
          </w14:textFill>
        </w:rPr>
      </w:pPr>
    </w:p>
    <w:p>
      <w:pPr>
        <w:pStyle w:val="14"/>
        <w:ind w:right="0" w:rightChars="0" w:firstLine="480" w:firstLineChars="200"/>
        <w:rPr>
          <w:rFonts w:hAnsi="宋体"/>
          <w:color w:val="000000" w:themeColor="text1"/>
          <w:szCs w:val="24"/>
          <w14:textFill>
            <w14:solidFill>
              <w14:schemeClr w14:val="tx1"/>
            </w14:solidFill>
          </w14:textFill>
        </w:rPr>
      </w:pPr>
    </w:p>
    <w:p>
      <w:pPr>
        <w:pStyle w:val="14"/>
        <w:ind w:right="0" w:rightChars="0" w:firstLine="480" w:firstLineChars="200"/>
        <w:rPr>
          <w:rFonts w:hAnsi="宋体"/>
          <w:color w:val="000000" w:themeColor="text1"/>
          <w:szCs w:val="24"/>
          <w14:textFill>
            <w14:solidFill>
              <w14:schemeClr w14:val="tx1"/>
            </w14:solidFill>
          </w14:textFill>
        </w:rPr>
      </w:pPr>
    </w:p>
    <w:p>
      <w:pPr>
        <w:pStyle w:val="14"/>
        <w:ind w:right="0" w:rightChars="0" w:firstLine="480" w:firstLineChars="200"/>
        <w:rPr>
          <w:rFonts w:hAnsi="宋体"/>
          <w:color w:val="000000" w:themeColor="text1"/>
          <w:szCs w:val="24"/>
          <w14:textFill>
            <w14:solidFill>
              <w14:schemeClr w14:val="tx1"/>
            </w14:solidFill>
          </w14:textFill>
        </w:rPr>
      </w:pPr>
    </w:p>
    <w:p>
      <w:pPr>
        <w:pStyle w:val="14"/>
        <w:ind w:right="0" w:rightChars="0" w:firstLine="480" w:firstLineChars="200"/>
        <w:rPr>
          <w:rFonts w:hAnsi="宋体"/>
          <w:color w:val="000000" w:themeColor="text1"/>
          <w:szCs w:val="24"/>
          <w14:textFill>
            <w14:solidFill>
              <w14:schemeClr w14:val="tx1"/>
            </w14:solidFill>
          </w14:textFill>
        </w:rPr>
      </w:pPr>
    </w:p>
    <w:p>
      <w:pPr>
        <w:pStyle w:val="17"/>
        <w:tabs>
          <w:tab w:val="left" w:pos="900"/>
        </w:tabs>
        <w:snapToGrid w:val="0"/>
        <w:spacing w:before="120" w:after="120"/>
        <w:jc w:val="center"/>
        <w:outlineLvl w:val="0"/>
        <w:rPr>
          <w:rFonts w:hAnsi="宋体" w:cs="宋体"/>
          <w:b/>
          <w:bCs/>
          <w:color w:val="000000" w:themeColor="text1"/>
          <w:sz w:val="36"/>
          <w:szCs w:val="36"/>
          <w14:textFill>
            <w14:solidFill>
              <w14:schemeClr w14:val="tx1"/>
            </w14:solidFill>
          </w14:textFill>
        </w:rPr>
      </w:pPr>
      <w:bookmarkStart w:id="50" w:name="_Toc18742"/>
      <w:r>
        <w:rPr>
          <w:rFonts w:hint="eastAsia" w:hAnsi="宋体" w:cs="宋体"/>
          <w:b/>
          <w:bCs/>
          <w:color w:val="000000" w:themeColor="text1"/>
          <w:sz w:val="36"/>
          <w:szCs w:val="36"/>
          <w14:textFill>
            <w14:solidFill>
              <w14:schemeClr w14:val="tx1"/>
            </w14:solidFill>
          </w14:textFill>
        </w:rPr>
        <w:t xml:space="preserve">第四章  </w:t>
      </w:r>
      <w:bookmarkEnd w:id="50"/>
      <w:r>
        <w:rPr>
          <w:rFonts w:hint="eastAsia" w:hAnsi="宋体" w:cs="宋体"/>
          <w:b/>
          <w:bCs/>
          <w:color w:val="000000" w:themeColor="text1"/>
          <w:sz w:val="36"/>
          <w:szCs w:val="36"/>
          <w14:textFill>
            <w14:solidFill>
              <w14:schemeClr w14:val="tx1"/>
            </w14:solidFill>
          </w14:textFill>
        </w:rPr>
        <w:t>评标办法及评分标准</w:t>
      </w:r>
    </w:p>
    <w:p>
      <w:pPr>
        <w:autoSpaceDE w:val="0"/>
        <w:autoSpaceDN w:val="0"/>
        <w:spacing w:line="360" w:lineRule="auto"/>
        <w:ind w:firstLine="480" w:firstLineChars="200"/>
        <w:rPr>
          <w:rFonts w:ascii="宋体" w:hAnsi="宋体"/>
          <w:b/>
          <w:i/>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一、采购组织机构将组织</w:t>
      </w:r>
      <w:r>
        <w:rPr>
          <w:rFonts w:hint="eastAsia" w:ascii="宋体" w:hAnsi="宋体"/>
          <w:color w:val="000000" w:themeColor="text1"/>
          <w:sz w:val="24"/>
          <w14:textFill>
            <w14:solidFill>
              <w14:schemeClr w14:val="tx1"/>
            </w14:solidFill>
          </w14:textFill>
        </w:rPr>
        <w:t>评标委员会</w:t>
      </w:r>
      <w:r>
        <w:rPr>
          <w:rFonts w:hint="eastAsia" w:ascii="宋体" w:hAnsi="宋体"/>
          <w:color w:val="000000" w:themeColor="text1"/>
          <w:kern w:val="0"/>
          <w:sz w:val="24"/>
          <w14:textFill>
            <w14:solidFill>
              <w14:schemeClr w14:val="tx1"/>
            </w14:solidFill>
          </w14:textFill>
        </w:rPr>
        <w:t>，对</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kern w:val="0"/>
          <w:sz w:val="24"/>
          <w14:textFill>
            <w14:solidFill>
              <w14:schemeClr w14:val="tx1"/>
            </w14:solidFill>
          </w14:textFill>
        </w:rPr>
        <w:t>提供的</w:t>
      </w:r>
      <w:r>
        <w:rPr>
          <w:rFonts w:hint="eastAsia" w:ascii="宋体" w:hAnsi="宋体"/>
          <w:color w:val="000000" w:themeColor="text1"/>
          <w:sz w:val="24"/>
          <w14:textFill>
            <w14:solidFill>
              <w14:schemeClr w14:val="tx1"/>
            </w14:solidFill>
          </w14:textFill>
        </w:rPr>
        <w:t>磋商响应文件</w:t>
      </w:r>
      <w:r>
        <w:rPr>
          <w:rFonts w:hint="eastAsia" w:ascii="宋体" w:hAnsi="宋体"/>
          <w:color w:val="000000" w:themeColor="text1"/>
          <w:kern w:val="0"/>
          <w:sz w:val="24"/>
          <w14:textFill>
            <w14:solidFill>
              <w14:schemeClr w14:val="tx1"/>
            </w14:solidFill>
          </w14:textFill>
        </w:rPr>
        <w:t>进行综合评审。</w:t>
      </w:r>
      <w:r>
        <w:rPr>
          <w:rFonts w:ascii="宋体" w:hAnsi="宋体"/>
          <w:color w:val="000000" w:themeColor="text1"/>
          <w:kern w:val="0"/>
          <w:sz w:val="24"/>
          <w14:textFill>
            <w14:solidFill>
              <w14:schemeClr w14:val="tx1"/>
            </w14:solidFill>
          </w14:textFill>
        </w:rPr>
        <w:t xml:space="preserve">   </w:t>
      </w:r>
    </w:p>
    <w:p>
      <w:pPr>
        <w:autoSpaceDE w:val="0"/>
        <w:autoSpaceDN w:val="0"/>
        <w:spacing w:after="0" w:line="312"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二、本次磋商项目的评审方法为</w:t>
      </w:r>
      <w:r>
        <w:rPr>
          <w:rFonts w:hint="eastAsia" w:ascii="宋体" w:hAnsi="宋体"/>
          <w:b/>
          <w:color w:val="000000" w:themeColor="text1"/>
          <w:kern w:val="0"/>
          <w:sz w:val="24"/>
          <w14:textFill>
            <w14:solidFill>
              <w14:schemeClr w14:val="tx1"/>
            </w14:solidFill>
          </w14:textFill>
        </w:rPr>
        <w:t>综合评分法</w:t>
      </w:r>
      <w:r>
        <w:rPr>
          <w:rFonts w:hint="eastAsia" w:ascii="宋体" w:hAnsi="宋体"/>
          <w:color w:val="000000" w:themeColor="text1"/>
          <w:kern w:val="0"/>
          <w:sz w:val="24"/>
          <w14:textFill>
            <w14:solidFill>
              <w14:schemeClr w14:val="tx1"/>
            </w14:solidFill>
          </w14:textFill>
        </w:rPr>
        <w:t>，总计100分。评标标准按以下内容及分值进行评审。</w:t>
      </w:r>
    </w:p>
    <w:tbl>
      <w:tblPr>
        <w:tblStyle w:val="30"/>
        <w:tblW w:w="8594"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9"/>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199" w:type="dxa"/>
            <w:tcBorders>
              <w:tl2br w:val="single" w:color="auto" w:sz="4" w:space="0"/>
            </w:tcBorders>
          </w:tcPr>
          <w:p>
            <w:pPr>
              <w:autoSpaceDE w:val="0"/>
              <w:autoSpaceDN w:val="0"/>
              <w:adjustRightInd w:val="0"/>
              <w:spacing w:after="0" w:line="312" w:lineRule="auto"/>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          标段</w:t>
            </w:r>
          </w:p>
          <w:p>
            <w:pPr>
              <w:autoSpaceDE w:val="0"/>
              <w:autoSpaceDN w:val="0"/>
              <w:adjustRightInd w:val="0"/>
              <w:spacing w:after="0" w:line="312" w:lineRule="auto"/>
              <w:jc w:val="left"/>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类别</w:t>
            </w:r>
          </w:p>
        </w:tc>
        <w:tc>
          <w:tcPr>
            <w:tcW w:w="4395" w:type="dxa"/>
            <w:vAlign w:val="center"/>
          </w:tcPr>
          <w:p>
            <w:pPr>
              <w:autoSpaceDE w:val="0"/>
              <w:autoSpaceDN w:val="0"/>
              <w:adjustRightInd w:val="0"/>
              <w:spacing w:after="0" w:line="312" w:lineRule="auto"/>
              <w:jc w:val="center"/>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fldChar w:fldCharType="begin"/>
            </w:r>
            <w:r>
              <w:rPr>
                <w:rFonts w:hint="eastAsia" w:ascii="宋体" w:hAnsi="宋体" w:cs="Arial"/>
                <w:color w:val="000000" w:themeColor="text1"/>
                <w:sz w:val="24"/>
                <w14:textFill>
                  <w14:solidFill>
                    <w14:schemeClr w14:val="tx1"/>
                  </w14:solidFill>
                </w14:textFill>
              </w:rPr>
              <w:instrText xml:space="preserve">= 1 \* CHINESENUM3</w:instrText>
            </w:r>
            <w:r>
              <w:rPr>
                <w:rFonts w:ascii="宋体" w:hAnsi="宋体" w:cs="Arial"/>
                <w:color w:val="000000" w:themeColor="text1"/>
                <w:sz w:val="24"/>
                <w14:textFill>
                  <w14:solidFill>
                    <w14:schemeClr w14:val="tx1"/>
                  </w14:solidFill>
                </w14:textFill>
              </w:rPr>
              <w:fldChar w:fldCharType="separate"/>
            </w:r>
            <w:r>
              <w:rPr>
                <w:rFonts w:hint="eastAsia" w:ascii="宋体" w:hAnsi="宋体" w:cs="Arial"/>
                <w:color w:val="000000" w:themeColor="text1"/>
                <w:sz w:val="24"/>
                <w14:textFill>
                  <w14:solidFill>
                    <w14:schemeClr w14:val="tx1"/>
                  </w14:solidFill>
                </w14:textFill>
              </w:rPr>
              <w:t>一</w:t>
            </w:r>
            <w:r>
              <w:rPr>
                <w:rFonts w:ascii="宋体" w:hAnsi="宋体" w:cs="Arial"/>
                <w:color w:val="000000" w:themeColor="text1"/>
                <w:sz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99" w:type="dxa"/>
            <w:vAlign w:val="center"/>
          </w:tcPr>
          <w:p>
            <w:pPr>
              <w:autoSpaceDE w:val="0"/>
              <w:autoSpaceDN w:val="0"/>
              <w:adjustRightInd w:val="0"/>
              <w:spacing w:after="0" w:line="312" w:lineRule="auto"/>
              <w:jc w:val="left"/>
              <w:rPr>
                <w:rFonts w:ascii="宋体" w:hAnsi="宋体" w:cs="Arial"/>
                <w:color w:val="000000" w:themeColor="text1"/>
                <w:sz w:val="24"/>
                <w14:textFill>
                  <w14:solidFill>
                    <w14:schemeClr w14:val="tx1"/>
                  </w14:solidFill>
                </w14:textFill>
              </w:rPr>
            </w:pPr>
            <w:r>
              <w:rPr>
                <w:rFonts w:hint="eastAsia" w:ascii="宋体"/>
                <w:color w:val="000000" w:themeColor="text1"/>
                <w:kern w:val="0"/>
                <w:sz w:val="24"/>
                <w14:textFill>
                  <w14:solidFill>
                    <w14:schemeClr w14:val="tx1"/>
                  </w14:solidFill>
                </w14:textFill>
              </w:rPr>
              <w:t xml:space="preserve">资信技术 </w:t>
            </w:r>
          </w:p>
        </w:tc>
        <w:tc>
          <w:tcPr>
            <w:tcW w:w="4395" w:type="dxa"/>
            <w:vAlign w:val="center"/>
          </w:tcPr>
          <w:p>
            <w:pPr>
              <w:autoSpaceDE w:val="0"/>
              <w:autoSpaceDN w:val="0"/>
              <w:adjustRightInd w:val="0"/>
              <w:spacing w:after="0" w:line="312" w:lineRule="auto"/>
              <w:jc w:val="center"/>
              <w:rPr>
                <w:rFonts w:hint="default" w:ascii="宋体" w:hAnsi="宋体" w:eastAsia="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99" w:type="dxa"/>
            <w:vAlign w:val="center"/>
          </w:tcPr>
          <w:p>
            <w:pPr>
              <w:autoSpaceDE w:val="0"/>
              <w:autoSpaceDN w:val="0"/>
              <w:adjustRightInd w:val="0"/>
              <w:spacing w:after="0" w:line="312" w:lineRule="auto"/>
              <w:jc w:val="left"/>
              <w:rPr>
                <w:rFonts w:ascii="宋体"/>
                <w:color w:val="000000" w:themeColor="text1"/>
                <w:kern w:val="0"/>
                <w:sz w:val="24"/>
                <w14:textFill>
                  <w14:solidFill>
                    <w14:schemeClr w14:val="tx1"/>
                  </w14:solidFill>
                </w14:textFill>
              </w:rPr>
            </w:pPr>
            <w:r>
              <w:rPr>
                <w:rFonts w:hint="eastAsia" w:ascii="宋体"/>
                <w:color w:val="000000" w:themeColor="text1"/>
                <w:kern w:val="0"/>
                <w:sz w:val="24"/>
                <w14:textFill>
                  <w14:solidFill>
                    <w14:schemeClr w14:val="tx1"/>
                  </w14:solidFill>
                </w14:textFill>
              </w:rPr>
              <w:t>价格</w:t>
            </w:r>
          </w:p>
        </w:tc>
        <w:tc>
          <w:tcPr>
            <w:tcW w:w="4395" w:type="dxa"/>
            <w:vAlign w:val="center"/>
          </w:tcPr>
          <w:p>
            <w:pPr>
              <w:autoSpaceDE w:val="0"/>
              <w:autoSpaceDN w:val="0"/>
              <w:adjustRightInd w:val="0"/>
              <w:spacing w:after="0" w:line="312" w:lineRule="auto"/>
              <w:jc w:val="center"/>
              <w:rPr>
                <w:rFonts w:hint="default" w:ascii="宋体" w:hAnsi="宋体" w:eastAsia="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40</w:t>
            </w:r>
          </w:p>
        </w:tc>
      </w:tr>
    </w:tbl>
    <w:p>
      <w:pPr>
        <w:autoSpaceDE w:val="0"/>
        <w:autoSpaceDN w:val="0"/>
        <w:adjustRightInd w:val="0"/>
        <w:spacing w:line="360" w:lineRule="auto"/>
        <w:ind w:left="359" w:leftChars="171" w:firstLine="120" w:firstLineChars="50"/>
        <w:jc w:val="left"/>
        <w:rPr>
          <w:rFonts w:ascii="宋体"/>
          <w:bCs/>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（一）商务与技术文件中的</w:t>
      </w:r>
      <w:r>
        <w:rPr>
          <w:rFonts w:hint="eastAsia" w:ascii="宋体"/>
          <w:bCs/>
          <w:color w:val="000000" w:themeColor="text1"/>
          <w:sz w:val="24"/>
          <w:lang w:val="zh-CN" w:eastAsia="zh-Hans"/>
          <w14:textFill>
            <w14:solidFill>
              <w14:schemeClr w14:val="tx1"/>
            </w14:solidFill>
          </w14:textFill>
        </w:rPr>
        <w:t>客观分</w:t>
      </w:r>
      <w:r>
        <w:rPr>
          <w:rFonts w:hint="eastAsia" w:ascii="宋体"/>
          <w:bCs/>
          <w:color w:val="000000" w:themeColor="text1"/>
          <w:sz w:val="24"/>
          <w:lang w:val="zh-CN"/>
          <w14:textFill>
            <w14:solidFill>
              <w14:schemeClr w14:val="tx1"/>
            </w14:solidFill>
          </w14:textFill>
        </w:rPr>
        <w:t>由磋商小组在规定的分值内单独评定打分</w:t>
      </w:r>
      <w:r>
        <w:rPr>
          <w:rFonts w:hint="eastAsia" w:ascii="宋体"/>
          <w:bCs/>
          <w:color w:val="000000" w:themeColor="text1"/>
          <w:sz w:val="24"/>
          <w:lang w:val="zh-CN" w:eastAsia="zh-Hans"/>
          <w14:textFill>
            <w14:solidFill>
              <w14:schemeClr w14:val="tx1"/>
            </w14:solidFill>
          </w14:textFill>
        </w:rPr>
        <w:t>，且最终分值应当一致</w:t>
      </w:r>
      <w:r>
        <w:rPr>
          <w:rFonts w:hint="eastAsia" w:ascii="宋体"/>
          <w:bCs/>
          <w:color w:val="000000" w:themeColor="text1"/>
          <w:sz w:val="24"/>
          <w:lang w:val="zh-CN"/>
          <w14:textFill>
            <w14:solidFill>
              <w14:schemeClr w14:val="tx1"/>
            </w14:solidFill>
          </w14:textFill>
        </w:rPr>
        <w:t>；其余在规定的分值内单独评定打分。</w:t>
      </w:r>
    </w:p>
    <w:p>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（二）各磋商供应商商务与技术文件</w:t>
      </w:r>
      <w:r>
        <w:rPr>
          <w:rFonts w:hint="eastAsia" w:ascii="宋体"/>
          <w:color w:val="000000" w:themeColor="text1"/>
          <w:kern w:val="0"/>
          <w:sz w:val="24"/>
          <w:lang w:val="zh-CN"/>
          <w14:textFill>
            <w14:solidFill>
              <w14:schemeClr w14:val="tx1"/>
            </w14:solidFill>
          </w14:textFill>
        </w:rPr>
        <w:t>得分按照</w:t>
      </w:r>
      <w:r>
        <w:rPr>
          <w:rFonts w:hint="eastAsia" w:ascii="宋体" w:hAnsi="宋体"/>
          <w:color w:val="000000" w:themeColor="text1"/>
          <w:sz w:val="24"/>
          <w14:textFill>
            <w14:solidFill>
              <w14:schemeClr w14:val="tx1"/>
            </w14:solidFill>
          </w14:textFill>
        </w:rPr>
        <w:t>评标委员会</w:t>
      </w:r>
      <w:r>
        <w:rPr>
          <w:rFonts w:hint="eastAsia" w:ascii="宋体"/>
          <w:color w:val="000000" w:themeColor="text1"/>
          <w:kern w:val="0"/>
          <w:sz w:val="24"/>
          <w:lang w:val="zh-CN"/>
          <w14:textFill>
            <w14:solidFill>
              <w14:schemeClr w14:val="tx1"/>
            </w14:solidFill>
          </w14:textFill>
        </w:rPr>
        <w:t>成</w:t>
      </w:r>
      <w:r>
        <w:rPr>
          <w:rFonts w:hint="eastAsia" w:ascii="宋体"/>
          <w:bCs/>
          <w:color w:val="000000" w:themeColor="text1"/>
          <w:sz w:val="24"/>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商务与技术文件得分</w:t>
      </w:r>
      <w:r>
        <w:rPr>
          <w:rFonts w:hint="eastAsia" w:ascii="宋体"/>
          <w:bCs/>
          <w:color w:val="000000" w:themeColor="text1"/>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评标委员会</w:t>
      </w:r>
      <w:r>
        <w:rPr>
          <w:rFonts w:hint="eastAsia" w:ascii="宋体"/>
          <w:bCs/>
          <w:color w:val="000000" w:themeColor="text1"/>
          <w:sz w:val="24"/>
          <w:lang w:val="zh-CN"/>
          <w14:textFill>
            <w14:solidFill>
              <w14:schemeClr w14:val="tx1"/>
            </w14:solidFill>
          </w14:textFill>
        </w:rPr>
        <w:t>所有成员评分合计数/</w:t>
      </w:r>
      <w:r>
        <w:rPr>
          <w:rFonts w:hint="eastAsia" w:ascii="宋体" w:hAnsi="宋体"/>
          <w:color w:val="000000" w:themeColor="text1"/>
          <w:sz w:val="24"/>
          <w14:textFill>
            <w14:solidFill>
              <w14:schemeClr w14:val="tx1"/>
            </w14:solidFill>
          </w14:textFill>
        </w:rPr>
        <w:t>评标委员会</w:t>
      </w:r>
      <w:r>
        <w:rPr>
          <w:rFonts w:hint="eastAsia" w:ascii="宋体"/>
          <w:bCs/>
          <w:color w:val="000000" w:themeColor="text1"/>
          <w:sz w:val="24"/>
          <w:lang w:val="zh-CN"/>
          <w14:textFill>
            <w14:solidFill>
              <w14:schemeClr w14:val="tx1"/>
            </w14:solidFill>
          </w14:textFill>
        </w:rPr>
        <w:t>组成人员数。</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（三）</w:t>
      </w:r>
      <w:r>
        <w:rPr>
          <w:rFonts w:hint="eastAsia"/>
          <w:color w:val="000000" w:themeColor="text1"/>
          <w:sz w:val="24"/>
          <w:u w:val="single"/>
          <w14:textFill>
            <w14:solidFill>
              <w14:schemeClr w14:val="tx1"/>
            </w14:solidFill>
          </w14:textFill>
        </w:rPr>
        <w:t>综合评分法中的价格分统一</w:t>
      </w:r>
      <w:r>
        <w:rPr>
          <w:rFonts w:hint="eastAsia" w:ascii="宋体"/>
          <w:color w:val="000000" w:themeColor="text1"/>
          <w:sz w:val="24"/>
          <w:lang w:val="zh-CN"/>
          <w14:textFill>
            <w14:solidFill>
              <w14:schemeClr w14:val="tx1"/>
            </w14:solidFill>
          </w14:textFill>
        </w:rPr>
        <w:t>采用低价优先法计算，即满足磋商文件要求且最后报价最低的供应商的价格作为磋商基准价，其报价得满分。其他供应商的价格分统一按照下列公式计算：</w:t>
      </w:r>
    </w:p>
    <w:p>
      <w:pPr>
        <w:autoSpaceDE w:val="0"/>
        <w:autoSpaceDN w:val="0"/>
        <w:adjustRightInd w:val="0"/>
        <w:spacing w:line="360" w:lineRule="auto"/>
        <w:ind w:right="85" w:firstLine="480" w:firstLineChars="200"/>
        <w:rPr>
          <w:rFonts w:ascii="宋体" w:hAnsi="宋体"/>
          <w:color w:val="000000" w:themeColor="text1"/>
          <w:sz w:val="24"/>
          <w:u w:val="single"/>
          <w14:textFill>
            <w14:solidFill>
              <w14:schemeClr w14:val="tx1"/>
            </w14:solidFill>
          </w14:textFill>
        </w:rPr>
      </w:pPr>
      <w:r>
        <w:rPr>
          <w:rFonts w:hint="eastAsia"/>
          <w:color w:val="000000" w:themeColor="text1"/>
          <w:sz w:val="24"/>
          <w:u w:val="single"/>
          <w14:textFill>
            <w14:solidFill>
              <w14:schemeClr w14:val="tx1"/>
            </w14:solidFill>
          </w14:textFill>
        </w:rPr>
        <w:t>磋商报价得分</w:t>
      </w:r>
      <w:r>
        <w:rPr>
          <w:color w:val="000000" w:themeColor="text1"/>
          <w:sz w:val="24"/>
          <w:u w:val="single"/>
          <w14:textFill>
            <w14:solidFill>
              <w14:schemeClr w14:val="tx1"/>
            </w14:solidFill>
          </w14:textFill>
        </w:rPr>
        <w:t>=(</w:t>
      </w:r>
      <w:r>
        <w:rPr>
          <w:rFonts w:hint="eastAsia" w:ascii="宋体"/>
          <w:color w:val="000000" w:themeColor="text1"/>
          <w:sz w:val="24"/>
          <w:u w:val="single"/>
          <w:lang w:val="zh-CN"/>
          <w14:textFill>
            <w14:solidFill>
              <w14:schemeClr w14:val="tx1"/>
            </w14:solidFill>
          </w14:textFill>
        </w:rPr>
        <w:t>磋商基准价</w:t>
      </w:r>
      <w:r>
        <w:rPr>
          <w:rFonts w:hint="eastAsia"/>
          <w:color w:val="000000" w:themeColor="text1"/>
          <w:sz w:val="24"/>
          <w:u w:val="single"/>
          <w14:textFill>
            <w14:solidFill>
              <w14:schemeClr w14:val="tx1"/>
            </w14:solidFill>
          </w14:textFill>
        </w:rPr>
        <w:t>／最后磋商</w:t>
      </w:r>
      <w:r>
        <w:rPr>
          <w:rFonts w:hint="eastAsia" w:ascii="宋体" w:hAnsi="宋体"/>
          <w:color w:val="000000" w:themeColor="text1"/>
          <w:sz w:val="24"/>
          <w:u w:val="single"/>
          <w14:textFill>
            <w14:solidFill>
              <w14:schemeClr w14:val="tx1"/>
            </w14:solidFill>
          </w14:textFill>
        </w:rPr>
        <w:t>报价)×</w:t>
      </w:r>
      <w:r>
        <w:rPr>
          <w:rFonts w:hint="eastAsia" w:ascii="宋体"/>
          <w:bCs/>
          <w:color w:val="000000" w:themeColor="text1"/>
          <w:sz w:val="24"/>
          <w:u w:val="single"/>
          <w:lang w:val="zh-CN"/>
          <w14:textFill>
            <w14:solidFill>
              <w14:schemeClr w14:val="tx1"/>
            </w14:solidFill>
          </w14:textFill>
        </w:rPr>
        <w:t>价格分值</w:t>
      </w:r>
      <w:r>
        <w:rPr>
          <w:rFonts w:hint="eastAsia" w:ascii="宋体" w:hAnsi="宋体"/>
          <w:color w:val="000000" w:themeColor="text1"/>
          <w:sz w:val="24"/>
          <w:u w:val="single"/>
          <w14:textFill>
            <w14:solidFill>
              <w14:schemeClr w14:val="tx1"/>
            </w14:solidFill>
          </w14:textFill>
        </w:rPr>
        <w:t>%×100 。</w:t>
      </w:r>
    </w:p>
    <w:p>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注：得分以系统计算为准，保留2位小数。</w:t>
      </w:r>
    </w:p>
    <w:p>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三、在最大限度地满足磋商文件实质性要求前提下，</w:t>
      </w:r>
      <w:r>
        <w:rPr>
          <w:rFonts w:hint="eastAsia" w:ascii="宋体" w:hAnsi="宋体"/>
          <w:color w:val="000000" w:themeColor="text1"/>
          <w:sz w:val="24"/>
          <w14:textFill>
            <w14:solidFill>
              <w14:schemeClr w14:val="tx1"/>
            </w14:solidFill>
          </w14:textFill>
        </w:rPr>
        <w:t>评标委员会</w:t>
      </w:r>
      <w:r>
        <w:rPr>
          <w:rFonts w:hint="eastAsia" w:ascii="宋体"/>
          <w:color w:val="000000" w:themeColor="text1"/>
          <w:sz w:val="24"/>
          <w:lang w:val="zh-CN"/>
          <w14:textFill>
            <w14:solidFill>
              <w14:schemeClr w14:val="tx1"/>
            </w14:solidFill>
          </w14:textFill>
        </w:rPr>
        <w:t>按照磋商文件中规定的各项因素进行综合评审后，以评审总得分最高的供应商为成交候选供应商。</w:t>
      </w:r>
    </w:p>
    <w:p>
      <w:pPr>
        <w:autoSpaceDE w:val="0"/>
        <w:autoSpaceDN w:val="0"/>
        <w:adjustRightInd w:val="0"/>
        <w:spacing w:line="360" w:lineRule="auto"/>
        <w:ind w:right="85" w:firstLine="480" w:firstLineChars="200"/>
        <w:rPr>
          <w:rFonts w:hint="eastAsia"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四、如综合得分相同，最后报价低者为先；如综合得分且最后报价相同的，货物类采购项目以技术性能得分较高者为先，服务类采购项目以实力信誉及业绩得分较高者为先；若货物类技术性能分相同、服务类实力信誉及业绩分相同，则由采购人确定中标人。</w:t>
      </w:r>
    </w:p>
    <w:p>
      <w:pPr>
        <w:autoSpaceDE w:val="0"/>
        <w:autoSpaceDN w:val="0"/>
        <w:adjustRightInd w:val="0"/>
        <w:spacing w:line="360" w:lineRule="auto"/>
        <w:ind w:right="85" w:firstLine="480" w:firstLineChars="200"/>
        <w:rPr>
          <w:rFonts w:hint="eastAsia"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五、提供相同品牌产品的不同供应商参加同一合同项下磋商的，按一家供应商认定：（1）采用最低评标价法的采购项目，以其中通过资格审查、符合性审查且报价最低的参加评标；报价相同的，由磋商小组集体确定一个供应商参加磋商，其他供应商不再参加。（2）使用综合评分法的采购项目，评审后得分最高的同品牌供应商获得成交推荐资格；评审得分相同的，由磋商小组集体推荐一个供应商作为成交候选人，其他同品牌供应商不作为成交候选人。</w:t>
      </w:r>
    </w:p>
    <w:p>
      <w:pPr>
        <w:tabs>
          <w:tab w:val="left" w:pos="5355"/>
        </w:tabs>
        <w:autoSpaceDE w:val="0"/>
        <w:autoSpaceDN w:val="0"/>
        <w:adjustRightInd w:val="0"/>
        <w:spacing w:line="360" w:lineRule="auto"/>
        <w:ind w:right="85" w:firstLine="480" w:firstLineChars="200"/>
        <w:rPr>
          <w:rFonts w:ascii="宋体" w:hAnsi="宋体"/>
          <w:color w:val="000000" w:themeColor="text1"/>
          <w:kern w:val="0"/>
          <w:sz w:val="24"/>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六</w:t>
      </w:r>
      <w:r>
        <w:rPr>
          <w:rFonts w:hint="eastAsia" w:ascii="宋体"/>
          <w:color w:val="000000" w:themeColor="text1"/>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本次评分具体分值细化条款如下表：</w:t>
      </w:r>
      <w:r>
        <w:rPr>
          <w:rFonts w:ascii="宋体" w:hAnsi="宋体"/>
          <w:color w:val="000000" w:themeColor="text1"/>
          <w:kern w:val="0"/>
          <w:sz w:val="24"/>
          <w14:textFill>
            <w14:solidFill>
              <w14:schemeClr w14:val="tx1"/>
            </w14:solidFill>
          </w14:textFill>
        </w:rPr>
        <w:tab/>
      </w:r>
    </w:p>
    <w:tbl>
      <w:tblPr>
        <w:tblStyle w:val="30"/>
        <w:tblW w:w="96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6"/>
        <w:gridCol w:w="1246"/>
        <w:gridCol w:w="6389"/>
        <w:gridCol w:w="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评分项目</w:t>
            </w:r>
          </w:p>
        </w:tc>
        <w:tc>
          <w:tcPr>
            <w:tcW w:w="7635"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评分细则</w:t>
            </w:r>
          </w:p>
        </w:tc>
        <w:tc>
          <w:tcPr>
            <w:tcW w:w="77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技术</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项目实施方案</w:t>
            </w:r>
          </w:p>
        </w:tc>
        <w:tc>
          <w:tcPr>
            <w:tcW w:w="6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项目实施方案需包含网络安全及数据安全方案、工期按排、进度安排、验收</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方案</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等进行详细合理的描述，按照项目分解节点，并可跟踪实施。根据供应商提供的内容进行分档评分：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1、方案完整切实有效，合理可行，有利项目实施得4分；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2、方案比较完整有效，思路比较清晰明确得3分；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3、方案不够完整，措施不够有效得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分；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4、方案内容涉及方面少，保障效果差得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分；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5、缺项不得分。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重难点把握</w:t>
            </w:r>
          </w:p>
        </w:tc>
        <w:tc>
          <w:tcPr>
            <w:tcW w:w="6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根据投标人对项目重点、难点的把握，解决方案及合理化建议情况进行分档评分。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1、思路清晰，重难点把握准确，理解深入的得4分；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2、思路较清晰，重难点把握较准确的得3分；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3、思路不够清晰，重难点把握不够准确的得2分；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4、思路模糊，重难点把握及定位不够准确的得1分。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产品成熟度（客观分）</w:t>
            </w:r>
          </w:p>
        </w:tc>
        <w:tc>
          <w:tcPr>
            <w:tcW w:w="6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投标产品厂商具有ISO9001质量管理体系认证证书、ISO27001信息安全管理体系认证证书、ISO22301业务连续性管理体系认证证书、</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SA8000-2014社会责任管理体系认证证书、ISO14001环境管理体系认证证书</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以上每一个有效期内的证书得1分，最高得5分。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技术响应</w:t>
            </w:r>
          </w:p>
        </w:tc>
        <w:tc>
          <w:tcPr>
            <w:tcW w:w="6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符合招标文件明确指标参数的得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29</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分。加▲为关键参数，不允许负偏离，必须满足，对标注“★”的指标参数属负偏离或缺漏项的每项扣2分，其他指标参数每项负偏离或缺漏扣1分，扣完为止。</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环境标志及节能产品认证（客观分）</w:t>
            </w:r>
          </w:p>
        </w:tc>
        <w:tc>
          <w:tcPr>
            <w:tcW w:w="6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投标产品获得国家认证机构出具的环境标志产品或节能产品认证证书，每提供一个证书0.5分，最高得1分；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商务资信</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类似项目业绩（客观分）</w:t>
            </w:r>
          </w:p>
        </w:tc>
        <w:tc>
          <w:tcPr>
            <w:tcW w:w="6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合同签订日期自2021年1月1日以来，投标供应商提供类似项目业绩</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（存储相关）</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，每提供一个得1分，最高得2分。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注：投标时须提供合同原件的扫描件，否则不得分。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售后服务方案</w:t>
            </w:r>
          </w:p>
        </w:tc>
        <w:tc>
          <w:tcPr>
            <w:tcW w:w="6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售后服务响应时间，出现质量问题的处理，日常检测及保养，故障处理效率，应急维修承诺等的售后承诺方案进行分档评分；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1、方案完整切实有效，合理可行，有利项目实施得4分；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2、方案比较完整有效，思路比较清晰明确得3分；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3、方案不够完整，措施不够有效得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分；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4、方案内容涉及方面少，保障效果差得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bookmarkStart w:id="52" w:name="_GoBack"/>
            <w:bookmarkEnd w:id="52"/>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分；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5、缺项不得分。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售后网点及服务能力（客观分）</w:t>
            </w:r>
          </w:p>
        </w:tc>
        <w:tc>
          <w:tcPr>
            <w:tcW w:w="6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1、服务网点：投标人所投产品厂家在浙江省内设立售后服务网点得1分，没有的不得分。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服务技术能力：投标人所投产品厂家在浙江省内服务网点配备相关服务人员，人员具有OCM认证工程师的，最多得1分；人员同时具有OCP认证和PMP认证的，最多得1分；人员同时具有OCP认证、VCP认证与PMP认证的，最多得2分；同一人员只计一次得分，没有相关认证的不得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提供服务网点相关营业执照与对应人员近3个月的社保证明，未提供的不得分。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人员培训方案</w:t>
            </w:r>
          </w:p>
        </w:tc>
        <w:tc>
          <w:tcPr>
            <w:tcW w:w="6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根据供应商提供的培训方案进行评价打分：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①培训计划科学、全面，培训流程完善得3分；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②培训计划一般，培训流程相对完善得1分。</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培训方案未提供的不得分。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备品备件</w:t>
            </w:r>
          </w:p>
        </w:tc>
        <w:tc>
          <w:tcPr>
            <w:tcW w:w="6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根据投标人提供的备品备件情况进行分档评分：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一档得3分；二档得2分；</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叁</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档得</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分</w:t>
            </w: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不提供备品备件本项不得分。</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报价</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40分</w:t>
            </w:r>
          </w:p>
        </w:tc>
        <w:tc>
          <w:tcPr>
            <w:tcW w:w="7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以合格投标人有效总报价中的最低价为基准价，基准价为 40 分。报价得分＝（评标基准价/最终报价）×40%×100（小数点后保留2位小数）。</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w:t>
            </w:r>
          </w:p>
        </w:tc>
      </w:tr>
    </w:tbl>
    <w:p>
      <w:pPr>
        <w:rPr>
          <w:rFonts w:ascii="宋体" w:hAnsi="宋体"/>
          <w:b/>
          <w:color w:val="000000" w:themeColor="text1"/>
          <w:sz w:val="36"/>
          <w:szCs w:val="36"/>
          <w14:textFill>
            <w14:solidFill>
              <w14:schemeClr w14:val="tx1"/>
            </w14:solidFill>
          </w14:textFill>
        </w:rPr>
      </w:pPr>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第五章　政府采购合同主要条款指引</w:t>
      </w:r>
    </w:p>
    <w:p>
      <w:pPr>
        <w:keepNext w:val="0"/>
        <w:keepLines w:val="0"/>
        <w:widowControl/>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以下为成交后签订本项目合同的通用条款，中标人不得提出实质性的修改，关于专用条款将由采购人与中标人结合本项目具体情况协商后签订。</w:t>
      </w:r>
    </w:p>
    <w:p>
      <w:pPr>
        <w:pStyle w:val="17"/>
        <w:keepNext w:val="0"/>
        <w:keepLines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                                项目编号：</w:t>
      </w:r>
    </w:p>
    <w:p>
      <w:pPr>
        <w:pStyle w:val="17"/>
        <w:keepNext w:val="0"/>
        <w:keepLines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甲方：（采购单位）                        所在地：          </w:t>
      </w:r>
    </w:p>
    <w:p>
      <w:pPr>
        <w:pStyle w:val="17"/>
        <w:keepNext w:val="0"/>
        <w:keepLines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乙方：（中标人）                          所在地：</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甲、乙双方根据××（采购组织机构名称）关于××单位××项目公开招标的结果，签署本合同。</w:t>
      </w:r>
    </w:p>
    <w:p>
      <w:pPr>
        <w:keepNext w:val="0"/>
        <w:keepLines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 xml:space="preserve">一、合同文件： </w:t>
      </w:r>
    </w:p>
    <w:p>
      <w:pPr>
        <w:keepNext w:val="0"/>
        <w:keepLines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lang w:val="zh-CN"/>
          <w14:textFill>
            <w14:solidFill>
              <w14:schemeClr w14:val="tx1"/>
            </w14:solidFill>
          </w14:textFill>
        </w:rPr>
        <w:t>）合同条款。</w:t>
      </w:r>
    </w:p>
    <w:p>
      <w:pPr>
        <w:keepNext w:val="0"/>
        <w:keepLines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lang w:val="zh-CN"/>
          <w14:textFill>
            <w14:solidFill>
              <w14:schemeClr w14:val="tx1"/>
            </w14:solidFill>
          </w14:textFill>
        </w:rPr>
        <w:t>中标通知书。</w:t>
      </w:r>
    </w:p>
    <w:p>
      <w:pPr>
        <w:keepNext w:val="0"/>
        <w:keepLines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w:t>
      </w:r>
      <w:r>
        <w:rPr>
          <w:rFonts w:hint="eastAsia" w:ascii="宋体" w:hAnsi="宋体" w:eastAsia="宋体" w:cs="宋体"/>
          <w:color w:val="000000" w:themeColor="text1"/>
          <w:sz w:val="24"/>
          <w:szCs w:val="24"/>
          <w:lang w:val="zh-CN"/>
          <w14:textFill>
            <w14:solidFill>
              <w14:schemeClr w14:val="tx1"/>
            </w14:solidFill>
          </w14:textFill>
        </w:rPr>
        <w:t>更正补充文件。</w:t>
      </w:r>
    </w:p>
    <w:p>
      <w:pPr>
        <w:keepNext w:val="0"/>
        <w:keepLines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四</w:t>
      </w:r>
      <w:r>
        <w:rPr>
          <w:rFonts w:hint="eastAsia" w:ascii="宋体" w:hAnsi="宋体" w:eastAsia="宋体" w:cs="宋体"/>
          <w:color w:val="000000" w:themeColor="text1"/>
          <w:sz w:val="24"/>
          <w:szCs w:val="24"/>
          <w:lang w:val="zh-CN"/>
          <w14:textFill>
            <w14:solidFill>
              <w14:schemeClr w14:val="tx1"/>
            </w14:solidFill>
          </w14:textFill>
        </w:rPr>
        <w:t>）招标文件。</w:t>
      </w:r>
    </w:p>
    <w:p>
      <w:pPr>
        <w:keepNext w:val="0"/>
        <w:keepLines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w:t>
      </w:r>
      <w:r>
        <w:rPr>
          <w:rFonts w:hint="eastAsia" w:ascii="宋体" w:hAnsi="宋体" w:eastAsia="宋体" w:cs="宋体"/>
          <w:color w:val="000000" w:themeColor="text1"/>
          <w:sz w:val="24"/>
          <w:szCs w:val="24"/>
          <w:lang w:val="zh-CN"/>
          <w14:textFill>
            <w14:solidFill>
              <w14:schemeClr w14:val="tx1"/>
            </w14:solidFill>
          </w14:textFill>
        </w:rPr>
        <w:t>中标</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eastAsia="宋体" w:cs="宋体"/>
          <w:color w:val="000000" w:themeColor="text1"/>
          <w:sz w:val="24"/>
          <w:szCs w:val="24"/>
          <w:lang w:val="zh-CN"/>
          <w14:textFill>
            <w14:solidFill>
              <w14:schemeClr w14:val="tx1"/>
            </w14:solidFill>
          </w14:textFill>
        </w:rPr>
        <w:t>投标文件。</w:t>
      </w:r>
    </w:p>
    <w:p>
      <w:pPr>
        <w:keepNext w:val="0"/>
        <w:keepLines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六</w:t>
      </w:r>
      <w:r>
        <w:rPr>
          <w:rFonts w:hint="eastAsia" w:ascii="宋体" w:hAnsi="宋体" w:eastAsia="宋体" w:cs="宋体"/>
          <w:color w:val="000000" w:themeColor="text1"/>
          <w:sz w:val="24"/>
          <w:szCs w:val="24"/>
          <w:lang w:val="zh-CN"/>
          <w14:textFill>
            <w14:solidFill>
              <w14:schemeClr w14:val="tx1"/>
            </w14:solidFill>
          </w14:textFill>
        </w:rPr>
        <w:t>）其他。</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上述所指合同文件应认为是互相补充和解释的，但是有模棱两可或互相矛盾之处，以其所列内容顺序为准。</w:t>
      </w:r>
    </w:p>
    <w:p>
      <w:pPr>
        <w:pStyle w:val="17"/>
        <w:keepNext w:val="0"/>
        <w:keepLines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二、货物内容</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（一）货物名称：</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（二）型号规格：</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（三）技术参数：</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（四）数量（单位）：</w:t>
      </w:r>
    </w:p>
    <w:p>
      <w:pPr>
        <w:pStyle w:val="17"/>
        <w:keepNext w:val="0"/>
        <w:keepLines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三、合同金额</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本合同金额为（大写）：____________________元（￥__________元）人民币。</w:t>
      </w:r>
    </w:p>
    <w:p>
      <w:pPr>
        <w:pStyle w:val="17"/>
        <w:keepNext w:val="0"/>
        <w:keepLines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四、技术资料</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（一）乙方应按招标文件规定的时间向甲方提供使用货物的有关技术资料。</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keepNext w:val="0"/>
        <w:keepLines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五、知识产权</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（一）乙方应保证所提供的货物或其任何一部分均不会侵犯任何第三方的知识产权。</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（二）若侵犯,由乙方赔偿甲方因此遭受的损失（包括但不限于应对及追偿过程中所支付的律师费、差旅费、诉讼费、保全费、鉴定费、评估费等）。</w:t>
      </w:r>
    </w:p>
    <w:p>
      <w:pPr>
        <w:pStyle w:val="17"/>
        <w:keepNext w:val="0"/>
        <w:keepLines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六、产权担保</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乙方保证所交付的货物的所有权完全属于乙方且无任何抵押、查封等产权瑕疵。</w:t>
      </w:r>
    </w:p>
    <w:p>
      <w:pPr>
        <w:pStyle w:val="17"/>
        <w:keepNext w:val="0"/>
        <w:keepLines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七、质保期</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质保期</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5  </w:t>
      </w:r>
      <w:r>
        <w:rPr>
          <w:rFonts w:hint="eastAsia" w:ascii="宋体" w:hAnsi="宋体" w:eastAsia="宋体" w:cs="宋体"/>
          <w:color w:val="000000" w:themeColor="text1"/>
          <w:sz w:val="24"/>
          <w:szCs w:val="24"/>
          <w14:textFill>
            <w14:solidFill>
              <w14:schemeClr w14:val="tx1"/>
            </w14:solidFill>
          </w14:textFill>
        </w:rPr>
        <w:t>年。（自交货验收合格之日起计）</w:t>
      </w:r>
    </w:p>
    <w:p>
      <w:pPr>
        <w:pStyle w:val="17"/>
        <w:keepNext w:val="0"/>
        <w:keepLines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八、交货期、交货方式及交货地点</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（一）交货期：</w:t>
      </w:r>
      <w:r>
        <w:rPr>
          <w:rFonts w:hint="eastAsia" w:ascii="宋体" w:hAnsi="宋体" w:eastAsia="宋体" w:cs="宋体"/>
          <w:color w:val="000000" w:themeColor="text1"/>
          <w:sz w:val="24"/>
          <w:szCs w:val="24"/>
          <w:lang w:val="en-US" w:eastAsia="zh-CN"/>
          <w14:textFill>
            <w14:solidFill>
              <w14:schemeClr w14:val="tx1"/>
            </w14:solidFill>
          </w14:textFill>
        </w:rPr>
        <w:t>30工作日</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（二）交货方式：</w:t>
      </w:r>
      <w:r>
        <w:rPr>
          <w:rFonts w:hint="eastAsia" w:ascii="宋体" w:hAnsi="宋体" w:eastAsia="宋体" w:cs="宋体"/>
          <w:color w:val="000000" w:themeColor="text1"/>
          <w:sz w:val="24"/>
          <w:szCs w:val="24"/>
          <w:lang w:eastAsia="zh-CN"/>
          <w14:textFill>
            <w14:solidFill>
              <w14:schemeClr w14:val="tx1"/>
            </w14:solidFill>
          </w14:textFill>
        </w:rPr>
        <w:t>送货上门并安装调试</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（三）交货地点：</w:t>
      </w:r>
      <w:r>
        <w:rPr>
          <w:rFonts w:hint="eastAsia" w:ascii="宋体" w:hAnsi="宋体" w:eastAsia="宋体" w:cs="宋体"/>
          <w:color w:val="000000" w:themeColor="text1"/>
          <w:sz w:val="24"/>
          <w:szCs w:val="24"/>
          <w:lang w:eastAsia="zh-CN"/>
          <w14:textFill>
            <w14:solidFill>
              <w14:schemeClr w14:val="tx1"/>
            </w14:solidFill>
          </w14:textFill>
        </w:rPr>
        <w:t>采购人指定地点</w:t>
      </w:r>
    </w:p>
    <w:p>
      <w:pPr>
        <w:pStyle w:val="17"/>
        <w:keepNext w:val="0"/>
        <w:keepLines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九、货款支付</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（一）付款方式：本项目款项支付分三期支付。第一期支付</w:t>
      </w:r>
      <w:r>
        <w:rPr>
          <w:rFonts w:hint="eastAsia" w:hAnsi="宋体" w:cs="宋体"/>
          <w:color w:val="000000" w:themeColor="text1"/>
          <w:sz w:val="24"/>
          <w:szCs w:val="24"/>
          <w:lang w:eastAsia="zh-CN"/>
          <w14:textFill>
            <w14:solidFill>
              <w14:schemeClr w14:val="tx1"/>
            </w14:solidFill>
          </w14:textFill>
        </w:rPr>
        <w:t>甲方</w:t>
      </w:r>
      <w:r>
        <w:rPr>
          <w:rFonts w:hint="eastAsia" w:ascii="宋体" w:hAnsi="宋体" w:eastAsia="宋体" w:cs="宋体"/>
          <w:color w:val="000000" w:themeColor="text1"/>
          <w:sz w:val="24"/>
          <w:szCs w:val="24"/>
          <w14:textFill>
            <w14:solidFill>
              <w14:schemeClr w14:val="tx1"/>
            </w14:solidFill>
          </w14:textFill>
        </w:rPr>
        <w:t>在合同签定后7个工作日内完成向</w:t>
      </w:r>
      <w:r>
        <w:rPr>
          <w:rFonts w:hint="eastAsia" w:hAnsi="宋体" w:cs="宋体"/>
          <w:color w:val="000000" w:themeColor="text1"/>
          <w:sz w:val="24"/>
          <w:szCs w:val="24"/>
          <w:lang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支付项目预付款，项目预付款为支付合同额的45%，同时</w:t>
      </w:r>
      <w:r>
        <w:rPr>
          <w:rFonts w:hint="eastAsia" w:hAnsi="宋体" w:cs="宋体"/>
          <w:color w:val="000000" w:themeColor="text1"/>
          <w:sz w:val="24"/>
          <w:szCs w:val="24"/>
          <w:lang w:eastAsia="zh-CN"/>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向采购人提交银行、保险公司等金融机构出具同等金额的预付款保函</w:t>
      </w:r>
      <w:r>
        <w:rPr>
          <w:rFonts w:hint="eastAsia" w:hAnsi="宋体" w:cs="宋体"/>
          <w:color w:val="000000" w:themeColor="text1"/>
          <w:sz w:val="24"/>
          <w:szCs w:val="24"/>
          <w:lang w:eastAsia="zh-CN"/>
          <w14:textFill>
            <w14:solidFill>
              <w14:schemeClr w14:val="tx1"/>
            </w14:solidFill>
          </w14:textFill>
        </w:rPr>
        <w:t>（甲方收到乙方保函后再进行预付款支付）</w:t>
      </w:r>
      <w:r>
        <w:rPr>
          <w:rFonts w:hint="eastAsia" w:ascii="宋体" w:hAnsi="宋体" w:eastAsia="宋体" w:cs="宋体"/>
          <w:color w:val="000000" w:themeColor="text1"/>
          <w:sz w:val="24"/>
          <w:szCs w:val="24"/>
          <w14:textFill>
            <w14:solidFill>
              <w14:schemeClr w14:val="tx1"/>
            </w14:solidFill>
          </w14:textFill>
        </w:rPr>
        <w:t>。第二期设备到货安装完毕支付合同总金额40%，第三期验收合格后支付合同总金额的15%</w:t>
      </w:r>
      <w:r>
        <w:rPr>
          <w:rFonts w:hint="eastAsia" w:ascii="宋体" w:hAnsi="宋体" w:eastAsia="宋体" w:cs="宋体"/>
          <w:color w:val="000000" w:themeColor="text1"/>
          <w:sz w:val="24"/>
          <w:szCs w:val="24"/>
          <w:lang w:eastAsia="zh-CN"/>
          <w14:textFill>
            <w14:solidFill>
              <w14:schemeClr w14:val="tx1"/>
            </w14:solidFill>
          </w14:textFill>
        </w:rPr>
        <w:t>。</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（二）当采购数量与实际使用数量不一致时，由采购单位向同级财政部门申请并经批准后，可以由乙方根据实际使用量供货，合同的最终结算金额按实际使用量乘以成交单价进行计算。</w:t>
      </w:r>
    </w:p>
    <w:p>
      <w:pPr>
        <w:keepNext w:val="0"/>
        <w:keepLines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十、税费</w:t>
      </w:r>
    </w:p>
    <w:p>
      <w:pPr>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本合同执行中相关的一切税费均由乙方负担。</w:t>
      </w:r>
    </w:p>
    <w:p>
      <w:pPr>
        <w:pStyle w:val="17"/>
        <w:keepNext w:val="0"/>
        <w:keepLines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十一、质量保证及售后服务</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（一）乙方应按招标文件规定的货物性能、技术要求、质量标准向甲方提供未经使用的全新产品。</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（二）乙方提供的货物在质保期内因货物本身的质量问题发生故障，乙方应负责免费更换。对达不到技术要求者，根据实际情况，经双方协商，可按以下办法处理：</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1.更换：由乙方承担所发生的全部费用。</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2.贬值处理：由甲乙双方合议定价。</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3.退货处理：乙方应退还甲方支付的合同款，同时应承担该货物的直接费用（运输、保险、检验、货款利息及银行手续费等）。</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（三）如在使用过程中发生质量问题，乙方在接到甲方通知后在小时内到达甲方现场。</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（四）在质保期内，乙方应对货物出现的质量及安全问题负责处理解决并承担一切费用。</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（五）上述的货物免费保修期为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年，因人为因素出现的故障不在免费保修范围内。超过保修期的机器设备，终生维修，维修时只收部件成本费。</w:t>
      </w:r>
    </w:p>
    <w:p>
      <w:pPr>
        <w:pStyle w:val="17"/>
        <w:keepNext w:val="0"/>
        <w:keepLines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十二、调试和验收</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甲方对乙方提交的货物依据招标文件上的技术规格要求和国家有关质量标准进行现场初步验收，外观、说明书符合招标文件技术要求的，给予签收，初步验收不合格的不予签收。货到后，甲方需在个工作日内验收。</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（二）乙方交货前应对产品作出全面检查和对验收文件进行整理，并列出清单，作为甲方收货验收和使用的技术条件依据，检验的结果应随货物交甲方。</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（三）甲方对乙方提供的货物在使用前进行调试时，乙方需负责安装并培训甲方的使用操作人员，并协助甲方一起调试，直到符合技术要求，甲方才做最终验收。</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（四）对技术复杂的货物，甲方应请国家认可的专业检测机构参与初步验收及最终验收，并由其出具质量检测报告。</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（五）验收时乙方必须在现场，验收完毕后作出验收结果报告；验收费用由甲方负责。</w:t>
      </w:r>
    </w:p>
    <w:p>
      <w:pPr>
        <w:pStyle w:val="17"/>
        <w:keepNext w:val="0"/>
        <w:keepLines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十三、货物包装、发运及运输</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（一）乙方应在货物发运前对其进行满足运输距离、防潮、防震、防锈和防破损装卸等要求包装，以保证货物安全运达甲方指定地点。</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（二）使用说明书、质量检验证明书、随配附件和工具以及清单一并附于货物内。</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（三）乙方在货物发运手续办理完毕后小时内或货到甲方小时前通知甲方，以准备接货。</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（四）货物在交付甲方前发生的风险均由乙方负责。</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（五）货物在规定的交付期限内由乙方送达甲方指定的地点视为交付，乙方同时需通知甲方货物已送达。</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（六）乙方运送的货物涉及商品包装和快递包装的，参考《商品包装政府采购需求标准（试行）》、《快递包装政府采购需求标准（试行）》（财办库［2020］123号）。</w:t>
      </w:r>
    </w:p>
    <w:p>
      <w:pPr>
        <w:pStyle w:val="17"/>
        <w:keepNext w:val="0"/>
        <w:keepLines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十四、违约责任</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（一）甲方无正当理由拒收货物的，甲方向乙方偿付拒收货款总值的百分之五违约金。</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（二）甲方无故逾期验收和办理货款支付手续的,甲方应按逾期付款总额每日万分之五向乙方支付违约金。</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三）乙方逾期交付货物的，乙方应按逾期交货总额每日千分之六向甲方支付违约金，由甲方从待付货款中扣除。逾期超过约定日期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（五）若发生纠纷，由违约方赔偿守约方因纠纷所支付的费用（包括但不限于律师费、差旅费、诉讼费、保全费、鉴定费、评估费等）。</w:t>
      </w:r>
    </w:p>
    <w:p>
      <w:pPr>
        <w:pStyle w:val="17"/>
        <w:keepNext w:val="0"/>
        <w:keepLines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十五、不可抗力事件处理</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（一）在合同有效期内，任何一方因不可抗力事件导致不能履行合同，则合同履行期可延长，其延长期与不可抗力影响期相同。</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（二）不可抗力事件发生后，应立即通知对方，并寄送有关权威机构出具的证明。</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（三）不可抗力事件延续120天以上，双方应通过友好协商，确定是否继续履行合同。</w:t>
      </w:r>
    </w:p>
    <w:p>
      <w:pPr>
        <w:pStyle w:val="17"/>
        <w:keepNext w:val="0"/>
        <w:keepLines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十六、解决争议的方法</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如双方在履行合同时发生纠纷，应协商解决；协商不成时，可提请政府采购管理部门调解；调解不成的通过以下第（  ）方式解决：</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（一）提交台州仲裁委员会仲裁。</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（二）依法向人民法院提起诉讼。 </w:t>
      </w:r>
    </w:p>
    <w:p>
      <w:pPr>
        <w:pStyle w:val="17"/>
        <w:keepNext w:val="0"/>
        <w:keepLines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十七、合同生效及其它</w:t>
      </w:r>
      <w:r>
        <w:rPr>
          <w:rFonts w:hint="eastAsia" w:ascii="宋体" w:hAnsi="宋体" w:eastAsia="宋体" w:cs="宋体"/>
          <w:b/>
          <w:color w:val="000000" w:themeColor="text1"/>
          <w:sz w:val="24"/>
          <w:szCs w:val="24"/>
          <w14:textFill>
            <w14:solidFill>
              <w14:schemeClr w14:val="tx1"/>
            </w14:solidFill>
          </w14:textFill>
        </w:rPr>
        <w:tab/>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（一）合同经双方法定代表人或授权代表签字并加盖单位公章后生效。</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（二）本合同未尽事宜，遵照《中华人民共和国民法典》有关条文执行。</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（三）本合同一式两份，甲、乙双方各执一份。本项目未尽事宜以招标文件、投标文件及澄清文件等为准。</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甲方（盖章）                                     乙方（盖章）</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                                     法定代表人：</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委托代理人：                                     委托代理人：</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                                       联系电话：</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                                       开户银行：</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账号：                                           账号：</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地址及邮编：                                     地址及邮编：</w:t>
      </w:r>
    </w:p>
    <w:p>
      <w:pPr>
        <w:pStyle w:val="17"/>
        <w:keepNext w:val="0"/>
        <w:keepLines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签订时间：    年   月    日</w:t>
      </w:r>
    </w:p>
    <w:p>
      <w:pPr>
        <w:pStyle w:val="29"/>
        <w:ind w:firstLine="723"/>
        <w:rPr>
          <w:rFonts w:ascii="宋体" w:hAnsi="宋体"/>
          <w:b/>
          <w:color w:val="000000" w:themeColor="text1"/>
          <w:sz w:val="36"/>
          <w14:textFill>
            <w14:solidFill>
              <w14:schemeClr w14:val="tx1"/>
            </w14:solidFill>
          </w14:textFill>
        </w:rPr>
      </w:pPr>
    </w:p>
    <w:p>
      <w:pPr>
        <w:pStyle w:val="29"/>
        <w:ind w:firstLine="723"/>
        <w:rPr>
          <w:rFonts w:ascii="宋体" w:hAnsi="宋体"/>
          <w:b/>
          <w:color w:val="000000" w:themeColor="text1"/>
          <w:sz w:val="36"/>
          <w14:textFill>
            <w14:solidFill>
              <w14:schemeClr w14:val="tx1"/>
            </w14:solidFill>
          </w14:textFill>
        </w:rPr>
      </w:pPr>
    </w:p>
    <w:p>
      <w:pPr>
        <w:pStyle w:val="29"/>
        <w:ind w:firstLine="723"/>
        <w:rPr>
          <w:rFonts w:ascii="宋体" w:hAnsi="宋体"/>
          <w:b/>
          <w:color w:val="000000" w:themeColor="text1"/>
          <w:sz w:val="36"/>
          <w14:textFill>
            <w14:solidFill>
              <w14:schemeClr w14:val="tx1"/>
            </w14:solidFill>
          </w14:textFill>
        </w:rPr>
      </w:pPr>
    </w:p>
    <w:p>
      <w:pPr>
        <w:spacing w:line="360" w:lineRule="auto"/>
        <w:jc w:val="both"/>
        <w:rPr>
          <w:rFonts w:ascii="宋体" w:hAnsi="宋体"/>
          <w:b/>
          <w:color w:val="000000" w:themeColor="text1"/>
          <w:sz w:val="36"/>
          <w14:textFill>
            <w14:solidFill>
              <w14:schemeClr w14:val="tx1"/>
            </w14:solidFill>
          </w14:textFill>
        </w:rPr>
      </w:pPr>
    </w:p>
    <w:p>
      <w:pPr>
        <w:spacing w:line="360" w:lineRule="auto"/>
        <w:jc w:val="center"/>
        <w:rPr>
          <w:rFonts w:ascii="宋体" w:hAnsi="宋体"/>
          <w:b/>
          <w:color w:val="000000" w:themeColor="text1"/>
          <w:sz w:val="36"/>
          <w14:textFill>
            <w14:solidFill>
              <w14:schemeClr w14:val="tx1"/>
            </w14:solidFill>
          </w14:textFill>
        </w:rPr>
      </w:pPr>
    </w:p>
    <w:p>
      <w:pPr>
        <w:spacing w:line="360" w:lineRule="auto"/>
        <w:jc w:val="center"/>
        <w:rPr>
          <w:rFonts w:ascii="宋体" w:hAnsi="宋体"/>
          <w:b/>
          <w:color w:val="000000" w:themeColor="text1"/>
          <w:sz w:val="36"/>
          <w14:textFill>
            <w14:solidFill>
              <w14:schemeClr w14:val="tx1"/>
            </w14:solidFill>
          </w14:textFill>
        </w:rPr>
      </w:pPr>
    </w:p>
    <w:p>
      <w:pPr>
        <w:spacing w:line="360" w:lineRule="auto"/>
        <w:jc w:val="center"/>
        <w:rPr>
          <w:rFonts w:ascii="宋体" w:hAnsi="宋体"/>
          <w:b/>
          <w:color w:val="000000" w:themeColor="text1"/>
          <w:sz w:val="36"/>
          <w14:textFill>
            <w14:solidFill>
              <w14:schemeClr w14:val="tx1"/>
            </w14:solidFill>
          </w14:textFill>
        </w:rPr>
      </w:pPr>
    </w:p>
    <w:p>
      <w:pPr>
        <w:spacing w:line="360" w:lineRule="auto"/>
        <w:jc w:val="center"/>
        <w:rPr>
          <w:rFonts w:ascii="宋体" w:hAns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专用条款</w:t>
      </w:r>
    </w:p>
    <w:p>
      <w:pPr>
        <w:spacing w:line="360" w:lineRule="auto"/>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36"/>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如果项目性质特殊，采购人认为需要制定专用条款的，须在提交项目采购需求时一并提供，但条款内容应合法、合理，并符合项目实际需求，且不得与通用条款冲突）</w:t>
      </w:r>
    </w:p>
    <w:p>
      <w:pPr>
        <w:spacing w:line="312" w:lineRule="auto"/>
        <w:jc w:val="center"/>
        <w:rPr>
          <w:rFonts w:ascii="宋体" w:hAnsi="宋体"/>
          <w:b/>
          <w:color w:val="000000" w:themeColor="text1"/>
          <w:sz w:val="36"/>
          <w:szCs w:val="36"/>
          <w14:textFill>
            <w14:solidFill>
              <w14:schemeClr w14:val="tx1"/>
            </w14:solidFill>
          </w14:textFill>
        </w:rPr>
      </w:pPr>
    </w:p>
    <w:p>
      <w:pPr>
        <w:autoSpaceDE w:val="0"/>
        <w:autoSpaceDN w:val="0"/>
        <w:spacing w:line="400" w:lineRule="exact"/>
        <w:ind w:firstLine="482"/>
        <w:rPr>
          <w:rFonts w:ascii="宋体" w:hAnsi="宋体" w:cs="宋体"/>
          <w:color w:val="000000" w:themeColor="text1"/>
          <w:sz w:val="24"/>
          <w14:textFill>
            <w14:solidFill>
              <w14:schemeClr w14:val="tx1"/>
            </w14:solidFill>
          </w14:textFill>
        </w:rPr>
        <w:sectPr>
          <w:headerReference r:id="rId5" w:type="default"/>
          <w:footerReference r:id="rId6" w:type="default"/>
          <w:footnotePr>
            <w:numRestart w:val="eachPage"/>
          </w:footnotePr>
          <w:endnotePr>
            <w:numRestart w:val="eachSect"/>
          </w:endnotePr>
          <w:pgSz w:w="11906" w:h="16838"/>
          <w:pgMar w:top="1440" w:right="1800" w:bottom="1440" w:left="1800" w:header="680" w:footer="822" w:gutter="0"/>
          <w:pgNumType w:start="1"/>
          <w:cols w:space="720" w:num="1"/>
          <w:docGrid w:linePitch="435" w:charSpace="0"/>
        </w:sectPr>
      </w:pPr>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第六章：响应文件格式附件</w:t>
      </w:r>
    </w:p>
    <w:p>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附件1</w:t>
      </w:r>
      <w:r>
        <w:rPr>
          <w:rFonts w:hint="eastAsia"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lang w:val="en-US" w:eastAsia="zh-CN"/>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w:t>
      </w:r>
      <w:r>
        <w:rPr>
          <w:rFonts w:hint="eastAsia" w:ascii="宋体" w:hAnsi="宋体"/>
          <w:bCs/>
          <w:color w:val="000000" w:themeColor="text1"/>
          <w:sz w:val="24"/>
          <w14:textFill>
            <w14:solidFill>
              <w14:schemeClr w14:val="tx1"/>
            </w14:solidFill>
          </w14:textFill>
        </w:rPr>
        <w:t>本</w:t>
      </w:r>
    </w:p>
    <w:p>
      <w:pPr>
        <w:spacing w:line="360" w:lineRule="auto"/>
        <w:jc w:val="center"/>
        <w:rPr>
          <w:rFonts w:ascii="宋体" w:hAnsi="宋体"/>
          <w:color w:val="000000" w:themeColor="text1"/>
          <w:sz w:val="52"/>
          <w:szCs w:val="52"/>
          <w14:textFill>
            <w14:solidFill>
              <w14:schemeClr w14:val="tx1"/>
            </w14:solidFill>
          </w14:textFill>
        </w:rPr>
      </w:pPr>
      <w:r>
        <w:rPr>
          <w:rFonts w:hint="eastAsia" w:ascii="宋体" w:hAnsi="宋体"/>
          <w:color w:val="000000" w:themeColor="text1"/>
          <w:sz w:val="52"/>
          <w:szCs w:val="52"/>
          <w14:textFill>
            <w14:solidFill>
              <w14:schemeClr w14:val="tx1"/>
            </w14:solidFill>
          </w14:textFill>
        </w:rPr>
        <w:t>项 目 名 称</w:t>
      </w:r>
    </w:p>
    <w:p>
      <w:pPr>
        <w:spacing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hint="eastAsia" w:ascii="宋体" w:hAnsi="宋体"/>
          <w:color w:val="000000" w:themeColor="text1"/>
          <w:sz w:val="36"/>
          <w:szCs w:val="36"/>
          <w:lang w:eastAsia="zh-CN"/>
          <w14:textFill>
            <w14:solidFill>
              <w14:schemeClr w14:val="tx1"/>
            </w14:solidFill>
          </w14:textFill>
        </w:rPr>
        <w:t>WLCG-2024-CS018号</w:t>
      </w: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磋</w:t>
      </w:r>
    </w:p>
    <w:p>
      <w:pPr>
        <w:spacing w:line="360" w:lineRule="auto"/>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商</w:t>
      </w:r>
    </w:p>
    <w:p>
      <w:pPr>
        <w:spacing w:line="360" w:lineRule="auto"/>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响</w:t>
      </w:r>
    </w:p>
    <w:p>
      <w:pPr>
        <w:spacing w:line="360" w:lineRule="auto"/>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应</w:t>
      </w:r>
    </w:p>
    <w:p>
      <w:pPr>
        <w:spacing w:line="360" w:lineRule="auto"/>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文</w:t>
      </w:r>
    </w:p>
    <w:p>
      <w:pPr>
        <w:spacing w:line="360" w:lineRule="auto"/>
        <w:ind w:right="-108"/>
        <w:jc w:val="center"/>
        <w:rPr>
          <w:rFonts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件</w:t>
      </w:r>
    </w:p>
    <w:p>
      <w:pPr>
        <w:spacing w:line="360" w:lineRule="auto"/>
        <w:ind w:right="532"/>
        <w:rPr>
          <w:rFonts w:ascii="宋体" w:hAnsi="宋体" w:cs="宋体"/>
          <w:color w:val="000000" w:themeColor="text1"/>
          <w:sz w:val="28"/>
          <w:szCs w:val="28"/>
          <w:lang w:val="zh-CN"/>
          <w14:textFill>
            <w14:solidFill>
              <w14:schemeClr w14:val="tx1"/>
            </w14:solidFill>
          </w14:textFill>
        </w:rPr>
      </w:pPr>
    </w:p>
    <w:p>
      <w:pPr>
        <w:spacing w:line="360" w:lineRule="auto"/>
        <w:ind w:right="532"/>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108" w:firstLine="720" w:firstLineChars="200"/>
        <w:rPr>
          <w:rFonts w:ascii="宋体" w:hAnsi="宋体"/>
          <w:b/>
          <w:bCs/>
          <w:color w:val="000000" w:themeColor="text1"/>
          <w:sz w:val="32"/>
          <w:szCs w:val="32"/>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napToGrid w:val="0"/>
        <w:spacing w:before="50" w:after="50"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磋商响应文件目录</w:t>
      </w:r>
    </w:p>
    <w:p>
      <w:pPr>
        <w:snapToGrid w:val="0"/>
        <w:spacing w:before="50" w:after="50" w:line="360" w:lineRule="auto"/>
        <w:ind w:firstLine="42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第一部分：资格证明部分</w:t>
      </w:r>
    </w:p>
    <w:p>
      <w:pPr>
        <w:numPr>
          <w:ilvl w:val="0"/>
          <w:numId w:val="3"/>
        </w:numPr>
        <w:snapToGrid w:val="0"/>
        <w:spacing w:line="360" w:lineRule="auto"/>
        <w:ind w:firstLine="470" w:firstLineChars="19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磋商声明书（附件2）；</w:t>
      </w:r>
    </w:p>
    <w:p>
      <w:pPr>
        <w:numPr>
          <w:ilvl w:val="0"/>
          <w:numId w:val="3"/>
        </w:numPr>
        <w:snapToGrid w:val="0"/>
        <w:spacing w:line="360" w:lineRule="auto"/>
        <w:ind w:firstLine="470" w:firstLineChars="196"/>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授权委托书或法定代表人证明书（附件3）；</w:t>
      </w:r>
    </w:p>
    <w:p>
      <w:pPr>
        <w:snapToGrid w:val="0"/>
        <w:spacing w:line="360" w:lineRule="auto"/>
        <w:ind w:firstLine="470" w:firstLineChars="196"/>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color w:val="000000" w:themeColor="text1"/>
          <w:sz w:val="24"/>
          <w14:textFill>
            <w14:solidFill>
              <w14:schemeClr w14:val="tx1"/>
            </w14:solidFill>
          </w14:textFill>
        </w:rPr>
        <w:t>法人或者其他组织的营业执照等证明文件，自然人的身份证明</w:t>
      </w:r>
      <w:r>
        <w:rPr>
          <w:rFonts w:hint="eastAsia"/>
          <w:color w:val="000000" w:themeColor="text1"/>
          <w:sz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w:t>
      </w:r>
      <w:r>
        <w:rPr>
          <w:rFonts w:ascii="宋体" w:hAnsi="宋体" w:cs="宋体"/>
          <w:color w:val="000000" w:themeColor="text1"/>
          <w:sz w:val="24"/>
          <w14:textFill>
            <w14:solidFill>
              <w14:schemeClr w14:val="tx1"/>
            </w14:solidFill>
          </w14:textFill>
        </w:rPr>
        <w:t>符合参与政府采购活动的资格条件</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具备良好的商业信誉和健全的财务会计制度并且没有税收缴纳、社会保障等方面的失信记录的承诺函；</w:t>
      </w:r>
    </w:p>
    <w:p>
      <w:pPr>
        <w:pStyle w:val="29"/>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5、具备履行合同所必需的设备和专业技术能力的承诺函；</w:t>
      </w:r>
    </w:p>
    <w:p>
      <w:pPr>
        <w:widowControl/>
        <w:spacing w:line="360" w:lineRule="auto"/>
        <w:ind w:firstLine="480" w:firstLineChars="20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6、中小企业声明函等政府采购优惠政策相关资料；</w:t>
      </w:r>
    </w:p>
    <w:p>
      <w:pPr>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提供采购公告中符合供应商特定条件的有效资质证书复印件（磋商供应商特定条件中有要求的必须提供），以及需要说明的其他资料</w:t>
      </w:r>
    </w:p>
    <w:p>
      <w:pPr>
        <w:snapToGrid w:val="0"/>
        <w:spacing w:line="360" w:lineRule="auto"/>
        <w:ind w:firstLine="422" w:firstLineChars="15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第二部分：商务与技术</w:t>
      </w:r>
      <w:r>
        <w:rPr>
          <w:rFonts w:hint="eastAsia" w:ascii="宋体" w:hAnsi="宋体" w:cs="宋体"/>
          <w:b/>
          <w:bCs/>
          <w:color w:val="000000" w:themeColor="text1"/>
          <w:sz w:val="28"/>
          <w:szCs w:val="28"/>
          <w14:textFill>
            <w14:solidFill>
              <w14:schemeClr w14:val="tx1"/>
            </w14:solidFill>
          </w14:textFill>
        </w:rPr>
        <w:t>部分</w:t>
      </w:r>
    </w:p>
    <w:p>
      <w:pPr>
        <w:snapToGrid w:val="0"/>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供应商情况介绍（附件4）；</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2、项目组织实施方案(可视情选用附件5、附件6)； </w:t>
      </w:r>
    </w:p>
    <w:p>
      <w:pPr>
        <w:snapToGrid w:val="0"/>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3、响应产品技术规格资料</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可视情选用附件7</w:t>
      </w:r>
      <w:r>
        <w:rPr>
          <w:rFonts w:hint="eastAsia" w:ascii="宋体" w:hAnsi="宋体" w:cs="宋体"/>
          <w:color w:val="000000" w:themeColor="text1"/>
          <w:kern w:val="0"/>
          <w:sz w:val="24"/>
          <w14:textFill>
            <w14:solidFill>
              <w14:schemeClr w14:val="tx1"/>
            </w14:solidFill>
          </w14:textFill>
        </w:rPr>
        <w:t>）；</w:t>
      </w:r>
    </w:p>
    <w:p>
      <w:pPr>
        <w:snapToGrid w:val="0"/>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4、商务及技术响应表</w:t>
      </w:r>
      <w:r>
        <w:rPr>
          <w:rFonts w:hint="eastAsia" w:ascii="宋体" w:hAnsi="宋体" w:cs="宋体"/>
          <w:color w:val="000000" w:themeColor="text1"/>
          <w:sz w:val="24"/>
          <w14:textFill>
            <w14:solidFill>
              <w14:schemeClr w14:val="tx1"/>
            </w14:solidFill>
          </w14:textFill>
        </w:rPr>
        <w:t>（可视情选用附件8）</w:t>
      </w:r>
      <w:r>
        <w:rPr>
          <w:rFonts w:hint="eastAsia" w:ascii="宋体" w:hAnsi="宋体" w:cs="宋体"/>
          <w:color w:val="000000" w:themeColor="text1"/>
          <w:kern w:val="0"/>
          <w:sz w:val="24"/>
          <w14:textFill>
            <w14:solidFill>
              <w14:schemeClr w14:val="tx1"/>
            </w14:solidFill>
          </w14:textFill>
        </w:rPr>
        <w:t>；</w:t>
      </w:r>
    </w:p>
    <w:p>
      <w:pPr>
        <w:snapToGrid w:val="0"/>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5、证书一览表（附件9）；</w:t>
      </w:r>
    </w:p>
    <w:p>
      <w:pPr>
        <w:snapToGrid w:val="0"/>
        <w:spacing w:line="360" w:lineRule="auto"/>
        <w:ind w:firstLine="470" w:firstLineChars="19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类似项目业绩一览表</w:t>
      </w:r>
      <w:r>
        <w:rPr>
          <w:rFonts w:hint="eastAsia" w:ascii="宋体" w:hAnsi="宋体" w:cs="宋体"/>
          <w:color w:val="000000" w:themeColor="text1"/>
          <w:kern w:val="0"/>
          <w:sz w:val="24"/>
          <w14:textFill>
            <w14:solidFill>
              <w14:schemeClr w14:val="tx1"/>
            </w14:solidFill>
          </w14:textFill>
        </w:rPr>
        <w:t>（附件10）</w:t>
      </w:r>
    </w:p>
    <w:p>
      <w:pPr>
        <w:snapToGrid w:val="0"/>
        <w:spacing w:line="360" w:lineRule="auto"/>
        <w:ind w:firstLine="470" w:firstLineChars="196"/>
        <w:rPr>
          <w:rFonts w:ascii="宋体" w:hAnsi="宋体" w:cs="宋体"/>
          <w:b/>
          <w:bCs/>
          <w:color w:val="000000" w:themeColor="text1"/>
          <w:kern w:val="0"/>
          <w:sz w:val="28"/>
          <w:szCs w:val="28"/>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售后服务措施及承诺</w:t>
      </w:r>
      <w:r>
        <w:rPr>
          <w:rFonts w:hint="eastAsia" w:ascii="宋体" w:hAnsi="宋体" w:cs="宋体"/>
          <w:color w:val="000000" w:themeColor="text1"/>
          <w:kern w:val="0"/>
          <w:sz w:val="24"/>
          <w14:textFill>
            <w14:solidFill>
              <w14:schemeClr w14:val="tx1"/>
            </w14:solidFill>
          </w14:textFill>
        </w:rPr>
        <w:t>（可视情选用附件11）；</w:t>
      </w:r>
    </w:p>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第三部分 ：</w:t>
      </w:r>
      <w:r>
        <w:rPr>
          <w:rFonts w:hint="eastAsia" w:ascii="宋体" w:hAnsi="宋体" w:cs="宋体"/>
          <w:b/>
          <w:color w:val="000000" w:themeColor="text1"/>
          <w:sz w:val="28"/>
          <w:szCs w:val="28"/>
          <w14:textFill>
            <w14:solidFill>
              <w14:schemeClr w14:val="tx1"/>
            </w14:solidFill>
          </w14:textFill>
        </w:rPr>
        <w:t>报价</w:t>
      </w:r>
      <w:r>
        <w:rPr>
          <w:rFonts w:hint="eastAsia" w:ascii="宋体" w:hAnsi="宋体" w:cs="宋体"/>
          <w:b/>
          <w:bCs/>
          <w:color w:val="000000" w:themeColor="text1"/>
          <w:sz w:val="28"/>
          <w:szCs w:val="28"/>
          <w14:textFill>
            <w14:solidFill>
              <w14:schemeClr w14:val="tx1"/>
            </w14:solidFill>
          </w14:textFill>
        </w:rPr>
        <w:t>部分</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1、首次报价一览表（附件12）；</w:t>
      </w:r>
    </w:p>
    <w:p>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2、报价明细表（附件13）；</w:t>
      </w:r>
    </w:p>
    <w:p>
      <w:pPr>
        <w:spacing w:line="360" w:lineRule="auto"/>
        <w:ind w:left="216" w:leftChars="103" w:right="-108" w:firstLine="202" w:firstLineChars="7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第四部分 ：</w:t>
      </w:r>
      <w:r>
        <w:rPr>
          <w:rFonts w:hint="eastAsia" w:ascii="宋体" w:hAnsi="宋体" w:cs="宋体"/>
          <w:b/>
          <w:color w:val="000000" w:themeColor="text1"/>
          <w:sz w:val="28"/>
          <w:szCs w:val="28"/>
          <w14:textFill>
            <w14:solidFill>
              <w14:schemeClr w14:val="tx1"/>
            </w14:solidFill>
          </w14:textFill>
        </w:rPr>
        <w:t>其他</w:t>
      </w:r>
      <w:r>
        <w:rPr>
          <w:rFonts w:hint="eastAsia" w:ascii="宋体" w:hAnsi="宋体" w:cs="宋体"/>
          <w:b/>
          <w:bCs/>
          <w:color w:val="000000" w:themeColor="text1"/>
          <w:sz w:val="28"/>
          <w:szCs w:val="28"/>
          <w14:textFill>
            <w14:solidFill>
              <w14:schemeClr w14:val="tx1"/>
            </w14:solidFill>
          </w14:textFill>
        </w:rPr>
        <w:t>部分</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1、针对磋商，响应供应商认为其他需要说明的；</w:t>
      </w:r>
    </w:p>
    <w:p>
      <w:pPr>
        <w:snapToGrid w:val="0"/>
        <w:spacing w:line="360" w:lineRule="auto"/>
        <w:ind w:left="837" w:leftChars="223" w:hanging="369" w:hangingChars="154"/>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（以上内容具体描述详见“第三章 供应商须知”中“二、磋商响应文件”的组成说明）</w:t>
      </w:r>
    </w:p>
    <w:p>
      <w:pPr>
        <w:spacing w:line="360" w:lineRule="auto"/>
        <w:rPr>
          <w:rFonts w:ascii="宋体" w:hAnsi="宋体"/>
          <w:color w:val="000000" w:themeColor="text1"/>
          <w:szCs w:val="21"/>
          <w14:textFill>
            <w14:solidFill>
              <w14:schemeClr w14:val="tx1"/>
            </w14:solidFill>
          </w14:textFill>
        </w:rPr>
      </w:pPr>
    </w:p>
    <w:p>
      <w:pPr>
        <w:pStyle w:val="29"/>
        <w:ind w:firstLine="560"/>
        <w:rPr>
          <w:rFonts w:ascii="宋体" w:hAnsi="宋体"/>
          <w:color w:val="000000" w:themeColor="text1"/>
          <w:szCs w:val="21"/>
          <w14:textFill>
            <w14:solidFill>
              <w14:schemeClr w14:val="tx1"/>
            </w14:solidFill>
          </w14:textFill>
        </w:rPr>
      </w:pPr>
    </w:p>
    <w:p>
      <w:pPr>
        <w:pStyle w:val="29"/>
        <w:ind w:firstLine="560"/>
        <w:rPr>
          <w:rFonts w:ascii="宋体" w:hAnsi="宋体"/>
          <w:color w:val="000000" w:themeColor="text1"/>
          <w:szCs w:val="21"/>
          <w14:textFill>
            <w14:solidFill>
              <w14:schemeClr w14:val="tx1"/>
            </w14:solidFill>
          </w14:textFill>
        </w:rPr>
      </w:pPr>
    </w:p>
    <w:p>
      <w:pPr>
        <w:pStyle w:val="29"/>
        <w:ind w:firstLine="560"/>
        <w:rPr>
          <w:rFonts w:ascii="宋体" w:hAnsi="宋体"/>
          <w:color w:val="000000" w:themeColor="text1"/>
          <w:szCs w:val="21"/>
          <w14:textFill>
            <w14:solidFill>
              <w14:schemeClr w14:val="tx1"/>
            </w14:solidFill>
          </w14:textFill>
        </w:rPr>
      </w:pPr>
    </w:p>
    <w:p>
      <w:pPr>
        <w:pStyle w:val="29"/>
        <w:ind w:firstLine="560"/>
        <w:rPr>
          <w:rFonts w:ascii="宋体" w:hAnsi="宋体"/>
          <w:color w:val="000000" w:themeColor="text1"/>
          <w:szCs w:val="21"/>
          <w14:textFill>
            <w14:solidFill>
              <w14:schemeClr w14:val="tx1"/>
            </w14:solidFill>
          </w14:textFill>
        </w:rPr>
      </w:pPr>
    </w:p>
    <w:p>
      <w:pPr>
        <w:pStyle w:val="29"/>
        <w:ind w:firstLine="560"/>
        <w:rPr>
          <w:rFonts w:ascii="宋体" w:hAnsi="宋体"/>
          <w:color w:val="000000" w:themeColor="text1"/>
          <w:szCs w:val="21"/>
          <w14:textFill>
            <w14:solidFill>
              <w14:schemeClr w14:val="tx1"/>
            </w14:solidFill>
          </w14:textFill>
        </w:rPr>
      </w:pPr>
    </w:p>
    <w:p>
      <w:pPr>
        <w:pStyle w:val="29"/>
        <w:ind w:firstLine="560"/>
        <w:rPr>
          <w:rFonts w:ascii="宋体" w:hAnsi="宋体"/>
          <w:color w:val="000000" w:themeColor="text1"/>
          <w:szCs w:val="21"/>
          <w14:textFill>
            <w14:solidFill>
              <w14:schemeClr w14:val="tx1"/>
            </w14:solidFill>
          </w14:textFill>
        </w:rPr>
      </w:pPr>
    </w:p>
    <w:p>
      <w:pPr>
        <w:pStyle w:val="29"/>
        <w:ind w:firstLine="560"/>
        <w:rPr>
          <w:rFonts w:ascii="宋体" w:hAnsi="宋体"/>
          <w:color w:val="000000" w:themeColor="text1"/>
          <w:szCs w:val="21"/>
          <w14:textFill>
            <w14:solidFill>
              <w14:schemeClr w14:val="tx1"/>
            </w14:solidFill>
          </w14:textFill>
        </w:rPr>
      </w:pPr>
    </w:p>
    <w:p>
      <w:pPr>
        <w:pStyle w:val="29"/>
        <w:ind w:firstLine="560"/>
        <w:rPr>
          <w:rFonts w:ascii="宋体" w:hAnsi="宋体"/>
          <w:color w:val="000000" w:themeColor="text1"/>
          <w:szCs w:val="21"/>
          <w14:textFill>
            <w14:solidFill>
              <w14:schemeClr w14:val="tx1"/>
            </w14:solidFill>
          </w14:textFill>
        </w:rPr>
      </w:pPr>
    </w:p>
    <w:p>
      <w:pPr>
        <w:pStyle w:val="29"/>
        <w:ind w:firstLine="560"/>
        <w:rPr>
          <w:rFonts w:ascii="宋体" w:hAnsi="宋体"/>
          <w:color w:val="000000" w:themeColor="text1"/>
          <w:szCs w:val="21"/>
          <w14:textFill>
            <w14:solidFill>
              <w14:schemeClr w14:val="tx1"/>
            </w14:solidFill>
          </w14:textFill>
        </w:rPr>
      </w:pPr>
    </w:p>
    <w:p>
      <w:pPr>
        <w:pStyle w:val="29"/>
        <w:ind w:firstLine="560"/>
        <w:rPr>
          <w:rFonts w:ascii="宋体" w:hAnsi="宋体"/>
          <w:color w:val="000000" w:themeColor="text1"/>
          <w:szCs w:val="21"/>
          <w14:textFill>
            <w14:solidFill>
              <w14:schemeClr w14:val="tx1"/>
            </w14:solidFill>
          </w14:textFill>
        </w:rPr>
      </w:pPr>
    </w:p>
    <w:p>
      <w:pPr>
        <w:pStyle w:val="29"/>
        <w:ind w:firstLine="560"/>
        <w:rPr>
          <w:rFonts w:ascii="宋体" w:hAnsi="宋体"/>
          <w:color w:val="000000" w:themeColor="text1"/>
          <w:szCs w:val="21"/>
          <w14:textFill>
            <w14:solidFill>
              <w14:schemeClr w14:val="tx1"/>
            </w14:solidFill>
          </w14:textFill>
        </w:rPr>
      </w:pPr>
    </w:p>
    <w:p>
      <w:pPr>
        <w:pStyle w:val="29"/>
        <w:ind w:firstLine="560"/>
        <w:rPr>
          <w:rFonts w:ascii="宋体" w:hAnsi="宋体"/>
          <w:color w:val="000000" w:themeColor="text1"/>
          <w:szCs w:val="21"/>
          <w14:textFill>
            <w14:solidFill>
              <w14:schemeClr w14:val="tx1"/>
            </w14:solidFill>
          </w14:textFill>
        </w:rPr>
      </w:pPr>
    </w:p>
    <w:p>
      <w:pPr>
        <w:spacing w:line="336" w:lineRule="auto"/>
        <w:rPr>
          <w:rFonts w:ascii="宋体" w:hAnsi="宋体"/>
          <w:b/>
          <w:color w:val="000000" w:themeColor="text1"/>
          <w:sz w:val="28"/>
          <w14:textFill>
            <w14:solidFill>
              <w14:schemeClr w14:val="tx1"/>
            </w14:solidFill>
          </w14:textFill>
        </w:rPr>
      </w:pPr>
    </w:p>
    <w:p>
      <w:pPr>
        <w:pStyle w:val="29"/>
        <w:ind w:firstLine="560"/>
        <w:rPr>
          <w:color w:val="000000" w:themeColor="text1"/>
          <w14:textFill>
            <w14:solidFill>
              <w14:schemeClr w14:val="tx1"/>
            </w14:solidFill>
          </w14:textFill>
        </w:rPr>
      </w:pPr>
    </w:p>
    <w:p>
      <w:pPr>
        <w:spacing w:line="336"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附件2</w:t>
      </w:r>
    </w:p>
    <w:p>
      <w:pPr>
        <w:adjustRightInd w:val="0"/>
        <w:snapToGrid w:val="0"/>
        <w:spacing w:line="336" w:lineRule="auto"/>
        <w:ind w:right="480"/>
        <w:jc w:val="center"/>
        <w:rPr>
          <w:rFonts w:ascii="宋体" w:hAnsi="宋体"/>
          <w:b/>
          <w:color w:val="000000" w:themeColor="text1"/>
          <w:kern w:val="0"/>
          <w:sz w:val="32"/>
          <w:szCs w:val="32"/>
          <w:lang w:val="zh-CN"/>
          <w14:textFill>
            <w14:solidFill>
              <w14:schemeClr w14:val="tx1"/>
            </w14:solidFill>
          </w14:textFill>
        </w:rPr>
      </w:pPr>
      <w:r>
        <w:rPr>
          <w:rFonts w:hint="eastAsia" w:ascii="宋体" w:hAnsi="宋体"/>
          <w:b/>
          <w:color w:val="000000" w:themeColor="text1"/>
          <w:kern w:val="0"/>
          <w:sz w:val="32"/>
          <w:szCs w:val="32"/>
          <w:lang w:val="zh-CN"/>
          <w14:textFill>
            <w14:solidFill>
              <w14:schemeClr w14:val="tx1"/>
            </w14:solidFill>
          </w14:textFill>
        </w:rPr>
        <w:t>磋商声明书</w:t>
      </w:r>
    </w:p>
    <w:p>
      <w:pPr>
        <w:snapToGrid w:val="0"/>
        <w:spacing w:line="360" w:lineRule="exact"/>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台州蔚蓝投资咨询有限公司</w:t>
      </w:r>
      <w:r>
        <w:rPr>
          <w:rFonts w:hint="eastAsia" w:ascii="宋体" w:hAnsi="宋体" w:cs="宋体"/>
          <w:color w:val="000000" w:themeColor="text1"/>
          <w:kern w:val="0"/>
          <w:sz w:val="24"/>
          <w14:textFill>
            <w14:solidFill>
              <w14:schemeClr w14:val="tx1"/>
            </w14:solidFill>
          </w14:textFill>
        </w:rPr>
        <w:t>：</w:t>
      </w:r>
    </w:p>
    <w:p>
      <w:pPr>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（投标人名称）系中华人民共和国合法企业，经营地址</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投标人名称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ascii="宋体" w:hAnsi="宋体" w:cs="宋体"/>
          <w:color w:val="000000" w:themeColor="text1"/>
          <w:kern w:val="0"/>
          <w:sz w:val="24"/>
          <w:u w:val="single"/>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）（编号为</w:t>
      </w:r>
      <w:r>
        <w:rPr>
          <w:rFonts w:hint="eastAsia" w:ascii="宋体" w:hAnsi="宋体" w:cs="宋体"/>
          <w:color w:val="000000" w:themeColor="text1"/>
          <w:kern w:val="0"/>
          <w:sz w:val="24"/>
          <w:u w:val="single"/>
          <w:lang w:eastAsia="zh-CN"/>
          <w14:textFill>
            <w14:solidFill>
              <w14:schemeClr w14:val="tx1"/>
            </w14:solidFill>
          </w14:textFill>
        </w:rPr>
        <w:t>WLCG-2024-CS018号</w:t>
      </w:r>
      <w:r>
        <w:rPr>
          <w:rFonts w:hint="eastAsia" w:ascii="宋体" w:hAnsi="宋体" w:cs="宋体"/>
          <w:color w:val="000000" w:themeColor="text1"/>
          <w:kern w:val="0"/>
          <w:sz w:val="24"/>
          <w14:textFill>
            <w14:solidFill>
              <w14:schemeClr w14:val="tx1"/>
            </w14:solidFill>
          </w14:textFill>
        </w:rPr>
        <w:t>）的投标，为此，我公司就本次投标有关事项郑重声明如下：</w:t>
      </w:r>
    </w:p>
    <w:p>
      <w:pPr>
        <w:snapToGrid w:val="0"/>
        <w:spacing w:line="360" w:lineRule="exact"/>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2、我公司</w:t>
      </w:r>
      <w:r>
        <w:rPr>
          <w:rFonts w:ascii="宋体" w:hAnsi="宋体" w:cs="宋体"/>
          <w:color w:val="000000" w:themeColor="text1"/>
          <w:kern w:val="0"/>
          <w:sz w:val="24"/>
          <w14:textFill>
            <w14:solidFill>
              <w14:schemeClr w14:val="tx1"/>
            </w14:solidFill>
          </w14:textFill>
        </w:rPr>
        <w:t>在参与投标前已</w:t>
      </w:r>
      <w:r>
        <w:rPr>
          <w:rFonts w:hint="eastAsia" w:ascii="宋体" w:hAnsi="宋体" w:cs="宋体"/>
          <w:color w:val="000000" w:themeColor="text1"/>
          <w:kern w:val="0"/>
          <w:sz w:val="24"/>
          <w14:textFill>
            <w14:solidFill>
              <w14:schemeClr w14:val="tx1"/>
            </w14:solidFill>
          </w14:textFill>
        </w:rPr>
        <w:t>详细审查</w:t>
      </w:r>
      <w:r>
        <w:rPr>
          <w:rFonts w:ascii="宋体" w:hAnsi="宋体" w:cs="宋体"/>
          <w:color w:val="000000" w:themeColor="text1"/>
          <w:kern w:val="0"/>
          <w:sz w:val="24"/>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14:textFill>
            <w14:solidFill>
              <w14:schemeClr w14:val="tx1"/>
            </w14:solidFill>
          </w14:textFill>
        </w:rPr>
        <w:t>利。</w:t>
      </w:r>
    </w:p>
    <w:p>
      <w:pPr>
        <w:numPr>
          <w:ilvl w:val="255"/>
          <w:numId w:val="0"/>
        </w:numPr>
        <w:snapToGrid w:val="0"/>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line="360" w:lineRule="exact"/>
        <w:ind w:firstLine="480" w:firstLineChars="200"/>
        <w:rPr>
          <w:rFonts w:ascii="宋体" w:hAnsi="宋体"/>
          <w:color w:val="000000" w:themeColor="text1"/>
          <w:kern w:val="0"/>
          <w:sz w:val="24"/>
          <w:lang w:val="af-ZA"/>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kern w:val="0"/>
          <w:sz w:val="24"/>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lang w:val="af-ZA"/>
          <w14:textFill>
            <w14:solidFill>
              <w14:schemeClr w14:val="tx1"/>
            </w14:solidFill>
          </w14:textFill>
        </w:rPr>
        <w:t>我方</w:t>
      </w:r>
      <w:r>
        <w:rPr>
          <w:rFonts w:hint="eastAsia" w:ascii="宋体" w:hAnsi="宋体"/>
          <w:color w:val="000000" w:themeColor="text1"/>
          <w:kern w:val="0"/>
          <w:sz w:val="24"/>
          <w:lang w:val="af-ZA"/>
          <w14:textFill>
            <w14:solidFill>
              <w14:schemeClr w14:val="tx1"/>
            </w14:solidFill>
          </w14:textFill>
        </w:rPr>
        <w:t>承担。</w:t>
      </w:r>
      <w:r>
        <w:rPr>
          <w:rFonts w:hint="eastAsia" w:ascii="宋体" w:hAnsi="宋体" w:cs="宋体"/>
          <w:color w:val="000000" w:themeColor="text1"/>
          <w:kern w:val="0"/>
          <w:sz w:val="24"/>
          <w:lang w:val="af-ZA"/>
          <w14:textFill>
            <w14:solidFill>
              <w14:schemeClr w14:val="tx1"/>
            </w14:solidFill>
          </w14:textFill>
        </w:rPr>
        <w:t>我方的</w:t>
      </w:r>
      <w:r>
        <w:rPr>
          <w:rFonts w:hint="eastAsia" w:ascii="宋体" w:hAnsi="宋体"/>
          <w:color w:val="000000" w:themeColor="text1"/>
          <w:kern w:val="0"/>
          <w:sz w:val="24"/>
          <w:lang w:val="af-ZA"/>
          <w14:textFill>
            <w14:solidFill>
              <w14:schemeClr w14:val="tx1"/>
            </w14:solidFill>
          </w14:textFill>
        </w:rPr>
        <w:t>投标报价</w:t>
      </w:r>
      <w:r>
        <w:rPr>
          <w:rFonts w:hint="eastAsia" w:ascii="宋体" w:hAnsi="宋体" w:cs="宋体"/>
          <w:color w:val="000000" w:themeColor="text1"/>
          <w:kern w:val="0"/>
          <w:sz w:val="24"/>
          <w:lang w:val="af-ZA"/>
          <w14:textFill>
            <w14:solidFill>
              <w14:schemeClr w14:val="tx1"/>
            </w14:solidFill>
          </w14:textFill>
        </w:rPr>
        <w:t>已</w:t>
      </w:r>
      <w:r>
        <w:rPr>
          <w:rFonts w:hint="eastAsia" w:ascii="宋体" w:hAnsi="宋体"/>
          <w:color w:val="000000" w:themeColor="text1"/>
          <w:kern w:val="0"/>
          <w:sz w:val="24"/>
          <w:lang w:val="af-ZA"/>
          <w14:textFill>
            <w14:solidFill>
              <w14:schemeClr w14:val="tx1"/>
            </w14:solidFill>
          </w14:textFill>
        </w:rPr>
        <w:t>包含所有应向所有权人支付的专利权、商标权或其它知识产权的一切相关费用。</w:t>
      </w:r>
    </w:p>
    <w:p>
      <w:pPr>
        <w:snapToGrid w:val="0"/>
        <w:spacing w:line="360" w:lineRule="exact"/>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w:t>
      </w:r>
      <w:r>
        <w:rPr>
          <w:rFonts w:hint="eastAsia" w:ascii="宋体" w:hAnsi="宋体" w:cs="楷体_GB2312"/>
          <w:color w:val="000000" w:themeColor="text1"/>
          <w:kern w:val="0"/>
          <w:sz w:val="24"/>
          <w:lang w:val="af-ZA"/>
          <w14:textFill>
            <w14:solidFill>
              <w14:schemeClr w14:val="tx1"/>
            </w14:solidFill>
          </w14:textFill>
        </w:rPr>
        <w:t>除在投标文件中明确拒绝的之外，均接受招标文件中的全部条件，</w:t>
      </w:r>
      <w:r>
        <w:rPr>
          <w:rFonts w:hint="eastAsia" w:ascii="宋体" w:hAnsi="宋体" w:cs="宋体"/>
          <w:color w:val="000000" w:themeColor="text1"/>
          <w:kern w:val="0"/>
          <w:sz w:val="24"/>
          <w:lang w:val="af-ZA"/>
          <w14:textFill>
            <w14:solidFill>
              <w14:schemeClr w14:val="tx1"/>
            </w14:solidFill>
          </w14:textFill>
        </w:rPr>
        <w:t>不降低合同约定的产品质量和服务，不擅自变更、中止、终止合同，或拒绝履行合同义务；</w:t>
      </w:r>
    </w:p>
    <w:p>
      <w:pPr>
        <w:snapToGrid w:val="0"/>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60" w:lineRule="exact"/>
        <w:ind w:firstLine="480"/>
        <w:rPr>
          <w:rFonts w:ascii="宋体" w:hAnsi="宋体" w:cs="仿宋_GB2312"/>
          <w:color w:val="000000" w:themeColor="text1"/>
          <w:kern w:val="0"/>
          <w:sz w:val="24"/>
          <w14:textFill>
            <w14:solidFill>
              <w14:schemeClr w14:val="tx1"/>
            </w14:solidFill>
          </w14:textFill>
        </w:rPr>
      </w:pPr>
    </w:p>
    <w:p>
      <w:pPr>
        <w:adjustRightInd w:val="0"/>
        <w:snapToGrid w:val="0"/>
        <w:spacing w:line="360" w:lineRule="exact"/>
        <w:ind w:firstLine="4680" w:firstLineChars="195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供应商名称(公章)：</w:t>
      </w:r>
    </w:p>
    <w:p>
      <w:pPr>
        <w:adjustRightInd w:val="0"/>
        <w:snapToGrid w:val="0"/>
        <w:spacing w:line="360" w:lineRule="exact"/>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法定代表人或授权委托人(签字)：</w:t>
      </w:r>
    </w:p>
    <w:p>
      <w:pPr>
        <w:adjustRightInd w:val="0"/>
        <w:snapToGrid w:val="0"/>
        <w:spacing w:line="360" w:lineRule="exact"/>
        <w:ind w:right="480"/>
        <w:jc w:val="center"/>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日期：</w:t>
      </w:r>
      <w:r>
        <w:rPr>
          <w:rFonts w:hint="eastAsia" w:ascii="宋体" w:hAnsi="宋体" w:cstheme="minorBidi"/>
          <w:color w:val="000000" w:themeColor="text1"/>
          <w:sz w:val="24"/>
          <w:lang w:eastAsia="zh-CN"/>
          <w14:textFill>
            <w14:solidFill>
              <w14:schemeClr w14:val="tx1"/>
            </w14:solidFill>
          </w14:textFill>
        </w:rPr>
        <w:t>2024年</w:t>
      </w:r>
      <w:r>
        <w:rPr>
          <w:rFonts w:hint="eastAsia" w:ascii="宋体" w:hAnsi="宋体" w:cs="仿宋_GB2312"/>
          <w:color w:val="000000" w:themeColor="text1"/>
          <w:kern w:val="0"/>
          <w:sz w:val="24"/>
          <w:lang w:val="zh-CN"/>
          <w14:textFill>
            <w14:solidFill>
              <w14:schemeClr w14:val="tx1"/>
            </w14:solidFill>
          </w14:textFill>
        </w:rPr>
        <w:t xml:space="preserve">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 月 </w:t>
      </w:r>
      <w:r>
        <w:rPr>
          <w:rFonts w:hint="eastAsia" w:ascii="宋体" w:hAnsi="宋体" w:cstheme="minorBidi"/>
          <w:color w:val="000000" w:themeColor="text1"/>
          <w:sz w:val="24"/>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 xml:space="preserve"> 日</w:t>
      </w:r>
    </w:p>
    <w:p>
      <w:pPr>
        <w:jc w:val="left"/>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附件3</w:t>
      </w:r>
    </w:p>
    <w:p>
      <w:pPr>
        <w:spacing w:line="360" w:lineRule="auto"/>
        <w:ind w:firstLine="321" w:firstLineChars="100"/>
        <w:jc w:val="center"/>
        <w:rPr>
          <w:rFonts w:hAnsi="宋体"/>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pPr>
        <w:pStyle w:val="17"/>
        <w:spacing w:line="500" w:lineRule="exact"/>
        <w:rPr>
          <w:rFonts w:hAnsi="宋体" w:cs="宋体"/>
          <w:b/>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台州蔚蓝投资咨询有限公司</w:t>
      </w:r>
      <w:r>
        <w:rPr>
          <w:rFonts w:hint="eastAsia" w:hAnsi="宋体" w:cs="宋体"/>
          <w:b/>
          <w:color w:val="000000" w:themeColor="text1"/>
          <w:sz w:val="24"/>
          <w14:textFill>
            <w14:solidFill>
              <w14:schemeClr w14:val="tx1"/>
            </w14:solidFill>
          </w14:textFill>
        </w:rPr>
        <w:t>：</w:t>
      </w:r>
    </w:p>
    <w:p>
      <w:pPr>
        <w:pStyle w:val="17"/>
        <w:spacing w:line="500" w:lineRule="exact"/>
        <w:ind w:left="240" w:hanging="240" w:hangingChars="1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（全权代表</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项目的采购活动，并代表我方全权办理针对上述项目的磋商、签约等具体事务和签署相关文件。</w:t>
      </w:r>
      <w:r>
        <w:rPr>
          <w:rFonts w:hint="eastAsia" w:hAnsi="宋体"/>
          <w:color w:val="000000" w:themeColor="text1"/>
          <w:sz w:val="24"/>
          <w14:textFill>
            <w14:solidFill>
              <w14:schemeClr w14:val="tx1"/>
            </w14:solidFill>
          </w14:textFill>
        </w:rPr>
        <w:t>我方对全权代表的签字事项负全部责任。</w:t>
      </w:r>
    </w:p>
    <w:p>
      <w:pPr>
        <w:pStyle w:val="17"/>
        <w:spacing w:line="360" w:lineRule="auto"/>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pPr>
        <w:pStyle w:val="17"/>
        <w:spacing w:line="240" w:lineRule="atLeast"/>
        <w:ind w:left="139" w:leftChars="66" w:firstLine="480" w:firstLineChars="200"/>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法定代表人签字或盖章：</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供应商全称（公章）：                              日期：</w:t>
      </w:r>
    </w:p>
    <w:p>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30"/>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000000" w:themeColor="text1"/>
                <w:sz w:val="24"/>
                <w14:textFill>
                  <w14:solidFill>
                    <w14:schemeClr w14:val="tx1"/>
                  </w14:solidFill>
                </w14:textFill>
              </w:rPr>
            </w:pPr>
          </w:p>
          <w:p>
            <w:pPr>
              <w:spacing w:line="36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法定代表身份证复印件粘帖处</w:t>
            </w:r>
          </w:p>
        </w:tc>
      </w:tr>
    </w:tbl>
    <w:p>
      <w:pPr>
        <w:spacing w:line="24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法定代表人姓名：                                 </w:t>
      </w:r>
    </w:p>
    <w:p>
      <w:pPr>
        <w:spacing w:line="24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24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24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24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240" w:lineRule="auto"/>
        <w:rPr>
          <w:b/>
          <w:color w:val="000000" w:themeColor="text1"/>
          <w:sz w:val="24"/>
          <w14:textFill>
            <w14:solidFill>
              <w14:schemeClr w14:val="tx1"/>
            </w14:solidFill>
          </w14:textFill>
        </w:rPr>
      </w:pPr>
    </w:p>
    <w:tbl>
      <w:tblPr>
        <w:tblStyle w:val="30"/>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240" w:lineRule="auto"/>
              <w:rPr>
                <w:rFonts w:ascii="宋体"/>
                <w:b/>
                <w:color w:val="000000" w:themeColor="text1"/>
                <w:sz w:val="24"/>
                <w14:textFill>
                  <w14:solidFill>
                    <w14:schemeClr w14:val="tx1"/>
                  </w14:solidFill>
                </w14:textFill>
              </w:rPr>
            </w:pPr>
          </w:p>
          <w:p>
            <w:pPr>
              <w:spacing w:line="240" w:lineRule="auto"/>
              <w:ind w:firstLine="361" w:firstLineChars="15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全权代表身份证复印件粘帖处</w:t>
            </w:r>
          </w:p>
        </w:tc>
      </w:tr>
    </w:tbl>
    <w:p>
      <w:pPr>
        <w:spacing w:line="24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全权代表姓名：       </w:t>
      </w:r>
    </w:p>
    <w:p>
      <w:pPr>
        <w:spacing w:line="24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p>
    <w:p>
      <w:pPr>
        <w:spacing w:line="24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24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24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24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360" w:lineRule="auto"/>
        <w:ind w:firstLine="321" w:firstLineChars="100"/>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法定代表人证明书</w:t>
      </w:r>
    </w:p>
    <w:p>
      <w:pPr>
        <w:spacing w:line="360" w:lineRule="auto"/>
        <w:rPr>
          <w:color w:val="000000" w:themeColor="text1"/>
          <w:u w:val="single"/>
          <w14:textFill>
            <w14:solidFill>
              <w14:schemeClr w14:val="tx1"/>
            </w14:solidFill>
          </w14:textFill>
        </w:rPr>
      </w:pPr>
      <w:r>
        <w:rPr>
          <w:rFonts w:hint="eastAsia" w:ascii="宋体"/>
          <w:color w:val="000000" w:themeColor="text1"/>
          <w:sz w:val="24"/>
          <w14:textFill>
            <w14:solidFill>
              <w14:schemeClr w14:val="tx1"/>
            </w14:solidFill>
          </w14:textFill>
        </w:rPr>
        <w:t>单位名称：</w:t>
      </w:r>
      <w:r>
        <w:rPr>
          <w:rFonts w:hint="eastAsia"/>
          <w:color w:val="000000" w:themeColor="text1"/>
          <w:u w:val="single"/>
          <w14:textFill>
            <w14:solidFill>
              <w14:schemeClr w14:val="tx1"/>
            </w14:solidFill>
          </w14:textFill>
        </w:rPr>
        <w:t xml:space="preserve">                                                             </w:t>
      </w:r>
    </w:p>
    <w:p>
      <w:pPr>
        <w:spacing w:line="360" w:lineRule="auto"/>
        <w:rPr>
          <w:color w:val="000000" w:themeColor="text1"/>
          <w:u w:val="single"/>
          <w14:textFill>
            <w14:solidFill>
              <w14:schemeClr w14:val="tx1"/>
            </w14:solidFill>
          </w14:textFill>
        </w:rPr>
      </w:pPr>
      <w:r>
        <w:rPr>
          <w:rFonts w:hint="eastAsia" w:ascii="宋体"/>
          <w:color w:val="000000" w:themeColor="text1"/>
          <w:sz w:val="24"/>
          <w14:textFill>
            <w14:solidFill>
              <w14:schemeClr w14:val="tx1"/>
            </w14:solidFill>
          </w14:textFill>
        </w:rPr>
        <w:t>单位性质：</w:t>
      </w:r>
      <w:r>
        <w:rPr>
          <w:rFonts w:hint="eastAsia"/>
          <w:color w:val="000000" w:themeColor="text1"/>
          <w:u w:val="single"/>
          <w14:textFill>
            <w14:solidFill>
              <w14:schemeClr w14:val="tx1"/>
            </w14:solidFill>
          </w14:textFill>
        </w:rPr>
        <w:t xml:space="preserve">                                                             </w:t>
      </w:r>
    </w:p>
    <w:p>
      <w:pPr>
        <w:pStyle w:val="23"/>
        <w:spacing w:line="360" w:lineRule="auto"/>
        <w:rPr>
          <w:rFonts w:eastAsia="宋体"/>
          <w:color w:val="000000" w:themeColor="text1"/>
          <w:sz w:val="21"/>
          <w14:textFill>
            <w14:solidFill>
              <w14:schemeClr w14:val="tx1"/>
            </w14:solidFill>
          </w14:textFill>
        </w:rPr>
      </w:pPr>
      <w:r>
        <w:rPr>
          <w:rFonts w:hint="eastAsia" w:ascii="宋体" w:eastAsia="宋体"/>
          <w:color w:val="000000" w:themeColor="text1"/>
          <w:sz w:val="24"/>
          <w14:textFill>
            <w14:solidFill>
              <w14:schemeClr w14:val="tx1"/>
            </w14:solidFill>
          </w14:textFill>
        </w:rPr>
        <w:t>地    址</w:t>
      </w:r>
      <w:r>
        <w:rPr>
          <w:rFonts w:hint="eastAsia" w:ascii="宋体" w:hAnsi="宋体" w:eastAsia="宋体"/>
          <w:color w:val="000000" w:themeColor="text1"/>
          <w:sz w:val="24"/>
          <w14:textFill>
            <w14:solidFill>
              <w14:schemeClr w14:val="tx1"/>
            </w14:solidFill>
          </w14:textFill>
        </w:rPr>
        <w:t>：</w:t>
      </w:r>
      <w:r>
        <w:rPr>
          <w:rFonts w:hint="eastAsia" w:eastAsia="宋体"/>
          <w:color w:val="000000" w:themeColor="text1"/>
          <w:sz w:val="21"/>
          <w:u w:val="single"/>
          <w14:textFill>
            <w14:solidFill>
              <w14:schemeClr w14:val="tx1"/>
            </w14:solidFill>
          </w14:textFill>
        </w:rPr>
        <w:t xml:space="preserve">                                                             </w:t>
      </w:r>
    </w:p>
    <w:p>
      <w:pPr>
        <w:spacing w:line="360" w:lineRule="auto"/>
        <w:rPr>
          <w:color w:val="000000" w:themeColor="text1"/>
          <w14:textFill>
            <w14:solidFill>
              <w14:schemeClr w14:val="tx1"/>
            </w14:solidFill>
          </w14:textFill>
        </w:rPr>
      </w:pPr>
      <w:r>
        <w:rPr>
          <w:rFonts w:hint="eastAsia" w:ascii="宋体"/>
          <w:color w:val="000000" w:themeColor="text1"/>
          <w:sz w:val="24"/>
          <w14:textFill>
            <w14:solidFill>
              <w14:schemeClr w14:val="tx1"/>
            </w14:solidFill>
          </w14:textFill>
        </w:rPr>
        <w:t>姓    名：</w:t>
      </w:r>
      <w:r>
        <w:rPr>
          <w:rFonts w:hint="eastAsia"/>
          <w:color w:val="000000" w:themeColor="text1"/>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性别：</w:t>
      </w:r>
      <w:r>
        <w:rPr>
          <w:rFonts w:hint="eastAsia"/>
          <w:color w:val="000000" w:themeColor="text1"/>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 xml:space="preserve">年龄： </w:t>
      </w:r>
      <w:r>
        <w:rPr>
          <w:rFonts w:hint="eastAsia"/>
          <w:color w:val="000000" w:themeColor="text1"/>
          <w:u w:val="single"/>
          <w14:textFill>
            <w14:solidFill>
              <w14:schemeClr w14:val="tx1"/>
            </w14:solidFill>
          </w14:textFill>
        </w:rPr>
        <w:t xml:space="preserve">                 </w:t>
      </w:r>
    </w:p>
    <w:p>
      <w:pPr>
        <w:spacing w:line="360" w:lineRule="auto"/>
        <w:rPr>
          <w:color w:val="000000" w:themeColor="text1"/>
          <w14:textFill>
            <w14:solidFill>
              <w14:schemeClr w14:val="tx1"/>
            </w14:solidFill>
          </w14:textFill>
        </w:rPr>
      </w:pPr>
      <w:r>
        <w:rPr>
          <w:rFonts w:hint="eastAsia" w:ascii="宋体"/>
          <w:color w:val="000000" w:themeColor="text1"/>
          <w:sz w:val="24"/>
          <w14:textFill>
            <w14:solidFill>
              <w14:schemeClr w14:val="tx1"/>
            </w14:solidFill>
          </w14:textFill>
        </w:rPr>
        <w:t xml:space="preserve">职务： </w:t>
      </w:r>
      <w:r>
        <w:rPr>
          <w:rFonts w:hint="eastAsia"/>
          <w:color w:val="000000" w:themeColor="text1"/>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 xml:space="preserve">系   </w:t>
      </w:r>
      <w:r>
        <w:rPr>
          <w:rFonts w:hint="eastAsia"/>
          <w:color w:val="000000" w:themeColor="text1"/>
          <w:u w:val="single"/>
          <w14:textFill>
            <w14:solidFill>
              <w14:schemeClr w14:val="tx1"/>
            </w14:solidFill>
          </w14:textFill>
        </w:rPr>
        <w:t xml:space="preserve">                                </w:t>
      </w:r>
      <w:r>
        <w:rPr>
          <w:rFonts w:hint="eastAsia" w:ascii="宋体"/>
          <w:color w:val="000000" w:themeColor="text1"/>
          <w:sz w:val="24"/>
          <w14:textFill>
            <w14:solidFill>
              <w14:schemeClr w14:val="tx1"/>
            </w14:solidFill>
          </w14:textFill>
        </w:rPr>
        <w:t>的法定代表人</w:t>
      </w:r>
    </w:p>
    <w:p>
      <w:pPr>
        <w:pStyle w:val="23"/>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特此证明。 </w:t>
      </w:r>
      <w:r>
        <w:rPr>
          <w:rFonts w:hint="eastAsia"/>
          <w:color w:val="000000" w:themeColor="text1"/>
          <w14:textFill>
            <w14:solidFill>
              <w14:schemeClr w14:val="tx1"/>
            </w14:solidFill>
          </w14:textFill>
        </w:rPr>
        <w:t xml:space="preserve">   </w:t>
      </w:r>
    </w:p>
    <w:p>
      <w:pPr>
        <w:rPr>
          <w:color w:val="000000" w:themeColor="text1"/>
          <w14:textFill>
            <w14:solidFill>
              <w14:schemeClr w14:val="tx1"/>
            </w14:solidFill>
          </w14:textFill>
        </w:rPr>
      </w:pPr>
    </w:p>
    <w:p>
      <w:pPr>
        <w:pStyle w:val="27"/>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2648585</wp:posOffset>
                </wp:positionH>
                <wp:positionV relativeFrom="paragraph">
                  <wp:posOffset>124460</wp:posOffset>
                </wp:positionV>
                <wp:extent cx="2914015" cy="1722120"/>
                <wp:effectExtent l="6350" t="6350" r="13335" b="24130"/>
                <wp:wrapNone/>
                <wp:docPr id="4" name="矩形 4"/>
                <wp:cNvGraphicFramePr/>
                <a:graphic xmlns:a="http://schemas.openxmlformats.org/drawingml/2006/main">
                  <a:graphicData uri="http://schemas.microsoft.com/office/word/2010/wordprocessingShape">
                    <wps:wsp>
                      <wps:cNvSpPr/>
                      <wps:spPr>
                        <a:xfrm>
                          <a:off x="0" y="0"/>
                          <a:ext cx="2914015" cy="172212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55pt;margin-top:9.8pt;height:135.6pt;width:229.45pt;z-index:251660288;v-text-anchor:middle;mso-width-relative:page;mso-height-relative:page;" filled="f" stroked="t" coordsize="21600,21600" o:gfxdata="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CekPHZAAAACgEAAA8AAAAAAAAAAQAgAAAAIgAAAGRycy9kb3ducmV2LnhtbFBL&#10;AQIUABQAAAAIAIdO4kC1/SfgZwIAAMwEAAAOAAAAAAAAAAEAIAAAACgBAABkcnMvZTJvRG9jLnht&#10;bFBLBQYAAAAABgAGAFkBAAABBgAAAAA=&#10;">
                <v:fill on="f" focussize="0,0"/>
                <v:stroke weight="1pt" color="#000000 [3213]" miterlimit="8" joinstyle="miter"/>
                <v:imagedata o:title=""/>
                <o:lock v:ext="edit" aspectratio="f"/>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130810</wp:posOffset>
                </wp:positionV>
                <wp:extent cx="2761615" cy="1714500"/>
                <wp:effectExtent l="6350" t="6350" r="13335" b="12700"/>
                <wp:wrapNone/>
                <wp:docPr id="3" name="矩形 3"/>
                <wp:cNvGraphicFramePr/>
                <a:graphic xmlns:a="http://schemas.openxmlformats.org/drawingml/2006/main">
                  <a:graphicData uri="http://schemas.microsoft.com/office/word/2010/wordprocessingShape">
                    <wps:wsp>
                      <wps:cNvSpPr/>
                      <wps:spPr>
                        <a:xfrm>
                          <a:off x="1156335" y="4665345"/>
                          <a:ext cx="2761615" cy="17145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15pt;margin-top:10.3pt;height:135pt;width:217.45pt;z-index:251659264;v-text-anchor:middle;mso-width-relative:page;mso-height-relative:page;" filled="f" stroked="t" coordsize="21600,21600" o:gfxdata="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A6+/mNkAAAAKAQAADwAAAAAAAAABACAAAAAiAAAAZHJz&#10;L2Rvd25yZXYueG1sUEsBAhQAFAAAAAgAh07iQNDOg6F1AgAA2AQAAA4AAAAAAAAAAQAgAAAAKAEA&#10;AGRycy9lMm9Eb2MueG1sUEsFBgAAAAAGAAYAWQEAAA8GAAAAAA==&#10;">
                <v:fill on="f" focussize="0,0"/>
                <v:stroke weight="1pt" color="#000000 [3213]" miterlimit="8" joinstyle="miter"/>
                <v:imagedata o:title=""/>
                <o:lock v:ext="edit" aspectratio="f"/>
              </v:rect>
            </w:pict>
          </mc:Fallback>
        </mc:AlternateContent>
      </w:r>
    </w:p>
    <w:p>
      <w:pPr>
        <w:rPr>
          <w:color w:val="000000" w:themeColor="text1"/>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3213735</wp:posOffset>
                </wp:positionH>
                <wp:positionV relativeFrom="paragraph">
                  <wp:posOffset>36195</wp:posOffset>
                </wp:positionV>
                <wp:extent cx="1943100" cy="6286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43100" cy="628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b/>
                                <w:color w:val="000000"/>
                                <w:sz w:val="24"/>
                              </w:rPr>
                              <w:t>法定代表身份证反面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05pt;margin-top:2.85pt;height:49.5pt;width:153pt;z-index:251662336;mso-width-relative:page;mso-height-relative:page;" filled="f" stroked="f" coordsize="21600,21600" o:gfxdata="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5HWxbZAAAACQEAAA8AAAAAAAAAAQAgAAAAIgAAAGRycy9k&#10;b3ducmV2LnhtbFBLAQIUABQAAAAIAIdO4kApD4AXOgIAAGYEAAAOAAAAAAAAAAEAIAAAACgBAABk&#10;cnMvZTJvRG9jLnhtbFBLBQYAAAAABgAGAFkBAADUBQAAAAA=&#10;">
                <v:fill on="f" focussize="0,0"/>
                <v:stroke on="f" weight="0.5pt"/>
                <v:imagedata o:title=""/>
                <o:lock v:ext="edit" aspectratio="f"/>
                <v:textbox>
                  <w:txbxContent>
                    <w:p>
                      <w:r>
                        <w:rPr>
                          <w:rFonts w:hint="eastAsia" w:ascii="宋体" w:hAnsi="宋体"/>
                          <w:b/>
                          <w:color w:val="000000"/>
                          <w:sz w:val="24"/>
                        </w:rPr>
                        <w:t>法定代表身份证反面</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26670</wp:posOffset>
                </wp:positionV>
                <wp:extent cx="1943100" cy="628650"/>
                <wp:effectExtent l="0" t="0" r="0" b="0"/>
                <wp:wrapNone/>
                <wp:docPr id="5" name="文本框 5"/>
                <wp:cNvGraphicFramePr/>
                <a:graphic xmlns:a="http://schemas.openxmlformats.org/drawingml/2006/main">
                  <a:graphicData uri="http://schemas.microsoft.com/office/word/2010/wordprocessingShape">
                    <wps:wsp>
                      <wps:cNvSpPr txBox="1"/>
                      <wps:spPr>
                        <a:xfrm>
                          <a:off x="1242060" y="4760595"/>
                          <a:ext cx="1943100" cy="628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b/>
                                <w:color w:val="000000"/>
                                <w:sz w:val="24"/>
                              </w:rPr>
                              <w:t>法定代表身份证正面</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pt;margin-top:2.1pt;height:49.5pt;width:153pt;z-index:251661312;mso-width-relative:page;mso-height-relative:page;" filled="f" stroked="f" coordsize="21600,21600" o:gfxdata="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sBXCTYAAAACAEAAA8AAAAAAAAAAQAg&#10;AAAAIgAAAGRycy9kb3ducmV2LnhtbFBLAQIUABQAAAAIAIdO4kA0EPHlRwIAAHIEAAAOAAAAAAAA&#10;AAEAIAAAACcBAABkcnMvZTJvRG9jLnhtbFBLBQYAAAAABgAGAFkBAADgBQAAAAA=&#10;">
                <v:fill on="f" focussize="0,0"/>
                <v:stroke on="f" weight="0.5pt"/>
                <v:imagedata o:title=""/>
                <o:lock v:ext="edit" aspectratio="f"/>
                <v:textbox>
                  <w:txbxContent>
                    <w:p>
                      <w:r>
                        <w:rPr>
                          <w:rFonts w:hint="eastAsia" w:ascii="宋体" w:hAnsi="宋体"/>
                          <w:b/>
                          <w:color w:val="000000"/>
                          <w:sz w:val="24"/>
                        </w:rPr>
                        <w:t>法定代表身份证正面</w:t>
                      </w:r>
                    </w:p>
                    <w:p/>
                  </w:txbxContent>
                </v:textbox>
              </v:shape>
            </w:pict>
          </mc:Fallback>
        </mc:AlternateContent>
      </w:r>
    </w:p>
    <w:p>
      <w:pPr>
        <w:pStyle w:val="23"/>
        <w:ind w:firstLine="2310" w:firstLineChars="1100"/>
        <w:rPr>
          <w:rFonts w:eastAsia="宋体"/>
          <w:color w:val="000000" w:themeColor="text1"/>
          <w:sz w:val="21"/>
          <w14:textFill>
            <w14:solidFill>
              <w14:schemeClr w14:val="tx1"/>
            </w14:solidFill>
          </w14:textFill>
        </w:rPr>
      </w:pPr>
    </w:p>
    <w:p>
      <w:pPr>
        <w:pStyle w:val="23"/>
        <w:spacing w:line="360" w:lineRule="auto"/>
        <w:rPr>
          <w:rFonts w:ascii="宋体" w:hAnsi="宋体" w:eastAsia="宋体"/>
          <w:color w:val="000000" w:themeColor="text1"/>
          <w:sz w:val="24"/>
          <w14:textFill>
            <w14:solidFill>
              <w14:schemeClr w14:val="tx1"/>
            </w14:solidFill>
          </w14:textFill>
        </w:rPr>
      </w:pPr>
    </w:p>
    <w:p>
      <w:pPr>
        <w:rPr>
          <w:color w:val="000000" w:themeColor="text1"/>
          <w14:textFill>
            <w14:solidFill>
              <w14:schemeClr w14:val="tx1"/>
            </w14:solidFill>
          </w14:textFill>
        </w:rPr>
      </w:pPr>
    </w:p>
    <w:p>
      <w:pPr>
        <w:pStyle w:val="23"/>
        <w:spacing w:line="360" w:lineRule="auto"/>
        <w:ind w:firstLine="2640" w:firstLineChars="1100"/>
        <w:rPr>
          <w:rFonts w:ascii="宋体" w:hAnsi="宋体" w:eastAsia="宋体"/>
          <w:color w:val="000000" w:themeColor="text1"/>
          <w:sz w:val="24"/>
          <w14:textFill>
            <w14:solidFill>
              <w14:schemeClr w14:val="tx1"/>
            </w14:solidFill>
          </w14:textFill>
        </w:rPr>
      </w:pPr>
    </w:p>
    <w:p>
      <w:pPr>
        <w:pStyle w:val="23"/>
        <w:spacing w:line="360" w:lineRule="auto"/>
        <w:ind w:firstLine="2640" w:firstLineChars="1100"/>
        <w:rPr>
          <w:rFonts w:ascii="宋体" w:hAnsi="宋体" w:eastAsia="宋体"/>
          <w:color w:val="000000" w:themeColor="text1"/>
          <w:sz w:val="24"/>
          <w14:textFill>
            <w14:solidFill>
              <w14:schemeClr w14:val="tx1"/>
            </w14:solidFill>
          </w14:textFill>
        </w:rPr>
      </w:pPr>
    </w:p>
    <w:p>
      <w:pPr>
        <w:pStyle w:val="23"/>
        <w:spacing w:line="360" w:lineRule="auto"/>
        <w:ind w:firstLine="2640" w:firstLineChars="11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公司名称（盖章）：</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 xml:space="preserve">    </w:t>
      </w:r>
    </w:p>
    <w:p>
      <w:pPr>
        <w:pStyle w:val="23"/>
        <w:spacing w:line="360" w:lineRule="auto"/>
        <w:rPr>
          <w:color w:val="000000" w:themeColor="text1"/>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 xml:space="preserve">                              日    期：</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pPr>
        <w:snapToGrid w:val="0"/>
        <w:spacing w:line="360" w:lineRule="auto"/>
        <w:rPr>
          <w:rFonts w:ascii="宋体" w:hAnsi="宋体"/>
          <w:b/>
          <w:color w:val="000000" w:themeColor="text1"/>
          <w:sz w:val="28"/>
          <w14:textFill>
            <w14:solidFill>
              <w14:schemeClr w14:val="tx1"/>
            </w14:solidFill>
          </w14:textFill>
        </w:rPr>
      </w:pPr>
    </w:p>
    <w:p>
      <w:pPr>
        <w:snapToGrid w:val="0"/>
        <w:spacing w:line="360" w:lineRule="auto"/>
        <w:rPr>
          <w:rFonts w:ascii="宋体" w:hAnsi="宋体"/>
          <w:b/>
          <w:color w:val="000000" w:themeColor="text1"/>
          <w:sz w:val="28"/>
          <w14:textFill>
            <w14:solidFill>
              <w14:schemeClr w14:val="tx1"/>
            </w14:solidFill>
          </w14:textFill>
        </w:rPr>
      </w:pPr>
    </w:p>
    <w:p>
      <w:pPr>
        <w:snapToGrid w:val="0"/>
        <w:spacing w:line="360" w:lineRule="auto"/>
        <w:rPr>
          <w:rFonts w:ascii="宋体" w:hAnsi="宋体"/>
          <w:b/>
          <w:color w:val="000000" w:themeColor="text1"/>
          <w:sz w:val="28"/>
          <w14:textFill>
            <w14:solidFill>
              <w14:schemeClr w14:val="tx1"/>
            </w14:solidFill>
          </w14:textFill>
        </w:rPr>
      </w:pPr>
    </w:p>
    <w:p>
      <w:pPr>
        <w:snapToGrid w:val="0"/>
        <w:spacing w:line="360" w:lineRule="auto"/>
        <w:rPr>
          <w:rFonts w:ascii="宋体" w:hAnsi="宋体"/>
          <w:b/>
          <w:color w:val="000000" w:themeColor="text1"/>
          <w:sz w:val="28"/>
          <w14:textFill>
            <w14:solidFill>
              <w14:schemeClr w14:val="tx1"/>
            </w14:solidFill>
          </w14:textFill>
        </w:rPr>
      </w:pPr>
    </w:p>
    <w:p>
      <w:pPr>
        <w:snapToGrid w:val="0"/>
        <w:spacing w:line="360" w:lineRule="auto"/>
        <w:rPr>
          <w:rFonts w:ascii="宋体" w:hAnsi="宋体"/>
          <w:color w:val="000000" w:themeColor="text1"/>
          <w:kern w:val="0"/>
          <w:sz w:val="28"/>
          <w:szCs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4</w:t>
      </w:r>
    </w:p>
    <w:p>
      <w:pPr>
        <w:pStyle w:val="59"/>
        <w:widowControl w:val="0"/>
        <w:shd w:val="clear" w:color="auto" w:fill="FFFFFF"/>
        <w:spacing w:before="0" w:beforeAutospacing="0" w:after="0" w:afterAutospacing="0" w:line="36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  供应商</w:t>
      </w:r>
      <w:r>
        <w:rPr>
          <w:rFonts w:hint="eastAsia"/>
          <w:b/>
          <w:bCs/>
          <w:color w:val="000000" w:themeColor="text1"/>
          <w:spacing w:val="21"/>
          <w:sz w:val="32"/>
          <w:szCs w:val="32"/>
          <w14:textFill>
            <w14:solidFill>
              <w14:schemeClr w14:val="tx1"/>
            </w14:solidFill>
          </w14:textFill>
        </w:rPr>
        <w:t>基本情况表</w:t>
      </w:r>
    </w:p>
    <w:tbl>
      <w:tblPr>
        <w:tblStyle w:val="3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pPr>
              <w:pStyle w:val="59"/>
              <w:widowControl w:val="0"/>
              <w:shd w:val="clear" w:color="auto" w:fill="FFFFFF"/>
              <w:snapToGrid w:val="0"/>
              <w:spacing w:before="0" w:beforeAutospacing="0" w:after="0" w:afterAutospacing="0" w:line="336" w:lineRule="auto"/>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企业名称</w:t>
            </w:r>
          </w:p>
        </w:tc>
        <w:tc>
          <w:tcPr>
            <w:tcW w:w="3979" w:type="dxa"/>
            <w:gridSpan w:val="6"/>
          </w:tcPr>
          <w:p>
            <w:pPr>
              <w:pStyle w:val="59"/>
              <w:widowControl w:val="0"/>
              <w:shd w:val="clear" w:color="auto" w:fill="FFFFFF"/>
              <w:snapToGrid w:val="0"/>
              <w:spacing w:before="0" w:beforeAutospacing="0" w:after="0" w:afterAutospacing="0" w:line="336" w:lineRule="auto"/>
              <w:rPr>
                <w:bCs/>
                <w:color w:val="000000" w:themeColor="text1"/>
                <w14:textFill>
                  <w14:solidFill>
                    <w14:schemeClr w14:val="tx1"/>
                  </w14:solidFill>
                </w14:textFill>
              </w:rPr>
            </w:pPr>
          </w:p>
        </w:tc>
        <w:tc>
          <w:tcPr>
            <w:tcW w:w="2001" w:type="dxa"/>
            <w:gridSpan w:val="3"/>
          </w:tcPr>
          <w:p>
            <w:pPr>
              <w:pStyle w:val="59"/>
              <w:widowControl w:val="0"/>
              <w:shd w:val="clear" w:color="auto" w:fill="FFFFFF"/>
              <w:snapToGrid w:val="0"/>
              <w:spacing w:before="0" w:beforeAutospacing="0" w:after="0" w:afterAutospacing="0" w:line="336"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法人代表</w:t>
            </w:r>
          </w:p>
        </w:tc>
        <w:tc>
          <w:tcPr>
            <w:tcW w:w="2151" w:type="dxa"/>
            <w:gridSpan w:val="2"/>
          </w:tcPr>
          <w:p>
            <w:pPr>
              <w:pStyle w:val="59"/>
              <w:widowControl w:val="0"/>
              <w:shd w:val="clear" w:color="auto" w:fill="FFFFFF"/>
              <w:snapToGrid w:val="0"/>
              <w:spacing w:before="0" w:beforeAutospacing="0" w:after="0" w:afterAutospacing="0" w:line="336"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地址</w:t>
            </w:r>
          </w:p>
        </w:tc>
        <w:tc>
          <w:tcPr>
            <w:tcW w:w="3979" w:type="dxa"/>
            <w:gridSpan w:val="6"/>
            <w:tcBorders>
              <w:bottom w:val="single" w:color="auto" w:sz="4" w:space="0"/>
            </w:tcBorders>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p>
        </w:tc>
        <w:tc>
          <w:tcPr>
            <w:tcW w:w="2001" w:type="dxa"/>
            <w:gridSpan w:val="3"/>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企业性质</w:t>
            </w:r>
          </w:p>
        </w:tc>
        <w:tc>
          <w:tcPr>
            <w:tcW w:w="2151" w:type="dxa"/>
            <w:gridSpan w:val="2"/>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股东姓名</w:t>
            </w:r>
          </w:p>
        </w:tc>
        <w:tc>
          <w:tcPr>
            <w:tcW w:w="701" w:type="dxa"/>
            <w:tcBorders>
              <w:bottom w:val="single" w:color="auto" w:sz="4" w:space="0"/>
            </w:tcBorders>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股权结构（%）</w:t>
            </w:r>
          </w:p>
        </w:tc>
        <w:tc>
          <w:tcPr>
            <w:tcW w:w="2368" w:type="dxa"/>
            <w:gridSpan w:val="3"/>
            <w:tcBorders>
              <w:bottom w:val="single" w:color="auto" w:sz="4" w:space="0"/>
            </w:tcBorders>
          </w:tcPr>
          <w:p>
            <w:pPr>
              <w:snapToGrid w:val="0"/>
              <w:spacing w:line="336" w:lineRule="auto"/>
              <w:jc w:val="left"/>
              <w:rPr>
                <w:rFonts w:ascii="宋体" w:hAnsi="宋体" w:cs="宋体"/>
                <w:bCs/>
                <w:color w:val="000000" w:themeColor="text1"/>
                <w:spacing w:val="16"/>
                <w:kern w:val="0"/>
                <w:sz w:val="24"/>
                <w14:textFill>
                  <w14:solidFill>
                    <w14:schemeClr w14:val="tx1"/>
                  </w14:solidFill>
                </w14:textFill>
              </w:rPr>
            </w:pPr>
          </w:p>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p>
        </w:tc>
        <w:tc>
          <w:tcPr>
            <w:tcW w:w="2001" w:type="dxa"/>
            <w:gridSpan w:val="3"/>
          </w:tcPr>
          <w:p>
            <w:pPr>
              <w:pStyle w:val="59"/>
              <w:widowControl w:val="0"/>
              <w:shd w:val="clear" w:color="auto" w:fill="FFFFFF"/>
              <w:snapToGrid w:val="0"/>
              <w:spacing w:before="0" w:beforeAutospacing="0" w:after="0" w:afterAutospacing="0" w:line="336" w:lineRule="auto"/>
              <w:ind w:left="10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股东关系</w:t>
            </w:r>
          </w:p>
        </w:tc>
        <w:tc>
          <w:tcPr>
            <w:tcW w:w="2151" w:type="dxa"/>
            <w:gridSpan w:val="2"/>
          </w:tcPr>
          <w:p>
            <w:pPr>
              <w:pStyle w:val="59"/>
              <w:widowControl w:val="0"/>
              <w:shd w:val="clear" w:color="auto" w:fill="FFFFFF"/>
              <w:snapToGrid w:val="0"/>
              <w:spacing w:before="0" w:beforeAutospacing="0" w:after="0" w:afterAutospacing="0" w:line="336" w:lineRule="auto"/>
              <w:ind w:left="107"/>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联系人</w:t>
            </w:r>
            <w:r>
              <w:rPr>
                <w:rFonts w:hint="eastAsia"/>
                <w:bCs/>
                <w:color w:val="000000" w:themeColor="text1"/>
                <w:spacing w:val="27"/>
                <w14:textFill>
                  <w14:solidFill>
                    <w14:schemeClr w14:val="tx1"/>
                  </w14:solidFill>
                </w14:textFill>
              </w:rPr>
              <w:t>姓名</w:t>
            </w:r>
          </w:p>
        </w:tc>
        <w:tc>
          <w:tcPr>
            <w:tcW w:w="701" w:type="dxa"/>
            <w:vMerge w:val="restart"/>
            <w:tcBorders>
              <w:top w:val="nil"/>
            </w:tcBorders>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p>
        </w:tc>
        <w:tc>
          <w:tcPr>
            <w:tcW w:w="910" w:type="dxa"/>
            <w:gridSpan w:val="2"/>
            <w:tcBorders>
              <w:top w:val="nil"/>
              <w:bottom w:val="single" w:color="auto" w:sz="4" w:space="0"/>
            </w:tcBorders>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固定电话</w:t>
            </w:r>
          </w:p>
        </w:tc>
        <w:tc>
          <w:tcPr>
            <w:tcW w:w="2368" w:type="dxa"/>
            <w:gridSpan w:val="3"/>
            <w:tcBorders>
              <w:top w:val="nil"/>
              <w:bottom w:val="single" w:color="auto" w:sz="4" w:space="0"/>
            </w:tcBorders>
          </w:tcPr>
          <w:p>
            <w:pPr>
              <w:snapToGrid w:val="0"/>
              <w:spacing w:line="336" w:lineRule="auto"/>
              <w:jc w:val="left"/>
              <w:rPr>
                <w:rFonts w:ascii="宋体" w:hAnsi="宋体" w:cs="宋体"/>
                <w:bCs/>
                <w:color w:val="000000" w:themeColor="text1"/>
                <w:spacing w:val="16"/>
                <w:kern w:val="0"/>
                <w:sz w:val="24"/>
                <w14:textFill>
                  <w14:solidFill>
                    <w14:schemeClr w14:val="tx1"/>
                  </w14:solidFill>
                </w14:textFill>
              </w:rPr>
            </w:pPr>
          </w:p>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p>
        </w:tc>
        <w:tc>
          <w:tcPr>
            <w:tcW w:w="2001" w:type="dxa"/>
            <w:gridSpan w:val="3"/>
            <w:vMerge w:val="restart"/>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传真</w:t>
            </w:r>
          </w:p>
        </w:tc>
        <w:tc>
          <w:tcPr>
            <w:tcW w:w="2151" w:type="dxa"/>
            <w:gridSpan w:val="2"/>
            <w:vMerge w:val="restart"/>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59"/>
              <w:widowControl w:val="0"/>
              <w:shd w:val="clear" w:color="auto" w:fill="FFFFFF"/>
              <w:snapToGrid w:val="0"/>
              <w:spacing w:before="0" w:beforeAutospacing="0" w:after="0" w:afterAutospacing="0" w:line="336" w:lineRule="auto"/>
              <w:ind w:left="107"/>
              <w:rPr>
                <w:bCs/>
                <w:color w:val="000000" w:themeColor="text1"/>
                <w14:textFill>
                  <w14:solidFill>
                    <w14:schemeClr w14:val="tx1"/>
                  </w14:solidFill>
                </w14:textFill>
              </w:rPr>
            </w:pPr>
          </w:p>
        </w:tc>
        <w:tc>
          <w:tcPr>
            <w:tcW w:w="701" w:type="dxa"/>
            <w:vMerge w:val="continue"/>
            <w:tcBorders>
              <w:bottom w:val="single" w:color="auto" w:sz="4" w:space="0"/>
            </w:tcBorders>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手机</w:t>
            </w:r>
          </w:p>
        </w:tc>
        <w:tc>
          <w:tcPr>
            <w:tcW w:w="2368" w:type="dxa"/>
            <w:gridSpan w:val="3"/>
            <w:tcBorders>
              <w:bottom w:val="single" w:color="auto" w:sz="4" w:space="0"/>
            </w:tcBorders>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p>
        </w:tc>
        <w:tc>
          <w:tcPr>
            <w:tcW w:w="2001" w:type="dxa"/>
            <w:gridSpan w:val="3"/>
            <w:vMerge w:val="continue"/>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p>
        </w:tc>
        <w:tc>
          <w:tcPr>
            <w:tcW w:w="2151" w:type="dxa"/>
            <w:gridSpan w:val="2"/>
            <w:vMerge w:val="continue"/>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59"/>
              <w:widowControl w:val="0"/>
              <w:shd w:val="clear" w:color="auto" w:fill="FFFFFF"/>
              <w:snapToGrid w:val="0"/>
              <w:spacing w:before="0" w:beforeAutospacing="0" w:after="0" w:afterAutospacing="0" w:line="336"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w:t>
            </w:r>
          </w:p>
          <w:p>
            <w:pPr>
              <w:pStyle w:val="59"/>
              <w:widowControl w:val="0"/>
              <w:shd w:val="clear" w:color="auto" w:fill="FFFFFF"/>
              <w:snapToGrid w:val="0"/>
              <w:spacing w:before="0" w:beforeAutospacing="0" w:after="0" w:afterAutospacing="0" w:line="336"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w:t>
            </w:r>
          </w:p>
          <w:p>
            <w:pPr>
              <w:pStyle w:val="59"/>
              <w:widowControl w:val="0"/>
              <w:shd w:val="clear" w:color="auto" w:fill="FFFFFF"/>
              <w:snapToGrid w:val="0"/>
              <w:spacing w:before="0" w:beforeAutospacing="0" w:after="0" w:afterAutospacing="0" w:line="336"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业</w:t>
            </w:r>
          </w:p>
          <w:p>
            <w:pPr>
              <w:pStyle w:val="59"/>
              <w:widowControl w:val="0"/>
              <w:shd w:val="clear" w:color="auto" w:fill="FFFFFF"/>
              <w:snapToGrid w:val="0"/>
              <w:spacing w:before="0" w:beforeAutospacing="0" w:after="0" w:afterAutospacing="0" w:line="336" w:lineRule="auto"/>
              <w:ind w:left="107"/>
              <w:rPr>
                <w:bCs/>
                <w:color w:val="000000" w:themeColor="text1"/>
                <w:spacing w:val="27"/>
                <w14:textFill>
                  <w14:solidFill>
                    <w14:schemeClr w14:val="tx1"/>
                  </w14:solidFill>
                </w14:textFill>
              </w:rPr>
            </w:pPr>
            <w:r>
              <w:rPr>
                <w:rFonts w:hint="eastAsia"/>
                <w:bCs/>
                <w:color w:val="000000" w:themeColor="text1"/>
                <w:spacing w:val="27"/>
                <w14:textFill>
                  <w14:solidFill>
                    <w14:schemeClr w14:val="tx1"/>
                  </w14:solidFill>
                </w14:textFill>
              </w:rPr>
              <w:t>概</w:t>
            </w:r>
          </w:p>
          <w:p>
            <w:pPr>
              <w:pStyle w:val="59"/>
              <w:widowControl w:val="0"/>
              <w:shd w:val="clear" w:color="auto" w:fill="FFFFFF"/>
              <w:snapToGrid w:val="0"/>
              <w:spacing w:before="0" w:beforeAutospacing="0" w:after="0" w:afterAutospacing="0" w:line="336" w:lineRule="auto"/>
              <w:ind w:left="107"/>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况</w:t>
            </w:r>
          </w:p>
        </w:tc>
        <w:tc>
          <w:tcPr>
            <w:tcW w:w="701" w:type="dxa"/>
            <w:tcBorders>
              <w:top w:val="nil"/>
            </w:tcBorders>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职工人数</w:t>
            </w:r>
          </w:p>
        </w:tc>
        <w:tc>
          <w:tcPr>
            <w:tcW w:w="910" w:type="dxa"/>
            <w:gridSpan w:val="2"/>
            <w:tcBorders>
              <w:top w:val="nil"/>
            </w:tcBorders>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p>
        </w:tc>
        <w:tc>
          <w:tcPr>
            <w:tcW w:w="1163" w:type="dxa"/>
            <w:tcBorders>
              <w:top w:val="nil"/>
            </w:tcBorders>
          </w:tcPr>
          <w:p>
            <w:pPr>
              <w:pStyle w:val="59"/>
              <w:widowControl w:val="0"/>
              <w:shd w:val="clear" w:color="auto" w:fill="FFFFFF"/>
              <w:snapToGrid w:val="0"/>
              <w:spacing w:before="0" w:beforeAutospacing="0" w:after="0" w:afterAutospacing="0" w:line="336" w:lineRule="auto"/>
              <w:rPr>
                <w:bCs/>
                <w:color w:val="000000" w:themeColor="text1"/>
                <w14:textFill>
                  <w14:solidFill>
                    <w14:schemeClr w14:val="tx1"/>
                  </w14:solidFill>
                </w14:textFill>
              </w:rPr>
            </w:pPr>
            <w:r>
              <w:rPr>
                <w:rFonts w:hint="eastAsia"/>
                <w:bCs/>
                <w:color w:val="000000" w:themeColor="text1"/>
                <w:spacing w:val="18"/>
                <w14:textFill>
                  <w14:solidFill>
                    <w14:schemeClr w14:val="tx1"/>
                  </w14:solidFill>
                </w14:textFill>
              </w:rPr>
              <w:t>具备大专以</w:t>
            </w:r>
            <w:r>
              <w:rPr>
                <w:rFonts w:hint="eastAsia"/>
                <w:bCs/>
                <w:color w:val="000000" w:themeColor="text1"/>
                <w:spacing w:val="12"/>
                <w14:textFill>
                  <w14:solidFill>
                    <w14:schemeClr w14:val="tx1"/>
                  </w14:solidFill>
                </w14:textFill>
              </w:rPr>
              <w:t>上学历人数</w:t>
            </w:r>
          </w:p>
        </w:tc>
        <w:tc>
          <w:tcPr>
            <w:tcW w:w="1205" w:type="dxa"/>
            <w:gridSpan w:val="2"/>
            <w:tcBorders>
              <w:top w:val="nil"/>
            </w:tcBorders>
          </w:tcPr>
          <w:p>
            <w:pPr>
              <w:snapToGrid w:val="0"/>
              <w:spacing w:line="336" w:lineRule="auto"/>
              <w:jc w:val="left"/>
              <w:rPr>
                <w:rFonts w:ascii="宋体" w:hAnsi="宋体" w:cs="宋体"/>
                <w:bCs/>
                <w:color w:val="000000" w:themeColor="text1"/>
                <w:spacing w:val="16"/>
                <w:kern w:val="0"/>
                <w:sz w:val="24"/>
                <w14:textFill>
                  <w14:solidFill>
                    <w14:schemeClr w14:val="tx1"/>
                  </w14:solidFill>
                </w14:textFill>
              </w:rPr>
            </w:pPr>
          </w:p>
          <w:p>
            <w:pPr>
              <w:snapToGrid w:val="0"/>
              <w:spacing w:line="336" w:lineRule="auto"/>
              <w:jc w:val="left"/>
              <w:rPr>
                <w:rFonts w:ascii="宋体" w:hAnsi="宋体" w:cs="宋体"/>
                <w:bCs/>
                <w:color w:val="000000" w:themeColor="text1"/>
                <w:spacing w:val="16"/>
                <w:kern w:val="0"/>
                <w:sz w:val="24"/>
                <w14:textFill>
                  <w14:solidFill>
                    <w14:schemeClr w14:val="tx1"/>
                  </w14:solidFill>
                </w14:textFill>
              </w:rPr>
            </w:pPr>
          </w:p>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p>
        </w:tc>
        <w:tc>
          <w:tcPr>
            <w:tcW w:w="2001" w:type="dxa"/>
            <w:gridSpan w:val="3"/>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r>
              <w:rPr>
                <w:rFonts w:hint="eastAsia"/>
                <w:bCs/>
                <w:color w:val="000000" w:themeColor="text1"/>
                <w:spacing w:val="65"/>
                <w14:textFill>
                  <w14:solidFill>
                    <w14:schemeClr w14:val="tx1"/>
                  </w14:solidFill>
                </w14:textFill>
              </w:rPr>
              <w:t>国家授予技</w:t>
            </w:r>
            <w:r>
              <w:rPr>
                <w:rFonts w:hint="eastAsia"/>
                <w:bCs/>
                <w:color w:val="000000" w:themeColor="text1"/>
                <w:spacing w:val="12"/>
                <w14:textFill>
                  <w14:solidFill>
                    <w14:schemeClr w14:val="tx1"/>
                  </w14:solidFill>
                </w14:textFill>
              </w:rPr>
              <w:t>术职称人数</w:t>
            </w:r>
          </w:p>
        </w:tc>
        <w:tc>
          <w:tcPr>
            <w:tcW w:w="2151" w:type="dxa"/>
            <w:gridSpan w:val="2"/>
          </w:tcPr>
          <w:p>
            <w:pPr>
              <w:snapToGrid w:val="0"/>
              <w:spacing w:line="336" w:lineRule="auto"/>
              <w:jc w:val="left"/>
              <w:rPr>
                <w:rFonts w:ascii="宋体" w:hAnsi="宋体" w:cs="宋体"/>
                <w:bCs/>
                <w:color w:val="000000" w:themeColor="text1"/>
                <w:spacing w:val="16"/>
                <w:kern w:val="0"/>
                <w:sz w:val="24"/>
                <w14:textFill>
                  <w14:solidFill>
                    <w14:schemeClr w14:val="tx1"/>
                  </w14:solidFill>
                </w14:textFill>
              </w:rPr>
            </w:pPr>
          </w:p>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59"/>
              <w:widowControl w:val="0"/>
              <w:shd w:val="clear" w:color="auto" w:fill="FFFFFF"/>
              <w:snapToGrid w:val="0"/>
              <w:spacing w:before="0" w:beforeAutospacing="0" w:after="0" w:afterAutospacing="0" w:line="336" w:lineRule="auto"/>
              <w:ind w:left="107"/>
              <w:rPr>
                <w:bCs/>
                <w:color w:val="000000" w:themeColor="text1"/>
                <w14:textFill>
                  <w14:solidFill>
                    <w14:schemeClr w14:val="tx1"/>
                  </w14:solidFill>
                </w14:textFill>
              </w:rPr>
            </w:pPr>
          </w:p>
        </w:tc>
        <w:tc>
          <w:tcPr>
            <w:tcW w:w="701" w:type="dxa"/>
          </w:tcPr>
          <w:p>
            <w:pPr>
              <w:pStyle w:val="59"/>
              <w:widowControl w:val="0"/>
              <w:shd w:val="clear" w:color="auto" w:fill="FFFFFF"/>
              <w:snapToGrid w:val="0"/>
              <w:spacing w:before="0" w:beforeAutospacing="0" w:after="0" w:afterAutospacing="0" w:line="336" w:lineRule="auto"/>
              <w:ind w:left="2"/>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注册资金</w:t>
            </w:r>
          </w:p>
        </w:tc>
        <w:tc>
          <w:tcPr>
            <w:tcW w:w="910" w:type="dxa"/>
            <w:gridSpan w:val="2"/>
          </w:tcPr>
          <w:p>
            <w:pPr>
              <w:pStyle w:val="59"/>
              <w:widowControl w:val="0"/>
              <w:shd w:val="clear" w:color="auto" w:fill="FFFFFF"/>
              <w:snapToGrid w:val="0"/>
              <w:spacing w:before="0" w:beforeAutospacing="0" w:after="0" w:afterAutospacing="0" w:line="336" w:lineRule="auto"/>
              <w:ind w:left="2"/>
              <w:rPr>
                <w:bCs/>
                <w:color w:val="000000" w:themeColor="text1"/>
                <w14:textFill>
                  <w14:solidFill>
                    <w14:schemeClr w14:val="tx1"/>
                  </w14:solidFill>
                </w14:textFill>
              </w:rPr>
            </w:pPr>
          </w:p>
        </w:tc>
        <w:tc>
          <w:tcPr>
            <w:tcW w:w="1163" w:type="dxa"/>
          </w:tcPr>
          <w:p>
            <w:pPr>
              <w:pStyle w:val="59"/>
              <w:widowControl w:val="0"/>
              <w:shd w:val="clear" w:color="auto" w:fill="FFFFFF"/>
              <w:snapToGrid w:val="0"/>
              <w:spacing w:before="0" w:beforeAutospacing="0" w:after="0" w:afterAutospacing="0" w:line="336" w:lineRule="auto"/>
              <w:ind w:left="107"/>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注册发证</w:t>
            </w:r>
            <w:r>
              <w:rPr>
                <w:rFonts w:hint="eastAsia"/>
                <w:bCs/>
                <w:color w:val="000000" w:themeColor="text1"/>
                <w:spacing w:val="27"/>
                <w14:textFill>
                  <w14:solidFill>
                    <w14:schemeClr w14:val="tx1"/>
                  </w14:solidFill>
                </w14:textFill>
              </w:rPr>
              <w:t>机关</w:t>
            </w:r>
          </w:p>
        </w:tc>
        <w:tc>
          <w:tcPr>
            <w:tcW w:w="3206" w:type="dxa"/>
            <w:gridSpan w:val="5"/>
          </w:tcPr>
          <w:p>
            <w:pPr>
              <w:snapToGrid w:val="0"/>
              <w:spacing w:line="336" w:lineRule="auto"/>
              <w:jc w:val="left"/>
              <w:rPr>
                <w:rFonts w:ascii="宋体" w:hAnsi="宋体" w:cs="宋体"/>
                <w:bCs/>
                <w:color w:val="000000" w:themeColor="text1"/>
                <w:kern w:val="0"/>
                <w:sz w:val="24"/>
                <w14:textFill>
                  <w14:solidFill>
                    <w14:schemeClr w14:val="tx1"/>
                  </w14:solidFill>
                </w14:textFill>
              </w:rPr>
            </w:pPr>
          </w:p>
          <w:p>
            <w:pPr>
              <w:pStyle w:val="59"/>
              <w:widowControl w:val="0"/>
              <w:shd w:val="clear" w:color="auto" w:fill="FFFFFF"/>
              <w:snapToGrid w:val="0"/>
              <w:spacing w:before="0" w:beforeAutospacing="0" w:after="0" w:afterAutospacing="0" w:line="336" w:lineRule="auto"/>
              <w:ind w:left="107"/>
              <w:rPr>
                <w:bCs/>
                <w:color w:val="000000" w:themeColor="text1"/>
                <w14:textFill>
                  <w14:solidFill>
                    <w14:schemeClr w14:val="tx1"/>
                  </w14:solidFill>
                </w14:textFill>
              </w:rPr>
            </w:pPr>
          </w:p>
        </w:tc>
        <w:tc>
          <w:tcPr>
            <w:tcW w:w="1218" w:type="dxa"/>
          </w:tcPr>
          <w:p>
            <w:pPr>
              <w:pStyle w:val="59"/>
              <w:widowControl w:val="0"/>
              <w:shd w:val="clear" w:color="auto" w:fill="FFFFFF"/>
              <w:snapToGrid w:val="0"/>
              <w:spacing w:before="0" w:beforeAutospacing="0" w:after="0" w:afterAutospacing="0" w:line="336"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公司成</w:t>
            </w:r>
            <w:r>
              <w:rPr>
                <w:rFonts w:hint="eastAsia"/>
                <w:bCs/>
                <w:color w:val="000000" w:themeColor="text1"/>
                <w:spacing w:val="12"/>
                <w14:textFill>
                  <w14:solidFill>
                    <w14:schemeClr w14:val="tx1"/>
                  </w14:solidFill>
                </w14:textFill>
              </w:rPr>
              <w:t>立时间</w:t>
            </w:r>
          </w:p>
        </w:tc>
        <w:tc>
          <w:tcPr>
            <w:tcW w:w="933" w:type="dxa"/>
          </w:tcPr>
          <w:p>
            <w:pPr>
              <w:pStyle w:val="59"/>
              <w:widowControl w:val="0"/>
              <w:shd w:val="clear" w:color="auto" w:fill="FFFFFF"/>
              <w:snapToGrid w:val="0"/>
              <w:spacing w:before="0" w:beforeAutospacing="0" w:after="0" w:afterAutospacing="0" w:line="336"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59"/>
              <w:widowControl w:val="0"/>
              <w:shd w:val="clear" w:color="auto" w:fill="FFFFFF"/>
              <w:snapToGrid w:val="0"/>
              <w:spacing w:before="0" w:beforeAutospacing="0" w:after="0" w:afterAutospacing="0" w:line="336" w:lineRule="auto"/>
              <w:ind w:left="107"/>
              <w:rPr>
                <w:bCs/>
                <w:color w:val="000000" w:themeColor="text1"/>
                <w14:textFill>
                  <w14:solidFill>
                    <w14:schemeClr w14:val="tx1"/>
                  </w14:solidFill>
                </w14:textFill>
              </w:rPr>
            </w:pPr>
          </w:p>
        </w:tc>
        <w:tc>
          <w:tcPr>
            <w:tcW w:w="701" w:type="dxa"/>
          </w:tcPr>
          <w:p>
            <w:pPr>
              <w:pStyle w:val="59"/>
              <w:widowControl w:val="0"/>
              <w:shd w:val="clear" w:color="auto" w:fill="FFFFFF"/>
              <w:snapToGrid w:val="0"/>
              <w:spacing w:before="0" w:beforeAutospacing="0" w:after="0" w:afterAutospacing="0" w:line="336" w:lineRule="auto"/>
              <w:ind w:left="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核准经营范围</w:t>
            </w:r>
          </w:p>
        </w:tc>
        <w:tc>
          <w:tcPr>
            <w:tcW w:w="7430" w:type="dxa"/>
            <w:gridSpan w:val="10"/>
          </w:tcPr>
          <w:p>
            <w:pPr>
              <w:pStyle w:val="59"/>
              <w:widowControl w:val="0"/>
              <w:shd w:val="clear" w:color="auto" w:fill="FFFFFF"/>
              <w:snapToGrid w:val="0"/>
              <w:spacing w:before="0" w:beforeAutospacing="0" w:after="0" w:afterAutospacing="0" w:line="336"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59"/>
              <w:widowControl w:val="0"/>
              <w:shd w:val="clear" w:color="auto" w:fill="FFFFFF"/>
              <w:snapToGrid w:val="0"/>
              <w:spacing w:before="0" w:beforeAutospacing="0" w:after="0" w:afterAutospacing="0" w:line="336" w:lineRule="auto"/>
              <w:ind w:left="107"/>
              <w:rPr>
                <w:bCs/>
                <w:color w:val="000000" w:themeColor="text1"/>
                <w14:textFill>
                  <w14:solidFill>
                    <w14:schemeClr w14:val="tx1"/>
                  </w14:solidFill>
                </w14:textFill>
              </w:rPr>
            </w:pPr>
          </w:p>
        </w:tc>
        <w:tc>
          <w:tcPr>
            <w:tcW w:w="8131" w:type="dxa"/>
            <w:gridSpan w:val="11"/>
          </w:tcPr>
          <w:p>
            <w:pPr>
              <w:pStyle w:val="59"/>
              <w:widowControl w:val="0"/>
              <w:shd w:val="clear" w:color="auto" w:fill="FFFFFF"/>
              <w:snapToGrid w:val="0"/>
              <w:spacing w:before="0" w:beforeAutospacing="0" w:after="0" w:afterAutospacing="0" w:line="336" w:lineRule="auto"/>
              <w:rPr>
                <w:bCs/>
                <w:color w:val="000000" w:themeColor="text1"/>
                <w:spacing w:val="13"/>
                <w14:textFill>
                  <w14:solidFill>
                    <w14:schemeClr w14:val="tx1"/>
                  </w14:solidFill>
                </w14:textFill>
              </w:rPr>
            </w:pPr>
            <w:r>
              <w:rPr>
                <w:rFonts w:hint="eastAsia"/>
                <w:bCs/>
                <w:color w:val="000000" w:themeColor="text1"/>
                <w:spacing w:val="13"/>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59"/>
              <w:widowControl w:val="0"/>
              <w:shd w:val="clear" w:color="auto" w:fill="FFFFFF"/>
              <w:snapToGrid w:val="0"/>
              <w:spacing w:before="0" w:beforeAutospacing="0" w:after="0" w:afterAutospacing="0" w:line="336" w:lineRule="auto"/>
              <w:ind w:left="107"/>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w:t>
            </w:r>
          </w:p>
          <w:p>
            <w:pPr>
              <w:pStyle w:val="59"/>
              <w:widowControl w:val="0"/>
              <w:shd w:val="clear" w:color="auto" w:fill="FFFFFF"/>
              <w:snapToGrid w:val="0"/>
              <w:spacing w:before="0" w:beforeAutospacing="0" w:after="0" w:afterAutospacing="0" w:line="336" w:lineRule="auto"/>
              <w:ind w:left="107"/>
              <w:rPr>
                <w:bCs/>
                <w:color w:val="000000" w:themeColor="text1"/>
                <w:spacing w:val="16"/>
                <w14:textFill>
                  <w14:solidFill>
                    <w14:schemeClr w14:val="tx1"/>
                  </w14:solidFill>
                </w14:textFill>
              </w:rPr>
            </w:pPr>
            <w:r>
              <w:rPr>
                <w:rFonts w:hint="eastAsia"/>
                <w:bCs/>
                <w:color w:val="000000" w:themeColor="text1"/>
                <w14:textFill>
                  <w14:solidFill>
                    <w14:schemeClr w14:val="tx1"/>
                  </w14:solidFill>
                </w14:textFill>
              </w:rPr>
              <w:t>企</w:t>
            </w:r>
            <w:r>
              <w:rPr>
                <w:rFonts w:hint="eastAsia"/>
                <w:bCs/>
                <w:color w:val="000000" w:themeColor="text1"/>
                <w:spacing w:val="12"/>
                <w14:textFill>
                  <w14:solidFill>
                    <w14:schemeClr w14:val="tx1"/>
                  </w14:solidFill>
                </w14:textFill>
              </w:rPr>
              <w:t>业有关资质获证情况</w:t>
            </w:r>
          </w:p>
        </w:tc>
        <w:tc>
          <w:tcPr>
            <w:tcW w:w="1553" w:type="dxa"/>
            <w:gridSpan w:val="2"/>
            <w:vMerge w:val="restart"/>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产品生产许可证情况</w:t>
            </w:r>
            <w:r>
              <w:rPr>
                <w:rFonts w:hint="eastAsia"/>
                <w:bCs/>
                <w:color w:val="000000" w:themeColor="text1"/>
                <w:spacing w:val="41"/>
                <w14:textFill>
                  <w14:solidFill>
                    <w14:schemeClr w14:val="tx1"/>
                  </w14:solidFill>
                </w14:textFill>
              </w:rPr>
              <w:t>（对需获得生产许可证的</w:t>
            </w:r>
            <w:r>
              <w:rPr>
                <w:rFonts w:hint="eastAsia"/>
                <w:bCs/>
                <w:color w:val="000000" w:themeColor="text1"/>
                <w:spacing w:val="11"/>
                <w14:textFill>
                  <w14:solidFill>
                    <w14:schemeClr w14:val="tx1"/>
                  </w14:solidFill>
                </w14:textFill>
              </w:rPr>
              <w:t>产品要填写此栏）</w:t>
            </w:r>
          </w:p>
        </w:tc>
        <w:tc>
          <w:tcPr>
            <w:tcW w:w="1333" w:type="dxa"/>
            <w:gridSpan w:val="3"/>
          </w:tcPr>
          <w:p>
            <w:pPr>
              <w:pStyle w:val="59"/>
              <w:widowControl w:val="0"/>
              <w:shd w:val="clear" w:color="auto" w:fill="FFFFFF"/>
              <w:snapToGrid w:val="0"/>
              <w:spacing w:before="0" w:beforeAutospacing="0" w:after="0" w:afterAutospacing="0" w:line="336" w:lineRule="auto"/>
              <w:ind w:right="-78" w:rightChars="-3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产品名称</w:t>
            </w:r>
          </w:p>
        </w:tc>
        <w:tc>
          <w:tcPr>
            <w:tcW w:w="1418" w:type="dxa"/>
            <w:gridSpan w:val="2"/>
          </w:tcPr>
          <w:p>
            <w:pPr>
              <w:pStyle w:val="59"/>
              <w:widowControl w:val="0"/>
              <w:shd w:val="clear" w:color="auto" w:fill="FFFFFF"/>
              <w:snapToGrid w:val="0"/>
              <w:spacing w:before="0" w:beforeAutospacing="0" w:after="0" w:afterAutospacing="0" w:line="336"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发证机关</w:t>
            </w:r>
          </w:p>
        </w:tc>
        <w:tc>
          <w:tcPr>
            <w:tcW w:w="1276" w:type="dxa"/>
          </w:tcPr>
          <w:p>
            <w:pPr>
              <w:pStyle w:val="59"/>
              <w:widowControl w:val="0"/>
              <w:shd w:val="clear" w:color="auto" w:fill="FFFFFF"/>
              <w:snapToGrid w:val="0"/>
              <w:spacing w:before="0" w:beforeAutospacing="0" w:after="0" w:afterAutospacing="0" w:line="336"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编号</w:t>
            </w:r>
          </w:p>
        </w:tc>
        <w:tc>
          <w:tcPr>
            <w:tcW w:w="1618" w:type="dxa"/>
            <w:gridSpan w:val="2"/>
          </w:tcPr>
          <w:p>
            <w:pPr>
              <w:pStyle w:val="59"/>
              <w:widowControl w:val="0"/>
              <w:shd w:val="clear" w:color="auto" w:fill="FFFFFF"/>
              <w:snapToGrid w:val="0"/>
              <w:spacing w:before="0" w:beforeAutospacing="0" w:after="0" w:afterAutospacing="0" w:line="336" w:lineRule="auto"/>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发证时间</w:t>
            </w:r>
          </w:p>
        </w:tc>
        <w:tc>
          <w:tcPr>
            <w:tcW w:w="933" w:type="dxa"/>
          </w:tcPr>
          <w:p>
            <w:pPr>
              <w:pStyle w:val="59"/>
              <w:widowControl w:val="0"/>
              <w:shd w:val="clear" w:color="auto" w:fill="FFFFFF"/>
              <w:snapToGrid w:val="0"/>
              <w:spacing w:before="0" w:beforeAutospacing="0" w:after="0" w:afterAutospacing="0" w:line="336"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59"/>
              <w:widowControl w:val="0"/>
              <w:shd w:val="clear" w:color="auto" w:fill="FFFFFF"/>
              <w:snapToGrid w:val="0"/>
              <w:spacing w:before="0" w:beforeAutospacing="0" w:after="0" w:afterAutospacing="0" w:line="336" w:lineRule="auto"/>
              <w:ind w:left="107"/>
              <w:rPr>
                <w:bCs/>
                <w:color w:val="000000" w:themeColor="text1"/>
                <w14:textFill>
                  <w14:solidFill>
                    <w14:schemeClr w14:val="tx1"/>
                  </w14:solidFill>
                </w14:textFill>
              </w:rPr>
            </w:pPr>
          </w:p>
        </w:tc>
        <w:tc>
          <w:tcPr>
            <w:tcW w:w="1553" w:type="dxa"/>
            <w:gridSpan w:val="2"/>
            <w:vMerge w:val="continue"/>
          </w:tcPr>
          <w:p>
            <w:pPr>
              <w:pStyle w:val="59"/>
              <w:widowControl w:val="0"/>
              <w:shd w:val="clear" w:color="auto" w:fill="FFFFFF"/>
              <w:snapToGrid w:val="0"/>
              <w:spacing w:before="0" w:beforeAutospacing="0" w:after="0" w:afterAutospacing="0" w:line="336" w:lineRule="auto"/>
              <w:rPr>
                <w:bCs/>
                <w:color w:val="000000" w:themeColor="text1"/>
                <w14:textFill>
                  <w14:solidFill>
                    <w14:schemeClr w14:val="tx1"/>
                  </w14:solidFill>
                </w14:textFill>
              </w:rPr>
            </w:pPr>
          </w:p>
        </w:tc>
        <w:tc>
          <w:tcPr>
            <w:tcW w:w="1333" w:type="dxa"/>
            <w:gridSpan w:val="3"/>
          </w:tcPr>
          <w:p>
            <w:pPr>
              <w:pStyle w:val="59"/>
              <w:widowControl w:val="0"/>
              <w:shd w:val="clear" w:color="auto" w:fill="FFFFFF"/>
              <w:snapToGrid w:val="0"/>
              <w:spacing w:before="0" w:beforeAutospacing="0" w:after="0" w:afterAutospacing="0" w:line="336" w:lineRule="auto"/>
              <w:rPr>
                <w:bCs/>
                <w:color w:val="000000" w:themeColor="text1"/>
                <w14:textFill>
                  <w14:solidFill>
                    <w14:schemeClr w14:val="tx1"/>
                  </w14:solidFill>
                </w14:textFill>
              </w:rPr>
            </w:pPr>
          </w:p>
        </w:tc>
        <w:tc>
          <w:tcPr>
            <w:tcW w:w="1418" w:type="dxa"/>
            <w:gridSpan w:val="2"/>
          </w:tcPr>
          <w:p>
            <w:pPr>
              <w:pStyle w:val="59"/>
              <w:widowControl w:val="0"/>
              <w:shd w:val="clear" w:color="auto" w:fill="FFFFFF"/>
              <w:snapToGrid w:val="0"/>
              <w:spacing w:before="0" w:beforeAutospacing="0" w:after="0" w:afterAutospacing="0" w:line="336" w:lineRule="auto"/>
              <w:rPr>
                <w:bCs/>
                <w:color w:val="000000" w:themeColor="text1"/>
                <w14:textFill>
                  <w14:solidFill>
                    <w14:schemeClr w14:val="tx1"/>
                  </w14:solidFill>
                </w14:textFill>
              </w:rPr>
            </w:pPr>
          </w:p>
        </w:tc>
        <w:tc>
          <w:tcPr>
            <w:tcW w:w="1276" w:type="dxa"/>
          </w:tcPr>
          <w:p>
            <w:pPr>
              <w:pStyle w:val="59"/>
              <w:widowControl w:val="0"/>
              <w:shd w:val="clear" w:color="auto" w:fill="FFFFFF"/>
              <w:snapToGrid w:val="0"/>
              <w:spacing w:before="0" w:beforeAutospacing="0" w:after="0" w:afterAutospacing="0" w:line="336" w:lineRule="auto"/>
              <w:rPr>
                <w:bCs/>
                <w:color w:val="000000" w:themeColor="text1"/>
                <w14:textFill>
                  <w14:solidFill>
                    <w14:schemeClr w14:val="tx1"/>
                  </w14:solidFill>
                </w14:textFill>
              </w:rPr>
            </w:pPr>
          </w:p>
        </w:tc>
        <w:tc>
          <w:tcPr>
            <w:tcW w:w="2551" w:type="dxa"/>
            <w:gridSpan w:val="3"/>
          </w:tcPr>
          <w:p>
            <w:pPr>
              <w:pStyle w:val="59"/>
              <w:widowControl w:val="0"/>
              <w:shd w:val="clear" w:color="auto" w:fill="FFFFFF"/>
              <w:snapToGrid w:val="0"/>
              <w:spacing w:before="0" w:beforeAutospacing="0" w:after="0" w:afterAutospacing="0" w:line="336"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59"/>
              <w:widowControl w:val="0"/>
              <w:shd w:val="clear" w:color="auto" w:fill="FFFFFF"/>
              <w:snapToGrid w:val="0"/>
              <w:spacing w:before="0" w:beforeAutospacing="0" w:after="0" w:afterAutospacing="0" w:line="336" w:lineRule="auto"/>
              <w:ind w:left="107"/>
              <w:rPr>
                <w:bCs/>
                <w:color w:val="000000" w:themeColor="text1"/>
                <w:spacing w:val="16"/>
                <w14:textFill>
                  <w14:solidFill>
                    <w14:schemeClr w14:val="tx1"/>
                  </w14:solidFill>
                </w14:textFill>
              </w:rPr>
            </w:pPr>
          </w:p>
        </w:tc>
        <w:tc>
          <w:tcPr>
            <w:tcW w:w="1553" w:type="dxa"/>
            <w:gridSpan w:val="2"/>
          </w:tcPr>
          <w:p>
            <w:pPr>
              <w:pStyle w:val="59"/>
              <w:widowControl w:val="0"/>
              <w:shd w:val="clear" w:color="auto" w:fill="FFFFFF"/>
              <w:snapToGrid w:val="0"/>
              <w:spacing w:before="0" w:beforeAutospacing="0" w:after="0" w:afterAutospacing="0" w:line="336" w:lineRule="auto"/>
              <w:ind w:right="-107" w:rightChars="-51"/>
              <w:rPr>
                <w:bCs/>
                <w:color w:val="000000" w:themeColor="text1"/>
                <w:spacing w:val="41"/>
                <w14:textFill>
                  <w14:solidFill>
                    <w14:schemeClr w14:val="tx1"/>
                  </w14:solidFill>
                </w14:textFill>
              </w:rPr>
            </w:pPr>
            <w:r>
              <w:rPr>
                <w:rFonts w:hint="eastAsia"/>
                <w:bCs/>
                <w:color w:val="000000" w:themeColor="text1"/>
                <w:spacing w:val="41"/>
                <w14:textFill>
                  <w14:solidFill>
                    <w14:schemeClr w14:val="tx1"/>
                  </w14:solidFill>
                </w14:textFill>
              </w:rPr>
              <w:t>企业通过质量体系、环保</w:t>
            </w:r>
            <w:r>
              <w:rPr>
                <w:rFonts w:hint="eastAsia"/>
                <w:bCs/>
                <w:color w:val="000000" w:themeColor="text1"/>
                <w:spacing w:val="11"/>
                <w14:textFill>
                  <w14:solidFill>
                    <w14:schemeClr w14:val="tx1"/>
                  </w14:solidFill>
                </w14:textFill>
              </w:rPr>
              <w:t>体系、计量等认证情况</w:t>
            </w:r>
          </w:p>
        </w:tc>
        <w:tc>
          <w:tcPr>
            <w:tcW w:w="6578" w:type="dxa"/>
            <w:gridSpan w:val="9"/>
          </w:tcPr>
          <w:p>
            <w:pPr>
              <w:pStyle w:val="59"/>
              <w:widowControl w:val="0"/>
              <w:shd w:val="clear" w:color="auto" w:fill="FFFFFF"/>
              <w:snapToGrid w:val="0"/>
              <w:spacing w:before="0" w:beforeAutospacing="0" w:after="0" w:afterAutospacing="0" w:line="336"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59"/>
              <w:widowControl w:val="0"/>
              <w:shd w:val="clear" w:color="auto" w:fill="FFFFFF"/>
              <w:snapToGrid w:val="0"/>
              <w:spacing w:before="0" w:beforeAutospacing="0" w:after="0" w:afterAutospacing="0" w:line="360" w:lineRule="auto"/>
              <w:ind w:left="107"/>
              <w:rPr>
                <w:bCs/>
                <w:color w:val="000000" w:themeColor="text1"/>
                <w:spacing w:val="27"/>
                <w14:textFill>
                  <w14:solidFill>
                    <w14:schemeClr w14:val="tx1"/>
                  </w14:solidFill>
                </w14:textFill>
              </w:rPr>
            </w:pPr>
          </w:p>
        </w:tc>
        <w:tc>
          <w:tcPr>
            <w:tcW w:w="1553" w:type="dxa"/>
            <w:gridSpan w:val="2"/>
          </w:tcPr>
          <w:p>
            <w:pPr>
              <w:pStyle w:val="59"/>
              <w:widowControl w:val="0"/>
              <w:shd w:val="clear" w:color="auto" w:fill="FFFFFF"/>
              <w:snapToGrid w:val="0"/>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0"/>
                <w14:textFill>
                  <w14:solidFill>
                    <w14:schemeClr w14:val="tx1"/>
                  </w14:solidFill>
                </w14:textFill>
              </w:rPr>
              <w:t>企业获得专利情况</w:t>
            </w:r>
          </w:p>
        </w:tc>
        <w:tc>
          <w:tcPr>
            <w:tcW w:w="6578" w:type="dxa"/>
            <w:gridSpan w:val="9"/>
          </w:tcPr>
          <w:p>
            <w:pPr>
              <w:pStyle w:val="59"/>
              <w:widowControl w:val="0"/>
              <w:shd w:val="clear" w:color="auto" w:fill="FFFFFF"/>
              <w:snapToGrid w:val="0"/>
              <w:spacing w:before="0" w:beforeAutospacing="0" w:after="0" w:afterAutospacing="0" w:line="360" w:lineRule="auto"/>
              <w:rPr>
                <w:bCs/>
                <w:color w:val="000000" w:themeColor="text1"/>
                <w:spacing w:val="16"/>
                <w14:textFill>
                  <w14:solidFill>
                    <w14:schemeClr w14:val="tx1"/>
                  </w14:solidFill>
                </w14:textFill>
              </w:rPr>
            </w:pPr>
          </w:p>
        </w:tc>
      </w:tr>
    </w:tbl>
    <w:p>
      <w:pPr>
        <w:pStyle w:val="59"/>
        <w:widowControl w:val="0"/>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pPr>
        <w:pStyle w:val="59"/>
        <w:widowControl w:val="0"/>
        <w:shd w:val="clear" w:color="auto" w:fill="FFFFFF"/>
        <w:spacing w:before="0" w:beforeAutospacing="0" w:after="0" w:afterAutospacing="0" w:line="360" w:lineRule="auto"/>
        <w:ind w:firstLine="424" w:firstLineChars="20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1.姓名栏必须将所有股东都统计在内，若非股份公司此行（第三行）无需填写；</w:t>
      </w:r>
    </w:p>
    <w:p>
      <w:pPr>
        <w:ind w:left="43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2.在填写时，如本表格不适合投标单位的实际情况，可根据本表格式自行划表填写。</w:t>
      </w:r>
    </w:p>
    <w:p>
      <w:pPr>
        <w:pStyle w:val="12"/>
        <w:rPr>
          <w:color w:val="000000" w:themeColor="text1"/>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磋商供应商代表签字或签章：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pStyle w:val="59"/>
        <w:widowControl w:val="0"/>
        <w:shd w:val="clear" w:color="auto" w:fill="FFFFFF"/>
        <w:spacing w:before="0" w:beforeAutospacing="0" w:after="0" w:afterAutospacing="0" w:line="360" w:lineRule="auto"/>
        <w:ind w:firstLine="424" w:firstLineChars="177"/>
        <w:rPr>
          <w:b/>
          <w:color w:val="000000" w:themeColor="text1"/>
          <w14:textFill>
            <w14:solidFill>
              <w14:schemeClr w14:val="tx1"/>
            </w14:solidFill>
          </w14:textFill>
        </w:rPr>
      </w:pPr>
      <w:r>
        <w:rPr>
          <w:rFonts w:hint="eastAsia"/>
          <w:color w:val="000000" w:themeColor="text1"/>
          <w14:textFill>
            <w14:solidFill>
              <w14:schemeClr w14:val="tx1"/>
            </w14:solidFill>
          </w14:textFill>
        </w:rPr>
        <w:t>日        期：</w:t>
      </w:r>
    </w:p>
    <w:p>
      <w:pP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5</w:t>
      </w:r>
    </w:p>
    <w:p>
      <w:pPr>
        <w:snapToGrid w:val="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p>
    <w:p>
      <w:pPr>
        <w:snapToGrid w:val="0"/>
        <w:spacing w:line="360" w:lineRule="auto"/>
        <w:ind w:firstLine="2400" w:firstLineChars="1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3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8"/>
              <w:snapToGrid w:val="0"/>
              <w:spacing w:before="156"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8"/>
              <w:snapToGrid w:val="0"/>
              <w:spacing w:before="156" w:beforeLines="50" w:after="50" w:line="360" w:lineRule="auto"/>
              <w:ind w:left="5250"/>
              <w:rPr>
                <w:rFonts w:ascii="宋体" w:hAnsi="宋体" w:eastAsia="宋体"/>
                <w:b/>
                <w:color w:val="000000" w:themeColor="text1"/>
                <w:kern w:val="44"/>
                <w:sz w:val="2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8"/>
              <w:spacing w:line="360" w:lineRule="auto"/>
              <w:ind w:left="5250"/>
              <w:rPr>
                <w:rFonts w:ascii="宋体" w:hAnsi="宋体" w:eastAsia="宋体"/>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14:textFill>
                  <w14:solidFill>
                    <w14:schemeClr w14:val="tx1"/>
                  </w14:solidFill>
                </w14:textFill>
              </w:rPr>
            </w:pPr>
          </w:p>
        </w:tc>
      </w:tr>
    </w:tbl>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ind w:left="437"/>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在填写时，如本表格不适合投标单位的实际情况，可根据本表格式自行划表填写。</w:t>
      </w:r>
    </w:p>
    <w:p>
      <w:pPr>
        <w:pStyle w:val="62"/>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2.附人员证书复印件；</w:t>
      </w:r>
    </w:p>
    <w:p>
      <w:pPr>
        <w:pStyle w:val="62"/>
        <w:ind w:left="424" w:hanging="424" w:hangingChars="202"/>
        <w:rPr>
          <w:rFonts w:hint="eastAsia" w:ascii="宋体" w:hAnsi="宋体" w:eastAsia="宋体"/>
          <w:color w:val="000000" w:themeColor="text1"/>
          <w:sz w:val="24"/>
          <w:szCs w:val="20"/>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　　3.出具上述人员在本单位服务的外部证明，</w:t>
      </w:r>
      <w:r>
        <w:rPr>
          <w:rFonts w:hint="eastAsia" w:ascii="宋体" w:hAnsi="宋体"/>
          <w:color w:val="000000" w:themeColor="text1"/>
          <w:szCs w:val="21"/>
          <w:lang w:eastAsia="zh-CN"/>
          <w14:textFill>
            <w14:solidFill>
              <w14:schemeClr w14:val="tx1"/>
            </w14:solidFill>
          </w14:textFill>
        </w:rPr>
        <w:t>根据招标文件要求提供证明文件。</w:t>
      </w:r>
    </w:p>
    <w:p>
      <w:pPr>
        <w:snapToGrid w:val="0"/>
        <w:spacing w:before="50" w:after="156" w:afterLines="50" w:line="360" w:lineRule="auto"/>
        <w:jc w:val="left"/>
        <w:rPr>
          <w:rFonts w:ascii="宋体" w:hAnsi="宋体"/>
          <w:color w:val="000000" w:themeColor="text1"/>
          <w:sz w:val="24"/>
          <w:szCs w:val="20"/>
          <w14:textFill>
            <w14:solidFill>
              <w14:schemeClr w14:val="tx1"/>
            </w14:solidFill>
          </w14:textFill>
        </w:rPr>
      </w:pPr>
    </w:p>
    <w:p>
      <w:pPr>
        <w:spacing w:line="24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rPr>
          <w:rFonts w:hint="eastAsia" w:ascii="宋体" w:hAnsi="宋体"/>
          <w:b/>
          <w:color w:val="000000" w:themeColor="text1"/>
          <w:sz w:val="28"/>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6</w:t>
      </w:r>
    </w:p>
    <w:p>
      <w:pPr>
        <w:spacing w:line="360" w:lineRule="auto"/>
        <w:ind w:right="-1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项目负责人资格情况表</w:t>
      </w:r>
    </w:p>
    <w:p>
      <w:pPr>
        <w:spacing w:line="36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 xml:space="preserve">采购项目： </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采购编号：</w:t>
      </w:r>
      <w:r>
        <w:rPr>
          <w:rFonts w:hint="eastAsia" w:ascii="宋体" w:hAnsi="宋体"/>
          <w:color w:val="000000" w:themeColor="text1"/>
          <w:lang w:eastAsia="zh-CN"/>
          <w14:textFill>
            <w14:solidFill>
              <w14:schemeClr w14:val="tx1"/>
            </w14:solidFill>
          </w14:textFill>
        </w:rPr>
        <w:t>WLCG-2024-CS018号</w:t>
      </w:r>
    </w:p>
    <w:tbl>
      <w:tblPr>
        <w:tblStyle w:val="30"/>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lang w:val="zh-CN"/>
                <w14:textFill>
                  <w14:solidFill>
                    <w14:schemeClr w14:val="tx1"/>
                  </w14:solidFill>
                </w14:textFill>
              </w:rPr>
            </w:pPr>
            <w:r>
              <w:rPr>
                <w:rFonts w:hint="eastAsia" w:ascii="宋体" w:hAnsi="宋体"/>
                <w:b/>
                <w:bCs/>
                <w:color w:val="000000" w:themeColor="text1"/>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lang w:val="zh-CN"/>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附件7：</w:t>
      </w:r>
    </w:p>
    <w:p>
      <w:pPr>
        <w:spacing w:line="360" w:lineRule="auto"/>
        <w:ind w:left="48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供货</w:t>
      </w:r>
      <w:r>
        <w:rPr>
          <w:rFonts w:ascii="宋体" w:hAnsi="宋体"/>
          <w:b/>
          <w:color w:val="000000" w:themeColor="text1"/>
          <w:sz w:val="32"/>
          <w:szCs w:val="32"/>
          <w14:textFill>
            <w14:solidFill>
              <w14:schemeClr w14:val="tx1"/>
            </w14:solidFill>
          </w14:textFill>
        </w:rPr>
        <w:t>清单</w:t>
      </w:r>
      <w:r>
        <w:rPr>
          <w:rFonts w:hint="eastAsia" w:ascii="宋体" w:hAnsi="宋体"/>
          <w:b/>
          <w:color w:val="000000" w:themeColor="text1"/>
          <w:sz w:val="32"/>
          <w:szCs w:val="32"/>
          <w14:textFill>
            <w14:solidFill>
              <w14:schemeClr w14:val="tx1"/>
            </w14:solidFill>
          </w14:textFill>
        </w:rPr>
        <w:t xml:space="preserve"> (第 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w:t>
      </w:r>
    </w:p>
    <w:tbl>
      <w:tblPr>
        <w:tblStyle w:val="3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1559" w:type="dxa"/>
            <w:vAlign w:val="center"/>
          </w:tcPr>
          <w:p>
            <w:pPr>
              <w:spacing w:line="360" w:lineRule="auto"/>
              <w:ind w:left="1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themeColor="text1"/>
                <w:sz w:val="24"/>
                <w14:textFill>
                  <w14:solidFill>
                    <w14:schemeClr w14:val="tx1"/>
                  </w14:solidFill>
                </w14:textFill>
              </w:rPr>
            </w:pPr>
          </w:p>
        </w:tc>
        <w:tc>
          <w:tcPr>
            <w:tcW w:w="2169"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1842" w:type="dxa"/>
            <w:vAlign w:val="center"/>
          </w:tcPr>
          <w:p>
            <w:pPr>
              <w:spacing w:line="360" w:lineRule="auto"/>
              <w:rPr>
                <w:rFonts w:ascii="宋体" w:hAnsi="宋体"/>
                <w:color w:val="000000" w:themeColor="text1"/>
                <w:sz w:val="24"/>
                <w14:textFill>
                  <w14:solidFill>
                    <w14:schemeClr w14:val="tx1"/>
                  </w14:solidFill>
                </w14:textFill>
              </w:rPr>
            </w:pPr>
          </w:p>
        </w:tc>
        <w:tc>
          <w:tcPr>
            <w:tcW w:w="993" w:type="dxa"/>
            <w:vAlign w:val="center"/>
          </w:tcPr>
          <w:p>
            <w:pPr>
              <w:spacing w:line="360" w:lineRule="auto"/>
              <w:rPr>
                <w:rFonts w:ascii="宋体" w:hAnsi="宋体"/>
                <w:color w:val="000000" w:themeColor="text1"/>
                <w:sz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14:textFill>
                  <w14:solidFill>
                    <w14:schemeClr w14:val="tx1"/>
                  </w14:solidFill>
                </w14:textFill>
              </w:rPr>
            </w:pPr>
          </w:p>
        </w:tc>
      </w:tr>
    </w:tbl>
    <w:p>
      <w:pPr>
        <w:spacing w:line="360" w:lineRule="auto"/>
        <w:ind w:left="43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firstLine="559" w:firstLineChars="265"/>
        <w:rPr>
          <w:rFonts w:ascii="宋体" w:hAnsi="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视情选用</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firstLine="571" w:firstLineChars="238"/>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磋商供应商代表签字：</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993"/>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pStyle w:val="29"/>
        <w:ind w:firstLine="56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3"/>
        <w:tabs>
          <w:tab w:val="left" w:pos="1050"/>
        </w:tabs>
        <w:spacing w:line="360" w:lineRule="auto"/>
        <w:rPr>
          <w:rFonts w:hint="eastAsia" w:ascii="宋体" w:hAnsi="宋体"/>
          <w:b/>
          <w:color w:val="000000" w:themeColor="text1"/>
          <w:sz w:val="28"/>
          <w14:textFill>
            <w14:solidFill>
              <w14:schemeClr w14:val="tx1"/>
            </w14:solidFill>
          </w14:textFill>
        </w:rPr>
      </w:pPr>
    </w:p>
    <w:p>
      <w:pPr>
        <w:pStyle w:val="53"/>
        <w:tabs>
          <w:tab w:val="left" w:pos="1050"/>
        </w:tabs>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8</w:t>
      </w:r>
    </w:p>
    <w:p>
      <w:pPr>
        <w:spacing w:line="360" w:lineRule="auto"/>
        <w:ind w:left="549" w:hanging="549" w:hangingChars="171"/>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资信及商务需求响应表</w:t>
      </w:r>
    </w:p>
    <w:tbl>
      <w:tblPr>
        <w:tblStyle w:val="30"/>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785" w:type="dxa"/>
            <w:vAlign w:val="center"/>
          </w:tcPr>
          <w:p>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招标需求</w:t>
            </w:r>
          </w:p>
        </w:tc>
        <w:tc>
          <w:tcPr>
            <w:tcW w:w="1365" w:type="dxa"/>
            <w:vAlign w:val="center"/>
          </w:tcPr>
          <w:p>
            <w:pPr>
              <w:ind w:left="1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是否响应</w:t>
            </w:r>
          </w:p>
        </w:tc>
        <w:tc>
          <w:tcPr>
            <w:tcW w:w="2625"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售后服务保障要求</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交货和服务</w:t>
            </w:r>
          </w:p>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时间及地点</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付款条件</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14:textFill>
                  <w14:solidFill>
                    <w14:schemeClr w14:val="tx1"/>
                  </w14:solidFill>
                </w14:textFill>
              </w:rPr>
            </w:pPr>
          </w:p>
        </w:tc>
        <w:tc>
          <w:tcPr>
            <w:tcW w:w="1785" w:type="dxa"/>
          </w:tcPr>
          <w:p>
            <w:pPr>
              <w:snapToGrid w:val="0"/>
              <w:rPr>
                <w:rFonts w:ascii="宋体" w:hAnsi="宋体"/>
                <w:color w:val="000000" w:themeColor="text1"/>
                <w:sz w:val="24"/>
                <w14:textFill>
                  <w14:solidFill>
                    <w14:schemeClr w14:val="tx1"/>
                  </w14:solidFill>
                </w14:textFill>
              </w:rPr>
            </w:pPr>
          </w:p>
        </w:tc>
        <w:tc>
          <w:tcPr>
            <w:tcW w:w="1785" w:type="dxa"/>
            <w:vAlign w:val="center"/>
          </w:tcPr>
          <w:p>
            <w:pPr>
              <w:rPr>
                <w:rFonts w:ascii="宋体" w:hAnsi="宋体"/>
                <w:color w:val="000000" w:themeColor="text1"/>
                <w:sz w:val="24"/>
                <w14:textFill>
                  <w14:solidFill>
                    <w14:schemeClr w14:val="tx1"/>
                  </w14:solidFill>
                </w14:textFill>
              </w:rPr>
            </w:pPr>
          </w:p>
        </w:tc>
        <w:tc>
          <w:tcPr>
            <w:tcW w:w="1365" w:type="dxa"/>
            <w:vAlign w:val="center"/>
          </w:tcPr>
          <w:p>
            <w:pPr>
              <w:rPr>
                <w:rFonts w:ascii="宋体" w:hAnsi="宋体"/>
                <w:color w:val="000000" w:themeColor="text1"/>
                <w:sz w:val="24"/>
                <w14:textFill>
                  <w14:solidFill>
                    <w14:schemeClr w14:val="tx1"/>
                  </w14:solidFill>
                </w14:textFill>
              </w:rPr>
            </w:pPr>
          </w:p>
        </w:tc>
        <w:tc>
          <w:tcPr>
            <w:tcW w:w="2625" w:type="dxa"/>
            <w:vAlign w:val="center"/>
          </w:tcPr>
          <w:p>
            <w:pPr>
              <w:rPr>
                <w:rFonts w:ascii="宋体" w:hAnsi="宋体"/>
                <w:color w:val="000000" w:themeColor="text1"/>
                <w:sz w:val="24"/>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br w:type="page"/>
      </w:r>
    </w:p>
    <w:p>
      <w:pPr>
        <w:spacing w:line="312" w:lineRule="auto"/>
        <w:ind w:left="480"/>
        <w:jc w:val="center"/>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t>技术</w:t>
      </w:r>
      <w:r>
        <w:rPr>
          <w:rFonts w:hint="eastAsia" w:ascii="宋体" w:hAnsi="宋体"/>
          <w:b/>
          <w:bCs/>
          <w:color w:val="000000" w:themeColor="text1"/>
          <w:sz w:val="32"/>
          <w:szCs w:val="32"/>
          <w14:textFill>
            <w14:solidFill>
              <w14:schemeClr w14:val="tx1"/>
            </w14:solidFill>
          </w14:textFill>
        </w:rPr>
        <w:t>需求</w:t>
      </w:r>
      <w:r>
        <w:rPr>
          <w:rFonts w:ascii="宋体" w:hAnsi="宋体"/>
          <w:b/>
          <w:bCs/>
          <w:color w:val="000000" w:themeColor="text1"/>
          <w:sz w:val="32"/>
          <w:szCs w:val="32"/>
          <w14:textFill>
            <w14:solidFill>
              <w14:schemeClr w14:val="tx1"/>
            </w14:solidFill>
          </w14:textFill>
        </w:rPr>
        <w:t xml:space="preserve">响应表 </w:t>
      </w:r>
    </w:p>
    <w:p>
      <w:pPr>
        <w:spacing w:line="312" w:lineRule="auto"/>
        <w:rPr>
          <w:rFonts w:ascii="宋体" w:hAnsi="宋体"/>
          <w:color w:val="000000" w:themeColor="text1"/>
          <w:sz w:val="24"/>
          <w14:textFill>
            <w14:solidFill>
              <w14:schemeClr w14:val="tx1"/>
            </w14:solidFill>
          </w14:textFill>
        </w:rPr>
      </w:pPr>
    </w:p>
    <w:tbl>
      <w:tblPr>
        <w:tblStyle w:val="3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341"/>
        <w:gridCol w:w="2047"/>
        <w:gridCol w:w="1837"/>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962" w:type="dxa"/>
            <w:vAlign w:val="center"/>
          </w:tcPr>
          <w:p>
            <w:pPr>
              <w:spacing w:line="312"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341" w:type="dxa"/>
            <w:vAlign w:val="center"/>
          </w:tcPr>
          <w:p>
            <w:pPr>
              <w:spacing w:line="312" w:lineRule="auto"/>
              <w:ind w:left="13" w:leftChars="6"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名称</w:t>
            </w:r>
          </w:p>
        </w:tc>
        <w:tc>
          <w:tcPr>
            <w:tcW w:w="2047" w:type="dxa"/>
            <w:vAlign w:val="center"/>
          </w:tcPr>
          <w:p>
            <w:pPr>
              <w:spacing w:line="312" w:lineRule="auto"/>
              <w:ind w:left="15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招标参数</w:t>
            </w:r>
          </w:p>
        </w:tc>
        <w:tc>
          <w:tcPr>
            <w:tcW w:w="1837" w:type="dxa"/>
            <w:vAlign w:val="center"/>
          </w:tcPr>
          <w:p>
            <w:pPr>
              <w:spacing w:line="312"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投标参数</w:t>
            </w:r>
          </w:p>
        </w:tc>
        <w:tc>
          <w:tcPr>
            <w:tcW w:w="1790" w:type="dxa"/>
            <w:vAlign w:val="center"/>
          </w:tcPr>
          <w:p>
            <w:pPr>
              <w:spacing w:line="312"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962" w:type="dxa"/>
            <w:vAlign w:val="center"/>
          </w:tcPr>
          <w:p>
            <w:pPr>
              <w:spacing w:line="312" w:lineRule="auto"/>
              <w:rPr>
                <w:rFonts w:ascii="宋体" w:hAnsi="宋体"/>
                <w:color w:val="000000" w:themeColor="text1"/>
                <w:sz w:val="24"/>
                <w14:textFill>
                  <w14:solidFill>
                    <w14:schemeClr w14:val="tx1"/>
                  </w14:solidFill>
                </w14:textFill>
              </w:rPr>
            </w:pPr>
          </w:p>
        </w:tc>
        <w:tc>
          <w:tcPr>
            <w:tcW w:w="2341" w:type="dxa"/>
            <w:vAlign w:val="center"/>
          </w:tcPr>
          <w:p>
            <w:pPr>
              <w:spacing w:line="312" w:lineRule="auto"/>
              <w:rPr>
                <w:rFonts w:ascii="宋体" w:hAnsi="宋体"/>
                <w:color w:val="000000" w:themeColor="text1"/>
                <w:sz w:val="24"/>
                <w14:textFill>
                  <w14:solidFill>
                    <w14:schemeClr w14:val="tx1"/>
                  </w14:solidFill>
                </w14:textFill>
              </w:rPr>
            </w:pPr>
          </w:p>
        </w:tc>
        <w:tc>
          <w:tcPr>
            <w:tcW w:w="2047" w:type="dxa"/>
            <w:vAlign w:val="center"/>
          </w:tcPr>
          <w:p>
            <w:pPr>
              <w:spacing w:line="312" w:lineRule="auto"/>
              <w:rPr>
                <w:rFonts w:ascii="宋体" w:hAnsi="宋体"/>
                <w:color w:val="000000" w:themeColor="text1"/>
                <w:sz w:val="24"/>
                <w14:textFill>
                  <w14:solidFill>
                    <w14:schemeClr w14:val="tx1"/>
                  </w14:solidFill>
                </w14:textFill>
              </w:rPr>
            </w:pPr>
          </w:p>
        </w:tc>
        <w:tc>
          <w:tcPr>
            <w:tcW w:w="1837" w:type="dxa"/>
            <w:vAlign w:val="center"/>
          </w:tcPr>
          <w:p>
            <w:pPr>
              <w:spacing w:line="312" w:lineRule="auto"/>
              <w:rPr>
                <w:rFonts w:ascii="宋体" w:hAnsi="宋体"/>
                <w:color w:val="000000" w:themeColor="text1"/>
                <w:sz w:val="24"/>
                <w14:textFill>
                  <w14:solidFill>
                    <w14:schemeClr w14:val="tx1"/>
                  </w14:solidFill>
                </w14:textFill>
              </w:rPr>
            </w:pPr>
          </w:p>
        </w:tc>
        <w:tc>
          <w:tcPr>
            <w:tcW w:w="1790" w:type="dxa"/>
            <w:vAlign w:val="center"/>
          </w:tcPr>
          <w:p>
            <w:pPr>
              <w:spacing w:line="312"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62" w:type="dxa"/>
            <w:vAlign w:val="center"/>
          </w:tcPr>
          <w:p>
            <w:pPr>
              <w:spacing w:line="312" w:lineRule="auto"/>
              <w:rPr>
                <w:rFonts w:ascii="宋体" w:hAnsi="宋体"/>
                <w:color w:val="000000" w:themeColor="text1"/>
                <w:sz w:val="24"/>
                <w14:textFill>
                  <w14:solidFill>
                    <w14:schemeClr w14:val="tx1"/>
                  </w14:solidFill>
                </w14:textFill>
              </w:rPr>
            </w:pPr>
          </w:p>
        </w:tc>
        <w:tc>
          <w:tcPr>
            <w:tcW w:w="2341" w:type="dxa"/>
            <w:vAlign w:val="center"/>
          </w:tcPr>
          <w:p>
            <w:pPr>
              <w:spacing w:line="312" w:lineRule="auto"/>
              <w:rPr>
                <w:rFonts w:ascii="宋体" w:hAnsi="宋体"/>
                <w:color w:val="000000" w:themeColor="text1"/>
                <w:sz w:val="24"/>
                <w14:textFill>
                  <w14:solidFill>
                    <w14:schemeClr w14:val="tx1"/>
                  </w14:solidFill>
                </w14:textFill>
              </w:rPr>
            </w:pPr>
          </w:p>
        </w:tc>
        <w:tc>
          <w:tcPr>
            <w:tcW w:w="2047" w:type="dxa"/>
            <w:vAlign w:val="center"/>
          </w:tcPr>
          <w:p>
            <w:pPr>
              <w:spacing w:line="312" w:lineRule="auto"/>
              <w:rPr>
                <w:rFonts w:ascii="宋体" w:hAnsi="宋体"/>
                <w:color w:val="000000" w:themeColor="text1"/>
                <w:sz w:val="24"/>
                <w14:textFill>
                  <w14:solidFill>
                    <w14:schemeClr w14:val="tx1"/>
                  </w14:solidFill>
                </w14:textFill>
              </w:rPr>
            </w:pPr>
          </w:p>
        </w:tc>
        <w:tc>
          <w:tcPr>
            <w:tcW w:w="1837" w:type="dxa"/>
            <w:vAlign w:val="center"/>
          </w:tcPr>
          <w:p>
            <w:pPr>
              <w:spacing w:line="312" w:lineRule="auto"/>
              <w:rPr>
                <w:rFonts w:ascii="宋体" w:hAnsi="宋体"/>
                <w:color w:val="000000" w:themeColor="text1"/>
                <w:sz w:val="24"/>
                <w14:textFill>
                  <w14:solidFill>
                    <w14:schemeClr w14:val="tx1"/>
                  </w14:solidFill>
                </w14:textFill>
              </w:rPr>
            </w:pPr>
          </w:p>
        </w:tc>
        <w:tc>
          <w:tcPr>
            <w:tcW w:w="1790" w:type="dxa"/>
            <w:vAlign w:val="center"/>
          </w:tcPr>
          <w:p>
            <w:pPr>
              <w:spacing w:line="312"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962" w:type="dxa"/>
            <w:vAlign w:val="center"/>
          </w:tcPr>
          <w:p>
            <w:pPr>
              <w:spacing w:line="312" w:lineRule="auto"/>
              <w:rPr>
                <w:rFonts w:ascii="宋体" w:hAnsi="宋体"/>
                <w:color w:val="000000" w:themeColor="text1"/>
                <w:sz w:val="24"/>
                <w14:textFill>
                  <w14:solidFill>
                    <w14:schemeClr w14:val="tx1"/>
                  </w14:solidFill>
                </w14:textFill>
              </w:rPr>
            </w:pPr>
          </w:p>
        </w:tc>
        <w:tc>
          <w:tcPr>
            <w:tcW w:w="2341" w:type="dxa"/>
            <w:vAlign w:val="center"/>
          </w:tcPr>
          <w:p>
            <w:pPr>
              <w:spacing w:line="312" w:lineRule="auto"/>
              <w:rPr>
                <w:rFonts w:ascii="宋体" w:hAnsi="宋体"/>
                <w:color w:val="000000" w:themeColor="text1"/>
                <w:sz w:val="24"/>
                <w14:textFill>
                  <w14:solidFill>
                    <w14:schemeClr w14:val="tx1"/>
                  </w14:solidFill>
                </w14:textFill>
              </w:rPr>
            </w:pPr>
          </w:p>
        </w:tc>
        <w:tc>
          <w:tcPr>
            <w:tcW w:w="2047" w:type="dxa"/>
            <w:vAlign w:val="center"/>
          </w:tcPr>
          <w:p>
            <w:pPr>
              <w:spacing w:line="312" w:lineRule="auto"/>
              <w:rPr>
                <w:rFonts w:ascii="宋体" w:hAnsi="宋体"/>
                <w:color w:val="000000" w:themeColor="text1"/>
                <w:sz w:val="24"/>
                <w14:textFill>
                  <w14:solidFill>
                    <w14:schemeClr w14:val="tx1"/>
                  </w14:solidFill>
                </w14:textFill>
              </w:rPr>
            </w:pPr>
          </w:p>
        </w:tc>
        <w:tc>
          <w:tcPr>
            <w:tcW w:w="1837" w:type="dxa"/>
            <w:vAlign w:val="center"/>
          </w:tcPr>
          <w:p>
            <w:pPr>
              <w:spacing w:line="312" w:lineRule="auto"/>
              <w:rPr>
                <w:rFonts w:ascii="宋体" w:hAnsi="宋体"/>
                <w:color w:val="000000" w:themeColor="text1"/>
                <w:sz w:val="24"/>
                <w14:textFill>
                  <w14:solidFill>
                    <w14:schemeClr w14:val="tx1"/>
                  </w14:solidFill>
                </w14:textFill>
              </w:rPr>
            </w:pPr>
          </w:p>
        </w:tc>
        <w:tc>
          <w:tcPr>
            <w:tcW w:w="1790" w:type="dxa"/>
            <w:vAlign w:val="center"/>
          </w:tcPr>
          <w:p>
            <w:pPr>
              <w:spacing w:line="312"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962" w:type="dxa"/>
            <w:vAlign w:val="center"/>
          </w:tcPr>
          <w:p>
            <w:pPr>
              <w:spacing w:line="312" w:lineRule="auto"/>
              <w:rPr>
                <w:rFonts w:ascii="宋体" w:hAnsi="宋体"/>
                <w:color w:val="000000" w:themeColor="text1"/>
                <w:sz w:val="24"/>
                <w14:textFill>
                  <w14:solidFill>
                    <w14:schemeClr w14:val="tx1"/>
                  </w14:solidFill>
                </w14:textFill>
              </w:rPr>
            </w:pPr>
          </w:p>
        </w:tc>
        <w:tc>
          <w:tcPr>
            <w:tcW w:w="2341" w:type="dxa"/>
            <w:vAlign w:val="center"/>
          </w:tcPr>
          <w:p>
            <w:pPr>
              <w:spacing w:line="312" w:lineRule="auto"/>
              <w:rPr>
                <w:rFonts w:ascii="宋体" w:hAnsi="宋体"/>
                <w:color w:val="000000" w:themeColor="text1"/>
                <w:sz w:val="24"/>
                <w14:textFill>
                  <w14:solidFill>
                    <w14:schemeClr w14:val="tx1"/>
                  </w14:solidFill>
                </w14:textFill>
              </w:rPr>
            </w:pPr>
          </w:p>
        </w:tc>
        <w:tc>
          <w:tcPr>
            <w:tcW w:w="2047" w:type="dxa"/>
            <w:vAlign w:val="center"/>
          </w:tcPr>
          <w:p>
            <w:pPr>
              <w:spacing w:line="312" w:lineRule="auto"/>
              <w:rPr>
                <w:rFonts w:ascii="宋体" w:hAnsi="宋体"/>
                <w:color w:val="000000" w:themeColor="text1"/>
                <w:sz w:val="24"/>
                <w14:textFill>
                  <w14:solidFill>
                    <w14:schemeClr w14:val="tx1"/>
                  </w14:solidFill>
                </w14:textFill>
              </w:rPr>
            </w:pPr>
          </w:p>
        </w:tc>
        <w:tc>
          <w:tcPr>
            <w:tcW w:w="1837" w:type="dxa"/>
            <w:vAlign w:val="center"/>
          </w:tcPr>
          <w:p>
            <w:pPr>
              <w:spacing w:line="312" w:lineRule="auto"/>
              <w:rPr>
                <w:rFonts w:ascii="宋体" w:hAnsi="宋体"/>
                <w:color w:val="000000" w:themeColor="text1"/>
                <w:sz w:val="24"/>
                <w14:textFill>
                  <w14:solidFill>
                    <w14:schemeClr w14:val="tx1"/>
                  </w14:solidFill>
                </w14:textFill>
              </w:rPr>
            </w:pPr>
          </w:p>
        </w:tc>
        <w:tc>
          <w:tcPr>
            <w:tcW w:w="1790" w:type="dxa"/>
            <w:vAlign w:val="center"/>
          </w:tcPr>
          <w:p>
            <w:pPr>
              <w:spacing w:line="312"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962" w:type="dxa"/>
            <w:vAlign w:val="center"/>
          </w:tcPr>
          <w:p>
            <w:pPr>
              <w:spacing w:line="312" w:lineRule="auto"/>
              <w:rPr>
                <w:rFonts w:ascii="宋体" w:hAnsi="宋体"/>
                <w:color w:val="000000" w:themeColor="text1"/>
                <w:sz w:val="24"/>
                <w14:textFill>
                  <w14:solidFill>
                    <w14:schemeClr w14:val="tx1"/>
                  </w14:solidFill>
                </w14:textFill>
              </w:rPr>
            </w:pPr>
          </w:p>
        </w:tc>
        <w:tc>
          <w:tcPr>
            <w:tcW w:w="2341" w:type="dxa"/>
            <w:vAlign w:val="center"/>
          </w:tcPr>
          <w:p>
            <w:pPr>
              <w:spacing w:line="312" w:lineRule="auto"/>
              <w:rPr>
                <w:rFonts w:ascii="宋体" w:hAnsi="宋体"/>
                <w:color w:val="000000" w:themeColor="text1"/>
                <w:sz w:val="24"/>
                <w14:textFill>
                  <w14:solidFill>
                    <w14:schemeClr w14:val="tx1"/>
                  </w14:solidFill>
                </w14:textFill>
              </w:rPr>
            </w:pPr>
          </w:p>
        </w:tc>
        <w:tc>
          <w:tcPr>
            <w:tcW w:w="2047" w:type="dxa"/>
            <w:vAlign w:val="center"/>
          </w:tcPr>
          <w:p>
            <w:pPr>
              <w:spacing w:line="312" w:lineRule="auto"/>
              <w:rPr>
                <w:rFonts w:ascii="宋体" w:hAnsi="宋体"/>
                <w:color w:val="000000" w:themeColor="text1"/>
                <w:sz w:val="24"/>
                <w14:textFill>
                  <w14:solidFill>
                    <w14:schemeClr w14:val="tx1"/>
                  </w14:solidFill>
                </w14:textFill>
              </w:rPr>
            </w:pPr>
          </w:p>
        </w:tc>
        <w:tc>
          <w:tcPr>
            <w:tcW w:w="1837" w:type="dxa"/>
            <w:vAlign w:val="center"/>
          </w:tcPr>
          <w:p>
            <w:pPr>
              <w:spacing w:line="312" w:lineRule="auto"/>
              <w:rPr>
                <w:rFonts w:ascii="宋体" w:hAnsi="宋体"/>
                <w:color w:val="000000" w:themeColor="text1"/>
                <w:sz w:val="24"/>
                <w14:textFill>
                  <w14:solidFill>
                    <w14:schemeClr w14:val="tx1"/>
                  </w14:solidFill>
                </w14:textFill>
              </w:rPr>
            </w:pPr>
          </w:p>
        </w:tc>
        <w:tc>
          <w:tcPr>
            <w:tcW w:w="1790" w:type="dxa"/>
            <w:vAlign w:val="center"/>
          </w:tcPr>
          <w:p>
            <w:pPr>
              <w:spacing w:line="312"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962" w:type="dxa"/>
            <w:vAlign w:val="center"/>
          </w:tcPr>
          <w:p>
            <w:pPr>
              <w:spacing w:line="312" w:lineRule="auto"/>
              <w:rPr>
                <w:rFonts w:ascii="宋体" w:hAnsi="宋体"/>
                <w:color w:val="000000" w:themeColor="text1"/>
                <w:sz w:val="24"/>
                <w14:textFill>
                  <w14:solidFill>
                    <w14:schemeClr w14:val="tx1"/>
                  </w14:solidFill>
                </w14:textFill>
              </w:rPr>
            </w:pPr>
          </w:p>
        </w:tc>
        <w:tc>
          <w:tcPr>
            <w:tcW w:w="2341" w:type="dxa"/>
            <w:vAlign w:val="center"/>
          </w:tcPr>
          <w:p>
            <w:pPr>
              <w:spacing w:line="312" w:lineRule="auto"/>
              <w:rPr>
                <w:rFonts w:ascii="宋体" w:hAnsi="宋体"/>
                <w:color w:val="000000" w:themeColor="text1"/>
                <w:sz w:val="24"/>
                <w14:textFill>
                  <w14:solidFill>
                    <w14:schemeClr w14:val="tx1"/>
                  </w14:solidFill>
                </w14:textFill>
              </w:rPr>
            </w:pPr>
          </w:p>
        </w:tc>
        <w:tc>
          <w:tcPr>
            <w:tcW w:w="2047" w:type="dxa"/>
            <w:vAlign w:val="center"/>
          </w:tcPr>
          <w:p>
            <w:pPr>
              <w:spacing w:line="312" w:lineRule="auto"/>
              <w:rPr>
                <w:rFonts w:ascii="宋体" w:hAnsi="宋体"/>
                <w:color w:val="000000" w:themeColor="text1"/>
                <w:sz w:val="24"/>
                <w14:textFill>
                  <w14:solidFill>
                    <w14:schemeClr w14:val="tx1"/>
                  </w14:solidFill>
                </w14:textFill>
              </w:rPr>
            </w:pPr>
          </w:p>
        </w:tc>
        <w:tc>
          <w:tcPr>
            <w:tcW w:w="1837" w:type="dxa"/>
            <w:vAlign w:val="center"/>
          </w:tcPr>
          <w:p>
            <w:pPr>
              <w:spacing w:line="312" w:lineRule="auto"/>
              <w:rPr>
                <w:rFonts w:ascii="宋体" w:hAnsi="宋体"/>
                <w:color w:val="000000" w:themeColor="text1"/>
                <w:sz w:val="24"/>
                <w14:textFill>
                  <w14:solidFill>
                    <w14:schemeClr w14:val="tx1"/>
                  </w14:solidFill>
                </w14:textFill>
              </w:rPr>
            </w:pPr>
          </w:p>
        </w:tc>
        <w:tc>
          <w:tcPr>
            <w:tcW w:w="1790" w:type="dxa"/>
            <w:vAlign w:val="center"/>
          </w:tcPr>
          <w:p>
            <w:pPr>
              <w:spacing w:line="312"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62" w:type="dxa"/>
            <w:vAlign w:val="center"/>
          </w:tcPr>
          <w:p>
            <w:pPr>
              <w:spacing w:line="312" w:lineRule="auto"/>
              <w:rPr>
                <w:rFonts w:ascii="宋体" w:hAnsi="宋体"/>
                <w:color w:val="000000" w:themeColor="text1"/>
                <w:sz w:val="24"/>
                <w14:textFill>
                  <w14:solidFill>
                    <w14:schemeClr w14:val="tx1"/>
                  </w14:solidFill>
                </w14:textFill>
              </w:rPr>
            </w:pPr>
          </w:p>
        </w:tc>
        <w:tc>
          <w:tcPr>
            <w:tcW w:w="2341" w:type="dxa"/>
            <w:vAlign w:val="center"/>
          </w:tcPr>
          <w:p>
            <w:pPr>
              <w:spacing w:line="312" w:lineRule="auto"/>
              <w:rPr>
                <w:rFonts w:ascii="宋体" w:hAnsi="宋体"/>
                <w:color w:val="000000" w:themeColor="text1"/>
                <w:sz w:val="24"/>
                <w14:textFill>
                  <w14:solidFill>
                    <w14:schemeClr w14:val="tx1"/>
                  </w14:solidFill>
                </w14:textFill>
              </w:rPr>
            </w:pPr>
          </w:p>
        </w:tc>
        <w:tc>
          <w:tcPr>
            <w:tcW w:w="2047" w:type="dxa"/>
            <w:vAlign w:val="center"/>
          </w:tcPr>
          <w:p>
            <w:pPr>
              <w:spacing w:line="312" w:lineRule="auto"/>
              <w:rPr>
                <w:rFonts w:ascii="宋体" w:hAnsi="宋体"/>
                <w:color w:val="000000" w:themeColor="text1"/>
                <w:sz w:val="24"/>
                <w14:textFill>
                  <w14:solidFill>
                    <w14:schemeClr w14:val="tx1"/>
                  </w14:solidFill>
                </w14:textFill>
              </w:rPr>
            </w:pPr>
          </w:p>
        </w:tc>
        <w:tc>
          <w:tcPr>
            <w:tcW w:w="1837" w:type="dxa"/>
            <w:vAlign w:val="center"/>
          </w:tcPr>
          <w:p>
            <w:pPr>
              <w:spacing w:line="312" w:lineRule="auto"/>
              <w:rPr>
                <w:rFonts w:ascii="宋体" w:hAnsi="宋体"/>
                <w:color w:val="000000" w:themeColor="text1"/>
                <w:sz w:val="24"/>
                <w14:textFill>
                  <w14:solidFill>
                    <w14:schemeClr w14:val="tx1"/>
                  </w14:solidFill>
                </w14:textFill>
              </w:rPr>
            </w:pPr>
          </w:p>
        </w:tc>
        <w:tc>
          <w:tcPr>
            <w:tcW w:w="1790" w:type="dxa"/>
            <w:vAlign w:val="center"/>
          </w:tcPr>
          <w:p>
            <w:pPr>
              <w:spacing w:line="312" w:lineRule="auto"/>
              <w:rPr>
                <w:rFonts w:ascii="宋体" w:hAnsi="宋体"/>
                <w:color w:val="000000" w:themeColor="text1"/>
                <w:sz w:val="24"/>
                <w14:textFill>
                  <w14:solidFill>
                    <w14:schemeClr w14:val="tx1"/>
                  </w14:solidFill>
                </w14:textFill>
              </w:rPr>
            </w:pPr>
          </w:p>
        </w:tc>
      </w:tr>
    </w:tbl>
    <w:p>
      <w:pPr>
        <w:pStyle w:val="56"/>
        <w:tabs>
          <w:tab w:val="left" w:pos="360"/>
        </w:tabs>
        <w:spacing w:line="360" w:lineRule="auto"/>
        <w:ind w:right="84" w:rightChars="40"/>
        <w:rPr>
          <w:rFonts w:ascii="宋体"/>
          <w:b/>
          <w:bCs/>
          <w:color w:val="000000" w:themeColor="text1"/>
          <w14:textFill>
            <w14:solidFill>
              <w14:schemeClr w14:val="tx1"/>
            </w14:solidFill>
          </w14:textFill>
        </w:rPr>
      </w:pPr>
      <w:r>
        <w:rPr>
          <w:rFonts w:hint="eastAsia" w:ascii="宋体" w:cs="宋体"/>
          <w:b/>
          <w:bCs/>
          <w:color w:val="000000" w:themeColor="text1"/>
          <w14:textFill>
            <w14:solidFill>
              <w14:schemeClr w14:val="tx1"/>
            </w14:solidFill>
          </w14:textFill>
        </w:rPr>
        <w:t>要求：</w:t>
      </w:r>
    </w:p>
    <w:p>
      <w:pPr>
        <w:pStyle w:val="56"/>
        <w:tabs>
          <w:tab w:val="left" w:pos="360"/>
        </w:tabs>
        <w:spacing w:line="360" w:lineRule="auto"/>
        <w:ind w:right="84" w:rightChars="40" w:firstLine="420" w:firstLineChars="200"/>
        <w:rPr>
          <w:rFonts w:ascii="宋体"/>
          <w:color w:val="000000" w:themeColor="text1"/>
          <w14:textFill>
            <w14:solidFill>
              <w14:schemeClr w14:val="tx1"/>
            </w14:solidFill>
          </w14:textFill>
        </w:rPr>
      </w:pPr>
      <w:r>
        <w:rPr>
          <w:rFonts w:ascii="宋体" w:cs="宋体"/>
          <w:color w:val="000000" w:themeColor="text1"/>
          <w14:textFill>
            <w14:solidFill>
              <w14:schemeClr w14:val="tx1"/>
            </w14:solidFill>
          </w14:textFill>
        </w:rPr>
        <w:t>1.</w:t>
      </w:r>
      <w:r>
        <w:rPr>
          <w:rFonts w:hint="eastAsia" w:ascii="宋体" w:cs="宋体"/>
          <w:color w:val="000000" w:themeColor="text1"/>
          <w14:textFill>
            <w14:solidFill>
              <w14:schemeClr w14:val="tx1"/>
            </w14:solidFill>
          </w14:textFill>
        </w:rPr>
        <w:t>本表参照本招标文件第二章“采购需求”填制，投标人应根据投标服务指标，对照招标文件要求在“偏离情况”栏注明“正偏离”、“负偏离”或“无偏离”。</w:t>
      </w:r>
    </w:p>
    <w:p>
      <w:pPr>
        <w:spacing w:line="360" w:lineRule="auto"/>
        <w:ind w:left="420"/>
        <w:rPr>
          <w:rFonts w:ascii="宋体" w:hAnsi="宋体" w:cs="宋体"/>
          <w:color w:val="000000" w:themeColor="text1"/>
          <w:sz w:val="24"/>
          <w14:textFill>
            <w14:solidFill>
              <w14:schemeClr w14:val="tx1"/>
            </w14:solidFill>
          </w14:textFill>
        </w:rPr>
      </w:pPr>
    </w:p>
    <w:p>
      <w:pPr>
        <w:spacing w:line="360" w:lineRule="auto"/>
        <w:ind w:left="42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w:t>
      </w:r>
      <w:r>
        <w:rPr>
          <w:rFonts w:hint="eastAsia" w:ascii="宋体" w:hAnsi="宋体" w:cs="宋体"/>
          <w:color w:val="000000" w:themeColor="text1"/>
          <w:sz w:val="24"/>
          <w14:textFill>
            <w14:solidFill>
              <w14:schemeClr w14:val="tx1"/>
            </w14:solidFill>
          </w14:textFill>
        </w:rPr>
        <w:t>名称（盖章）：</w:t>
      </w:r>
    </w:p>
    <w:p>
      <w:pPr>
        <w:pStyle w:val="12"/>
        <w:rPr>
          <w:color w:val="000000" w:themeColor="text1"/>
          <w14:textFill>
            <w14:solidFill>
              <w14:schemeClr w14:val="tx1"/>
            </w14:solidFill>
          </w14:textFill>
        </w:rPr>
      </w:pPr>
    </w:p>
    <w:p>
      <w:pPr>
        <w:spacing w:line="312"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磋商供应商代表签字或盖章：</w:t>
      </w:r>
    </w:p>
    <w:p>
      <w:pPr>
        <w:pStyle w:val="12"/>
        <w:rPr>
          <w:color w:val="000000" w:themeColor="text1"/>
          <w14:textFill>
            <w14:solidFill>
              <w14:schemeClr w14:val="tx1"/>
            </w14:solidFill>
          </w14:textFill>
        </w:rPr>
      </w:pPr>
    </w:p>
    <w:p>
      <w:pPr>
        <w:spacing w:line="360" w:lineRule="auto"/>
        <w:ind w:firstLine="435"/>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w:t>
      </w:r>
    </w:p>
    <w:p>
      <w:pPr>
        <w:tabs>
          <w:tab w:val="left" w:pos="2460"/>
        </w:tabs>
        <w:spacing w:line="360" w:lineRule="auto"/>
        <w:ind w:firstLine="435"/>
        <w:rPr>
          <w:rFonts w:ascii="宋体" w:hAnsi="宋体"/>
          <w:b/>
          <w:color w:val="000000" w:themeColor="text1"/>
          <w:sz w:val="28"/>
          <w14:textFill>
            <w14:solidFill>
              <w14:schemeClr w14:val="tx1"/>
            </w14:solidFill>
          </w14:textFill>
        </w:rPr>
      </w:pPr>
    </w:p>
    <w:p>
      <w:pPr>
        <w:pStyle w:val="12"/>
        <w:rPr>
          <w:color w:val="000000" w:themeColor="text1"/>
          <w14:textFill>
            <w14:solidFill>
              <w14:schemeClr w14:val="tx1"/>
            </w14:solidFill>
          </w14:textFill>
        </w:rPr>
      </w:pPr>
    </w:p>
    <w:p>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19"/>
        <w:ind w:left="0" w:leftChars="0"/>
        <w:rPr>
          <w:color w:val="000000" w:themeColor="text1"/>
          <w14:textFill>
            <w14:solidFill>
              <w14:schemeClr w14:val="tx1"/>
            </w14:solidFill>
          </w14:textFill>
        </w:rPr>
      </w:pPr>
    </w:p>
    <w:p>
      <w:pPr>
        <w:pStyle w:val="64"/>
        <w:spacing w:line="360" w:lineRule="auto"/>
        <w:jc w:val="lef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9</w:t>
      </w:r>
    </w:p>
    <w:p>
      <w:pPr>
        <w:pStyle w:val="53"/>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证书一览表</w:t>
      </w:r>
    </w:p>
    <w:tbl>
      <w:tblPr>
        <w:tblStyle w:val="3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53"/>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证书名称</w:t>
            </w:r>
          </w:p>
        </w:tc>
        <w:tc>
          <w:tcPr>
            <w:tcW w:w="2258" w:type="dxa"/>
            <w:tcBorders>
              <w:top w:val="single" w:color="auto" w:sz="4" w:space="0"/>
              <w:bottom w:val="single" w:color="auto" w:sz="4" w:space="0"/>
            </w:tcBorders>
          </w:tcPr>
          <w:p>
            <w:pPr>
              <w:pStyle w:val="53"/>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发证单位</w:t>
            </w:r>
          </w:p>
        </w:tc>
        <w:tc>
          <w:tcPr>
            <w:tcW w:w="2260" w:type="dxa"/>
            <w:tcBorders>
              <w:top w:val="single" w:color="auto" w:sz="4" w:space="0"/>
              <w:bottom w:val="single" w:color="auto" w:sz="4" w:space="0"/>
            </w:tcBorders>
          </w:tcPr>
          <w:p>
            <w:pPr>
              <w:pStyle w:val="53"/>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53"/>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258" w:type="dxa"/>
            <w:tcBorders>
              <w:top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260" w:type="dxa"/>
            <w:tcBorders>
              <w:top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047" w:type="dxa"/>
            <w:tcBorders>
              <w:top w:val="single" w:color="auto" w:sz="4" w:space="0"/>
              <w:right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258" w:type="dxa"/>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260" w:type="dxa"/>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047" w:type="dxa"/>
            <w:tcBorders>
              <w:right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258" w:type="dxa"/>
            <w:tcBorders>
              <w:bottom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260" w:type="dxa"/>
            <w:tcBorders>
              <w:bottom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c>
          <w:tcPr>
            <w:tcW w:w="2047" w:type="dxa"/>
            <w:tcBorders>
              <w:bottom w:val="single" w:color="auto" w:sz="4" w:space="0"/>
              <w:right w:val="single" w:color="auto" w:sz="4" w:space="0"/>
            </w:tcBorders>
          </w:tcPr>
          <w:p>
            <w:pPr>
              <w:pStyle w:val="53"/>
              <w:spacing w:line="360" w:lineRule="auto"/>
              <w:jc w:val="center"/>
              <w:rPr>
                <w:rFonts w:ascii="宋体" w:hAnsi="宋体" w:cs="Arial"/>
                <w:color w:val="000000" w:themeColor="text1"/>
                <w:szCs w:val="21"/>
                <w14:textFill>
                  <w14:solidFill>
                    <w14:schemeClr w14:val="tx1"/>
                  </w14:solidFill>
                </w14:textFill>
              </w:rPr>
            </w:pPr>
          </w:p>
        </w:tc>
      </w:tr>
    </w:tbl>
    <w:p>
      <w:pPr>
        <w:pStyle w:val="53"/>
        <w:tabs>
          <w:tab w:val="left" w:pos="1050"/>
        </w:tabs>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pStyle w:val="53"/>
        <w:tabs>
          <w:tab w:val="left" w:pos="1050"/>
        </w:tabs>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1.填写投标人获得资质、认证或企业信誉证书；</w:t>
      </w:r>
    </w:p>
    <w:p>
      <w:pPr>
        <w:pStyle w:val="53"/>
        <w:tabs>
          <w:tab w:val="left" w:pos="1050"/>
        </w:tabs>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2.附所列证书复印件或其他证明材料。</w:t>
      </w:r>
    </w:p>
    <w:p>
      <w:pPr>
        <w:pStyle w:val="53"/>
        <w:tabs>
          <w:tab w:val="left" w:pos="1050"/>
        </w:tabs>
        <w:spacing w:line="360" w:lineRule="auto"/>
        <w:ind w:firstLine="720" w:firstLineChars="300"/>
        <w:rPr>
          <w:rFonts w:ascii="宋体" w:hAnsi="宋体"/>
          <w:color w:val="000000" w:themeColor="text1"/>
          <w:sz w:val="24"/>
          <w14:textFill>
            <w14:solidFill>
              <w14:schemeClr w14:val="tx1"/>
            </w14:solidFill>
          </w14:textFill>
        </w:rPr>
      </w:pPr>
    </w:p>
    <w:p>
      <w:pPr>
        <w:pStyle w:val="53"/>
        <w:tabs>
          <w:tab w:val="left" w:pos="1050"/>
        </w:tabs>
        <w:spacing w:line="360" w:lineRule="auto"/>
        <w:ind w:firstLine="720" w:firstLineChars="30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pStyle w:val="59"/>
        <w:widowControl w:val="0"/>
        <w:shd w:val="clear" w:color="auto" w:fill="FFFFFF"/>
        <w:spacing w:before="0" w:beforeAutospacing="0" w:after="0" w:afterAutospacing="0" w:line="360" w:lineRule="auto"/>
        <w:ind w:firstLine="424" w:firstLineChars="177"/>
        <w:rPr>
          <w:color w:val="000000" w:themeColor="text1"/>
          <w14:textFill>
            <w14:solidFill>
              <w14:schemeClr w14:val="tx1"/>
            </w14:solidFill>
          </w14:textFill>
        </w:rPr>
      </w:pPr>
      <w:r>
        <w:rPr>
          <w:rFonts w:hint="eastAsia"/>
          <w:color w:val="000000" w:themeColor="text1"/>
          <w14:textFill>
            <w14:solidFill>
              <w14:schemeClr w14:val="tx1"/>
            </w14:solidFill>
          </w14:textFill>
        </w:rPr>
        <w:t>日        期：</w:t>
      </w:r>
    </w:p>
    <w:p>
      <w:pPr>
        <w:pStyle w:val="59"/>
        <w:widowControl w:val="0"/>
        <w:shd w:val="clear" w:color="auto" w:fill="FFFFFF"/>
        <w:spacing w:before="0" w:beforeAutospacing="0" w:after="0" w:afterAutospacing="0" w:line="360" w:lineRule="auto"/>
        <w:ind w:firstLine="465" w:firstLineChars="177"/>
        <w:rPr>
          <w:b/>
          <w:bCs/>
          <w:color w:val="000000" w:themeColor="text1"/>
          <w:spacing w:val="11"/>
          <w14:textFill>
            <w14:solidFill>
              <w14:schemeClr w14:val="tx1"/>
            </w14:solidFill>
          </w14:textFill>
        </w:rPr>
      </w:pPr>
    </w:p>
    <w:p>
      <w:pP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10</w:t>
      </w:r>
    </w:p>
    <w:p>
      <w:pPr>
        <w:pStyle w:val="64"/>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投标人类似项目实施情况一览表</w:t>
      </w:r>
    </w:p>
    <w:tbl>
      <w:tblPr>
        <w:tblStyle w:val="3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4"/>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4"/>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4"/>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64"/>
              <w:spacing w:line="360" w:lineRule="auto"/>
              <w:rPr>
                <w:rFonts w:ascii="宋体" w:hAnsi="宋体" w:cs="Arial"/>
                <w:color w:val="000000" w:themeColor="text1"/>
                <w:sz w:val="24"/>
                <w14:textFill>
                  <w14:solidFill>
                    <w14:schemeClr w14:val="tx1"/>
                  </w14:solidFill>
                </w14:textFill>
              </w:rPr>
            </w:pPr>
          </w:p>
        </w:tc>
      </w:tr>
    </w:tbl>
    <w:p>
      <w:pPr>
        <w:autoSpaceDE w:val="0"/>
        <w:autoSpaceDN w:val="0"/>
        <w:adjustRightInd w:val="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要求</w:t>
      </w:r>
      <w:r>
        <w:rPr>
          <w:rFonts w:ascii="宋体" w:hAnsi="宋体" w:cs="Arial"/>
          <w:b/>
          <w:color w:val="000000" w:themeColor="text1"/>
          <w:szCs w:val="21"/>
          <w14:textFill>
            <w14:solidFill>
              <w14:schemeClr w14:val="tx1"/>
            </w14:solidFill>
          </w14:textFill>
        </w:rPr>
        <w:t>：</w:t>
      </w:r>
    </w:p>
    <w:p>
      <w:pPr>
        <w:autoSpaceDE w:val="0"/>
        <w:autoSpaceDN w:val="0"/>
        <w:adjustRightInd w:val="0"/>
        <w:ind w:firstLine="424" w:firstLineChars="202"/>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业绩证明应提供证明材料（合同</w:t>
      </w:r>
      <w:r>
        <w:rPr>
          <w:rFonts w:hint="eastAsia" w:ascii="宋体" w:hAnsi="宋体" w:cs="Arial"/>
          <w:color w:val="000000" w:themeColor="text1"/>
          <w:szCs w:val="21"/>
          <w14:textFill>
            <w14:solidFill>
              <w14:schemeClr w14:val="tx1"/>
            </w14:solidFill>
          </w14:textFill>
        </w:rPr>
        <w:t>复印件可只提供首页、含金额页、盖章页并加盖投标人公章</w:t>
      </w:r>
      <w:r>
        <w:rPr>
          <w:rFonts w:ascii="宋体" w:hAnsi="宋体" w:cs="Arial"/>
          <w:color w:val="000000" w:themeColor="text1"/>
          <w:szCs w:val="21"/>
          <w14:textFill>
            <w14:solidFill>
              <w14:schemeClr w14:val="tx1"/>
            </w14:solidFill>
          </w14:textFill>
        </w:rPr>
        <w:t>）；</w:t>
      </w:r>
    </w:p>
    <w:p>
      <w:pPr>
        <w:ind w:firstLine="424" w:firstLineChars="202"/>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.报价供应商</w:t>
      </w:r>
      <w:r>
        <w:rPr>
          <w:rFonts w:ascii="宋体" w:hAnsi="宋体" w:cs="Arial"/>
          <w:color w:val="000000" w:themeColor="text1"/>
          <w:szCs w:val="21"/>
          <w14:textFill>
            <w14:solidFill>
              <w14:schemeClr w14:val="tx1"/>
            </w14:solidFill>
          </w14:textFill>
        </w:rPr>
        <w:t>可按此表格式复制</w:t>
      </w:r>
      <w:r>
        <w:rPr>
          <w:rFonts w:hint="eastAsia" w:ascii="宋体" w:hAnsi="宋体" w:cs="Arial"/>
          <w:color w:val="000000" w:themeColor="text1"/>
          <w:szCs w:val="21"/>
          <w14:textFill>
            <w14:solidFill>
              <w14:schemeClr w14:val="tx1"/>
            </w14:solidFill>
          </w14:textFill>
        </w:rPr>
        <w:t>。</w:t>
      </w:r>
    </w:p>
    <w:p>
      <w:pPr>
        <w:spacing w:line="360" w:lineRule="auto"/>
        <w:rPr>
          <w:rFonts w:ascii="宋体" w:hAnsi="宋体"/>
          <w:color w:val="000000" w:themeColor="text1"/>
          <w:sz w:val="22"/>
          <w:szCs w:val="22"/>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w:t>
      </w:r>
      <w:r>
        <w:rPr>
          <w:rFonts w:ascii="宋体" w:hAnsi="宋体"/>
          <w:b/>
          <w:color w:val="000000" w:themeColor="text1"/>
          <w:sz w:val="28"/>
          <w14:textFill>
            <w14:solidFill>
              <w14:schemeClr w14:val="tx1"/>
            </w14:solidFill>
          </w14:textFill>
        </w:rPr>
        <w:t>11</w:t>
      </w:r>
    </w:p>
    <w:p>
      <w:pPr>
        <w:spacing w:line="360" w:lineRule="auto"/>
        <w:ind w:firstLine="435"/>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售后服务情况表</w:t>
      </w:r>
    </w:p>
    <w:tbl>
      <w:tblPr>
        <w:tblStyle w:val="30"/>
        <w:tblW w:w="86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0"/>
        <w:gridCol w:w="2390"/>
        <w:gridCol w:w="4121"/>
        <w:gridCol w:w="13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750" w:type="dxa"/>
            <w:vAlign w:val="center"/>
          </w:tcPr>
          <w:p>
            <w:pPr>
              <w:pStyle w:val="54"/>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序号</w:t>
            </w:r>
          </w:p>
        </w:tc>
        <w:tc>
          <w:tcPr>
            <w:tcW w:w="2390" w:type="dxa"/>
            <w:vAlign w:val="center"/>
          </w:tcPr>
          <w:p>
            <w:pPr>
              <w:pStyle w:val="54"/>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项目</w:t>
            </w:r>
          </w:p>
        </w:tc>
        <w:tc>
          <w:tcPr>
            <w:tcW w:w="4121" w:type="dxa"/>
            <w:vAlign w:val="center"/>
          </w:tcPr>
          <w:p>
            <w:pPr>
              <w:pStyle w:val="54"/>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磋商供应商承诺</w:t>
            </w:r>
          </w:p>
        </w:tc>
        <w:tc>
          <w:tcPr>
            <w:tcW w:w="1393" w:type="dxa"/>
            <w:vAlign w:val="center"/>
          </w:tcPr>
          <w:p>
            <w:pPr>
              <w:pStyle w:val="54"/>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12" w:hRule="atLeast"/>
          <w:jc w:val="center"/>
        </w:trPr>
        <w:tc>
          <w:tcPr>
            <w:tcW w:w="750" w:type="dxa"/>
            <w:vAlign w:val="center"/>
          </w:tcPr>
          <w:p>
            <w:pPr>
              <w:pStyle w:val="54"/>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1</w:t>
            </w:r>
          </w:p>
        </w:tc>
        <w:tc>
          <w:tcPr>
            <w:tcW w:w="2390" w:type="dxa"/>
            <w:vAlign w:val="center"/>
          </w:tcPr>
          <w:p>
            <w:pPr>
              <w:pStyle w:val="54"/>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保修期内售后服务情况(</w:t>
            </w:r>
            <w:r>
              <w:rPr>
                <w:rFonts w:ascii="宋体" w:hAnsi="宋体" w:cs="Arial"/>
                <w:bCs/>
                <w:color w:val="000000" w:themeColor="text1"/>
                <w:sz w:val="24"/>
                <w14:textFill>
                  <w14:solidFill>
                    <w14:schemeClr w14:val="tx1"/>
                  </w14:solidFill>
                </w14:textFill>
              </w:rPr>
              <w:t>服务</w:t>
            </w:r>
            <w:r>
              <w:rPr>
                <w:rFonts w:hint="eastAsia" w:ascii="宋体" w:hAnsi="宋体" w:cs="Arial"/>
                <w:bCs/>
                <w:color w:val="000000" w:themeColor="text1"/>
                <w:sz w:val="24"/>
                <w14:textFill>
                  <w14:solidFill>
                    <w14:schemeClr w14:val="tx1"/>
                  </w14:solidFill>
                </w14:textFill>
              </w:rPr>
              <w:t>方式、服务网点</w:t>
            </w:r>
            <w:r>
              <w:rPr>
                <w:rFonts w:ascii="宋体" w:hAnsi="宋体" w:cs="Arial"/>
                <w:bCs/>
                <w:color w:val="000000" w:themeColor="text1"/>
                <w:sz w:val="24"/>
                <w14:textFill>
                  <w14:solidFill>
                    <w14:schemeClr w14:val="tx1"/>
                  </w14:solidFill>
                </w14:textFill>
              </w:rPr>
              <w:t>、售后服务的内容和措施</w:t>
            </w:r>
            <w:r>
              <w:rPr>
                <w:rFonts w:hint="eastAsia" w:ascii="宋体" w:hAnsi="宋体" w:cs="Arial"/>
                <w:bCs/>
                <w:color w:val="000000" w:themeColor="text1"/>
                <w:sz w:val="24"/>
                <w14:textFill>
                  <w14:solidFill>
                    <w14:schemeClr w14:val="tx1"/>
                  </w14:solidFill>
                </w14:textFill>
              </w:rPr>
              <w:t>等等，可用附页和宣传材料)</w:t>
            </w:r>
          </w:p>
        </w:tc>
        <w:tc>
          <w:tcPr>
            <w:tcW w:w="4121" w:type="dxa"/>
          </w:tcPr>
          <w:p>
            <w:pPr>
              <w:pStyle w:val="54"/>
              <w:spacing w:line="360" w:lineRule="auto"/>
              <w:rPr>
                <w:rFonts w:ascii="宋体" w:hAnsi="宋体" w:cs="Arial"/>
                <w:bCs/>
                <w:color w:val="000000" w:themeColor="text1"/>
                <w:sz w:val="24"/>
                <w14:textFill>
                  <w14:solidFill>
                    <w14:schemeClr w14:val="tx1"/>
                  </w14:solidFill>
                </w14:textFill>
              </w:rPr>
            </w:pPr>
          </w:p>
          <w:p>
            <w:pPr>
              <w:pStyle w:val="54"/>
              <w:spacing w:line="360" w:lineRule="auto"/>
              <w:rPr>
                <w:rFonts w:ascii="宋体" w:hAnsi="宋体" w:cs="Arial"/>
                <w:bCs/>
                <w:color w:val="000000" w:themeColor="text1"/>
                <w:sz w:val="24"/>
                <w14:textFill>
                  <w14:solidFill>
                    <w14:schemeClr w14:val="tx1"/>
                  </w14:solidFill>
                </w14:textFill>
              </w:rPr>
            </w:pPr>
          </w:p>
        </w:tc>
        <w:tc>
          <w:tcPr>
            <w:tcW w:w="1393" w:type="dxa"/>
          </w:tcPr>
          <w:p>
            <w:pPr>
              <w:pStyle w:val="54"/>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4" w:hRule="exact"/>
          <w:jc w:val="center"/>
        </w:trPr>
        <w:tc>
          <w:tcPr>
            <w:tcW w:w="750" w:type="dxa"/>
            <w:vAlign w:val="center"/>
          </w:tcPr>
          <w:p>
            <w:pPr>
              <w:pStyle w:val="54"/>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2</w:t>
            </w:r>
          </w:p>
        </w:tc>
        <w:tc>
          <w:tcPr>
            <w:tcW w:w="2390" w:type="dxa"/>
            <w:vAlign w:val="center"/>
          </w:tcPr>
          <w:p>
            <w:pPr>
              <w:pStyle w:val="54"/>
              <w:spacing w:line="360" w:lineRule="auto"/>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保修期后售后服务</w:t>
            </w:r>
          </w:p>
        </w:tc>
        <w:tc>
          <w:tcPr>
            <w:tcW w:w="4121" w:type="dxa"/>
          </w:tcPr>
          <w:p>
            <w:pPr>
              <w:pStyle w:val="54"/>
              <w:spacing w:line="360" w:lineRule="auto"/>
              <w:jc w:val="left"/>
              <w:rPr>
                <w:rFonts w:ascii="宋体" w:hAnsi="宋体" w:cs="Arial"/>
                <w:bCs/>
                <w:color w:val="000000" w:themeColor="text1"/>
                <w:sz w:val="24"/>
                <w14:textFill>
                  <w14:solidFill>
                    <w14:schemeClr w14:val="tx1"/>
                  </w14:solidFill>
                </w14:textFill>
              </w:rPr>
            </w:pPr>
          </w:p>
          <w:p>
            <w:pPr>
              <w:pStyle w:val="54"/>
              <w:spacing w:line="360" w:lineRule="auto"/>
              <w:jc w:val="left"/>
              <w:rPr>
                <w:rFonts w:ascii="宋体" w:hAnsi="宋体" w:cs="Arial"/>
                <w:bCs/>
                <w:color w:val="000000" w:themeColor="text1"/>
                <w:sz w:val="24"/>
                <w14:textFill>
                  <w14:solidFill>
                    <w14:schemeClr w14:val="tx1"/>
                  </w14:solidFill>
                </w14:textFill>
              </w:rPr>
            </w:pPr>
          </w:p>
          <w:p>
            <w:pPr>
              <w:pStyle w:val="54"/>
              <w:spacing w:line="360" w:lineRule="auto"/>
              <w:rPr>
                <w:rFonts w:ascii="宋体" w:hAnsi="宋体" w:cs="Arial"/>
                <w:bCs/>
                <w:color w:val="000000" w:themeColor="text1"/>
                <w:sz w:val="24"/>
                <w14:textFill>
                  <w14:solidFill>
                    <w14:schemeClr w14:val="tx1"/>
                  </w14:solidFill>
                </w14:textFill>
              </w:rPr>
            </w:pPr>
          </w:p>
        </w:tc>
        <w:tc>
          <w:tcPr>
            <w:tcW w:w="1393" w:type="dxa"/>
          </w:tcPr>
          <w:p>
            <w:pPr>
              <w:pStyle w:val="54"/>
              <w:spacing w:line="360" w:lineRule="auto"/>
              <w:jc w:val="left"/>
              <w:rPr>
                <w:rFonts w:ascii="宋体" w:hAnsi="宋体" w:cs="Arial"/>
                <w:bCs/>
                <w:color w:val="000000" w:themeColor="text1"/>
                <w:sz w:val="24"/>
                <w14:textFill>
                  <w14:solidFill>
                    <w14:schemeClr w14:val="tx1"/>
                  </w14:solidFill>
                </w14:textFill>
              </w:rPr>
            </w:pPr>
          </w:p>
          <w:p>
            <w:pPr>
              <w:pStyle w:val="54"/>
              <w:spacing w:line="360" w:lineRule="auto"/>
              <w:jc w:val="left"/>
              <w:rPr>
                <w:rFonts w:ascii="宋体" w:hAnsi="宋体" w:cs="Arial"/>
                <w:bCs/>
                <w:color w:val="000000" w:themeColor="text1"/>
                <w:sz w:val="24"/>
                <w14:textFill>
                  <w14:solidFill>
                    <w14:schemeClr w14:val="tx1"/>
                  </w14:solidFill>
                </w14:textFill>
              </w:rPr>
            </w:pPr>
          </w:p>
          <w:p>
            <w:pPr>
              <w:pStyle w:val="54"/>
              <w:spacing w:line="360" w:lineRule="auto"/>
              <w:rPr>
                <w:rFonts w:ascii="宋体" w:hAnsi="宋体" w:cs="Arial"/>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26" w:hRule="exact"/>
          <w:jc w:val="center"/>
        </w:trPr>
        <w:tc>
          <w:tcPr>
            <w:tcW w:w="750" w:type="dxa"/>
            <w:vAlign w:val="center"/>
          </w:tcPr>
          <w:p>
            <w:pPr>
              <w:pStyle w:val="54"/>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 xml:space="preserve"> 3</w:t>
            </w:r>
          </w:p>
        </w:tc>
        <w:tc>
          <w:tcPr>
            <w:tcW w:w="2390" w:type="dxa"/>
            <w:vAlign w:val="center"/>
          </w:tcPr>
          <w:p>
            <w:pPr>
              <w:pStyle w:val="54"/>
              <w:spacing w:line="360" w:lineRule="auto"/>
              <w:jc w:val="left"/>
              <w:rPr>
                <w:rFonts w:ascii="宋体" w:hAnsi="宋体" w:cs="Arial"/>
                <w:bCs/>
                <w:color w:val="000000" w:themeColor="text1"/>
                <w:sz w:val="24"/>
                <w14:textFill>
                  <w14:solidFill>
                    <w14:schemeClr w14:val="tx1"/>
                  </w14:solidFill>
                </w14:textFill>
              </w:rPr>
            </w:pPr>
            <w:r>
              <w:rPr>
                <w:rFonts w:hint="eastAsia" w:ascii="宋体" w:hAnsi="宋体" w:cs="Arial"/>
                <w:bCs/>
                <w:color w:val="000000" w:themeColor="text1"/>
                <w:sz w:val="24"/>
                <w14:textFill>
                  <w14:solidFill>
                    <w14:schemeClr w14:val="tx1"/>
                  </w14:solidFill>
                </w14:textFill>
              </w:rPr>
              <w:t>培训方案（可用附页）</w:t>
            </w:r>
          </w:p>
        </w:tc>
        <w:tc>
          <w:tcPr>
            <w:tcW w:w="4121" w:type="dxa"/>
          </w:tcPr>
          <w:p>
            <w:pPr>
              <w:pStyle w:val="54"/>
              <w:spacing w:line="360" w:lineRule="auto"/>
              <w:jc w:val="left"/>
              <w:rPr>
                <w:rFonts w:ascii="宋体" w:hAnsi="宋体" w:cs="Arial"/>
                <w:bCs/>
                <w:i/>
                <w:color w:val="000000" w:themeColor="text1"/>
                <w:sz w:val="24"/>
                <w14:textFill>
                  <w14:solidFill>
                    <w14:schemeClr w14:val="tx1"/>
                  </w14:solidFill>
                </w14:textFill>
              </w:rPr>
            </w:pPr>
          </w:p>
          <w:p>
            <w:pPr>
              <w:pStyle w:val="54"/>
              <w:spacing w:line="360" w:lineRule="auto"/>
              <w:jc w:val="left"/>
              <w:rPr>
                <w:rFonts w:ascii="宋体" w:hAnsi="宋体" w:cs="Arial"/>
                <w:bCs/>
                <w:i/>
                <w:color w:val="000000" w:themeColor="text1"/>
                <w:sz w:val="24"/>
                <w14:textFill>
                  <w14:solidFill>
                    <w14:schemeClr w14:val="tx1"/>
                  </w14:solidFill>
                </w14:textFill>
              </w:rPr>
            </w:pPr>
          </w:p>
        </w:tc>
        <w:tc>
          <w:tcPr>
            <w:tcW w:w="1393" w:type="dxa"/>
          </w:tcPr>
          <w:p>
            <w:pPr>
              <w:pStyle w:val="54"/>
              <w:spacing w:line="360" w:lineRule="auto"/>
              <w:jc w:val="left"/>
              <w:rPr>
                <w:rFonts w:ascii="宋体" w:hAnsi="宋体" w:cs="Arial"/>
                <w:bCs/>
                <w:i/>
                <w:color w:val="000000" w:themeColor="text1"/>
                <w:sz w:val="24"/>
                <w14:textFill>
                  <w14:solidFill>
                    <w14:schemeClr w14:val="tx1"/>
                  </w14:solidFill>
                </w14:textFill>
              </w:rPr>
            </w:pPr>
          </w:p>
          <w:p>
            <w:pPr>
              <w:pStyle w:val="54"/>
              <w:spacing w:line="360" w:lineRule="auto"/>
              <w:jc w:val="left"/>
              <w:rPr>
                <w:rFonts w:ascii="宋体" w:hAnsi="宋体" w:cs="Arial"/>
                <w:bCs/>
                <w:i/>
                <w:color w:val="000000" w:themeColor="text1"/>
                <w:sz w:val="24"/>
                <w14:textFill>
                  <w14:solidFill>
                    <w14:schemeClr w14:val="tx1"/>
                  </w14:solidFill>
                </w14:textFill>
              </w:rPr>
            </w:pPr>
          </w:p>
          <w:p>
            <w:pPr>
              <w:pStyle w:val="54"/>
              <w:spacing w:line="360" w:lineRule="auto"/>
              <w:jc w:val="left"/>
              <w:rPr>
                <w:rFonts w:ascii="宋体" w:hAnsi="宋体" w:cs="Arial"/>
                <w:bCs/>
                <w: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4" w:hRule="exact"/>
          <w:jc w:val="center"/>
        </w:trPr>
        <w:tc>
          <w:tcPr>
            <w:tcW w:w="750" w:type="dxa"/>
            <w:vAlign w:val="center"/>
          </w:tcPr>
          <w:p>
            <w:pPr>
              <w:pStyle w:val="54"/>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2390" w:type="dxa"/>
            <w:vAlign w:val="center"/>
          </w:tcPr>
          <w:p>
            <w:pPr>
              <w:pStyle w:val="54"/>
              <w:spacing w:line="360" w:lineRule="auto"/>
              <w:jc w:val="left"/>
              <w:rPr>
                <w:rFonts w:ascii="宋体" w:hAnsi="宋体" w:cs="Arial"/>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w:t>
            </w:r>
          </w:p>
        </w:tc>
        <w:tc>
          <w:tcPr>
            <w:tcW w:w="4121" w:type="dxa"/>
          </w:tcPr>
          <w:p>
            <w:pPr>
              <w:pStyle w:val="54"/>
              <w:spacing w:line="360" w:lineRule="auto"/>
              <w:jc w:val="left"/>
              <w:rPr>
                <w:rFonts w:ascii="宋体" w:hAnsi="宋体" w:cs="Arial"/>
                <w:bCs/>
                <w:color w:val="000000" w:themeColor="text1"/>
                <w:sz w:val="24"/>
                <w14:textFill>
                  <w14:solidFill>
                    <w14:schemeClr w14:val="tx1"/>
                  </w14:solidFill>
                </w14:textFill>
              </w:rPr>
            </w:pPr>
          </w:p>
        </w:tc>
        <w:tc>
          <w:tcPr>
            <w:tcW w:w="1393" w:type="dxa"/>
          </w:tcPr>
          <w:p>
            <w:pPr>
              <w:pStyle w:val="54"/>
              <w:spacing w:line="360" w:lineRule="auto"/>
              <w:jc w:val="left"/>
              <w:rPr>
                <w:rFonts w:ascii="宋体" w:hAnsi="宋体" w:cs="Arial"/>
                <w:bCs/>
                <w:color w:val="000000" w:themeColor="text1"/>
                <w:sz w:val="24"/>
                <w14:textFill>
                  <w14:solidFill>
                    <w14:schemeClr w14:val="tx1"/>
                  </w14:solidFill>
                </w14:textFill>
              </w:rPr>
            </w:pPr>
          </w:p>
        </w:tc>
      </w:tr>
    </w:tbl>
    <w:p>
      <w:pPr>
        <w:spacing w:line="360" w:lineRule="auto"/>
        <w:ind w:left="42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rPr>
          <w:rFonts w:ascii="宋体" w:hAnsi="宋体"/>
          <w:b/>
          <w:color w:val="000000" w:themeColor="text1"/>
          <w:sz w:val="28"/>
          <w14:textFill>
            <w14:solidFill>
              <w14:schemeClr w14:val="tx1"/>
            </w14:solidFill>
          </w14:textFill>
        </w:rPr>
      </w:pPr>
    </w:p>
    <w:p>
      <w:pP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w:t>
      </w:r>
      <w:r>
        <w:rPr>
          <w:rFonts w:ascii="宋体" w:hAnsi="宋体"/>
          <w:b/>
          <w:color w:val="000000" w:themeColor="text1"/>
          <w:sz w:val="28"/>
          <w14:textFill>
            <w14:solidFill>
              <w14:schemeClr w14:val="tx1"/>
            </w14:solidFill>
          </w14:textFill>
        </w:rPr>
        <w:t>2</w:t>
      </w:r>
    </w:p>
    <w:p>
      <w:pPr>
        <w:spacing w:line="360" w:lineRule="auto"/>
        <w:ind w:left="-2" w:hanging="2"/>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首次报价一览表</w:t>
      </w:r>
    </w:p>
    <w:p>
      <w:pPr>
        <w:pStyle w:val="17"/>
        <w:spacing w:line="320" w:lineRule="exact"/>
        <w:jc w:val="left"/>
        <w:rPr>
          <w:rFonts w:hint="eastAsia" w:hAnsi="宋体" w:eastAsia="宋体"/>
          <w:bCs/>
          <w:color w:val="000000" w:themeColor="text1"/>
          <w:sz w:val="24"/>
          <w:lang w:eastAsia="zh-CN"/>
          <w14:textFill>
            <w14:solidFill>
              <w14:schemeClr w14:val="tx1"/>
            </w14:solidFill>
          </w14:textFill>
        </w:rPr>
      </w:pPr>
      <w:r>
        <w:rPr>
          <w:rFonts w:hAnsi="宋体"/>
          <w:bCs/>
          <w:color w:val="000000" w:themeColor="text1"/>
          <w:sz w:val="24"/>
          <w14:textFill>
            <w14:solidFill>
              <w14:schemeClr w14:val="tx1"/>
            </w14:solidFill>
          </w14:textFill>
        </w:rPr>
        <w:t>项目编号：</w:t>
      </w:r>
      <w:r>
        <w:rPr>
          <w:rFonts w:hint="eastAsia" w:hAnsi="宋体"/>
          <w:bCs/>
          <w:color w:val="000000" w:themeColor="text1"/>
          <w:sz w:val="24"/>
          <w:lang w:eastAsia="zh-CN"/>
          <w14:textFill>
            <w14:solidFill>
              <w14:schemeClr w14:val="tx1"/>
            </w14:solidFill>
          </w14:textFill>
        </w:rPr>
        <w:t>WLCG-2024-CS018号</w:t>
      </w:r>
    </w:p>
    <w:p>
      <w:pPr>
        <w:pStyle w:val="17"/>
        <w:spacing w:line="320" w:lineRule="exact"/>
        <w:jc w:val="left"/>
        <w:rPr>
          <w:rFonts w:hAnsi="宋体"/>
          <w:color w:val="000000" w:themeColor="text1"/>
          <w:sz w:val="24"/>
          <w14:textFill>
            <w14:solidFill>
              <w14:schemeClr w14:val="tx1"/>
            </w14:solidFill>
          </w14:textFill>
        </w:rPr>
      </w:pPr>
      <w:r>
        <w:rPr>
          <w:rFonts w:hAnsi="宋体"/>
          <w:bCs/>
          <w:color w:val="000000" w:themeColor="text1"/>
          <w:sz w:val="24"/>
          <w14:textFill>
            <w14:solidFill>
              <w14:schemeClr w14:val="tx1"/>
            </w14:solidFill>
          </w14:textFill>
        </w:rPr>
        <w:t>项目名称：</w:t>
      </w:r>
      <w:r>
        <w:rPr>
          <w:rFonts w:hint="eastAsia" w:hAnsi="宋体"/>
          <w:color w:val="000000" w:themeColor="text1"/>
          <w:sz w:val="24"/>
          <w14:textFill>
            <w14:solidFill>
              <w14:schemeClr w14:val="tx1"/>
            </w14:solidFill>
          </w14:textFill>
        </w:rPr>
        <w:t xml:space="preserve">   [货币单位：人民币元]</w:t>
      </w:r>
    </w:p>
    <w:tbl>
      <w:tblPr>
        <w:tblStyle w:val="3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bl>
    <w:p>
      <w:pPr>
        <w:rPr>
          <w:rFonts w:ascii="宋体" w:hAnsi="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p>
    <w:p>
      <w:pPr>
        <w:pStyle w:val="8"/>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1.本项目投标报价为完成本项目的所有费用，投标人应考虑企业自身实力、经验及项目实施过程中的各种因素，在投标报价中应充分考虑所有可能发生的费用，否则采购人将视投标报价中已包括所有费用。</w:t>
      </w:r>
    </w:p>
    <w:p>
      <w:pPr>
        <w:ind w:firstLine="482" w:firstLineChars="200"/>
        <w:rPr>
          <w:rFonts w:ascii="宋体" w:hAnsi="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2.报价一经涂改，应在涂改处加盖单位公章，或者由法定代表人或授权代表签字或盖章，否则其投标作无效标处理。</w:t>
      </w: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磋商供应商代表签字或盖章：</w:t>
      </w:r>
    </w:p>
    <w:p>
      <w:pPr>
        <w:pStyle w:val="23"/>
        <w:ind w:firstLine="480" w:firstLineChars="200"/>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pStyle w:val="29"/>
        <w:ind w:firstLine="560"/>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w:t>
      </w:r>
      <w:r>
        <w:rPr>
          <w:rFonts w:ascii="宋体" w:hAnsi="宋体"/>
          <w:b/>
          <w:color w:val="000000" w:themeColor="text1"/>
          <w:sz w:val="28"/>
          <w14:textFill>
            <w14:solidFill>
              <w14:schemeClr w14:val="tx1"/>
            </w14:solidFill>
          </w14:textFill>
        </w:rPr>
        <w:t>3</w:t>
      </w:r>
    </w:p>
    <w:p>
      <w:pPr>
        <w:spacing w:line="360" w:lineRule="auto"/>
        <w:ind w:left="480"/>
        <w:jc w:val="center"/>
        <w:rPr>
          <w:rFonts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报价明细表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                                    [货币单位：人民币元]</w:t>
      </w:r>
    </w:p>
    <w:tbl>
      <w:tblPr>
        <w:tblStyle w:val="3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19"/>
        <w:gridCol w:w="992"/>
        <w:gridCol w:w="992"/>
        <w:gridCol w:w="1134"/>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09"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3119" w:type="dxa"/>
            <w:vAlign w:val="center"/>
          </w:tcPr>
          <w:p>
            <w:pPr>
              <w:tabs>
                <w:tab w:val="left" w:pos="8280"/>
              </w:tabs>
              <w:autoSpaceDE w:val="0"/>
              <w:autoSpaceDN w:val="0"/>
              <w:adjustRightInd w:val="0"/>
              <w:spacing w:line="360" w:lineRule="auto"/>
              <w:ind w:right="25" w:firstLine="964" w:firstLineChars="4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明细</w:t>
            </w:r>
            <w:r>
              <w:rPr>
                <w:rFonts w:hint="eastAsia" w:ascii="宋体" w:hAnsi="宋体"/>
                <w:b/>
                <w:color w:val="000000" w:themeColor="text1"/>
                <w:sz w:val="24"/>
                <w14:textFill>
                  <w14:solidFill>
                    <w14:schemeClr w14:val="tx1"/>
                  </w14:solidFill>
                </w14:textFill>
              </w:rPr>
              <w:t>内容</w:t>
            </w:r>
          </w:p>
        </w:tc>
        <w:tc>
          <w:tcPr>
            <w:tcW w:w="992" w:type="dxa"/>
            <w:vAlign w:val="center"/>
          </w:tcPr>
          <w:p>
            <w:pPr>
              <w:spacing w:line="360" w:lineRule="auto"/>
              <w:ind w:left="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992" w:type="dxa"/>
            <w:vAlign w:val="center"/>
          </w:tcPr>
          <w:p>
            <w:pPr>
              <w:spacing w:line="360" w:lineRule="auto"/>
              <w:ind w:left="152"/>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1134"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992"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709"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vAlign w:val="center"/>
          </w:tcPr>
          <w:p>
            <w:pPr>
              <w:spacing w:line="360" w:lineRule="auto"/>
              <w:rPr>
                <w:rFonts w:ascii="宋体" w:hAnsi="宋体"/>
                <w:color w:val="000000" w:themeColor="text1"/>
                <w:sz w:val="24"/>
                <w14:textFill>
                  <w14:solidFill>
                    <w14:schemeClr w14:val="tx1"/>
                  </w14:solidFill>
                </w14:textFill>
              </w:rPr>
            </w:pPr>
          </w:p>
        </w:tc>
        <w:tc>
          <w:tcPr>
            <w:tcW w:w="3119"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09" w:type="dxa"/>
            <w:vAlign w:val="center"/>
          </w:tcPr>
          <w:p>
            <w:pPr>
              <w:spacing w:line="360" w:lineRule="auto"/>
              <w:rPr>
                <w:rFonts w:ascii="宋体" w:hAnsi="宋体"/>
                <w:color w:val="000000" w:themeColor="text1"/>
                <w:sz w:val="24"/>
                <w14:textFill>
                  <w14:solidFill>
                    <w14:schemeClr w14:val="tx1"/>
                  </w14:solidFill>
                </w14:textFill>
              </w:rPr>
            </w:pPr>
          </w:p>
        </w:tc>
        <w:tc>
          <w:tcPr>
            <w:tcW w:w="3119"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vAlign w:val="center"/>
          </w:tcPr>
          <w:p>
            <w:pPr>
              <w:spacing w:line="360" w:lineRule="auto"/>
              <w:rPr>
                <w:rFonts w:ascii="宋体" w:hAnsi="宋体"/>
                <w:color w:val="000000" w:themeColor="text1"/>
                <w:sz w:val="24"/>
                <w14:textFill>
                  <w14:solidFill>
                    <w14:schemeClr w14:val="tx1"/>
                  </w14:solidFill>
                </w14:textFill>
              </w:rPr>
            </w:pPr>
          </w:p>
        </w:tc>
        <w:tc>
          <w:tcPr>
            <w:tcW w:w="3119"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09" w:type="dxa"/>
            <w:vAlign w:val="center"/>
          </w:tcPr>
          <w:p>
            <w:pPr>
              <w:spacing w:line="360" w:lineRule="auto"/>
              <w:rPr>
                <w:rFonts w:ascii="宋体" w:hAnsi="宋体"/>
                <w:color w:val="000000" w:themeColor="text1"/>
                <w:sz w:val="24"/>
                <w14:textFill>
                  <w14:solidFill>
                    <w14:schemeClr w14:val="tx1"/>
                  </w14:solidFill>
                </w14:textFill>
              </w:rPr>
            </w:pPr>
          </w:p>
        </w:tc>
        <w:tc>
          <w:tcPr>
            <w:tcW w:w="3119"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09" w:type="dxa"/>
            <w:vAlign w:val="center"/>
          </w:tcPr>
          <w:p>
            <w:pPr>
              <w:spacing w:line="360" w:lineRule="auto"/>
              <w:rPr>
                <w:rFonts w:ascii="宋体" w:hAnsi="宋体"/>
                <w:color w:val="000000" w:themeColor="text1"/>
                <w:sz w:val="24"/>
                <w14:textFill>
                  <w14:solidFill>
                    <w14:schemeClr w14:val="tx1"/>
                  </w14:solidFill>
                </w14:textFill>
              </w:rPr>
            </w:pPr>
          </w:p>
        </w:tc>
        <w:tc>
          <w:tcPr>
            <w:tcW w:w="3119"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14:textFill>
                  <w14:solidFill>
                    <w14:schemeClr w14:val="tx1"/>
                  </w14:solidFill>
                </w14:textFill>
              </w:rPr>
            </w:pPr>
          </w:p>
        </w:tc>
        <w:tc>
          <w:tcPr>
            <w:tcW w:w="992" w:type="dxa"/>
            <w:vAlign w:val="center"/>
          </w:tcPr>
          <w:p>
            <w:pPr>
              <w:spacing w:line="360" w:lineRule="auto"/>
              <w:rPr>
                <w:rFonts w:ascii="宋体" w:hAnsi="宋体"/>
                <w:color w:val="000000" w:themeColor="text1"/>
                <w:sz w:val="24"/>
                <w14:textFill>
                  <w14:solidFill>
                    <w14:schemeClr w14:val="tx1"/>
                  </w14:solidFill>
                </w14:textFill>
              </w:rPr>
            </w:pPr>
          </w:p>
        </w:tc>
        <w:tc>
          <w:tcPr>
            <w:tcW w:w="709"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7"/>
            <w:tcBorders>
              <w:bottom w:val="single" w:color="auto" w:sz="4" w:space="0"/>
            </w:tcBorders>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合计人民币：大写                               小写</w:t>
            </w:r>
          </w:p>
        </w:tc>
      </w:tr>
    </w:tbl>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本表为《开标一览表》的报价明细表，如有缺项、漏项，视为投标报价中已包含相关费用，采购人无需另外支付任何费用。</w:t>
      </w:r>
    </w:p>
    <w:p>
      <w:pPr>
        <w:ind w:firstLine="420" w:firstLineChars="200"/>
        <w:rPr>
          <w:rFonts w:asci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color w:val="000000" w:themeColor="text1"/>
          <w:szCs w:val="21"/>
          <w:lang w:val="zh-CN"/>
          <w14:textFill>
            <w14:solidFill>
              <w14:schemeClr w14:val="tx1"/>
            </w14:solidFill>
          </w14:textFill>
        </w:rPr>
        <w:t>“报价明细表”中的报价合计应与“开标一览表”中的投标总报价相一致，不一致时，以开标一览表为准。</w:t>
      </w:r>
    </w:p>
    <w:p>
      <w:pPr>
        <w:ind w:firstLine="420" w:firstLineChars="200"/>
        <w:rPr>
          <w:rFonts w:hint="eastAsia" w:ascii="宋体"/>
          <w:color w:val="000000" w:themeColor="text1"/>
          <w:szCs w:val="21"/>
          <w:lang w:val="zh-CN"/>
          <w14:textFill>
            <w14:solidFill>
              <w14:schemeClr w14:val="tx1"/>
            </w14:solidFill>
          </w14:textFill>
        </w:rPr>
      </w:pPr>
      <w:r>
        <w:rPr>
          <w:rFonts w:hint="eastAsia" w:ascii="宋体"/>
          <w:color w:val="000000" w:themeColor="text1"/>
          <w:szCs w:val="21"/>
          <w14:textFill>
            <w14:solidFill>
              <w14:schemeClr w14:val="tx1"/>
            </w14:solidFill>
          </w14:textFill>
        </w:rPr>
        <w:t>3.</w:t>
      </w:r>
      <w:r>
        <w:rPr>
          <w:rFonts w:hint="eastAsia" w:ascii="宋体"/>
          <w:color w:val="000000" w:themeColor="text1"/>
          <w:szCs w:val="21"/>
          <w:lang w:val="zh-CN"/>
          <w14:textFill>
            <w14:solidFill>
              <w14:schemeClr w14:val="tx1"/>
            </w14:solidFill>
          </w14:textFill>
        </w:rPr>
        <w:t xml:space="preserve">投标报价明细表所填内容按招标文件采购设备清单要求为准。如有漏报的，视同已包含在投标总价内或已作优惠处理。有重大缺项的将作无效标处理。 </w:t>
      </w:r>
    </w:p>
    <w:p>
      <w:pPr>
        <w:pStyle w:val="2"/>
        <w:ind w:firstLine="420" w:firstLineChars="200"/>
        <w:rPr>
          <w:rFonts w:hint="default" w:ascii="宋体"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宋体" w:hAnsi="Times New Roman" w:eastAsia="宋体" w:cs="Times New Roman"/>
          <w:color w:val="000000" w:themeColor="text1"/>
          <w:kern w:val="2"/>
          <w:sz w:val="21"/>
          <w:szCs w:val="21"/>
          <w:lang w:val="en-US" w:eastAsia="zh-CN" w:bidi="ar-SA"/>
          <w14:textFill>
            <w14:solidFill>
              <w14:schemeClr w14:val="tx1"/>
            </w14:solidFill>
          </w14:textFill>
        </w:rPr>
        <w:t>4.</w:t>
      </w:r>
      <w:r>
        <w:rPr>
          <w:rFonts w:hint="eastAsia" w:ascii="宋体" w:cs="Times New Roman"/>
          <w:color w:val="000000" w:themeColor="text1"/>
          <w:kern w:val="2"/>
          <w:sz w:val="21"/>
          <w:szCs w:val="21"/>
          <w:lang w:val="en-US" w:eastAsia="zh-CN" w:bidi="ar-SA"/>
          <w14:textFill>
            <w14:solidFill>
              <w14:schemeClr w14:val="tx1"/>
            </w14:solidFill>
          </w14:textFill>
        </w:rPr>
        <w:t>本表格为格式样板，可根据实际情况调整表格。</w:t>
      </w:r>
    </w:p>
    <w:p>
      <w:pPr>
        <w:spacing w:line="360" w:lineRule="auto"/>
        <w:ind w:left="420"/>
        <w:rPr>
          <w:rFonts w:ascii="宋体" w:hAnsi="宋体" w:cs="宋体"/>
          <w:color w:val="000000" w:themeColor="text1"/>
          <w:kern w:val="0"/>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磋商供应商代表签字或盖章：</w:t>
      </w:r>
    </w:p>
    <w:p>
      <w:pPr>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附件1</w:t>
      </w:r>
      <w:r>
        <w:rPr>
          <w:rFonts w:ascii="宋体" w:hAnsi="宋体"/>
          <w:b/>
          <w:color w:val="000000" w:themeColor="text1"/>
          <w:sz w:val="28"/>
          <w14:textFill>
            <w14:solidFill>
              <w14:schemeClr w14:val="tx1"/>
            </w14:solidFill>
          </w14:textFill>
        </w:rPr>
        <w:t>4</w:t>
      </w:r>
      <w:bookmarkStart w:id="51" w:name="_Hlk61438928"/>
    </w:p>
    <w:p>
      <w:pPr>
        <w:spacing w:line="360" w:lineRule="auto"/>
        <w:jc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中小企业声明函（货物）</w:t>
      </w:r>
    </w:p>
    <w:p>
      <w:pPr>
        <w:pStyle w:val="37"/>
        <w:rPr>
          <w:color w:val="000000" w:themeColor="text1"/>
          <w14:textFill>
            <w14:solidFill>
              <w14:schemeClr w14:val="tx1"/>
            </w14:solidFill>
          </w14:textFill>
        </w:rPr>
      </w:pP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本公司（联合体）郑重声明，根据《政府采购促进中小企业发展管理办法》（财库〔</w:t>
      </w:r>
      <w:r>
        <w:rPr>
          <w:rFonts w:ascii="宋体" w:hAnsi="宋体" w:cs="宋体"/>
          <w:color w:val="000000" w:themeColor="text1"/>
          <w:sz w:val="24"/>
          <w14:textFill>
            <w14:solidFill>
              <w14:schemeClr w14:val="tx1"/>
            </w14:solidFill>
          </w14:textFill>
        </w:rPr>
        <w:t>2020</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46</w:t>
      </w:r>
      <w:r>
        <w:rPr>
          <w:rFonts w:hint="eastAsia" w:ascii="宋体" w:hAnsi="宋体" w:cs="宋体"/>
          <w:color w:val="000000" w:themeColor="text1"/>
          <w:sz w:val="24"/>
          <w14:textFill>
            <w14:solidFill>
              <w14:schemeClr w14:val="tx1"/>
            </w14:solidFill>
          </w14:textFill>
        </w:rPr>
        <w:t>号）的规定，本公司（联合体）参加</w:t>
      </w:r>
      <w:r>
        <w:rPr>
          <w:rFonts w:hint="eastAsia" w:ascii="宋体" w:hAnsi="宋体" w:cs="宋体"/>
          <w:color w:val="000000" w:themeColor="text1"/>
          <w:sz w:val="24"/>
          <w:u w:val="single"/>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（招标文件中明确的所属行业）</w:t>
      </w:r>
      <w:r>
        <w:rPr>
          <w:rFonts w:hint="eastAsia" w:ascii="宋体" w:hAnsi="宋体" w:cs="宋体"/>
          <w:color w:val="000000" w:themeColor="text1"/>
          <w:sz w:val="24"/>
          <w14:textFill>
            <w14:solidFill>
              <w14:schemeClr w14:val="tx1"/>
            </w14:solidFill>
          </w14:textFill>
        </w:rPr>
        <w:t>行业；制造商为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w:t>
      </w:r>
      <w:r>
        <w:rPr>
          <w:rFonts w:ascii="宋体" w:hAnsi="宋体" w:cs="宋体"/>
          <w:color w:val="000000" w:themeColor="text1"/>
          <w:sz w:val="24"/>
          <w:vertAlign w:val="superscript"/>
          <w14:textFill>
            <w14:solidFill>
              <w14:schemeClr w14:val="tx1"/>
            </w14:solidFill>
          </w14:textFill>
        </w:rPr>
        <w:fldChar w:fldCharType="begin"/>
      </w:r>
      <w:r>
        <w:rPr>
          <w:rFonts w:ascii="宋体" w:hAnsi="宋体" w:cs="宋体"/>
          <w:color w:val="000000" w:themeColor="text1"/>
          <w:sz w:val="24"/>
          <w:vertAlign w:val="superscript"/>
          <w14:textFill>
            <w14:solidFill>
              <w14:schemeClr w14:val="tx1"/>
            </w14:solidFill>
          </w14:textFill>
        </w:rPr>
        <w:instrText xml:space="preserve"> = 1 \* GB3 </w:instrText>
      </w:r>
      <w:r>
        <w:rPr>
          <w:rFonts w:ascii="宋体" w:hAnsi="宋体" w:cs="宋体"/>
          <w:color w:val="000000" w:themeColor="text1"/>
          <w:sz w:val="24"/>
          <w:vertAlign w:val="superscript"/>
          <w14:textFill>
            <w14:solidFill>
              <w14:schemeClr w14:val="tx1"/>
            </w14:solidFill>
          </w14:textFill>
        </w:rPr>
        <w:fldChar w:fldCharType="separate"/>
      </w:r>
      <w:r>
        <w:rPr>
          <w:rFonts w:hint="eastAsia" w:ascii="宋体" w:hAnsi="宋体" w:cs="宋体"/>
          <w:color w:val="000000" w:themeColor="text1"/>
          <w:sz w:val="24"/>
          <w:vertAlign w:val="superscript"/>
          <w14:textFill>
            <w14:solidFill>
              <w14:schemeClr w14:val="tx1"/>
            </w14:solidFill>
          </w14:textFill>
        </w:rPr>
        <w:t>①</w:t>
      </w:r>
      <w:r>
        <w:rPr>
          <w:rFonts w:ascii="宋体" w:hAnsi="宋体" w:cs="宋体"/>
          <w:color w:val="000000" w:themeColor="text1"/>
          <w:sz w:val="24"/>
          <w:vertAlign w:val="superscript"/>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，属于（中型企业、小型企业、微型企业）；</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（招标文件中明确的所属行业）</w:t>
      </w:r>
      <w:r>
        <w:rPr>
          <w:rFonts w:hint="eastAsia" w:ascii="宋体" w:hAnsi="宋体" w:cs="宋体"/>
          <w:color w:val="000000" w:themeColor="text1"/>
          <w:sz w:val="24"/>
          <w14:textFill>
            <w14:solidFill>
              <w14:schemeClr w14:val="tx1"/>
            </w14:solidFill>
          </w14:textFill>
        </w:rPr>
        <w:t>行业；制造商为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万元，属于（中型企业、小型企业、微型企业）；</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wordWrap w:val="0"/>
        <w:spacing w:line="360" w:lineRule="auto"/>
        <w:rPr>
          <w:rFonts w:ascii="宋体" w:cs="宋体"/>
          <w:color w:val="000000" w:themeColor="text1"/>
          <w:sz w:val="24"/>
          <w14:textFill>
            <w14:solidFill>
              <w14:schemeClr w14:val="tx1"/>
            </w14:solidFill>
          </w14:textFill>
        </w:rPr>
      </w:pPr>
    </w:p>
    <w:p>
      <w:pPr>
        <w:wordWrap w:val="0"/>
        <w:spacing w:line="360" w:lineRule="auto"/>
        <w:ind w:firstLine="480" w:firstLineChars="200"/>
        <w:jc w:val="center"/>
        <w:rPr>
          <w:rFonts w:asci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企业名称（盖章）：</w:t>
      </w:r>
      <w:r>
        <w:rPr>
          <w:rFonts w:ascii="宋体" w:hAnsi="宋体" w:cs="宋体"/>
          <w:color w:val="000000" w:themeColor="text1"/>
          <w:sz w:val="24"/>
          <w14:textFill>
            <w14:solidFill>
              <w14:schemeClr w14:val="tx1"/>
            </w14:solidFill>
          </w14:textFill>
        </w:rPr>
        <w:t xml:space="preserve">       </w:t>
      </w:r>
    </w:p>
    <w:p>
      <w:pPr>
        <w:pStyle w:val="17"/>
        <w:spacing w:line="360" w:lineRule="auto"/>
        <w:jc w:val="center"/>
        <w:outlineLvl w:val="1"/>
        <w:rPr>
          <w:rFonts w:hAnsi="宋体"/>
          <w:b/>
          <w:color w:val="000000" w:themeColor="text1"/>
          <w:sz w:val="32"/>
          <w:szCs w:val="32"/>
          <w:lang w:val="en-GB"/>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期：</w:t>
      </w:r>
      <w:r>
        <w:rPr>
          <w:rFonts w:ascii="宋体" w:hAnsi="宋体" w:cs="宋体"/>
          <w:color w:val="000000" w:themeColor="text1"/>
          <w:sz w:val="24"/>
          <w14:textFill>
            <w14:solidFill>
              <w14:schemeClr w14:val="tx1"/>
            </w14:solidFill>
          </w14:textFill>
        </w:rPr>
        <w:t xml:space="preserve">              </w:t>
      </w:r>
    </w:p>
    <w:p>
      <w:pPr>
        <w:spacing w:line="360" w:lineRule="auto"/>
        <w:jc w:val="center"/>
        <w:rPr>
          <w:rFonts w:ascii="宋体" w:hAnsi="宋体"/>
          <w:b/>
          <w:bCs/>
          <w:color w:val="000000" w:themeColor="text1"/>
          <w:sz w:val="24"/>
          <w14:textFill>
            <w14:solidFill>
              <w14:schemeClr w14:val="tx1"/>
            </w14:solidFill>
          </w14:textFill>
        </w:rPr>
      </w:pPr>
    </w:p>
    <w:p>
      <w:pPr>
        <w:spacing w:line="360" w:lineRule="auto"/>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注：从业人员、营业收入、资产总额填报上一年度数据，无上一年度数据的新成立企业可不填报。</w:t>
      </w:r>
    </w:p>
    <w:p>
      <w:pPr>
        <w:pStyle w:val="37"/>
        <w:rPr>
          <w:rFonts w:hint="eastAsia"/>
          <w:color w:val="000000" w:themeColor="text1"/>
          <w:szCs w:val="21"/>
          <w14:textFill>
            <w14:solidFill>
              <w14:schemeClr w14:val="tx1"/>
            </w14:solidFill>
          </w14:textFill>
        </w:rPr>
      </w:pPr>
    </w:p>
    <w:p>
      <w:pPr>
        <w:pStyle w:val="12"/>
        <w:rPr>
          <w:color w:val="000000" w:themeColor="text1"/>
          <w:lang w:val="en-GB"/>
          <w14:textFill>
            <w14:solidFill>
              <w14:schemeClr w14:val="tx1"/>
            </w14:solidFill>
          </w14:textFill>
        </w:rPr>
      </w:pPr>
    </w:p>
    <w:p>
      <w:pPr>
        <w:spacing w:line="360" w:lineRule="auto"/>
        <w:ind w:left="-2" w:hanging="2"/>
        <w:jc w:val="center"/>
        <w:rPr>
          <w:rFonts w:ascii="宋体" w:hAnsi="宋体"/>
          <w:b/>
          <w:color w:val="000000" w:themeColor="text1"/>
          <w:sz w:val="32"/>
          <w:szCs w:val="32"/>
          <w:lang w:val="en-GB"/>
          <w14:textFill>
            <w14:solidFill>
              <w14:schemeClr w14:val="tx1"/>
            </w14:solidFill>
          </w14:textFill>
        </w:rPr>
      </w:pPr>
      <w:r>
        <w:rPr>
          <w:rFonts w:hint="eastAsia" w:ascii="宋体" w:hAnsi="宋体"/>
          <w:b/>
          <w:color w:val="000000" w:themeColor="text1"/>
          <w:sz w:val="32"/>
          <w:szCs w:val="32"/>
          <w:lang w:val="en-GB"/>
          <w14:textFill>
            <w14:solidFill>
              <w14:schemeClr w14:val="tx1"/>
            </w14:solidFill>
          </w14:textFill>
        </w:rPr>
        <w:t>残疾人福利性单位声明函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2880" w:firstLineChars="1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单位名称（单位公章）：</w:t>
      </w:r>
    </w:p>
    <w:p>
      <w:pPr>
        <w:pStyle w:val="67"/>
        <w:spacing w:line="360" w:lineRule="auto"/>
        <w:ind w:left="4253" w:leftChars="2025" w:right="360"/>
        <w:jc w:val="right"/>
        <w:rPr>
          <w:rFonts w:ascii="宋体" w:hAnsi="宋体" w:cs="宋体"/>
          <w:color w:val="000000" w:themeColor="text1"/>
          <w:sz w:val="24"/>
          <w14:textFill>
            <w14:solidFill>
              <w14:schemeClr w14:val="tx1"/>
            </w14:solidFill>
          </w14:textFill>
        </w:rPr>
      </w:pPr>
      <w:r>
        <w:rPr>
          <w:rFonts w:hint="eastAsia"/>
          <w:color w:val="000000" w:themeColor="text1"/>
          <w:sz w:val="24"/>
          <w:szCs w:val="32"/>
          <w14:textFill>
            <w14:solidFill>
              <w14:schemeClr w14:val="tx1"/>
            </w14:solidFill>
          </w14:textFill>
        </w:rPr>
        <w:t>日期：</w:t>
      </w:r>
      <w:r>
        <w:rPr>
          <w:rFonts w:hint="eastAsia" w:ascii="宋体" w:hAnsi="宋体" w:cs="宋体"/>
          <w:color w:val="000000" w:themeColor="text1"/>
          <w:sz w:val="24"/>
          <w:szCs w:val="32"/>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年</w:t>
      </w:r>
      <w:r>
        <w:rPr>
          <w:rFonts w:hint="eastAsia" w:ascii="宋体" w:hAnsi="宋体" w:cs="宋体"/>
          <w:color w:val="000000" w:themeColor="text1"/>
          <w:sz w:val="24"/>
          <w:szCs w:val="32"/>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月</w:t>
      </w:r>
      <w:r>
        <w:rPr>
          <w:rFonts w:hint="eastAsia" w:ascii="宋体" w:hAnsi="宋体" w:cs="宋体"/>
          <w:color w:val="000000" w:themeColor="text1"/>
          <w:sz w:val="24"/>
          <w:szCs w:val="32"/>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日</w:t>
      </w:r>
    </w:p>
    <w:p>
      <w:pPr>
        <w:pStyle w:val="17"/>
        <w:spacing w:after="0" w:line="312" w:lineRule="auto"/>
        <w:jc w:val="center"/>
        <w:outlineLvl w:val="1"/>
        <w:rPr>
          <w:rFonts w:hAnsi="宋体"/>
          <w:b/>
          <w:color w:val="000000" w:themeColor="text1"/>
          <w:sz w:val="32"/>
          <w:szCs w:val="32"/>
          <w:lang w:val="en-GB"/>
          <w14:textFill>
            <w14:solidFill>
              <w14:schemeClr w14:val="tx1"/>
            </w14:solidFill>
          </w14:textFill>
        </w:rPr>
      </w:pPr>
    </w:p>
    <w:p>
      <w:pPr>
        <w:pStyle w:val="17"/>
        <w:spacing w:after="0" w:line="312" w:lineRule="auto"/>
        <w:jc w:val="center"/>
        <w:outlineLvl w:val="1"/>
        <w:rPr>
          <w:rFonts w:hAnsi="宋体"/>
          <w:b/>
          <w:color w:val="000000" w:themeColor="text1"/>
          <w:sz w:val="32"/>
          <w:szCs w:val="32"/>
          <w:lang w:val="en-GB"/>
          <w14:textFill>
            <w14:solidFill>
              <w14:schemeClr w14:val="tx1"/>
            </w14:solidFill>
          </w14:textFill>
        </w:rPr>
      </w:pPr>
    </w:p>
    <w:p>
      <w:pPr>
        <w:pStyle w:val="5"/>
        <w:ind w:firstLine="241"/>
        <w:jc w:val="center"/>
        <w:rPr>
          <w:rFonts w:hint="eastAsia" w:ascii="宋体" w:hAnsi="宋体" w:eastAsia="宋体" w:cs="宋体"/>
          <w:bCs w:val="0"/>
          <w:color w:val="000000" w:themeColor="text1"/>
          <w:lang w:val="en-GB"/>
          <w14:textFill>
            <w14:solidFill>
              <w14:schemeClr w14:val="tx1"/>
            </w14:solidFill>
          </w14:textFill>
        </w:rPr>
      </w:pPr>
      <w:r>
        <w:rPr>
          <w:rFonts w:hint="eastAsia" w:ascii="宋体" w:hAnsi="宋体" w:eastAsia="宋体" w:cs="宋体"/>
          <w:bCs w:val="0"/>
          <w:color w:val="000000" w:themeColor="text1"/>
          <w:lang w:val="en-GB"/>
          <w14:textFill>
            <w14:solidFill>
              <w14:schemeClr w14:val="tx1"/>
            </w14:solidFill>
          </w14:textFill>
        </w:rPr>
        <w:t>监狱企业资格证明材料</w:t>
      </w:r>
    </w:p>
    <w:p>
      <w:pPr>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（省级以上监狱管理局、戒毒管理局（含新疆生产建设兵团）出具的属于监狱企业的证明文件）</w:t>
      </w:r>
    </w:p>
    <w:p>
      <w:pPr>
        <w:ind w:firstLine="480"/>
        <w:rPr>
          <w:rFonts w:ascii="宋体" w:hAnsi="宋体" w:cs="宋体"/>
          <w:color w:val="000000" w:themeColor="text1"/>
          <w:sz w:val="24"/>
          <w14:textFill>
            <w14:solidFill>
              <w14:schemeClr w14:val="tx1"/>
            </w14:solidFill>
          </w14:textFill>
        </w:rPr>
      </w:pPr>
    </w:p>
    <w:p>
      <w:pPr>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说明：根据财库</w:t>
      </w:r>
      <w:r>
        <w:rPr>
          <w:rFonts w:ascii="宋体" w:hAnsi="宋体" w:cs="宋体"/>
          <w:color w:val="000000" w:themeColor="text1"/>
          <w:sz w:val="24"/>
          <w14:textFill>
            <w14:solidFill>
              <w14:schemeClr w14:val="tx1"/>
            </w14:solidFill>
          </w14:textFill>
        </w:rPr>
        <w:t>[2014]68</w:t>
      </w:r>
      <w:r>
        <w:rPr>
          <w:rFonts w:hint="eastAsia" w:ascii="宋体" w:hAnsi="宋体" w:cs="宋体"/>
          <w:color w:val="000000" w:themeColor="text1"/>
          <w:sz w:val="24"/>
          <w14:textFill>
            <w14:solidFill>
              <w14:schemeClr w14:val="tx1"/>
            </w14:solidFill>
          </w14:textFill>
        </w:rPr>
        <w:t>号的相关规定，监狱企业视同小型、微型企业。</w:t>
      </w:r>
    </w:p>
    <w:p>
      <w:pPr>
        <w:pStyle w:val="17"/>
        <w:spacing w:after="0" w:line="312" w:lineRule="auto"/>
        <w:jc w:val="center"/>
        <w:outlineLvl w:val="1"/>
        <w:rPr>
          <w:rFonts w:hAnsi="宋体"/>
          <w:b/>
          <w:color w:val="000000" w:themeColor="text1"/>
          <w:sz w:val="32"/>
          <w:szCs w:val="32"/>
          <w14:textFill>
            <w14:solidFill>
              <w14:schemeClr w14:val="tx1"/>
            </w14:solidFill>
          </w14:textFill>
        </w:rPr>
      </w:pPr>
    </w:p>
    <w:p>
      <w:pPr>
        <w:spacing w:line="360" w:lineRule="auto"/>
        <w:ind w:firstLine="2880" w:firstLineChars="1200"/>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单位名称（单位公章）：</w:t>
      </w:r>
    </w:p>
    <w:p>
      <w:pPr>
        <w:pStyle w:val="67"/>
        <w:spacing w:line="360" w:lineRule="auto"/>
        <w:ind w:left="4253" w:leftChars="2025" w:right="360"/>
        <w:jc w:val="right"/>
        <w:rPr>
          <w:rFonts w:ascii="宋体" w:hAnsi="宋体" w:cs="宋体"/>
          <w:color w:val="000000" w:themeColor="text1"/>
          <w:sz w:val="24"/>
          <w14:textFill>
            <w14:solidFill>
              <w14:schemeClr w14:val="tx1"/>
            </w14:solidFill>
          </w14:textFill>
        </w:rPr>
      </w:pPr>
      <w:r>
        <w:rPr>
          <w:rFonts w:hint="eastAsia"/>
          <w:color w:val="000000" w:themeColor="text1"/>
          <w:sz w:val="24"/>
          <w:szCs w:val="32"/>
          <w14:textFill>
            <w14:solidFill>
              <w14:schemeClr w14:val="tx1"/>
            </w14:solidFill>
          </w14:textFill>
        </w:rPr>
        <w:t>日期：</w:t>
      </w:r>
      <w:r>
        <w:rPr>
          <w:rFonts w:hint="eastAsia" w:ascii="宋体" w:hAnsi="宋体" w:cs="宋体"/>
          <w:color w:val="000000" w:themeColor="text1"/>
          <w:sz w:val="24"/>
          <w:szCs w:val="32"/>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年</w:t>
      </w:r>
      <w:r>
        <w:rPr>
          <w:rFonts w:hint="eastAsia" w:ascii="宋体" w:hAnsi="宋体" w:cs="宋体"/>
          <w:color w:val="000000" w:themeColor="text1"/>
          <w:sz w:val="24"/>
          <w:szCs w:val="32"/>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月</w:t>
      </w:r>
      <w:r>
        <w:rPr>
          <w:rFonts w:hint="eastAsia" w:ascii="宋体" w:hAnsi="宋体" w:cs="宋体"/>
          <w:color w:val="000000" w:themeColor="text1"/>
          <w:sz w:val="24"/>
          <w:szCs w:val="32"/>
          <w:u w:val="single"/>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日</w:t>
      </w:r>
    </w:p>
    <w:p>
      <w:pPr>
        <w:spacing w:line="288" w:lineRule="auto"/>
        <w:ind w:firstLine="506"/>
        <w:jc w:val="left"/>
        <w:rPr>
          <w:rFonts w:hint="eastAsia" w:cs="宋体"/>
          <w:b/>
          <w:color w:val="000000" w:themeColor="text1"/>
          <w:spacing w:val="6"/>
          <w14:textFill>
            <w14:solidFill>
              <w14:schemeClr w14:val="tx1"/>
            </w14:solidFill>
          </w14:textFill>
        </w:rPr>
      </w:pPr>
      <w:r>
        <w:rPr>
          <w:rFonts w:hint="eastAsia" w:cs="宋体"/>
          <w:b/>
          <w:color w:val="000000" w:themeColor="text1"/>
          <w:spacing w:val="6"/>
          <w14:textFill>
            <w14:solidFill>
              <w14:schemeClr w14:val="tx1"/>
            </w14:solidFill>
          </w14:textFill>
        </w:rPr>
        <w:t>投标人不属于中小企业、残疾人福利性单位、监狱企业的，无需提供此声明函，如提供所引起的后果由投标人承担。</w:t>
      </w:r>
      <w:bookmarkEnd w:id="51"/>
    </w:p>
    <w:p>
      <w:pPr>
        <w:pStyle w:val="37"/>
        <w:rPr>
          <w:rFonts w:hint="eastAsia" w:cs="宋体"/>
          <w:b/>
          <w:color w:val="000000" w:themeColor="text1"/>
          <w:spacing w:val="6"/>
          <w14:textFill>
            <w14:solidFill>
              <w14:schemeClr w14:val="tx1"/>
            </w14:solidFill>
          </w14:textFill>
        </w:rPr>
      </w:pPr>
    </w:p>
    <w:p>
      <w:pPr>
        <w:pStyle w:val="12"/>
        <w:rPr>
          <w:color w:val="000000" w:themeColor="text1"/>
          <w14:textFill>
            <w14:solidFill>
              <w14:schemeClr w14:val="tx1"/>
            </w14:solidFill>
          </w14:textFill>
        </w:rPr>
      </w:pPr>
    </w:p>
    <w:p>
      <w:pPr>
        <w:autoSpaceDE w:val="0"/>
        <w:autoSpaceDN w:val="0"/>
        <w:adjustRightInd w:val="0"/>
        <w:spacing w:line="380" w:lineRule="exact"/>
        <w:ind w:firstLine="2650" w:firstLineChars="1100"/>
        <w:jc w:val="lef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政府采购活动现场确认声明书</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台州蔚蓝投资咨询有限公司：</w:t>
      </w:r>
    </w:p>
    <w:p>
      <w:pPr>
        <w:autoSpaceDE w:val="0"/>
        <w:autoSpaceDN w:val="0"/>
        <w:adjustRightInd w:val="0"/>
        <w:spacing w:after="0" w:line="336" w:lineRule="auto"/>
        <w:ind w:firstLine="42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本人</w:t>
      </w:r>
      <w:r>
        <w:rPr>
          <w:rFonts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（授权代表姓名），经由</w:t>
      </w:r>
      <w:r>
        <w:rPr>
          <w:rFonts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（单位）_</w:t>
      </w:r>
      <w:r>
        <w:rPr>
          <w:rFonts w:ascii="宋体" w:cs="宋体"/>
          <w:color w:val="000000" w:themeColor="text1"/>
          <w:kern w:val="0"/>
          <w:szCs w:val="21"/>
          <w14:textFill>
            <w14:solidFill>
              <w14:schemeClr w14:val="tx1"/>
            </w14:solidFill>
          </w14:textFill>
        </w:rPr>
        <w:t>_________</w:t>
      </w:r>
      <w:r>
        <w:rPr>
          <w:rFonts w:hint="eastAsia" w:ascii="宋体" w:cs="宋体"/>
          <w:color w:val="000000" w:themeColor="text1"/>
          <w:kern w:val="0"/>
          <w:szCs w:val="21"/>
          <w14:textFill>
            <w14:solidFill>
              <w14:schemeClr w14:val="tx1"/>
            </w14:solidFill>
          </w14:textFill>
        </w:rPr>
        <w:t>（法定代表人姓名）合法授权参加</w:t>
      </w:r>
      <w:r>
        <w:rPr>
          <w:rFonts w:hint="eastAsia" w:ascii="宋体" w:cs="宋体"/>
          <w:color w:val="000000" w:themeColor="text1"/>
          <w:kern w:val="0"/>
          <w:szCs w:val="21"/>
          <w:u w:val="single"/>
          <w14:textFill>
            <w14:solidFill>
              <w14:schemeClr w14:val="tx1"/>
            </w14:solidFill>
          </w14:textFill>
        </w:rPr>
        <w:t xml:space="preserve"> </w:t>
      </w:r>
      <w:r>
        <w:rPr>
          <w:rFonts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项目（编号：</w:t>
      </w:r>
      <w:r>
        <w:rPr>
          <w:rFonts w:hint="eastAsia" w:ascii="宋体" w:cs="宋体"/>
          <w:color w:val="000000" w:themeColor="text1"/>
          <w:kern w:val="0"/>
          <w:szCs w:val="21"/>
          <w:lang w:eastAsia="zh-CN"/>
          <w14:textFill>
            <w14:solidFill>
              <w14:schemeClr w14:val="tx1"/>
            </w14:solidFill>
          </w14:textFill>
        </w:rPr>
        <w:t>WLCG-2024-CS018号</w:t>
      </w:r>
      <w:r>
        <w:rPr>
          <w:rFonts w:hint="eastAsia" w:ascii="宋体" w:cs="宋体"/>
          <w:color w:val="000000" w:themeColor="text1"/>
          <w:kern w:val="0"/>
          <w:szCs w:val="21"/>
          <w14:textFill>
            <w14:solidFill>
              <w14:schemeClr w14:val="tx1"/>
            </w14:solidFill>
          </w14:textFill>
        </w:rPr>
        <w:t>）政府采购活动，经与本单位法人代表（负责人）联系确认，现就有关公平竞争事项郑重声明如下：</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一、本单位与采购人之间</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□不存在利害关系</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□存在下列利害关系</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A. </w:t>
      </w:r>
      <w:r>
        <w:rPr>
          <w:rFonts w:hint="eastAsia" w:ascii="宋体" w:cs="宋体"/>
          <w:color w:val="000000" w:themeColor="text1"/>
          <w:kern w:val="0"/>
          <w:szCs w:val="21"/>
          <w14:textFill>
            <w14:solidFill>
              <w14:schemeClr w14:val="tx1"/>
            </w14:solidFill>
          </w14:textFill>
        </w:rPr>
        <w:t>投资关系</w:t>
      </w:r>
      <w:r>
        <w:rPr>
          <w:rFonts w:ascii="宋体" w:cs="宋体"/>
          <w:color w:val="000000" w:themeColor="text1"/>
          <w:kern w:val="0"/>
          <w:szCs w:val="21"/>
          <w14:textFill>
            <w14:solidFill>
              <w14:schemeClr w14:val="tx1"/>
            </w14:solidFill>
          </w14:textFill>
        </w:rPr>
        <w:t xml:space="preserve"> B. </w:t>
      </w:r>
      <w:r>
        <w:rPr>
          <w:rFonts w:hint="eastAsia" w:ascii="宋体" w:cs="宋体"/>
          <w:color w:val="000000" w:themeColor="text1"/>
          <w:kern w:val="0"/>
          <w:szCs w:val="21"/>
          <w14:textFill>
            <w14:solidFill>
              <w14:schemeClr w14:val="tx1"/>
            </w14:solidFill>
          </w14:textFill>
        </w:rPr>
        <w:t>行政隶属关系</w:t>
      </w:r>
      <w:r>
        <w:rPr>
          <w:rFonts w:ascii="宋体" w:cs="宋体"/>
          <w:color w:val="000000" w:themeColor="text1"/>
          <w:kern w:val="0"/>
          <w:szCs w:val="21"/>
          <w14:textFill>
            <w14:solidFill>
              <w14:schemeClr w14:val="tx1"/>
            </w14:solidFill>
          </w14:textFill>
        </w:rPr>
        <w:t xml:space="preserve"> C. </w:t>
      </w:r>
      <w:r>
        <w:rPr>
          <w:rFonts w:hint="eastAsia" w:ascii="宋体" w:cs="宋体"/>
          <w:color w:val="000000" w:themeColor="text1"/>
          <w:kern w:val="0"/>
          <w:szCs w:val="21"/>
          <w14:textFill>
            <w14:solidFill>
              <w14:schemeClr w14:val="tx1"/>
            </w14:solidFill>
          </w14:textFill>
        </w:rPr>
        <w:t>业务指导关系</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D. </w:t>
      </w:r>
      <w:r>
        <w:rPr>
          <w:rFonts w:hint="eastAsia" w:ascii="宋体" w:cs="宋体"/>
          <w:color w:val="000000" w:themeColor="text1"/>
          <w:kern w:val="0"/>
          <w:szCs w:val="21"/>
          <w14:textFill>
            <w14:solidFill>
              <w14:schemeClr w14:val="tx1"/>
            </w14:solidFill>
          </w14:textFill>
        </w:rPr>
        <w:t>其他可能影响采购公正的利害关系（如有，请如实说明）。</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二、现已清楚知道参加本项目采购活动的其他所有供应商名称，本单位</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□与其他所有供应商之间均不存在利害关系</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□与</w:t>
      </w:r>
      <w:r>
        <w:rPr>
          <w:rFonts w:hint="eastAsia" w:ascii="宋体" w:cs="宋体"/>
          <w:color w:val="000000" w:themeColor="text1"/>
          <w:kern w:val="0"/>
          <w:szCs w:val="21"/>
          <w:u w:val="single"/>
          <w14:textFill>
            <w14:solidFill>
              <w14:schemeClr w14:val="tx1"/>
            </w14:solidFill>
          </w14:textFill>
        </w:rPr>
        <w:t xml:space="preserve"> </w:t>
      </w:r>
      <w:r>
        <w:rPr>
          <w:rFonts w:ascii="宋体" w:cs="宋体"/>
          <w:color w:val="000000" w:themeColor="text1"/>
          <w:kern w:val="0"/>
          <w:szCs w:val="21"/>
          <w:u w:val="single"/>
          <w14:textFill>
            <w14:solidFill>
              <w14:schemeClr w14:val="tx1"/>
            </w14:solidFill>
          </w14:textFill>
        </w:rPr>
        <w:t xml:space="preserve">              </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（供应商名称）之间存在下列利害关系：</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A. </w:t>
      </w:r>
      <w:r>
        <w:rPr>
          <w:rFonts w:hint="eastAsia" w:ascii="宋体" w:cs="宋体"/>
          <w:color w:val="000000" w:themeColor="text1"/>
          <w:kern w:val="0"/>
          <w:szCs w:val="21"/>
          <w14:textFill>
            <w14:solidFill>
              <w14:schemeClr w14:val="tx1"/>
            </w14:solidFill>
          </w14:textFill>
        </w:rPr>
        <w:t>法定代表人或负责人或实际控制人是同一人</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B. </w:t>
      </w:r>
      <w:r>
        <w:rPr>
          <w:rFonts w:hint="eastAsia" w:ascii="宋体" w:cs="宋体"/>
          <w:color w:val="000000" w:themeColor="text1"/>
          <w:kern w:val="0"/>
          <w:szCs w:val="21"/>
          <w14:textFill>
            <w14:solidFill>
              <w14:schemeClr w14:val="tx1"/>
            </w14:solidFill>
          </w14:textFill>
        </w:rPr>
        <w:t>法定代表人或负责人或实际控制人是夫妻关系</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C. </w:t>
      </w:r>
      <w:r>
        <w:rPr>
          <w:rFonts w:hint="eastAsia" w:ascii="宋体" w:cs="宋体"/>
          <w:color w:val="000000" w:themeColor="text1"/>
          <w:kern w:val="0"/>
          <w:szCs w:val="21"/>
          <w14:textFill>
            <w14:solidFill>
              <w14:schemeClr w14:val="tx1"/>
            </w14:solidFill>
          </w14:textFill>
        </w:rPr>
        <w:t>法定代表人或负责人或实际控制人是直系血亲关系</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D. </w:t>
      </w:r>
      <w:r>
        <w:rPr>
          <w:rFonts w:hint="eastAsia" w:ascii="宋体" w:cs="宋体"/>
          <w:color w:val="000000" w:themeColor="text1"/>
          <w:kern w:val="0"/>
          <w:szCs w:val="21"/>
          <w14:textFill>
            <w14:solidFill>
              <w14:schemeClr w14:val="tx1"/>
            </w14:solidFill>
          </w14:textFill>
        </w:rPr>
        <w:t>法定代表人或负责人或实际控制人存在三代以内旁系血亲关系</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E. </w:t>
      </w:r>
      <w:r>
        <w:rPr>
          <w:rFonts w:hint="eastAsia" w:ascii="宋体" w:cs="宋体"/>
          <w:color w:val="000000" w:themeColor="text1"/>
          <w:kern w:val="0"/>
          <w:szCs w:val="21"/>
          <w14:textFill>
            <w14:solidFill>
              <w14:schemeClr w14:val="tx1"/>
            </w14:solidFill>
          </w14:textFill>
        </w:rPr>
        <w:t>法定代表人或负责人或实际控制人存在近姻亲关系</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F. </w:t>
      </w:r>
      <w:r>
        <w:rPr>
          <w:rFonts w:hint="eastAsia" w:ascii="宋体" w:cs="宋体"/>
          <w:color w:val="000000" w:themeColor="text1"/>
          <w:kern w:val="0"/>
          <w:szCs w:val="21"/>
          <w14:textFill>
            <w14:solidFill>
              <w14:schemeClr w14:val="tx1"/>
            </w14:solidFill>
          </w14:textFill>
        </w:rPr>
        <w:t>法定代表人或负责人或实际控制人存在股份控制或实际控制关系</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G. </w:t>
      </w:r>
      <w:r>
        <w:rPr>
          <w:rFonts w:hint="eastAsia" w:ascii="宋体" w:cs="宋体"/>
          <w:color w:val="000000" w:themeColor="text1"/>
          <w:kern w:val="0"/>
          <w:szCs w:val="21"/>
          <w14:textFill>
            <w14:solidFill>
              <w14:schemeClr w14:val="tx1"/>
            </w14:solidFill>
          </w14:textFill>
        </w:rPr>
        <w:t>存在共同直接或间接投资设立子公司、联营企业和合营企业情况</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H. </w:t>
      </w:r>
      <w:r>
        <w:rPr>
          <w:rFonts w:hint="eastAsia" w:ascii="宋体" w:cs="宋体"/>
          <w:color w:val="000000" w:themeColor="text1"/>
          <w:kern w:val="0"/>
          <w:szCs w:val="21"/>
          <w14:textFill>
            <w14:solidFill>
              <w14:schemeClr w14:val="tx1"/>
            </w14:solidFill>
          </w14:textFill>
        </w:rPr>
        <w:t>存在分级代理或代销关系、同一生产制造商关系、</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管理关系、重要业务（占主营业务收入</w:t>
      </w:r>
      <w:r>
        <w:rPr>
          <w:rFonts w:ascii="宋体" w:cs="宋体"/>
          <w:color w:val="000000" w:themeColor="text1"/>
          <w:kern w:val="0"/>
          <w:szCs w:val="21"/>
          <w14:textFill>
            <w14:solidFill>
              <w14:schemeClr w14:val="tx1"/>
            </w14:solidFill>
          </w14:textFill>
        </w:rPr>
        <w:t xml:space="preserve"> 50% </w:t>
      </w:r>
      <w:r>
        <w:rPr>
          <w:rFonts w:hint="eastAsia" w:ascii="宋体" w:cs="宋体"/>
          <w:color w:val="000000" w:themeColor="text1"/>
          <w:kern w:val="0"/>
          <w:szCs w:val="21"/>
          <w14:textFill>
            <w14:solidFill>
              <w14:schemeClr w14:val="tx1"/>
            </w14:solidFill>
          </w14:textFill>
        </w:rPr>
        <w:t>以上）或重要财务往来关系（如融资）等其他实质性控制关系</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 xml:space="preserve">I . </w:t>
      </w:r>
      <w:r>
        <w:rPr>
          <w:rFonts w:hint="eastAsia" w:ascii="宋体" w:cs="宋体"/>
          <w:color w:val="000000" w:themeColor="text1"/>
          <w:kern w:val="0"/>
          <w:szCs w:val="21"/>
          <w14:textFill>
            <w14:solidFill>
              <w14:schemeClr w14:val="tx1"/>
            </w14:solidFill>
          </w14:textFill>
        </w:rPr>
        <w:t>其他利害关系情况</w:t>
      </w:r>
      <w:r>
        <w:rPr>
          <w:rFonts w:ascii="宋体" w:cs="宋体"/>
          <w:color w:val="000000" w:themeColor="text1"/>
          <w:kern w:val="0"/>
          <w:szCs w:val="21"/>
          <w14:textFill>
            <w14:solidFill>
              <w14:schemeClr w14:val="tx1"/>
            </w14:solidFill>
          </w14:textFill>
        </w:rPr>
        <w:t xml:space="preserve"> </w:t>
      </w:r>
      <w:r>
        <w:rPr>
          <w:rFonts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三、现已清楚知道并</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严格遵守政府采购法律法规和现场纪律。</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四、我发现</w:t>
      </w:r>
      <w:r>
        <w:rPr>
          <w:rFonts w:hint="eastAsia" w:ascii="宋体" w:cs="宋体"/>
          <w:color w:val="000000" w:themeColor="text1"/>
          <w:kern w:val="0"/>
          <w:szCs w:val="21"/>
          <w:u w:val="single"/>
          <w14:textFill>
            <w14:solidFill>
              <w14:schemeClr w14:val="tx1"/>
            </w14:solidFill>
          </w14:textFill>
        </w:rPr>
        <w:t xml:space="preserve"> </w:t>
      </w:r>
      <w:r>
        <w:rPr>
          <w:rFonts w:ascii="宋体" w:cs="宋体"/>
          <w:color w:val="000000" w:themeColor="text1"/>
          <w:kern w:val="0"/>
          <w:szCs w:val="21"/>
          <w:u w:val="single"/>
          <w14:textFill>
            <w14:solidFill>
              <w14:schemeClr w14:val="tx1"/>
            </w14:solidFill>
          </w14:textFill>
        </w:rPr>
        <w:t xml:space="preserve">                 </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供应商之间存在或可能存在上述第二条第</w:t>
      </w:r>
      <w:r>
        <w:rPr>
          <w:rFonts w:hint="eastAsia" w:ascii="宋体" w:cs="宋体"/>
          <w:color w:val="000000" w:themeColor="text1"/>
          <w:kern w:val="0"/>
          <w:szCs w:val="21"/>
          <w:u w:val="single"/>
          <w14:textFill>
            <w14:solidFill>
              <w14:schemeClr w14:val="tx1"/>
            </w14:solidFill>
          </w14:textFill>
        </w:rPr>
        <w:t xml:space="preserve"> </w:t>
      </w:r>
      <w:r>
        <w:rPr>
          <w:rFonts w:ascii="宋体" w:cs="宋体"/>
          <w:color w:val="000000" w:themeColor="text1"/>
          <w:kern w:val="0"/>
          <w:szCs w:val="21"/>
          <w:u w:val="single"/>
          <w14:textFill>
            <w14:solidFill>
              <w14:schemeClr w14:val="tx1"/>
            </w14:solidFill>
          </w14:textFill>
        </w:rPr>
        <w:t xml:space="preserve">          </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项利害关系。</w:t>
      </w:r>
    </w:p>
    <w:p>
      <w:pPr>
        <w:autoSpaceDE w:val="0"/>
        <w:autoSpaceDN w:val="0"/>
        <w:adjustRightInd w:val="0"/>
        <w:spacing w:after="0" w:line="336" w:lineRule="auto"/>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pPr>
        <w:autoSpaceDE w:val="0"/>
        <w:autoSpaceDN w:val="0"/>
        <w:adjustRightInd w:val="0"/>
        <w:spacing w:after="0" w:line="336" w:lineRule="auto"/>
        <w:ind w:left="4200" w:firstLine="42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（供应商代表签名）：</w:t>
      </w:r>
    </w:p>
    <w:p>
      <w:pPr>
        <w:spacing w:after="0" w:line="336" w:lineRule="auto"/>
        <w:ind w:left="5880"/>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202</w:t>
      </w:r>
      <w:r>
        <w:rPr>
          <w:rFonts w:hint="eastAsia" w:ascii="宋体" w:cs="宋体"/>
          <w:color w:val="000000" w:themeColor="text1"/>
          <w:kern w:val="0"/>
          <w:szCs w:val="21"/>
          <w:lang w:val="en-US" w:eastAsia="zh-CN"/>
          <w14:textFill>
            <w14:solidFill>
              <w14:schemeClr w14:val="tx1"/>
            </w14:solidFill>
          </w14:textFill>
        </w:rPr>
        <w:t>4</w:t>
      </w:r>
      <w:r>
        <w:rPr>
          <w:rFonts w:ascii="宋体" w:cs="宋体"/>
          <w:color w:val="000000" w:themeColor="text1"/>
          <w:kern w:val="0"/>
          <w:szCs w:val="21"/>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年</w:t>
      </w:r>
      <w:r>
        <w:rPr>
          <w:rFonts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月</w:t>
      </w:r>
      <w:r>
        <w:rPr>
          <w:rFonts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u w:val="single"/>
          <w14:textFill>
            <w14:solidFill>
              <w14:schemeClr w14:val="tx1"/>
            </w14:solidFill>
          </w14:textFill>
        </w:rPr>
        <w:t xml:space="preserve"> </w:t>
      </w:r>
      <w:r>
        <w:rPr>
          <w:rFonts w:hint="eastAsia" w:ascii="宋体" w:cs="宋体"/>
          <w:color w:val="000000" w:themeColor="text1"/>
          <w:kern w:val="0"/>
          <w:szCs w:val="21"/>
          <w14:textFill>
            <w14:solidFill>
              <w14:schemeClr w14:val="tx1"/>
            </w14:solidFill>
          </w14:textFill>
        </w:rPr>
        <w:t>日</w:t>
      </w:r>
    </w:p>
    <w:p>
      <w:pPr>
        <w:pStyle w:val="67"/>
        <w:spacing w:line="360" w:lineRule="auto"/>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注：解密完将本表发送代理机构</w:t>
      </w:r>
      <w:r>
        <w:rPr>
          <w:rFonts w:ascii="宋体" w:hAnsi="宋体" w:cs="宋体"/>
          <w:b/>
          <w:bCs/>
          <w:color w:val="000000" w:themeColor="text1"/>
          <w:kern w:val="0"/>
          <w:szCs w:val="21"/>
          <w14:textFill>
            <w14:solidFill>
              <w14:schemeClr w14:val="tx1"/>
            </w14:solidFill>
          </w14:textFill>
        </w:rPr>
        <w:t>3291544104</w:t>
      </w:r>
      <w:r>
        <w:rPr>
          <w:rFonts w:hint="eastAsia" w:ascii="宋体" w:hAnsi="宋体" w:cs="宋体"/>
          <w:b/>
          <w:bCs/>
          <w:color w:val="000000" w:themeColor="text1"/>
          <w:kern w:val="0"/>
          <w:szCs w:val="21"/>
          <w14:textFill>
            <w14:solidFill>
              <w14:schemeClr w14:val="tx1"/>
            </w14:solidFill>
          </w14:textFill>
        </w:rPr>
        <w:t>@</w:t>
      </w:r>
      <w:r>
        <w:rPr>
          <w:rFonts w:ascii="宋体" w:hAnsi="宋体" w:cs="宋体"/>
          <w:b/>
          <w:bCs/>
          <w:color w:val="000000" w:themeColor="text1"/>
          <w:kern w:val="0"/>
          <w:szCs w:val="21"/>
          <w14:textFill>
            <w14:solidFill>
              <w14:schemeClr w14:val="tx1"/>
            </w14:solidFill>
          </w14:textFill>
        </w:rPr>
        <w:t>qq.com</w:t>
      </w:r>
    </w:p>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Segoe UI Emoji">
    <w:altName w:val="Segoe UI"/>
    <w:panose1 w:val="020B0502040204020203"/>
    <w:charset w:val="00"/>
    <w:family w:val="swiss"/>
    <w:pitch w:val="default"/>
    <w:sig w:usb0="00000000"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180" w:firstLineChars="100"/>
      <w:jc w:val="both"/>
    </w:pPr>
    <w:r>
      <w:rPr>
        <w:rFonts w:hint="eastAsia"/>
        <w:i/>
        <w:color w:val="000000" w:themeColor="text1"/>
        <w:kern w:val="0"/>
        <w14:textFill>
          <w14:solidFill>
            <w14:schemeClr w14:val="tx1"/>
          </w14:solidFill>
        </w14:textFill>
      </w:rPr>
      <w:t xml:space="preserve">台州蔚蓝投资咨询有限公司磋商文件 </w:t>
    </w:r>
    <w:r>
      <w:rPr>
        <w:i/>
        <w:color w:val="000000" w:themeColor="text1"/>
        <w:kern w:val="0"/>
        <w14:textFill>
          <w14:solidFill>
            <w14:schemeClr w14:val="tx1"/>
          </w14:solidFill>
        </w14:textFill>
      </w:rPr>
      <w:t xml:space="preserve">                                        </w:t>
    </w:r>
    <w:r>
      <w:rPr>
        <w:rFonts w:hint="eastAsia"/>
        <w:i/>
        <w:color w:val="000000" w:themeColor="text1"/>
        <w:kern w:val="0"/>
        <w14:textFill>
          <w14:solidFill>
            <w14:schemeClr w14:val="tx1"/>
          </w14:solidFill>
        </w14:textFill>
      </w:rPr>
      <w:t xml:space="preserve">  第</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PAGE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61</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 共</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NUMPAGES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62</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180" w:firstLineChars="100"/>
      <w:jc w:val="both"/>
    </w:pPr>
    <w:r>
      <w:rPr>
        <w:rFonts w:hint="eastAsia"/>
        <w:i/>
        <w:color w:val="000000" w:themeColor="text1"/>
        <w:kern w:val="0"/>
        <w14:textFill>
          <w14:solidFill>
            <w14:schemeClr w14:val="tx1"/>
          </w14:solidFill>
        </w14:textFill>
      </w:rPr>
      <w:t xml:space="preserve">台州蔚蓝投资咨询有限公司磋商文件                            </w:t>
    </w:r>
    <w:r>
      <w:rPr>
        <w:i/>
        <w:color w:val="000000" w:themeColor="text1"/>
        <w:kern w:val="0"/>
        <w14:textFill>
          <w14:solidFill>
            <w14:schemeClr w14:val="tx1"/>
          </w14:solidFill>
        </w14:textFill>
      </w:rPr>
      <w:t xml:space="preserve"> </w:t>
    </w:r>
    <w:r>
      <w:rPr>
        <w:rFonts w:hint="eastAsia"/>
        <w:i/>
        <w:color w:val="000000" w:themeColor="text1"/>
        <w:kern w:val="0"/>
        <w14:textFill>
          <w14:solidFill>
            <w14:schemeClr w14:val="tx1"/>
          </w14:solidFill>
        </w14:textFill>
      </w:rPr>
      <w:t xml:space="preserve">             第</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PAGE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56</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 共</w:t>
    </w:r>
    <w:r>
      <w:rPr>
        <w:i/>
        <w:color w:val="000000" w:themeColor="text1"/>
        <w:kern w:val="0"/>
        <w14:textFill>
          <w14:solidFill>
            <w14:schemeClr w14:val="tx1"/>
          </w14:solidFill>
        </w14:textFill>
      </w:rPr>
      <w:fldChar w:fldCharType="begin"/>
    </w:r>
    <w:r>
      <w:rPr>
        <w:i/>
        <w:color w:val="000000" w:themeColor="text1"/>
        <w:kern w:val="0"/>
        <w14:textFill>
          <w14:solidFill>
            <w14:schemeClr w14:val="tx1"/>
          </w14:solidFill>
        </w14:textFill>
      </w:rPr>
      <w:instrText xml:space="preserve"> NUMPAGES </w:instrText>
    </w:r>
    <w:r>
      <w:rPr>
        <w:i/>
        <w:color w:val="000000" w:themeColor="text1"/>
        <w:kern w:val="0"/>
        <w14:textFill>
          <w14:solidFill>
            <w14:schemeClr w14:val="tx1"/>
          </w14:solidFill>
        </w14:textFill>
      </w:rPr>
      <w:fldChar w:fldCharType="separate"/>
    </w:r>
    <w:r>
      <w:rPr>
        <w:i/>
        <w:color w:val="000000" w:themeColor="text1"/>
        <w:kern w:val="0"/>
        <w14:textFill>
          <w14:solidFill>
            <w14:schemeClr w14:val="tx1"/>
          </w14:solidFill>
        </w14:textFill>
      </w:rPr>
      <w:t>56</w:t>
    </w:r>
    <w:r>
      <w:rPr>
        <w:i/>
        <w:color w:val="000000" w:themeColor="text1"/>
        <w:kern w:val="0"/>
        <w14:textFill>
          <w14:solidFill>
            <w14:schemeClr w14:val="tx1"/>
          </w14:solidFill>
        </w14:textFill>
      </w:rPr>
      <w:fldChar w:fldCharType="end"/>
    </w:r>
    <w:r>
      <w:rPr>
        <w:rFonts w:hint="eastAsia"/>
        <w:i/>
        <w:color w:val="000000" w:themeColor="text1"/>
        <w:kern w:val="0"/>
        <w14:textFill>
          <w14:solidFill>
            <w14:schemeClr w14:val="tx1"/>
          </w14:solidFill>
        </w14:textFill>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0" w:firstLine="0"/>
      </w:pPr>
    </w:lvl>
  </w:abstractNum>
  <w:abstractNum w:abstractNumId="1">
    <w:nsid w:val="471E06A1"/>
    <w:multiLevelType w:val="singleLevel"/>
    <w:tmpl w:val="471E06A1"/>
    <w:lvl w:ilvl="0" w:tentative="0">
      <w:start w:val="1"/>
      <w:numFmt w:val="japaneseCounting"/>
      <w:pStyle w:val="7"/>
      <w:lvlText w:val="%1、"/>
      <w:lvlJc w:val="left"/>
      <w:pPr>
        <w:tabs>
          <w:tab w:val="left" w:pos="960"/>
        </w:tabs>
        <w:ind w:left="960" w:hanging="600"/>
      </w:pPr>
      <w:rPr>
        <w:lang w:val="en-US"/>
      </w:rPr>
    </w:lvl>
  </w:abstractNum>
  <w:abstractNum w:abstractNumId="2">
    <w:nsid w:val="4EEB4E0E"/>
    <w:multiLevelType w:val="multilevel"/>
    <w:tmpl w:val="4EEB4E0E"/>
    <w:lvl w:ilvl="0" w:tentative="0">
      <w:start w:val="2"/>
      <w:numFmt w:val="japaneseCounting"/>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lvlOverride w:ilvl="0">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0"/>
    <w:footnote w:id="1"/>
  </w:footnotePr>
  <w:endnotePr>
    <w:numRestart w:val="eachSect"/>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lNmI0NzYzODc1MjViNjJkNGUzY2NiZDY4YmY0YWMifQ=="/>
  </w:docVars>
  <w:rsids>
    <w:rsidRoot w:val="004F744B"/>
    <w:rsid w:val="00005EC7"/>
    <w:rsid w:val="00026057"/>
    <w:rsid w:val="00031308"/>
    <w:rsid w:val="00037351"/>
    <w:rsid w:val="0004139D"/>
    <w:rsid w:val="000446B1"/>
    <w:rsid w:val="00046CA0"/>
    <w:rsid w:val="00053C3B"/>
    <w:rsid w:val="00054062"/>
    <w:rsid w:val="00056AA7"/>
    <w:rsid w:val="0006084C"/>
    <w:rsid w:val="000644BF"/>
    <w:rsid w:val="00065A27"/>
    <w:rsid w:val="00066F59"/>
    <w:rsid w:val="00071C6E"/>
    <w:rsid w:val="00072A5A"/>
    <w:rsid w:val="00072C80"/>
    <w:rsid w:val="00072DE1"/>
    <w:rsid w:val="000858CA"/>
    <w:rsid w:val="00085EEA"/>
    <w:rsid w:val="000873FC"/>
    <w:rsid w:val="000939A5"/>
    <w:rsid w:val="00095F6B"/>
    <w:rsid w:val="00096E1E"/>
    <w:rsid w:val="00097E27"/>
    <w:rsid w:val="000A002F"/>
    <w:rsid w:val="000B38A3"/>
    <w:rsid w:val="000B6A94"/>
    <w:rsid w:val="000C024B"/>
    <w:rsid w:val="000C200D"/>
    <w:rsid w:val="000D077D"/>
    <w:rsid w:val="000D46C8"/>
    <w:rsid w:val="000D6730"/>
    <w:rsid w:val="000D78D3"/>
    <w:rsid w:val="000F43C9"/>
    <w:rsid w:val="000F49AD"/>
    <w:rsid w:val="00111ABF"/>
    <w:rsid w:val="0011451C"/>
    <w:rsid w:val="001217D1"/>
    <w:rsid w:val="001278D9"/>
    <w:rsid w:val="0014032C"/>
    <w:rsid w:val="001555A4"/>
    <w:rsid w:val="00156BE4"/>
    <w:rsid w:val="00163111"/>
    <w:rsid w:val="00167BC7"/>
    <w:rsid w:val="0017606C"/>
    <w:rsid w:val="00184CA0"/>
    <w:rsid w:val="001927DB"/>
    <w:rsid w:val="00193B00"/>
    <w:rsid w:val="001A0365"/>
    <w:rsid w:val="001A2B51"/>
    <w:rsid w:val="001A63C2"/>
    <w:rsid w:val="001A7B57"/>
    <w:rsid w:val="001B724A"/>
    <w:rsid w:val="001C02D0"/>
    <w:rsid w:val="001C5B7F"/>
    <w:rsid w:val="001C715D"/>
    <w:rsid w:val="001D4204"/>
    <w:rsid w:val="001D57EA"/>
    <w:rsid w:val="001E0413"/>
    <w:rsid w:val="001F0E16"/>
    <w:rsid w:val="001F7F7E"/>
    <w:rsid w:val="00207852"/>
    <w:rsid w:val="00212885"/>
    <w:rsid w:val="00213D94"/>
    <w:rsid w:val="00215AA4"/>
    <w:rsid w:val="00245B30"/>
    <w:rsid w:val="00250BEB"/>
    <w:rsid w:val="00260D3E"/>
    <w:rsid w:val="00265C1B"/>
    <w:rsid w:val="00272A0C"/>
    <w:rsid w:val="002760DB"/>
    <w:rsid w:val="00285085"/>
    <w:rsid w:val="00291922"/>
    <w:rsid w:val="00295666"/>
    <w:rsid w:val="002971FA"/>
    <w:rsid w:val="002A63FD"/>
    <w:rsid w:val="002A7D3D"/>
    <w:rsid w:val="002C1BA0"/>
    <w:rsid w:val="002C26A3"/>
    <w:rsid w:val="002C646B"/>
    <w:rsid w:val="002D00C5"/>
    <w:rsid w:val="002D129B"/>
    <w:rsid w:val="002E20B7"/>
    <w:rsid w:val="002E223A"/>
    <w:rsid w:val="002F71E6"/>
    <w:rsid w:val="00302E4D"/>
    <w:rsid w:val="0030469C"/>
    <w:rsid w:val="00306987"/>
    <w:rsid w:val="00306B6E"/>
    <w:rsid w:val="00307107"/>
    <w:rsid w:val="00314243"/>
    <w:rsid w:val="00317026"/>
    <w:rsid w:val="0032192A"/>
    <w:rsid w:val="00341A21"/>
    <w:rsid w:val="00346F9E"/>
    <w:rsid w:val="00347F43"/>
    <w:rsid w:val="00347FD2"/>
    <w:rsid w:val="003532FE"/>
    <w:rsid w:val="003610B1"/>
    <w:rsid w:val="00365028"/>
    <w:rsid w:val="00367A91"/>
    <w:rsid w:val="00382010"/>
    <w:rsid w:val="00384B9C"/>
    <w:rsid w:val="003858CE"/>
    <w:rsid w:val="0038729E"/>
    <w:rsid w:val="00390187"/>
    <w:rsid w:val="00396923"/>
    <w:rsid w:val="003A540D"/>
    <w:rsid w:val="003B476D"/>
    <w:rsid w:val="003C468C"/>
    <w:rsid w:val="003C771A"/>
    <w:rsid w:val="003D29A2"/>
    <w:rsid w:val="003D5124"/>
    <w:rsid w:val="003E383E"/>
    <w:rsid w:val="003E5262"/>
    <w:rsid w:val="003E7909"/>
    <w:rsid w:val="003E7AA2"/>
    <w:rsid w:val="003F0B7A"/>
    <w:rsid w:val="003F3FDD"/>
    <w:rsid w:val="003F6BDD"/>
    <w:rsid w:val="004003FC"/>
    <w:rsid w:val="00401701"/>
    <w:rsid w:val="00401FC5"/>
    <w:rsid w:val="00402DFB"/>
    <w:rsid w:val="00415D07"/>
    <w:rsid w:val="00416146"/>
    <w:rsid w:val="004178F1"/>
    <w:rsid w:val="00423EFF"/>
    <w:rsid w:val="0042417F"/>
    <w:rsid w:val="00425A1B"/>
    <w:rsid w:val="00431653"/>
    <w:rsid w:val="00437FE3"/>
    <w:rsid w:val="004434E3"/>
    <w:rsid w:val="00450F3F"/>
    <w:rsid w:val="004573A5"/>
    <w:rsid w:val="00457ACE"/>
    <w:rsid w:val="004618C1"/>
    <w:rsid w:val="00471663"/>
    <w:rsid w:val="004732CD"/>
    <w:rsid w:val="00487B1E"/>
    <w:rsid w:val="004920FC"/>
    <w:rsid w:val="00497AA1"/>
    <w:rsid w:val="004A021C"/>
    <w:rsid w:val="004B311B"/>
    <w:rsid w:val="004B322B"/>
    <w:rsid w:val="004D7A7A"/>
    <w:rsid w:val="004E55AA"/>
    <w:rsid w:val="004F744B"/>
    <w:rsid w:val="005033F5"/>
    <w:rsid w:val="00504087"/>
    <w:rsid w:val="005045E5"/>
    <w:rsid w:val="0050607F"/>
    <w:rsid w:val="005116B0"/>
    <w:rsid w:val="00513A0B"/>
    <w:rsid w:val="00523B85"/>
    <w:rsid w:val="0052410F"/>
    <w:rsid w:val="00531FF0"/>
    <w:rsid w:val="00532186"/>
    <w:rsid w:val="00541E6A"/>
    <w:rsid w:val="005450F6"/>
    <w:rsid w:val="00551EA8"/>
    <w:rsid w:val="005540B2"/>
    <w:rsid w:val="00554F26"/>
    <w:rsid w:val="0055500B"/>
    <w:rsid w:val="00561C5D"/>
    <w:rsid w:val="005659FB"/>
    <w:rsid w:val="00565BF7"/>
    <w:rsid w:val="0057627D"/>
    <w:rsid w:val="00577609"/>
    <w:rsid w:val="00592668"/>
    <w:rsid w:val="005A27F7"/>
    <w:rsid w:val="005A2F8E"/>
    <w:rsid w:val="005A40AB"/>
    <w:rsid w:val="005B1014"/>
    <w:rsid w:val="005B3696"/>
    <w:rsid w:val="005B39F1"/>
    <w:rsid w:val="005B3A67"/>
    <w:rsid w:val="005C1686"/>
    <w:rsid w:val="005C3E08"/>
    <w:rsid w:val="005C703D"/>
    <w:rsid w:val="005D0083"/>
    <w:rsid w:val="005D153D"/>
    <w:rsid w:val="005D1F6F"/>
    <w:rsid w:val="005D4EE4"/>
    <w:rsid w:val="005D53C4"/>
    <w:rsid w:val="005E4CB9"/>
    <w:rsid w:val="005F20AE"/>
    <w:rsid w:val="005F6820"/>
    <w:rsid w:val="005F78B9"/>
    <w:rsid w:val="00606192"/>
    <w:rsid w:val="00610597"/>
    <w:rsid w:val="0061103D"/>
    <w:rsid w:val="006145B4"/>
    <w:rsid w:val="006171A6"/>
    <w:rsid w:val="006204B7"/>
    <w:rsid w:val="0062558C"/>
    <w:rsid w:val="0062791C"/>
    <w:rsid w:val="00637947"/>
    <w:rsid w:val="00640F7A"/>
    <w:rsid w:val="00644296"/>
    <w:rsid w:val="00651DD3"/>
    <w:rsid w:val="00652629"/>
    <w:rsid w:val="00652805"/>
    <w:rsid w:val="00663F88"/>
    <w:rsid w:val="00664BDC"/>
    <w:rsid w:val="00664C54"/>
    <w:rsid w:val="00674D64"/>
    <w:rsid w:val="006771B0"/>
    <w:rsid w:val="00681C89"/>
    <w:rsid w:val="0068299D"/>
    <w:rsid w:val="0068586C"/>
    <w:rsid w:val="006961ED"/>
    <w:rsid w:val="00697561"/>
    <w:rsid w:val="006A60B2"/>
    <w:rsid w:val="006B0835"/>
    <w:rsid w:val="006B59DD"/>
    <w:rsid w:val="006D419F"/>
    <w:rsid w:val="006D6094"/>
    <w:rsid w:val="006E59F7"/>
    <w:rsid w:val="006F06C2"/>
    <w:rsid w:val="007007DA"/>
    <w:rsid w:val="007021F0"/>
    <w:rsid w:val="007022C9"/>
    <w:rsid w:val="007024DD"/>
    <w:rsid w:val="007041D2"/>
    <w:rsid w:val="00712CE3"/>
    <w:rsid w:val="00734840"/>
    <w:rsid w:val="0074365B"/>
    <w:rsid w:val="007450AB"/>
    <w:rsid w:val="007471CD"/>
    <w:rsid w:val="007542E6"/>
    <w:rsid w:val="00756D3C"/>
    <w:rsid w:val="00761B45"/>
    <w:rsid w:val="00766F85"/>
    <w:rsid w:val="0077085D"/>
    <w:rsid w:val="00771D16"/>
    <w:rsid w:val="00785D50"/>
    <w:rsid w:val="007911C6"/>
    <w:rsid w:val="007A4BD5"/>
    <w:rsid w:val="007B0494"/>
    <w:rsid w:val="007B403D"/>
    <w:rsid w:val="007B5E1F"/>
    <w:rsid w:val="007C103C"/>
    <w:rsid w:val="007C1456"/>
    <w:rsid w:val="007C4369"/>
    <w:rsid w:val="007C46EF"/>
    <w:rsid w:val="007E3808"/>
    <w:rsid w:val="007E49B5"/>
    <w:rsid w:val="007F5C99"/>
    <w:rsid w:val="007F6C6F"/>
    <w:rsid w:val="007F6C9E"/>
    <w:rsid w:val="00802098"/>
    <w:rsid w:val="0080360F"/>
    <w:rsid w:val="00803CB4"/>
    <w:rsid w:val="00804600"/>
    <w:rsid w:val="008071F5"/>
    <w:rsid w:val="008112BD"/>
    <w:rsid w:val="00824069"/>
    <w:rsid w:val="008263CB"/>
    <w:rsid w:val="0083050D"/>
    <w:rsid w:val="00844285"/>
    <w:rsid w:val="00851DE7"/>
    <w:rsid w:val="00852D3B"/>
    <w:rsid w:val="00856EB3"/>
    <w:rsid w:val="0086792A"/>
    <w:rsid w:val="00876CD3"/>
    <w:rsid w:val="00892123"/>
    <w:rsid w:val="0089375C"/>
    <w:rsid w:val="008953F8"/>
    <w:rsid w:val="008959FC"/>
    <w:rsid w:val="008B5CF5"/>
    <w:rsid w:val="008C59CE"/>
    <w:rsid w:val="008D0035"/>
    <w:rsid w:val="008D500C"/>
    <w:rsid w:val="008D672D"/>
    <w:rsid w:val="008D718A"/>
    <w:rsid w:val="008E0522"/>
    <w:rsid w:val="008E1505"/>
    <w:rsid w:val="008E185A"/>
    <w:rsid w:val="008E484F"/>
    <w:rsid w:val="008F0D1B"/>
    <w:rsid w:val="00901E35"/>
    <w:rsid w:val="00903FCB"/>
    <w:rsid w:val="0090440D"/>
    <w:rsid w:val="00913823"/>
    <w:rsid w:val="00914D76"/>
    <w:rsid w:val="00915D57"/>
    <w:rsid w:val="00917C5F"/>
    <w:rsid w:val="0093100C"/>
    <w:rsid w:val="00931514"/>
    <w:rsid w:val="0093333F"/>
    <w:rsid w:val="00934CF2"/>
    <w:rsid w:val="00936E3F"/>
    <w:rsid w:val="0094252C"/>
    <w:rsid w:val="00943C94"/>
    <w:rsid w:val="00945E9E"/>
    <w:rsid w:val="00951E7D"/>
    <w:rsid w:val="00962783"/>
    <w:rsid w:val="0096396E"/>
    <w:rsid w:val="009649FB"/>
    <w:rsid w:val="009661E8"/>
    <w:rsid w:val="0097148C"/>
    <w:rsid w:val="0097274B"/>
    <w:rsid w:val="00974C48"/>
    <w:rsid w:val="00983EDA"/>
    <w:rsid w:val="00986073"/>
    <w:rsid w:val="009A4255"/>
    <w:rsid w:val="009A5A8E"/>
    <w:rsid w:val="009B51E9"/>
    <w:rsid w:val="009B6386"/>
    <w:rsid w:val="009C34FD"/>
    <w:rsid w:val="009D0EA3"/>
    <w:rsid w:val="009E62DF"/>
    <w:rsid w:val="009E7B58"/>
    <w:rsid w:val="00A01BED"/>
    <w:rsid w:val="00A111AB"/>
    <w:rsid w:val="00A24CE8"/>
    <w:rsid w:val="00A27E44"/>
    <w:rsid w:val="00A317E2"/>
    <w:rsid w:val="00A3470B"/>
    <w:rsid w:val="00A34742"/>
    <w:rsid w:val="00A37A6B"/>
    <w:rsid w:val="00A436C9"/>
    <w:rsid w:val="00A46504"/>
    <w:rsid w:val="00A5213F"/>
    <w:rsid w:val="00A53F00"/>
    <w:rsid w:val="00A620A7"/>
    <w:rsid w:val="00A803F8"/>
    <w:rsid w:val="00A839E2"/>
    <w:rsid w:val="00A96685"/>
    <w:rsid w:val="00AA282A"/>
    <w:rsid w:val="00AA5B59"/>
    <w:rsid w:val="00AA73A8"/>
    <w:rsid w:val="00AB7AAF"/>
    <w:rsid w:val="00AB7EE3"/>
    <w:rsid w:val="00AC06DB"/>
    <w:rsid w:val="00AC222B"/>
    <w:rsid w:val="00AC3C56"/>
    <w:rsid w:val="00AC4428"/>
    <w:rsid w:val="00AC64F7"/>
    <w:rsid w:val="00AD10E6"/>
    <w:rsid w:val="00AD1E63"/>
    <w:rsid w:val="00AD75B4"/>
    <w:rsid w:val="00AE2A93"/>
    <w:rsid w:val="00AE310E"/>
    <w:rsid w:val="00AF0CFA"/>
    <w:rsid w:val="00AF114D"/>
    <w:rsid w:val="00B05D64"/>
    <w:rsid w:val="00B12816"/>
    <w:rsid w:val="00B12A63"/>
    <w:rsid w:val="00B22BA0"/>
    <w:rsid w:val="00B30E23"/>
    <w:rsid w:val="00B42164"/>
    <w:rsid w:val="00B50FBA"/>
    <w:rsid w:val="00B51FA3"/>
    <w:rsid w:val="00B60833"/>
    <w:rsid w:val="00B629A8"/>
    <w:rsid w:val="00B67ECD"/>
    <w:rsid w:val="00B735C3"/>
    <w:rsid w:val="00B765DB"/>
    <w:rsid w:val="00B76EF9"/>
    <w:rsid w:val="00B960CE"/>
    <w:rsid w:val="00B96781"/>
    <w:rsid w:val="00BA1D5D"/>
    <w:rsid w:val="00BA6D77"/>
    <w:rsid w:val="00BB2066"/>
    <w:rsid w:val="00BB5370"/>
    <w:rsid w:val="00BB7A43"/>
    <w:rsid w:val="00BC1AED"/>
    <w:rsid w:val="00BC3031"/>
    <w:rsid w:val="00BC7093"/>
    <w:rsid w:val="00BC781A"/>
    <w:rsid w:val="00BD275F"/>
    <w:rsid w:val="00BD7B9A"/>
    <w:rsid w:val="00BE3A10"/>
    <w:rsid w:val="00BE4F6E"/>
    <w:rsid w:val="00C014D8"/>
    <w:rsid w:val="00C046BD"/>
    <w:rsid w:val="00C059DF"/>
    <w:rsid w:val="00C12890"/>
    <w:rsid w:val="00C12DE3"/>
    <w:rsid w:val="00C13265"/>
    <w:rsid w:val="00C144F5"/>
    <w:rsid w:val="00C24275"/>
    <w:rsid w:val="00C30909"/>
    <w:rsid w:val="00C319F4"/>
    <w:rsid w:val="00C35D5C"/>
    <w:rsid w:val="00C44682"/>
    <w:rsid w:val="00C45684"/>
    <w:rsid w:val="00C51BB4"/>
    <w:rsid w:val="00C54006"/>
    <w:rsid w:val="00C554CD"/>
    <w:rsid w:val="00C6774B"/>
    <w:rsid w:val="00C76654"/>
    <w:rsid w:val="00C84172"/>
    <w:rsid w:val="00C91CBB"/>
    <w:rsid w:val="00C93B61"/>
    <w:rsid w:val="00C95AC8"/>
    <w:rsid w:val="00C9675A"/>
    <w:rsid w:val="00C977A4"/>
    <w:rsid w:val="00C97D01"/>
    <w:rsid w:val="00CB29A6"/>
    <w:rsid w:val="00CB7ED0"/>
    <w:rsid w:val="00CC7493"/>
    <w:rsid w:val="00CD5F88"/>
    <w:rsid w:val="00D12652"/>
    <w:rsid w:val="00D1292E"/>
    <w:rsid w:val="00D14095"/>
    <w:rsid w:val="00D14718"/>
    <w:rsid w:val="00D1482F"/>
    <w:rsid w:val="00D1573C"/>
    <w:rsid w:val="00D17DF3"/>
    <w:rsid w:val="00D20186"/>
    <w:rsid w:val="00D2450D"/>
    <w:rsid w:val="00D41214"/>
    <w:rsid w:val="00D44F51"/>
    <w:rsid w:val="00D4535A"/>
    <w:rsid w:val="00D471F6"/>
    <w:rsid w:val="00D5064B"/>
    <w:rsid w:val="00D50C8C"/>
    <w:rsid w:val="00D52865"/>
    <w:rsid w:val="00D70859"/>
    <w:rsid w:val="00D7336D"/>
    <w:rsid w:val="00D814EF"/>
    <w:rsid w:val="00D86BBF"/>
    <w:rsid w:val="00D9077F"/>
    <w:rsid w:val="00D947C4"/>
    <w:rsid w:val="00D94B6D"/>
    <w:rsid w:val="00D974A3"/>
    <w:rsid w:val="00DA2067"/>
    <w:rsid w:val="00DA2195"/>
    <w:rsid w:val="00DA5C53"/>
    <w:rsid w:val="00DA7ADA"/>
    <w:rsid w:val="00DB1B7E"/>
    <w:rsid w:val="00DB39DF"/>
    <w:rsid w:val="00DB44D8"/>
    <w:rsid w:val="00DC3335"/>
    <w:rsid w:val="00DD1630"/>
    <w:rsid w:val="00DE3F78"/>
    <w:rsid w:val="00DE5743"/>
    <w:rsid w:val="00DE665A"/>
    <w:rsid w:val="00DF13DC"/>
    <w:rsid w:val="00DF14BA"/>
    <w:rsid w:val="00E02316"/>
    <w:rsid w:val="00E149FD"/>
    <w:rsid w:val="00E24286"/>
    <w:rsid w:val="00E279EC"/>
    <w:rsid w:val="00E306F6"/>
    <w:rsid w:val="00E33293"/>
    <w:rsid w:val="00E353B9"/>
    <w:rsid w:val="00E35D8B"/>
    <w:rsid w:val="00E35DE0"/>
    <w:rsid w:val="00E3607E"/>
    <w:rsid w:val="00E402F4"/>
    <w:rsid w:val="00E553BC"/>
    <w:rsid w:val="00E55BFD"/>
    <w:rsid w:val="00E5635A"/>
    <w:rsid w:val="00E60A9C"/>
    <w:rsid w:val="00E63BF3"/>
    <w:rsid w:val="00E6590B"/>
    <w:rsid w:val="00E65F7F"/>
    <w:rsid w:val="00E6617C"/>
    <w:rsid w:val="00E7035E"/>
    <w:rsid w:val="00E817CE"/>
    <w:rsid w:val="00E85D8E"/>
    <w:rsid w:val="00E921B3"/>
    <w:rsid w:val="00EB60BE"/>
    <w:rsid w:val="00EB75C8"/>
    <w:rsid w:val="00EC13B3"/>
    <w:rsid w:val="00EC2E56"/>
    <w:rsid w:val="00EC692B"/>
    <w:rsid w:val="00ED0F38"/>
    <w:rsid w:val="00ED2AD8"/>
    <w:rsid w:val="00ED5986"/>
    <w:rsid w:val="00ED7A46"/>
    <w:rsid w:val="00EE3BF2"/>
    <w:rsid w:val="00F13DF3"/>
    <w:rsid w:val="00F165AF"/>
    <w:rsid w:val="00F2081A"/>
    <w:rsid w:val="00F20D07"/>
    <w:rsid w:val="00F22F44"/>
    <w:rsid w:val="00F245EA"/>
    <w:rsid w:val="00F27441"/>
    <w:rsid w:val="00F277DA"/>
    <w:rsid w:val="00F312B8"/>
    <w:rsid w:val="00F32602"/>
    <w:rsid w:val="00F33907"/>
    <w:rsid w:val="00F409B9"/>
    <w:rsid w:val="00F5049B"/>
    <w:rsid w:val="00F5092F"/>
    <w:rsid w:val="00F66648"/>
    <w:rsid w:val="00F82D24"/>
    <w:rsid w:val="00F90A27"/>
    <w:rsid w:val="00F938A7"/>
    <w:rsid w:val="00FA0445"/>
    <w:rsid w:val="00FA0B21"/>
    <w:rsid w:val="00FB261A"/>
    <w:rsid w:val="00FB69E0"/>
    <w:rsid w:val="00FC26B5"/>
    <w:rsid w:val="00FE3C7B"/>
    <w:rsid w:val="00FE3DC1"/>
    <w:rsid w:val="00FE7B94"/>
    <w:rsid w:val="00FF0286"/>
    <w:rsid w:val="00FF5EC5"/>
    <w:rsid w:val="0103164E"/>
    <w:rsid w:val="01260E98"/>
    <w:rsid w:val="01284C10"/>
    <w:rsid w:val="01323CE1"/>
    <w:rsid w:val="013C246A"/>
    <w:rsid w:val="0147778C"/>
    <w:rsid w:val="01514167"/>
    <w:rsid w:val="015E4AD6"/>
    <w:rsid w:val="01655E65"/>
    <w:rsid w:val="01657C13"/>
    <w:rsid w:val="01763BCE"/>
    <w:rsid w:val="017716F4"/>
    <w:rsid w:val="01877B89"/>
    <w:rsid w:val="01934780"/>
    <w:rsid w:val="01944054"/>
    <w:rsid w:val="0194674A"/>
    <w:rsid w:val="01993D60"/>
    <w:rsid w:val="01A06E9D"/>
    <w:rsid w:val="01AA1AC9"/>
    <w:rsid w:val="01AC3A93"/>
    <w:rsid w:val="01B666C0"/>
    <w:rsid w:val="01BF37C7"/>
    <w:rsid w:val="01CF32DE"/>
    <w:rsid w:val="01D152A8"/>
    <w:rsid w:val="01D86637"/>
    <w:rsid w:val="01E46D89"/>
    <w:rsid w:val="01EC5C3E"/>
    <w:rsid w:val="01EE5E5A"/>
    <w:rsid w:val="01FD7E4B"/>
    <w:rsid w:val="02025461"/>
    <w:rsid w:val="020F7B7E"/>
    <w:rsid w:val="02160F0D"/>
    <w:rsid w:val="0216715F"/>
    <w:rsid w:val="02217FDE"/>
    <w:rsid w:val="02247ACE"/>
    <w:rsid w:val="02306473"/>
    <w:rsid w:val="02354ACF"/>
    <w:rsid w:val="023575E5"/>
    <w:rsid w:val="02557C87"/>
    <w:rsid w:val="02587777"/>
    <w:rsid w:val="026D3223"/>
    <w:rsid w:val="027520D7"/>
    <w:rsid w:val="02816CCE"/>
    <w:rsid w:val="028642E4"/>
    <w:rsid w:val="028E13EB"/>
    <w:rsid w:val="029116EB"/>
    <w:rsid w:val="029A7D90"/>
    <w:rsid w:val="02A66735"/>
    <w:rsid w:val="02AB3D4B"/>
    <w:rsid w:val="02B26E88"/>
    <w:rsid w:val="02B56978"/>
    <w:rsid w:val="02BA21E0"/>
    <w:rsid w:val="02C646E1"/>
    <w:rsid w:val="02C92423"/>
    <w:rsid w:val="02C941D1"/>
    <w:rsid w:val="02CD5A6F"/>
    <w:rsid w:val="02D768EE"/>
    <w:rsid w:val="02E1776D"/>
    <w:rsid w:val="02E334E5"/>
    <w:rsid w:val="02E35293"/>
    <w:rsid w:val="02EF1E8A"/>
    <w:rsid w:val="02F23728"/>
    <w:rsid w:val="02F56D74"/>
    <w:rsid w:val="02F72272"/>
    <w:rsid w:val="0301396B"/>
    <w:rsid w:val="03015719"/>
    <w:rsid w:val="03082F4B"/>
    <w:rsid w:val="030F42DA"/>
    <w:rsid w:val="03280EF8"/>
    <w:rsid w:val="032B6C3A"/>
    <w:rsid w:val="03343D40"/>
    <w:rsid w:val="03367AB9"/>
    <w:rsid w:val="03373831"/>
    <w:rsid w:val="03391357"/>
    <w:rsid w:val="033C0E47"/>
    <w:rsid w:val="033D74F4"/>
    <w:rsid w:val="034F748D"/>
    <w:rsid w:val="035A0975"/>
    <w:rsid w:val="035C6DF3"/>
    <w:rsid w:val="038D3451"/>
    <w:rsid w:val="039119BF"/>
    <w:rsid w:val="03914CEF"/>
    <w:rsid w:val="039447DF"/>
    <w:rsid w:val="03A964D5"/>
    <w:rsid w:val="03AA5DB1"/>
    <w:rsid w:val="03B1713F"/>
    <w:rsid w:val="03B629A7"/>
    <w:rsid w:val="03B80D1D"/>
    <w:rsid w:val="03C350C4"/>
    <w:rsid w:val="03C76963"/>
    <w:rsid w:val="03D177E1"/>
    <w:rsid w:val="03D746CC"/>
    <w:rsid w:val="03D80B70"/>
    <w:rsid w:val="03E72B61"/>
    <w:rsid w:val="03F31506"/>
    <w:rsid w:val="03F4702C"/>
    <w:rsid w:val="03F51722"/>
    <w:rsid w:val="03F82FC0"/>
    <w:rsid w:val="03FD2384"/>
    <w:rsid w:val="040000C7"/>
    <w:rsid w:val="04161698"/>
    <w:rsid w:val="04194CE4"/>
    <w:rsid w:val="041B6CAE"/>
    <w:rsid w:val="04223B99"/>
    <w:rsid w:val="042518DB"/>
    <w:rsid w:val="042A6EF2"/>
    <w:rsid w:val="04304E1A"/>
    <w:rsid w:val="0436211C"/>
    <w:rsid w:val="0442248D"/>
    <w:rsid w:val="044C1304"/>
    <w:rsid w:val="045231AA"/>
    <w:rsid w:val="04697A1A"/>
    <w:rsid w:val="046B19E4"/>
    <w:rsid w:val="047168CE"/>
    <w:rsid w:val="0476611F"/>
    <w:rsid w:val="04787C5D"/>
    <w:rsid w:val="047E366C"/>
    <w:rsid w:val="04912DFD"/>
    <w:rsid w:val="0495080F"/>
    <w:rsid w:val="049D3B67"/>
    <w:rsid w:val="049D76C3"/>
    <w:rsid w:val="04A46CA4"/>
    <w:rsid w:val="04BA2023"/>
    <w:rsid w:val="04C80BE4"/>
    <w:rsid w:val="04DC01EC"/>
    <w:rsid w:val="04DF5F2E"/>
    <w:rsid w:val="04E23328"/>
    <w:rsid w:val="04EA66E0"/>
    <w:rsid w:val="04F25C61"/>
    <w:rsid w:val="05045994"/>
    <w:rsid w:val="05054488"/>
    <w:rsid w:val="05143E2A"/>
    <w:rsid w:val="05171224"/>
    <w:rsid w:val="051E25B2"/>
    <w:rsid w:val="051F632A"/>
    <w:rsid w:val="052878D5"/>
    <w:rsid w:val="052D6190"/>
    <w:rsid w:val="053E0EA6"/>
    <w:rsid w:val="05432019"/>
    <w:rsid w:val="054B5371"/>
    <w:rsid w:val="054D2E98"/>
    <w:rsid w:val="054F6C10"/>
    <w:rsid w:val="055E6E53"/>
    <w:rsid w:val="0563397D"/>
    <w:rsid w:val="05687CD1"/>
    <w:rsid w:val="0575419C"/>
    <w:rsid w:val="05760640"/>
    <w:rsid w:val="05777F14"/>
    <w:rsid w:val="0580326D"/>
    <w:rsid w:val="05832D9D"/>
    <w:rsid w:val="058645FB"/>
    <w:rsid w:val="058D598A"/>
    <w:rsid w:val="05981372"/>
    <w:rsid w:val="05A3613A"/>
    <w:rsid w:val="05A5521C"/>
    <w:rsid w:val="05A607FA"/>
    <w:rsid w:val="05AC4062"/>
    <w:rsid w:val="05B11678"/>
    <w:rsid w:val="05B13426"/>
    <w:rsid w:val="05B44CC5"/>
    <w:rsid w:val="05C25634"/>
    <w:rsid w:val="05CC0260"/>
    <w:rsid w:val="05CD3FD8"/>
    <w:rsid w:val="05CF1AFF"/>
    <w:rsid w:val="05D215EF"/>
    <w:rsid w:val="05DE61E6"/>
    <w:rsid w:val="05E337FC"/>
    <w:rsid w:val="05E80E12"/>
    <w:rsid w:val="05EC5CFB"/>
    <w:rsid w:val="06035C4C"/>
    <w:rsid w:val="060C68AF"/>
    <w:rsid w:val="0616597F"/>
    <w:rsid w:val="061F2A86"/>
    <w:rsid w:val="0627193B"/>
    <w:rsid w:val="062C0CFF"/>
    <w:rsid w:val="062F259D"/>
    <w:rsid w:val="06367DD0"/>
    <w:rsid w:val="064424ED"/>
    <w:rsid w:val="06466482"/>
    <w:rsid w:val="06475B39"/>
    <w:rsid w:val="0659586C"/>
    <w:rsid w:val="06620BC5"/>
    <w:rsid w:val="06695AAF"/>
    <w:rsid w:val="066E57BB"/>
    <w:rsid w:val="0676641E"/>
    <w:rsid w:val="067F1777"/>
    <w:rsid w:val="068648B3"/>
    <w:rsid w:val="0687062B"/>
    <w:rsid w:val="068723D9"/>
    <w:rsid w:val="068C5C42"/>
    <w:rsid w:val="06913258"/>
    <w:rsid w:val="069A210C"/>
    <w:rsid w:val="069D39AB"/>
    <w:rsid w:val="069F0A21"/>
    <w:rsid w:val="06A20FC1"/>
    <w:rsid w:val="06A64F55"/>
    <w:rsid w:val="06B238FA"/>
    <w:rsid w:val="06B75444"/>
    <w:rsid w:val="06C74ECC"/>
    <w:rsid w:val="06CD1D5E"/>
    <w:rsid w:val="06E17D3B"/>
    <w:rsid w:val="06E635A4"/>
    <w:rsid w:val="06EB2968"/>
    <w:rsid w:val="06EC66E0"/>
    <w:rsid w:val="06F061D0"/>
    <w:rsid w:val="06F37A6F"/>
    <w:rsid w:val="06F86E33"/>
    <w:rsid w:val="070677A2"/>
    <w:rsid w:val="07100621"/>
    <w:rsid w:val="071D4AEC"/>
    <w:rsid w:val="071F6AB6"/>
    <w:rsid w:val="07230354"/>
    <w:rsid w:val="072440CC"/>
    <w:rsid w:val="072639A0"/>
    <w:rsid w:val="07300CC3"/>
    <w:rsid w:val="07481B68"/>
    <w:rsid w:val="074958E1"/>
    <w:rsid w:val="07591FC8"/>
    <w:rsid w:val="076369A2"/>
    <w:rsid w:val="076444C8"/>
    <w:rsid w:val="07660241"/>
    <w:rsid w:val="076F17EB"/>
    <w:rsid w:val="077741FC"/>
    <w:rsid w:val="07911761"/>
    <w:rsid w:val="07943000"/>
    <w:rsid w:val="07950B26"/>
    <w:rsid w:val="07A80859"/>
    <w:rsid w:val="07AF1BE8"/>
    <w:rsid w:val="07B70A9C"/>
    <w:rsid w:val="07B83524"/>
    <w:rsid w:val="07C1191B"/>
    <w:rsid w:val="07C3604B"/>
    <w:rsid w:val="07D23B28"/>
    <w:rsid w:val="07D72EEC"/>
    <w:rsid w:val="07DC0503"/>
    <w:rsid w:val="07E21FBD"/>
    <w:rsid w:val="07E6312F"/>
    <w:rsid w:val="07EC4BEA"/>
    <w:rsid w:val="07F41CF0"/>
    <w:rsid w:val="07F7358F"/>
    <w:rsid w:val="07F81CA6"/>
    <w:rsid w:val="07F92796"/>
    <w:rsid w:val="080C528C"/>
    <w:rsid w:val="080F2686"/>
    <w:rsid w:val="081128A2"/>
    <w:rsid w:val="0822060B"/>
    <w:rsid w:val="082712AB"/>
    <w:rsid w:val="08295563"/>
    <w:rsid w:val="082B7863"/>
    <w:rsid w:val="08316AA1"/>
    <w:rsid w:val="083B347B"/>
    <w:rsid w:val="08406CE4"/>
    <w:rsid w:val="0849203C"/>
    <w:rsid w:val="086230FE"/>
    <w:rsid w:val="0865499C"/>
    <w:rsid w:val="086724C2"/>
    <w:rsid w:val="086C1887"/>
    <w:rsid w:val="08763498"/>
    <w:rsid w:val="08803584"/>
    <w:rsid w:val="0889068B"/>
    <w:rsid w:val="08901A19"/>
    <w:rsid w:val="08966904"/>
    <w:rsid w:val="08AE00F1"/>
    <w:rsid w:val="08B03E69"/>
    <w:rsid w:val="08C61F81"/>
    <w:rsid w:val="08F31FA8"/>
    <w:rsid w:val="08F55D20"/>
    <w:rsid w:val="08FC70AE"/>
    <w:rsid w:val="090D6477"/>
    <w:rsid w:val="09287EA3"/>
    <w:rsid w:val="092B1742"/>
    <w:rsid w:val="092B34F0"/>
    <w:rsid w:val="092C7268"/>
    <w:rsid w:val="09322AD0"/>
    <w:rsid w:val="093F51ED"/>
    <w:rsid w:val="09420839"/>
    <w:rsid w:val="094445B2"/>
    <w:rsid w:val="094E3039"/>
    <w:rsid w:val="094E5430"/>
    <w:rsid w:val="095864DD"/>
    <w:rsid w:val="095A2027"/>
    <w:rsid w:val="095E38C5"/>
    <w:rsid w:val="09657E30"/>
    <w:rsid w:val="096E5A5F"/>
    <w:rsid w:val="097201A0"/>
    <w:rsid w:val="09722434"/>
    <w:rsid w:val="09772BD9"/>
    <w:rsid w:val="098470A4"/>
    <w:rsid w:val="09866978"/>
    <w:rsid w:val="09896468"/>
    <w:rsid w:val="098B0432"/>
    <w:rsid w:val="099C43EE"/>
    <w:rsid w:val="09AD65FB"/>
    <w:rsid w:val="09B039F5"/>
    <w:rsid w:val="09BE25B6"/>
    <w:rsid w:val="09CB082F"/>
    <w:rsid w:val="09D21BBD"/>
    <w:rsid w:val="0A1102E2"/>
    <w:rsid w:val="0A110938"/>
    <w:rsid w:val="0A193D10"/>
    <w:rsid w:val="0A2368BD"/>
    <w:rsid w:val="0A294AEF"/>
    <w:rsid w:val="0A386E7A"/>
    <w:rsid w:val="0A401985"/>
    <w:rsid w:val="0A42640F"/>
    <w:rsid w:val="0A426D43"/>
    <w:rsid w:val="0A434869"/>
    <w:rsid w:val="0A466107"/>
    <w:rsid w:val="0A4707FD"/>
    <w:rsid w:val="0A4E393A"/>
    <w:rsid w:val="0A5371A2"/>
    <w:rsid w:val="0A586566"/>
    <w:rsid w:val="0A5E78F5"/>
    <w:rsid w:val="0A682522"/>
    <w:rsid w:val="0A6A629A"/>
    <w:rsid w:val="0A6C0264"/>
    <w:rsid w:val="0A7B2255"/>
    <w:rsid w:val="0A8A693C"/>
    <w:rsid w:val="0A8C7FBE"/>
    <w:rsid w:val="0A8F5D00"/>
    <w:rsid w:val="0A956499"/>
    <w:rsid w:val="0AAD17C5"/>
    <w:rsid w:val="0AAE6186"/>
    <w:rsid w:val="0ABA0FCF"/>
    <w:rsid w:val="0AC92FC0"/>
    <w:rsid w:val="0AD16319"/>
    <w:rsid w:val="0AE95411"/>
    <w:rsid w:val="0AEA2F37"/>
    <w:rsid w:val="0AF52007"/>
    <w:rsid w:val="0AF53DB5"/>
    <w:rsid w:val="0AFA761E"/>
    <w:rsid w:val="0B0B35D9"/>
    <w:rsid w:val="0B0C10FF"/>
    <w:rsid w:val="0B1526A9"/>
    <w:rsid w:val="0B1D155E"/>
    <w:rsid w:val="0B2C354F"/>
    <w:rsid w:val="0B3A5C6C"/>
    <w:rsid w:val="0B3F14D4"/>
    <w:rsid w:val="0B41524D"/>
    <w:rsid w:val="0B462863"/>
    <w:rsid w:val="0B5A00BC"/>
    <w:rsid w:val="0B5C2086"/>
    <w:rsid w:val="0B640F3B"/>
    <w:rsid w:val="0B674587"/>
    <w:rsid w:val="0B6B22C9"/>
    <w:rsid w:val="0B7E6D40"/>
    <w:rsid w:val="0B957346"/>
    <w:rsid w:val="0B9E269F"/>
    <w:rsid w:val="0BA47589"/>
    <w:rsid w:val="0BA852CC"/>
    <w:rsid w:val="0BB53545"/>
    <w:rsid w:val="0BB579E9"/>
    <w:rsid w:val="0BB84DE3"/>
    <w:rsid w:val="0BC47C2C"/>
    <w:rsid w:val="0BC93734"/>
    <w:rsid w:val="0BD55995"/>
    <w:rsid w:val="0BD87233"/>
    <w:rsid w:val="0BDC31C7"/>
    <w:rsid w:val="0BE61950"/>
    <w:rsid w:val="0BE67BA2"/>
    <w:rsid w:val="0BEB340A"/>
    <w:rsid w:val="0BFA364D"/>
    <w:rsid w:val="0C0D15D3"/>
    <w:rsid w:val="0C152235"/>
    <w:rsid w:val="0C22507E"/>
    <w:rsid w:val="0C2C7CAB"/>
    <w:rsid w:val="0C3B16D4"/>
    <w:rsid w:val="0C4274CE"/>
    <w:rsid w:val="0C4C20FB"/>
    <w:rsid w:val="0C4D5E73"/>
    <w:rsid w:val="0C4F3999"/>
    <w:rsid w:val="0C507A26"/>
    <w:rsid w:val="0C590374"/>
    <w:rsid w:val="0C66480D"/>
    <w:rsid w:val="0C8A49D1"/>
    <w:rsid w:val="0C914370"/>
    <w:rsid w:val="0C9E222B"/>
    <w:rsid w:val="0CAF4438"/>
    <w:rsid w:val="0CB97065"/>
    <w:rsid w:val="0CBB2DDD"/>
    <w:rsid w:val="0CBF03AA"/>
    <w:rsid w:val="0CC53C5B"/>
    <w:rsid w:val="0CC91F69"/>
    <w:rsid w:val="0CE510AD"/>
    <w:rsid w:val="0D0227BA"/>
    <w:rsid w:val="0D074274"/>
    <w:rsid w:val="0D136775"/>
    <w:rsid w:val="0D1424ED"/>
    <w:rsid w:val="0D15073F"/>
    <w:rsid w:val="0D222E5C"/>
    <w:rsid w:val="0D38442D"/>
    <w:rsid w:val="0D49663A"/>
    <w:rsid w:val="0D4B23B2"/>
    <w:rsid w:val="0D531267"/>
    <w:rsid w:val="0D584ACF"/>
    <w:rsid w:val="0D5D20E6"/>
    <w:rsid w:val="0D643474"/>
    <w:rsid w:val="0D6B65B1"/>
    <w:rsid w:val="0D6C40D7"/>
    <w:rsid w:val="0D6E7E4F"/>
    <w:rsid w:val="0D7A4A46"/>
    <w:rsid w:val="0D847672"/>
    <w:rsid w:val="0D892EDB"/>
    <w:rsid w:val="0D927FE1"/>
    <w:rsid w:val="0D9E6986"/>
    <w:rsid w:val="0DA26F5D"/>
    <w:rsid w:val="0DA32390"/>
    <w:rsid w:val="0DC325BE"/>
    <w:rsid w:val="0DC9777B"/>
    <w:rsid w:val="0DCD2DC7"/>
    <w:rsid w:val="0DD33CB2"/>
    <w:rsid w:val="0DE16873"/>
    <w:rsid w:val="0DE3083D"/>
    <w:rsid w:val="0DE545B5"/>
    <w:rsid w:val="0DE95727"/>
    <w:rsid w:val="0DF447F8"/>
    <w:rsid w:val="0DF50570"/>
    <w:rsid w:val="0DF91E0E"/>
    <w:rsid w:val="0DFC18FF"/>
    <w:rsid w:val="0E0662D9"/>
    <w:rsid w:val="0E100F06"/>
    <w:rsid w:val="0E1F739B"/>
    <w:rsid w:val="0E26072A"/>
    <w:rsid w:val="0E4B63E2"/>
    <w:rsid w:val="0E574D87"/>
    <w:rsid w:val="0E6F3E7F"/>
    <w:rsid w:val="0E721BC1"/>
    <w:rsid w:val="0E792F4F"/>
    <w:rsid w:val="0E7D2A40"/>
    <w:rsid w:val="0E8042DE"/>
    <w:rsid w:val="0E83792A"/>
    <w:rsid w:val="0E8536A2"/>
    <w:rsid w:val="0E87741A"/>
    <w:rsid w:val="0E8813E4"/>
    <w:rsid w:val="0E9C4E5E"/>
    <w:rsid w:val="0EA224A6"/>
    <w:rsid w:val="0EA31D7A"/>
    <w:rsid w:val="0EA77ABC"/>
    <w:rsid w:val="0EB45D35"/>
    <w:rsid w:val="0EB61AAE"/>
    <w:rsid w:val="0EB977F0"/>
    <w:rsid w:val="0EC8358F"/>
    <w:rsid w:val="0EDB59B8"/>
    <w:rsid w:val="0EDE2DB2"/>
    <w:rsid w:val="0EE20AF5"/>
    <w:rsid w:val="0EEC3721"/>
    <w:rsid w:val="0EF80318"/>
    <w:rsid w:val="0F0C3DC3"/>
    <w:rsid w:val="0F0E0BAD"/>
    <w:rsid w:val="0F130CAE"/>
    <w:rsid w:val="0F1D38DB"/>
    <w:rsid w:val="0F1E7653"/>
    <w:rsid w:val="0F276507"/>
    <w:rsid w:val="0F2B20F7"/>
    <w:rsid w:val="0F2C7FC2"/>
    <w:rsid w:val="0F2E5AE8"/>
    <w:rsid w:val="0F2E7896"/>
    <w:rsid w:val="0F307991"/>
    <w:rsid w:val="0F3550C8"/>
    <w:rsid w:val="0F410AD8"/>
    <w:rsid w:val="0F4470B9"/>
    <w:rsid w:val="0F4F5A5E"/>
    <w:rsid w:val="0F5117D6"/>
    <w:rsid w:val="0F557518"/>
    <w:rsid w:val="0F692FC4"/>
    <w:rsid w:val="0F6C03BE"/>
    <w:rsid w:val="0F73799F"/>
    <w:rsid w:val="0F741087"/>
    <w:rsid w:val="0F824086"/>
    <w:rsid w:val="0F84395A"/>
    <w:rsid w:val="0F8751F8"/>
    <w:rsid w:val="0F947437"/>
    <w:rsid w:val="0F987405"/>
    <w:rsid w:val="0FA07948"/>
    <w:rsid w:val="0FA45DAA"/>
    <w:rsid w:val="0FA97864"/>
    <w:rsid w:val="0FB75ADD"/>
    <w:rsid w:val="0FBA381F"/>
    <w:rsid w:val="0FC226D4"/>
    <w:rsid w:val="0FC4644C"/>
    <w:rsid w:val="0FC93A62"/>
    <w:rsid w:val="0FCB77DB"/>
    <w:rsid w:val="0FD20B69"/>
    <w:rsid w:val="0FD3043D"/>
    <w:rsid w:val="0FEE34C9"/>
    <w:rsid w:val="0FF22FB9"/>
    <w:rsid w:val="0FF52AA9"/>
    <w:rsid w:val="0FFA1E6E"/>
    <w:rsid w:val="0FFC5BE6"/>
    <w:rsid w:val="100131FC"/>
    <w:rsid w:val="101A2510"/>
    <w:rsid w:val="101C0036"/>
    <w:rsid w:val="101F18D4"/>
    <w:rsid w:val="101F3682"/>
    <w:rsid w:val="102B2027"/>
    <w:rsid w:val="103E61FE"/>
    <w:rsid w:val="10435886"/>
    <w:rsid w:val="10451F91"/>
    <w:rsid w:val="104C32F3"/>
    <w:rsid w:val="10501A8E"/>
    <w:rsid w:val="10581217"/>
    <w:rsid w:val="1058777E"/>
    <w:rsid w:val="1066305F"/>
    <w:rsid w:val="10675755"/>
    <w:rsid w:val="10686DD7"/>
    <w:rsid w:val="106D0AB9"/>
    <w:rsid w:val="10741C20"/>
    <w:rsid w:val="10757746"/>
    <w:rsid w:val="107F4121"/>
    <w:rsid w:val="108D4A90"/>
    <w:rsid w:val="108F6A5A"/>
    <w:rsid w:val="109B53FF"/>
    <w:rsid w:val="109E6C9D"/>
    <w:rsid w:val="10A36062"/>
    <w:rsid w:val="10AD0C8E"/>
    <w:rsid w:val="10B22749"/>
    <w:rsid w:val="10BC5375"/>
    <w:rsid w:val="10BD35C7"/>
    <w:rsid w:val="10C2298C"/>
    <w:rsid w:val="10C77FA2"/>
    <w:rsid w:val="10CC55B8"/>
    <w:rsid w:val="10D40911"/>
    <w:rsid w:val="10E01064"/>
    <w:rsid w:val="10E723F2"/>
    <w:rsid w:val="11036B00"/>
    <w:rsid w:val="110814DB"/>
    <w:rsid w:val="11082369"/>
    <w:rsid w:val="11160F29"/>
    <w:rsid w:val="111927C8"/>
    <w:rsid w:val="111B209C"/>
    <w:rsid w:val="111D5E14"/>
    <w:rsid w:val="11203B56"/>
    <w:rsid w:val="11205904"/>
    <w:rsid w:val="112F5B47"/>
    <w:rsid w:val="113118BF"/>
    <w:rsid w:val="113D64B6"/>
    <w:rsid w:val="11407D54"/>
    <w:rsid w:val="114415F3"/>
    <w:rsid w:val="114C494B"/>
    <w:rsid w:val="114F61E9"/>
    <w:rsid w:val="11537A88"/>
    <w:rsid w:val="11551A52"/>
    <w:rsid w:val="115832F0"/>
    <w:rsid w:val="115A0E16"/>
    <w:rsid w:val="115B4B8E"/>
    <w:rsid w:val="11643A43"/>
    <w:rsid w:val="11691059"/>
    <w:rsid w:val="117A14B8"/>
    <w:rsid w:val="117D68B3"/>
    <w:rsid w:val="118440E5"/>
    <w:rsid w:val="118E6D12"/>
    <w:rsid w:val="119836EC"/>
    <w:rsid w:val="11BF6ECB"/>
    <w:rsid w:val="11CB1D14"/>
    <w:rsid w:val="11D16BFE"/>
    <w:rsid w:val="11E3705D"/>
    <w:rsid w:val="11E903EC"/>
    <w:rsid w:val="11F1104F"/>
    <w:rsid w:val="11F56D91"/>
    <w:rsid w:val="11F8062F"/>
    <w:rsid w:val="11FA43A7"/>
    <w:rsid w:val="12015736"/>
    <w:rsid w:val="120328B4"/>
    <w:rsid w:val="120C7C36"/>
    <w:rsid w:val="12152F8F"/>
    <w:rsid w:val="12257C8F"/>
    <w:rsid w:val="123C49C0"/>
    <w:rsid w:val="123D6042"/>
    <w:rsid w:val="123E4294"/>
    <w:rsid w:val="12435D4E"/>
    <w:rsid w:val="12445622"/>
    <w:rsid w:val="12463148"/>
    <w:rsid w:val="124949E7"/>
    <w:rsid w:val="124B4C03"/>
    <w:rsid w:val="124D097B"/>
    <w:rsid w:val="12525F91"/>
    <w:rsid w:val="12574906"/>
    <w:rsid w:val="125910CE"/>
    <w:rsid w:val="12655CC4"/>
    <w:rsid w:val="126C2F8C"/>
    <w:rsid w:val="127C4DBC"/>
    <w:rsid w:val="127E6D86"/>
    <w:rsid w:val="12816876"/>
    <w:rsid w:val="12865C3B"/>
    <w:rsid w:val="12891287"/>
    <w:rsid w:val="12902616"/>
    <w:rsid w:val="12906AB9"/>
    <w:rsid w:val="129465AA"/>
    <w:rsid w:val="12955E7E"/>
    <w:rsid w:val="12957C2C"/>
    <w:rsid w:val="129A3494"/>
    <w:rsid w:val="129E2F84"/>
    <w:rsid w:val="12A63A7D"/>
    <w:rsid w:val="12A83E03"/>
    <w:rsid w:val="12AC38F3"/>
    <w:rsid w:val="12AF0CEE"/>
    <w:rsid w:val="12B10F0A"/>
    <w:rsid w:val="12C81DAF"/>
    <w:rsid w:val="12C86253"/>
    <w:rsid w:val="12CA1FCB"/>
    <w:rsid w:val="12CF313E"/>
    <w:rsid w:val="12D06EB6"/>
    <w:rsid w:val="12D149BF"/>
    <w:rsid w:val="12D44BF8"/>
    <w:rsid w:val="12DB7D35"/>
    <w:rsid w:val="12DC3AAD"/>
    <w:rsid w:val="12F11306"/>
    <w:rsid w:val="1303728B"/>
    <w:rsid w:val="13086650"/>
    <w:rsid w:val="13141499"/>
    <w:rsid w:val="13223BB5"/>
    <w:rsid w:val="133438E9"/>
    <w:rsid w:val="13451652"/>
    <w:rsid w:val="13482EF0"/>
    <w:rsid w:val="1356560D"/>
    <w:rsid w:val="13675A6C"/>
    <w:rsid w:val="136F4921"/>
    <w:rsid w:val="137B1518"/>
    <w:rsid w:val="138403CC"/>
    <w:rsid w:val="138A175B"/>
    <w:rsid w:val="13A47BFE"/>
    <w:rsid w:val="13A66595"/>
    <w:rsid w:val="13A75E69"/>
    <w:rsid w:val="13B660AC"/>
    <w:rsid w:val="13BD568C"/>
    <w:rsid w:val="13C7475D"/>
    <w:rsid w:val="13CE33F5"/>
    <w:rsid w:val="13D24415"/>
    <w:rsid w:val="13DA7FEC"/>
    <w:rsid w:val="13E454B0"/>
    <w:rsid w:val="13E62E35"/>
    <w:rsid w:val="13E9022F"/>
    <w:rsid w:val="13F54E26"/>
    <w:rsid w:val="13FD1F2D"/>
    <w:rsid w:val="13FF5CA5"/>
    <w:rsid w:val="14027543"/>
    <w:rsid w:val="14072DAB"/>
    <w:rsid w:val="140B63F8"/>
    <w:rsid w:val="14101C60"/>
    <w:rsid w:val="14131750"/>
    <w:rsid w:val="141334FE"/>
    <w:rsid w:val="14172FEE"/>
    <w:rsid w:val="141D25CF"/>
    <w:rsid w:val="141D612B"/>
    <w:rsid w:val="141F6347"/>
    <w:rsid w:val="1422717A"/>
    <w:rsid w:val="14276FAA"/>
    <w:rsid w:val="14292626"/>
    <w:rsid w:val="14461BF1"/>
    <w:rsid w:val="144813FA"/>
    <w:rsid w:val="144B713C"/>
    <w:rsid w:val="14524026"/>
    <w:rsid w:val="1457163D"/>
    <w:rsid w:val="145853B5"/>
    <w:rsid w:val="14587163"/>
    <w:rsid w:val="145E0C1D"/>
    <w:rsid w:val="14636234"/>
    <w:rsid w:val="14665D24"/>
    <w:rsid w:val="146975C2"/>
    <w:rsid w:val="14755F67"/>
    <w:rsid w:val="147E306D"/>
    <w:rsid w:val="14847F58"/>
    <w:rsid w:val="14977C8B"/>
    <w:rsid w:val="14A10B0A"/>
    <w:rsid w:val="14AA3E63"/>
    <w:rsid w:val="14C111C1"/>
    <w:rsid w:val="14D26F15"/>
    <w:rsid w:val="14DC5FE6"/>
    <w:rsid w:val="14DE58BA"/>
    <w:rsid w:val="14E028EA"/>
    <w:rsid w:val="14FB2910"/>
    <w:rsid w:val="14FB646C"/>
    <w:rsid w:val="15001CD4"/>
    <w:rsid w:val="15003A82"/>
    <w:rsid w:val="15035321"/>
    <w:rsid w:val="15107A3E"/>
    <w:rsid w:val="15190FE8"/>
    <w:rsid w:val="151B6B0E"/>
    <w:rsid w:val="151F68ED"/>
    <w:rsid w:val="15211C4B"/>
    <w:rsid w:val="15233C15"/>
    <w:rsid w:val="152754B3"/>
    <w:rsid w:val="152A6D51"/>
    <w:rsid w:val="15327E39"/>
    <w:rsid w:val="153320AA"/>
    <w:rsid w:val="153B0F5F"/>
    <w:rsid w:val="153E0735"/>
    <w:rsid w:val="154611F2"/>
    <w:rsid w:val="1546345F"/>
    <w:rsid w:val="15485429"/>
    <w:rsid w:val="155618F4"/>
    <w:rsid w:val="156758B0"/>
    <w:rsid w:val="156A1844"/>
    <w:rsid w:val="156C736A"/>
    <w:rsid w:val="15744470"/>
    <w:rsid w:val="157B135B"/>
    <w:rsid w:val="157F52EF"/>
    <w:rsid w:val="158D108E"/>
    <w:rsid w:val="158F12AA"/>
    <w:rsid w:val="1594152E"/>
    <w:rsid w:val="15995C85"/>
    <w:rsid w:val="159E5049"/>
    <w:rsid w:val="15A07014"/>
    <w:rsid w:val="15A46B04"/>
    <w:rsid w:val="15B825AF"/>
    <w:rsid w:val="15B8435D"/>
    <w:rsid w:val="15C947BC"/>
    <w:rsid w:val="15CC605B"/>
    <w:rsid w:val="15E038B4"/>
    <w:rsid w:val="15E6711C"/>
    <w:rsid w:val="15E96C0C"/>
    <w:rsid w:val="15EE5FD1"/>
    <w:rsid w:val="16005D04"/>
    <w:rsid w:val="16007AB2"/>
    <w:rsid w:val="16135A37"/>
    <w:rsid w:val="161517B0"/>
    <w:rsid w:val="161F262E"/>
    <w:rsid w:val="162714E3"/>
    <w:rsid w:val="16443E43"/>
    <w:rsid w:val="164B3423"/>
    <w:rsid w:val="164C2CF7"/>
    <w:rsid w:val="165A3666"/>
    <w:rsid w:val="166167A3"/>
    <w:rsid w:val="1666025D"/>
    <w:rsid w:val="166C0546"/>
    <w:rsid w:val="166C5006"/>
    <w:rsid w:val="16781D3E"/>
    <w:rsid w:val="168D53BA"/>
    <w:rsid w:val="168E1562"/>
    <w:rsid w:val="169923E1"/>
    <w:rsid w:val="16A668AC"/>
    <w:rsid w:val="16A91EF8"/>
    <w:rsid w:val="16B03286"/>
    <w:rsid w:val="16B234A2"/>
    <w:rsid w:val="16BF796D"/>
    <w:rsid w:val="16C44F84"/>
    <w:rsid w:val="16C805D0"/>
    <w:rsid w:val="16C86822"/>
    <w:rsid w:val="16CD4552"/>
    <w:rsid w:val="16D52CED"/>
    <w:rsid w:val="16D922DD"/>
    <w:rsid w:val="16DA6555"/>
    <w:rsid w:val="16E86EC4"/>
    <w:rsid w:val="16EA2C3C"/>
    <w:rsid w:val="16F70EB5"/>
    <w:rsid w:val="16FA2753"/>
    <w:rsid w:val="16FE3FF2"/>
    <w:rsid w:val="16FF7D6A"/>
    <w:rsid w:val="1700420E"/>
    <w:rsid w:val="17035AAC"/>
    <w:rsid w:val="17047E69"/>
    <w:rsid w:val="1706559C"/>
    <w:rsid w:val="17092996"/>
    <w:rsid w:val="170B4961"/>
    <w:rsid w:val="17123F41"/>
    <w:rsid w:val="17147CB9"/>
    <w:rsid w:val="171657DF"/>
    <w:rsid w:val="17167936"/>
    <w:rsid w:val="17171557"/>
    <w:rsid w:val="17190E2C"/>
    <w:rsid w:val="172123D6"/>
    <w:rsid w:val="17255A22"/>
    <w:rsid w:val="17312619"/>
    <w:rsid w:val="17365E81"/>
    <w:rsid w:val="17377504"/>
    <w:rsid w:val="17435EA8"/>
    <w:rsid w:val="174560C4"/>
    <w:rsid w:val="174C6FD9"/>
    <w:rsid w:val="174D3976"/>
    <w:rsid w:val="174F484D"/>
    <w:rsid w:val="17575DF8"/>
    <w:rsid w:val="17606A5A"/>
    <w:rsid w:val="1779265B"/>
    <w:rsid w:val="1780534F"/>
    <w:rsid w:val="17872239"/>
    <w:rsid w:val="178C5AA1"/>
    <w:rsid w:val="179B3F36"/>
    <w:rsid w:val="179D1A5D"/>
    <w:rsid w:val="17A0154D"/>
    <w:rsid w:val="17A50911"/>
    <w:rsid w:val="17A80401"/>
    <w:rsid w:val="17AA4179"/>
    <w:rsid w:val="17AA4282"/>
    <w:rsid w:val="17AA5F28"/>
    <w:rsid w:val="17AD5A18"/>
    <w:rsid w:val="17B40B54"/>
    <w:rsid w:val="17C074F9"/>
    <w:rsid w:val="17D42D6A"/>
    <w:rsid w:val="17D80CE7"/>
    <w:rsid w:val="17DB0649"/>
    <w:rsid w:val="17E21D1B"/>
    <w:rsid w:val="17EB6C6C"/>
    <w:rsid w:val="17FE0021"/>
    <w:rsid w:val="18131D1F"/>
    <w:rsid w:val="18153CE9"/>
    <w:rsid w:val="181E2472"/>
    <w:rsid w:val="18226406"/>
    <w:rsid w:val="18277578"/>
    <w:rsid w:val="18300B23"/>
    <w:rsid w:val="183C74C7"/>
    <w:rsid w:val="183D0FF7"/>
    <w:rsid w:val="184641B5"/>
    <w:rsid w:val="18495740"/>
    <w:rsid w:val="185D2F9A"/>
    <w:rsid w:val="185F457F"/>
    <w:rsid w:val="185F6D12"/>
    <w:rsid w:val="186A059D"/>
    <w:rsid w:val="187466CD"/>
    <w:rsid w:val="187F1162"/>
    <w:rsid w:val="18826EA4"/>
    <w:rsid w:val="1888270D"/>
    <w:rsid w:val="1890511D"/>
    <w:rsid w:val="18910D52"/>
    <w:rsid w:val="189746FE"/>
    <w:rsid w:val="189A41EE"/>
    <w:rsid w:val="18A137CE"/>
    <w:rsid w:val="18B0756E"/>
    <w:rsid w:val="18BA4890"/>
    <w:rsid w:val="18BD1C8B"/>
    <w:rsid w:val="18C82B09"/>
    <w:rsid w:val="18CC6420"/>
    <w:rsid w:val="18E831AB"/>
    <w:rsid w:val="18E90CD1"/>
    <w:rsid w:val="18EE62E8"/>
    <w:rsid w:val="18F03E0E"/>
    <w:rsid w:val="19017DC9"/>
    <w:rsid w:val="190D2C12"/>
    <w:rsid w:val="190E24E6"/>
    <w:rsid w:val="19137AFC"/>
    <w:rsid w:val="191C4C03"/>
    <w:rsid w:val="192C753C"/>
    <w:rsid w:val="193C7053"/>
    <w:rsid w:val="1941239E"/>
    <w:rsid w:val="19445F08"/>
    <w:rsid w:val="19516FA3"/>
    <w:rsid w:val="195A572B"/>
    <w:rsid w:val="19636CD6"/>
    <w:rsid w:val="196F7429"/>
    <w:rsid w:val="197D7D98"/>
    <w:rsid w:val="19856C4C"/>
    <w:rsid w:val="19960E59"/>
    <w:rsid w:val="19A1335A"/>
    <w:rsid w:val="19A52E4A"/>
    <w:rsid w:val="19A616BA"/>
    <w:rsid w:val="19C05ED6"/>
    <w:rsid w:val="19C239FC"/>
    <w:rsid w:val="19D76D7C"/>
    <w:rsid w:val="19E171CE"/>
    <w:rsid w:val="19EC0A79"/>
    <w:rsid w:val="19F636A6"/>
    <w:rsid w:val="1A051160"/>
    <w:rsid w:val="1A0C4C78"/>
    <w:rsid w:val="1A136006"/>
    <w:rsid w:val="1A195569"/>
    <w:rsid w:val="1A3441CE"/>
    <w:rsid w:val="1A383CBF"/>
    <w:rsid w:val="1A3D3083"/>
    <w:rsid w:val="1A442663"/>
    <w:rsid w:val="1A4A39F2"/>
    <w:rsid w:val="1A530AF8"/>
    <w:rsid w:val="1A5B5BFF"/>
    <w:rsid w:val="1A646862"/>
    <w:rsid w:val="1A6525DA"/>
    <w:rsid w:val="1A69031C"/>
    <w:rsid w:val="1A7840BB"/>
    <w:rsid w:val="1A8213DE"/>
    <w:rsid w:val="1A89451A"/>
    <w:rsid w:val="1A98475D"/>
    <w:rsid w:val="1A9F3D3E"/>
    <w:rsid w:val="1A9F5AEC"/>
    <w:rsid w:val="1AA03612"/>
    <w:rsid w:val="1AA44EB0"/>
    <w:rsid w:val="1AA94BBC"/>
    <w:rsid w:val="1AAB26E2"/>
    <w:rsid w:val="1ABD41C4"/>
    <w:rsid w:val="1AD87250"/>
    <w:rsid w:val="1AF264E1"/>
    <w:rsid w:val="1AFA0F74"/>
    <w:rsid w:val="1AFC2F3E"/>
    <w:rsid w:val="1B040045"/>
    <w:rsid w:val="1B1738D4"/>
    <w:rsid w:val="1B245FF1"/>
    <w:rsid w:val="1B252495"/>
    <w:rsid w:val="1B2A7AAB"/>
    <w:rsid w:val="1B300E3A"/>
    <w:rsid w:val="1B302A67"/>
    <w:rsid w:val="1B302BE8"/>
    <w:rsid w:val="1B3501FE"/>
    <w:rsid w:val="1B414DF5"/>
    <w:rsid w:val="1B5E59A7"/>
    <w:rsid w:val="1B66485B"/>
    <w:rsid w:val="1B6F3710"/>
    <w:rsid w:val="1B7C5E2D"/>
    <w:rsid w:val="1B83540D"/>
    <w:rsid w:val="1B852F33"/>
    <w:rsid w:val="1B862808"/>
    <w:rsid w:val="1BA01B1B"/>
    <w:rsid w:val="1BA535D6"/>
    <w:rsid w:val="1BAA4748"/>
    <w:rsid w:val="1BAC6712"/>
    <w:rsid w:val="1BAD248A"/>
    <w:rsid w:val="1BC872C4"/>
    <w:rsid w:val="1BCE69F7"/>
    <w:rsid w:val="1BD96DDB"/>
    <w:rsid w:val="1BDD39C1"/>
    <w:rsid w:val="1BE4109B"/>
    <w:rsid w:val="1BEC2FB3"/>
    <w:rsid w:val="1BF105C9"/>
    <w:rsid w:val="1BF52034"/>
    <w:rsid w:val="1C0F0A4F"/>
    <w:rsid w:val="1C146065"/>
    <w:rsid w:val="1C2A3ADB"/>
    <w:rsid w:val="1C2C33AF"/>
    <w:rsid w:val="1C314E69"/>
    <w:rsid w:val="1C32126E"/>
    <w:rsid w:val="1C387FA6"/>
    <w:rsid w:val="1C4306F9"/>
    <w:rsid w:val="1C44694B"/>
    <w:rsid w:val="1C4A7CD9"/>
    <w:rsid w:val="1C4E1577"/>
    <w:rsid w:val="1C4E5A1B"/>
    <w:rsid w:val="1C537094"/>
    <w:rsid w:val="1C7134B8"/>
    <w:rsid w:val="1C790574"/>
    <w:rsid w:val="1C7F3E27"/>
    <w:rsid w:val="1C827473"/>
    <w:rsid w:val="1C84143D"/>
    <w:rsid w:val="1C8A6328"/>
    <w:rsid w:val="1C9F303C"/>
    <w:rsid w:val="1CA05B4B"/>
    <w:rsid w:val="1CB33AD0"/>
    <w:rsid w:val="1CB57848"/>
    <w:rsid w:val="1CBA09BB"/>
    <w:rsid w:val="1CD13F56"/>
    <w:rsid w:val="1CD242F4"/>
    <w:rsid w:val="1CD31A7D"/>
    <w:rsid w:val="1CD35F20"/>
    <w:rsid w:val="1CDE38B7"/>
    <w:rsid w:val="1CDF7587"/>
    <w:rsid w:val="1CEB14BC"/>
    <w:rsid w:val="1CF244A5"/>
    <w:rsid w:val="1CF77E61"/>
    <w:rsid w:val="1CF87735"/>
    <w:rsid w:val="1D0B56BA"/>
    <w:rsid w:val="1D0E0D07"/>
    <w:rsid w:val="1D104A7F"/>
    <w:rsid w:val="1D150CCF"/>
    <w:rsid w:val="1D24677C"/>
    <w:rsid w:val="1D352737"/>
    <w:rsid w:val="1D392227"/>
    <w:rsid w:val="1D41732E"/>
    <w:rsid w:val="1D484219"/>
    <w:rsid w:val="1D547061"/>
    <w:rsid w:val="1D5A03F0"/>
    <w:rsid w:val="1D792624"/>
    <w:rsid w:val="1D840FC9"/>
    <w:rsid w:val="1D85546D"/>
    <w:rsid w:val="1D8A2A83"/>
    <w:rsid w:val="1D8A4831"/>
    <w:rsid w:val="1D8D60CF"/>
    <w:rsid w:val="1D976F4E"/>
    <w:rsid w:val="1DAA4ED3"/>
    <w:rsid w:val="1DAC3F9F"/>
    <w:rsid w:val="1DB95116"/>
    <w:rsid w:val="1DCF66E8"/>
    <w:rsid w:val="1DD2442A"/>
    <w:rsid w:val="1DDC7057"/>
    <w:rsid w:val="1DE33F41"/>
    <w:rsid w:val="1DF443A0"/>
    <w:rsid w:val="1DF919B7"/>
    <w:rsid w:val="1DFE521F"/>
    <w:rsid w:val="1E0740D4"/>
    <w:rsid w:val="1E0839A8"/>
    <w:rsid w:val="1E1E141D"/>
    <w:rsid w:val="1E2307E2"/>
    <w:rsid w:val="1E2A6014"/>
    <w:rsid w:val="1E2A7DC2"/>
    <w:rsid w:val="1E2C7696"/>
    <w:rsid w:val="1E2F7187"/>
    <w:rsid w:val="1E3649B9"/>
    <w:rsid w:val="1E450758"/>
    <w:rsid w:val="1E544E3F"/>
    <w:rsid w:val="1E676920"/>
    <w:rsid w:val="1E6A4663"/>
    <w:rsid w:val="1E764DB5"/>
    <w:rsid w:val="1E7D6144"/>
    <w:rsid w:val="1E8B1950"/>
    <w:rsid w:val="1E8F5E77"/>
    <w:rsid w:val="1E9A4F48"/>
    <w:rsid w:val="1E9F430C"/>
    <w:rsid w:val="1EBA1146"/>
    <w:rsid w:val="1EBA7398"/>
    <w:rsid w:val="1EC41FC5"/>
    <w:rsid w:val="1ECB5101"/>
    <w:rsid w:val="1ECC2C27"/>
    <w:rsid w:val="1ED32208"/>
    <w:rsid w:val="1ED33FB6"/>
    <w:rsid w:val="1ED61CF8"/>
    <w:rsid w:val="1EE81578"/>
    <w:rsid w:val="1EF06916"/>
    <w:rsid w:val="1EF53F2C"/>
    <w:rsid w:val="1EFF4DAB"/>
    <w:rsid w:val="1F0D396C"/>
    <w:rsid w:val="1F196F16"/>
    <w:rsid w:val="1F1A1BE5"/>
    <w:rsid w:val="1F282554"/>
    <w:rsid w:val="1F29007A"/>
    <w:rsid w:val="1F2E5690"/>
    <w:rsid w:val="1F3E1D77"/>
    <w:rsid w:val="1F4629DA"/>
    <w:rsid w:val="1F4657BB"/>
    <w:rsid w:val="1F62533A"/>
    <w:rsid w:val="1F7312F5"/>
    <w:rsid w:val="1F75506D"/>
    <w:rsid w:val="1F7E6617"/>
    <w:rsid w:val="1F7F7C01"/>
    <w:rsid w:val="1F7F7C9A"/>
    <w:rsid w:val="1F817EB6"/>
    <w:rsid w:val="1F841754"/>
    <w:rsid w:val="1F861028"/>
    <w:rsid w:val="1F925C1F"/>
    <w:rsid w:val="1F94670F"/>
    <w:rsid w:val="1F95570F"/>
    <w:rsid w:val="1F9D6372"/>
    <w:rsid w:val="1FA15E62"/>
    <w:rsid w:val="1FA31BDA"/>
    <w:rsid w:val="1FA85442"/>
    <w:rsid w:val="1FAC3F84"/>
    <w:rsid w:val="1FAF67D1"/>
    <w:rsid w:val="1FBA6F24"/>
    <w:rsid w:val="1FC102B2"/>
    <w:rsid w:val="1FC63B1B"/>
    <w:rsid w:val="1FC85AE5"/>
    <w:rsid w:val="1FCB2EDF"/>
    <w:rsid w:val="1FD75D28"/>
    <w:rsid w:val="1FD81D36"/>
    <w:rsid w:val="1FDB6440"/>
    <w:rsid w:val="1FDE2C12"/>
    <w:rsid w:val="1FE02E2E"/>
    <w:rsid w:val="1FE43FA1"/>
    <w:rsid w:val="1FE87F35"/>
    <w:rsid w:val="1FF16DE9"/>
    <w:rsid w:val="1FF64400"/>
    <w:rsid w:val="20052895"/>
    <w:rsid w:val="20062169"/>
    <w:rsid w:val="20104D96"/>
    <w:rsid w:val="20174376"/>
    <w:rsid w:val="20213D83"/>
    <w:rsid w:val="202D3B9A"/>
    <w:rsid w:val="202F7912"/>
    <w:rsid w:val="20346CD6"/>
    <w:rsid w:val="204A02A8"/>
    <w:rsid w:val="204A64FA"/>
    <w:rsid w:val="204F1D62"/>
    <w:rsid w:val="206770AC"/>
    <w:rsid w:val="20686980"/>
    <w:rsid w:val="20743577"/>
    <w:rsid w:val="20796DDF"/>
    <w:rsid w:val="207D242B"/>
    <w:rsid w:val="2080016D"/>
    <w:rsid w:val="20857532"/>
    <w:rsid w:val="2091237A"/>
    <w:rsid w:val="20915ED7"/>
    <w:rsid w:val="20931C4F"/>
    <w:rsid w:val="20992FDD"/>
    <w:rsid w:val="20A51982"/>
    <w:rsid w:val="20B35E4D"/>
    <w:rsid w:val="20B65FAF"/>
    <w:rsid w:val="20B9542D"/>
    <w:rsid w:val="20C20786"/>
    <w:rsid w:val="20C22534"/>
    <w:rsid w:val="20C75D9C"/>
    <w:rsid w:val="20D14525"/>
    <w:rsid w:val="20D364EF"/>
    <w:rsid w:val="20D504B9"/>
    <w:rsid w:val="20D54C77"/>
    <w:rsid w:val="20E34258"/>
    <w:rsid w:val="20E73D48"/>
    <w:rsid w:val="20FF1092"/>
    <w:rsid w:val="21022930"/>
    <w:rsid w:val="21026DD4"/>
    <w:rsid w:val="210B3EDB"/>
    <w:rsid w:val="2119509B"/>
    <w:rsid w:val="211A2370"/>
    <w:rsid w:val="21262AC3"/>
    <w:rsid w:val="212D20A3"/>
    <w:rsid w:val="21352D06"/>
    <w:rsid w:val="213C22E6"/>
    <w:rsid w:val="21411A17"/>
    <w:rsid w:val="215869F4"/>
    <w:rsid w:val="215A451A"/>
    <w:rsid w:val="215C4736"/>
    <w:rsid w:val="21611D4D"/>
    <w:rsid w:val="216E6218"/>
    <w:rsid w:val="217A2E0F"/>
    <w:rsid w:val="21815F4B"/>
    <w:rsid w:val="21893052"/>
    <w:rsid w:val="219519F6"/>
    <w:rsid w:val="219A7B12"/>
    <w:rsid w:val="219C0FD7"/>
    <w:rsid w:val="21A25EC1"/>
    <w:rsid w:val="21A874E8"/>
    <w:rsid w:val="21AA36F4"/>
    <w:rsid w:val="21AB746C"/>
    <w:rsid w:val="21AD4F92"/>
    <w:rsid w:val="21AD6D40"/>
    <w:rsid w:val="21B52099"/>
    <w:rsid w:val="21B57365"/>
    <w:rsid w:val="21BA320B"/>
    <w:rsid w:val="21C83B7A"/>
    <w:rsid w:val="21C85928"/>
    <w:rsid w:val="21D0396A"/>
    <w:rsid w:val="21D342CD"/>
    <w:rsid w:val="21D40771"/>
    <w:rsid w:val="21D818E3"/>
    <w:rsid w:val="21E604A4"/>
    <w:rsid w:val="21EA7F94"/>
    <w:rsid w:val="21FA5CFD"/>
    <w:rsid w:val="22013E98"/>
    <w:rsid w:val="2201708C"/>
    <w:rsid w:val="22145011"/>
    <w:rsid w:val="22192627"/>
    <w:rsid w:val="2221328A"/>
    <w:rsid w:val="22252D7A"/>
    <w:rsid w:val="222608A0"/>
    <w:rsid w:val="222A0391"/>
    <w:rsid w:val="222F3BF9"/>
    <w:rsid w:val="22317971"/>
    <w:rsid w:val="22394A78"/>
    <w:rsid w:val="224A458F"/>
    <w:rsid w:val="224B0307"/>
    <w:rsid w:val="2250591D"/>
    <w:rsid w:val="225B49EE"/>
    <w:rsid w:val="225E003A"/>
    <w:rsid w:val="22631AF5"/>
    <w:rsid w:val="2288155B"/>
    <w:rsid w:val="228A0E2F"/>
    <w:rsid w:val="228D26CE"/>
    <w:rsid w:val="2294689A"/>
    <w:rsid w:val="229B4DEB"/>
    <w:rsid w:val="22B365D8"/>
    <w:rsid w:val="22C00CF5"/>
    <w:rsid w:val="22C205C9"/>
    <w:rsid w:val="22D327D6"/>
    <w:rsid w:val="22D62B80"/>
    <w:rsid w:val="22D95913"/>
    <w:rsid w:val="22E26EBD"/>
    <w:rsid w:val="22E83DA8"/>
    <w:rsid w:val="22F8413B"/>
    <w:rsid w:val="230010F2"/>
    <w:rsid w:val="23005595"/>
    <w:rsid w:val="23072480"/>
    <w:rsid w:val="230A01C2"/>
    <w:rsid w:val="231150AD"/>
    <w:rsid w:val="23144B9D"/>
    <w:rsid w:val="2329689A"/>
    <w:rsid w:val="232C662D"/>
    <w:rsid w:val="233A2855"/>
    <w:rsid w:val="23515DF1"/>
    <w:rsid w:val="23531B69"/>
    <w:rsid w:val="23533917"/>
    <w:rsid w:val="23597700"/>
    <w:rsid w:val="235A6A54"/>
    <w:rsid w:val="235C6C70"/>
    <w:rsid w:val="23621DAC"/>
    <w:rsid w:val="23627FFE"/>
    <w:rsid w:val="23675615"/>
    <w:rsid w:val="236E69A3"/>
    <w:rsid w:val="23720241"/>
    <w:rsid w:val="23775858"/>
    <w:rsid w:val="237A70F6"/>
    <w:rsid w:val="23922691"/>
    <w:rsid w:val="23A01F03"/>
    <w:rsid w:val="23B56380"/>
    <w:rsid w:val="23CE2F9E"/>
    <w:rsid w:val="23D031BA"/>
    <w:rsid w:val="23D5257E"/>
    <w:rsid w:val="23DA5DE6"/>
    <w:rsid w:val="23EB1DA2"/>
    <w:rsid w:val="23F24EDE"/>
    <w:rsid w:val="23FA1FE5"/>
    <w:rsid w:val="23FE1AD5"/>
    <w:rsid w:val="23FF75FB"/>
    <w:rsid w:val="24256E71"/>
    <w:rsid w:val="24264B88"/>
    <w:rsid w:val="24343749"/>
    <w:rsid w:val="24390D5F"/>
    <w:rsid w:val="243F3E9B"/>
    <w:rsid w:val="246F4781"/>
    <w:rsid w:val="24727DCD"/>
    <w:rsid w:val="24747FE9"/>
    <w:rsid w:val="248B0E8F"/>
    <w:rsid w:val="248C5333"/>
    <w:rsid w:val="248F6BD1"/>
    <w:rsid w:val="249064A5"/>
    <w:rsid w:val="24912949"/>
    <w:rsid w:val="24921147"/>
    <w:rsid w:val="24A3442A"/>
    <w:rsid w:val="24BA7E5E"/>
    <w:rsid w:val="24C90335"/>
    <w:rsid w:val="24CE594B"/>
    <w:rsid w:val="24D40A88"/>
    <w:rsid w:val="24D942F0"/>
    <w:rsid w:val="24EE1B49"/>
    <w:rsid w:val="24EF675B"/>
    <w:rsid w:val="24F1163A"/>
    <w:rsid w:val="24FD7FDE"/>
    <w:rsid w:val="250273A3"/>
    <w:rsid w:val="25085E72"/>
    <w:rsid w:val="251175E6"/>
    <w:rsid w:val="25186BC6"/>
    <w:rsid w:val="251B0465"/>
    <w:rsid w:val="251D41DD"/>
    <w:rsid w:val="251D5F8B"/>
    <w:rsid w:val="25203CCD"/>
    <w:rsid w:val="2532623E"/>
    <w:rsid w:val="25382DC5"/>
    <w:rsid w:val="25470A19"/>
    <w:rsid w:val="254E4396"/>
    <w:rsid w:val="25537BFE"/>
    <w:rsid w:val="255D0A7D"/>
    <w:rsid w:val="256040C9"/>
    <w:rsid w:val="256C6F12"/>
    <w:rsid w:val="256E67E6"/>
    <w:rsid w:val="25715FF2"/>
    <w:rsid w:val="25781413"/>
    <w:rsid w:val="257F6C45"/>
    <w:rsid w:val="258E6E89"/>
    <w:rsid w:val="25A20B86"/>
    <w:rsid w:val="25A4045A"/>
    <w:rsid w:val="25B05051"/>
    <w:rsid w:val="25B763DF"/>
    <w:rsid w:val="25B82157"/>
    <w:rsid w:val="25B8407E"/>
    <w:rsid w:val="25BD32CA"/>
    <w:rsid w:val="25D732AA"/>
    <w:rsid w:val="25DD396C"/>
    <w:rsid w:val="25E22D30"/>
    <w:rsid w:val="25E371D4"/>
    <w:rsid w:val="25E51F29"/>
    <w:rsid w:val="25E66CC5"/>
    <w:rsid w:val="25E82A3D"/>
    <w:rsid w:val="25EB42DB"/>
    <w:rsid w:val="25F25669"/>
    <w:rsid w:val="25F969F8"/>
    <w:rsid w:val="25FF7D86"/>
    <w:rsid w:val="26031625"/>
    <w:rsid w:val="26086C3B"/>
    <w:rsid w:val="261455E0"/>
    <w:rsid w:val="261C684A"/>
    <w:rsid w:val="26215F4F"/>
    <w:rsid w:val="262A4B11"/>
    <w:rsid w:val="264B4300"/>
    <w:rsid w:val="265956E8"/>
    <w:rsid w:val="265A320F"/>
    <w:rsid w:val="26630315"/>
    <w:rsid w:val="266B71CA"/>
    <w:rsid w:val="266D4CF0"/>
    <w:rsid w:val="267E514F"/>
    <w:rsid w:val="26864004"/>
    <w:rsid w:val="268A0303"/>
    <w:rsid w:val="269229A8"/>
    <w:rsid w:val="26AC3A6A"/>
    <w:rsid w:val="26B24DF9"/>
    <w:rsid w:val="26B97F35"/>
    <w:rsid w:val="26BC17D3"/>
    <w:rsid w:val="26D62895"/>
    <w:rsid w:val="26D905D7"/>
    <w:rsid w:val="26DA1973"/>
    <w:rsid w:val="26DE5BEE"/>
    <w:rsid w:val="26E1123A"/>
    <w:rsid w:val="26E21AF1"/>
    <w:rsid w:val="26FD42C6"/>
    <w:rsid w:val="270A253F"/>
    <w:rsid w:val="27385F8E"/>
    <w:rsid w:val="275A1718"/>
    <w:rsid w:val="276854B7"/>
    <w:rsid w:val="27750300"/>
    <w:rsid w:val="27822A1D"/>
    <w:rsid w:val="27870033"/>
    <w:rsid w:val="278B7E3F"/>
    <w:rsid w:val="27910EB2"/>
    <w:rsid w:val="2791110F"/>
    <w:rsid w:val="27932534"/>
    <w:rsid w:val="27962024"/>
    <w:rsid w:val="27982240"/>
    <w:rsid w:val="27983FEE"/>
    <w:rsid w:val="27985D9D"/>
    <w:rsid w:val="279B763B"/>
    <w:rsid w:val="27AF30E6"/>
    <w:rsid w:val="27B5694E"/>
    <w:rsid w:val="27BF77CD"/>
    <w:rsid w:val="27C44DE4"/>
    <w:rsid w:val="27D019DA"/>
    <w:rsid w:val="27D05536"/>
    <w:rsid w:val="27D25752"/>
    <w:rsid w:val="27D668C5"/>
    <w:rsid w:val="27D72D69"/>
    <w:rsid w:val="27D942D0"/>
    <w:rsid w:val="27E92A9C"/>
    <w:rsid w:val="27F356C9"/>
    <w:rsid w:val="27F82CDF"/>
    <w:rsid w:val="280671AA"/>
    <w:rsid w:val="28072F22"/>
    <w:rsid w:val="28096C9A"/>
    <w:rsid w:val="280E2503"/>
    <w:rsid w:val="2815563F"/>
    <w:rsid w:val="281A4A03"/>
    <w:rsid w:val="2826784C"/>
    <w:rsid w:val="282910EA"/>
    <w:rsid w:val="28292E99"/>
    <w:rsid w:val="282B6C11"/>
    <w:rsid w:val="28333D17"/>
    <w:rsid w:val="28335AC5"/>
    <w:rsid w:val="2838132E"/>
    <w:rsid w:val="283905AF"/>
    <w:rsid w:val="283F7D2F"/>
    <w:rsid w:val="28447CD2"/>
    <w:rsid w:val="2849353B"/>
    <w:rsid w:val="284B1061"/>
    <w:rsid w:val="2869714F"/>
    <w:rsid w:val="286B1703"/>
    <w:rsid w:val="2874680A"/>
    <w:rsid w:val="28884063"/>
    <w:rsid w:val="289447B6"/>
    <w:rsid w:val="289A78F2"/>
    <w:rsid w:val="289C366A"/>
    <w:rsid w:val="28AA222B"/>
    <w:rsid w:val="28B60BD0"/>
    <w:rsid w:val="28B906C0"/>
    <w:rsid w:val="28CB3F50"/>
    <w:rsid w:val="28F11C08"/>
    <w:rsid w:val="28FC235B"/>
    <w:rsid w:val="291160AF"/>
    <w:rsid w:val="2919115F"/>
    <w:rsid w:val="292A511A"/>
    <w:rsid w:val="292A6EC8"/>
    <w:rsid w:val="29385A89"/>
    <w:rsid w:val="293D0E67"/>
    <w:rsid w:val="293D309F"/>
    <w:rsid w:val="29543F45"/>
    <w:rsid w:val="29581C87"/>
    <w:rsid w:val="295E6B72"/>
    <w:rsid w:val="29675768"/>
    <w:rsid w:val="29695C42"/>
    <w:rsid w:val="296E14AB"/>
    <w:rsid w:val="29746395"/>
    <w:rsid w:val="29752839"/>
    <w:rsid w:val="29763EBB"/>
    <w:rsid w:val="297E0FC2"/>
    <w:rsid w:val="298A3E0B"/>
    <w:rsid w:val="29974798"/>
    <w:rsid w:val="29986528"/>
    <w:rsid w:val="299A404E"/>
    <w:rsid w:val="299D3B3E"/>
    <w:rsid w:val="29A273A6"/>
    <w:rsid w:val="29A9603F"/>
    <w:rsid w:val="29AC3D81"/>
    <w:rsid w:val="29B449E4"/>
    <w:rsid w:val="29B669AE"/>
    <w:rsid w:val="29B86751"/>
    <w:rsid w:val="29BD1AEA"/>
    <w:rsid w:val="29C410CB"/>
    <w:rsid w:val="29CC4423"/>
    <w:rsid w:val="29D05CC2"/>
    <w:rsid w:val="29D11A3A"/>
    <w:rsid w:val="29DA6B40"/>
    <w:rsid w:val="29E4351B"/>
    <w:rsid w:val="29E67293"/>
    <w:rsid w:val="29EC0622"/>
    <w:rsid w:val="29F16C1E"/>
    <w:rsid w:val="29F51284"/>
    <w:rsid w:val="29FC6AB7"/>
    <w:rsid w:val="2A010B48"/>
    <w:rsid w:val="2A027E45"/>
    <w:rsid w:val="2A0B0611"/>
    <w:rsid w:val="2A1262DA"/>
    <w:rsid w:val="2A246B9F"/>
    <w:rsid w:val="2A247DBB"/>
    <w:rsid w:val="2A257690"/>
    <w:rsid w:val="2A263B34"/>
    <w:rsid w:val="2A2B114A"/>
    <w:rsid w:val="2A2E29E8"/>
    <w:rsid w:val="2A355B25"/>
    <w:rsid w:val="2A391AB9"/>
    <w:rsid w:val="2A3F4BF5"/>
    <w:rsid w:val="2A426494"/>
    <w:rsid w:val="2A4915D0"/>
    <w:rsid w:val="2A557F75"/>
    <w:rsid w:val="2A571F3F"/>
    <w:rsid w:val="2A5E151F"/>
    <w:rsid w:val="2A614B6C"/>
    <w:rsid w:val="2A691C72"/>
    <w:rsid w:val="2A6E1037"/>
    <w:rsid w:val="2A720B27"/>
    <w:rsid w:val="2A750617"/>
    <w:rsid w:val="2A8B69DB"/>
    <w:rsid w:val="2A8FE887"/>
    <w:rsid w:val="2A992557"/>
    <w:rsid w:val="2A9A28C1"/>
    <w:rsid w:val="2A9F7442"/>
    <w:rsid w:val="2AA35184"/>
    <w:rsid w:val="2AA66A22"/>
    <w:rsid w:val="2AA8279A"/>
    <w:rsid w:val="2AB253C7"/>
    <w:rsid w:val="2AB54EB7"/>
    <w:rsid w:val="2AB949A8"/>
    <w:rsid w:val="2AB96756"/>
    <w:rsid w:val="2ABA24CE"/>
    <w:rsid w:val="2ABC1F06"/>
    <w:rsid w:val="2AC1385C"/>
    <w:rsid w:val="2AC24A4E"/>
    <w:rsid w:val="2AC33130"/>
    <w:rsid w:val="2ACD3758"/>
    <w:rsid w:val="2ACF5F79"/>
    <w:rsid w:val="2AE17A5A"/>
    <w:rsid w:val="2AE65071"/>
    <w:rsid w:val="2AEF3A6B"/>
    <w:rsid w:val="2AFC4894"/>
    <w:rsid w:val="2B004385"/>
    <w:rsid w:val="2B0100FD"/>
    <w:rsid w:val="2B0759B7"/>
    <w:rsid w:val="2B0E481E"/>
    <w:rsid w:val="2B125E66"/>
    <w:rsid w:val="2B147E30"/>
    <w:rsid w:val="2B193698"/>
    <w:rsid w:val="2B2B6F28"/>
    <w:rsid w:val="2B342280"/>
    <w:rsid w:val="2B367DA6"/>
    <w:rsid w:val="2B395AE8"/>
    <w:rsid w:val="2B3B360F"/>
    <w:rsid w:val="2B3B716B"/>
    <w:rsid w:val="2B3C1135"/>
    <w:rsid w:val="2B3E4EAD"/>
    <w:rsid w:val="2B4A1AA4"/>
    <w:rsid w:val="2B4C75CA"/>
    <w:rsid w:val="2B514BE0"/>
    <w:rsid w:val="2B620B9B"/>
    <w:rsid w:val="2B6E5792"/>
    <w:rsid w:val="2B6F32B8"/>
    <w:rsid w:val="2B861A47"/>
    <w:rsid w:val="2B8C5C18"/>
    <w:rsid w:val="2B9176D3"/>
    <w:rsid w:val="2B9729CB"/>
    <w:rsid w:val="2B97636B"/>
    <w:rsid w:val="2B98535A"/>
    <w:rsid w:val="2B996587"/>
    <w:rsid w:val="2B9D7E25"/>
    <w:rsid w:val="2BAE77C2"/>
    <w:rsid w:val="2BB331A5"/>
    <w:rsid w:val="2BDD0222"/>
    <w:rsid w:val="2BDE7D31"/>
    <w:rsid w:val="2BF65788"/>
    <w:rsid w:val="2BFD08C4"/>
    <w:rsid w:val="2BFF4499"/>
    <w:rsid w:val="2C041C52"/>
    <w:rsid w:val="2C047EA4"/>
    <w:rsid w:val="2C0B2FE1"/>
    <w:rsid w:val="2C0E487F"/>
    <w:rsid w:val="2C106849"/>
    <w:rsid w:val="2C163E61"/>
    <w:rsid w:val="2C183950"/>
    <w:rsid w:val="2C1A76C8"/>
    <w:rsid w:val="2C1D0F66"/>
    <w:rsid w:val="2C2045B2"/>
    <w:rsid w:val="2C22657D"/>
    <w:rsid w:val="2C2534C9"/>
    <w:rsid w:val="2C275941"/>
    <w:rsid w:val="2C29790B"/>
    <w:rsid w:val="2C2E0A7D"/>
    <w:rsid w:val="2C2E4F21"/>
    <w:rsid w:val="2C385DA0"/>
    <w:rsid w:val="2C3F712F"/>
    <w:rsid w:val="2C477D91"/>
    <w:rsid w:val="2C4E2B62"/>
    <w:rsid w:val="2C4E7372"/>
    <w:rsid w:val="2C701096"/>
    <w:rsid w:val="2C7072E8"/>
    <w:rsid w:val="2C772424"/>
    <w:rsid w:val="2C7768C8"/>
    <w:rsid w:val="2C882884"/>
    <w:rsid w:val="2C8E3C12"/>
    <w:rsid w:val="2C8E59C0"/>
    <w:rsid w:val="2C8E776E"/>
    <w:rsid w:val="2C9C1E8B"/>
    <w:rsid w:val="2C9F7BCD"/>
    <w:rsid w:val="2CA84CD4"/>
    <w:rsid w:val="2CAD22EA"/>
    <w:rsid w:val="2CB2345D"/>
    <w:rsid w:val="2CBE62A5"/>
    <w:rsid w:val="2CC92E53"/>
    <w:rsid w:val="2CD21D51"/>
    <w:rsid w:val="2CD35FB2"/>
    <w:rsid w:val="2CD47877"/>
    <w:rsid w:val="2CD86C3B"/>
    <w:rsid w:val="2CEF2903"/>
    <w:rsid w:val="2CF00429"/>
    <w:rsid w:val="2D197980"/>
    <w:rsid w:val="2D1A7254"/>
    <w:rsid w:val="2D1B54A6"/>
    <w:rsid w:val="2D1E0AF2"/>
    <w:rsid w:val="2D1F486A"/>
    <w:rsid w:val="2D265BF9"/>
    <w:rsid w:val="2D281971"/>
    <w:rsid w:val="2D2A56E9"/>
    <w:rsid w:val="2D3227EF"/>
    <w:rsid w:val="2D3622E0"/>
    <w:rsid w:val="2D393B7E"/>
    <w:rsid w:val="2D460049"/>
    <w:rsid w:val="2D4744ED"/>
    <w:rsid w:val="2D5B1D46"/>
    <w:rsid w:val="2D60735C"/>
    <w:rsid w:val="2D79041E"/>
    <w:rsid w:val="2D8017AD"/>
    <w:rsid w:val="2D8A6187"/>
    <w:rsid w:val="2D8C0151"/>
    <w:rsid w:val="2D8C1F00"/>
    <w:rsid w:val="2D964B2C"/>
    <w:rsid w:val="2D9E7E85"/>
    <w:rsid w:val="2DA76D39"/>
    <w:rsid w:val="2DAF2092"/>
    <w:rsid w:val="2DB651CE"/>
    <w:rsid w:val="2DDB2E87"/>
    <w:rsid w:val="2DE41D3C"/>
    <w:rsid w:val="2DE7182C"/>
    <w:rsid w:val="2DF40E19"/>
    <w:rsid w:val="2DFD4BAB"/>
    <w:rsid w:val="2E056F7B"/>
    <w:rsid w:val="2E0E0B66"/>
    <w:rsid w:val="2E100D83"/>
    <w:rsid w:val="2E110657"/>
    <w:rsid w:val="2E1341D4"/>
    <w:rsid w:val="2E136236"/>
    <w:rsid w:val="2E1819E5"/>
    <w:rsid w:val="2E19750B"/>
    <w:rsid w:val="2E1C5E58"/>
    <w:rsid w:val="2E235D2B"/>
    <w:rsid w:val="2E262354"/>
    <w:rsid w:val="2E382087"/>
    <w:rsid w:val="2E3D769E"/>
    <w:rsid w:val="2E4A5917"/>
    <w:rsid w:val="2E4C168F"/>
    <w:rsid w:val="2E4C5B33"/>
    <w:rsid w:val="2E5073D1"/>
    <w:rsid w:val="2E5D564A"/>
    <w:rsid w:val="2E6855F6"/>
    <w:rsid w:val="2E7035CF"/>
    <w:rsid w:val="2E726C52"/>
    <w:rsid w:val="2E731311"/>
    <w:rsid w:val="2E783F54"/>
    <w:rsid w:val="2E89643F"/>
    <w:rsid w:val="2E8B4C27"/>
    <w:rsid w:val="2E9D638E"/>
    <w:rsid w:val="2EA25753"/>
    <w:rsid w:val="2EB01C1E"/>
    <w:rsid w:val="2EB91986"/>
    <w:rsid w:val="2EBA6F40"/>
    <w:rsid w:val="2EBD3D50"/>
    <w:rsid w:val="2EBD433B"/>
    <w:rsid w:val="2EBE07DF"/>
    <w:rsid w:val="2EC21951"/>
    <w:rsid w:val="2EC41EB1"/>
    <w:rsid w:val="2EC90F31"/>
    <w:rsid w:val="2ED022C0"/>
    <w:rsid w:val="2EDC2A13"/>
    <w:rsid w:val="2EEB0EA8"/>
    <w:rsid w:val="2EF266DA"/>
    <w:rsid w:val="2EFE0BDB"/>
    <w:rsid w:val="2EFF2BA5"/>
    <w:rsid w:val="2F0D7070"/>
    <w:rsid w:val="2F2B399A"/>
    <w:rsid w:val="2F2F5238"/>
    <w:rsid w:val="2F4405B8"/>
    <w:rsid w:val="2F452CAE"/>
    <w:rsid w:val="2F454A5C"/>
    <w:rsid w:val="2F4800A8"/>
    <w:rsid w:val="2F527179"/>
    <w:rsid w:val="2F5729E1"/>
    <w:rsid w:val="2F662C24"/>
    <w:rsid w:val="2F697F69"/>
    <w:rsid w:val="2F6F7D2B"/>
    <w:rsid w:val="2F837332"/>
    <w:rsid w:val="2F8A06C1"/>
    <w:rsid w:val="2F9432ED"/>
    <w:rsid w:val="2F9652B7"/>
    <w:rsid w:val="2FA63021"/>
    <w:rsid w:val="2FAC4ADB"/>
    <w:rsid w:val="2FAF6379"/>
    <w:rsid w:val="2FB7522E"/>
    <w:rsid w:val="2FC260AC"/>
    <w:rsid w:val="2FC31E25"/>
    <w:rsid w:val="2FC5794B"/>
    <w:rsid w:val="2FC736C3"/>
    <w:rsid w:val="2FCA31B3"/>
    <w:rsid w:val="2FCC2A87"/>
    <w:rsid w:val="2FD14541"/>
    <w:rsid w:val="2FD162F0"/>
    <w:rsid w:val="2FD656B4"/>
    <w:rsid w:val="2FE06533"/>
    <w:rsid w:val="2FE8266C"/>
    <w:rsid w:val="2FEA73B1"/>
    <w:rsid w:val="2FEE50F3"/>
    <w:rsid w:val="2FEF49C8"/>
    <w:rsid w:val="2FEF6776"/>
    <w:rsid w:val="2FF87D20"/>
    <w:rsid w:val="2FFA3A98"/>
    <w:rsid w:val="2FFB511A"/>
    <w:rsid w:val="30110DE2"/>
    <w:rsid w:val="302208F9"/>
    <w:rsid w:val="3024626D"/>
    <w:rsid w:val="302C79CA"/>
    <w:rsid w:val="304271ED"/>
    <w:rsid w:val="30442F65"/>
    <w:rsid w:val="3045283A"/>
    <w:rsid w:val="3049232A"/>
    <w:rsid w:val="304C1E1A"/>
    <w:rsid w:val="305111DE"/>
    <w:rsid w:val="30517430"/>
    <w:rsid w:val="305A4537"/>
    <w:rsid w:val="305D4027"/>
    <w:rsid w:val="306E1D90"/>
    <w:rsid w:val="3073370F"/>
    <w:rsid w:val="307F3F9D"/>
    <w:rsid w:val="30843362"/>
    <w:rsid w:val="30874C00"/>
    <w:rsid w:val="30997731"/>
    <w:rsid w:val="309C4B4F"/>
    <w:rsid w:val="30A6777C"/>
    <w:rsid w:val="30AC28B9"/>
    <w:rsid w:val="30B874AF"/>
    <w:rsid w:val="30BD45A0"/>
    <w:rsid w:val="30CE0A81"/>
    <w:rsid w:val="30D37E45"/>
    <w:rsid w:val="30D51E0F"/>
    <w:rsid w:val="30DA7426"/>
    <w:rsid w:val="30E107B4"/>
    <w:rsid w:val="30E3452C"/>
    <w:rsid w:val="30E67B79"/>
    <w:rsid w:val="30E87D95"/>
    <w:rsid w:val="30ED53AB"/>
    <w:rsid w:val="30F027A5"/>
    <w:rsid w:val="30FA7AC8"/>
    <w:rsid w:val="30FE1366"/>
    <w:rsid w:val="3102072B"/>
    <w:rsid w:val="312F7772"/>
    <w:rsid w:val="31342FDA"/>
    <w:rsid w:val="31403B83"/>
    <w:rsid w:val="314F1BC2"/>
    <w:rsid w:val="315471D8"/>
    <w:rsid w:val="31627437"/>
    <w:rsid w:val="31682C84"/>
    <w:rsid w:val="31707702"/>
    <w:rsid w:val="31771119"/>
    <w:rsid w:val="31772D94"/>
    <w:rsid w:val="318555E4"/>
    <w:rsid w:val="319F3801"/>
    <w:rsid w:val="31B5579D"/>
    <w:rsid w:val="31B77767"/>
    <w:rsid w:val="31BB2DB3"/>
    <w:rsid w:val="31BC6B2B"/>
    <w:rsid w:val="31C3610C"/>
    <w:rsid w:val="31C54716"/>
    <w:rsid w:val="31CA749A"/>
    <w:rsid w:val="31E7004C"/>
    <w:rsid w:val="31EF0CAF"/>
    <w:rsid w:val="31EF5153"/>
    <w:rsid w:val="31F2079F"/>
    <w:rsid w:val="31FE5396"/>
    <w:rsid w:val="32087FC3"/>
    <w:rsid w:val="321C75CA"/>
    <w:rsid w:val="321D581C"/>
    <w:rsid w:val="322748ED"/>
    <w:rsid w:val="3236068C"/>
    <w:rsid w:val="323D7C6C"/>
    <w:rsid w:val="3244724D"/>
    <w:rsid w:val="324F174E"/>
    <w:rsid w:val="32513718"/>
    <w:rsid w:val="325925CC"/>
    <w:rsid w:val="325F76B6"/>
    <w:rsid w:val="3268280F"/>
    <w:rsid w:val="327A59FF"/>
    <w:rsid w:val="327C2483"/>
    <w:rsid w:val="328238D1"/>
    <w:rsid w:val="32877139"/>
    <w:rsid w:val="32917FB8"/>
    <w:rsid w:val="32933D30"/>
    <w:rsid w:val="32947AC3"/>
    <w:rsid w:val="329F0927"/>
    <w:rsid w:val="32A55811"/>
    <w:rsid w:val="32AE7C62"/>
    <w:rsid w:val="32C263C3"/>
    <w:rsid w:val="32D700C1"/>
    <w:rsid w:val="32D85BE7"/>
    <w:rsid w:val="32EB591A"/>
    <w:rsid w:val="32EC3440"/>
    <w:rsid w:val="32F33022"/>
    <w:rsid w:val="32FC7B27"/>
    <w:rsid w:val="33042538"/>
    <w:rsid w:val="33093FF2"/>
    <w:rsid w:val="331D7A9E"/>
    <w:rsid w:val="331F55C4"/>
    <w:rsid w:val="33294694"/>
    <w:rsid w:val="33332E1D"/>
    <w:rsid w:val="333E1EEE"/>
    <w:rsid w:val="333E2C8F"/>
    <w:rsid w:val="334E5EA9"/>
    <w:rsid w:val="336872FD"/>
    <w:rsid w:val="33690F44"/>
    <w:rsid w:val="336B25B7"/>
    <w:rsid w:val="33751688"/>
    <w:rsid w:val="338D4C23"/>
    <w:rsid w:val="33A65CE5"/>
    <w:rsid w:val="33AB6E58"/>
    <w:rsid w:val="33AE06F6"/>
    <w:rsid w:val="33AF4B9A"/>
    <w:rsid w:val="33B026C0"/>
    <w:rsid w:val="33BE4DDD"/>
    <w:rsid w:val="33CD6DCE"/>
    <w:rsid w:val="33D20888"/>
    <w:rsid w:val="33D34840"/>
    <w:rsid w:val="33E02FA5"/>
    <w:rsid w:val="33E800AC"/>
    <w:rsid w:val="33F00D0E"/>
    <w:rsid w:val="33F151B2"/>
    <w:rsid w:val="33F627C9"/>
    <w:rsid w:val="33F95E15"/>
    <w:rsid w:val="340053F5"/>
    <w:rsid w:val="34034EE6"/>
    <w:rsid w:val="34086058"/>
    <w:rsid w:val="340A4724"/>
    <w:rsid w:val="340D366E"/>
    <w:rsid w:val="340E68B1"/>
    <w:rsid w:val="34125129"/>
    <w:rsid w:val="3417273F"/>
    <w:rsid w:val="34190265"/>
    <w:rsid w:val="341C1B03"/>
    <w:rsid w:val="342015F4"/>
    <w:rsid w:val="342A06C4"/>
    <w:rsid w:val="34362BC5"/>
    <w:rsid w:val="343E7C06"/>
    <w:rsid w:val="34433534"/>
    <w:rsid w:val="34480B4A"/>
    <w:rsid w:val="344D6161"/>
    <w:rsid w:val="344F0BC8"/>
    <w:rsid w:val="34545741"/>
    <w:rsid w:val="34580D8D"/>
    <w:rsid w:val="345B262C"/>
    <w:rsid w:val="34692F9B"/>
    <w:rsid w:val="346C2A8B"/>
    <w:rsid w:val="34781430"/>
    <w:rsid w:val="347B0F20"/>
    <w:rsid w:val="347E631A"/>
    <w:rsid w:val="347F27BE"/>
    <w:rsid w:val="349D2C44"/>
    <w:rsid w:val="34A51AF9"/>
    <w:rsid w:val="34AE4E51"/>
    <w:rsid w:val="34B306BA"/>
    <w:rsid w:val="34B87A7E"/>
    <w:rsid w:val="34C91C8B"/>
    <w:rsid w:val="34CA155F"/>
    <w:rsid w:val="34CC52D7"/>
    <w:rsid w:val="34D523DE"/>
    <w:rsid w:val="34DB19BE"/>
    <w:rsid w:val="35011425"/>
    <w:rsid w:val="35044A71"/>
    <w:rsid w:val="350C1B78"/>
    <w:rsid w:val="350C361A"/>
    <w:rsid w:val="350C3926"/>
    <w:rsid w:val="35150A2C"/>
    <w:rsid w:val="351A6043"/>
    <w:rsid w:val="351D3D85"/>
    <w:rsid w:val="352670DE"/>
    <w:rsid w:val="354457B6"/>
    <w:rsid w:val="355552CD"/>
    <w:rsid w:val="3558300F"/>
    <w:rsid w:val="356B689E"/>
    <w:rsid w:val="35702107"/>
    <w:rsid w:val="357A11D7"/>
    <w:rsid w:val="357F67EE"/>
    <w:rsid w:val="35812566"/>
    <w:rsid w:val="358160C2"/>
    <w:rsid w:val="35904557"/>
    <w:rsid w:val="35A61FCC"/>
    <w:rsid w:val="35B20971"/>
    <w:rsid w:val="35B5220F"/>
    <w:rsid w:val="35BF159A"/>
    <w:rsid w:val="35C67F79"/>
    <w:rsid w:val="35C91817"/>
    <w:rsid w:val="35D54660"/>
    <w:rsid w:val="35D6707E"/>
    <w:rsid w:val="35D95EFE"/>
    <w:rsid w:val="35E86141"/>
    <w:rsid w:val="35EF127D"/>
    <w:rsid w:val="35F1149A"/>
    <w:rsid w:val="35F9034E"/>
    <w:rsid w:val="35F965A0"/>
    <w:rsid w:val="35FC1BEC"/>
    <w:rsid w:val="35FC7E3E"/>
    <w:rsid w:val="36121410"/>
    <w:rsid w:val="362178A5"/>
    <w:rsid w:val="36237179"/>
    <w:rsid w:val="36257DF1"/>
    <w:rsid w:val="36260A17"/>
    <w:rsid w:val="36280C33"/>
    <w:rsid w:val="36343134"/>
    <w:rsid w:val="363B0967"/>
    <w:rsid w:val="363B3D27"/>
    <w:rsid w:val="363C648D"/>
    <w:rsid w:val="36405F7D"/>
    <w:rsid w:val="36617CA1"/>
    <w:rsid w:val="366A6525"/>
    <w:rsid w:val="366C4FC4"/>
    <w:rsid w:val="366D0A5A"/>
    <w:rsid w:val="36714388"/>
    <w:rsid w:val="36767BF1"/>
    <w:rsid w:val="36811C57"/>
    <w:rsid w:val="368C11C2"/>
    <w:rsid w:val="369736C3"/>
    <w:rsid w:val="369E0EF6"/>
    <w:rsid w:val="36A4475E"/>
    <w:rsid w:val="36AF3103"/>
    <w:rsid w:val="36BE6EA2"/>
    <w:rsid w:val="36CC15BF"/>
    <w:rsid w:val="36DD557A"/>
    <w:rsid w:val="36F079A3"/>
    <w:rsid w:val="36FD3E6E"/>
    <w:rsid w:val="36FF3742"/>
    <w:rsid w:val="3702512D"/>
    <w:rsid w:val="370E607B"/>
    <w:rsid w:val="371024C4"/>
    <w:rsid w:val="37151DE4"/>
    <w:rsid w:val="371A67CE"/>
    <w:rsid w:val="371C328C"/>
    <w:rsid w:val="372A4537"/>
    <w:rsid w:val="37305FF2"/>
    <w:rsid w:val="37353608"/>
    <w:rsid w:val="37407074"/>
    <w:rsid w:val="374455F9"/>
    <w:rsid w:val="37461371"/>
    <w:rsid w:val="374B2E2B"/>
    <w:rsid w:val="374D6BA3"/>
    <w:rsid w:val="3754697A"/>
    <w:rsid w:val="375F0685"/>
    <w:rsid w:val="376B0DD8"/>
    <w:rsid w:val="37712166"/>
    <w:rsid w:val="37734130"/>
    <w:rsid w:val="377F0D27"/>
    <w:rsid w:val="3781684D"/>
    <w:rsid w:val="378235AF"/>
    <w:rsid w:val="378B76CC"/>
    <w:rsid w:val="379559FA"/>
    <w:rsid w:val="379A16BD"/>
    <w:rsid w:val="37A61E10"/>
    <w:rsid w:val="37AE5168"/>
    <w:rsid w:val="37B01EA4"/>
    <w:rsid w:val="37B13334"/>
    <w:rsid w:val="37B3277F"/>
    <w:rsid w:val="37C36E66"/>
    <w:rsid w:val="37C92A4B"/>
    <w:rsid w:val="37CB29F0"/>
    <w:rsid w:val="37CE75B8"/>
    <w:rsid w:val="37D03331"/>
    <w:rsid w:val="37D526F5"/>
    <w:rsid w:val="37F232A7"/>
    <w:rsid w:val="37F25055"/>
    <w:rsid w:val="37FB65FF"/>
    <w:rsid w:val="3801173C"/>
    <w:rsid w:val="3801798E"/>
    <w:rsid w:val="38033706"/>
    <w:rsid w:val="38044D88"/>
    <w:rsid w:val="3805122C"/>
    <w:rsid w:val="380A05F1"/>
    <w:rsid w:val="381256F7"/>
    <w:rsid w:val="38233460"/>
    <w:rsid w:val="3825367C"/>
    <w:rsid w:val="38284F1B"/>
    <w:rsid w:val="382D72D9"/>
    <w:rsid w:val="3834566E"/>
    <w:rsid w:val="3837515E"/>
    <w:rsid w:val="38397128"/>
    <w:rsid w:val="383B4C4E"/>
    <w:rsid w:val="384F24A7"/>
    <w:rsid w:val="386A5533"/>
    <w:rsid w:val="386F5D34"/>
    <w:rsid w:val="388303A3"/>
    <w:rsid w:val="38871C41"/>
    <w:rsid w:val="388F0827"/>
    <w:rsid w:val="38912AC0"/>
    <w:rsid w:val="38A04AB1"/>
    <w:rsid w:val="38AE0377"/>
    <w:rsid w:val="38BB7B3D"/>
    <w:rsid w:val="38BE762D"/>
    <w:rsid w:val="38CC7F9C"/>
    <w:rsid w:val="38D03858"/>
    <w:rsid w:val="38D46E50"/>
    <w:rsid w:val="38D62BC9"/>
    <w:rsid w:val="38EA0422"/>
    <w:rsid w:val="38F049E5"/>
    <w:rsid w:val="38F848ED"/>
    <w:rsid w:val="38FB43DD"/>
    <w:rsid w:val="390F7E89"/>
    <w:rsid w:val="39180AEB"/>
    <w:rsid w:val="391B682D"/>
    <w:rsid w:val="39253208"/>
    <w:rsid w:val="392B4CC2"/>
    <w:rsid w:val="393E6CB0"/>
    <w:rsid w:val="393F42CA"/>
    <w:rsid w:val="39482E33"/>
    <w:rsid w:val="39545261"/>
    <w:rsid w:val="395A1104"/>
    <w:rsid w:val="3962445C"/>
    <w:rsid w:val="39711E60"/>
    <w:rsid w:val="397228F1"/>
    <w:rsid w:val="397D4DF2"/>
    <w:rsid w:val="398E5251"/>
    <w:rsid w:val="39902D77"/>
    <w:rsid w:val="39A20CFD"/>
    <w:rsid w:val="39B20F40"/>
    <w:rsid w:val="39CB0253"/>
    <w:rsid w:val="39CD3FCC"/>
    <w:rsid w:val="39D215E2"/>
    <w:rsid w:val="39DF3CFF"/>
    <w:rsid w:val="39F07CBA"/>
    <w:rsid w:val="39FE1322"/>
    <w:rsid w:val="3A0D261A"/>
    <w:rsid w:val="3A10210A"/>
    <w:rsid w:val="3A145757"/>
    <w:rsid w:val="3A1A0893"/>
    <w:rsid w:val="3A1C460B"/>
    <w:rsid w:val="3A281202"/>
    <w:rsid w:val="3A2868E5"/>
    <w:rsid w:val="3A327E40"/>
    <w:rsid w:val="3A452C34"/>
    <w:rsid w:val="3A4F49E1"/>
    <w:rsid w:val="3A52627F"/>
    <w:rsid w:val="3A557B1D"/>
    <w:rsid w:val="3A5E4C24"/>
    <w:rsid w:val="3A72247D"/>
    <w:rsid w:val="3A80103E"/>
    <w:rsid w:val="3A810912"/>
    <w:rsid w:val="3A824A4D"/>
    <w:rsid w:val="3A8B1791"/>
    <w:rsid w:val="3A906FAE"/>
    <w:rsid w:val="3A91085B"/>
    <w:rsid w:val="3AA765CB"/>
    <w:rsid w:val="3AA80595"/>
    <w:rsid w:val="3AAB598F"/>
    <w:rsid w:val="3AAD7959"/>
    <w:rsid w:val="3AB56515"/>
    <w:rsid w:val="3AB900AC"/>
    <w:rsid w:val="3ABE56C2"/>
    <w:rsid w:val="3ABF0066"/>
    <w:rsid w:val="3ABF4E3E"/>
    <w:rsid w:val="3AC0768C"/>
    <w:rsid w:val="3AC41FA9"/>
    <w:rsid w:val="3AC727C9"/>
    <w:rsid w:val="3AC76C6D"/>
    <w:rsid w:val="3ACF1E81"/>
    <w:rsid w:val="3ADB44C6"/>
    <w:rsid w:val="3AEA1A5A"/>
    <w:rsid w:val="3AF410E4"/>
    <w:rsid w:val="3AF85078"/>
    <w:rsid w:val="3B016F3B"/>
    <w:rsid w:val="3B051543"/>
    <w:rsid w:val="3B0532F1"/>
    <w:rsid w:val="3B0A6B5A"/>
    <w:rsid w:val="3B0E03F8"/>
    <w:rsid w:val="3B0E664A"/>
    <w:rsid w:val="3B183024"/>
    <w:rsid w:val="3B1D063B"/>
    <w:rsid w:val="3B245E6D"/>
    <w:rsid w:val="3B2A0FAA"/>
    <w:rsid w:val="3B2E2848"/>
    <w:rsid w:val="3B3140E6"/>
    <w:rsid w:val="3B351E28"/>
    <w:rsid w:val="3B392F9B"/>
    <w:rsid w:val="3B455DE4"/>
    <w:rsid w:val="3B4E4C98"/>
    <w:rsid w:val="3B4E6A46"/>
    <w:rsid w:val="3B4F0203"/>
    <w:rsid w:val="3B514788"/>
    <w:rsid w:val="3B530501"/>
    <w:rsid w:val="3B583D69"/>
    <w:rsid w:val="3B7346FF"/>
    <w:rsid w:val="3B742225"/>
    <w:rsid w:val="3B77096F"/>
    <w:rsid w:val="3B781D15"/>
    <w:rsid w:val="3B7D37CF"/>
    <w:rsid w:val="3B903503"/>
    <w:rsid w:val="3B914B85"/>
    <w:rsid w:val="3B936B4F"/>
    <w:rsid w:val="3B9C1EA7"/>
    <w:rsid w:val="3BA945C4"/>
    <w:rsid w:val="3BA96372"/>
    <w:rsid w:val="3BAE3989"/>
    <w:rsid w:val="3BB07701"/>
    <w:rsid w:val="3BBD3BCC"/>
    <w:rsid w:val="3BC44F5A"/>
    <w:rsid w:val="3BC907C3"/>
    <w:rsid w:val="3BD11425"/>
    <w:rsid w:val="3BD3519D"/>
    <w:rsid w:val="3BD66A3C"/>
    <w:rsid w:val="3BE63123"/>
    <w:rsid w:val="3BE949C1"/>
    <w:rsid w:val="3BEB1272"/>
    <w:rsid w:val="3BF56584"/>
    <w:rsid w:val="3BF73FA3"/>
    <w:rsid w:val="3C101F4E"/>
    <w:rsid w:val="3C110778"/>
    <w:rsid w:val="3C215F09"/>
    <w:rsid w:val="3C2B322B"/>
    <w:rsid w:val="3C2D0D52"/>
    <w:rsid w:val="3C30439E"/>
    <w:rsid w:val="3C37572C"/>
    <w:rsid w:val="3C384E8C"/>
    <w:rsid w:val="3C3E2F5F"/>
    <w:rsid w:val="3C4B4D76"/>
    <w:rsid w:val="3C4F6F1A"/>
    <w:rsid w:val="3C597D99"/>
    <w:rsid w:val="3C5A58BF"/>
    <w:rsid w:val="3C6329C5"/>
    <w:rsid w:val="3C6504EB"/>
    <w:rsid w:val="3C69632A"/>
    <w:rsid w:val="3C6978B0"/>
    <w:rsid w:val="3C6D55F2"/>
    <w:rsid w:val="3C7F0E81"/>
    <w:rsid w:val="3C814BF9"/>
    <w:rsid w:val="3C834E15"/>
    <w:rsid w:val="3C8B3CCA"/>
    <w:rsid w:val="3C9A5CBB"/>
    <w:rsid w:val="3C9C5ED7"/>
    <w:rsid w:val="3CA32DC2"/>
    <w:rsid w:val="3CAE41B3"/>
    <w:rsid w:val="3CB4494B"/>
    <w:rsid w:val="3CBE5E4E"/>
    <w:rsid w:val="3CC52D38"/>
    <w:rsid w:val="3CD25455"/>
    <w:rsid w:val="3CDE029E"/>
    <w:rsid w:val="3CEC4769"/>
    <w:rsid w:val="3CF02B39"/>
    <w:rsid w:val="3CF45054"/>
    <w:rsid w:val="3D012F52"/>
    <w:rsid w:val="3D023F8C"/>
    <w:rsid w:val="3D0B5494"/>
    <w:rsid w:val="3D0C6BB9"/>
    <w:rsid w:val="3D2008B6"/>
    <w:rsid w:val="3D22018A"/>
    <w:rsid w:val="3D26440A"/>
    <w:rsid w:val="3D2F0AF9"/>
    <w:rsid w:val="3D2F4655"/>
    <w:rsid w:val="3D31661F"/>
    <w:rsid w:val="3D393726"/>
    <w:rsid w:val="3D466E5D"/>
    <w:rsid w:val="3D4E71D1"/>
    <w:rsid w:val="3D566086"/>
    <w:rsid w:val="3D5F689F"/>
    <w:rsid w:val="3D6469F5"/>
    <w:rsid w:val="3D6559F7"/>
    <w:rsid w:val="3D6B540B"/>
    <w:rsid w:val="3D734E8A"/>
    <w:rsid w:val="3D89020A"/>
    <w:rsid w:val="3DA43295"/>
    <w:rsid w:val="3DA768E2"/>
    <w:rsid w:val="3DB86D41"/>
    <w:rsid w:val="3DC254CA"/>
    <w:rsid w:val="3DC6320C"/>
    <w:rsid w:val="3DD22E3D"/>
    <w:rsid w:val="3DD60F75"/>
    <w:rsid w:val="3DDE2232"/>
    <w:rsid w:val="3DE511B8"/>
    <w:rsid w:val="3DF31B27"/>
    <w:rsid w:val="3DF338D5"/>
    <w:rsid w:val="3E0821E6"/>
    <w:rsid w:val="3E1A3557"/>
    <w:rsid w:val="3E265A58"/>
    <w:rsid w:val="3E3143FD"/>
    <w:rsid w:val="3E371A14"/>
    <w:rsid w:val="3E4405D4"/>
    <w:rsid w:val="3E530817"/>
    <w:rsid w:val="3E546A69"/>
    <w:rsid w:val="3E6447D3"/>
    <w:rsid w:val="3E682515"/>
    <w:rsid w:val="3E6B3DB3"/>
    <w:rsid w:val="3E6D1797"/>
    <w:rsid w:val="3E7C38CA"/>
    <w:rsid w:val="3E8E35FE"/>
    <w:rsid w:val="3E9577F8"/>
    <w:rsid w:val="3E997609"/>
    <w:rsid w:val="3E9A6446"/>
    <w:rsid w:val="3EA177D5"/>
    <w:rsid w:val="3EB017C6"/>
    <w:rsid w:val="3EB47508"/>
    <w:rsid w:val="3EB72B54"/>
    <w:rsid w:val="3EBA2645"/>
    <w:rsid w:val="3EBB0897"/>
    <w:rsid w:val="3EBB7A88"/>
    <w:rsid w:val="3EC139D3"/>
    <w:rsid w:val="3EC60FE9"/>
    <w:rsid w:val="3ED41958"/>
    <w:rsid w:val="3EE002FD"/>
    <w:rsid w:val="3EE37DED"/>
    <w:rsid w:val="3EE6168C"/>
    <w:rsid w:val="3EF73899"/>
    <w:rsid w:val="3EFB6EE5"/>
    <w:rsid w:val="3F0044FB"/>
    <w:rsid w:val="3F0A7128"/>
    <w:rsid w:val="3F12422F"/>
    <w:rsid w:val="3F1E31CF"/>
    <w:rsid w:val="3F1E4982"/>
    <w:rsid w:val="3F2C52F0"/>
    <w:rsid w:val="3F2D1834"/>
    <w:rsid w:val="3F32667F"/>
    <w:rsid w:val="3F36616F"/>
    <w:rsid w:val="3F3D49DB"/>
    <w:rsid w:val="3F3E6538"/>
    <w:rsid w:val="3F4343E8"/>
    <w:rsid w:val="3F4F5483"/>
    <w:rsid w:val="3F516B05"/>
    <w:rsid w:val="3F566811"/>
    <w:rsid w:val="3F604F9A"/>
    <w:rsid w:val="3F7B0026"/>
    <w:rsid w:val="3F870779"/>
    <w:rsid w:val="3F8A64BB"/>
    <w:rsid w:val="3F8F762D"/>
    <w:rsid w:val="3F9609BC"/>
    <w:rsid w:val="3F966C0E"/>
    <w:rsid w:val="3F982986"/>
    <w:rsid w:val="3FA001A9"/>
    <w:rsid w:val="3FA4132B"/>
    <w:rsid w:val="3FB35A12"/>
    <w:rsid w:val="3FB47094"/>
    <w:rsid w:val="3FB672B0"/>
    <w:rsid w:val="3FBD0389"/>
    <w:rsid w:val="3FC25C55"/>
    <w:rsid w:val="3FC7326B"/>
    <w:rsid w:val="3FC75019"/>
    <w:rsid w:val="3FC90D91"/>
    <w:rsid w:val="3FC96FE3"/>
    <w:rsid w:val="3FCE45FA"/>
    <w:rsid w:val="3FDF05B5"/>
    <w:rsid w:val="3FF04570"/>
    <w:rsid w:val="3FFF0C57"/>
    <w:rsid w:val="4000052B"/>
    <w:rsid w:val="400224F5"/>
    <w:rsid w:val="40077B0C"/>
    <w:rsid w:val="40093884"/>
    <w:rsid w:val="400E49F6"/>
    <w:rsid w:val="4013025E"/>
    <w:rsid w:val="40153E85"/>
    <w:rsid w:val="401A15ED"/>
    <w:rsid w:val="401D2E8B"/>
    <w:rsid w:val="402968CC"/>
    <w:rsid w:val="40323326"/>
    <w:rsid w:val="404623E2"/>
    <w:rsid w:val="40464190"/>
    <w:rsid w:val="404B3E9C"/>
    <w:rsid w:val="405A40DF"/>
    <w:rsid w:val="405F34A4"/>
    <w:rsid w:val="40646D0C"/>
    <w:rsid w:val="406B009A"/>
    <w:rsid w:val="406D3E12"/>
    <w:rsid w:val="4070745F"/>
    <w:rsid w:val="40752CC7"/>
    <w:rsid w:val="407C4056"/>
    <w:rsid w:val="40827192"/>
    <w:rsid w:val="40833636"/>
    <w:rsid w:val="408B6047"/>
    <w:rsid w:val="408D6263"/>
    <w:rsid w:val="40A11D0E"/>
    <w:rsid w:val="40A62E81"/>
    <w:rsid w:val="40B557B9"/>
    <w:rsid w:val="40B7508E"/>
    <w:rsid w:val="40BE01CA"/>
    <w:rsid w:val="40BE466E"/>
    <w:rsid w:val="40C357E1"/>
    <w:rsid w:val="40C559FD"/>
    <w:rsid w:val="40D21EC7"/>
    <w:rsid w:val="40D43E92"/>
    <w:rsid w:val="40D914A8"/>
    <w:rsid w:val="40DE6ABE"/>
    <w:rsid w:val="40E13EB9"/>
    <w:rsid w:val="40ED4F53"/>
    <w:rsid w:val="40F956A6"/>
    <w:rsid w:val="41076015"/>
    <w:rsid w:val="410A340F"/>
    <w:rsid w:val="410A78B3"/>
    <w:rsid w:val="412A1D04"/>
    <w:rsid w:val="412E258A"/>
    <w:rsid w:val="41326E0A"/>
    <w:rsid w:val="41354204"/>
    <w:rsid w:val="414F3518"/>
    <w:rsid w:val="415428DD"/>
    <w:rsid w:val="416A65A4"/>
    <w:rsid w:val="416C5E78"/>
    <w:rsid w:val="41744D2D"/>
    <w:rsid w:val="41792343"/>
    <w:rsid w:val="41856F3A"/>
    <w:rsid w:val="41874A60"/>
    <w:rsid w:val="41943621"/>
    <w:rsid w:val="41990C37"/>
    <w:rsid w:val="41A970CC"/>
    <w:rsid w:val="41AE6491"/>
    <w:rsid w:val="41AF3FB7"/>
    <w:rsid w:val="41B31CF9"/>
    <w:rsid w:val="41B45A71"/>
    <w:rsid w:val="41BD4926"/>
    <w:rsid w:val="41C537DA"/>
    <w:rsid w:val="41E53E7C"/>
    <w:rsid w:val="41E55C2A"/>
    <w:rsid w:val="41E9396D"/>
    <w:rsid w:val="41FF4F3E"/>
    <w:rsid w:val="41FF6CEC"/>
    <w:rsid w:val="42022339"/>
    <w:rsid w:val="42044303"/>
    <w:rsid w:val="42072045"/>
    <w:rsid w:val="420A5691"/>
    <w:rsid w:val="420E33D3"/>
    <w:rsid w:val="421B33FA"/>
    <w:rsid w:val="423821FE"/>
    <w:rsid w:val="424B0183"/>
    <w:rsid w:val="424C5CAA"/>
    <w:rsid w:val="425132C0"/>
    <w:rsid w:val="42554B5E"/>
    <w:rsid w:val="4255690C"/>
    <w:rsid w:val="425863FC"/>
    <w:rsid w:val="425D3A13"/>
    <w:rsid w:val="42615727"/>
    <w:rsid w:val="426B25D4"/>
    <w:rsid w:val="427A2817"/>
    <w:rsid w:val="428471F1"/>
    <w:rsid w:val="429315DC"/>
    <w:rsid w:val="429A4C67"/>
    <w:rsid w:val="429D6505"/>
    <w:rsid w:val="42AE0712"/>
    <w:rsid w:val="42B20202"/>
    <w:rsid w:val="42BD2703"/>
    <w:rsid w:val="42BE6BA7"/>
    <w:rsid w:val="42C6780A"/>
    <w:rsid w:val="42DA32B5"/>
    <w:rsid w:val="42E934F8"/>
    <w:rsid w:val="42EF4FB3"/>
    <w:rsid w:val="42F112EB"/>
    <w:rsid w:val="42F425C9"/>
    <w:rsid w:val="4303280C"/>
    <w:rsid w:val="430622FC"/>
    <w:rsid w:val="430D71E7"/>
    <w:rsid w:val="4320516C"/>
    <w:rsid w:val="4326474D"/>
    <w:rsid w:val="432A5FEB"/>
    <w:rsid w:val="432D5ADB"/>
    <w:rsid w:val="43317379"/>
    <w:rsid w:val="433E1A96"/>
    <w:rsid w:val="434370AD"/>
    <w:rsid w:val="434F5A51"/>
    <w:rsid w:val="436F7EA2"/>
    <w:rsid w:val="43770B04"/>
    <w:rsid w:val="439416B6"/>
    <w:rsid w:val="43972F54"/>
    <w:rsid w:val="43A0005B"/>
    <w:rsid w:val="43AE09CA"/>
    <w:rsid w:val="43B34232"/>
    <w:rsid w:val="43CD6114"/>
    <w:rsid w:val="43D441A9"/>
    <w:rsid w:val="43D63A7D"/>
    <w:rsid w:val="43D83C99"/>
    <w:rsid w:val="43DD12AF"/>
    <w:rsid w:val="43DD4C6D"/>
    <w:rsid w:val="44056110"/>
    <w:rsid w:val="441045ED"/>
    <w:rsid w:val="44147DC7"/>
    <w:rsid w:val="441D5B50"/>
    <w:rsid w:val="44223166"/>
    <w:rsid w:val="442742D8"/>
    <w:rsid w:val="442B201A"/>
    <w:rsid w:val="442E1B0B"/>
    <w:rsid w:val="44307631"/>
    <w:rsid w:val="44330ECF"/>
    <w:rsid w:val="443B5FD6"/>
    <w:rsid w:val="4441183E"/>
    <w:rsid w:val="44427364"/>
    <w:rsid w:val="44450C02"/>
    <w:rsid w:val="444529B0"/>
    <w:rsid w:val="444A7FC7"/>
    <w:rsid w:val="44541B98"/>
    <w:rsid w:val="44564BBE"/>
    <w:rsid w:val="445C0339"/>
    <w:rsid w:val="445C6678"/>
    <w:rsid w:val="44613C8E"/>
    <w:rsid w:val="44692B43"/>
    <w:rsid w:val="44852722"/>
    <w:rsid w:val="44AB4F09"/>
    <w:rsid w:val="44AD0C81"/>
    <w:rsid w:val="44AE0556"/>
    <w:rsid w:val="44B00772"/>
    <w:rsid w:val="44C67F95"/>
    <w:rsid w:val="44D81A76"/>
    <w:rsid w:val="44E328F5"/>
    <w:rsid w:val="44E623E5"/>
    <w:rsid w:val="44E977E0"/>
    <w:rsid w:val="44F543D6"/>
    <w:rsid w:val="44FA19ED"/>
    <w:rsid w:val="45124F88"/>
    <w:rsid w:val="451C5E07"/>
    <w:rsid w:val="451F3201"/>
    <w:rsid w:val="45202187"/>
    <w:rsid w:val="45244CBC"/>
    <w:rsid w:val="45280308"/>
    <w:rsid w:val="452B604A"/>
    <w:rsid w:val="45356EC9"/>
    <w:rsid w:val="453C0257"/>
    <w:rsid w:val="453E5D7D"/>
    <w:rsid w:val="45433394"/>
    <w:rsid w:val="45596713"/>
    <w:rsid w:val="455B692F"/>
    <w:rsid w:val="456450B8"/>
    <w:rsid w:val="456B4699"/>
    <w:rsid w:val="4582210E"/>
    <w:rsid w:val="459C2AA4"/>
    <w:rsid w:val="459E4A6E"/>
    <w:rsid w:val="45B1654F"/>
    <w:rsid w:val="45BD3146"/>
    <w:rsid w:val="45C36283"/>
    <w:rsid w:val="45CF2E79"/>
    <w:rsid w:val="45FB77CB"/>
    <w:rsid w:val="460C7C2A"/>
    <w:rsid w:val="460D74FE"/>
    <w:rsid w:val="461E170B"/>
    <w:rsid w:val="46233218"/>
    <w:rsid w:val="46256F3D"/>
    <w:rsid w:val="462D194E"/>
    <w:rsid w:val="462E1094"/>
    <w:rsid w:val="46357180"/>
    <w:rsid w:val="46405B25"/>
    <w:rsid w:val="464253F9"/>
    <w:rsid w:val="46464EDC"/>
    <w:rsid w:val="46470C62"/>
    <w:rsid w:val="464C44CA"/>
    <w:rsid w:val="464F7B16"/>
    <w:rsid w:val="46517D32"/>
    <w:rsid w:val="46535A9E"/>
    <w:rsid w:val="4654337F"/>
    <w:rsid w:val="46592743"/>
    <w:rsid w:val="465F41FD"/>
    <w:rsid w:val="4665733A"/>
    <w:rsid w:val="46671304"/>
    <w:rsid w:val="466727DF"/>
    <w:rsid w:val="46717A8D"/>
    <w:rsid w:val="468E4AE3"/>
    <w:rsid w:val="46911EDD"/>
    <w:rsid w:val="469F0A9E"/>
    <w:rsid w:val="46A47E62"/>
    <w:rsid w:val="46A87FD5"/>
    <w:rsid w:val="46B207D1"/>
    <w:rsid w:val="46DC362A"/>
    <w:rsid w:val="46DF70EC"/>
    <w:rsid w:val="46E2098A"/>
    <w:rsid w:val="46FF32EA"/>
    <w:rsid w:val="47024B89"/>
    <w:rsid w:val="4703102D"/>
    <w:rsid w:val="471825FE"/>
    <w:rsid w:val="47190850"/>
    <w:rsid w:val="473016F6"/>
    <w:rsid w:val="473867FC"/>
    <w:rsid w:val="47392CA0"/>
    <w:rsid w:val="47665118"/>
    <w:rsid w:val="476F0470"/>
    <w:rsid w:val="477C0DDF"/>
    <w:rsid w:val="477C493B"/>
    <w:rsid w:val="478163F5"/>
    <w:rsid w:val="478B4B7E"/>
    <w:rsid w:val="47B265AF"/>
    <w:rsid w:val="47C744A7"/>
    <w:rsid w:val="47CB141F"/>
    <w:rsid w:val="47D66741"/>
    <w:rsid w:val="47EC7D13"/>
    <w:rsid w:val="47F22E4F"/>
    <w:rsid w:val="48082673"/>
    <w:rsid w:val="480A63EB"/>
    <w:rsid w:val="4812529F"/>
    <w:rsid w:val="481B23A6"/>
    <w:rsid w:val="48215321"/>
    <w:rsid w:val="48272AF9"/>
    <w:rsid w:val="482F7BFF"/>
    <w:rsid w:val="483416BA"/>
    <w:rsid w:val="484118D4"/>
    <w:rsid w:val="48425B85"/>
    <w:rsid w:val="484C049B"/>
    <w:rsid w:val="4851401A"/>
    <w:rsid w:val="485E0275"/>
    <w:rsid w:val="48671147"/>
    <w:rsid w:val="486C0E54"/>
    <w:rsid w:val="48735D3E"/>
    <w:rsid w:val="487815A6"/>
    <w:rsid w:val="487877F8"/>
    <w:rsid w:val="48795655"/>
    <w:rsid w:val="48967C7F"/>
    <w:rsid w:val="489932CB"/>
    <w:rsid w:val="48B00D40"/>
    <w:rsid w:val="48B06F92"/>
    <w:rsid w:val="48B16866"/>
    <w:rsid w:val="48B60321"/>
    <w:rsid w:val="48BB1493"/>
    <w:rsid w:val="48C26CC5"/>
    <w:rsid w:val="48C371E8"/>
    <w:rsid w:val="48C77E38"/>
    <w:rsid w:val="48C93BB0"/>
    <w:rsid w:val="48CE7418"/>
    <w:rsid w:val="48D32C81"/>
    <w:rsid w:val="48DA5DBD"/>
    <w:rsid w:val="48E21116"/>
    <w:rsid w:val="48E44E8E"/>
    <w:rsid w:val="48E501DF"/>
    <w:rsid w:val="48E629B4"/>
    <w:rsid w:val="48E64762"/>
    <w:rsid w:val="48F03833"/>
    <w:rsid w:val="48FF3A76"/>
    <w:rsid w:val="49033566"/>
    <w:rsid w:val="490E3CB9"/>
    <w:rsid w:val="4913273F"/>
    <w:rsid w:val="491C63D6"/>
    <w:rsid w:val="492359B6"/>
    <w:rsid w:val="4931055C"/>
    <w:rsid w:val="49311755"/>
    <w:rsid w:val="49374FBE"/>
    <w:rsid w:val="493D634C"/>
    <w:rsid w:val="4941408E"/>
    <w:rsid w:val="49432ACF"/>
    <w:rsid w:val="494F67AB"/>
    <w:rsid w:val="49507E2D"/>
    <w:rsid w:val="49584F34"/>
    <w:rsid w:val="495A6EFE"/>
    <w:rsid w:val="496438D9"/>
    <w:rsid w:val="4977525D"/>
    <w:rsid w:val="4989333F"/>
    <w:rsid w:val="498A77E3"/>
    <w:rsid w:val="49940662"/>
    <w:rsid w:val="49A81A17"/>
    <w:rsid w:val="49B26D3A"/>
    <w:rsid w:val="49B93C25"/>
    <w:rsid w:val="49C8030C"/>
    <w:rsid w:val="49D7054F"/>
    <w:rsid w:val="49D97612"/>
    <w:rsid w:val="49DE7B2F"/>
    <w:rsid w:val="49DF11B1"/>
    <w:rsid w:val="49E669E4"/>
    <w:rsid w:val="49E862B8"/>
    <w:rsid w:val="4A001286"/>
    <w:rsid w:val="4A0C644A"/>
    <w:rsid w:val="4A11580F"/>
    <w:rsid w:val="4A121587"/>
    <w:rsid w:val="4A286FFC"/>
    <w:rsid w:val="4A315EB1"/>
    <w:rsid w:val="4A392FB7"/>
    <w:rsid w:val="4A407EA2"/>
    <w:rsid w:val="4A5637D9"/>
    <w:rsid w:val="4A5D6CA6"/>
    <w:rsid w:val="4A6F2535"/>
    <w:rsid w:val="4A7144FF"/>
    <w:rsid w:val="4A77763C"/>
    <w:rsid w:val="4A842484"/>
    <w:rsid w:val="4A875AD1"/>
    <w:rsid w:val="4A8F0E29"/>
    <w:rsid w:val="4A9B77CE"/>
    <w:rsid w:val="4A9D3546"/>
    <w:rsid w:val="4AA20B5D"/>
    <w:rsid w:val="4AAC3789"/>
    <w:rsid w:val="4ABE526B"/>
    <w:rsid w:val="4AD30D16"/>
    <w:rsid w:val="4AEB2504"/>
    <w:rsid w:val="4B007631"/>
    <w:rsid w:val="4B0233A9"/>
    <w:rsid w:val="4B090BDC"/>
    <w:rsid w:val="4B0B04B0"/>
    <w:rsid w:val="4B137364"/>
    <w:rsid w:val="4B157580"/>
    <w:rsid w:val="4B1F21AD"/>
    <w:rsid w:val="4B217CD3"/>
    <w:rsid w:val="4B3774F7"/>
    <w:rsid w:val="4B38501D"/>
    <w:rsid w:val="4B4340EE"/>
    <w:rsid w:val="4B5D32EE"/>
    <w:rsid w:val="4B644064"/>
    <w:rsid w:val="4B685902"/>
    <w:rsid w:val="4B6E4EE3"/>
    <w:rsid w:val="4B6E64F4"/>
    <w:rsid w:val="4B7122DD"/>
    <w:rsid w:val="4B72052F"/>
    <w:rsid w:val="4B842010"/>
    <w:rsid w:val="4B863FDA"/>
    <w:rsid w:val="4B865D88"/>
    <w:rsid w:val="4B8D1D61"/>
    <w:rsid w:val="4B904E59"/>
    <w:rsid w:val="4B920BD1"/>
    <w:rsid w:val="4B971D44"/>
    <w:rsid w:val="4B985ABC"/>
    <w:rsid w:val="4BAE52DF"/>
    <w:rsid w:val="4BB87F0C"/>
    <w:rsid w:val="4BC13264"/>
    <w:rsid w:val="4BC6087B"/>
    <w:rsid w:val="4BC82845"/>
    <w:rsid w:val="4BCB7C3F"/>
    <w:rsid w:val="4BD05255"/>
    <w:rsid w:val="4BD5286C"/>
    <w:rsid w:val="4BDB2578"/>
    <w:rsid w:val="4BEA27BB"/>
    <w:rsid w:val="4BEB208F"/>
    <w:rsid w:val="4BF16EEB"/>
    <w:rsid w:val="4BFA6210"/>
    <w:rsid w:val="4BFC429C"/>
    <w:rsid w:val="4C002082"/>
    <w:rsid w:val="4C0160E3"/>
    <w:rsid w:val="4C03387D"/>
    <w:rsid w:val="4C0849EF"/>
    <w:rsid w:val="4C101AF6"/>
    <w:rsid w:val="4C1710D6"/>
    <w:rsid w:val="4C1E2465"/>
    <w:rsid w:val="4C261319"/>
    <w:rsid w:val="4C3677AE"/>
    <w:rsid w:val="4C3752D5"/>
    <w:rsid w:val="4C39729F"/>
    <w:rsid w:val="4C46376A"/>
    <w:rsid w:val="4C4D4AF8"/>
    <w:rsid w:val="4C51283A"/>
    <w:rsid w:val="4C5440D8"/>
    <w:rsid w:val="4C547C35"/>
    <w:rsid w:val="4C5B5467"/>
    <w:rsid w:val="4C602A7D"/>
    <w:rsid w:val="4C612351"/>
    <w:rsid w:val="4C6360CA"/>
    <w:rsid w:val="4C6D0CF6"/>
    <w:rsid w:val="4C786019"/>
    <w:rsid w:val="4C7E2F03"/>
    <w:rsid w:val="4C83051A"/>
    <w:rsid w:val="4C87000A"/>
    <w:rsid w:val="4C891FD4"/>
    <w:rsid w:val="4C8A5D4C"/>
    <w:rsid w:val="4C8C73CE"/>
    <w:rsid w:val="4CA94424"/>
    <w:rsid w:val="4CAD5597"/>
    <w:rsid w:val="4CB30DFF"/>
    <w:rsid w:val="4CBB7CB4"/>
    <w:rsid w:val="4CBD3A2C"/>
    <w:rsid w:val="4CBE77A4"/>
    <w:rsid w:val="4CC90623"/>
    <w:rsid w:val="4CDA2830"/>
    <w:rsid w:val="4CE76CFB"/>
    <w:rsid w:val="4CFA4C80"/>
    <w:rsid w:val="4CFE5DF2"/>
    <w:rsid w:val="4D001B6A"/>
    <w:rsid w:val="4D096C71"/>
    <w:rsid w:val="4D1B69A4"/>
    <w:rsid w:val="4D2717ED"/>
    <w:rsid w:val="4D272479"/>
    <w:rsid w:val="4D2E492A"/>
    <w:rsid w:val="4D331F40"/>
    <w:rsid w:val="4D3D2DBF"/>
    <w:rsid w:val="4D3F2693"/>
    <w:rsid w:val="4D461C73"/>
    <w:rsid w:val="4D477799"/>
    <w:rsid w:val="4D4F6AB4"/>
    <w:rsid w:val="4D5048A0"/>
    <w:rsid w:val="4D565C2E"/>
    <w:rsid w:val="4D5F2D35"/>
    <w:rsid w:val="4D61085B"/>
    <w:rsid w:val="4D6420F9"/>
    <w:rsid w:val="4D714816"/>
    <w:rsid w:val="4D726C38"/>
    <w:rsid w:val="4D7762D0"/>
    <w:rsid w:val="4D784B41"/>
    <w:rsid w:val="4D7C38E7"/>
    <w:rsid w:val="4D7E765F"/>
    <w:rsid w:val="4D844549"/>
    <w:rsid w:val="4D8D78A2"/>
    <w:rsid w:val="4D987FF5"/>
    <w:rsid w:val="4D9C7AE5"/>
    <w:rsid w:val="4D9E25AB"/>
    <w:rsid w:val="4D9F1383"/>
    <w:rsid w:val="4DA370C6"/>
    <w:rsid w:val="4DA4699A"/>
    <w:rsid w:val="4DA60964"/>
    <w:rsid w:val="4DB72B71"/>
    <w:rsid w:val="4DBA6FFE"/>
    <w:rsid w:val="4DBF1A26"/>
    <w:rsid w:val="4DC62DB4"/>
    <w:rsid w:val="4DD874C0"/>
    <w:rsid w:val="4DE84AD8"/>
    <w:rsid w:val="4DEE5E67"/>
    <w:rsid w:val="4E031912"/>
    <w:rsid w:val="4E092CA1"/>
    <w:rsid w:val="4E1753BE"/>
    <w:rsid w:val="4E1F24C4"/>
    <w:rsid w:val="4E2E44B5"/>
    <w:rsid w:val="4E361CE8"/>
    <w:rsid w:val="4E4837C9"/>
    <w:rsid w:val="4E4F2DA9"/>
    <w:rsid w:val="4E52289A"/>
    <w:rsid w:val="4E600B13"/>
    <w:rsid w:val="4E742810"/>
    <w:rsid w:val="4E797E26"/>
    <w:rsid w:val="4E861570"/>
    <w:rsid w:val="4E8862BB"/>
    <w:rsid w:val="4E8A2033"/>
    <w:rsid w:val="4E9609D8"/>
    <w:rsid w:val="4E984750"/>
    <w:rsid w:val="4E9C3796"/>
    <w:rsid w:val="4EA521E7"/>
    <w:rsid w:val="4EAD187E"/>
    <w:rsid w:val="4EB946C7"/>
    <w:rsid w:val="4ECA0682"/>
    <w:rsid w:val="4ECA2430"/>
    <w:rsid w:val="4ECA5E1A"/>
    <w:rsid w:val="4ED432AF"/>
    <w:rsid w:val="4EDD6607"/>
    <w:rsid w:val="4EE03A01"/>
    <w:rsid w:val="4EFD2805"/>
    <w:rsid w:val="4F0E056F"/>
    <w:rsid w:val="4F2064F4"/>
    <w:rsid w:val="4F2C30EB"/>
    <w:rsid w:val="4F3A5808"/>
    <w:rsid w:val="4F3F2E1E"/>
    <w:rsid w:val="4F416B96"/>
    <w:rsid w:val="4F5F701C"/>
    <w:rsid w:val="4F626B0C"/>
    <w:rsid w:val="4F642884"/>
    <w:rsid w:val="4F764366"/>
    <w:rsid w:val="4F7725B8"/>
    <w:rsid w:val="4F8847C5"/>
    <w:rsid w:val="4F8C3B89"/>
    <w:rsid w:val="4F9667B6"/>
    <w:rsid w:val="4FA2515B"/>
    <w:rsid w:val="4FA47125"/>
    <w:rsid w:val="4FBA24A4"/>
    <w:rsid w:val="4FC9093A"/>
    <w:rsid w:val="4FDA66A3"/>
    <w:rsid w:val="4FE15C83"/>
    <w:rsid w:val="4FE70DC0"/>
    <w:rsid w:val="4FEB6B02"/>
    <w:rsid w:val="4FF43C08"/>
    <w:rsid w:val="500D4CCA"/>
    <w:rsid w:val="50111EEA"/>
    <w:rsid w:val="50377F99"/>
    <w:rsid w:val="503A35E5"/>
    <w:rsid w:val="504947BE"/>
    <w:rsid w:val="50597F0F"/>
    <w:rsid w:val="505C7A00"/>
    <w:rsid w:val="506568B4"/>
    <w:rsid w:val="507B60D8"/>
    <w:rsid w:val="507C3BFE"/>
    <w:rsid w:val="508F3931"/>
    <w:rsid w:val="509176A9"/>
    <w:rsid w:val="50BE5FC4"/>
    <w:rsid w:val="50CF01D2"/>
    <w:rsid w:val="50E21CB3"/>
    <w:rsid w:val="50EC0D83"/>
    <w:rsid w:val="50F419E6"/>
    <w:rsid w:val="50FB0FC7"/>
    <w:rsid w:val="50FB2D75"/>
    <w:rsid w:val="51024103"/>
    <w:rsid w:val="510460CD"/>
    <w:rsid w:val="510936E3"/>
    <w:rsid w:val="51312C3A"/>
    <w:rsid w:val="51361FFF"/>
    <w:rsid w:val="51385D10"/>
    <w:rsid w:val="51387B25"/>
    <w:rsid w:val="513B7615"/>
    <w:rsid w:val="51404C2B"/>
    <w:rsid w:val="51510BE7"/>
    <w:rsid w:val="5153495F"/>
    <w:rsid w:val="5155755B"/>
    <w:rsid w:val="51597A9B"/>
    <w:rsid w:val="515F1555"/>
    <w:rsid w:val="5160707C"/>
    <w:rsid w:val="51666703"/>
    <w:rsid w:val="516E3547"/>
    <w:rsid w:val="516E79EA"/>
    <w:rsid w:val="518014CC"/>
    <w:rsid w:val="519311FF"/>
    <w:rsid w:val="519531C9"/>
    <w:rsid w:val="51AE73D5"/>
    <w:rsid w:val="51B82A14"/>
    <w:rsid w:val="51BC0756"/>
    <w:rsid w:val="51BC69A8"/>
    <w:rsid w:val="51D51818"/>
    <w:rsid w:val="51D6733E"/>
    <w:rsid w:val="51E97071"/>
    <w:rsid w:val="51F779E0"/>
    <w:rsid w:val="51FC4FF6"/>
    <w:rsid w:val="520B6FE7"/>
    <w:rsid w:val="520D7203"/>
    <w:rsid w:val="52100AA2"/>
    <w:rsid w:val="52132340"/>
    <w:rsid w:val="522A48AA"/>
    <w:rsid w:val="522B768A"/>
    <w:rsid w:val="522C39E4"/>
    <w:rsid w:val="523A167B"/>
    <w:rsid w:val="523D116B"/>
    <w:rsid w:val="527D1EE6"/>
    <w:rsid w:val="52860D64"/>
    <w:rsid w:val="528943B0"/>
    <w:rsid w:val="5290573F"/>
    <w:rsid w:val="529140CD"/>
    <w:rsid w:val="52B7716F"/>
    <w:rsid w:val="52BE16B3"/>
    <w:rsid w:val="52C3518A"/>
    <w:rsid w:val="52D04E80"/>
    <w:rsid w:val="52DE46FC"/>
    <w:rsid w:val="52E066C6"/>
    <w:rsid w:val="52EA30A1"/>
    <w:rsid w:val="52EE02F4"/>
    <w:rsid w:val="52F67C97"/>
    <w:rsid w:val="53004672"/>
    <w:rsid w:val="530A54F1"/>
    <w:rsid w:val="531243A6"/>
    <w:rsid w:val="531E71EE"/>
    <w:rsid w:val="532D3DB9"/>
    <w:rsid w:val="53316F22"/>
    <w:rsid w:val="53332C9A"/>
    <w:rsid w:val="53360094"/>
    <w:rsid w:val="53407165"/>
    <w:rsid w:val="534A7FE3"/>
    <w:rsid w:val="53566988"/>
    <w:rsid w:val="53575126"/>
    <w:rsid w:val="53634C01"/>
    <w:rsid w:val="53672943"/>
    <w:rsid w:val="53740C7D"/>
    <w:rsid w:val="537B63EF"/>
    <w:rsid w:val="537E1A3B"/>
    <w:rsid w:val="538057B3"/>
    <w:rsid w:val="539D0113"/>
    <w:rsid w:val="539D45B7"/>
    <w:rsid w:val="53AD7315"/>
    <w:rsid w:val="53B11E10"/>
    <w:rsid w:val="53BA0CC5"/>
    <w:rsid w:val="53DD2C05"/>
    <w:rsid w:val="53E06252"/>
    <w:rsid w:val="53EE096F"/>
    <w:rsid w:val="53F27225"/>
    <w:rsid w:val="53F35F85"/>
    <w:rsid w:val="53F87A3F"/>
    <w:rsid w:val="53FB308C"/>
    <w:rsid w:val="54040192"/>
    <w:rsid w:val="5415414D"/>
    <w:rsid w:val="541C1980"/>
    <w:rsid w:val="541C372E"/>
    <w:rsid w:val="54263544"/>
    <w:rsid w:val="54302D35"/>
    <w:rsid w:val="54316AAD"/>
    <w:rsid w:val="54346BE7"/>
    <w:rsid w:val="54436F0C"/>
    <w:rsid w:val="545253A1"/>
    <w:rsid w:val="546E385E"/>
    <w:rsid w:val="547277F2"/>
    <w:rsid w:val="547D1CF3"/>
    <w:rsid w:val="54972DB4"/>
    <w:rsid w:val="549C486F"/>
    <w:rsid w:val="54AD44B9"/>
    <w:rsid w:val="54CD4A28"/>
    <w:rsid w:val="54D062C6"/>
    <w:rsid w:val="54D23DEC"/>
    <w:rsid w:val="54E029AD"/>
    <w:rsid w:val="54E3424B"/>
    <w:rsid w:val="54E6743C"/>
    <w:rsid w:val="54EF2BF0"/>
    <w:rsid w:val="54F2623D"/>
    <w:rsid w:val="54F47E52"/>
    <w:rsid w:val="54F75F49"/>
    <w:rsid w:val="55022AE3"/>
    <w:rsid w:val="550C37A2"/>
    <w:rsid w:val="550D3076"/>
    <w:rsid w:val="551373F9"/>
    <w:rsid w:val="551663CF"/>
    <w:rsid w:val="55252FED"/>
    <w:rsid w:val="552A00CC"/>
    <w:rsid w:val="552D196B"/>
    <w:rsid w:val="552D54C7"/>
    <w:rsid w:val="5539030F"/>
    <w:rsid w:val="553E1482"/>
    <w:rsid w:val="55456CB4"/>
    <w:rsid w:val="554A42CB"/>
    <w:rsid w:val="555866AD"/>
    <w:rsid w:val="5560589C"/>
    <w:rsid w:val="557D6E58"/>
    <w:rsid w:val="557E3F74"/>
    <w:rsid w:val="55805F3E"/>
    <w:rsid w:val="558C48E3"/>
    <w:rsid w:val="55992B5C"/>
    <w:rsid w:val="55A16F92"/>
    <w:rsid w:val="55B40488"/>
    <w:rsid w:val="55C027DF"/>
    <w:rsid w:val="55D3606E"/>
    <w:rsid w:val="55E74BCB"/>
    <w:rsid w:val="55FB574D"/>
    <w:rsid w:val="5604091D"/>
    <w:rsid w:val="56051FA0"/>
    <w:rsid w:val="56101070"/>
    <w:rsid w:val="561D19DF"/>
    <w:rsid w:val="561F5757"/>
    <w:rsid w:val="563D3E2F"/>
    <w:rsid w:val="564156CE"/>
    <w:rsid w:val="564451BE"/>
    <w:rsid w:val="56487BCA"/>
    <w:rsid w:val="564E1B99"/>
    <w:rsid w:val="56625644"/>
    <w:rsid w:val="56690780"/>
    <w:rsid w:val="566B274A"/>
    <w:rsid w:val="56707D61"/>
    <w:rsid w:val="567A0BDF"/>
    <w:rsid w:val="567F7FA4"/>
    <w:rsid w:val="56837A94"/>
    <w:rsid w:val="568E6439"/>
    <w:rsid w:val="56A45C5C"/>
    <w:rsid w:val="56A619D5"/>
    <w:rsid w:val="56A63783"/>
    <w:rsid w:val="56AD4B11"/>
    <w:rsid w:val="56B51C18"/>
    <w:rsid w:val="56B539C6"/>
    <w:rsid w:val="56B91708"/>
    <w:rsid w:val="56BA0FDC"/>
    <w:rsid w:val="56C34335"/>
    <w:rsid w:val="56CF0F2B"/>
    <w:rsid w:val="56E60023"/>
    <w:rsid w:val="56ED7603"/>
    <w:rsid w:val="56F95FA8"/>
    <w:rsid w:val="56FA587C"/>
    <w:rsid w:val="56FA762A"/>
    <w:rsid w:val="56FB3ACE"/>
    <w:rsid w:val="56FF0F04"/>
    <w:rsid w:val="570109B9"/>
    <w:rsid w:val="570F1328"/>
    <w:rsid w:val="57144B90"/>
    <w:rsid w:val="57154464"/>
    <w:rsid w:val="571921A6"/>
    <w:rsid w:val="571E156B"/>
    <w:rsid w:val="57236B81"/>
    <w:rsid w:val="57284198"/>
    <w:rsid w:val="572A43B4"/>
    <w:rsid w:val="572A4DF2"/>
    <w:rsid w:val="57323268"/>
    <w:rsid w:val="575256B8"/>
    <w:rsid w:val="575925A3"/>
    <w:rsid w:val="575C0124"/>
    <w:rsid w:val="57603931"/>
    <w:rsid w:val="57671164"/>
    <w:rsid w:val="576D24F2"/>
    <w:rsid w:val="576F1DC6"/>
    <w:rsid w:val="577473DD"/>
    <w:rsid w:val="57925AB5"/>
    <w:rsid w:val="57995095"/>
    <w:rsid w:val="57A001D2"/>
    <w:rsid w:val="57A71560"/>
    <w:rsid w:val="57AE6D93"/>
    <w:rsid w:val="57BE68AA"/>
    <w:rsid w:val="57C2283E"/>
    <w:rsid w:val="57D460CD"/>
    <w:rsid w:val="57D61E46"/>
    <w:rsid w:val="57D7448F"/>
    <w:rsid w:val="57E53929"/>
    <w:rsid w:val="57EA3B43"/>
    <w:rsid w:val="57F10A2D"/>
    <w:rsid w:val="57F95B34"/>
    <w:rsid w:val="580C0E5D"/>
    <w:rsid w:val="58112E7E"/>
    <w:rsid w:val="58150BC0"/>
    <w:rsid w:val="581D7A74"/>
    <w:rsid w:val="582708F3"/>
    <w:rsid w:val="582D0E61"/>
    <w:rsid w:val="582E1C82"/>
    <w:rsid w:val="5838665C"/>
    <w:rsid w:val="583F5C3D"/>
    <w:rsid w:val="5842572D"/>
    <w:rsid w:val="584274DB"/>
    <w:rsid w:val="58466FCB"/>
    <w:rsid w:val="5847689F"/>
    <w:rsid w:val="584A6390"/>
    <w:rsid w:val="585D2567"/>
    <w:rsid w:val="58624A25"/>
    <w:rsid w:val="586456A3"/>
    <w:rsid w:val="586C4558"/>
    <w:rsid w:val="58737694"/>
    <w:rsid w:val="5875165E"/>
    <w:rsid w:val="587753D7"/>
    <w:rsid w:val="587830F6"/>
    <w:rsid w:val="587C29ED"/>
    <w:rsid w:val="58870E5D"/>
    <w:rsid w:val="58912771"/>
    <w:rsid w:val="589D0BB5"/>
    <w:rsid w:val="58B02697"/>
    <w:rsid w:val="58B10670"/>
    <w:rsid w:val="58CB127E"/>
    <w:rsid w:val="58CB5722"/>
    <w:rsid w:val="58CD149A"/>
    <w:rsid w:val="58DF4D2A"/>
    <w:rsid w:val="58E32A6C"/>
    <w:rsid w:val="58F20F01"/>
    <w:rsid w:val="58F5279F"/>
    <w:rsid w:val="58F85DEC"/>
    <w:rsid w:val="58FA6008"/>
    <w:rsid w:val="59044790"/>
    <w:rsid w:val="59091DA7"/>
    <w:rsid w:val="5914721D"/>
    <w:rsid w:val="592117E6"/>
    <w:rsid w:val="592D3CE7"/>
    <w:rsid w:val="593A6404"/>
    <w:rsid w:val="594D6137"/>
    <w:rsid w:val="595219A0"/>
    <w:rsid w:val="5954396A"/>
    <w:rsid w:val="59576FB6"/>
    <w:rsid w:val="59592D2E"/>
    <w:rsid w:val="59613991"/>
    <w:rsid w:val="59657925"/>
    <w:rsid w:val="5967369D"/>
    <w:rsid w:val="59682F71"/>
    <w:rsid w:val="596E0AC8"/>
    <w:rsid w:val="596F4300"/>
    <w:rsid w:val="59747B68"/>
    <w:rsid w:val="5980650D"/>
    <w:rsid w:val="5987789B"/>
    <w:rsid w:val="598A2EE8"/>
    <w:rsid w:val="59995821"/>
    <w:rsid w:val="599E0C2C"/>
    <w:rsid w:val="59A10231"/>
    <w:rsid w:val="59AC10B0"/>
    <w:rsid w:val="59AF294E"/>
    <w:rsid w:val="59B60181"/>
    <w:rsid w:val="59BB5797"/>
    <w:rsid w:val="59C83A10"/>
    <w:rsid w:val="59C90516"/>
    <w:rsid w:val="59CF4D9E"/>
    <w:rsid w:val="59D14FBA"/>
    <w:rsid w:val="59DD74BB"/>
    <w:rsid w:val="59E051FD"/>
    <w:rsid w:val="59E15A54"/>
    <w:rsid w:val="59E7658C"/>
    <w:rsid w:val="59EA607C"/>
    <w:rsid w:val="59EE16C8"/>
    <w:rsid w:val="59F34F42"/>
    <w:rsid w:val="59FB5B93"/>
    <w:rsid w:val="5A0451E6"/>
    <w:rsid w:val="5A0F267B"/>
    <w:rsid w:val="5A144EA7"/>
    <w:rsid w:val="5A1530F9"/>
    <w:rsid w:val="5A1D1FAE"/>
    <w:rsid w:val="5A2C5B56"/>
    <w:rsid w:val="5A3F1838"/>
    <w:rsid w:val="5A405C9C"/>
    <w:rsid w:val="5A407A4A"/>
    <w:rsid w:val="5A421A14"/>
    <w:rsid w:val="5A453743"/>
    <w:rsid w:val="5A475571"/>
    <w:rsid w:val="5A601E9A"/>
    <w:rsid w:val="5A663955"/>
    <w:rsid w:val="5A715E56"/>
    <w:rsid w:val="5A7B6CD4"/>
    <w:rsid w:val="5A84202D"/>
    <w:rsid w:val="5A8C0EE1"/>
    <w:rsid w:val="5A92474A"/>
    <w:rsid w:val="5A957D96"/>
    <w:rsid w:val="5AA91A93"/>
    <w:rsid w:val="5AB83A84"/>
    <w:rsid w:val="5ABC17C7"/>
    <w:rsid w:val="5AC468CD"/>
    <w:rsid w:val="5ACB37B8"/>
    <w:rsid w:val="5AD6536A"/>
    <w:rsid w:val="5ADF54B5"/>
    <w:rsid w:val="5AE66844"/>
    <w:rsid w:val="5AEB20AC"/>
    <w:rsid w:val="5AEC372E"/>
    <w:rsid w:val="5AEE56F8"/>
    <w:rsid w:val="5AF251E8"/>
    <w:rsid w:val="5AF54CD9"/>
    <w:rsid w:val="5B04316E"/>
    <w:rsid w:val="5B092532"/>
    <w:rsid w:val="5B0E18F6"/>
    <w:rsid w:val="5B180C4A"/>
    <w:rsid w:val="5B206834"/>
    <w:rsid w:val="5B4F263B"/>
    <w:rsid w:val="5B8D6CBF"/>
    <w:rsid w:val="5B9C643C"/>
    <w:rsid w:val="5BA04C44"/>
    <w:rsid w:val="5BA54009"/>
    <w:rsid w:val="5BA65FD3"/>
    <w:rsid w:val="5BA67D81"/>
    <w:rsid w:val="5BA83942"/>
    <w:rsid w:val="5BB4164A"/>
    <w:rsid w:val="5BC8419B"/>
    <w:rsid w:val="5BDC19F5"/>
    <w:rsid w:val="5BE2700B"/>
    <w:rsid w:val="5BF40AEC"/>
    <w:rsid w:val="5BFD3E45"/>
    <w:rsid w:val="5C0351D3"/>
    <w:rsid w:val="5C036F81"/>
    <w:rsid w:val="5C076A71"/>
    <w:rsid w:val="5C0827EA"/>
    <w:rsid w:val="5C0A47B4"/>
    <w:rsid w:val="5C116A0B"/>
    <w:rsid w:val="5C237623"/>
    <w:rsid w:val="5C2515ED"/>
    <w:rsid w:val="5C2C472A"/>
    <w:rsid w:val="5C3A6E47"/>
    <w:rsid w:val="5C4557EC"/>
    <w:rsid w:val="5C4B1054"/>
    <w:rsid w:val="5C4C0928"/>
    <w:rsid w:val="5C5617A7"/>
    <w:rsid w:val="5C594DF3"/>
    <w:rsid w:val="5C653798"/>
    <w:rsid w:val="5C657C3C"/>
    <w:rsid w:val="5C6E089F"/>
    <w:rsid w:val="5C7D4F86"/>
    <w:rsid w:val="5C8A31FF"/>
    <w:rsid w:val="5C930305"/>
    <w:rsid w:val="5C981DBF"/>
    <w:rsid w:val="5CA6628A"/>
    <w:rsid w:val="5CAE4E9B"/>
    <w:rsid w:val="5CBD1826"/>
    <w:rsid w:val="5CBF559E"/>
    <w:rsid w:val="5CD821BC"/>
    <w:rsid w:val="5CEB6393"/>
    <w:rsid w:val="5CFE60C6"/>
    <w:rsid w:val="5D0336DD"/>
    <w:rsid w:val="5D042FB1"/>
    <w:rsid w:val="5D080CF3"/>
    <w:rsid w:val="5D097308"/>
    <w:rsid w:val="5D1256CE"/>
    <w:rsid w:val="5D170F36"/>
    <w:rsid w:val="5D172CE4"/>
    <w:rsid w:val="5D1A0A26"/>
    <w:rsid w:val="5D355860"/>
    <w:rsid w:val="5D375134"/>
    <w:rsid w:val="5D3F66DF"/>
    <w:rsid w:val="5D423AD9"/>
    <w:rsid w:val="5D521F6E"/>
    <w:rsid w:val="5D543F38"/>
    <w:rsid w:val="5D5850AB"/>
    <w:rsid w:val="5D6D4FFA"/>
    <w:rsid w:val="5D7303A1"/>
    <w:rsid w:val="5D755C5D"/>
    <w:rsid w:val="5D812854"/>
    <w:rsid w:val="5D8A795A"/>
    <w:rsid w:val="5D8B36D2"/>
    <w:rsid w:val="5D8C2987"/>
    <w:rsid w:val="5D9407D9"/>
    <w:rsid w:val="5D942587"/>
    <w:rsid w:val="5D972077"/>
    <w:rsid w:val="5D99194B"/>
    <w:rsid w:val="5D995DEF"/>
    <w:rsid w:val="5D9E51B4"/>
    <w:rsid w:val="5DA30A1C"/>
    <w:rsid w:val="5DAB78D0"/>
    <w:rsid w:val="5DB42C29"/>
    <w:rsid w:val="5DB6074F"/>
    <w:rsid w:val="5DBC1ADE"/>
    <w:rsid w:val="5DCA41FA"/>
    <w:rsid w:val="5DCB3ACF"/>
    <w:rsid w:val="5DD13863"/>
    <w:rsid w:val="5DD40BD5"/>
    <w:rsid w:val="5DD46E27"/>
    <w:rsid w:val="5DDC3F2E"/>
    <w:rsid w:val="5DEB5F1F"/>
    <w:rsid w:val="5DF801C3"/>
    <w:rsid w:val="5DFB0858"/>
    <w:rsid w:val="5E055233"/>
    <w:rsid w:val="5E1D07CE"/>
    <w:rsid w:val="5E1E62F4"/>
    <w:rsid w:val="5E2A2EEB"/>
    <w:rsid w:val="5E2F0501"/>
    <w:rsid w:val="5E2F22B0"/>
    <w:rsid w:val="5E4C4C10"/>
    <w:rsid w:val="5E5A60BF"/>
    <w:rsid w:val="5E6C7060"/>
    <w:rsid w:val="5E7423B8"/>
    <w:rsid w:val="5E7B72A3"/>
    <w:rsid w:val="5E7F4FE5"/>
    <w:rsid w:val="5E8425FB"/>
    <w:rsid w:val="5E895738"/>
    <w:rsid w:val="5E916AC6"/>
    <w:rsid w:val="5EB153BA"/>
    <w:rsid w:val="5EB6477F"/>
    <w:rsid w:val="5ECB022A"/>
    <w:rsid w:val="5ECB647C"/>
    <w:rsid w:val="5ED370DF"/>
    <w:rsid w:val="5EE70DDC"/>
    <w:rsid w:val="5EF37781"/>
    <w:rsid w:val="5EF86B45"/>
    <w:rsid w:val="5F092B01"/>
    <w:rsid w:val="5F096FA4"/>
    <w:rsid w:val="5F106EAF"/>
    <w:rsid w:val="5F166FCB"/>
    <w:rsid w:val="5F1C2834"/>
    <w:rsid w:val="5F1C6CD8"/>
    <w:rsid w:val="5F1D035A"/>
    <w:rsid w:val="5F1E0B13"/>
    <w:rsid w:val="5F28567D"/>
    <w:rsid w:val="5F2931A3"/>
    <w:rsid w:val="5F2B0CC9"/>
    <w:rsid w:val="5F2E2B9C"/>
    <w:rsid w:val="5F3D09FC"/>
    <w:rsid w:val="5F48187B"/>
    <w:rsid w:val="5F4F0E5B"/>
    <w:rsid w:val="5F5521EA"/>
    <w:rsid w:val="5F5A7800"/>
    <w:rsid w:val="5F630463"/>
    <w:rsid w:val="5F685A79"/>
    <w:rsid w:val="5F742670"/>
    <w:rsid w:val="5F7563E8"/>
    <w:rsid w:val="5F795ED8"/>
    <w:rsid w:val="5F814D8D"/>
    <w:rsid w:val="5F950838"/>
    <w:rsid w:val="5F990328"/>
    <w:rsid w:val="5FA12D39"/>
    <w:rsid w:val="5FA171DD"/>
    <w:rsid w:val="5FAD7930"/>
    <w:rsid w:val="5FB213EA"/>
    <w:rsid w:val="5FCD7FD2"/>
    <w:rsid w:val="5FE07D05"/>
    <w:rsid w:val="5FE13A7D"/>
    <w:rsid w:val="5FF003B5"/>
    <w:rsid w:val="5FF27A39"/>
    <w:rsid w:val="5FF76DFD"/>
    <w:rsid w:val="600B28A8"/>
    <w:rsid w:val="600D03CE"/>
    <w:rsid w:val="601156CE"/>
    <w:rsid w:val="60116111"/>
    <w:rsid w:val="602F6597"/>
    <w:rsid w:val="60324AAA"/>
    <w:rsid w:val="60397415"/>
    <w:rsid w:val="6045400C"/>
    <w:rsid w:val="604638E0"/>
    <w:rsid w:val="604C0EF7"/>
    <w:rsid w:val="604F4E8B"/>
    <w:rsid w:val="605204D7"/>
    <w:rsid w:val="60524B81"/>
    <w:rsid w:val="60591866"/>
    <w:rsid w:val="60636240"/>
    <w:rsid w:val="607C7302"/>
    <w:rsid w:val="607E751E"/>
    <w:rsid w:val="60917251"/>
    <w:rsid w:val="60AC7BE7"/>
    <w:rsid w:val="60AE1BB1"/>
    <w:rsid w:val="60AE3960"/>
    <w:rsid w:val="60B46A9C"/>
    <w:rsid w:val="60BB7E2A"/>
    <w:rsid w:val="60BD0047"/>
    <w:rsid w:val="60C767CF"/>
    <w:rsid w:val="60D4713E"/>
    <w:rsid w:val="60D86C2E"/>
    <w:rsid w:val="60DD2497"/>
    <w:rsid w:val="60E43825"/>
    <w:rsid w:val="60F35816"/>
    <w:rsid w:val="60F670B5"/>
    <w:rsid w:val="60FA4DF7"/>
    <w:rsid w:val="60FF240D"/>
    <w:rsid w:val="61045C75"/>
    <w:rsid w:val="61135EB8"/>
    <w:rsid w:val="6118702B"/>
    <w:rsid w:val="612400C6"/>
    <w:rsid w:val="61273712"/>
    <w:rsid w:val="612B3202"/>
    <w:rsid w:val="61300818"/>
    <w:rsid w:val="613A3445"/>
    <w:rsid w:val="613A51F3"/>
    <w:rsid w:val="61532759"/>
    <w:rsid w:val="6155027F"/>
    <w:rsid w:val="61565DA5"/>
    <w:rsid w:val="615A7643"/>
    <w:rsid w:val="61671D60"/>
    <w:rsid w:val="6175447D"/>
    <w:rsid w:val="617701F5"/>
    <w:rsid w:val="61B01959"/>
    <w:rsid w:val="61B2747F"/>
    <w:rsid w:val="61C471B3"/>
    <w:rsid w:val="61C55405"/>
    <w:rsid w:val="61CB22EF"/>
    <w:rsid w:val="61D03DA9"/>
    <w:rsid w:val="61D4389A"/>
    <w:rsid w:val="61D45648"/>
    <w:rsid w:val="61D90EB0"/>
    <w:rsid w:val="61DB57A4"/>
    <w:rsid w:val="61E15FB7"/>
    <w:rsid w:val="61EA4E6B"/>
    <w:rsid w:val="61EB473F"/>
    <w:rsid w:val="61F23D20"/>
    <w:rsid w:val="61F45CEA"/>
    <w:rsid w:val="61F53810"/>
    <w:rsid w:val="61FB64EC"/>
    <w:rsid w:val="620147DB"/>
    <w:rsid w:val="62045801"/>
    <w:rsid w:val="620D46B6"/>
    <w:rsid w:val="62173786"/>
    <w:rsid w:val="62255EA3"/>
    <w:rsid w:val="62257C51"/>
    <w:rsid w:val="6239194F"/>
    <w:rsid w:val="62397BA1"/>
    <w:rsid w:val="623B56C7"/>
    <w:rsid w:val="623F6839"/>
    <w:rsid w:val="624F54D5"/>
    <w:rsid w:val="62560479"/>
    <w:rsid w:val="626D33A6"/>
    <w:rsid w:val="627110E9"/>
    <w:rsid w:val="6283706E"/>
    <w:rsid w:val="62946B85"/>
    <w:rsid w:val="629B7E4D"/>
    <w:rsid w:val="629D0130"/>
    <w:rsid w:val="629D1EDE"/>
    <w:rsid w:val="62A0377C"/>
    <w:rsid w:val="62AC0373"/>
    <w:rsid w:val="62B62F9F"/>
    <w:rsid w:val="62BD13CD"/>
    <w:rsid w:val="62C456BC"/>
    <w:rsid w:val="62C95A09"/>
    <w:rsid w:val="62CA07F9"/>
    <w:rsid w:val="62CC27C3"/>
    <w:rsid w:val="62CD2097"/>
    <w:rsid w:val="62D376AD"/>
    <w:rsid w:val="62DD677E"/>
    <w:rsid w:val="62F12229"/>
    <w:rsid w:val="62FD0BCE"/>
    <w:rsid w:val="630F445E"/>
    <w:rsid w:val="631D4DCC"/>
    <w:rsid w:val="63350368"/>
    <w:rsid w:val="633B5253"/>
    <w:rsid w:val="63424833"/>
    <w:rsid w:val="63471E49"/>
    <w:rsid w:val="635C3B47"/>
    <w:rsid w:val="635D341B"/>
    <w:rsid w:val="63660521"/>
    <w:rsid w:val="636E387A"/>
    <w:rsid w:val="637744A5"/>
    <w:rsid w:val="637846F9"/>
    <w:rsid w:val="63827325"/>
    <w:rsid w:val="63A4729C"/>
    <w:rsid w:val="63BC2837"/>
    <w:rsid w:val="63BC6393"/>
    <w:rsid w:val="63BE65AF"/>
    <w:rsid w:val="63BF40D6"/>
    <w:rsid w:val="63C90AB0"/>
    <w:rsid w:val="63CC234F"/>
    <w:rsid w:val="63CD67F3"/>
    <w:rsid w:val="63D25BB7"/>
    <w:rsid w:val="63D336DD"/>
    <w:rsid w:val="63DA4A6C"/>
    <w:rsid w:val="63E31B72"/>
    <w:rsid w:val="63EB4ECB"/>
    <w:rsid w:val="63F91396"/>
    <w:rsid w:val="63F975E8"/>
    <w:rsid w:val="63FC2C34"/>
    <w:rsid w:val="64021E51"/>
    <w:rsid w:val="640F6E0B"/>
    <w:rsid w:val="641A755E"/>
    <w:rsid w:val="64202DC6"/>
    <w:rsid w:val="64234664"/>
    <w:rsid w:val="642503DD"/>
    <w:rsid w:val="64281C7B"/>
    <w:rsid w:val="642D7291"/>
    <w:rsid w:val="64356146"/>
    <w:rsid w:val="643E4FFA"/>
    <w:rsid w:val="644665A5"/>
    <w:rsid w:val="6449557A"/>
    <w:rsid w:val="644B7137"/>
    <w:rsid w:val="645760BC"/>
    <w:rsid w:val="645B5161"/>
    <w:rsid w:val="645E38EF"/>
    <w:rsid w:val="64610CE9"/>
    <w:rsid w:val="646627A3"/>
    <w:rsid w:val="646802C9"/>
    <w:rsid w:val="646F78AA"/>
    <w:rsid w:val="648275DD"/>
    <w:rsid w:val="648A0240"/>
    <w:rsid w:val="648C045C"/>
    <w:rsid w:val="64A86918"/>
    <w:rsid w:val="64AF7CA6"/>
    <w:rsid w:val="64B11C70"/>
    <w:rsid w:val="64BE438D"/>
    <w:rsid w:val="64C01EB3"/>
    <w:rsid w:val="64C23E7D"/>
    <w:rsid w:val="64C71494"/>
    <w:rsid w:val="64CF659A"/>
    <w:rsid w:val="64D12312"/>
    <w:rsid w:val="64D4770D"/>
    <w:rsid w:val="64D67929"/>
    <w:rsid w:val="64DB6CED"/>
    <w:rsid w:val="64E21E2A"/>
    <w:rsid w:val="64EF09EB"/>
    <w:rsid w:val="64F16511"/>
    <w:rsid w:val="64F45994"/>
    <w:rsid w:val="64FF0C2E"/>
    <w:rsid w:val="651A5A67"/>
    <w:rsid w:val="651B533C"/>
    <w:rsid w:val="652D3558"/>
    <w:rsid w:val="65307FA7"/>
    <w:rsid w:val="65384140"/>
    <w:rsid w:val="653F54CE"/>
    <w:rsid w:val="654F0FE3"/>
    <w:rsid w:val="65556AA0"/>
    <w:rsid w:val="655A2308"/>
    <w:rsid w:val="657809E0"/>
    <w:rsid w:val="657D5FF6"/>
    <w:rsid w:val="65864EAB"/>
    <w:rsid w:val="65921AA2"/>
    <w:rsid w:val="6598698C"/>
    <w:rsid w:val="659C34FD"/>
    <w:rsid w:val="65A658DB"/>
    <w:rsid w:val="65BF660F"/>
    <w:rsid w:val="65C6799D"/>
    <w:rsid w:val="65CE6852"/>
    <w:rsid w:val="65DA0D53"/>
    <w:rsid w:val="65E41BD1"/>
    <w:rsid w:val="65F067C8"/>
    <w:rsid w:val="65F362B8"/>
    <w:rsid w:val="65F55B8D"/>
    <w:rsid w:val="65F8073B"/>
    <w:rsid w:val="65FE0EE5"/>
    <w:rsid w:val="6609788A"/>
    <w:rsid w:val="660D1128"/>
    <w:rsid w:val="661204ED"/>
    <w:rsid w:val="66134265"/>
    <w:rsid w:val="661E1587"/>
    <w:rsid w:val="6623094C"/>
    <w:rsid w:val="66291CDA"/>
    <w:rsid w:val="662B7800"/>
    <w:rsid w:val="66302C45"/>
    <w:rsid w:val="663678D6"/>
    <w:rsid w:val="663C7C5F"/>
    <w:rsid w:val="663F14FE"/>
    <w:rsid w:val="66430FEE"/>
    <w:rsid w:val="664E34EF"/>
    <w:rsid w:val="6650370B"/>
    <w:rsid w:val="66652D12"/>
    <w:rsid w:val="666D606B"/>
    <w:rsid w:val="667F741C"/>
    <w:rsid w:val="66811B16"/>
    <w:rsid w:val="668A4527"/>
    <w:rsid w:val="668D2269"/>
    <w:rsid w:val="668D4017"/>
    <w:rsid w:val="669058B5"/>
    <w:rsid w:val="66925AD1"/>
    <w:rsid w:val="6692787F"/>
    <w:rsid w:val="669453A6"/>
    <w:rsid w:val="66A575B3"/>
    <w:rsid w:val="66A870A3"/>
    <w:rsid w:val="66BE68C6"/>
    <w:rsid w:val="66CD6B09"/>
    <w:rsid w:val="66D734E4"/>
    <w:rsid w:val="66DD4F9F"/>
    <w:rsid w:val="66E16111"/>
    <w:rsid w:val="66E225B5"/>
    <w:rsid w:val="66E4436D"/>
    <w:rsid w:val="66EC3434"/>
    <w:rsid w:val="66EC51E2"/>
    <w:rsid w:val="66ED3F8F"/>
    <w:rsid w:val="66F145A6"/>
    <w:rsid w:val="66F8450D"/>
    <w:rsid w:val="66FB3677"/>
    <w:rsid w:val="66FB71D3"/>
    <w:rsid w:val="66FF3A34"/>
    <w:rsid w:val="67097FBB"/>
    <w:rsid w:val="670B31DF"/>
    <w:rsid w:val="670C5884"/>
    <w:rsid w:val="670F0ED0"/>
    <w:rsid w:val="67144738"/>
    <w:rsid w:val="67191D4F"/>
    <w:rsid w:val="671B5AC7"/>
    <w:rsid w:val="67220C03"/>
    <w:rsid w:val="67256946"/>
    <w:rsid w:val="672E57FA"/>
    <w:rsid w:val="67304223"/>
    <w:rsid w:val="673152EA"/>
    <w:rsid w:val="67362901"/>
    <w:rsid w:val="674566A0"/>
    <w:rsid w:val="67492634"/>
    <w:rsid w:val="674F5770"/>
    <w:rsid w:val="67543B45"/>
    <w:rsid w:val="675B5EC3"/>
    <w:rsid w:val="67605F50"/>
    <w:rsid w:val="676C7036"/>
    <w:rsid w:val="676F196F"/>
    <w:rsid w:val="677376B1"/>
    <w:rsid w:val="677B6565"/>
    <w:rsid w:val="678C2521"/>
    <w:rsid w:val="67931B01"/>
    <w:rsid w:val="679A2E90"/>
    <w:rsid w:val="679B09B6"/>
    <w:rsid w:val="67BA0E3C"/>
    <w:rsid w:val="67BB4BB4"/>
    <w:rsid w:val="67C41CBB"/>
    <w:rsid w:val="67C91DE0"/>
    <w:rsid w:val="67C95523"/>
    <w:rsid w:val="67D16185"/>
    <w:rsid w:val="67D53EC8"/>
    <w:rsid w:val="67D6379C"/>
    <w:rsid w:val="67DA14DE"/>
    <w:rsid w:val="67DC5256"/>
    <w:rsid w:val="67DD2D7C"/>
    <w:rsid w:val="67E1711F"/>
    <w:rsid w:val="67E81E4D"/>
    <w:rsid w:val="67EA76E7"/>
    <w:rsid w:val="68014CBD"/>
    <w:rsid w:val="681A01F7"/>
    <w:rsid w:val="681E586F"/>
    <w:rsid w:val="682D5AB2"/>
    <w:rsid w:val="682E35D8"/>
    <w:rsid w:val="6837248C"/>
    <w:rsid w:val="683C7AA3"/>
    <w:rsid w:val="684E77D6"/>
    <w:rsid w:val="685E3EBD"/>
    <w:rsid w:val="686314D3"/>
    <w:rsid w:val="68660FC4"/>
    <w:rsid w:val="686F60CA"/>
    <w:rsid w:val="687E630D"/>
    <w:rsid w:val="68802085"/>
    <w:rsid w:val="68815DFE"/>
    <w:rsid w:val="689C49E5"/>
    <w:rsid w:val="68A85138"/>
    <w:rsid w:val="68AF4719"/>
    <w:rsid w:val="68B7537B"/>
    <w:rsid w:val="68C04838"/>
    <w:rsid w:val="68D777CC"/>
    <w:rsid w:val="68D91796"/>
    <w:rsid w:val="68F4037D"/>
    <w:rsid w:val="68F93BE6"/>
    <w:rsid w:val="69026F3E"/>
    <w:rsid w:val="690A5DF3"/>
    <w:rsid w:val="6917406C"/>
    <w:rsid w:val="691B3B5C"/>
    <w:rsid w:val="691B590A"/>
    <w:rsid w:val="691D5B26"/>
    <w:rsid w:val="69232A11"/>
    <w:rsid w:val="69236EB5"/>
    <w:rsid w:val="693370F8"/>
    <w:rsid w:val="693A2586"/>
    <w:rsid w:val="69407A67"/>
    <w:rsid w:val="6942558D"/>
    <w:rsid w:val="69434E61"/>
    <w:rsid w:val="69472BA3"/>
    <w:rsid w:val="695452C0"/>
    <w:rsid w:val="69562DE6"/>
    <w:rsid w:val="695663DB"/>
    <w:rsid w:val="69603C65"/>
    <w:rsid w:val="6962178B"/>
    <w:rsid w:val="69692B1A"/>
    <w:rsid w:val="69794D27"/>
    <w:rsid w:val="697B45FB"/>
    <w:rsid w:val="69825989"/>
    <w:rsid w:val="6994390F"/>
    <w:rsid w:val="699F29DF"/>
    <w:rsid w:val="69AF0748"/>
    <w:rsid w:val="69B31FE7"/>
    <w:rsid w:val="69B55D5F"/>
    <w:rsid w:val="69BF098B"/>
    <w:rsid w:val="69CC30A8"/>
    <w:rsid w:val="69D361E5"/>
    <w:rsid w:val="69D72179"/>
    <w:rsid w:val="69E00902"/>
    <w:rsid w:val="69FC00C9"/>
    <w:rsid w:val="6A152CA1"/>
    <w:rsid w:val="6A164324"/>
    <w:rsid w:val="6A1A02B8"/>
    <w:rsid w:val="6A22716C"/>
    <w:rsid w:val="6A2B7DCF"/>
    <w:rsid w:val="6A3273AF"/>
    <w:rsid w:val="6A350C4E"/>
    <w:rsid w:val="6A3550F2"/>
    <w:rsid w:val="6A3D3FA6"/>
    <w:rsid w:val="6A3D7B02"/>
    <w:rsid w:val="6A413A96"/>
    <w:rsid w:val="6A415844"/>
    <w:rsid w:val="6A464C09"/>
    <w:rsid w:val="6A4B66C3"/>
    <w:rsid w:val="6A4C5F97"/>
    <w:rsid w:val="6A5F3D9D"/>
    <w:rsid w:val="6A7D22F9"/>
    <w:rsid w:val="6A835E5D"/>
    <w:rsid w:val="6A8676FB"/>
    <w:rsid w:val="6A9040D6"/>
    <w:rsid w:val="6A9C2A7B"/>
    <w:rsid w:val="6A9E2C97"/>
    <w:rsid w:val="6AA3205B"/>
    <w:rsid w:val="6AAB53B4"/>
    <w:rsid w:val="6AAF4BF9"/>
    <w:rsid w:val="6AB029CA"/>
    <w:rsid w:val="6AB204F0"/>
    <w:rsid w:val="6AB26742"/>
    <w:rsid w:val="6ABF6769"/>
    <w:rsid w:val="6AC16985"/>
    <w:rsid w:val="6AC344AB"/>
    <w:rsid w:val="6ADE12E5"/>
    <w:rsid w:val="6AE0505D"/>
    <w:rsid w:val="6AE461D0"/>
    <w:rsid w:val="6AED1528"/>
    <w:rsid w:val="6AF939C6"/>
    <w:rsid w:val="6B0845B4"/>
    <w:rsid w:val="6B0D3978"/>
    <w:rsid w:val="6B1271E1"/>
    <w:rsid w:val="6B146AB5"/>
    <w:rsid w:val="6B1C1E0E"/>
    <w:rsid w:val="6B2111D2"/>
    <w:rsid w:val="6B23319C"/>
    <w:rsid w:val="6B272C8C"/>
    <w:rsid w:val="6B2A62D8"/>
    <w:rsid w:val="6B3709F5"/>
    <w:rsid w:val="6B3D425E"/>
    <w:rsid w:val="6B421874"/>
    <w:rsid w:val="6B4A0729"/>
    <w:rsid w:val="6B5C220A"/>
    <w:rsid w:val="6B637A3C"/>
    <w:rsid w:val="6B657311"/>
    <w:rsid w:val="6B671CE5"/>
    <w:rsid w:val="6B6A0DCB"/>
    <w:rsid w:val="6B6F63E1"/>
    <w:rsid w:val="6B84284F"/>
    <w:rsid w:val="6B947BF6"/>
    <w:rsid w:val="6B9B2D32"/>
    <w:rsid w:val="6B9D2F4E"/>
    <w:rsid w:val="6B9D4CFC"/>
    <w:rsid w:val="6BA047ED"/>
    <w:rsid w:val="6BA918F3"/>
    <w:rsid w:val="6BAE6F0A"/>
    <w:rsid w:val="6BAF67DE"/>
    <w:rsid w:val="6BC02799"/>
    <w:rsid w:val="6BCB7ABB"/>
    <w:rsid w:val="6BD12BF8"/>
    <w:rsid w:val="6BD526E8"/>
    <w:rsid w:val="6BD9385B"/>
    <w:rsid w:val="6BE0108D"/>
    <w:rsid w:val="6BE50451"/>
    <w:rsid w:val="6BE91CF0"/>
    <w:rsid w:val="6BF15048"/>
    <w:rsid w:val="6BF80185"/>
    <w:rsid w:val="6BFB7C75"/>
    <w:rsid w:val="6C101972"/>
    <w:rsid w:val="6C117498"/>
    <w:rsid w:val="6C1C3133"/>
    <w:rsid w:val="6C2A4EDF"/>
    <w:rsid w:val="6C2E3BA6"/>
    <w:rsid w:val="6C337F2A"/>
    <w:rsid w:val="6C375151"/>
    <w:rsid w:val="6C3C2767"/>
    <w:rsid w:val="6C417D7E"/>
    <w:rsid w:val="6C4258A4"/>
    <w:rsid w:val="6C4B29AA"/>
    <w:rsid w:val="6C5F6456"/>
    <w:rsid w:val="6C643A6C"/>
    <w:rsid w:val="6C6D0B73"/>
    <w:rsid w:val="6C755C79"/>
    <w:rsid w:val="6C830396"/>
    <w:rsid w:val="6C836853"/>
    <w:rsid w:val="6C9A56E0"/>
    <w:rsid w:val="6C9F6852"/>
    <w:rsid w:val="6CA83959"/>
    <w:rsid w:val="6CB70040"/>
    <w:rsid w:val="6CB74F5B"/>
    <w:rsid w:val="6CBC11B2"/>
    <w:rsid w:val="6CBE317C"/>
    <w:rsid w:val="6CC83FFB"/>
    <w:rsid w:val="6CCD1611"/>
    <w:rsid w:val="6CD81D64"/>
    <w:rsid w:val="6CE4695B"/>
    <w:rsid w:val="6CE60925"/>
    <w:rsid w:val="6CE626D3"/>
    <w:rsid w:val="6CF46B9E"/>
    <w:rsid w:val="6CFB4D33"/>
    <w:rsid w:val="6D0112BB"/>
    <w:rsid w:val="6D036096"/>
    <w:rsid w:val="6D1A237D"/>
    <w:rsid w:val="6D1B05CF"/>
    <w:rsid w:val="6D2531FB"/>
    <w:rsid w:val="6D445D7F"/>
    <w:rsid w:val="6D4B0788"/>
    <w:rsid w:val="6D5238C5"/>
    <w:rsid w:val="6D54763D"/>
    <w:rsid w:val="6D633D24"/>
    <w:rsid w:val="6D727197"/>
    <w:rsid w:val="6D7B106D"/>
    <w:rsid w:val="6D7E0B5E"/>
    <w:rsid w:val="6D837F22"/>
    <w:rsid w:val="6D88378A"/>
    <w:rsid w:val="6D8A12B0"/>
    <w:rsid w:val="6D8F3013"/>
    <w:rsid w:val="6D910891"/>
    <w:rsid w:val="6D94212F"/>
    <w:rsid w:val="6D943EDD"/>
    <w:rsid w:val="6D9702C2"/>
    <w:rsid w:val="6DA06D26"/>
    <w:rsid w:val="6DA305C4"/>
    <w:rsid w:val="6DA46816"/>
    <w:rsid w:val="6DA93E2C"/>
    <w:rsid w:val="6DB24ECA"/>
    <w:rsid w:val="6DBE53FE"/>
    <w:rsid w:val="6DC36570"/>
    <w:rsid w:val="6DD662A4"/>
    <w:rsid w:val="6DE52B9B"/>
    <w:rsid w:val="6DEC5AC7"/>
    <w:rsid w:val="6DF130DE"/>
    <w:rsid w:val="6DF332FA"/>
    <w:rsid w:val="6E027099"/>
    <w:rsid w:val="6E0C43BB"/>
    <w:rsid w:val="6E0F7A08"/>
    <w:rsid w:val="6E14501E"/>
    <w:rsid w:val="6E172BE7"/>
    <w:rsid w:val="6E1D0376"/>
    <w:rsid w:val="6E22598D"/>
    <w:rsid w:val="6E272FA3"/>
    <w:rsid w:val="6E3A2CD6"/>
    <w:rsid w:val="6E3A4A84"/>
    <w:rsid w:val="6E4753F3"/>
    <w:rsid w:val="6E5042A8"/>
    <w:rsid w:val="6E511DCE"/>
    <w:rsid w:val="6E5673E4"/>
    <w:rsid w:val="6E58315D"/>
    <w:rsid w:val="6E5C0E9F"/>
    <w:rsid w:val="6E602011"/>
    <w:rsid w:val="6E647D14"/>
    <w:rsid w:val="6E6C6C08"/>
    <w:rsid w:val="6E737F96"/>
    <w:rsid w:val="6E774A93"/>
    <w:rsid w:val="6E7F4B8D"/>
    <w:rsid w:val="6E8D72AA"/>
    <w:rsid w:val="6E91041D"/>
    <w:rsid w:val="6E957F0D"/>
    <w:rsid w:val="6EB365E5"/>
    <w:rsid w:val="6EBF142E"/>
    <w:rsid w:val="6ECE1671"/>
    <w:rsid w:val="6ED547AD"/>
    <w:rsid w:val="6EDC3D8E"/>
    <w:rsid w:val="6EDD18B4"/>
    <w:rsid w:val="6EEB2223"/>
    <w:rsid w:val="6EF410D7"/>
    <w:rsid w:val="6EF8049C"/>
    <w:rsid w:val="6EFC7F8C"/>
    <w:rsid w:val="6F03756C"/>
    <w:rsid w:val="6F173018"/>
    <w:rsid w:val="6F1C062E"/>
    <w:rsid w:val="6F235519"/>
    <w:rsid w:val="6F307C36"/>
    <w:rsid w:val="6F315FD1"/>
    <w:rsid w:val="6F3B4F58"/>
    <w:rsid w:val="6F3C482C"/>
    <w:rsid w:val="6F3F60CB"/>
    <w:rsid w:val="6F51652A"/>
    <w:rsid w:val="6F6049BF"/>
    <w:rsid w:val="6F60676D"/>
    <w:rsid w:val="6F6124E5"/>
    <w:rsid w:val="6F651FD5"/>
    <w:rsid w:val="6F6873CF"/>
    <w:rsid w:val="6F7C2E7B"/>
    <w:rsid w:val="6F7C731F"/>
    <w:rsid w:val="6F8E2729"/>
    <w:rsid w:val="6F981017"/>
    <w:rsid w:val="6FA0300D"/>
    <w:rsid w:val="6FA32AFD"/>
    <w:rsid w:val="6FA67EF8"/>
    <w:rsid w:val="6FAD1286"/>
    <w:rsid w:val="6FAD74D8"/>
    <w:rsid w:val="6FB24AEE"/>
    <w:rsid w:val="6FB6638D"/>
    <w:rsid w:val="6FBE1DFF"/>
    <w:rsid w:val="6FC0545D"/>
    <w:rsid w:val="6FCC795E"/>
    <w:rsid w:val="6FD35191"/>
    <w:rsid w:val="6FD44A65"/>
    <w:rsid w:val="6FD607DD"/>
    <w:rsid w:val="6FDC1B6B"/>
    <w:rsid w:val="6FDD600F"/>
    <w:rsid w:val="6FED3ECF"/>
    <w:rsid w:val="6FF944CB"/>
    <w:rsid w:val="6FFD045F"/>
    <w:rsid w:val="7007308C"/>
    <w:rsid w:val="700C06A3"/>
    <w:rsid w:val="700C2451"/>
    <w:rsid w:val="7019691C"/>
    <w:rsid w:val="701D465E"/>
    <w:rsid w:val="702E0619"/>
    <w:rsid w:val="702F16FB"/>
    <w:rsid w:val="703025E3"/>
    <w:rsid w:val="70311EB7"/>
    <w:rsid w:val="70333E81"/>
    <w:rsid w:val="703379DD"/>
    <w:rsid w:val="703402BC"/>
    <w:rsid w:val="703D6AAE"/>
    <w:rsid w:val="7040659E"/>
    <w:rsid w:val="70433998"/>
    <w:rsid w:val="70447E3C"/>
    <w:rsid w:val="70453BB5"/>
    <w:rsid w:val="705067E1"/>
    <w:rsid w:val="70587444"/>
    <w:rsid w:val="7064228D"/>
    <w:rsid w:val="70673B2B"/>
    <w:rsid w:val="706C7393"/>
    <w:rsid w:val="707029DF"/>
    <w:rsid w:val="707158DE"/>
    <w:rsid w:val="7073427E"/>
    <w:rsid w:val="7079629A"/>
    <w:rsid w:val="707A1AB0"/>
    <w:rsid w:val="70814BED"/>
    <w:rsid w:val="708244C1"/>
    <w:rsid w:val="708E2E66"/>
    <w:rsid w:val="709366CE"/>
    <w:rsid w:val="70981F36"/>
    <w:rsid w:val="70A73F27"/>
    <w:rsid w:val="70AD40D5"/>
    <w:rsid w:val="70AE3508"/>
    <w:rsid w:val="70B34FC2"/>
    <w:rsid w:val="70BF74C3"/>
    <w:rsid w:val="70C25205"/>
    <w:rsid w:val="70C745CA"/>
    <w:rsid w:val="70C76378"/>
    <w:rsid w:val="70D54F38"/>
    <w:rsid w:val="70DF36C1"/>
    <w:rsid w:val="70F21646"/>
    <w:rsid w:val="70F76C5D"/>
    <w:rsid w:val="70F80C27"/>
    <w:rsid w:val="70FC24C5"/>
    <w:rsid w:val="71015D2D"/>
    <w:rsid w:val="71123A97"/>
    <w:rsid w:val="71306613"/>
    <w:rsid w:val="71347EB1"/>
    <w:rsid w:val="71353C29"/>
    <w:rsid w:val="7141612A"/>
    <w:rsid w:val="71461992"/>
    <w:rsid w:val="71476A64"/>
    <w:rsid w:val="71494FDF"/>
    <w:rsid w:val="714A1482"/>
    <w:rsid w:val="714B0D57"/>
    <w:rsid w:val="714D0F73"/>
    <w:rsid w:val="715A71EC"/>
    <w:rsid w:val="71791D68"/>
    <w:rsid w:val="71A11A70"/>
    <w:rsid w:val="71A36DE5"/>
    <w:rsid w:val="71AF5789"/>
    <w:rsid w:val="71B52674"/>
    <w:rsid w:val="71C034F3"/>
    <w:rsid w:val="71C31235"/>
    <w:rsid w:val="71C54FAD"/>
    <w:rsid w:val="71C75C56"/>
    <w:rsid w:val="71DC5E53"/>
    <w:rsid w:val="71E52F59"/>
    <w:rsid w:val="71ED62B2"/>
    <w:rsid w:val="71F25676"/>
    <w:rsid w:val="71F47640"/>
    <w:rsid w:val="720E0702"/>
    <w:rsid w:val="721455EC"/>
    <w:rsid w:val="72233A82"/>
    <w:rsid w:val="722C0B88"/>
    <w:rsid w:val="724C273D"/>
    <w:rsid w:val="724C2FD8"/>
    <w:rsid w:val="72620A4E"/>
    <w:rsid w:val="726227FC"/>
    <w:rsid w:val="72695938"/>
    <w:rsid w:val="726C5429"/>
    <w:rsid w:val="728C5ACB"/>
    <w:rsid w:val="72936E59"/>
    <w:rsid w:val="72A9042B"/>
    <w:rsid w:val="72A9667D"/>
    <w:rsid w:val="72AC7F1B"/>
    <w:rsid w:val="72B15531"/>
    <w:rsid w:val="72B648F6"/>
    <w:rsid w:val="72BC63B0"/>
    <w:rsid w:val="72BF7C4E"/>
    <w:rsid w:val="72C9287B"/>
    <w:rsid w:val="72CB65F3"/>
    <w:rsid w:val="72D27981"/>
    <w:rsid w:val="72D74F98"/>
    <w:rsid w:val="72DB435C"/>
    <w:rsid w:val="72DC7DBD"/>
    <w:rsid w:val="72F316A6"/>
    <w:rsid w:val="73011D20"/>
    <w:rsid w:val="730D09BA"/>
    <w:rsid w:val="730D65CC"/>
    <w:rsid w:val="730D6C0C"/>
    <w:rsid w:val="73104006"/>
    <w:rsid w:val="7318110C"/>
    <w:rsid w:val="73214465"/>
    <w:rsid w:val="7329156C"/>
    <w:rsid w:val="73455D2A"/>
    <w:rsid w:val="735C36EF"/>
    <w:rsid w:val="73610D05"/>
    <w:rsid w:val="73642660"/>
    <w:rsid w:val="73656EEE"/>
    <w:rsid w:val="736D1458"/>
    <w:rsid w:val="736D76AA"/>
    <w:rsid w:val="737A1DC7"/>
    <w:rsid w:val="73814F04"/>
    <w:rsid w:val="738D5656"/>
    <w:rsid w:val="739A7D73"/>
    <w:rsid w:val="73A330CC"/>
    <w:rsid w:val="73AB01D2"/>
    <w:rsid w:val="73AC06C9"/>
    <w:rsid w:val="73B52DFF"/>
    <w:rsid w:val="73B54BAD"/>
    <w:rsid w:val="73B76B77"/>
    <w:rsid w:val="73BB6668"/>
    <w:rsid w:val="73BC418E"/>
    <w:rsid w:val="73BE7F06"/>
    <w:rsid w:val="73CA68AB"/>
    <w:rsid w:val="73CC268A"/>
    <w:rsid w:val="73D17C39"/>
    <w:rsid w:val="73D634A1"/>
    <w:rsid w:val="73D6524F"/>
    <w:rsid w:val="73D94D40"/>
    <w:rsid w:val="73E7745D"/>
    <w:rsid w:val="73ED4347"/>
    <w:rsid w:val="73EF6311"/>
    <w:rsid w:val="73F676A0"/>
    <w:rsid w:val="73F92CEC"/>
    <w:rsid w:val="74024296"/>
    <w:rsid w:val="74055B35"/>
    <w:rsid w:val="74094463"/>
    <w:rsid w:val="740F42BD"/>
    <w:rsid w:val="7416564C"/>
    <w:rsid w:val="741E6BF6"/>
    <w:rsid w:val="742F4960"/>
    <w:rsid w:val="74381A66"/>
    <w:rsid w:val="743D52CE"/>
    <w:rsid w:val="74454183"/>
    <w:rsid w:val="744A79EB"/>
    <w:rsid w:val="744C5512"/>
    <w:rsid w:val="744F5002"/>
    <w:rsid w:val="745148D6"/>
    <w:rsid w:val="746A1E3C"/>
    <w:rsid w:val="746E5488"/>
    <w:rsid w:val="74836A59"/>
    <w:rsid w:val="74856C75"/>
    <w:rsid w:val="749A44CF"/>
    <w:rsid w:val="74A23383"/>
    <w:rsid w:val="74A76BEC"/>
    <w:rsid w:val="74B55DA6"/>
    <w:rsid w:val="74B66E2F"/>
    <w:rsid w:val="74B70437"/>
    <w:rsid w:val="74C23A26"/>
    <w:rsid w:val="74C4154C"/>
    <w:rsid w:val="74C72DEA"/>
    <w:rsid w:val="74CC21AE"/>
    <w:rsid w:val="74DA2B1D"/>
    <w:rsid w:val="74DA48CB"/>
    <w:rsid w:val="74DE7F42"/>
    <w:rsid w:val="74E753AA"/>
    <w:rsid w:val="74F6722B"/>
    <w:rsid w:val="74F87447"/>
    <w:rsid w:val="75063912"/>
    <w:rsid w:val="751C1388"/>
    <w:rsid w:val="75220020"/>
    <w:rsid w:val="7524023C"/>
    <w:rsid w:val="75265D63"/>
    <w:rsid w:val="75297601"/>
    <w:rsid w:val="754D1541"/>
    <w:rsid w:val="75510906"/>
    <w:rsid w:val="75524DAA"/>
    <w:rsid w:val="75556648"/>
    <w:rsid w:val="7564688B"/>
    <w:rsid w:val="75703482"/>
    <w:rsid w:val="757545F4"/>
    <w:rsid w:val="757E5B9F"/>
    <w:rsid w:val="7590142E"/>
    <w:rsid w:val="75986535"/>
    <w:rsid w:val="75A31161"/>
    <w:rsid w:val="75AD0232"/>
    <w:rsid w:val="75B01AD0"/>
    <w:rsid w:val="75B415C0"/>
    <w:rsid w:val="75B72E5F"/>
    <w:rsid w:val="75BE5F9B"/>
    <w:rsid w:val="75C612F4"/>
    <w:rsid w:val="75CE1F56"/>
    <w:rsid w:val="75D27C98"/>
    <w:rsid w:val="75D94B83"/>
    <w:rsid w:val="75E35A02"/>
    <w:rsid w:val="75E8126A"/>
    <w:rsid w:val="75F06371"/>
    <w:rsid w:val="75F23E97"/>
    <w:rsid w:val="75FB0F9D"/>
    <w:rsid w:val="7601232C"/>
    <w:rsid w:val="76032465"/>
    <w:rsid w:val="760C31AA"/>
    <w:rsid w:val="760D6F22"/>
    <w:rsid w:val="76120095"/>
    <w:rsid w:val="761F01EE"/>
    <w:rsid w:val="7625426C"/>
    <w:rsid w:val="76263B40"/>
    <w:rsid w:val="762A1882"/>
    <w:rsid w:val="762C55FB"/>
    <w:rsid w:val="76373F9F"/>
    <w:rsid w:val="76530DD9"/>
    <w:rsid w:val="76564426"/>
    <w:rsid w:val="765661D4"/>
    <w:rsid w:val="766905FD"/>
    <w:rsid w:val="76766876"/>
    <w:rsid w:val="767825EE"/>
    <w:rsid w:val="768F5B89"/>
    <w:rsid w:val="769136B0"/>
    <w:rsid w:val="769D3E02"/>
    <w:rsid w:val="76A038F3"/>
    <w:rsid w:val="76A72ED3"/>
    <w:rsid w:val="76A96B60"/>
    <w:rsid w:val="76A96C4B"/>
    <w:rsid w:val="76AE4262"/>
    <w:rsid w:val="76B80C3C"/>
    <w:rsid w:val="76C21ABB"/>
    <w:rsid w:val="76C27D0D"/>
    <w:rsid w:val="76CA47FF"/>
    <w:rsid w:val="76DA04C6"/>
    <w:rsid w:val="76E063E5"/>
    <w:rsid w:val="76E47C83"/>
    <w:rsid w:val="76E77EC3"/>
    <w:rsid w:val="76E97048"/>
    <w:rsid w:val="76F123A0"/>
    <w:rsid w:val="76FD2AF3"/>
    <w:rsid w:val="770D1619"/>
    <w:rsid w:val="770F36A5"/>
    <w:rsid w:val="771B11CB"/>
    <w:rsid w:val="772067E2"/>
    <w:rsid w:val="77244524"/>
    <w:rsid w:val="773109EF"/>
    <w:rsid w:val="77440722"/>
    <w:rsid w:val="774626EC"/>
    <w:rsid w:val="77493F8A"/>
    <w:rsid w:val="775546DD"/>
    <w:rsid w:val="775D3592"/>
    <w:rsid w:val="7763329E"/>
    <w:rsid w:val="77737259"/>
    <w:rsid w:val="77813724"/>
    <w:rsid w:val="778D031B"/>
    <w:rsid w:val="77933457"/>
    <w:rsid w:val="77A13DC6"/>
    <w:rsid w:val="77B75398"/>
    <w:rsid w:val="77BE04D4"/>
    <w:rsid w:val="77BE6726"/>
    <w:rsid w:val="77C11D73"/>
    <w:rsid w:val="77C655DB"/>
    <w:rsid w:val="77D55DB6"/>
    <w:rsid w:val="77DE46D3"/>
    <w:rsid w:val="77F04406"/>
    <w:rsid w:val="77F17B5B"/>
    <w:rsid w:val="77F2017E"/>
    <w:rsid w:val="77FA34D6"/>
    <w:rsid w:val="77FF289B"/>
    <w:rsid w:val="78047EB1"/>
    <w:rsid w:val="780B56E4"/>
    <w:rsid w:val="780B7492"/>
    <w:rsid w:val="78126A72"/>
    <w:rsid w:val="78177BE5"/>
    <w:rsid w:val="781C169F"/>
    <w:rsid w:val="781E5417"/>
    <w:rsid w:val="782F3180"/>
    <w:rsid w:val="78322C70"/>
    <w:rsid w:val="78397B5B"/>
    <w:rsid w:val="783F0EE9"/>
    <w:rsid w:val="785726D7"/>
    <w:rsid w:val="786077DD"/>
    <w:rsid w:val="786170B2"/>
    <w:rsid w:val="786F17CF"/>
    <w:rsid w:val="78770683"/>
    <w:rsid w:val="788259A6"/>
    <w:rsid w:val="789B0816"/>
    <w:rsid w:val="78A10A94"/>
    <w:rsid w:val="78A82F32"/>
    <w:rsid w:val="78AC657F"/>
    <w:rsid w:val="78AD0549"/>
    <w:rsid w:val="78B13B95"/>
    <w:rsid w:val="78B6564F"/>
    <w:rsid w:val="78C0027C"/>
    <w:rsid w:val="78C7160B"/>
    <w:rsid w:val="78CA4C57"/>
    <w:rsid w:val="78D45AD6"/>
    <w:rsid w:val="78D57BD7"/>
    <w:rsid w:val="78DB3308"/>
    <w:rsid w:val="78E201F2"/>
    <w:rsid w:val="78E73A5B"/>
    <w:rsid w:val="78EE303B"/>
    <w:rsid w:val="78FB12B4"/>
    <w:rsid w:val="79020895"/>
    <w:rsid w:val="790463BB"/>
    <w:rsid w:val="79077C59"/>
    <w:rsid w:val="790E2D96"/>
    <w:rsid w:val="79134850"/>
    <w:rsid w:val="791660EE"/>
    <w:rsid w:val="791B1956"/>
    <w:rsid w:val="792B7DEB"/>
    <w:rsid w:val="792F71B0"/>
    <w:rsid w:val="79336CA0"/>
    <w:rsid w:val="793622EC"/>
    <w:rsid w:val="793F3897"/>
    <w:rsid w:val="794A5D98"/>
    <w:rsid w:val="794E5888"/>
    <w:rsid w:val="795308D5"/>
    <w:rsid w:val="79537342"/>
    <w:rsid w:val="7956298E"/>
    <w:rsid w:val="79586707"/>
    <w:rsid w:val="79751067"/>
    <w:rsid w:val="797F5A41"/>
    <w:rsid w:val="798219D5"/>
    <w:rsid w:val="79935991"/>
    <w:rsid w:val="79A4194C"/>
    <w:rsid w:val="79A61220"/>
    <w:rsid w:val="79B55907"/>
    <w:rsid w:val="79BD38A8"/>
    <w:rsid w:val="79D00993"/>
    <w:rsid w:val="79DA711C"/>
    <w:rsid w:val="79F00D50"/>
    <w:rsid w:val="79F71A7C"/>
    <w:rsid w:val="79FF3026"/>
    <w:rsid w:val="7A020420"/>
    <w:rsid w:val="7A04063C"/>
    <w:rsid w:val="7A066163"/>
    <w:rsid w:val="7A0B3779"/>
    <w:rsid w:val="7A0E72EF"/>
    <w:rsid w:val="7A106FE1"/>
    <w:rsid w:val="7A124B07"/>
    <w:rsid w:val="7A1A1C0E"/>
    <w:rsid w:val="7A2B7977"/>
    <w:rsid w:val="7A4B1DC7"/>
    <w:rsid w:val="7A4D1FE3"/>
    <w:rsid w:val="7A5C507C"/>
    <w:rsid w:val="7A664E53"/>
    <w:rsid w:val="7A6F1F5A"/>
    <w:rsid w:val="7A715CD2"/>
    <w:rsid w:val="7A721A4A"/>
    <w:rsid w:val="7A747570"/>
    <w:rsid w:val="7A772BBC"/>
    <w:rsid w:val="7A777060"/>
    <w:rsid w:val="7A8A28F0"/>
    <w:rsid w:val="7A97325F"/>
    <w:rsid w:val="7A9E639B"/>
    <w:rsid w:val="7AA716F4"/>
    <w:rsid w:val="7AB61937"/>
    <w:rsid w:val="7ABC71DB"/>
    <w:rsid w:val="7ABE2599"/>
    <w:rsid w:val="7AC202DC"/>
    <w:rsid w:val="7AC51B7A"/>
    <w:rsid w:val="7AC676A0"/>
    <w:rsid w:val="7ACD6C80"/>
    <w:rsid w:val="7AD4000F"/>
    <w:rsid w:val="7AE00762"/>
    <w:rsid w:val="7AE364A4"/>
    <w:rsid w:val="7AEA5A84"/>
    <w:rsid w:val="7AED2E7F"/>
    <w:rsid w:val="7AF10BC1"/>
    <w:rsid w:val="7AF1471D"/>
    <w:rsid w:val="7AF406B1"/>
    <w:rsid w:val="7AF81F4F"/>
    <w:rsid w:val="7AF97DE6"/>
    <w:rsid w:val="7AFB1A3F"/>
    <w:rsid w:val="7B0703E4"/>
    <w:rsid w:val="7B073F40"/>
    <w:rsid w:val="7B25086A"/>
    <w:rsid w:val="7B256ABC"/>
    <w:rsid w:val="7B2E3BC3"/>
    <w:rsid w:val="7B3665D4"/>
    <w:rsid w:val="7B3D7962"/>
    <w:rsid w:val="7B62561B"/>
    <w:rsid w:val="7B6475E5"/>
    <w:rsid w:val="7B66335D"/>
    <w:rsid w:val="7B6F25DC"/>
    <w:rsid w:val="7B70048C"/>
    <w:rsid w:val="7B786BEC"/>
    <w:rsid w:val="7B7A2964"/>
    <w:rsid w:val="7B7D06A6"/>
    <w:rsid w:val="7B851309"/>
    <w:rsid w:val="7B8C6B3B"/>
    <w:rsid w:val="7B9003DA"/>
    <w:rsid w:val="7B937ECA"/>
    <w:rsid w:val="7B9A6B62"/>
    <w:rsid w:val="7B9D6653"/>
    <w:rsid w:val="7B9F061D"/>
    <w:rsid w:val="7BA23C69"/>
    <w:rsid w:val="7BA479E1"/>
    <w:rsid w:val="7BA9149B"/>
    <w:rsid w:val="7BAD0F8C"/>
    <w:rsid w:val="7BAE1B6F"/>
    <w:rsid w:val="7BB120FE"/>
    <w:rsid w:val="7BB35E76"/>
    <w:rsid w:val="7BBC11CF"/>
    <w:rsid w:val="7BBD4F47"/>
    <w:rsid w:val="7BBF2A6D"/>
    <w:rsid w:val="7BCB1412"/>
    <w:rsid w:val="7BD77DB7"/>
    <w:rsid w:val="7BE10C35"/>
    <w:rsid w:val="7BE61DA8"/>
    <w:rsid w:val="7BE6624C"/>
    <w:rsid w:val="7BF72207"/>
    <w:rsid w:val="7BF85F7F"/>
    <w:rsid w:val="7C127041"/>
    <w:rsid w:val="7C140D1D"/>
    <w:rsid w:val="7C1E3C37"/>
    <w:rsid w:val="7C1F175E"/>
    <w:rsid w:val="7C206BB2"/>
    <w:rsid w:val="7C2428D0"/>
    <w:rsid w:val="7C26489A"/>
    <w:rsid w:val="7C291AB3"/>
    <w:rsid w:val="7C2A25DC"/>
    <w:rsid w:val="7C43369E"/>
    <w:rsid w:val="7C5B09E8"/>
    <w:rsid w:val="7C613B24"/>
    <w:rsid w:val="7C7575D0"/>
    <w:rsid w:val="7C7E0232"/>
    <w:rsid w:val="7C9712F4"/>
    <w:rsid w:val="7C977546"/>
    <w:rsid w:val="7CA13F21"/>
    <w:rsid w:val="7CA67789"/>
    <w:rsid w:val="7CCF4F32"/>
    <w:rsid w:val="7CD82038"/>
    <w:rsid w:val="7CDE5175"/>
    <w:rsid w:val="7CE564C5"/>
    <w:rsid w:val="7CE85FF3"/>
    <w:rsid w:val="7CEA58C8"/>
    <w:rsid w:val="7CF130FA"/>
    <w:rsid w:val="7CF44998"/>
    <w:rsid w:val="7CF83BBE"/>
    <w:rsid w:val="7D012C11"/>
    <w:rsid w:val="7D060228"/>
    <w:rsid w:val="7D23702C"/>
    <w:rsid w:val="7D292894"/>
    <w:rsid w:val="7D2A2168"/>
    <w:rsid w:val="7D2C56E1"/>
    <w:rsid w:val="7D32101D"/>
    <w:rsid w:val="7D3905FD"/>
    <w:rsid w:val="7D3A11C8"/>
    <w:rsid w:val="7D3B25C7"/>
    <w:rsid w:val="7D3C1E9E"/>
    <w:rsid w:val="7D3E5C13"/>
    <w:rsid w:val="7D40198C"/>
    <w:rsid w:val="7D407BDD"/>
    <w:rsid w:val="7D4551F4"/>
    <w:rsid w:val="7D4C6582"/>
    <w:rsid w:val="7D520FCF"/>
    <w:rsid w:val="7D545437"/>
    <w:rsid w:val="7D58717E"/>
    <w:rsid w:val="7D627B54"/>
    <w:rsid w:val="7D692C90"/>
    <w:rsid w:val="7D7004C3"/>
    <w:rsid w:val="7D731D61"/>
    <w:rsid w:val="7D7F0706"/>
    <w:rsid w:val="7D9341A0"/>
    <w:rsid w:val="7D9C12B8"/>
    <w:rsid w:val="7DB859C6"/>
    <w:rsid w:val="7DBA34EC"/>
    <w:rsid w:val="7DBA7990"/>
    <w:rsid w:val="7DC91981"/>
    <w:rsid w:val="7DD50326"/>
    <w:rsid w:val="7DD6409E"/>
    <w:rsid w:val="7DD86068"/>
    <w:rsid w:val="7DDE5E91"/>
    <w:rsid w:val="7DE1316F"/>
    <w:rsid w:val="7E026C41"/>
    <w:rsid w:val="7E10135E"/>
    <w:rsid w:val="7E12456A"/>
    <w:rsid w:val="7E1370A0"/>
    <w:rsid w:val="7E152E18"/>
    <w:rsid w:val="7E2412AD"/>
    <w:rsid w:val="7E260B81"/>
    <w:rsid w:val="7E325778"/>
    <w:rsid w:val="7E3A287F"/>
    <w:rsid w:val="7E40599F"/>
    <w:rsid w:val="7E4454AB"/>
    <w:rsid w:val="7E470AF8"/>
    <w:rsid w:val="7E5751DF"/>
    <w:rsid w:val="7E590F57"/>
    <w:rsid w:val="7E617E0B"/>
    <w:rsid w:val="7E6B42D4"/>
    <w:rsid w:val="7E6F077A"/>
    <w:rsid w:val="7E722019"/>
    <w:rsid w:val="7E752216"/>
    <w:rsid w:val="7E7A2C7B"/>
    <w:rsid w:val="7E9C0E44"/>
    <w:rsid w:val="7EA1645A"/>
    <w:rsid w:val="7EA83C8C"/>
    <w:rsid w:val="7EA877E8"/>
    <w:rsid w:val="7EAB552B"/>
    <w:rsid w:val="7EB4618D"/>
    <w:rsid w:val="7EBF4B32"/>
    <w:rsid w:val="7EC64112"/>
    <w:rsid w:val="7ECA3C03"/>
    <w:rsid w:val="7ED44A81"/>
    <w:rsid w:val="7EDC1B88"/>
    <w:rsid w:val="7EDE320A"/>
    <w:rsid w:val="7EE12CFA"/>
    <w:rsid w:val="7EE747B5"/>
    <w:rsid w:val="7EE84089"/>
    <w:rsid w:val="7EEC1DCB"/>
    <w:rsid w:val="7EF90044"/>
    <w:rsid w:val="7EF944E8"/>
    <w:rsid w:val="7F005876"/>
    <w:rsid w:val="7F0166FE"/>
    <w:rsid w:val="7F030EC3"/>
    <w:rsid w:val="7F0A3FFF"/>
    <w:rsid w:val="7F0D3BDC"/>
    <w:rsid w:val="7F0F7867"/>
    <w:rsid w:val="7F111831"/>
    <w:rsid w:val="7F166E48"/>
    <w:rsid w:val="7F2E23E3"/>
    <w:rsid w:val="7F3948E4"/>
    <w:rsid w:val="7F435763"/>
    <w:rsid w:val="7F437511"/>
    <w:rsid w:val="7F45772D"/>
    <w:rsid w:val="7F4A7735"/>
    <w:rsid w:val="7F4D0390"/>
    <w:rsid w:val="7F4F235A"/>
    <w:rsid w:val="7F5434CC"/>
    <w:rsid w:val="7F645E05"/>
    <w:rsid w:val="7F6C4CBA"/>
    <w:rsid w:val="7F7973D7"/>
    <w:rsid w:val="7F89761A"/>
    <w:rsid w:val="7F9935D5"/>
    <w:rsid w:val="7F9B734D"/>
    <w:rsid w:val="7FA2692E"/>
    <w:rsid w:val="7FAF4165"/>
    <w:rsid w:val="7FBE4DEA"/>
    <w:rsid w:val="7FC93EBA"/>
    <w:rsid w:val="7FCE327F"/>
    <w:rsid w:val="7FD12D6F"/>
    <w:rsid w:val="7FE01204"/>
    <w:rsid w:val="7FF802FC"/>
    <w:rsid w:val="7FF90A86"/>
    <w:rsid w:val="7FFB7DEC"/>
    <w:rsid w:val="FE7F99E1"/>
    <w:rsid w:val="FEF7F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iPriority="99"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qFormat="1" w:uiPriority="99" w:semiHidden="0"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39"/>
    <w:autoRedefine/>
    <w:unhideWhenUsed/>
    <w:qFormat/>
    <w:uiPriority w:val="0"/>
    <w:pPr>
      <w:keepNext/>
      <w:keepLines/>
      <w:spacing w:before="260" w:after="260" w:line="360" w:lineRule="auto"/>
      <w:ind w:firstLine="602" w:firstLineChars="200"/>
      <w:outlineLvl w:val="2"/>
    </w:pPr>
    <w:rPr>
      <w:rFonts w:ascii="仿宋_GB2312" w:eastAsia="仿宋_GB2312" w:cs="宋体"/>
      <w:b/>
      <w:bCs/>
      <w:sz w:val="30"/>
      <w:szCs w:val="20"/>
    </w:rPr>
  </w:style>
  <w:style w:type="paragraph" w:styleId="6">
    <w:name w:val="heading 4"/>
    <w:basedOn w:val="1"/>
    <w:next w:val="1"/>
    <w:autoRedefine/>
    <w:qFormat/>
    <w:uiPriority w:val="9"/>
    <w:pPr>
      <w:keepNext/>
      <w:keepLines/>
      <w:spacing w:before="280" w:after="290" w:line="372" w:lineRule="auto"/>
      <w:outlineLvl w:val="3"/>
    </w:pPr>
    <w:rPr>
      <w:rFonts w:ascii="Arial" w:hAnsi="Arial" w:eastAsia="黑体"/>
      <w:b/>
      <w:bCs/>
      <w:sz w:val="28"/>
      <w:szCs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autoRedefine/>
    <w:semiHidden/>
    <w:qFormat/>
    <w:uiPriority w:val="99"/>
    <w:pPr>
      <w:snapToGrid w:val="0"/>
      <w:jc w:val="left"/>
    </w:pPr>
    <w:rPr>
      <w:sz w:val="18"/>
      <w:szCs w:val="18"/>
    </w:rPr>
  </w:style>
  <w:style w:type="paragraph" w:styleId="7">
    <w:name w:val="List Number"/>
    <w:basedOn w:val="1"/>
    <w:autoRedefine/>
    <w:unhideWhenUsed/>
    <w:qFormat/>
    <w:uiPriority w:val="99"/>
    <w:pPr>
      <w:widowControl/>
      <w:numPr>
        <w:ilvl w:val="0"/>
        <w:numId w:val="1"/>
      </w:numPr>
      <w:tabs>
        <w:tab w:val="left" w:pos="454"/>
        <w:tab w:val="left" w:pos="720"/>
        <w:tab w:val="left" w:pos="899"/>
      </w:tabs>
      <w:spacing w:afterLines="50"/>
      <w:ind w:left="1414" w:hanging="284"/>
      <w:jc w:val="left"/>
    </w:pPr>
    <w:rPr>
      <w:kern w:val="0"/>
      <w:sz w:val="24"/>
      <w:szCs w:val="20"/>
    </w:rPr>
  </w:style>
  <w:style w:type="paragraph" w:styleId="8">
    <w:name w:val="Normal Indent"/>
    <w:basedOn w:val="1"/>
    <w:next w:val="1"/>
    <w:autoRedefine/>
    <w:unhideWhenUsed/>
    <w:qFormat/>
    <w:uiPriority w:val="0"/>
    <w:pPr>
      <w:ind w:firstLine="420"/>
    </w:pPr>
    <w:rPr>
      <w:szCs w:val="20"/>
    </w:rPr>
  </w:style>
  <w:style w:type="paragraph" w:styleId="9">
    <w:name w:val="caption"/>
    <w:basedOn w:val="1"/>
    <w:next w:val="1"/>
    <w:autoRedefine/>
    <w:unhideWhenUsed/>
    <w:qFormat/>
    <w:uiPriority w:val="99"/>
    <w:pPr>
      <w:spacing w:before="152"/>
    </w:pPr>
    <w:rPr>
      <w:rFonts w:ascii="Arial" w:hAnsi="Arial" w:eastAsia="黑体" w:cs="Arial"/>
      <w:sz w:val="20"/>
      <w:szCs w:val="20"/>
    </w:rPr>
  </w:style>
  <w:style w:type="paragraph" w:styleId="10">
    <w:name w:val="annotation text"/>
    <w:basedOn w:val="1"/>
    <w:link w:val="70"/>
    <w:autoRedefine/>
    <w:unhideWhenUsed/>
    <w:qFormat/>
    <w:uiPriority w:val="0"/>
    <w:pPr>
      <w:jc w:val="left"/>
    </w:pPr>
  </w:style>
  <w:style w:type="paragraph" w:styleId="11">
    <w:name w:val="Body Text 3"/>
    <w:basedOn w:val="1"/>
    <w:link w:val="47"/>
    <w:autoRedefine/>
    <w:unhideWhenUsed/>
    <w:qFormat/>
    <w:uiPriority w:val="99"/>
    <w:pPr>
      <w:spacing w:after="120"/>
    </w:pPr>
    <w:rPr>
      <w:sz w:val="16"/>
      <w:szCs w:val="16"/>
    </w:rPr>
  </w:style>
  <w:style w:type="paragraph" w:styleId="12">
    <w:name w:val="Body Text"/>
    <w:basedOn w:val="1"/>
    <w:next w:val="13"/>
    <w:link w:val="44"/>
    <w:autoRedefine/>
    <w:unhideWhenUsed/>
    <w:qFormat/>
    <w:uiPriority w:val="99"/>
    <w:pPr>
      <w:spacing w:after="120"/>
    </w:pPr>
  </w:style>
  <w:style w:type="paragraph" w:styleId="13">
    <w:name w:val="Body Text First Indent"/>
    <w:basedOn w:val="12"/>
    <w:next w:val="1"/>
    <w:autoRedefine/>
    <w:qFormat/>
    <w:uiPriority w:val="0"/>
    <w:pPr>
      <w:ind w:firstLine="420" w:firstLineChars="100"/>
    </w:pPr>
  </w:style>
  <w:style w:type="paragraph" w:styleId="14">
    <w:name w:val="Body Text Indent"/>
    <w:basedOn w:val="1"/>
    <w:next w:val="1"/>
    <w:link w:val="45"/>
    <w:autoRedefine/>
    <w:unhideWhenUsed/>
    <w:qFormat/>
    <w:uiPriority w:val="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5">
    <w:name w:val="List 2"/>
    <w:basedOn w:val="1"/>
    <w:autoRedefine/>
    <w:unhideWhenUsed/>
    <w:qFormat/>
    <w:uiPriority w:val="99"/>
    <w:pPr>
      <w:ind w:left="100" w:leftChars="200" w:hanging="200" w:hangingChars="200"/>
    </w:pPr>
  </w:style>
  <w:style w:type="paragraph" w:styleId="16">
    <w:name w:val="Block Text"/>
    <w:basedOn w:val="1"/>
    <w:next w:val="6"/>
    <w:autoRedefine/>
    <w:unhideWhenUsed/>
    <w:qFormat/>
    <w:uiPriority w:val="99"/>
    <w:pPr>
      <w:adjustRightInd w:val="0"/>
      <w:spacing w:line="300" w:lineRule="auto"/>
      <w:ind w:left="958" w:right="-120" w:rightChars="-120"/>
      <w:jc w:val="left"/>
    </w:pPr>
    <w:rPr>
      <w:rFonts w:ascii="宋体" w:hAnsi="宋体"/>
      <w:sz w:val="28"/>
    </w:rPr>
  </w:style>
  <w:style w:type="paragraph" w:styleId="17">
    <w:name w:val="Plain Text"/>
    <w:basedOn w:val="1"/>
    <w:next w:val="18"/>
    <w:link w:val="49"/>
    <w:autoRedefine/>
    <w:unhideWhenUsed/>
    <w:qFormat/>
    <w:uiPriority w:val="0"/>
    <w:rPr>
      <w:rFonts w:ascii="宋体" w:hAnsi="Courier New"/>
    </w:rPr>
  </w:style>
  <w:style w:type="paragraph" w:styleId="18">
    <w:name w:val="Date"/>
    <w:basedOn w:val="1"/>
    <w:next w:val="1"/>
    <w:link w:val="46"/>
    <w:autoRedefine/>
    <w:unhideWhenUsed/>
    <w:qFormat/>
    <w:uiPriority w:val="0"/>
    <w:pPr>
      <w:ind w:left="2500" w:leftChars="2500"/>
    </w:pPr>
    <w:rPr>
      <w:rFonts w:eastAsia="楷体_GB2312"/>
      <w:sz w:val="32"/>
      <w:szCs w:val="20"/>
    </w:rPr>
  </w:style>
  <w:style w:type="paragraph" w:styleId="19">
    <w:name w:val="Body Text Indent 2"/>
    <w:basedOn w:val="1"/>
    <w:link w:val="48"/>
    <w:autoRedefine/>
    <w:unhideWhenUsed/>
    <w:qFormat/>
    <w:uiPriority w:val="99"/>
    <w:pPr>
      <w:spacing w:after="120" w:line="480" w:lineRule="auto"/>
      <w:ind w:left="420" w:leftChars="200"/>
    </w:pPr>
  </w:style>
  <w:style w:type="paragraph" w:styleId="20">
    <w:name w:val="Balloon Text"/>
    <w:basedOn w:val="1"/>
    <w:link w:val="51"/>
    <w:autoRedefine/>
    <w:unhideWhenUsed/>
    <w:qFormat/>
    <w:uiPriority w:val="99"/>
    <w:rPr>
      <w:sz w:val="18"/>
      <w:szCs w:val="18"/>
    </w:rPr>
  </w:style>
  <w:style w:type="paragraph" w:styleId="21">
    <w:name w:val="footer"/>
    <w:basedOn w:val="1"/>
    <w:link w:val="43"/>
    <w:autoRedefine/>
    <w:unhideWhenUsed/>
    <w:qFormat/>
    <w:uiPriority w:val="99"/>
    <w:pPr>
      <w:tabs>
        <w:tab w:val="center" w:pos="4153"/>
        <w:tab w:val="right" w:pos="8306"/>
      </w:tabs>
      <w:snapToGrid w:val="0"/>
      <w:jc w:val="left"/>
    </w:pPr>
    <w:rPr>
      <w:sz w:val="18"/>
      <w:szCs w:val="18"/>
    </w:rPr>
  </w:style>
  <w:style w:type="paragraph" w:styleId="22">
    <w:name w:val="header"/>
    <w:basedOn w:val="1"/>
    <w:next w:val="19"/>
    <w:link w:val="4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tabs>
        <w:tab w:val="right" w:leader="dot" w:pos="8835"/>
      </w:tabs>
    </w:pPr>
    <w:rPr>
      <w:rFonts w:eastAsia="仿宋_GB2312"/>
      <w:sz w:val="32"/>
    </w:rPr>
  </w:style>
  <w:style w:type="paragraph" w:styleId="24">
    <w:name w:val="List"/>
    <w:basedOn w:val="1"/>
    <w:autoRedefine/>
    <w:unhideWhenUsed/>
    <w:qFormat/>
    <w:uiPriority w:val="99"/>
    <w:pPr>
      <w:ind w:left="200" w:hanging="200" w:hangingChars="200"/>
    </w:pPr>
    <w:rPr>
      <w:sz w:val="28"/>
    </w:rPr>
  </w:style>
  <w:style w:type="paragraph" w:styleId="25">
    <w:name w:val="toc 2"/>
    <w:basedOn w:val="1"/>
    <w:next w:val="1"/>
    <w:autoRedefine/>
    <w:unhideWhenUsed/>
    <w:qFormat/>
    <w:uiPriority w:val="99"/>
    <w:pPr>
      <w:spacing w:line="360" w:lineRule="auto"/>
      <w:ind w:firstLine="480" w:firstLineChars="200"/>
      <w:jc w:val="left"/>
    </w:pPr>
    <w:rPr>
      <w:rFonts w:ascii="宋体" w:hAnsi="宋体"/>
      <w:color w:val="000000"/>
      <w:sz w:val="24"/>
    </w:rPr>
  </w:style>
  <w:style w:type="paragraph" w:styleId="26">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paragraph" w:styleId="27">
    <w:name w:val="Title"/>
    <w:basedOn w:val="1"/>
    <w:next w:val="1"/>
    <w:link w:val="76"/>
    <w:autoRedefine/>
    <w:qFormat/>
    <w:uiPriority w:val="0"/>
    <w:pPr>
      <w:spacing w:before="240" w:after="60"/>
      <w:jc w:val="center"/>
      <w:outlineLvl w:val="0"/>
    </w:pPr>
    <w:rPr>
      <w:rFonts w:ascii="Arial" w:hAnsi="Arial" w:cs="Arial" w:eastAsiaTheme="minorEastAsia"/>
      <w:b/>
      <w:bCs/>
      <w:color w:val="000000"/>
      <w:sz w:val="32"/>
      <w:szCs w:val="32"/>
    </w:rPr>
  </w:style>
  <w:style w:type="paragraph" w:styleId="28">
    <w:name w:val="annotation subject"/>
    <w:basedOn w:val="10"/>
    <w:next w:val="10"/>
    <w:link w:val="50"/>
    <w:autoRedefine/>
    <w:unhideWhenUsed/>
    <w:qFormat/>
    <w:uiPriority w:val="99"/>
  </w:style>
  <w:style w:type="paragraph" w:styleId="29">
    <w:name w:val="Body Text First Indent 2"/>
    <w:basedOn w:val="14"/>
    <w:next w:val="1"/>
    <w:autoRedefine/>
    <w:qFormat/>
    <w:uiPriority w:val="0"/>
    <w:pPr>
      <w:ind w:firstLine="420" w:firstLineChars="200"/>
      <w:textAlignment w:val="baseline"/>
    </w:pPr>
    <w:rPr>
      <w:rFonts w:asciiTheme="minorHAnsi" w:hAnsiTheme="minorHAnsi" w:cstheme="minorBidi"/>
      <w:kern w:val="2"/>
      <w:sz w:val="28"/>
      <w:szCs w:val="22"/>
    </w:rPr>
  </w:style>
  <w:style w:type="table" w:styleId="31">
    <w:name w:val="Table Grid"/>
    <w:basedOn w:val="3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22"/>
    <w:rPr>
      <w:b/>
      <w:bCs/>
    </w:rPr>
  </w:style>
  <w:style w:type="character" w:styleId="34">
    <w:name w:val="FollowedHyperlink"/>
    <w:basedOn w:val="32"/>
    <w:autoRedefine/>
    <w:unhideWhenUsed/>
    <w:qFormat/>
    <w:uiPriority w:val="99"/>
    <w:rPr>
      <w:color w:val="954F72" w:themeColor="followedHyperlink"/>
      <w:u w:val="single"/>
      <w14:textFill>
        <w14:solidFill>
          <w14:schemeClr w14:val="folHlink"/>
        </w14:solidFill>
      </w14:textFill>
    </w:rPr>
  </w:style>
  <w:style w:type="character" w:styleId="35">
    <w:name w:val="Hyperlink"/>
    <w:autoRedefine/>
    <w:unhideWhenUsed/>
    <w:qFormat/>
    <w:uiPriority w:val="0"/>
    <w:rPr>
      <w:color w:val="0000FF"/>
      <w:u w:val="single"/>
    </w:rPr>
  </w:style>
  <w:style w:type="character" w:styleId="36">
    <w:name w:val="annotation reference"/>
    <w:autoRedefine/>
    <w:unhideWhenUsed/>
    <w:qFormat/>
    <w:uiPriority w:val="0"/>
    <w:rPr>
      <w:sz w:val="21"/>
      <w:szCs w:val="21"/>
    </w:rPr>
  </w:style>
  <w:style w:type="paragraph" w:customStyle="1" w:styleId="37">
    <w:name w:val="表格文字"/>
    <w:basedOn w:val="1"/>
    <w:next w:val="12"/>
    <w:autoRedefine/>
    <w:qFormat/>
    <w:uiPriority w:val="99"/>
    <w:pPr>
      <w:adjustRightInd w:val="0"/>
      <w:spacing w:line="420" w:lineRule="atLeast"/>
      <w:jc w:val="left"/>
      <w:textAlignment w:val="baseline"/>
    </w:pPr>
    <w:rPr>
      <w:kern w:val="0"/>
    </w:rPr>
  </w:style>
  <w:style w:type="paragraph" w:customStyle="1" w:styleId="38">
    <w:name w:val="签发人"/>
    <w:basedOn w:val="1"/>
    <w:autoRedefine/>
    <w:qFormat/>
    <w:uiPriority w:val="0"/>
    <w:rPr>
      <w:rFonts w:eastAsia="楷体"/>
      <w:sz w:val="32"/>
    </w:rPr>
  </w:style>
  <w:style w:type="character" w:customStyle="1" w:styleId="39">
    <w:name w:val="标题 3 字符"/>
    <w:basedOn w:val="32"/>
    <w:link w:val="5"/>
    <w:autoRedefine/>
    <w:qFormat/>
    <w:uiPriority w:val="0"/>
    <w:rPr>
      <w:rFonts w:ascii="仿宋_GB2312" w:hAnsi="Times New Roman" w:eastAsia="仿宋_GB2312" w:cs="宋体"/>
      <w:b/>
      <w:bCs/>
      <w:sz w:val="30"/>
      <w:szCs w:val="20"/>
    </w:rPr>
  </w:style>
  <w:style w:type="paragraph" w:customStyle="1" w:styleId="40">
    <w:name w:val="msonormal"/>
    <w:basedOn w:val="1"/>
    <w:autoRedefine/>
    <w:qFormat/>
    <w:uiPriority w:val="99"/>
    <w:pPr>
      <w:widowControl/>
      <w:spacing w:before="100" w:beforeAutospacing="1" w:after="100" w:afterAutospacing="1"/>
      <w:jc w:val="left"/>
    </w:pPr>
    <w:rPr>
      <w:rFonts w:ascii="宋体" w:hAnsi="宋体"/>
      <w:kern w:val="0"/>
      <w:sz w:val="24"/>
    </w:rPr>
  </w:style>
  <w:style w:type="character" w:customStyle="1" w:styleId="41">
    <w:name w:val="批注文字 字符"/>
    <w:basedOn w:val="32"/>
    <w:autoRedefine/>
    <w:semiHidden/>
    <w:qFormat/>
    <w:uiPriority w:val="0"/>
    <w:rPr>
      <w:rFonts w:ascii="Times New Roman" w:hAnsi="Times New Roman" w:eastAsia="宋体" w:cs="Times New Roman"/>
      <w:szCs w:val="24"/>
    </w:rPr>
  </w:style>
  <w:style w:type="character" w:customStyle="1" w:styleId="42">
    <w:name w:val="页眉 字符"/>
    <w:basedOn w:val="32"/>
    <w:link w:val="22"/>
    <w:autoRedefine/>
    <w:qFormat/>
    <w:uiPriority w:val="99"/>
    <w:rPr>
      <w:rFonts w:ascii="Times New Roman" w:hAnsi="Times New Roman" w:eastAsia="宋体" w:cs="Times New Roman"/>
      <w:sz w:val="18"/>
      <w:szCs w:val="18"/>
    </w:rPr>
  </w:style>
  <w:style w:type="character" w:customStyle="1" w:styleId="43">
    <w:name w:val="页脚 字符"/>
    <w:basedOn w:val="32"/>
    <w:link w:val="21"/>
    <w:autoRedefine/>
    <w:qFormat/>
    <w:uiPriority w:val="99"/>
    <w:rPr>
      <w:rFonts w:ascii="Times New Roman" w:hAnsi="Times New Roman" w:eastAsia="宋体" w:cs="Times New Roman"/>
      <w:sz w:val="18"/>
      <w:szCs w:val="18"/>
    </w:rPr>
  </w:style>
  <w:style w:type="character" w:customStyle="1" w:styleId="44">
    <w:name w:val="正文文本 字符"/>
    <w:basedOn w:val="32"/>
    <w:link w:val="12"/>
    <w:autoRedefine/>
    <w:semiHidden/>
    <w:qFormat/>
    <w:uiPriority w:val="99"/>
    <w:rPr>
      <w:rFonts w:ascii="Times New Roman" w:hAnsi="Times New Roman" w:eastAsia="宋体" w:cs="Times New Roman"/>
      <w:szCs w:val="24"/>
    </w:rPr>
  </w:style>
  <w:style w:type="character" w:customStyle="1" w:styleId="45">
    <w:name w:val="正文文本缩进 字符"/>
    <w:basedOn w:val="32"/>
    <w:link w:val="14"/>
    <w:autoRedefine/>
    <w:semiHidden/>
    <w:qFormat/>
    <w:uiPriority w:val="99"/>
    <w:rPr>
      <w:rFonts w:ascii="宋体" w:hAnsi="Times New Roman" w:eastAsia="宋体" w:cs="Times New Roman"/>
      <w:color w:val="000000"/>
      <w:kern w:val="0"/>
      <w:sz w:val="24"/>
      <w:szCs w:val="20"/>
    </w:rPr>
  </w:style>
  <w:style w:type="character" w:customStyle="1" w:styleId="46">
    <w:name w:val="日期 字符"/>
    <w:basedOn w:val="32"/>
    <w:link w:val="18"/>
    <w:autoRedefine/>
    <w:qFormat/>
    <w:uiPriority w:val="0"/>
    <w:rPr>
      <w:rFonts w:ascii="Times New Roman" w:hAnsi="Times New Roman" w:eastAsia="楷体_GB2312" w:cs="Times New Roman"/>
      <w:sz w:val="32"/>
      <w:szCs w:val="20"/>
    </w:rPr>
  </w:style>
  <w:style w:type="character" w:customStyle="1" w:styleId="47">
    <w:name w:val="正文文本 3 字符"/>
    <w:basedOn w:val="32"/>
    <w:link w:val="11"/>
    <w:autoRedefine/>
    <w:semiHidden/>
    <w:qFormat/>
    <w:uiPriority w:val="99"/>
    <w:rPr>
      <w:rFonts w:ascii="Times New Roman" w:hAnsi="Times New Roman" w:eastAsia="宋体" w:cs="Times New Roman"/>
      <w:sz w:val="16"/>
      <w:szCs w:val="16"/>
    </w:rPr>
  </w:style>
  <w:style w:type="character" w:customStyle="1" w:styleId="48">
    <w:name w:val="正文文本缩进 2 字符"/>
    <w:basedOn w:val="32"/>
    <w:link w:val="19"/>
    <w:autoRedefine/>
    <w:semiHidden/>
    <w:qFormat/>
    <w:uiPriority w:val="99"/>
    <w:rPr>
      <w:rFonts w:ascii="Times New Roman" w:hAnsi="Times New Roman" w:eastAsia="宋体" w:cs="Times New Roman"/>
      <w:szCs w:val="24"/>
    </w:rPr>
  </w:style>
  <w:style w:type="character" w:customStyle="1" w:styleId="49">
    <w:name w:val="纯文本 字符"/>
    <w:basedOn w:val="32"/>
    <w:link w:val="17"/>
    <w:autoRedefine/>
    <w:qFormat/>
    <w:uiPriority w:val="0"/>
    <w:rPr>
      <w:rFonts w:ascii="宋体" w:hAnsi="Courier New" w:eastAsia="宋体" w:cs="Times New Roman"/>
      <w:szCs w:val="24"/>
    </w:rPr>
  </w:style>
  <w:style w:type="character" w:customStyle="1" w:styleId="50">
    <w:name w:val="批注主题 字符"/>
    <w:basedOn w:val="41"/>
    <w:link w:val="28"/>
    <w:autoRedefine/>
    <w:semiHidden/>
    <w:qFormat/>
    <w:uiPriority w:val="99"/>
    <w:rPr>
      <w:rFonts w:ascii="Times New Roman" w:hAnsi="Times New Roman" w:eastAsia="宋体" w:cs="Times New Roman"/>
      <w:szCs w:val="24"/>
    </w:rPr>
  </w:style>
  <w:style w:type="character" w:customStyle="1" w:styleId="51">
    <w:name w:val="批注框文本 字符"/>
    <w:basedOn w:val="32"/>
    <w:link w:val="20"/>
    <w:autoRedefine/>
    <w:semiHidden/>
    <w:qFormat/>
    <w:uiPriority w:val="99"/>
    <w:rPr>
      <w:rFonts w:ascii="Times New Roman" w:hAnsi="Times New Roman" w:eastAsia="宋体" w:cs="Times New Roman"/>
      <w:sz w:val="18"/>
      <w:szCs w:val="18"/>
    </w:rPr>
  </w:style>
  <w:style w:type="paragraph" w:customStyle="1" w:styleId="52">
    <w:name w:val="列表段落1"/>
    <w:basedOn w:val="1"/>
    <w:autoRedefine/>
    <w:qFormat/>
    <w:uiPriority w:val="34"/>
    <w:pPr>
      <w:ind w:firstLine="420" w:firstLineChars="200"/>
    </w:pPr>
    <w:rPr>
      <w:rFonts w:ascii="Calibri" w:hAnsi="Calibri"/>
      <w:szCs w:val="22"/>
    </w:rPr>
  </w:style>
  <w:style w:type="paragraph" w:customStyle="1" w:styleId="53">
    <w:name w:val="正文_5"/>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54">
    <w:name w:val="正文_10"/>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55">
    <w:name w:val="正文_2_0"/>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customStyle="1" w:styleId="56">
    <w:name w:val="正文_14"/>
    <w:autoRedefine/>
    <w:qFormat/>
    <w:uiPriority w:val="99"/>
    <w:pPr>
      <w:spacing w:after="160" w:line="259" w:lineRule="auto"/>
    </w:pPr>
    <w:rPr>
      <w:rFonts w:ascii="Times New Roman" w:hAnsi="Times New Roman" w:eastAsia="宋体" w:cs="Times New Roman"/>
      <w:sz w:val="21"/>
      <w:lang w:val="en-US" w:eastAsia="zh-CN" w:bidi="ar-SA"/>
    </w:rPr>
  </w:style>
  <w:style w:type="paragraph" w:customStyle="1" w:styleId="57">
    <w:name w:val="列出段落1"/>
    <w:basedOn w:val="1"/>
    <w:autoRedefine/>
    <w:qFormat/>
    <w:uiPriority w:val="99"/>
    <w:pPr>
      <w:ind w:firstLine="420" w:firstLineChars="200"/>
    </w:pPr>
    <w:rPr>
      <w:rFonts w:ascii="Calibri" w:hAnsi="Calibri"/>
      <w:kern w:val="0"/>
      <w:szCs w:val="20"/>
    </w:rPr>
  </w:style>
  <w:style w:type="paragraph" w:customStyle="1" w:styleId="58">
    <w:name w:val="无间隔1"/>
    <w:autoRedefine/>
    <w:qFormat/>
    <w:uiPriority w:val="99"/>
    <w:pPr>
      <w:adjustRightInd w:val="0"/>
      <w:snapToGrid w:val="0"/>
      <w:spacing w:after="160" w:line="259" w:lineRule="auto"/>
    </w:pPr>
    <w:rPr>
      <w:rFonts w:ascii="Tahoma" w:hAnsi="Tahoma" w:eastAsia="微软雅黑" w:cs="Times New Roman"/>
      <w:sz w:val="22"/>
      <w:szCs w:val="22"/>
      <w:lang w:val="en-US" w:eastAsia="zh-CN" w:bidi="ar-SA"/>
    </w:rPr>
  </w:style>
  <w:style w:type="paragraph" w:customStyle="1" w:styleId="5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默认段落字体 Para Char Char Char Char Char Char Char Char Char1 Char Char Char Char"/>
    <w:basedOn w:val="1"/>
    <w:autoRedefine/>
    <w:qFormat/>
    <w:uiPriority w:val="99"/>
    <w:rPr>
      <w:rFonts w:ascii="Tahoma" w:hAnsi="Tahoma"/>
      <w:sz w:val="24"/>
      <w:szCs w:val="20"/>
    </w:rPr>
  </w:style>
  <w:style w:type="paragraph" w:customStyle="1" w:styleId="61">
    <w:name w:val="Char"/>
    <w:basedOn w:val="1"/>
    <w:autoRedefine/>
    <w:qFormat/>
    <w:uiPriority w:val="99"/>
  </w:style>
  <w:style w:type="paragraph" w:customStyle="1" w:styleId="62">
    <w:name w:val="正文_3_0"/>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3">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64">
    <w:name w:val="正文_4"/>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65">
    <w:name w:val="无间隔11"/>
    <w:autoRedefine/>
    <w:qFormat/>
    <w:uiPriority w:val="99"/>
    <w:pPr>
      <w:adjustRightInd w:val="0"/>
      <w:snapToGrid w:val="0"/>
      <w:spacing w:after="160" w:line="259" w:lineRule="auto"/>
    </w:pPr>
    <w:rPr>
      <w:rFonts w:ascii="Tahoma" w:hAnsi="Tahoma" w:eastAsia="微软雅黑" w:cs="Times New Roman"/>
      <w:sz w:val="22"/>
      <w:szCs w:val="22"/>
      <w:lang w:val="en-US" w:eastAsia="zh-CN" w:bidi="ar-SA"/>
    </w:rPr>
  </w:style>
  <w:style w:type="paragraph" w:customStyle="1" w:styleId="66">
    <w:name w:val="img"/>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
    <w:name w:val="正文_6"/>
    <w:autoRedefine/>
    <w:qFormat/>
    <w:uiPriority w:val="99"/>
    <w:pPr>
      <w:widowControl w:val="0"/>
      <w:spacing w:after="160" w:line="256" w:lineRule="auto"/>
      <w:jc w:val="both"/>
    </w:pPr>
    <w:rPr>
      <w:rFonts w:ascii="Times New Roman" w:hAnsi="Times New Roman" w:eastAsia="宋体" w:cs="Times New Roman"/>
      <w:kern w:val="2"/>
      <w:sz w:val="21"/>
      <w:szCs w:val="24"/>
      <w:lang w:val="en-US" w:eastAsia="zh-CN" w:bidi="ar-SA"/>
    </w:rPr>
  </w:style>
  <w:style w:type="paragraph" w:customStyle="1" w:styleId="68">
    <w:name w:val="纯文本_0_1"/>
    <w:basedOn w:val="1"/>
    <w:autoRedefine/>
    <w:qFormat/>
    <w:uiPriority w:val="99"/>
    <w:pPr>
      <w:widowControl/>
      <w:spacing w:line="256" w:lineRule="auto"/>
      <w:jc w:val="left"/>
    </w:pPr>
    <w:rPr>
      <w:rFonts w:ascii="宋体" w:hAnsi="Courier New"/>
      <w:szCs w:val="21"/>
    </w:rPr>
  </w:style>
  <w:style w:type="character" w:customStyle="1" w:styleId="69">
    <w:name w:val="页眉 字符1"/>
    <w:basedOn w:val="32"/>
    <w:autoRedefine/>
    <w:semiHidden/>
    <w:qFormat/>
    <w:uiPriority w:val="99"/>
    <w:rPr>
      <w:kern w:val="2"/>
      <w:sz w:val="18"/>
      <w:szCs w:val="18"/>
    </w:rPr>
  </w:style>
  <w:style w:type="character" w:customStyle="1" w:styleId="70">
    <w:name w:val="批注文字 字符1"/>
    <w:basedOn w:val="32"/>
    <w:link w:val="10"/>
    <w:autoRedefine/>
    <w:semiHidden/>
    <w:qFormat/>
    <w:locked/>
    <w:uiPriority w:val="99"/>
    <w:rPr>
      <w:rFonts w:ascii="Times New Roman" w:hAnsi="Times New Roman" w:eastAsia="宋体" w:cs="Times New Roman"/>
      <w:szCs w:val="24"/>
    </w:rPr>
  </w:style>
  <w:style w:type="character" w:customStyle="1" w:styleId="71">
    <w:name w:val="批注主题 字符1"/>
    <w:basedOn w:val="70"/>
    <w:autoRedefine/>
    <w:semiHidden/>
    <w:qFormat/>
    <w:uiPriority w:val="99"/>
    <w:rPr>
      <w:rFonts w:ascii="Times New Roman" w:hAnsi="Times New Roman" w:eastAsia="宋体" w:cs="Times New Roman"/>
      <w:b/>
      <w:bCs/>
      <w:szCs w:val="24"/>
    </w:rPr>
  </w:style>
  <w:style w:type="character" w:customStyle="1" w:styleId="72">
    <w:name w:val="纯文本 字符1"/>
    <w:basedOn w:val="32"/>
    <w:autoRedefine/>
    <w:semiHidden/>
    <w:qFormat/>
    <w:uiPriority w:val="99"/>
    <w:rPr>
      <w:rFonts w:hint="eastAsia" w:hAnsi="Courier New" w:cs="Courier New" w:asciiTheme="minorEastAsia" w:eastAsiaTheme="minorEastAsia"/>
      <w:kern w:val="2"/>
      <w:sz w:val="21"/>
      <w:szCs w:val="24"/>
    </w:rPr>
  </w:style>
  <w:style w:type="character" w:customStyle="1" w:styleId="73">
    <w:name w:val="批注框文本 字符1"/>
    <w:basedOn w:val="32"/>
    <w:autoRedefine/>
    <w:semiHidden/>
    <w:qFormat/>
    <w:uiPriority w:val="99"/>
    <w:rPr>
      <w:kern w:val="2"/>
      <w:sz w:val="18"/>
      <w:szCs w:val="18"/>
    </w:rPr>
  </w:style>
  <w:style w:type="character" w:customStyle="1" w:styleId="74">
    <w:name w:val="页脚 字符1"/>
    <w:basedOn w:val="32"/>
    <w:autoRedefine/>
    <w:semiHidden/>
    <w:qFormat/>
    <w:uiPriority w:val="99"/>
    <w:rPr>
      <w:kern w:val="2"/>
      <w:sz w:val="18"/>
      <w:szCs w:val="18"/>
    </w:rPr>
  </w:style>
  <w:style w:type="character" w:customStyle="1" w:styleId="75">
    <w:name w:val="未处理的提及1"/>
    <w:basedOn w:val="32"/>
    <w:autoRedefine/>
    <w:unhideWhenUsed/>
    <w:qFormat/>
    <w:uiPriority w:val="99"/>
    <w:rPr>
      <w:color w:val="605E5C"/>
      <w:shd w:val="clear" w:color="auto" w:fill="E1DFDD"/>
    </w:rPr>
  </w:style>
  <w:style w:type="character" w:customStyle="1" w:styleId="76">
    <w:name w:val="标题 字符"/>
    <w:link w:val="27"/>
    <w:autoRedefine/>
    <w:qFormat/>
    <w:uiPriority w:val="0"/>
    <w:rPr>
      <w:rFonts w:ascii="Arial" w:hAnsi="Arial" w:cs="Arial"/>
      <w:b/>
      <w:bCs/>
      <w:color w:val="000000"/>
      <w:sz w:val="32"/>
      <w:szCs w:val="32"/>
    </w:rPr>
  </w:style>
  <w:style w:type="character" w:customStyle="1" w:styleId="77">
    <w:name w:val="标题 字符1"/>
    <w:basedOn w:val="32"/>
    <w:autoRedefine/>
    <w:qFormat/>
    <w:uiPriority w:val="10"/>
    <w:rPr>
      <w:rFonts w:asciiTheme="majorHAnsi" w:hAnsiTheme="majorHAnsi" w:eastAsiaTheme="majorEastAsia" w:cstheme="majorBidi"/>
      <w:b/>
      <w:bCs/>
      <w:sz w:val="32"/>
      <w:szCs w:val="32"/>
    </w:rPr>
  </w:style>
  <w:style w:type="character" w:customStyle="1" w:styleId="78">
    <w:name w:val="font31"/>
    <w:autoRedefine/>
    <w:qFormat/>
    <w:uiPriority w:val="0"/>
    <w:rPr>
      <w:rFonts w:hint="eastAsia" w:ascii="宋体" w:hAnsi="宋体" w:eastAsia="宋体" w:cs="宋体"/>
      <w:color w:val="000000"/>
      <w:sz w:val="20"/>
      <w:szCs w:val="20"/>
      <w:u w:val="none"/>
    </w:rPr>
  </w:style>
  <w:style w:type="paragraph" w:customStyle="1" w:styleId="79">
    <w:name w:val="正文_17"/>
    <w:autoRedefine/>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80">
    <w:name w:val="未处理的提及2"/>
    <w:basedOn w:val="32"/>
    <w:autoRedefine/>
    <w:unhideWhenUsed/>
    <w:qFormat/>
    <w:uiPriority w:val="99"/>
    <w:rPr>
      <w:color w:val="605E5C"/>
      <w:shd w:val="clear" w:color="auto" w:fill="E1DFDD"/>
    </w:rPr>
  </w:style>
  <w:style w:type="paragraph" w:customStyle="1" w:styleId="81">
    <w:name w:val="一级标题"/>
    <w:basedOn w:val="1"/>
    <w:next w:val="12"/>
    <w:autoRedefine/>
    <w:qFormat/>
    <w:uiPriority w:val="0"/>
    <w:pPr>
      <w:outlineLvl w:val="0"/>
    </w:pPr>
    <w:rPr>
      <w:rFonts w:cs="仿宋" w:asciiTheme="minorHAnsi" w:hAnsiTheme="minorHAnsi" w:eastAsiaTheme="minorEastAsia"/>
      <w:b/>
      <w:bCs/>
      <w:sz w:val="32"/>
    </w:rPr>
  </w:style>
  <w:style w:type="paragraph" w:customStyle="1" w:styleId="82">
    <w:name w:val="修订1"/>
    <w:autoRedefine/>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83">
    <w:name w:val="[Normal]"/>
    <w:autoRedefine/>
    <w:qFormat/>
    <w:uiPriority w:val="0"/>
    <w:pPr>
      <w:spacing w:after="160" w:line="259" w:lineRule="auto"/>
    </w:pPr>
    <w:rPr>
      <w:rFonts w:ascii="宋体" w:hAnsi="宋体" w:eastAsia="宋体" w:cs="Times New Roman"/>
      <w:sz w:val="24"/>
      <w:szCs w:val="22"/>
      <w:lang w:val="zh-CN" w:eastAsia="zh-CN" w:bidi="ar-SA"/>
    </w:rPr>
  </w:style>
  <w:style w:type="paragraph" w:customStyle="1" w:styleId="84">
    <w:name w:val="修订2"/>
    <w:autoRedefine/>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85">
    <w:name w:val="pf0"/>
    <w:basedOn w:val="1"/>
    <w:autoRedefine/>
    <w:qFormat/>
    <w:uiPriority w:val="0"/>
    <w:pPr>
      <w:widowControl/>
      <w:spacing w:before="100" w:beforeAutospacing="1" w:after="100" w:afterAutospacing="1" w:line="240" w:lineRule="auto"/>
      <w:jc w:val="left"/>
    </w:pPr>
    <w:rPr>
      <w:rFonts w:eastAsia="Times New Roman"/>
      <w:kern w:val="0"/>
      <w:sz w:val="24"/>
    </w:rPr>
  </w:style>
  <w:style w:type="character" w:customStyle="1" w:styleId="86">
    <w:name w:val="cf01"/>
    <w:basedOn w:val="32"/>
    <w:autoRedefine/>
    <w:qFormat/>
    <w:uiPriority w:val="0"/>
    <w:rPr>
      <w:rFonts w:hint="eastAsia" w:ascii="Microsoft YaHei UI" w:hAnsi="Microsoft YaHei UI" w:eastAsia="Microsoft YaHei UI"/>
      <w:sz w:val="18"/>
      <w:szCs w:val="18"/>
    </w:rPr>
  </w:style>
  <w:style w:type="paragraph" w:styleId="87">
    <w:name w:val="List Paragraph"/>
    <w:basedOn w:val="1"/>
    <w:autoRedefine/>
    <w:qFormat/>
    <w:uiPriority w:val="99"/>
    <w:pPr>
      <w:ind w:left="720"/>
      <w:contextualSpacing/>
    </w:pPr>
  </w:style>
  <w:style w:type="paragraph" w:customStyle="1" w:styleId="88">
    <w:name w:val="表格"/>
    <w:basedOn w:val="1"/>
    <w:autoRedefine/>
    <w:qFormat/>
    <w:uiPriority w:val="0"/>
    <w:pPr>
      <w:snapToGrid w:val="0"/>
      <w:spacing w:after="0" w:line="240" w:lineRule="auto"/>
      <w:ind w:firstLine="21" w:firstLineChars="21"/>
    </w:pPr>
    <w:rPr>
      <w:rFonts w:ascii="宋体"/>
      <w:kern w:val="0"/>
      <w:sz w:val="20"/>
      <w:szCs w:val="20"/>
    </w:rPr>
  </w:style>
  <w:style w:type="character" w:customStyle="1" w:styleId="89">
    <w:name w:val="NormalCharacter"/>
    <w:autoRedefine/>
    <w:semiHidden/>
    <w:qFormat/>
    <w:uiPriority w:val="0"/>
  </w:style>
  <w:style w:type="character" w:customStyle="1" w:styleId="90">
    <w:name w:val="fontstyle01"/>
    <w:autoRedefine/>
    <w:qFormat/>
    <w:uiPriority w:val="0"/>
    <w:rPr>
      <w:rFonts w:hint="eastAsia" w:ascii="宋体" w:hAnsi="宋体" w:eastAsia="宋体" w:cs="宋体"/>
      <w:color w:val="000000"/>
      <w:sz w:val="22"/>
      <w:szCs w:val="22"/>
    </w:rPr>
  </w:style>
  <w:style w:type="paragraph" w:customStyle="1" w:styleId="91">
    <w:name w:val="修订3"/>
    <w:autoRedefine/>
    <w:hidden/>
    <w:semiHidden/>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9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3">
    <w:name w:val="Table Paragraph"/>
    <w:basedOn w:val="1"/>
    <w:autoRedefine/>
    <w:qFormat/>
    <w:uiPriority w:val="0"/>
    <w:rPr>
      <w:rFonts w:ascii="宋体" w:hAnsi="宋体" w:cs="宋体"/>
    </w:rPr>
  </w:style>
  <w:style w:type="paragraph" w:customStyle="1" w:styleId="94">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5">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styleId="96">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91AAC-82C8-4F4F-B8C3-63F9129EB18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66</Pages>
  <Words>28310</Words>
  <Characters>29963</Characters>
  <Lines>290</Lines>
  <Paragraphs>81</Paragraphs>
  <TotalTime>241</TotalTime>
  <ScaleCrop>false</ScaleCrop>
  <LinksUpToDate>false</LinksUpToDate>
  <CharactersWithSpaces>31779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2023-05-15T07:40:00Z</dcterms:created>
  <dc:creator>Liam</dc:creator>
  <cp:lastModifiedBy>凸凸怪</cp:lastModifiedBy>
  <cp:lastPrinted>2023-05-29T02:32:00Z</cp:lastPrinted>
  <dcterms:modified xsi:type="dcterms:W3CDTF">2024-05-24T05:58:01Z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9EA8A78B310C4E0E89F33D2525B9EA5A</vt:lpwstr>
  </property>
</Properties>
</file>