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882B748">
      <w:pPr>
        <w:pStyle w:val="6"/>
        <w:jc w:val="center"/>
        <w:rPr>
          <w:rFonts w:hint="eastAsia" w:ascii="宋体" w:hAnsi="宋体" w:eastAsia="宋体" w:cs="宋体"/>
        </w:rPr>
      </w:pPr>
    </w:p>
    <w:p w14:paraId="67259C6D">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kern w:val="0"/>
          <w:sz w:val="84"/>
          <w:szCs w:val="84"/>
          <w:lang w:val="en-US" w:eastAsia="zh-CN"/>
        </w:rPr>
      </w:pPr>
      <w:r>
        <w:rPr>
          <w:rFonts w:hint="eastAsia" w:ascii="宋体" w:hAnsi="宋体" w:eastAsia="宋体" w:cs="宋体"/>
          <w:color w:val="auto"/>
          <w:highlight w:val="none"/>
        </w:rPr>
        <w:drawing>
          <wp:inline distT="0" distB="0" distL="114300" distR="114300">
            <wp:extent cx="5268595" cy="2705100"/>
            <wp:effectExtent l="0" t="0" r="8255" b="0"/>
            <wp:docPr id="5" name="图片 1" descr="D:\工作文件\中石化费用账单\九峰加油站\2020\永安H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工作文件\中石化费用账单\九峰加油站\2020\永安HY logo.png"/>
                    <pic:cNvPicPr>
                      <a:picLocks noChangeAspect="1"/>
                    </pic:cNvPicPr>
                  </pic:nvPicPr>
                  <pic:blipFill>
                    <a:blip r:embed="rId14"/>
                    <a:stretch>
                      <a:fillRect/>
                    </a:stretch>
                  </pic:blipFill>
                  <pic:spPr>
                    <a:xfrm>
                      <a:off x="0" y="0"/>
                      <a:ext cx="5268595" cy="2705100"/>
                    </a:xfrm>
                    <a:prstGeom prst="rect">
                      <a:avLst/>
                    </a:prstGeom>
                    <a:noFill/>
                    <a:ln>
                      <a:noFill/>
                    </a:ln>
                  </pic:spPr>
                </pic:pic>
              </a:graphicData>
            </a:graphic>
          </wp:inline>
        </w:drawing>
      </w:r>
    </w:p>
    <w:p w14:paraId="5E4214CB">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kern w:val="0"/>
          <w:sz w:val="72"/>
          <w:szCs w:val="72"/>
        </w:rPr>
      </w:pPr>
    </w:p>
    <w:p w14:paraId="5FE3807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lang w:val="en-US" w:eastAsia="zh-CN"/>
        </w:rPr>
      </w:pPr>
      <w:r>
        <w:rPr>
          <w:rFonts w:hint="eastAsia" w:ascii="宋体" w:hAnsi="宋体" w:eastAsia="宋体" w:cs="宋体"/>
          <w:b/>
          <w:kern w:val="0"/>
          <w:sz w:val="72"/>
          <w:szCs w:val="72"/>
          <w:lang w:val="en-US" w:eastAsia="zh-CN"/>
        </w:rPr>
        <w:t xml:space="preserve">   </w:t>
      </w:r>
      <w:r>
        <w:rPr>
          <w:rFonts w:hint="eastAsia" w:ascii="宋体" w:hAnsi="宋体" w:eastAsia="宋体" w:cs="宋体"/>
          <w:b/>
          <w:kern w:val="0"/>
          <w:sz w:val="72"/>
          <w:szCs w:val="72"/>
        </w:rPr>
        <w:t>政府</w:t>
      </w:r>
      <w:r>
        <w:rPr>
          <w:rFonts w:hint="eastAsia" w:ascii="宋体" w:hAnsi="宋体" w:eastAsia="宋体" w:cs="宋体"/>
          <w:b/>
          <w:color w:val="auto"/>
          <w:kern w:val="0"/>
          <w:sz w:val="72"/>
          <w:szCs w:val="72"/>
          <w:highlight w:val="none"/>
        </w:rPr>
        <w:t>采购招标文件</w:t>
      </w:r>
    </w:p>
    <w:p w14:paraId="7CF3D15E">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（电子招投标方式）</w:t>
      </w:r>
    </w:p>
    <w:p w14:paraId="52CF6053">
      <w:pPr>
        <w:spacing w:line="360" w:lineRule="auto"/>
        <w:jc w:val="center"/>
        <w:rPr>
          <w:rFonts w:hint="default"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zjhy2025-tz15</w:t>
      </w:r>
      <w:r>
        <w:rPr>
          <w:rFonts w:hint="eastAsia" w:ascii="宋体" w:hAnsi="宋体" w:eastAsia="宋体" w:cs="宋体"/>
          <w:color w:val="auto"/>
          <w:kern w:val="0"/>
          <w:sz w:val="28"/>
          <w:szCs w:val="28"/>
          <w:highlight w:val="none"/>
          <w:u w:val="single"/>
          <w:lang w:val="en-US" w:eastAsia="zh-CN"/>
        </w:rPr>
        <w:t xml:space="preserve"> </w:t>
      </w:r>
    </w:p>
    <w:p w14:paraId="1C1041EC">
      <w:pPr>
        <w:pStyle w:val="6"/>
        <w:jc w:val="both"/>
        <w:rPr>
          <w:rFonts w:hint="eastAsia" w:ascii="宋体" w:hAnsi="宋体" w:eastAsia="宋体" w:cs="宋体"/>
          <w:color w:val="auto"/>
          <w:highlight w:val="none"/>
        </w:rPr>
      </w:pPr>
    </w:p>
    <w:p w14:paraId="268AC13D">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工业园区生态环境污染防治项目</w:t>
      </w:r>
    </w:p>
    <w:p w14:paraId="37E207B1">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台州湾新区管理委员会</w:t>
      </w:r>
    </w:p>
    <w:p w14:paraId="2903087B">
      <w:pPr>
        <w:pStyle w:val="6"/>
        <w:rPr>
          <w:rFonts w:hint="eastAsia" w:ascii="宋体" w:hAnsi="宋体" w:eastAsia="宋体" w:cs="宋体"/>
          <w:color w:val="auto"/>
          <w:highlight w:val="none"/>
        </w:rPr>
      </w:pPr>
    </w:p>
    <w:p w14:paraId="366BB1D5">
      <w:pPr>
        <w:pStyle w:val="6"/>
        <w:rPr>
          <w:rFonts w:hint="eastAsia" w:ascii="宋体" w:hAnsi="宋体" w:eastAsia="宋体" w:cs="宋体"/>
          <w:color w:val="auto"/>
          <w:highlight w:val="none"/>
        </w:rPr>
      </w:pPr>
    </w:p>
    <w:p w14:paraId="601480CA">
      <w:pPr>
        <w:spacing w:line="360" w:lineRule="auto"/>
        <w:ind w:firstLine="1405" w:firstLineChars="500"/>
        <w:jc w:val="both"/>
        <w:rPr>
          <w:rFonts w:hint="eastAsia" w:ascii="宋体" w:hAnsi="宋体" w:eastAsia="宋体" w:cs="宋体"/>
          <w:color w:val="auto"/>
          <w:kern w:val="0"/>
          <w:sz w:val="28"/>
          <w:szCs w:val="28"/>
          <w:highlight w:val="none"/>
          <w:lang w:eastAsia="zh-CN"/>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lang w:eastAsia="zh-CN"/>
        </w:rPr>
        <w:t>浙江汇永工程咨询有限公司</w:t>
      </w:r>
    </w:p>
    <w:p w14:paraId="54689536">
      <w:pPr>
        <w:pStyle w:val="6"/>
        <w:rPr>
          <w:rFonts w:hint="eastAsia" w:ascii="宋体" w:hAnsi="宋体" w:eastAsia="宋体" w:cs="宋体"/>
          <w:color w:val="auto"/>
          <w:highlight w:val="none"/>
        </w:rPr>
      </w:pPr>
    </w:p>
    <w:p w14:paraId="555EFAC1">
      <w:pPr>
        <w:pStyle w:val="6"/>
        <w:jc w:val="center"/>
        <w:rPr>
          <w:rFonts w:hint="eastAsia" w:ascii="宋体" w:hAnsi="宋体" w:eastAsia="宋体" w:cs="宋体"/>
          <w:color w:val="auto"/>
          <w:kern w:val="0"/>
          <w:szCs w:val="21"/>
          <w:highlight w:val="none"/>
        </w:rPr>
      </w:pPr>
      <w:r>
        <w:rPr>
          <w:rFonts w:hint="eastAsia" w:ascii="宋体" w:hAnsi="宋体" w:cs="宋体"/>
          <w:color w:val="auto"/>
          <w:kern w:val="0"/>
          <w:sz w:val="28"/>
          <w:szCs w:val="28"/>
          <w:highlight w:val="none"/>
          <w:lang w:val="en-US" w:eastAsia="zh-CN" w:bidi="ar-SA"/>
        </w:rPr>
        <w:t>二○二五年七月</w:t>
      </w:r>
    </w:p>
    <w:p w14:paraId="3FA9B223">
      <w:pPr>
        <w:pStyle w:val="6"/>
        <w:jc w:val="center"/>
        <w:rPr>
          <w:rFonts w:hint="eastAsia" w:ascii="宋体" w:hAnsi="宋体" w:eastAsia="宋体" w:cs="宋体"/>
          <w:color w:val="auto"/>
          <w:kern w:val="0"/>
          <w:szCs w:val="21"/>
          <w:highlight w:val="none"/>
        </w:rPr>
      </w:pPr>
    </w:p>
    <w:p w14:paraId="4C133EB7">
      <w:pPr>
        <w:pStyle w:val="6"/>
        <w:jc w:val="both"/>
        <w:rPr>
          <w:rFonts w:hint="eastAsia" w:ascii="宋体" w:hAnsi="宋体" w:eastAsia="宋体" w:cs="宋体"/>
          <w:color w:val="auto"/>
          <w:highlight w:val="none"/>
        </w:rPr>
      </w:pPr>
    </w:p>
    <w:p w14:paraId="17DB0445">
      <w:pPr>
        <w:spacing w:line="360" w:lineRule="auto"/>
        <w:jc w:val="center"/>
        <w:rPr>
          <w:rFonts w:hint="eastAsia" w:ascii="宋体" w:hAnsi="宋体" w:eastAsia="宋体" w:cs="宋体"/>
          <w:b/>
          <w:bCs/>
          <w:color w:val="auto"/>
          <w:sz w:val="36"/>
          <w:szCs w:val="36"/>
          <w:highlight w:val="none"/>
        </w:rPr>
      </w:pPr>
    </w:p>
    <w:p w14:paraId="5E25B883">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2A5845AB">
      <w:pPr>
        <w:spacing w:line="360" w:lineRule="auto"/>
        <w:rPr>
          <w:rFonts w:hint="eastAsia" w:ascii="宋体" w:hAnsi="宋体" w:eastAsia="宋体" w:cs="宋体"/>
          <w:color w:val="auto"/>
          <w:sz w:val="28"/>
          <w:szCs w:val="28"/>
          <w:highlight w:val="none"/>
        </w:rPr>
      </w:pPr>
    </w:p>
    <w:p w14:paraId="390CBB4C">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公开招标采购公告</w:t>
      </w:r>
    </w:p>
    <w:p w14:paraId="42D845A7">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投标人须知</w:t>
      </w:r>
    </w:p>
    <w:p w14:paraId="244C2E90">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评标办法及评分标准</w:t>
      </w:r>
    </w:p>
    <w:p w14:paraId="4E258DD9">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公开招标需求</w:t>
      </w:r>
    </w:p>
    <w:p w14:paraId="2F9A1783">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56246D3F">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投标文件格式附件</w:t>
      </w:r>
    </w:p>
    <w:p w14:paraId="3603ACB6">
      <w:pPr>
        <w:pStyle w:val="6"/>
        <w:jc w:val="center"/>
        <w:rPr>
          <w:rFonts w:hint="eastAsia" w:ascii="宋体" w:hAnsi="宋体" w:eastAsia="宋体" w:cs="宋体"/>
          <w:color w:val="auto"/>
          <w:highlight w:val="none"/>
        </w:rPr>
      </w:pPr>
    </w:p>
    <w:p w14:paraId="461116A6">
      <w:pPr>
        <w:pStyle w:val="6"/>
        <w:jc w:val="center"/>
        <w:rPr>
          <w:rFonts w:hint="eastAsia" w:ascii="宋体" w:hAnsi="宋体" w:eastAsia="宋体" w:cs="宋体"/>
          <w:color w:val="auto"/>
          <w:highlight w:val="none"/>
        </w:rPr>
      </w:pPr>
    </w:p>
    <w:p w14:paraId="4F99D994">
      <w:pPr>
        <w:pStyle w:val="6"/>
        <w:jc w:val="center"/>
        <w:rPr>
          <w:rFonts w:hint="eastAsia" w:ascii="宋体" w:hAnsi="宋体" w:eastAsia="宋体" w:cs="宋体"/>
          <w:color w:val="auto"/>
          <w:highlight w:val="none"/>
        </w:rPr>
      </w:pPr>
    </w:p>
    <w:p w14:paraId="0B351A0E">
      <w:pPr>
        <w:pStyle w:val="6"/>
        <w:jc w:val="center"/>
        <w:rPr>
          <w:rFonts w:hint="eastAsia" w:ascii="宋体" w:hAnsi="宋体" w:eastAsia="宋体" w:cs="宋体"/>
          <w:color w:val="auto"/>
          <w:highlight w:val="none"/>
        </w:rPr>
      </w:pPr>
    </w:p>
    <w:p w14:paraId="3D6EEDDE">
      <w:pPr>
        <w:pStyle w:val="6"/>
        <w:jc w:val="center"/>
        <w:rPr>
          <w:rFonts w:hint="eastAsia" w:ascii="宋体" w:hAnsi="宋体" w:eastAsia="宋体" w:cs="宋体"/>
          <w:color w:val="auto"/>
          <w:highlight w:val="none"/>
        </w:rPr>
      </w:pPr>
    </w:p>
    <w:p w14:paraId="5D842C3D">
      <w:pPr>
        <w:pStyle w:val="6"/>
        <w:jc w:val="center"/>
        <w:rPr>
          <w:rFonts w:hint="eastAsia" w:ascii="宋体" w:hAnsi="宋体" w:eastAsia="宋体" w:cs="宋体"/>
          <w:color w:val="auto"/>
          <w:highlight w:val="none"/>
        </w:rPr>
      </w:pPr>
    </w:p>
    <w:p w14:paraId="4614500F">
      <w:pPr>
        <w:pStyle w:val="6"/>
        <w:jc w:val="center"/>
        <w:rPr>
          <w:rFonts w:hint="eastAsia" w:ascii="宋体" w:hAnsi="宋体" w:eastAsia="宋体" w:cs="宋体"/>
          <w:color w:val="auto"/>
          <w:highlight w:val="none"/>
        </w:rPr>
      </w:pPr>
    </w:p>
    <w:p w14:paraId="1618A63E">
      <w:pPr>
        <w:pStyle w:val="6"/>
        <w:jc w:val="center"/>
        <w:rPr>
          <w:rFonts w:hint="eastAsia" w:ascii="宋体" w:hAnsi="宋体" w:eastAsia="宋体" w:cs="宋体"/>
          <w:color w:val="auto"/>
          <w:highlight w:val="none"/>
        </w:rPr>
      </w:pPr>
    </w:p>
    <w:p w14:paraId="4A167AAA">
      <w:pPr>
        <w:pStyle w:val="6"/>
        <w:jc w:val="center"/>
        <w:rPr>
          <w:rFonts w:hint="eastAsia" w:ascii="宋体" w:hAnsi="宋体" w:eastAsia="宋体" w:cs="宋体"/>
          <w:color w:val="auto"/>
          <w:highlight w:val="none"/>
        </w:rPr>
      </w:pPr>
    </w:p>
    <w:p w14:paraId="32550CCB">
      <w:pPr>
        <w:pStyle w:val="6"/>
        <w:jc w:val="center"/>
        <w:rPr>
          <w:rFonts w:hint="eastAsia" w:ascii="宋体" w:hAnsi="宋体" w:eastAsia="宋体" w:cs="宋体"/>
          <w:color w:val="auto"/>
          <w:highlight w:val="none"/>
        </w:rPr>
      </w:pPr>
    </w:p>
    <w:p w14:paraId="5E1EF446">
      <w:pPr>
        <w:pStyle w:val="6"/>
        <w:jc w:val="center"/>
        <w:rPr>
          <w:rFonts w:hint="eastAsia" w:ascii="宋体" w:hAnsi="宋体" w:eastAsia="宋体" w:cs="宋体"/>
          <w:color w:val="auto"/>
          <w:highlight w:val="none"/>
        </w:rPr>
      </w:pPr>
    </w:p>
    <w:p w14:paraId="22C51AA1">
      <w:pPr>
        <w:pStyle w:val="6"/>
        <w:jc w:val="center"/>
        <w:rPr>
          <w:rFonts w:hint="eastAsia" w:ascii="宋体" w:hAnsi="宋体" w:eastAsia="宋体" w:cs="宋体"/>
          <w:color w:val="auto"/>
          <w:highlight w:val="none"/>
        </w:rPr>
      </w:pPr>
    </w:p>
    <w:p w14:paraId="3DDD8717">
      <w:pPr>
        <w:pStyle w:val="6"/>
        <w:jc w:val="center"/>
        <w:rPr>
          <w:rFonts w:hint="eastAsia" w:ascii="宋体" w:hAnsi="宋体" w:eastAsia="宋体" w:cs="宋体"/>
          <w:color w:val="auto"/>
          <w:highlight w:val="none"/>
        </w:rPr>
      </w:pPr>
    </w:p>
    <w:p w14:paraId="4AF74590">
      <w:pPr>
        <w:pStyle w:val="6"/>
        <w:jc w:val="center"/>
        <w:rPr>
          <w:rFonts w:hint="eastAsia" w:ascii="宋体" w:hAnsi="宋体" w:eastAsia="宋体" w:cs="宋体"/>
          <w:color w:val="auto"/>
          <w:highlight w:val="none"/>
        </w:rPr>
      </w:pPr>
    </w:p>
    <w:p w14:paraId="6116353A">
      <w:pPr>
        <w:pStyle w:val="6"/>
        <w:jc w:val="center"/>
        <w:rPr>
          <w:rFonts w:hint="eastAsia" w:ascii="宋体" w:hAnsi="宋体" w:eastAsia="宋体" w:cs="宋体"/>
          <w:color w:val="auto"/>
          <w:highlight w:val="none"/>
        </w:rPr>
      </w:pPr>
    </w:p>
    <w:p w14:paraId="7DBE35EB">
      <w:pPr>
        <w:pStyle w:val="6"/>
        <w:jc w:val="center"/>
        <w:rPr>
          <w:rFonts w:hint="eastAsia" w:ascii="宋体" w:hAnsi="宋体" w:eastAsia="宋体" w:cs="宋体"/>
          <w:color w:val="auto"/>
          <w:highlight w:val="none"/>
        </w:rPr>
      </w:pPr>
    </w:p>
    <w:p w14:paraId="149C2A2F">
      <w:pPr>
        <w:pStyle w:val="6"/>
        <w:jc w:val="center"/>
        <w:rPr>
          <w:rFonts w:hint="eastAsia" w:ascii="宋体" w:hAnsi="宋体" w:eastAsia="宋体" w:cs="宋体"/>
          <w:color w:val="auto"/>
          <w:highlight w:val="none"/>
        </w:rPr>
      </w:pPr>
    </w:p>
    <w:p w14:paraId="54DF5641">
      <w:pPr>
        <w:pStyle w:val="6"/>
        <w:jc w:val="both"/>
        <w:rPr>
          <w:rFonts w:hint="eastAsia" w:ascii="宋体" w:hAnsi="宋体" w:eastAsia="宋体" w:cs="宋体"/>
          <w:color w:val="auto"/>
          <w:highlight w:val="none"/>
        </w:rPr>
      </w:pPr>
    </w:p>
    <w:p w14:paraId="50019DFC">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第一章 公开</w:t>
      </w:r>
      <w:r>
        <w:rPr>
          <w:rFonts w:hint="eastAsia" w:ascii="宋体" w:hAnsi="宋体" w:eastAsia="宋体" w:cs="宋体"/>
          <w:b/>
          <w:color w:val="auto"/>
          <w:sz w:val="36"/>
          <w:szCs w:val="36"/>
          <w:highlight w:val="none"/>
        </w:rPr>
        <w:t>招标采购公告</w:t>
      </w:r>
    </w:p>
    <w:p w14:paraId="69E241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根据《中华人民共和国政府采购法》、《中华人民共和国政府采购法实施条例》和财政部令第87号《政府采购货物和服务招标投标管理办法》等有关规定, 受</w:t>
      </w:r>
      <w:r>
        <w:rPr>
          <w:rFonts w:hint="eastAsia" w:ascii="宋体" w:hAnsi="宋体" w:cs="宋体"/>
          <w:b/>
          <w:bCs/>
          <w:color w:val="auto"/>
          <w:sz w:val="21"/>
          <w:szCs w:val="21"/>
          <w:highlight w:val="none"/>
          <w:lang w:eastAsia="zh-CN"/>
        </w:rPr>
        <w:t>台州湾新区管理委员会</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工业园区生态环境污染防治项目</w:t>
      </w:r>
      <w:r>
        <w:rPr>
          <w:rFonts w:hint="eastAsia" w:ascii="宋体" w:hAnsi="宋体" w:eastAsia="宋体" w:cs="宋体"/>
          <w:color w:val="auto"/>
          <w:sz w:val="21"/>
          <w:szCs w:val="21"/>
          <w:highlight w:val="none"/>
        </w:rPr>
        <w:t>进行公开招标采购，欢迎合格供应商前来投标。</w:t>
      </w:r>
    </w:p>
    <w:p w14:paraId="08EA57B0">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zjhy2025-tz15</w:t>
      </w:r>
    </w:p>
    <w:p w14:paraId="387055CC">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二、招标项目概况：</w:t>
      </w:r>
    </w:p>
    <w:tbl>
      <w:tblPr>
        <w:tblStyle w:val="22"/>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379"/>
        <w:gridCol w:w="1564"/>
        <w:gridCol w:w="772"/>
        <w:gridCol w:w="782"/>
        <w:gridCol w:w="1725"/>
        <w:gridCol w:w="934"/>
      </w:tblGrid>
      <w:tr w14:paraId="63E22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901" w:type="dxa"/>
            <w:vAlign w:val="center"/>
          </w:tcPr>
          <w:p w14:paraId="66C9E011">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eastAsia="zh-CN"/>
              </w:rPr>
              <w:t>标段号</w:t>
            </w:r>
          </w:p>
        </w:tc>
        <w:tc>
          <w:tcPr>
            <w:tcW w:w="2379" w:type="dxa"/>
            <w:vAlign w:val="center"/>
          </w:tcPr>
          <w:p w14:paraId="00D7A4ED">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564" w:type="dxa"/>
            <w:vAlign w:val="center"/>
          </w:tcPr>
          <w:p w14:paraId="22F1D7BF">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772" w:type="dxa"/>
            <w:vAlign w:val="center"/>
          </w:tcPr>
          <w:p w14:paraId="241CA64A">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82" w:type="dxa"/>
            <w:vAlign w:val="center"/>
          </w:tcPr>
          <w:p w14:paraId="3136A4F3">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725" w:type="dxa"/>
            <w:vAlign w:val="center"/>
          </w:tcPr>
          <w:p w14:paraId="35F73738">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w:t>
            </w:r>
            <w:r>
              <w:rPr>
                <w:rFonts w:hint="eastAsia" w:ascii="宋体" w:hAnsi="宋体" w:eastAsia="宋体" w:cs="宋体"/>
                <w:b/>
                <w:color w:val="auto"/>
                <w:sz w:val="21"/>
                <w:szCs w:val="21"/>
                <w:highlight w:val="none"/>
                <w:lang w:val="en-US" w:eastAsia="zh-CN"/>
              </w:rPr>
              <w:t>/最高限价</w:t>
            </w:r>
          </w:p>
          <w:p w14:paraId="594C7BAF">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934" w:type="dxa"/>
            <w:vAlign w:val="center"/>
          </w:tcPr>
          <w:p w14:paraId="275BC1AA">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备注</w:t>
            </w:r>
          </w:p>
        </w:tc>
      </w:tr>
      <w:tr w14:paraId="67E35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01" w:type="dxa"/>
            <w:vAlign w:val="center"/>
          </w:tcPr>
          <w:p w14:paraId="4537920E">
            <w:pPr>
              <w:tabs>
                <w:tab w:val="left" w:pos="8280"/>
              </w:tabs>
              <w:autoSpaceDE w:val="0"/>
              <w:autoSpaceDN w:val="0"/>
              <w:adjustRightInd w:val="0"/>
              <w:spacing w:line="36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w:t>
            </w:r>
          </w:p>
        </w:tc>
        <w:tc>
          <w:tcPr>
            <w:tcW w:w="2379" w:type="dxa"/>
            <w:vAlign w:val="center"/>
          </w:tcPr>
          <w:p w14:paraId="582F2BC9">
            <w:pPr>
              <w:widowControl/>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工业园区生态环境污染防治项目</w:t>
            </w:r>
          </w:p>
        </w:tc>
        <w:tc>
          <w:tcPr>
            <w:tcW w:w="1564" w:type="dxa"/>
            <w:vAlign w:val="center"/>
          </w:tcPr>
          <w:p w14:paraId="462AED99">
            <w:pPr>
              <w:tabs>
                <w:tab w:val="left" w:pos="8280"/>
              </w:tabs>
              <w:autoSpaceDE w:val="0"/>
              <w:autoSpaceDN w:val="0"/>
              <w:adjustRightInd w:val="0"/>
              <w:spacing w:line="36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详见招标文件</w:t>
            </w:r>
          </w:p>
        </w:tc>
        <w:tc>
          <w:tcPr>
            <w:tcW w:w="772" w:type="dxa"/>
            <w:vAlign w:val="center"/>
          </w:tcPr>
          <w:p w14:paraId="3BC22F65">
            <w:pPr>
              <w:tabs>
                <w:tab w:val="left" w:pos="8280"/>
              </w:tabs>
              <w:autoSpaceDE w:val="0"/>
              <w:autoSpaceDN w:val="0"/>
              <w:adjustRightInd w:val="0"/>
              <w:spacing w:line="36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82" w:type="dxa"/>
            <w:vAlign w:val="center"/>
          </w:tcPr>
          <w:p w14:paraId="4FDD081B">
            <w:pPr>
              <w:tabs>
                <w:tab w:val="left" w:pos="8280"/>
              </w:tabs>
              <w:autoSpaceDE w:val="0"/>
              <w:autoSpaceDN w:val="0"/>
              <w:adjustRightInd w:val="0"/>
              <w:spacing w:line="36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1725" w:type="dxa"/>
            <w:vAlign w:val="center"/>
          </w:tcPr>
          <w:p w14:paraId="26C1C981">
            <w:pPr>
              <w:tabs>
                <w:tab w:val="left" w:pos="8280"/>
              </w:tabs>
              <w:autoSpaceDE w:val="0"/>
              <w:autoSpaceDN w:val="0"/>
              <w:adjustRightInd w:val="0"/>
              <w:spacing w:line="360" w:lineRule="auto"/>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160</w:t>
            </w:r>
          </w:p>
        </w:tc>
        <w:tc>
          <w:tcPr>
            <w:tcW w:w="934" w:type="dxa"/>
            <w:vAlign w:val="center"/>
          </w:tcPr>
          <w:p w14:paraId="5497F6D3">
            <w:pPr>
              <w:tabs>
                <w:tab w:val="left" w:pos="8280"/>
              </w:tabs>
              <w:autoSpaceDE w:val="0"/>
              <w:autoSpaceDN w:val="0"/>
              <w:adjustRightInd w:val="0"/>
              <w:spacing w:line="360" w:lineRule="auto"/>
              <w:ind w:right="25"/>
              <w:jc w:val="both"/>
              <w:rPr>
                <w:rFonts w:hint="eastAsia" w:ascii="宋体" w:hAnsi="宋体" w:eastAsia="宋体" w:cs="宋体"/>
                <w:color w:val="auto"/>
                <w:sz w:val="21"/>
                <w:szCs w:val="21"/>
                <w:highlight w:val="none"/>
              </w:rPr>
            </w:pPr>
          </w:p>
        </w:tc>
      </w:tr>
    </w:tbl>
    <w:p w14:paraId="3F20DE65">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本项目采用“电子交易”的方式提交投标文件（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提供备份投标文件），请各投标人按照要求进行。</w:t>
      </w:r>
    </w:p>
    <w:p w14:paraId="1B2519F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三、合格投标人的资格条件：</w:t>
      </w:r>
    </w:p>
    <w:p w14:paraId="32BCD22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14:paraId="0978A05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0842B81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shd w:val="clear" w:color="auto" w:fill="auto"/>
          <w:lang w:eastAsia="zh-CN"/>
        </w:rPr>
      </w:pP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p>
    <w:p w14:paraId="09E7518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lang w:val="en-US" w:eastAsia="zh-CN"/>
        </w:rPr>
        <w:t>2</w:t>
      </w: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rPr>
        <w:t>落实政府采购政策需满足的资格要求：本项目按照《政府采购促进中小企业发展管理办法》【财库（2020）46号】第七条规定：专门面向中小企业采购。</w:t>
      </w:r>
    </w:p>
    <w:p w14:paraId="3BA9BD4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参与投标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0276891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四、招标文件获取的方式、时间:</w:t>
      </w:r>
    </w:p>
    <w:p w14:paraId="4A91578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本项目招标文件实行“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5"/>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在线获取，不提供招标文件纸质版。供应商获取招标文件前应先完成“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14:paraId="3E252ED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Style w:val="25"/>
          <w:rFonts w:hint="eastAsia" w:ascii="宋体" w:hAnsi="宋体" w:eastAsia="宋体" w:cs="宋体"/>
          <w:b w:val="0"/>
          <w:bCs/>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5"/>
          <w:rFonts w:hint="eastAsia" w:ascii="宋体" w:hAnsi="宋体" w:eastAsia="宋体" w:cs="宋体"/>
          <w:i w:val="0"/>
          <w:caps w:val="0"/>
          <w:color w:val="auto"/>
          <w:spacing w:val="0"/>
          <w:sz w:val="21"/>
          <w:szCs w:val="21"/>
          <w:highlight w:val="none"/>
        </w:rPr>
        <w:t>方式：潜在供应商</w:t>
      </w:r>
      <w:r>
        <w:rPr>
          <w:rStyle w:val="25"/>
          <w:rFonts w:hint="eastAsia" w:ascii="宋体" w:hAnsi="宋体" w:cs="宋体"/>
          <w:i w:val="0"/>
          <w:caps w:val="0"/>
          <w:color w:val="auto"/>
          <w:spacing w:val="0"/>
          <w:sz w:val="21"/>
          <w:szCs w:val="21"/>
          <w:highlight w:val="none"/>
          <w:lang w:val="en-US" w:eastAsia="zh-CN"/>
        </w:rPr>
        <w:t>登录</w:t>
      </w:r>
      <w:r>
        <w:rPr>
          <w:rStyle w:val="25"/>
          <w:rFonts w:hint="eastAsia" w:ascii="宋体" w:hAnsi="宋体" w:eastAsia="宋体" w:cs="宋体"/>
          <w:i w:val="0"/>
          <w:caps w:val="0"/>
          <w:color w:val="auto"/>
          <w:spacing w:val="0"/>
          <w:sz w:val="21"/>
          <w:szCs w:val="21"/>
          <w:highlight w:val="none"/>
          <w:lang w:val="en-US" w:eastAsia="zh-CN"/>
        </w:rPr>
        <w:t>政府采购</w:t>
      </w:r>
      <w:r>
        <w:rPr>
          <w:rStyle w:val="25"/>
          <w:rFonts w:hint="eastAsia" w:ascii="宋体" w:hAnsi="宋体" w:eastAsia="宋体" w:cs="宋体"/>
          <w:i w:val="0"/>
          <w:caps w:val="0"/>
          <w:color w:val="auto"/>
          <w:spacing w:val="0"/>
          <w:sz w:val="21"/>
          <w:szCs w:val="21"/>
          <w:highlight w:val="none"/>
        </w:rPr>
        <w:t>云平台，在线申请获取招标文件</w:t>
      </w:r>
      <w:r>
        <w:rPr>
          <w:rStyle w:val="25"/>
          <w:rFonts w:hint="eastAsia" w:ascii="宋体" w:hAnsi="宋体" w:eastAsia="宋体" w:cs="宋体"/>
          <w:b w:val="0"/>
          <w:bCs/>
          <w:i w:val="0"/>
          <w:caps w:val="0"/>
          <w:color w:val="auto"/>
          <w:spacing w:val="0"/>
          <w:sz w:val="21"/>
          <w:szCs w:val="21"/>
          <w:highlight w:val="none"/>
        </w:rPr>
        <w:t>（进入“项目采购”应用，在获取招标文件菜单中选择项目，申请获取招标文件，本项目招标文件不收取工本费；</w:t>
      </w:r>
      <w:r>
        <w:rPr>
          <w:rStyle w:val="25"/>
          <w:rFonts w:hint="eastAsia" w:ascii="宋体" w:hAnsi="宋体" w:eastAsia="宋体" w:cs="宋体"/>
          <w:b w:val="0"/>
          <w:bCs/>
          <w:i w:val="0"/>
          <w:caps w:val="0"/>
          <w:color w:val="auto"/>
          <w:spacing w:val="0"/>
          <w:sz w:val="21"/>
          <w:szCs w:val="21"/>
          <w:highlight w:val="none"/>
          <w:u w:val="single"/>
        </w:rPr>
        <w:t>仅需浏览招标文件的供应商可点击“游客，浏览招标文件”直接下载招标文件浏览</w:t>
      </w:r>
      <w:r>
        <w:rPr>
          <w:rStyle w:val="25"/>
          <w:rFonts w:hint="eastAsia" w:ascii="宋体" w:hAnsi="宋体" w:eastAsia="宋体" w:cs="宋体"/>
          <w:b w:val="0"/>
          <w:bCs/>
          <w:i w:val="0"/>
          <w:caps w:val="0"/>
          <w:color w:val="auto"/>
          <w:spacing w:val="0"/>
          <w:sz w:val="21"/>
          <w:szCs w:val="21"/>
          <w:highlight w:val="none"/>
        </w:rPr>
        <w:t>）；</w:t>
      </w:r>
    </w:p>
    <w:p w14:paraId="51D27A3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lang w:eastAsia="zh-CN"/>
        </w:rPr>
      </w:pPr>
      <w:r>
        <w:rPr>
          <w:rStyle w:val="25"/>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7687288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5"/>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14:paraId="5941B80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val="0"/>
          <w:i w:val="0"/>
          <w:caps w:val="0"/>
          <w:color w:val="auto"/>
          <w:spacing w:val="0"/>
          <w:sz w:val="21"/>
          <w:szCs w:val="21"/>
          <w:highlight w:val="none"/>
        </w:rPr>
      </w:pPr>
      <w:r>
        <w:rPr>
          <w:rStyle w:val="25"/>
          <w:rFonts w:hint="eastAsia" w:ascii="宋体" w:hAnsi="宋体" w:eastAsia="宋体" w:cs="宋体"/>
          <w:b w:val="0"/>
          <w:bCs w:val="0"/>
          <w:i w:val="0"/>
          <w:caps w:val="0"/>
          <w:color w:val="auto"/>
          <w:spacing w:val="0"/>
          <w:sz w:val="21"/>
          <w:szCs w:val="21"/>
          <w:highlight w:val="none"/>
          <w:lang w:val="en-US" w:eastAsia="zh-CN"/>
        </w:rPr>
        <w:t>5</w:t>
      </w:r>
      <w:r>
        <w:rPr>
          <w:rStyle w:val="25"/>
          <w:rFonts w:hint="eastAsia" w:ascii="宋体" w:hAnsi="宋体" w:eastAsia="宋体" w:cs="宋体"/>
          <w:b w:val="0"/>
          <w:bCs w:val="0"/>
          <w:i w:val="0"/>
          <w:caps w:val="0"/>
          <w:color w:val="auto"/>
          <w:spacing w:val="0"/>
          <w:sz w:val="21"/>
          <w:szCs w:val="21"/>
          <w:highlight w:val="none"/>
        </w:rPr>
        <w:t>、供应商获取招标文件时须提交的文件资料：无；</w:t>
      </w:r>
    </w:p>
    <w:p w14:paraId="0E0365F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ascii="宋体" w:hAnsi="宋体" w:eastAsia="宋体" w:cs="宋体"/>
          <w:b w:val="0"/>
          <w:i w:val="0"/>
          <w:caps w:val="0"/>
          <w:color w:val="auto"/>
          <w:spacing w:val="0"/>
          <w:sz w:val="21"/>
          <w:szCs w:val="21"/>
          <w:highlight w:val="none"/>
        </w:rPr>
      </w:pPr>
      <w:r>
        <w:rPr>
          <w:rStyle w:val="25"/>
          <w:rFonts w:hint="eastAsia" w:ascii="宋体" w:hAnsi="宋体" w:eastAsia="宋体" w:cs="宋体"/>
          <w:i w:val="0"/>
          <w:caps w:val="0"/>
          <w:color w:val="auto"/>
          <w:spacing w:val="0"/>
          <w:sz w:val="21"/>
          <w:szCs w:val="21"/>
          <w:highlight w:val="none"/>
          <w:lang w:val="en-US" w:eastAsia="zh-CN"/>
        </w:rPr>
        <w:t>6</w:t>
      </w:r>
      <w:r>
        <w:rPr>
          <w:rStyle w:val="25"/>
          <w:rFonts w:hint="eastAsia" w:ascii="宋体" w:hAnsi="宋体" w:eastAsia="宋体" w:cs="宋体"/>
          <w:i w:val="0"/>
          <w:caps w:val="0"/>
          <w:color w:val="auto"/>
          <w:spacing w:val="0"/>
          <w:sz w:val="21"/>
          <w:szCs w:val="21"/>
          <w:highlight w:val="none"/>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3851509E">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Style w:val="25"/>
          <w:rFonts w:hint="eastAsia" w:ascii="宋体" w:hAnsi="宋体" w:eastAsia="宋体" w:cs="宋体"/>
          <w:i w:val="0"/>
          <w:caps w:val="0"/>
          <w:color w:val="auto"/>
          <w:spacing w:val="0"/>
          <w:sz w:val="21"/>
          <w:szCs w:val="21"/>
          <w:highlight w:val="none"/>
        </w:rPr>
      </w:pPr>
      <w:r>
        <w:rPr>
          <w:rStyle w:val="25"/>
          <w:rFonts w:hint="eastAsia" w:ascii="宋体" w:hAnsi="宋体" w:eastAsia="宋体" w:cs="宋体"/>
          <w:i w:val="0"/>
          <w:caps w:val="0"/>
          <w:color w:val="auto"/>
          <w:spacing w:val="0"/>
          <w:sz w:val="21"/>
          <w:szCs w:val="21"/>
          <w:highlight w:val="none"/>
        </w:rPr>
        <w:t>注：请供应商按上述要求获取招标文件，如未在“</w:t>
      </w:r>
      <w:r>
        <w:rPr>
          <w:rStyle w:val="25"/>
          <w:rFonts w:hint="eastAsia" w:ascii="宋体" w:hAnsi="宋体" w:eastAsia="宋体" w:cs="宋体"/>
          <w:i w:val="0"/>
          <w:caps w:val="0"/>
          <w:color w:val="auto"/>
          <w:spacing w:val="0"/>
          <w:sz w:val="21"/>
          <w:szCs w:val="21"/>
          <w:highlight w:val="none"/>
          <w:lang w:val="en-US" w:eastAsia="zh-CN"/>
        </w:rPr>
        <w:t>政府采购云平台</w:t>
      </w:r>
      <w:r>
        <w:rPr>
          <w:rStyle w:val="25"/>
          <w:rFonts w:hint="eastAsia" w:ascii="宋体" w:hAnsi="宋体" w:eastAsia="宋体" w:cs="宋体"/>
          <w:i w:val="0"/>
          <w:caps w:val="0"/>
          <w:color w:val="auto"/>
          <w:spacing w:val="0"/>
          <w:sz w:val="21"/>
          <w:szCs w:val="21"/>
          <w:highlight w:val="none"/>
        </w:rPr>
        <w:t>”系统内完成相关流程，引起的投标无效责任自负。</w:t>
      </w:r>
    </w:p>
    <w:p w14:paraId="087F473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7A09E4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515F2A8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六、投标须知：</w:t>
      </w:r>
    </w:p>
    <w:p w14:paraId="4420A59C">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、投标截止时间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2025年7月28日上午9:00</w:t>
      </w:r>
      <w:r>
        <w:rPr>
          <w:rFonts w:hint="eastAsia" w:ascii="宋体" w:hAnsi="宋体" w:eastAsia="宋体" w:cs="宋体"/>
          <w:color w:val="auto"/>
          <w:sz w:val="21"/>
          <w:szCs w:val="21"/>
          <w:highlight w:val="none"/>
          <w:lang w:eastAsia="zh-CN"/>
        </w:rPr>
        <w:t xml:space="preserve">整，地点：通过“政府采购云平台（www.zcygov.cn）”实行在线投标响应   </w:t>
      </w:r>
    </w:p>
    <w:p w14:paraId="2415EE94">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、开标时间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2025年7月28日上午9:00</w:t>
      </w:r>
      <w:r>
        <w:rPr>
          <w:rFonts w:hint="eastAsia" w:ascii="宋体" w:hAnsi="宋体" w:eastAsia="宋体" w:cs="宋体"/>
          <w:color w:val="auto"/>
          <w:sz w:val="21"/>
          <w:szCs w:val="21"/>
          <w:highlight w:val="none"/>
          <w:lang w:eastAsia="zh-CN"/>
        </w:rPr>
        <w:t>整，地点：通过“政府采购云平台（www.zcygov.cn）”实行在线投标响应</w:t>
      </w:r>
    </w:p>
    <w:p w14:paraId="1425549A">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2025年7月28日</w:t>
      </w:r>
      <w:r>
        <w:rPr>
          <w:rFonts w:hint="eastAsia" w:ascii="宋体" w:hAnsi="宋体" w:cs="宋体"/>
          <w:color w:val="auto"/>
          <w:sz w:val="21"/>
          <w:szCs w:val="21"/>
          <w:highlight w:val="none"/>
          <w:lang w:val="en-US" w:eastAsia="zh-CN"/>
        </w:rPr>
        <w:t>上午9:30</w:t>
      </w:r>
      <w:r>
        <w:rPr>
          <w:rFonts w:hint="eastAsia" w:ascii="宋体" w:hAnsi="宋体" w:eastAsia="宋体" w:cs="宋体"/>
          <w:color w:val="auto"/>
          <w:sz w:val="21"/>
          <w:szCs w:val="21"/>
          <w:highlight w:val="none"/>
          <w:lang w:eastAsia="zh-CN"/>
        </w:rPr>
        <w:t>整</w:t>
      </w:r>
    </w:p>
    <w:p w14:paraId="5A56B6E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14:paraId="67EE794A">
      <w:pPr>
        <w:pStyle w:val="10"/>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投标客户端”，并按照本招标文件和“政府采购云平台”的要求，通过“政采云电子投标客户端”编制并加密投标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供应商未按规定加密的投标文件，“政府采购云平台”将予以拒收。</w:t>
      </w:r>
    </w:p>
    <w:p w14:paraId="40A55911">
      <w:pPr>
        <w:pStyle w:val="10"/>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11E6AED4">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投标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14:paraId="24414399">
      <w:pPr>
        <w:pStyle w:val="10"/>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投标人通过政府采购云平台电子投标工具制作投标文件，电子投标工具请供应商自行前往浙江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6A950535">
      <w:pPr>
        <w:pStyle w:val="10"/>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lNdQ8Na?keyword=%E6%8A%95%E6%A0%87。</w:t>
      </w:r>
    </w:p>
    <w:p w14:paraId="1B2408A5">
      <w:pPr>
        <w:pStyle w:val="10"/>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投标供应商应当在投标截止时间前，将生成的“电子加密投标文件”上传递交至“政府采购云平台”。投标截止时间前可以补充、修改或者撤回电子投标文件。补充或者修改电子投标文件的，应当先行撤回原文件，补充、修改后重新传输递交。投标截止时间前未完成传输的，视为撤回投标文件。</w:t>
      </w:r>
    </w:p>
    <w:p w14:paraId="5E7AAFFB">
      <w:pPr>
        <w:pStyle w:val="10"/>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w:t>
      </w:r>
      <w:r>
        <w:rPr>
          <w:rFonts w:hint="eastAsia" w:ascii="宋体" w:hAnsi="宋体" w:eastAsia="宋体" w:cs="宋体"/>
          <w:b/>
          <w:bCs/>
          <w:color w:val="auto"/>
          <w:szCs w:val="21"/>
          <w:highlight w:val="none"/>
        </w:rPr>
        <w:t>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投标文件。备份投标文件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建议</w:t>
      </w:r>
      <w:r>
        <w:rPr>
          <w:rFonts w:hint="eastAsia" w:ascii="宋体" w:hAnsi="宋体" w:eastAsia="宋体" w:cs="宋体"/>
          <w:b/>
          <w:bCs/>
          <w:color w:val="auto"/>
          <w:kern w:val="2"/>
          <w:sz w:val="21"/>
          <w:szCs w:val="21"/>
          <w:highlight w:val="none"/>
          <w:lang w:val="en-US" w:eastAsia="zh-CN" w:bidi="ar-SA"/>
        </w:rPr>
        <w:t>顺丰</w:t>
      </w:r>
      <w:r>
        <w:rPr>
          <w:rFonts w:hint="eastAsia" w:ascii="宋体" w:hAnsi="宋体" w:eastAsia="宋体" w:cs="宋体"/>
          <w:b/>
          <w:bCs/>
          <w:color w:val="auto"/>
          <w:kern w:val="0"/>
          <w:sz w:val="21"/>
          <w:szCs w:val="21"/>
          <w:highlight w:val="none"/>
          <w:lang w:val="en-US" w:eastAsia="zh-CN" w:bidi="ar-SA"/>
        </w:rPr>
        <w:t>邮寄到</w:t>
      </w:r>
      <w:r>
        <w:rPr>
          <w:rFonts w:hint="eastAsia" w:ascii="宋体" w:hAnsi="宋体" w:eastAsia="宋体" w:cs="宋体"/>
          <w:b/>
          <w:bCs/>
          <w:color w:val="auto"/>
          <w:sz w:val="21"/>
          <w:szCs w:val="21"/>
          <w:highlight w:val="none"/>
          <w:lang w:eastAsia="zh-CN"/>
        </w:rPr>
        <w:t>台州市椒江区中环世纪6幢8</w:t>
      </w:r>
      <w:r>
        <w:rPr>
          <w:rFonts w:hint="eastAsia" w:ascii="宋体" w:hAnsi="宋体" w:eastAsia="宋体" w:cs="宋体"/>
          <w:b/>
          <w:bCs/>
          <w:color w:val="auto"/>
          <w:sz w:val="21"/>
          <w:szCs w:val="21"/>
          <w:highlight w:val="none"/>
          <w:lang w:val="en-US" w:eastAsia="zh-CN"/>
        </w:rPr>
        <w:t>楼</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浙江汇永工程咨询有限公司</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收件人：陈奕圩；联系电话：18257695510</w:t>
      </w:r>
      <w:r>
        <w:rPr>
          <w:rFonts w:hint="eastAsia" w:ascii="宋体" w:hAnsi="宋体" w:eastAsia="宋体" w:cs="宋体"/>
          <w:b/>
          <w:bCs/>
          <w:color w:val="auto"/>
          <w:kern w:val="0"/>
          <w:sz w:val="21"/>
          <w:szCs w:val="21"/>
          <w:highlight w:val="none"/>
          <w:lang w:val="en-US" w:eastAsia="zh-CN" w:bidi="ar-SA"/>
        </w:rPr>
        <w:t>，逾期寄达或未按要求密封将被拒收。</w:t>
      </w:r>
    </w:p>
    <w:p w14:paraId="2202FDE0">
      <w:pPr>
        <w:pStyle w:val="10"/>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668B80CE">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3C8640F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、投标人信用信息查询渠道及截止时点、信用信息查询记录和证据留存的具体方式、信用信息的使用规则：</w:t>
      </w:r>
    </w:p>
    <w:p w14:paraId="7C2AA6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、查询渠道：“信用中国”（www.creditchina.gov.cn）、“中国政府采购网”（www.ccgp.gov.cn）、“浙江政府采购网（www.zjzfcg.gov.cn）。</w:t>
      </w:r>
    </w:p>
    <w:p w14:paraId="083130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1E2CC6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在规定查询时间内打印信用信息查询记录并归入项目档案。</w:t>
      </w:r>
    </w:p>
    <w:p w14:paraId="0D04F2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14:paraId="3487988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2A2D89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3249FE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05A925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、本项目公告期限为</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个工作日。供应商认为采购文件使自己的权益受到损害的，可以自收到采购文件之日或采购文件公告期限届满之日起</w:t>
      </w:r>
      <w:r>
        <w:rPr>
          <w:rFonts w:hint="eastAsia" w:ascii="宋体" w:hAnsi="宋体" w:eastAsia="宋体" w:cs="宋体"/>
          <w:color w:val="auto"/>
          <w:szCs w:val="21"/>
          <w:highlight w:val="none"/>
        </w:rPr>
        <w:t>（公告期限届满后获取采购文件的，以公告期限届满之日为准）</w:t>
      </w:r>
      <w:r>
        <w:rPr>
          <w:rFonts w:hint="eastAsia" w:ascii="宋体" w:hAnsi="宋体" w:eastAsia="宋体" w:cs="宋体"/>
          <w:color w:val="auto"/>
          <w:sz w:val="21"/>
          <w:szCs w:val="21"/>
          <w:highlight w:val="none"/>
        </w:rPr>
        <w:t>7个工作日内，以书面形式一次性向采购人和采购代理机构提出同一环节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44467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77786A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、请各投标供应商及时办理浙江政府采购网“政府采购供应商注册”手续。</w:t>
      </w:r>
    </w:p>
    <w:p w14:paraId="4E689AA7">
      <w:pPr>
        <w:pStyle w:val="6"/>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en-US" w:eastAsia="zh-CN" w:bidi="ar-SA"/>
        </w:rPr>
        <w:t>参与政府采购项目的注册供应商，需登录浙江政府采购网（http://zfcg.czt.zj.gov.cn）进行网上获取文件；尚未注册的供应商应当先在浙江政府采购网上申请注册，注册终审通过后再进行网上获取文件。</w:t>
      </w:r>
    </w:p>
    <w:p w14:paraId="5485FA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本项目所有公告发布网站：“</w:t>
      </w:r>
      <w:r>
        <w:rPr>
          <w:rFonts w:hint="eastAsia" w:ascii="宋体" w:hAnsi="宋体" w:eastAsia="宋体" w:cs="宋体"/>
          <w:color w:val="auto"/>
          <w:sz w:val="21"/>
          <w:szCs w:val="21"/>
          <w:highlight w:val="none"/>
          <w:lang w:eastAsia="zh-CN"/>
        </w:rPr>
        <w:t>浙江政府采购网</w:t>
      </w:r>
      <w:r>
        <w:rPr>
          <w:rFonts w:hint="eastAsia" w:ascii="宋体" w:hAnsi="宋体" w:eastAsia="宋体" w:cs="宋体"/>
          <w:color w:val="auto"/>
          <w:sz w:val="21"/>
          <w:szCs w:val="21"/>
          <w:highlight w:val="none"/>
        </w:rPr>
        <w:t xml:space="preserve">”（http://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Style w:val="27"/>
          <w:rFonts w:hint="eastAsia" w:ascii="宋体" w:hAnsi="宋体" w:eastAsia="宋体" w:cs="宋体"/>
          <w:color w:val="auto"/>
          <w:sz w:val="21"/>
          <w:szCs w:val="21"/>
          <w:highlight w:val="none"/>
        </w:rPr>
        <w:t>www.zjzfcg.gov.cn）。</w:t>
      </w:r>
      <w:r>
        <w:rPr>
          <w:rStyle w:val="27"/>
          <w:rFonts w:hint="eastAsia" w:ascii="宋体" w:hAnsi="宋体" w:eastAsia="宋体" w:cs="宋体"/>
          <w:color w:val="auto"/>
          <w:sz w:val="21"/>
          <w:szCs w:val="21"/>
          <w:highlight w:val="none"/>
        </w:rPr>
        <w:fldChar w:fldCharType="end"/>
      </w:r>
    </w:p>
    <w:p w14:paraId="70A23F4E">
      <w:pPr>
        <w:pStyle w:val="6"/>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、采购文件发售截止时间之后有潜在</w:t>
      </w:r>
      <w:r>
        <w:rPr>
          <w:rFonts w:hint="eastAsia" w:ascii="宋体" w:hAnsi="宋体" w:cs="宋体"/>
          <w:color w:val="auto"/>
          <w:sz w:val="21"/>
          <w:szCs w:val="21"/>
          <w:highlight w:val="none"/>
          <w:lang w:val="en-US" w:eastAsia="zh-CN"/>
        </w:rPr>
        <w:tab/>
      </w:r>
      <w:r>
        <w:rPr>
          <w:rFonts w:hint="eastAsia" w:ascii="宋体" w:hAnsi="宋体" w:eastAsia="宋体" w:cs="宋体"/>
          <w:color w:val="auto"/>
          <w:sz w:val="21"/>
          <w:szCs w:val="21"/>
          <w:highlight w:val="none"/>
        </w:rPr>
        <w:t>供应商提出要求获取采购文件的允许其报名获取，但对采购文件有异议应按规定的时间提出，逾期提出的，采购组织机构可不予受理、答复。</w:t>
      </w:r>
    </w:p>
    <w:p w14:paraId="5CA5AFC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2FF46B2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6465C8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浙江汇永工程咨询有限公司</w:t>
      </w:r>
    </w:p>
    <w:p w14:paraId="30E308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cs="宋体"/>
          <w:color w:val="auto"/>
          <w:szCs w:val="21"/>
          <w:highlight w:val="none"/>
          <w:lang w:val="en-US" w:eastAsia="zh-CN"/>
        </w:rPr>
        <w:t>陈</w:t>
      </w:r>
      <w:r>
        <w:rPr>
          <w:rFonts w:hint="eastAsia" w:ascii="宋体" w:hAnsi="宋体" w:eastAsia="宋体" w:cs="宋体"/>
          <w:color w:val="auto"/>
          <w:szCs w:val="21"/>
          <w:highlight w:val="none"/>
          <w:lang w:val="en-US" w:eastAsia="zh-CN"/>
        </w:rPr>
        <w:t>女士</w:t>
      </w:r>
    </w:p>
    <w:p w14:paraId="318993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联系电话：0576-88885613  18257695510</w:t>
      </w:r>
    </w:p>
    <w:p w14:paraId="29516A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质疑接收人：</w:t>
      </w:r>
      <w:r>
        <w:rPr>
          <w:rFonts w:hint="eastAsia" w:ascii="宋体" w:hAnsi="宋体" w:eastAsia="宋体" w:cs="宋体"/>
          <w:color w:val="auto"/>
          <w:szCs w:val="21"/>
          <w:highlight w:val="none"/>
          <w:lang w:val="en-US" w:eastAsia="zh-CN"/>
        </w:rPr>
        <w:t>管女士</w:t>
      </w:r>
    </w:p>
    <w:p w14:paraId="3AA4D5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13396938203</w:t>
      </w:r>
    </w:p>
    <w:p w14:paraId="2E741B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台州市椒江区中环世纪中心6幢8楼</w:t>
      </w:r>
    </w:p>
    <w:p w14:paraId="3D07FAA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617A5D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cs="宋体"/>
          <w:color w:val="auto"/>
          <w:sz w:val="21"/>
          <w:szCs w:val="21"/>
          <w:highlight w:val="none"/>
          <w:lang w:eastAsia="zh-CN"/>
        </w:rPr>
        <w:t>台州湾新区管理委员会</w:t>
      </w:r>
    </w:p>
    <w:p w14:paraId="3197A9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询问联系人：</w:t>
      </w:r>
      <w:r>
        <w:rPr>
          <w:rFonts w:hint="eastAsia" w:ascii="宋体" w:hAnsi="宋体" w:cs="宋体"/>
          <w:color w:val="auto"/>
          <w:szCs w:val="21"/>
          <w:highlight w:val="none"/>
          <w:lang w:val="en-US" w:eastAsia="zh-CN"/>
        </w:rPr>
        <w:t>鲍老师</w:t>
      </w:r>
      <w:r>
        <w:rPr>
          <w:rFonts w:hint="eastAsia" w:ascii="宋体" w:hAnsi="宋体" w:eastAsia="宋体" w:cs="宋体"/>
          <w:color w:val="auto"/>
          <w:szCs w:val="21"/>
          <w:highlight w:val="none"/>
        </w:rPr>
        <w:t xml:space="preserve">      询问联系电话：0576-</w:t>
      </w:r>
      <w:r>
        <w:rPr>
          <w:rFonts w:hint="eastAsia" w:ascii="宋体" w:hAnsi="宋体" w:eastAsia="宋体" w:cs="宋体"/>
          <w:color w:val="auto"/>
          <w:szCs w:val="21"/>
          <w:highlight w:val="none"/>
          <w:lang w:val="en-US" w:eastAsia="zh-CN"/>
        </w:rPr>
        <w:t>88909919</w:t>
      </w:r>
    </w:p>
    <w:p w14:paraId="6A19BC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质疑联系人：</w:t>
      </w:r>
      <w:r>
        <w:rPr>
          <w:rFonts w:hint="eastAsia" w:ascii="宋体" w:hAnsi="宋体" w:cs="宋体"/>
          <w:color w:val="auto"/>
          <w:szCs w:val="21"/>
          <w:highlight w:val="none"/>
          <w:lang w:val="en-US" w:eastAsia="zh-CN"/>
        </w:rPr>
        <w:t>管老师</w:t>
      </w:r>
      <w:r>
        <w:rPr>
          <w:rFonts w:hint="eastAsia" w:ascii="宋体" w:hAnsi="宋体" w:eastAsia="宋体" w:cs="宋体"/>
          <w:color w:val="auto"/>
          <w:szCs w:val="21"/>
          <w:highlight w:val="none"/>
        </w:rPr>
        <w:t xml:space="preserve">      质疑联系电话：0576-</w:t>
      </w:r>
      <w:r>
        <w:rPr>
          <w:rFonts w:hint="eastAsia" w:ascii="宋体" w:hAnsi="宋体" w:cs="宋体"/>
          <w:color w:val="auto"/>
          <w:szCs w:val="21"/>
          <w:highlight w:val="none"/>
          <w:lang w:val="en-US" w:eastAsia="zh-CN"/>
        </w:rPr>
        <w:t>88909055</w:t>
      </w:r>
    </w:p>
    <w:p w14:paraId="550EB5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w:t>
      </w:r>
      <w:r>
        <w:rPr>
          <w:rFonts w:hint="eastAsia" w:ascii="宋体" w:hAnsi="宋体" w:eastAsia="宋体" w:cs="宋体"/>
          <w:color w:val="auto"/>
          <w:sz w:val="21"/>
          <w:szCs w:val="21"/>
          <w:highlight w:val="none"/>
          <w:lang w:eastAsia="zh-CN"/>
        </w:rPr>
        <w:t>台州市</w:t>
      </w:r>
      <w:r>
        <w:rPr>
          <w:rFonts w:hint="eastAsia" w:ascii="宋体" w:hAnsi="宋体" w:cs="宋体"/>
          <w:color w:val="auto"/>
          <w:sz w:val="21"/>
          <w:szCs w:val="21"/>
          <w:highlight w:val="none"/>
          <w:lang w:val="en-US" w:eastAsia="zh-CN"/>
        </w:rPr>
        <w:t>台州湾新区甲南大道东段</w:t>
      </w:r>
      <w:r>
        <w:rPr>
          <w:rFonts w:hint="default" w:ascii="宋体" w:hAnsi="宋体" w:cs="宋体"/>
          <w:color w:val="auto"/>
          <w:sz w:val="21"/>
          <w:szCs w:val="21"/>
          <w:highlight w:val="none"/>
          <w:lang w:val="en-US" w:eastAsia="zh-CN"/>
        </w:rPr>
        <w:t>9号</w:t>
      </w:r>
    </w:p>
    <w:p w14:paraId="5D6353E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5248F5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同级政府采购监督管理部门名称：台州市财政局政府采购监管处</w:t>
      </w:r>
    </w:p>
    <w:p w14:paraId="144183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联系人：陈老师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李老师</w:t>
      </w:r>
    </w:p>
    <w:p w14:paraId="701258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监督投诉电话：0576-88206705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0576-88206731</w:t>
      </w:r>
    </w:p>
    <w:p w14:paraId="5AB127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t>地址：台州市椒江区纬一路66号</w:t>
      </w:r>
    </w:p>
    <w:p w14:paraId="6E40530C">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5DB398A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合同履约</w:t>
      </w:r>
      <w:r>
        <w:rPr>
          <w:rFonts w:hint="eastAsia" w:ascii="宋体" w:hAnsi="宋体" w:eastAsia="宋体" w:cs="宋体"/>
          <w:b w:val="0"/>
          <w:bCs w:val="0"/>
          <w:color w:val="auto"/>
          <w:sz w:val="21"/>
          <w:szCs w:val="21"/>
          <w:highlight w:val="none"/>
        </w:rPr>
        <w:t>保函联系方式</w:t>
      </w:r>
    </w:p>
    <w:tbl>
      <w:tblPr>
        <w:tblStyle w:val="23"/>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64E2D0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638D60D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7AABC95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191CBAF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4D77B6D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619DE6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2E2CE4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203C64F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5A56D2D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6CE806D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2A5D97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DC5A5A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3DA9F57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708189C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661407A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74B02B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E29E31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3BADB52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5B1B2EC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0346FEE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20E3A5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ECC43F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1376ACF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6A75F4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68B312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191636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083562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6D2CD0B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1066747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059B918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00371A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D22E5B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1E45ED4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526D0C4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191E1BE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5570D2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FE3805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4234918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6E25F2C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3CBB36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2B3D9B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6CAB3B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3AF36B70">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217FC7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4531FA5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7D2B13BA">
      <w:pPr>
        <w:jc w:val="both"/>
        <w:rPr>
          <w:rFonts w:hint="eastAsia" w:ascii="宋体" w:hAnsi="宋体" w:eastAsia="宋体" w:cs="宋体"/>
          <w:color w:val="auto"/>
          <w:szCs w:val="21"/>
          <w:highlight w:val="none"/>
          <w:lang w:val="en-US" w:eastAsia="zh-CN"/>
        </w:rPr>
      </w:pPr>
    </w:p>
    <w:p w14:paraId="32AB892E">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Cs w:val="21"/>
          <w:highlight w:val="none"/>
          <w:lang w:val="en-US" w:eastAsia="zh-CN"/>
        </w:rPr>
        <w:t>（2）预付款保函</w:t>
      </w:r>
      <w:r>
        <w:rPr>
          <w:rFonts w:hint="eastAsia" w:ascii="宋体" w:hAnsi="宋体" w:eastAsia="宋体" w:cs="宋体"/>
          <w:b w:val="0"/>
          <w:bCs w:val="0"/>
          <w:color w:val="auto"/>
          <w:sz w:val="21"/>
          <w:szCs w:val="21"/>
          <w:highlight w:val="none"/>
        </w:rPr>
        <w:t>联系方式</w:t>
      </w:r>
    </w:p>
    <w:tbl>
      <w:tblPr>
        <w:tblStyle w:val="23"/>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13FE5A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3B614BE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5628C90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24DA08D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5E9CE15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1CFB62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23EF5B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09B640A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119FF98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545646D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1E0A98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E45EEB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6EEEDA9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7D82BE7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647D917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0C0FE9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88B271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5EFBC87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5A0F730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46A9793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46DF7A55">
      <w:pPr>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中标供应商如有融资需求，可使用以下银行的政采贷服务。</w:t>
      </w:r>
    </w:p>
    <w:tbl>
      <w:tblPr>
        <w:tblStyle w:val="23"/>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7"/>
        <w:gridCol w:w="1408"/>
        <w:gridCol w:w="1782"/>
        <w:gridCol w:w="2250"/>
      </w:tblGrid>
      <w:tr w14:paraId="6E91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4D03CA9B">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银行</w:t>
            </w:r>
          </w:p>
        </w:tc>
        <w:tc>
          <w:tcPr>
            <w:tcW w:w="1408" w:type="dxa"/>
            <w:vAlign w:val="center"/>
          </w:tcPr>
          <w:p w14:paraId="6F17EAB5">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贷款年利率</w:t>
            </w:r>
          </w:p>
        </w:tc>
        <w:tc>
          <w:tcPr>
            <w:tcW w:w="1782" w:type="dxa"/>
            <w:vAlign w:val="center"/>
          </w:tcPr>
          <w:p w14:paraId="5BE08C69">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联系人</w:t>
            </w:r>
          </w:p>
        </w:tc>
        <w:tc>
          <w:tcPr>
            <w:tcW w:w="2250" w:type="dxa"/>
            <w:vAlign w:val="center"/>
          </w:tcPr>
          <w:p w14:paraId="17D3D73B">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联系电话</w:t>
            </w:r>
          </w:p>
        </w:tc>
      </w:tr>
      <w:tr w14:paraId="48922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557" w:type="dxa"/>
            <w:vAlign w:val="center"/>
          </w:tcPr>
          <w:p w14:paraId="5B5F3A09">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中国工商银行</w:t>
            </w:r>
          </w:p>
        </w:tc>
        <w:tc>
          <w:tcPr>
            <w:tcW w:w="1408" w:type="dxa"/>
            <w:vAlign w:val="center"/>
          </w:tcPr>
          <w:p w14:paraId="65BF941A">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782" w:type="dxa"/>
            <w:vAlign w:val="center"/>
          </w:tcPr>
          <w:p w14:paraId="17011C21">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卢嘉诚</w:t>
            </w:r>
          </w:p>
        </w:tc>
        <w:tc>
          <w:tcPr>
            <w:tcW w:w="2250" w:type="dxa"/>
            <w:vAlign w:val="center"/>
          </w:tcPr>
          <w:p w14:paraId="0BC89DA9">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88588246  13867658508</w:t>
            </w:r>
          </w:p>
        </w:tc>
      </w:tr>
      <w:tr w14:paraId="13E5E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15282CE7">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中国农业银行</w:t>
            </w:r>
          </w:p>
        </w:tc>
        <w:tc>
          <w:tcPr>
            <w:tcW w:w="1408" w:type="dxa"/>
            <w:vAlign w:val="center"/>
          </w:tcPr>
          <w:p w14:paraId="3624EE12">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782" w:type="dxa"/>
            <w:vAlign w:val="center"/>
          </w:tcPr>
          <w:p w14:paraId="2A866875">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龚盛</w:t>
            </w:r>
          </w:p>
        </w:tc>
        <w:tc>
          <w:tcPr>
            <w:tcW w:w="2250" w:type="dxa"/>
            <w:vAlign w:val="center"/>
          </w:tcPr>
          <w:p w14:paraId="055CC62B">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15858682216</w:t>
            </w:r>
          </w:p>
        </w:tc>
      </w:tr>
      <w:tr w14:paraId="60D30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557" w:type="dxa"/>
            <w:vAlign w:val="center"/>
          </w:tcPr>
          <w:p w14:paraId="0DD11FBA">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中国建设银行</w:t>
            </w:r>
          </w:p>
        </w:tc>
        <w:tc>
          <w:tcPr>
            <w:tcW w:w="1408" w:type="dxa"/>
            <w:vAlign w:val="center"/>
          </w:tcPr>
          <w:p w14:paraId="01A02FCC">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782" w:type="dxa"/>
            <w:vAlign w:val="center"/>
          </w:tcPr>
          <w:p w14:paraId="21CCF0B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梅晶晶</w:t>
            </w:r>
          </w:p>
        </w:tc>
        <w:tc>
          <w:tcPr>
            <w:tcW w:w="2250" w:type="dxa"/>
            <w:vAlign w:val="center"/>
          </w:tcPr>
          <w:p w14:paraId="40E033BC">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88</w:t>
            </w:r>
            <w:r>
              <w:rPr>
                <w:rFonts w:hint="eastAsia" w:ascii="宋体" w:hAnsi="宋体" w:eastAsia="宋体" w:cs="宋体"/>
                <w:color w:val="auto"/>
                <w:sz w:val="21"/>
                <w:szCs w:val="21"/>
                <w:highlight w:val="none"/>
                <w:vertAlign w:val="baseline"/>
                <w:lang w:val="en-US" w:eastAsia="zh-CN"/>
              </w:rPr>
              <w:t>525339</w:t>
            </w:r>
          </w:p>
          <w:p w14:paraId="254DDF91">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13</w:t>
            </w:r>
            <w:r>
              <w:rPr>
                <w:rFonts w:hint="eastAsia" w:ascii="宋体" w:hAnsi="宋体" w:eastAsia="宋体" w:cs="宋体"/>
                <w:color w:val="auto"/>
                <w:sz w:val="21"/>
                <w:szCs w:val="21"/>
                <w:highlight w:val="none"/>
                <w:vertAlign w:val="baseline"/>
                <w:lang w:val="en-US" w:eastAsia="zh-CN"/>
              </w:rPr>
              <w:t>736585303</w:t>
            </w:r>
          </w:p>
        </w:tc>
      </w:tr>
      <w:tr w14:paraId="0435D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4509E55B">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中国银行</w:t>
            </w:r>
          </w:p>
        </w:tc>
        <w:tc>
          <w:tcPr>
            <w:tcW w:w="1408" w:type="dxa"/>
            <w:vAlign w:val="center"/>
          </w:tcPr>
          <w:p w14:paraId="0B8BF3B0">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3.75%起</w:t>
            </w:r>
          </w:p>
        </w:tc>
        <w:tc>
          <w:tcPr>
            <w:tcW w:w="1782" w:type="dxa"/>
            <w:vAlign w:val="center"/>
          </w:tcPr>
          <w:p w14:paraId="45653690">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w:t>
            </w:r>
          </w:p>
        </w:tc>
        <w:tc>
          <w:tcPr>
            <w:tcW w:w="2250" w:type="dxa"/>
            <w:vAlign w:val="center"/>
          </w:tcPr>
          <w:p w14:paraId="6DEF0634">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13857677798</w:t>
            </w:r>
          </w:p>
        </w:tc>
      </w:tr>
      <w:tr w14:paraId="670C7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3FFB14D3">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浦发银行台州分行</w:t>
            </w:r>
          </w:p>
        </w:tc>
        <w:tc>
          <w:tcPr>
            <w:tcW w:w="1408" w:type="dxa"/>
            <w:vAlign w:val="center"/>
          </w:tcPr>
          <w:p w14:paraId="4BEA105F">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782" w:type="dxa"/>
            <w:vAlign w:val="center"/>
          </w:tcPr>
          <w:p w14:paraId="1E51A338">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王渊</w:t>
            </w:r>
          </w:p>
        </w:tc>
        <w:tc>
          <w:tcPr>
            <w:tcW w:w="2250" w:type="dxa"/>
            <w:vAlign w:val="center"/>
          </w:tcPr>
          <w:p w14:paraId="1F4DA8AA">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13616676319</w:t>
            </w:r>
          </w:p>
        </w:tc>
      </w:tr>
      <w:tr w14:paraId="388E6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323158EE">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浦发银行椒江分行</w:t>
            </w:r>
          </w:p>
        </w:tc>
        <w:tc>
          <w:tcPr>
            <w:tcW w:w="1408" w:type="dxa"/>
            <w:vAlign w:val="center"/>
          </w:tcPr>
          <w:p w14:paraId="3C99506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782" w:type="dxa"/>
            <w:vAlign w:val="center"/>
          </w:tcPr>
          <w:p w14:paraId="2DCF9E44">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孙瑞华</w:t>
            </w:r>
          </w:p>
        </w:tc>
        <w:tc>
          <w:tcPr>
            <w:tcW w:w="2250" w:type="dxa"/>
            <w:vAlign w:val="center"/>
          </w:tcPr>
          <w:p w14:paraId="1B8331CD">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13857688081</w:t>
            </w:r>
          </w:p>
        </w:tc>
      </w:tr>
      <w:tr w14:paraId="675F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54D41721">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交通银行台州分行</w:t>
            </w:r>
          </w:p>
        </w:tc>
        <w:tc>
          <w:tcPr>
            <w:tcW w:w="1408" w:type="dxa"/>
            <w:vAlign w:val="center"/>
          </w:tcPr>
          <w:p w14:paraId="7FCD313B">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3.75%起</w:t>
            </w:r>
          </w:p>
        </w:tc>
        <w:tc>
          <w:tcPr>
            <w:tcW w:w="1782" w:type="dxa"/>
            <w:vAlign w:val="center"/>
          </w:tcPr>
          <w:p w14:paraId="65F210C3">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周翔宇</w:t>
            </w:r>
          </w:p>
        </w:tc>
        <w:tc>
          <w:tcPr>
            <w:tcW w:w="2250" w:type="dxa"/>
            <w:vAlign w:val="center"/>
          </w:tcPr>
          <w:p w14:paraId="2402F654">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13867697018</w:t>
            </w:r>
          </w:p>
        </w:tc>
      </w:tr>
      <w:tr w14:paraId="61AD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7C38631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招商银行台州分行</w:t>
            </w:r>
          </w:p>
        </w:tc>
        <w:tc>
          <w:tcPr>
            <w:tcW w:w="1408" w:type="dxa"/>
            <w:vAlign w:val="center"/>
          </w:tcPr>
          <w:p w14:paraId="1ED879F0">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4.32%起</w:t>
            </w:r>
          </w:p>
        </w:tc>
        <w:tc>
          <w:tcPr>
            <w:tcW w:w="1782" w:type="dxa"/>
            <w:vAlign w:val="center"/>
          </w:tcPr>
          <w:p w14:paraId="37226A15">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王海玲</w:t>
            </w:r>
          </w:p>
        </w:tc>
        <w:tc>
          <w:tcPr>
            <w:tcW w:w="2250" w:type="dxa"/>
            <w:vAlign w:val="center"/>
          </w:tcPr>
          <w:p w14:paraId="753ABBF1">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13566413827</w:t>
            </w:r>
          </w:p>
        </w:tc>
      </w:tr>
      <w:tr w14:paraId="11EB9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557" w:type="dxa"/>
            <w:vAlign w:val="center"/>
          </w:tcPr>
          <w:p w14:paraId="41901CF0">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浙商银行台州分行</w:t>
            </w:r>
          </w:p>
        </w:tc>
        <w:tc>
          <w:tcPr>
            <w:tcW w:w="1408" w:type="dxa"/>
            <w:vAlign w:val="center"/>
          </w:tcPr>
          <w:p w14:paraId="4D7E143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5.01%起</w:t>
            </w:r>
          </w:p>
        </w:tc>
        <w:tc>
          <w:tcPr>
            <w:tcW w:w="1782" w:type="dxa"/>
            <w:vAlign w:val="center"/>
          </w:tcPr>
          <w:p w14:paraId="5E05BB88">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章涉漪</w:t>
            </w:r>
          </w:p>
        </w:tc>
        <w:tc>
          <w:tcPr>
            <w:tcW w:w="2250" w:type="dxa"/>
            <w:vAlign w:val="center"/>
          </w:tcPr>
          <w:p w14:paraId="18BED035">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81880185</w:t>
            </w:r>
          </w:p>
          <w:p w14:paraId="23E81682">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13606681262</w:t>
            </w:r>
          </w:p>
        </w:tc>
      </w:tr>
      <w:tr w14:paraId="2C86F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2E66A2B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中信银行台州分行</w:t>
            </w:r>
          </w:p>
        </w:tc>
        <w:tc>
          <w:tcPr>
            <w:tcW w:w="1408" w:type="dxa"/>
            <w:vAlign w:val="center"/>
          </w:tcPr>
          <w:p w14:paraId="2606FD35">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4.15%起</w:t>
            </w:r>
          </w:p>
        </w:tc>
        <w:tc>
          <w:tcPr>
            <w:tcW w:w="1782" w:type="dxa"/>
            <w:vAlign w:val="center"/>
          </w:tcPr>
          <w:p w14:paraId="3231C7BB">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陈金园</w:t>
            </w:r>
          </w:p>
        </w:tc>
        <w:tc>
          <w:tcPr>
            <w:tcW w:w="2250" w:type="dxa"/>
            <w:vAlign w:val="center"/>
          </w:tcPr>
          <w:p w14:paraId="0CA121A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13586052161</w:t>
            </w:r>
          </w:p>
        </w:tc>
      </w:tr>
      <w:tr w14:paraId="5490C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557" w:type="dxa"/>
            <w:vAlign w:val="center"/>
          </w:tcPr>
          <w:p w14:paraId="1A37E68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华夏银行台州分行</w:t>
            </w:r>
          </w:p>
        </w:tc>
        <w:tc>
          <w:tcPr>
            <w:tcW w:w="1408" w:type="dxa"/>
            <w:vAlign w:val="center"/>
          </w:tcPr>
          <w:p w14:paraId="4E7AC2E0">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4.5%起</w:t>
            </w:r>
          </w:p>
        </w:tc>
        <w:tc>
          <w:tcPr>
            <w:tcW w:w="1782" w:type="dxa"/>
            <w:vAlign w:val="center"/>
          </w:tcPr>
          <w:p w14:paraId="1692A71B">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邱明达</w:t>
            </w:r>
          </w:p>
        </w:tc>
        <w:tc>
          <w:tcPr>
            <w:tcW w:w="2250" w:type="dxa"/>
            <w:vAlign w:val="center"/>
          </w:tcPr>
          <w:p w14:paraId="31CEDA34">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81871518</w:t>
            </w:r>
          </w:p>
          <w:p w14:paraId="175FFCC7">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13736252233</w:t>
            </w:r>
          </w:p>
        </w:tc>
      </w:tr>
      <w:tr w14:paraId="4202D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088F5EA4">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泰隆银行开发区支行</w:t>
            </w:r>
          </w:p>
        </w:tc>
        <w:tc>
          <w:tcPr>
            <w:tcW w:w="1408" w:type="dxa"/>
            <w:vAlign w:val="center"/>
          </w:tcPr>
          <w:p w14:paraId="465DD5FF">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782" w:type="dxa"/>
            <w:vAlign w:val="center"/>
          </w:tcPr>
          <w:p w14:paraId="5AB98D26">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梁宛莉</w:t>
            </w:r>
          </w:p>
        </w:tc>
        <w:tc>
          <w:tcPr>
            <w:tcW w:w="2250" w:type="dxa"/>
            <w:vAlign w:val="center"/>
          </w:tcPr>
          <w:p w14:paraId="2ABB5F7D">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13306869100</w:t>
            </w:r>
          </w:p>
        </w:tc>
      </w:tr>
      <w:tr w14:paraId="177CD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26B00225">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民泰银行椒江支行</w:t>
            </w:r>
          </w:p>
        </w:tc>
        <w:tc>
          <w:tcPr>
            <w:tcW w:w="1408" w:type="dxa"/>
            <w:vAlign w:val="center"/>
          </w:tcPr>
          <w:p w14:paraId="4CBA4BFE">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5.8%起</w:t>
            </w:r>
          </w:p>
        </w:tc>
        <w:tc>
          <w:tcPr>
            <w:tcW w:w="1782" w:type="dxa"/>
            <w:vAlign w:val="center"/>
          </w:tcPr>
          <w:p w14:paraId="7F315FA7">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陈慧珠</w:t>
            </w:r>
          </w:p>
        </w:tc>
        <w:tc>
          <w:tcPr>
            <w:tcW w:w="2250" w:type="dxa"/>
            <w:vAlign w:val="center"/>
          </w:tcPr>
          <w:p w14:paraId="137727D2">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13857699669</w:t>
            </w:r>
          </w:p>
        </w:tc>
      </w:tr>
      <w:tr w14:paraId="16E5E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07F66235">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绍兴银行台州分行</w:t>
            </w:r>
          </w:p>
        </w:tc>
        <w:tc>
          <w:tcPr>
            <w:tcW w:w="1408" w:type="dxa"/>
            <w:vAlign w:val="center"/>
          </w:tcPr>
          <w:p w14:paraId="11CA1FA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5.1%起</w:t>
            </w:r>
          </w:p>
        </w:tc>
        <w:tc>
          <w:tcPr>
            <w:tcW w:w="1782" w:type="dxa"/>
            <w:vAlign w:val="center"/>
          </w:tcPr>
          <w:p w14:paraId="1F8373A4">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郭庭斌</w:t>
            </w:r>
          </w:p>
        </w:tc>
        <w:tc>
          <w:tcPr>
            <w:tcW w:w="2250" w:type="dxa"/>
            <w:vAlign w:val="center"/>
          </w:tcPr>
          <w:p w14:paraId="752B8F8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15958633119</w:t>
            </w:r>
          </w:p>
        </w:tc>
      </w:tr>
      <w:tr w14:paraId="1A5EC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2D90437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温州银行台州分行</w:t>
            </w:r>
          </w:p>
        </w:tc>
        <w:tc>
          <w:tcPr>
            <w:tcW w:w="1408" w:type="dxa"/>
            <w:vAlign w:val="center"/>
          </w:tcPr>
          <w:p w14:paraId="17F5EE34">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4.55%起</w:t>
            </w:r>
          </w:p>
        </w:tc>
        <w:tc>
          <w:tcPr>
            <w:tcW w:w="1782" w:type="dxa"/>
            <w:vAlign w:val="center"/>
          </w:tcPr>
          <w:p w14:paraId="242C5058">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王晓波</w:t>
            </w:r>
          </w:p>
        </w:tc>
        <w:tc>
          <w:tcPr>
            <w:tcW w:w="2250" w:type="dxa"/>
            <w:vAlign w:val="center"/>
          </w:tcPr>
          <w:p w14:paraId="0F7CA23B">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15824005475</w:t>
            </w:r>
          </w:p>
        </w:tc>
      </w:tr>
      <w:tr w14:paraId="40D93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5A5E8E3B">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平安银行台州分行</w:t>
            </w:r>
          </w:p>
        </w:tc>
        <w:tc>
          <w:tcPr>
            <w:tcW w:w="1408" w:type="dxa"/>
            <w:vAlign w:val="center"/>
          </w:tcPr>
          <w:p w14:paraId="134E9944">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6.53%起</w:t>
            </w:r>
          </w:p>
        </w:tc>
        <w:tc>
          <w:tcPr>
            <w:tcW w:w="1782" w:type="dxa"/>
            <w:vAlign w:val="center"/>
          </w:tcPr>
          <w:p w14:paraId="69FC6076">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李俊丽</w:t>
            </w:r>
          </w:p>
        </w:tc>
        <w:tc>
          <w:tcPr>
            <w:tcW w:w="2250" w:type="dxa"/>
            <w:vAlign w:val="center"/>
          </w:tcPr>
          <w:p w14:paraId="5EF81AB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15906861025</w:t>
            </w:r>
          </w:p>
        </w:tc>
      </w:tr>
      <w:tr w14:paraId="33BA9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5976158D">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宁波银行台州分行</w:t>
            </w:r>
          </w:p>
        </w:tc>
        <w:tc>
          <w:tcPr>
            <w:tcW w:w="1408" w:type="dxa"/>
            <w:vAlign w:val="center"/>
          </w:tcPr>
          <w:p w14:paraId="792EFE3B">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4.35%起</w:t>
            </w:r>
          </w:p>
        </w:tc>
        <w:tc>
          <w:tcPr>
            <w:tcW w:w="1782" w:type="dxa"/>
            <w:vAlign w:val="center"/>
          </w:tcPr>
          <w:p w14:paraId="6F093353">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戴莉丽</w:t>
            </w:r>
          </w:p>
        </w:tc>
        <w:tc>
          <w:tcPr>
            <w:tcW w:w="2250" w:type="dxa"/>
            <w:vAlign w:val="center"/>
          </w:tcPr>
          <w:p w14:paraId="2928126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13566627207</w:t>
            </w:r>
          </w:p>
        </w:tc>
      </w:tr>
      <w:tr w14:paraId="6D043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557" w:type="dxa"/>
            <w:vAlign w:val="center"/>
          </w:tcPr>
          <w:p w14:paraId="43406022">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金华银行台州分行</w:t>
            </w:r>
          </w:p>
        </w:tc>
        <w:tc>
          <w:tcPr>
            <w:tcW w:w="1408" w:type="dxa"/>
            <w:vAlign w:val="center"/>
          </w:tcPr>
          <w:p w14:paraId="0A0EE01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782" w:type="dxa"/>
            <w:vAlign w:val="center"/>
          </w:tcPr>
          <w:p w14:paraId="36B3E551">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金雪婷</w:t>
            </w:r>
          </w:p>
        </w:tc>
        <w:tc>
          <w:tcPr>
            <w:tcW w:w="2250" w:type="dxa"/>
            <w:vAlign w:val="center"/>
          </w:tcPr>
          <w:p w14:paraId="1C2B5018">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81886670</w:t>
            </w:r>
          </w:p>
          <w:p w14:paraId="7E576E7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15968661569</w:t>
            </w:r>
          </w:p>
        </w:tc>
      </w:tr>
      <w:tr w14:paraId="24D5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5AE2C60D">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台州银行</w:t>
            </w:r>
          </w:p>
        </w:tc>
        <w:tc>
          <w:tcPr>
            <w:tcW w:w="1408" w:type="dxa"/>
            <w:vAlign w:val="center"/>
          </w:tcPr>
          <w:p w14:paraId="4200428F">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782" w:type="dxa"/>
            <w:vAlign w:val="center"/>
          </w:tcPr>
          <w:p w14:paraId="7744081D">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洪婷</w:t>
            </w:r>
          </w:p>
        </w:tc>
        <w:tc>
          <w:tcPr>
            <w:tcW w:w="2250" w:type="dxa"/>
            <w:vAlign w:val="center"/>
          </w:tcPr>
          <w:p w14:paraId="387ABDAE">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15858624999</w:t>
            </w:r>
          </w:p>
        </w:tc>
      </w:tr>
      <w:tr w14:paraId="1FFB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557" w:type="dxa"/>
            <w:vAlign w:val="center"/>
          </w:tcPr>
          <w:p w14:paraId="4443817D">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邮储银行台州分行</w:t>
            </w:r>
          </w:p>
        </w:tc>
        <w:tc>
          <w:tcPr>
            <w:tcW w:w="1408" w:type="dxa"/>
            <w:vAlign w:val="center"/>
          </w:tcPr>
          <w:p w14:paraId="5385E3FE">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3.85%起</w:t>
            </w:r>
          </w:p>
        </w:tc>
        <w:tc>
          <w:tcPr>
            <w:tcW w:w="1782" w:type="dxa"/>
            <w:vAlign w:val="center"/>
          </w:tcPr>
          <w:p w14:paraId="6B56B63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董庆</w:t>
            </w:r>
          </w:p>
        </w:tc>
        <w:tc>
          <w:tcPr>
            <w:tcW w:w="2250" w:type="dxa"/>
            <w:vAlign w:val="center"/>
          </w:tcPr>
          <w:p w14:paraId="4F3F8FB8">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81888982</w:t>
            </w:r>
          </w:p>
          <w:p w14:paraId="50FA88F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18957683735</w:t>
            </w:r>
          </w:p>
        </w:tc>
      </w:tr>
    </w:tbl>
    <w:p w14:paraId="5414FC8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7"/>
          <w:rFonts w:hint="eastAsia" w:ascii="宋体" w:hAnsi="宋体" w:eastAsia="宋体" w:cs="宋体"/>
          <w:color w:val="auto"/>
          <w:szCs w:val="21"/>
          <w:highlight w:val="none"/>
        </w:rPr>
        <w:t>http://zfcg.czt.zj.gov.cn</w:t>
      </w:r>
      <w:r>
        <w:rPr>
          <w:rStyle w:val="27"/>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7267FAC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备注：请贵单位下载本次招标采购文件后，认真阅读各项内容，进行必要的准备工作，按文件的要求详细填写和编制响应文件，并按以上确定的时间、地点准时上传投标文件。</w:t>
      </w:r>
    </w:p>
    <w:p w14:paraId="2A00BDB6">
      <w:pPr>
        <w:spacing w:line="36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浙江汇永工程咨询有限公司</w:t>
      </w:r>
    </w:p>
    <w:p w14:paraId="6C39DD3F">
      <w:pPr>
        <w:pStyle w:val="6"/>
        <w:spacing w:line="360" w:lineRule="auto"/>
        <w:jc w:val="right"/>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r>
        <w:rPr>
          <w:rFonts w:hint="eastAsia" w:ascii="宋体" w:hAnsi="宋体" w:cs="宋体"/>
          <w:color w:val="auto"/>
          <w:sz w:val="21"/>
          <w:szCs w:val="21"/>
          <w:highlight w:val="none"/>
          <w:lang w:eastAsia="zh-CN"/>
        </w:rPr>
        <w:t>二○二五年七月</w:t>
      </w:r>
    </w:p>
    <w:p w14:paraId="3097058A">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rPr>
        <w:t>投标人须知</w:t>
      </w:r>
    </w:p>
    <w:p w14:paraId="425059FE">
      <w:pPr>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2"/>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418"/>
        <w:gridCol w:w="7218"/>
      </w:tblGrid>
      <w:tr w14:paraId="4CC3A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42" w:type="dxa"/>
            <w:vAlign w:val="center"/>
          </w:tcPr>
          <w:p w14:paraId="2E127817">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418" w:type="dxa"/>
            <w:vAlign w:val="center"/>
          </w:tcPr>
          <w:p w14:paraId="76ED2836">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7218" w:type="dxa"/>
            <w:vAlign w:val="center"/>
          </w:tcPr>
          <w:p w14:paraId="53AFBE98">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2EDFE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42" w:type="dxa"/>
            <w:vAlign w:val="center"/>
          </w:tcPr>
          <w:p w14:paraId="338C944A">
            <w:pPr>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1418" w:type="dxa"/>
            <w:vAlign w:val="center"/>
          </w:tcPr>
          <w:p w14:paraId="625151AF">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项目说明</w:t>
            </w:r>
          </w:p>
        </w:tc>
        <w:tc>
          <w:tcPr>
            <w:tcW w:w="7218" w:type="dxa"/>
            <w:vAlign w:val="center"/>
          </w:tcPr>
          <w:p w14:paraId="7637A214">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项目类别：服务类</w:t>
            </w:r>
          </w:p>
          <w:p w14:paraId="20594EA8">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14:paraId="0215E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42" w:type="dxa"/>
            <w:vAlign w:val="center"/>
          </w:tcPr>
          <w:p w14:paraId="33133870">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418" w:type="dxa"/>
            <w:vAlign w:val="center"/>
          </w:tcPr>
          <w:p w14:paraId="7164DD64">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7218" w:type="dxa"/>
            <w:vAlign w:val="center"/>
          </w:tcPr>
          <w:p w14:paraId="353AD9E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符合招标公告资格要求的供应商</w:t>
            </w:r>
          </w:p>
        </w:tc>
      </w:tr>
      <w:tr w14:paraId="750DC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42" w:type="dxa"/>
            <w:vAlign w:val="center"/>
          </w:tcPr>
          <w:p w14:paraId="39001D4D">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418" w:type="dxa"/>
            <w:vAlign w:val="center"/>
          </w:tcPr>
          <w:p w14:paraId="2BFE46F5">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7218" w:type="dxa"/>
            <w:vAlign w:val="center"/>
          </w:tcPr>
          <w:p w14:paraId="3321E5E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56EC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742" w:type="dxa"/>
            <w:vAlign w:val="center"/>
          </w:tcPr>
          <w:p w14:paraId="19791E3D">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418" w:type="dxa"/>
            <w:vAlign w:val="center"/>
          </w:tcPr>
          <w:p w14:paraId="7D2B1B28">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7218" w:type="dxa"/>
            <w:vAlign w:val="center"/>
          </w:tcPr>
          <w:p w14:paraId="57C87CA2">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本项目实行电子投标，供应商应准备电子投标文件、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以介质（U盘）存储的数据电文形式的备份投标文件</w:t>
            </w:r>
            <w:r>
              <w:rPr>
                <w:rFonts w:hint="eastAsia" w:ascii="宋体" w:hAnsi="宋体" w:eastAsia="宋体" w:cs="宋体"/>
                <w:color w:val="auto"/>
                <w:sz w:val="21"/>
                <w:szCs w:val="21"/>
                <w:highlight w:val="none"/>
                <w:lang w:eastAsia="zh-CN"/>
              </w:rPr>
              <w:t>。</w:t>
            </w:r>
          </w:p>
          <w:p w14:paraId="0965D55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电子投标</w:t>
            </w:r>
            <w:r>
              <w:rPr>
                <w:rFonts w:hint="eastAsia" w:ascii="宋体" w:hAnsi="宋体" w:eastAsia="宋体" w:cs="宋体"/>
                <w:color w:val="auto"/>
                <w:sz w:val="21"/>
                <w:szCs w:val="21"/>
                <w:highlight w:val="none"/>
              </w:rPr>
              <w:t>文件。</w:t>
            </w:r>
          </w:p>
          <w:p w14:paraId="1F17069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是指“电子投标文件”同时生成的数据电文形式的电子文件（备份标书），以U盘形式提供。</w:t>
            </w:r>
          </w:p>
          <w:p w14:paraId="3D29B47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56688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42" w:type="dxa"/>
            <w:vAlign w:val="center"/>
          </w:tcPr>
          <w:p w14:paraId="09350FE9">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418" w:type="dxa"/>
            <w:vAlign w:val="center"/>
          </w:tcPr>
          <w:p w14:paraId="45CD068E">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有效期</w:t>
            </w:r>
          </w:p>
        </w:tc>
        <w:tc>
          <w:tcPr>
            <w:tcW w:w="7218" w:type="dxa"/>
            <w:vAlign w:val="center"/>
          </w:tcPr>
          <w:p w14:paraId="59804532">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SA"/>
              </w:rPr>
              <w:t>▲</w:t>
            </w:r>
            <w:r>
              <w:rPr>
                <w:rFonts w:hint="eastAsia" w:ascii="宋体" w:hAnsi="宋体" w:eastAsia="宋体" w:cs="宋体"/>
                <w:color w:val="auto"/>
                <w:sz w:val="21"/>
                <w:szCs w:val="21"/>
                <w:highlight w:val="none"/>
              </w:rPr>
              <w:t>投标有效期为90天，投标有效期从提交投标文件的截止之日起算。</w:t>
            </w:r>
          </w:p>
        </w:tc>
      </w:tr>
      <w:tr w14:paraId="3519E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742" w:type="dxa"/>
            <w:vAlign w:val="center"/>
          </w:tcPr>
          <w:p w14:paraId="5EAE1767">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418" w:type="dxa"/>
            <w:vAlign w:val="center"/>
          </w:tcPr>
          <w:p w14:paraId="048CF032">
            <w:pPr>
              <w:pStyle w:val="6"/>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电子投标文件的传输递交</w:t>
            </w:r>
          </w:p>
        </w:tc>
        <w:tc>
          <w:tcPr>
            <w:tcW w:w="7218" w:type="dxa"/>
            <w:vAlign w:val="center"/>
          </w:tcPr>
          <w:p w14:paraId="16CDC1C8">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2025年7月28日上午9:00</w:t>
            </w:r>
            <w:r>
              <w:rPr>
                <w:rFonts w:hint="eastAsia" w:ascii="宋体" w:hAnsi="宋体" w:eastAsia="宋体" w:cs="宋体"/>
                <w:b/>
                <w:bCs/>
                <w:color w:val="auto"/>
                <w:kern w:val="2"/>
                <w:sz w:val="21"/>
                <w:szCs w:val="21"/>
                <w:highlight w:val="none"/>
                <w:u w:val="single"/>
                <w:lang w:val="en-US" w:eastAsia="zh-CN" w:bidi="ar-SA"/>
              </w:rPr>
              <w:t>整</w:t>
            </w:r>
          </w:p>
          <w:p w14:paraId="2A5FBAD9">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寄达的投标文件，将被拒收。</w:t>
            </w:r>
          </w:p>
        </w:tc>
      </w:tr>
      <w:tr w14:paraId="3753E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742" w:type="dxa"/>
            <w:vAlign w:val="center"/>
          </w:tcPr>
          <w:p w14:paraId="6820639F">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418" w:type="dxa"/>
            <w:vAlign w:val="center"/>
          </w:tcPr>
          <w:p w14:paraId="7CFCEE02">
            <w:pPr>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备份投标文件的递交</w:t>
            </w:r>
          </w:p>
        </w:tc>
        <w:tc>
          <w:tcPr>
            <w:tcW w:w="7218" w:type="dxa"/>
            <w:vAlign w:val="center"/>
          </w:tcPr>
          <w:p w14:paraId="2BDBE815">
            <w:pPr>
              <w:pStyle w:val="52"/>
              <w:snapToGrid w:val="0"/>
              <w:spacing w:line="24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供应商同时还可以提供经政采云平台加密处理的、以介质（U盘）存储的数据电文形式的备份投标文件。备份投标文件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建议顺丰邮寄到台州市椒江区中环世纪6幢8楼（浙江汇永工程咨询有限公司）收件人：陈奕圩；联系电话：18257695510，逾期寄达或未按要求密封将被拒收。▲如投标人未在投标截止时间前完成电子投标文件的传输递交，其备份投标文件也将为无效投标文件。</w:t>
            </w:r>
          </w:p>
          <w:p w14:paraId="6F16F183">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2025年7月28日上午9:00</w:t>
            </w:r>
            <w:r>
              <w:rPr>
                <w:rFonts w:hint="eastAsia" w:ascii="宋体" w:hAnsi="宋体" w:eastAsia="宋体" w:cs="宋体"/>
                <w:b/>
                <w:bCs/>
                <w:color w:val="auto"/>
                <w:kern w:val="2"/>
                <w:sz w:val="21"/>
                <w:szCs w:val="21"/>
                <w:highlight w:val="none"/>
                <w:u w:val="single"/>
                <w:lang w:val="en-US" w:eastAsia="zh-CN" w:bidi="ar-SA"/>
              </w:rPr>
              <w:t>整</w:t>
            </w:r>
          </w:p>
        </w:tc>
      </w:tr>
      <w:tr w14:paraId="1F54B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742" w:type="dxa"/>
            <w:vAlign w:val="center"/>
          </w:tcPr>
          <w:p w14:paraId="2D660E20">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418" w:type="dxa"/>
            <w:vAlign w:val="center"/>
          </w:tcPr>
          <w:p w14:paraId="6BDE6489">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备份投标文件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7218" w:type="dxa"/>
            <w:vAlign w:val="center"/>
          </w:tcPr>
          <w:p w14:paraId="37002DFF">
            <w:pPr>
              <w:pStyle w:val="18"/>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4A62CCBF">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备份投标文件在密封袋的封口处加盖投标人公章、法定代表人代表或授权委托代理人印章或签字。封皮上写明项目编号、标项、招标项目名称、投标人名称，并注明“投标文件名称”、“开标时启封”字样</w:t>
            </w:r>
            <w:r>
              <w:rPr>
                <w:rFonts w:hint="eastAsia" w:ascii="宋体" w:hAnsi="宋体" w:cs="宋体"/>
                <w:bCs/>
                <w:color w:val="auto"/>
                <w:sz w:val="21"/>
                <w:szCs w:val="21"/>
                <w:highlight w:val="none"/>
                <w:lang w:eastAsia="zh-CN"/>
              </w:rPr>
              <w:t>。</w:t>
            </w:r>
          </w:p>
          <w:p w14:paraId="7CF4C624">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bCs/>
                <w:color w:val="auto"/>
                <w:sz w:val="21"/>
                <w:szCs w:val="21"/>
                <w:highlight w:val="none"/>
              </w:rPr>
              <w:t>，采购代理机构对投标文件的误投和提前启封不负责任。</w:t>
            </w:r>
          </w:p>
          <w:p w14:paraId="357A579F">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如电子投标文件解密成功，则备份投标文件不再拆封。</w:t>
            </w:r>
          </w:p>
        </w:tc>
      </w:tr>
      <w:tr w14:paraId="37A3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42" w:type="dxa"/>
            <w:vAlign w:val="center"/>
          </w:tcPr>
          <w:p w14:paraId="052FD36D">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418" w:type="dxa"/>
            <w:vAlign w:val="center"/>
          </w:tcPr>
          <w:p w14:paraId="7F77EF7C">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电子投标文件解密时间</w:t>
            </w:r>
            <w:r>
              <w:rPr>
                <w:rFonts w:hint="eastAsia" w:ascii="宋体" w:hAnsi="宋体" w:eastAsia="宋体" w:cs="宋体"/>
                <w:color w:val="auto"/>
                <w:sz w:val="21"/>
                <w:szCs w:val="21"/>
                <w:highlight w:val="none"/>
                <w:lang w:val="en-US" w:eastAsia="zh-CN"/>
              </w:rPr>
              <w:t>及地点</w:t>
            </w:r>
          </w:p>
        </w:tc>
        <w:tc>
          <w:tcPr>
            <w:tcW w:w="7218" w:type="dxa"/>
            <w:vAlign w:val="center"/>
          </w:tcPr>
          <w:p w14:paraId="7CFA297D">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2025年7月28日上午9:00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9:30</w:t>
            </w:r>
            <w:r>
              <w:rPr>
                <w:rFonts w:hint="eastAsia" w:ascii="宋体" w:hAnsi="宋体" w:eastAsia="宋体" w:cs="宋体"/>
                <w:color w:val="auto"/>
                <w:sz w:val="21"/>
                <w:szCs w:val="21"/>
                <w:highlight w:val="none"/>
              </w:rPr>
              <w:t>（北京时间）</w:t>
            </w:r>
          </w:p>
          <w:p w14:paraId="3C3CE43A">
            <w:pPr>
              <w:pStyle w:val="51"/>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地点：政采云平台（www.zcygov.cn）</w:t>
            </w:r>
          </w:p>
        </w:tc>
      </w:tr>
      <w:tr w14:paraId="07602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42" w:type="dxa"/>
            <w:vAlign w:val="center"/>
          </w:tcPr>
          <w:p w14:paraId="031709ED">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1418" w:type="dxa"/>
            <w:vAlign w:val="center"/>
          </w:tcPr>
          <w:p w14:paraId="4166A7F0">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其他要求</w:t>
            </w:r>
          </w:p>
        </w:tc>
        <w:tc>
          <w:tcPr>
            <w:tcW w:w="7218" w:type="dxa"/>
            <w:vAlign w:val="center"/>
          </w:tcPr>
          <w:p w14:paraId="576266D2">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1、踏勘现场时间及地点：不组织，各投标单位根据自己需要，自行前往勘察现场和周围环境，所产生的费用由投标单位自理。</w:t>
            </w:r>
          </w:p>
          <w:p w14:paraId="5AA5EFDB">
            <w:pPr>
              <w:pStyle w:val="51"/>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2、节能环保：符合国家相关法律法规；</w:t>
            </w:r>
          </w:p>
          <w:p w14:paraId="38454A5A">
            <w:pPr>
              <w:pStyle w:val="51"/>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3、样品：无要求；</w:t>
            </w:r>
          </w:p>
          <w:p w14:paraId="6EEAA675">
            <w:pPr>
              <w:pStyle w:val="51"/>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4、现场演示：无要求。</w:t>
            </w:r>
          </w:p>
        </w:tc>
      </w:tr>
      <w:tr w14:paraId="73BF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42" w:type="dxa"/>
            <w:vAlign w:val="center"/>
          </w:tcPr>
          <w:p w14:paraId="0CE770E5">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418" w:type="dxa"/>
            <w:vAlign w:val="center"/>
          </w:tcPr>
          <w:p w14:paraId="49B6B554">
            <w:pPr>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中小企业扶持政策</w:t>
            </w:r>
          </w:p>
        </w:tc>
        <w:tc>
          <w:tcPr>
            <w:tcW w:w="7218" w:type="dxa"/>
            <w:vAlign w:val="center"/>
          </w:tcPr>
          <w:p w14:paraId="286C457E">
            <w:pPr>
              <w:pStyle w:val="51"/>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服务由中小企业承接，即提供服务的人员为中小企业依照《中华人民共和国劳动合同法》签订劳动合同的从业人员，享受该办法规定对中小企业的扶持政策。残疾人福利性单位和监狱企业视同小型、微型企业。</w:t>
            </w:r>
          </w:p>
          <w:p w14:paraId="7C3E1E4C">
            <w:pPr>
              <w:pStyle w:val="51"/>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778E0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42" w:type="dxa"/>
            <w:vAlign w:val="center"/>
          </w:tcPr>
          <w:p w14:paraId="54C7F46F">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12</w:t>
            </w:r>
          </w:p>
        </w:tc>
        <w:tc>
          <w:tcPr>
            <w:tcW w:w="1418" w:type="dxa"/>
            <w:vAlign w:val="center"/>
          </w:tcPr>
          <w:p w14:paraId="0A554272">
            <w:pPr>
              <w:spacing w:line="24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实质性条款</w:t>
            </w:r>
          </w:p>
        </w:tc>
        <w:tc>
          <w:tcPr>
            <w:tcW w:w="7218" w:type="dxa"/>
            <w:vAlign w:val="center"/>
          </w:tcPr>
          <w:p w14:paraId="529C7BCE">
            <w:pPr>
              <w:spacing w:line="240" w:lineRule="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▲”的条款是实质性条款，投标文件须作出实质性响应，否则作无效投标处理。</w:t>
            </w:r>
          </w:p>
        </w:tc>
      </w:tr>
      <w:tr w14:paraId="250B3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42" w:type="dxa"/>
            <w:vAlign w:val="center"/>
          </w:tcPr>
          <w:p w14:paraId="74F3EAD1">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13</w:t>
            </w:r>
          </w:p>
        </w:tc>
        <w:tc>
          <w:tcPr>
            <w:tcW w:w="1418" w:type="dxa"/>
            <w:shd w:val="clear" w:color="auto" w:fill="auto"/>
            <w:vAlign w:val="center"/>
          </w:tcPr>
          <w:p w14:paraId="5F2504E1">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其他</w:t>
            </w:r>
          </w:p>
        </w:tc>
        <w:tc>
          <w:tcPr>
            <w:tcW w:w="7218" w:type="dxa"/>
            <w:shd w:val="clear" w:color="auto" w:fill="auto"/>
            <w:vAlign w:val="center"/>
          </w:tcPr>
          <w:p w14:paraId="691F0877">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1、各供应商自行在浙江政府采购网下载或查阅采购文件和相关更正公告等，不另行通知，如有遗漏采购人、采购代理机构概不负责。</w:t>
            </w:r>
          </w:p>
          <w:p w14:paraId="544B0975">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2、两家或两家以上供应商提供的投标文件出自同一终端设备的，或在相同Internet主机分配地址（相同IP地址）报名或网上投标的，后果由供应商自行承担。</w:t>
            </w:r>
          </w:p>
          <w:p w14:paraId="31C4FAB7">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3、开标时间后30分钟内供应商须携带CA自备电脑登录“政采云”平台，用“项目采购-开标评标”功能解密投标文件，投标人未按时解密或解密失败的，其上传的电子投标文件自动失效。</w:t>
            </w:r>
          </w:p>
        </w:tc>
      </w:tr>
      <w:tr w14:paraId="31FD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42" w:type="dxa"/>
            <w:vAlign w:val="center"/>
          </w:tcPr>
          <w:p w14:paraId="05B6C44F">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14</w:t>
            </w:r>
          </w:p>
        </w:tc>
        <w:tc>
          <w:tcPr>
            <w:tcW w:w="1418" w:type="dxa"/>
            <w:vAlign w:val="center"/>
          </w:tcPr>
          <w:p w14:paraId="1B9CCD20">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解释权</w:t>
            </w:r>
          </w:p>
        </w:tc>
        <w:tc>
          <w:tcPr>
            <w:tcW w:w="7218" w:type="dxa"/>
            <w:vAlign w:val="center"/>
          </w:tcPr>
          <w:p w14:paraId="2AB0C50F">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lang w:eastAsia="zh-CN"/>
              </w:rPr>
              <w:t>浙江汇永工程咨询有限公司</w:t>
            </w:r>
            <w:r>
              <w:rPr>
                <w:rFonts w:hint="eastAsia" w:ascii="宋体" w:hAnsi="宋体" w:eastAsia="宋体" w:cs="宋体"/>
                <w:b/>
                <w:color w:val="auto"/>
                <w:szCs w:val="21"/>
                <w:highlight w:val="none"/>
                <w:lang w:val="en-US" w:eastAsia="zh-CN"/>
              </w:rPr>
              <w:t>和采购人</w:t>
            </w:r>
          </w:p>
        </w:tc>
      </w:tr>
    </w:tbl>
    <w:p w14:paraId="0FEEFBA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494A27F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0B77DA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本招标文件适用于本次项目的招标、投标、评标、定标、验收、合同履约、付款等行为（法律、法规另有规定的，从其规定）。</w:t>
      </w:r>
    </w:p>
    <w:p w14:paraId="36BB49D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735C62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“采购组织机构”指采购人委托组织招标的采购代理机构。</w:t>
      </w:r>
    </w:p>
    <w:p w14:paraId="105B24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2、采购人：是指委托</w:t>
      </w:r>
      <w:r>
        <w:rPr>
          <w:rFonts w:hint="eastAsia" w:ascii="宋体" w:hAnsi="宋体" w:eastAsia="宋体" w:cs="宋体"/>
          <w:color w:val="auto"/>
          <w:sz w:val="21"/>
          <w:szCs w:val="21"/>
          <w:highlight w:val="none"/>
          <w:lang w:val="zh-CN"/>
        </w:rPr>
        <w:t>采购代理机构</w:t>
      </w:r>
      <w:r>
        <w:rPr>
          <w:rFonts w:hint="eastAsia" w:ascii="宋体" w:hAnsi="宋体" w:eastAsia="宋体" w:cs="宋体"/>
          <w:color w:val="auto"/>
          <w:sz w:val="21"/>
          <w:szCs w:val="21"/>
          <w:highlight w:val="none"/>
        </w:rPr>
        <w:t>采购本次项目的国家机关、事业单位和团体组织。</w:t>
      </w:r>
    </w:p>
    <w:p w14:paraId="50C59E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3、投标人：是指向采购</w:t>
      </w:r>
      <w:r>
        <w:rPr>
          <w:rFonts w:hint="eastAsia" w:ascii="宋体" w:hAnsi="宋体" w:eastAsia="宋体" w:cs="宋体"/>
          <w:color w:val="auto"/>
          <w:sz w:val="21"/>
          <w:szCs w:val="21"/>
          <w:highlight w:val="none"/>
          <w:lang w:val="zh-CN"/>
        </w:rPr>
        <w:t>组织</w:t>
      </w:r>
      <w:r>
        <w:rPr>
          <w:rFonts w:hint="eastAsia" w:ascii="宋体" w:hAnsi="宋体" w:eastAsia="宋体" w:cs="宋体"/>
          <w:color w:val="auto"/>
          <w:sz w:val="21"/>
          <w:szCs w:val="21"/>
          <w:highlight w:val="none"/>
        </w:rPr>
        <w:t>机构提交投标文件的单位或个人。</w:t>
      </w:r>
    </w:p>
    <w:p w14:paraId="0908E3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4、货物：是指各种形态和种类的物品，包括原材料、燃料、设备、产品等。</w:t>
      </w:r>
    </w:p>
    <w:p w14:paraId="684DA1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5、服务：是指除货物和工程以外的政府采购对象，包括各类专业服务、信息网络开发服务、金融保险服务、运输服务，以及维修与维护服务等。</w:t>
      </w:r>
    </w:p>
    <w:p w14:paraId="41688C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6、“书面形式”包括信函、传真等。</w:t>
      </w:r>
    </w:p>
    <w:p w14:paraId="2C75198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7、“▲”系指实质性要求条款。</w:t>
      </w:r>
    </w:p>
    <w:p w14:paraId="11B6E340">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（三）投标费用</w:t>
      </w:r>
    </w:p>
    <w:p w14:paraId="492196E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不论投标结果如何，投标人均应自行承担所有与投标有关的全部费用（招标文件有相关规定除外）。</w:t>
      </w:r>
    </w:p>
    <w:p w14:paraId="33897AA5">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76CBD49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1、投标人投标所使用的资格、信誉、荣誉、业绩与企业认证必须为本</w:t>
      </w:r>
      <w:r>
        <w:rPr>
          <w:rFonts w:hint="eastAsia" w:ascii="宋体" w:hAnsi="宋体" w:eastAsia="宋体" w:cs="宋体"/>
          <w:color w:val="auto"/>
          <w:sz w:val="21"/>
          <w:szCs w:val="21"/>
          <w:highlight w:val="none"/>
          <w:lang w:eastAsia="zh-CN"/>
        </w:rPr>
        <w:t>法人</w:t>
      </w:r>
      <w:r>
        <w:rPr>
          <w:rFonts w:hint="eastAsia" w:ascii="宋体" w:hAnsi="宋体" w:eastAsia="宋体" w:cs="宋体"/>
          <w:color w:val="auto"/>
          <w:sz w:val="21"/>
          <w:szCs w:val="21"/>
          <w:highlight w:val="none"/>
        </w:rPr>
        <w:t>所拥有。投标人投标所使用的采购项目实施人员必须为本</w:t>
      </w:r>
      <w:r>
        <w:rPr>
          <w:rFonts w:hint="eastAsia" w:ascii="宋体" w:hAnsi="宋体" w:eastAsia="宋体" w:cs="宋体"/>
          <w:color w:val="auto"/>
          <w:sz w:val="21"/>
          <w:szCs w:val="21"/>
          <w:highlight w:val="none"/>
          <w:lang w:eastAsia="zh-CN"/>
        </w:rPr>
        <w:t>法人</w:t>
      </w:r>
      <w:r>
        <w:rPr>
          <w:rFonts w:hint="eastAsia" w:ascii="宋体" w:hAnsi="宋体" w:eastAsia="宋体" w:cs="宋体"/>
          <w:color w:val="auto"/>
          <w:sz w:val="21"/>
          <w:szCs w:val="21"/>
          <w:highlight w:val="none"/>
        </w:rPr>
        <w:t>员工。▲其中涉及资格条件的如非本法人所拥有，则投标无效。</w:t>
      </w:r>
    </w:p>
    <w:p w14:paraId="2C870ED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69B48F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116C5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4C2BF6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▲5、为采购项目提供整体设计、规范编制或者项目管理、监理、检测等服务的供应商，不得再参加该采购项目的其他采购活动。</w:t>
      </w:r>
    </w:p>
    <w:p w14:paraId="06612C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6、投标文件格式中的表格式样可以根据项目差别做适当调整,但应当保持表格样式基本形态不变。</w:t>
      </w:r>
    </w:p>
    <w:p w14:paraId="22414848">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▲7、单位负责人为同一人或者存在直接控股、管理关系的不同供应商，不得参加同一合同项下的政府采购活动。</w:t>
      </w:r>
      <w:r>
        <w:rPr>
          <w:rFonts w:hint="eastAsia" w:ascii="宋体" w:hAnsi="宋体" w:eastAsia="宋体" w:cs="宋体"/>
          <w:color w:val="auto"/>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14:paraId="5949DDAA">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3F6104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9、</w:t>
      </w:r>
      <w:r>
        <w:rPr>
          <w:rFonts w:hint="eastAsia" w:ascii="宋体" w:hAnsi="宋体" w:eastAsia="宋体" w:cs="宋体"/>
          <w:color w:val="auto"/>
          <w:sz w:val="21"/>
          <w:szCs w:val="21"/>
          <w:highlight w:val="none"/>
        </w:rPr>
        <w:t>本项目不允许</w:t>
      </w:r>
      <w:r>
        <w:rPr>
          <w:rFonts w:hint="eastAsia" w:ascii="宋体" w:hAnsi="宋体" w:eastAsia="宋体" w:cs="宋体"/>
          <w:color w:val="auto"/>
          <w:sz w:val="21"/>
          <w:szCs w:val="21"/>
          <w:highlight w:val="none"/>
          <w:lang w:val="en-US" w:eastAsia="zh-CN"/>
        </w:rPr>
        <w:t>转包、</w:t>
      </w:r>
      <w:r>
        <w:rPr>
          <w:rFonts w:hint="eastAsia" w:ascii="宋体" w:hAnsi="宋体" w:eastAsia="宋体" w:cs="宋体"/>
          <w:color w:val="auto"/>
          <w:sz w:val="21"/>
          <w:szCs w:val="21"/>
          <w:highlight w:val="none"/>
        </w:rPr>
        <w:t>分包。</w:t>
      </w:r>
    </w:p>
    <w:p w14:paraId="1548072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二、招标文件</w:t>
      </w:r>
    </w:p>
    <w:p w14:paraId="4326A7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（一）招标文件由招标文件总目录所列内容组成。</w:t>
      </w:r>
    </w:p>
    <w:p w14:paraId="1DC8CC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（二）招标文件的澄清或修改</w:t>
      </w:r>
    </w:p>
    <w:p w14:paraId="73E3F6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机构可视采购具体情况对已发出的招标文件进行必要的澄清或者修改。澄清或者修改的内容可能影响投标文件编制的，采购人或者采购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机构应当在投标截止时间至少15日前，在原公告发布媒体上发布澄清公告，澄清或者修改的内容为招标文件的组成部分；不足15日的，采购人或者采购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 xml:space="preserve">机构应当顺延提交投标文件的截止时间。 </w:t>
      </w:r>
    </w:p>
    <w:p w14:paraId="44835F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52B308C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w:t>
      </w:r>
    </w:p>
    <w:p w14:paraId="3432D5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本项目实行电子投标，供应商应准备电子投标文件、</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lang w:eastAsia="zh-CN"/>
        </w:rPr>
        <w:t>文件。</w:t>
      </w:r>
    </w:p>
    <w:p w14:paraId="4FE210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电子投标文件按</w:t>
      </w:r>
      <w:r>
        <w:rPr>
          <w:rFonts w:hint="eastAsia" w:ascii="宋体" w:hAnsi="宋体" w:eastAsia="宋体" w:cs="宋体"/>
          <w:bCs/>
          <w:color w:val="auto"/>
          <w:sz w:val="21"/>
          <w:szCs w:val="21"/>
          <w:highlight w:val="none"/>
          <w:lang w:val="en-US" w:eastAsia="zh-CN"/>
        </w:rPr>
        <w:t>政府采购</w:t>
      </w:r>
      <w:r>
        <w:rPr>
          <w:rFonts w:hint="eastAsia" w:ascii="宋体" w:hAnsi="宋体" w:eastAsia="宋体" w:cs="宋体"/>
          <w:bCs/>
          <w:color w:val="auto"/>
          <w:sz w:val="21"/>
          <w:szCs w:val="21"/>
          <w:highlight w:val="none"/>
          <w:lang w:val="zh-CN"/>
        </w:rPr>
        <w:t>云平台供应商项目采购-电子招投标操作指南（网址：https://helpcenter.zcygov.cn/document/#/document/detail?siteCode=beijing&amp;manualId=359&amp;topicId=1447）及本招标文件要求制作、加密并</w:t>
      </w:r>
      <w:r>
        <w:rPr>
          <w:rFonts w:hint="eastAsia" w:ascii="宋体" w:hAnsi="宋体" w:eastAsia="宋体" w:cs="宋体"/>
          <w:bCs/>
          <w:color w:val="auto"/>
          <w:sz w:val="21"/>
          <w:szCs w:val="21"/>
          <w:highlight w:val="none"/>
          <w:lang w:val="en-US" w:eastAsia="zh-CN"/>
        </w:rPr>
        <w:t>传输</w:t>
      </w:r>
      <w:r>
        <w:rPr>
          <w:rFonts w:hint="eastAsia" w:ascii="宋体" w:hAnsi="宋体" w:eastAsia="宋体" w:cs="宋体"/>
          <w:bCs/>
          <w:color w:val="auto"/>
          <w:sz w:val="21"/>
          <w:szCs w:val="21"/>
          <w:highlight w:val="none"/>
          <w:lang w:val="zh-CN"/>
        </w:rPr>
        <w:t>递交。</w:t>
      </w:r>
    </w:p>
    <w:p w14:paraId="4CA320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color w:val="auto"/>
          <w:szCs w:val="21"/>
          <w:highlight w:val="none"/>
          <w:lang w:val="zh-CN"/>
        </w:rPr>
        <w:t>备份投标文件是指“电子投标文件”同时生成的数据电文形式的电子文件（备份标书），以U盘形式提供。</w:t>
      </w:r>
    </w:p>
    <w:p w14:paraId="271390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投标文件启用顺序和效力：投标文件的启用，按先后顺位分别为电子投标文件、以介质（U盘）存储的数据电文形式的备份投标文件。如果某位投标人的电子投标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投标</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2F7CAF9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▲未传输递交电子投标文件，投标无效。</w:t>
      </w:r>
    </w:p>
    <w:p w14:paraId="6ECF85E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（一）</w:t>
      </w:r>
      <w:r>
        <w:rPr>
          <w:rFonts w:hint="eastAsia" w:ascii="宋体" w:hAnsi="宋体" w:eastAsia="宋体" w:cs="宋体"/>
          <w:b/>
          <w:bCs/>
          <w:color w:val="auto"/>
          <w:sz w:val="21"/>
          <w:szCs w:val="21"/>
          <w:highlight w:val="none"/>
        </w:rPr>
        <w:t>投标文件的组成</w:t>
      </w:r>
    </w:p>
    <w:p w14:paraId="2A6E56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投标人接到招标文件后，按照</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rPr>
        <w:t>的要求提供投标文件（包含电子投标文件和备份投标文件）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由资格证明文件、商务与技术文件和报价文件</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部分组成</w:t>
      </w:r>
      <w:r>
        <w:rPr>
          <w:rFonts w:hint="eastAsia" w:ascii="宋体" w:hAnsi="宋体" w:eastAsia="宋体" w:cs="宋体"/>
          <w:color w:val="auto"/>
          <w:sz w:val="21"/>
          <w:szCs w:val="21"/>
          <w:highlight w:val="none"/>
          <w:lang w:eastAsia="zh-CN"/>
        </w:rPr>
        <w:t>。</w:t>
      </w:r>
    </w:p>
    <w:p w14:paraId="20AE8C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【特别提示：如有要求提供资料原件的，原件另行包装，并与投标文件一起提交，投标截止时间后所有原件不予接收。资料原件也可以用与原件相符的公证原件替代】</w:t>
      </w:r>
    </w:p>
    <w:p w14:paraId="1EE986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1、资格证明文件的组成：</w:t>
      </w:r>
    </w:p>
    <w:p w14:paraId="7BF7D6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（1）投标声明书；</w:t>
      </w:r>
    </w:p>
    <w:p w14:paraId="5B1223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099AAB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（3）法人或者其他组织的营业执照等证明文件，法定代表人和授权代表的身份证明；</w:t>
      </w:r>
    </w:p>
    <w:p w14:paraId="101157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（4）</w:t>
      </w:r>
      <w:r>
        <w:rPr>
          <w:rFonts w:hint="eastAsia" w:ascii="宋体" w:hAnsi="宋体" w:eastAsia="宋体" w:cs="宋体"/>
          <w:color w:val="auto"/>
          <w:kern w:val="0"/>
          <w:sz w:val="21"/>
          <w:szCs w:val="21"/>
          <w:highlight w:val="none"/>
          <w:lang w:val="en-US" w:eastAsia="zh-CN"/>
        </w:rPr>
        <w:t>须提供中小企业声明函等政府优惠政策适用证明材料；</w:t>
      </w:r>
    </w:p>
    <w:p w14:paraId="1150D2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szCs w:val="21"/>
          <w:highlight w:val="none"/>
          <w:lang w:val="en-US" w:eastAsia="zh-CN"/>
        </w:rPr>
        <w:t>投标人认为需要说明的其他材料。</w:t>
      </w:r>
    </w:p>
    <w:p w14:paraId="63F6F78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2、商务与技术文件的组成：</w:t>
      </w:r>
    </w:p>
    <w:p w14:paraId="625221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（1）投标人</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5705D0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（2）投标方案描述：</w:t>
      </w:r>
    </w:p>
    <w:p w14:paraId="5D69BD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A.项目需求的理解与分析(投标人对项目现状及需求的理解情况，对项目现状和需求描述的全面性、准确性、针对性，对项目重点、难点的把握，解决方案及合理化建议)。</w:t>
      </w:r>
    </w:p>
    <w:p w14:paraId="76FEDF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的措施或方案、项目实施进度安排、项目实施人员及项目负责人的资质、类似经验及社保证明等）。</w:t>
      </w:r>
    </w:p>
    <w:p w14:paraId="731C91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C.验收方案（包括项目验收标准和验收方法等）和措施；</w:t>
      </w:r>
    </w:p>
    <w:p w14:paraId="13D48F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14:paraId="019108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通过的与本项目相关的认证证书或文件；</w:t>
      </w:r>
    </w:p>
    <w:p w14:paraId="3AA020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（5）类似项目的成功案例（投标人类似项目实施情况一览表、合同复印件等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0CCA88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（6）投标人认为需要提供的其他资料（包括可能影响投标人商务与技术文件评分的各类证明材料）。</w:t>
      </w:r>
    </w:p>
    <w:p w14:paraId="290481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6CD08F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55E956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响应时间、技术培训方案等）。</w:t>
      </w:r>
    </w:p>
    <w:p w14:paraId="34FB2DA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u w:val="single"/>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14:paraId="654F530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3、报价文件的组成</w:t>
      </w:r>
    </w:p>
    <w:p w14:paraId="0B39E2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（1）报价文件由开标一览表、报价明细表，以及投标人认为其他需要说明的内容组成。</w:t>
      </w:r>
    </w:p>
    <w:p w14:paraId="652622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▲（2）此报价为投标人一次性报出唯一的最终价格，包含其它一切所要涉及到的费用，有选择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p>
    <w:p w14:paraId="06B2B0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总报价为完成本项目的所有费用，包括所有人员的人工费、交通费、住宿费、伙食费、办公设施费、管理费、利润、税金、合同包含的所有风险责任等各项费用及不可预见费等所需的全部费用，全部费用已包含在投标总报价中。</w:t>
      </w:r>
    </w:p>
    <w:p w14:paraId="06F5A6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▲（4）相关报价单需打印或用不</w:t>
      </w:r>
      <w:r>
        <w:rPr>
          <w:rFonts w:hint="eastAsia" w:ascii="宋体" w:hAnsi="宋体" w:eastAsia="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投标报价单不得涂改和增删，如有错漏必须修改，修改处须由同一签署人签字或盖章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未由</w:t>
      </w:r>
      <w:r>
        <w:rPr>
          <w:rFonts w:hint="eastAsia" w:ascii="宋体" w:hAnsi="宋体" w:eastAsia="宋体" w:cs="宋体"/>
          <w:color w:val="auto"/>
          <w:szCs w:val="21"/>
          <w:highlight w:val="none"/>
        </w:rPr>
        <w:t>同一签署人签字或盖章</w:t>
      </w:r>
      <w:r>
        <w:rPr>
          <w:rFonts w:hint="eastAsia" w:ascii="宋体" w:hAnsi="宋体" w:eastAsia="宋体" w:cs="宋体"/>
          <w:color w:val="auto"/>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。由于字迹模糊或表达不清引起的后果由投标人负责。</w:t>
      </w:r>
    </w:p>
    <w:p w14:paraId="6C5F18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）投标报价应按招标文件中相关附表格式填写。</w:t>
      </w:r>
    </w:p>
    <w:p w14:paraId="616D020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（二）投标文件的制作、封装及递交要求</w:t>
      </w:r>
    </w:p>
    <w:p w14:paraId="2FFDBD96">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投标文件的签署</w:t>
      </w:r>
    </w:p>
    <w:p w14:paraId="4541C34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电子投标文件中须加盖</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01F651C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电子投标文件如内容不完整、编排混乱导致投标文件被误读、漏读，或者在按采购文件规定的部位查找不到相关内容的，由投标人自行承担。</w:t>
      </w:r>
    </w:p>
    <w:p w14:paraId="5A2D047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或授权代表签字信息，需要投标人联系浙江杭州汇信科技有限公司等相应公司进行办理，或在投标文件中涉及到签字的位置线下签好字然后扫描或者拍照做成PDF的格式亦可。</w:t>
      </w:r>
    </w:p>
    <w:p w14:paraId="6EE5BF7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投标文件不得涂改，若有修改错漏处，须加盖单位公章或者法定代表人或授权委托人签字或盖章。投标文件因字迹潦草或表达不清所引起的后果由投标人负责。</w:t>
      </w:r>
    </w:p>
    <w:p w14:paraId="41F0038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投标文件的制作</w:t>
      </w:r>
    </w:p>
    <w:p w14:paraId="45CEE3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（1）投标人应按照投标文件组成内容及项目招标需求制作投标文件，不按招标文件要求制作投标文件由此产生的责任由投标人自行承担。</w:t>
      </w:r>
    </w:p>
    <w:p w14:paraId="0595DE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（2）▲投标人应对所提供的全部资料的真实性承担法律责任，投标文件内容中有要求盖章或签字的地方，必须加盖投标人的公章以及法定代表人或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盖章或签字。</w:t>
      </w:r>
    </w:p>
    <w:p w14:paraId="407461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（3）投标文件以及投标人与采购组织机构就有关投标事宜的所有来往函电，均应以中文汉语书写。▲除签字、盖章、专用名称等特殊情形外，以中文汉语以外的文字表述的投标文件视同未提供</w:t>
      </w:r>
      <w:r>
        <w:rPr>
          <w:rFonts w:hint="eastAsia" w:ascii="宋体" w:hAnsi="宋体" w:eastAsia="宋体" w:cs="宋体"/>
          <w:color w:val="auto"/>
          <w:szCs w:val="21"/>
          <w:highlight w:val="none"/>
        </w:rPr>
        <w:t>，如该文件未提供将影响投标有效性的，则视为投标无效</w:t>
      </w:r>
      <w:r>
        <w:rPr>
          <w:rFonts w:hint="eastAsia" w:ascii="宋体" w:hAnsi="宋体" w:eastAsia="宋体" w:cs="宋体"/>
          <w:color w:val="auto"/>
          <w:sz w:val="21"/>
          <w:szCs w:val="21"/>
          <w:highlight w:val="none"/>
        </w:rPr>
        <w:t>。</w:t>
      </w:r>
    </w:p>
    <w:p w14:paraId="1F131D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（4）投标计量单位，招标文件已有明确规定的，使用招标文件规定的计量单位；招标文件没有规定的，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6875B7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（5）若投标人不按招标文件的要求提供资格审查材料，其风险由投标人自行承担。</w:t>
      </w:r>
    </w:p>
    <w:p w14:paraId="09228B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（6）与本次投标无关的内容请不要制作在内，确保投标文件有针对性、简洁明了，同时节约纸张；投标文件建议以A4纸大小双面打印并装订。</w:t>
      </w:r>
    </w:p>
    <w:p w14:paraId="7850520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、投标文件的封装要求</w:t>
      </w:r>
    </w:p>
    <w:p w14:paraId="7F7F878A">
      <w:pPr>
        <w:pStyle w:val="5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051842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（2）所有投标资料按投标文件的组成所列内容及顺序装订成册，</w:t>
      </w:r>
      <w:r>
        <w:rPr>
          <w:rFonts w:hint="eastAsia" w:ascii="宋体" w:hAnsi="宋体" w:eastAsia="宋体" w:cs="宋体"/>
          <w:color w:val="auto"/>
          <w:sz w:val="21"/>
          <w:szCs w:val="21"/>
          <w:highlight w:val="none"/>
          <w:lang w:val="zh-CN"/>
        </w:rPr>
        <w:t>并逐页连续标注页码。因投标文件内容不完整、编排混乱导致投标文件被误读、漏读或者查找不到相关内容的责任由投标人自行承担。</w:t>
      </w:r>
    </w:p>
    <w:p w14:paraId="312E34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备份</w:t>
      </w:r>
      <w:r>
        <w:rPr>
          <w:rFonts w:hint="eastAsia" w:ascii="宋体" w:hAnsi="宋体" w:eastAsia="宋体" w:cs="宋体"/>
          <w:color w:val="auto"/>
          <w:sz w:val="21"/>
          <w:szCs w:val="21"/>
          <w:highlight w:val="none"/>
        </w:rPr>
        <w:t>投标文件在密封袋的封口处加盖投标人公章、</w:t>
      </w:r>
      <w:r>
        <w:rPr>
          <w:rFonts w:hint="eastAsia" w:ascii="宋体" w:hAnsi="宋体" w:eastAsia="宋体" w:cs="宋体"/>
          <w:color w:val="auto"/>
          <w:sz w:val="21"/>
          <w:szCs w:val="21"/>
          <w:highlight w:val="none"/>
          <w:lang w:eastAsia="zh-CN"/>
        </w:rPr>
        <w:t>法定代表人</w:t>
      </w:r>
      <w:r>
        <w:rPr>
          <w:rFonts w:hint="eastAsia" w:ascii="宋体" w:hAnsi="宋体" w:eastAsia="宋体" w:cs="宋体"/>
          <w:color w:val="auto"/>
          <w:sz w:val="21"/>
          <w:szCs w:val="21"/>
          <w:highlight w:val="none"/>
        </w:rPr>
        <w:t>代表或</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印章或签字。封皮上写明项目编号、标项、招标项目名称、投标人名称，并注明“投标文件名称”、“开标时启封”字样，未按上述要求密封及加写标记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color w:val="auto"/>
          <w:sz w:val="21"/>
          <w:szCs w:val="21"/>
          <w:highlight w:val="none"/>
        </w:rPr>
        <w:t>，采购代理机构对投标文件的误投和提前启封不负责任。</w:t>
      </w:r>
    </w:p>
    <w:p w14:paraId="7207DC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（4）项目如分标项，各标项投标文件必须分开编制。</w:t>
      </w:r>
    </w:p>
    <w:p w14:paraId="2E5654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因密封不严、标记不明而造成失密、拒收、过早启封等情况，采购代理机构概不负责。</w:t>
      </w:r>
    </w:p>
    <w:p w14:paraId="76FD4FA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、投标文件的递交要求</w:t>
      </w:r>
    </w:p>
    <w:p w14:paraId="101312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供应商同时还可以提供经政采云平台加密处理的、以介质（U盘）存储的数据电文形式的备份投标文件。备份投标文件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建议顺丰邮寄到台州市椒江区中环世纪6幢8楼（浙江汇永工程咨询有限公司）收件人：陈奕圩；联系电话：18257695510。</w:t>
      </w:r>
      <w:r>
        <w:rPr>
          <w:rFonts w:hint="eastAsia" w:ascii="宋体" w:hAnsi="宋体" w:eastAsia="宋体" w:cs="宋体"/>
          <w:color w:val="auto"/>
          <w:szCs w:val="21"/>
          <w:highlight w:val="none"/>
        </w:rPr>
        <w:t>投标文件在截止时间后提交、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，采购代理机构将拒绝接收。▲如供应商未在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截止时间前完成电子</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文件的传输递交，其备份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文件也将为无效</w:t>
      </w:r>
      <w:r>
        <w:rPr>
          <w:rFonts w:hint="eastAsia" w:ascii="宋体" w:hAnsi="宋体" w:eastAsia="宋体" w:cs="宋体"/>
          <w:color w:val="auto"/>
          <w:szCs w:val="21"/>
          <w:highlight w:val="none"/>
          <w:lang w:val="en-US" w:eastAsia="zh-CN"/>
        </w:rPr>
        <w:t>备份投标</w:t>
      </w:r>
      <w:r>
        <w:rPr>
          <w:rFonts w:hint="eastAsia" w:ascii="宋体" w:hAnsi="宋体" w:eastAsia="宋体" w:cs="宋体"/>
          <w:color w:val="auto"/>
          <w:szCs w:val="21"/>
          <w:highlight w:val="none"/>
        </w:rPr>
        <w:t>文件。</w:t>
      </w:r>
    </w:p>
    <w:p w14:paraId="4D9A3B90">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电子投标文件的相关说明</w:t>
      </w:r>
    </w:p>
    <w:p w14:paraId="23CA0240">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供应商进行电子投标应安装客户端软件，并按照采购文件和电子交易平台的要求编制并加密投标文件。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供应商未按规定加密的投标文件，电子交易平台将拒收。</w:t>
      </w:r>
    </w:p>
    <w:p w14:paraId="7790B277">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投标截止时间后递交的投标文件，电子交易平台将拒收。</w:t>
      </w:r>
    </w:p>
    <w:p w14:paraId="4349FB7C">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供应商在电子交易平台传输递交投标文件后，还可以在投标截止时间前提交备份投标文件，若供应商未提交备份投标文件，其后果由供应商自行承担。</w:t>
      </w:r>
    </w:p>
    <w:p w14:paraId="282A43FB">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▲供应商仅提交备份投标文件的，投标无效。</w:t>
      </w:r>
    </w:p>
    <w:p w14:paraId="1BF644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机构和投标人的权利和义务将受到新的截止时间和开标时间的约束。</w:t>
      </w:r>
    </w:p>
    <w:p w14:paraId="508D30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4、投标文件的补充、修改和撤回。</w:t>
      </w:r>
    </w:p>
    <w:p w14:paraId="59FD5B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390511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）投标截止时间后，投标供应商不得撤回、修改投标文件。</w:t>
      </w:r>
    </w:p>
    <w:p w14:paraId="235CD6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在开标后规定的投标有效期内，投标人不能撤销投标文件。</w:t>
      </w:r>
    </w:p>
    <w:p w14:paraId="6EBB167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（三）投标文件的有效期</w:t>
      </w:r>
    </w:p>
    <w:p w14:paraId="36C639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GB"/>
        </w:rPr>
        <w:t>自投标截止日起90天投标文件应保持有效。有效期不足的投标文件将被拒绝。</w:t>
      </w:r>
    </w:p>
    <w:p w14:paraId="4E7287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rPr>
        <w:t>在符合相关法律法规规定的情况下</w:t>
      </w:r>
      <w:r>
        <w:rPr>
          <w:rFonts w:hint="eastAsia" w:ascii="宋体" w:hAnsi="宋体" w:eastAsia="宋体" w:cs="宋体"/>
          <w:color w:val="auto"/>
          <w:szCs w:val="21"/>
          <w:highlight w:val="none"/>
          <w:lang w:eastAsia="zh-CN"/>
        </w:rPr>
        <w:t>，</w:t>
      </w:r>
      <w:r>
        <w:rPr>
          <w:rFonts w:hint="eastAsia" w:ascii="宋体" w:hAnsi="宋体" w:eastAsia="宋体" w:cs="宋体"/>
          <w:color w:val="auto"/>
          <w:sz w:val="21"/>
          <w:szCs w:val="21"/>
          <w:highlight w:val="none"/>
          <w:lang w:val="en-GB"/>
        </w:rPr>
        <w:t>采购人可与投标人协商延长投标文件的有效期，这种要求和答复均以书面形式进行。</w:t>
      </w:r>
    </w:p>
    <w:p w14:paraId="47E171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▲3、中标人的投标文件自开标之日起至合同履行完毕均应保持有效。</w:t>
      </w:r>
    </w:p>
    <w:p w14:paraId="0168A8E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四、开标</w:t>
      </w:r>
    </w:p>
    <w:p w14:paraId="6F70B2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（一）开标事项</w:t>
      </w:r>
    </w:p>
    <w:p w14:paraId="4932FF18">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采购组织机构在“招标公告”规定的时间和地点公开开标，本次招标采用先评审商务资格和技术服务方案，后公开并评审报价的办法实施。</w:t>
      </w:r>
    </w:p>
    <w:p w14:paraId="17AE9B79">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特别说明：如遇政府采购云平台电子化开标或评审程序调整的，按调整后程序执行。</w:t>
      </w:r>
    </w:p>
    <w:p w14:paraId="75B0B048">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采购过程中出现以下情形，导致电子交易平台无法正常运行，或者无法保证电子交易的公平、公正和安全时，采购组织机构可中止电子交易活动：</w:t>
      </w:r>
    </w:p>
    <w:p w14:paraId="7D0133EA">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（1）电子交易平台发生故障而无法登录访问的；</w:t>
      </w:r>
    </w:p>
    <w:p w14:paraId="61EDDAC7">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（2）电子交易平台应用或数据库出现错误，不能进行正常操作的；</w:t>
      </w:r>
    </w:p>
    <w:p w14:paraId="75E55908">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（3）电子交易平台发现严重安全漏洞，有潜在泄密危险的；</w:t>
      </w:r>
    </w:p>
    <w:p w14:paraId="5F95D047">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（4）病毒导致不能进行正常操作的；</w:t>
      </w:r>
    </w:p>
    <w:p w14:paraId="433CF93C">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（5）其他无法保证电子交易的公平、公正和安全的情况。</w:t>
      </w:r>
    </w:p>
    <w:p w14:paraId="079BD7F7">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0B580B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 开标程序</w:t>
      </w:r>
    </w:p>
    <w:p w14:paraId="752FCC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1、开标会由招标项目负责人主持，主持人宣布开标会议开始；</w:t>
      </w:r>
    </w:p>
    <w:p w14:paraId="1FF8A0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2、主持人介绍参加开标会的人员名单；</w:t>
      </w:r>
    </w:p>
    <w:p w14:paraId="72C90D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3、主持人宣布评标期间的有关事项，告知应当回避的情形，提请有关人员回避；对投标人进行签到验证。</w:t>
      </w:r>
    </w:p>
    <w:p w14:paraId="2B1CA1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4、向各投标人发出电子加密投标文件【开始解密】通知，由投标人按招标文件规定的时间内自行进行投标文件解密。投标文件的制作和解密应使用同一个数字证书，否则将可能解密失败。</w:t>
      </w:r>
    </w:p>
    <w:p w14:paraId="1D806D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5、采购组织机构点击【开启标书信息】，开启标书成功后进入开标流程。</w:t>
      </w:r>
    </w:p>
    <w:p w14:paraId="1CDD88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6、资格及商务技术文件评审；</w:t>
      </w:r>
    </w:p>
    <w:p w14:paraId="131272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7、由主持人公布无效投标的投标人名单、投标无效的原因及其他有效投标的评分汇总分；</w:t>
      </w:r>
    </w:p>
    <w:p w14:paraId="605448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8、开启报价响应文件：采购代理机构成功开启报价响应文件后，方可查看各投标人报价情况。</w:t>
      </w:r>
    </w:p>
    <w:p w14:paraId="29D390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9、报价文件评审；</w:t>
      </w:r>
    </w:p>
    <w:p w14:paraId="05B718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10、由主持人公布无效投标的投标人名单、投标无效的原因及其他有效投标的报价文件得分；</w:t>
      </w:r>
    </w:p>
    <w:p w14:paraId="384E0B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11、宣布综合得分结果及中标候选人名单；</w:t>
      </w:r>
    </w:p>
    <w:p w14:paraId="3902BC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12、开标会议结束</w:t>
      </w:r>
      <w:r>
        <w:rPr>
          <w:rFonts w:hint="eastAsia" w:ascii="宋体" w:hAnsi="宋体" w:eastAsia="宋体" w:cs="宋体"/>
          <w:color w:val="auto"/>
          <w:sz w:val="21"/>
          <w:szCs w:val="21"/>
          <w:highlight w:val="none"/>
        </w:rPr>
        <w:t>。</w:t>
      </w:r>
    </w:p>
    <w:p w14:paraId="3B5C524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五、评标</w:t>
      </w:r>
    </w:p>
    <w:p w14:paraId="5A4907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本项目采用电子评审方法，评标的依据为招标文件和投标文件。</w:t>
      </w:r>
    </w:p>
    <w:p w14:paraId="6B2AECD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（一）组建评标委员会</w:t>
      </w:r>
    </w:p>
    <w:p w14:paraId="5C5D28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评标委员会由采购人代表和评审专家组成，成员人数为5人以上单数，其中评审专家不得少于成员总数的三分之二。</w:t>
      </w:r>
    </w:p>
    <w:p w14:paraId="0B10496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（二）评标程序</w:t>
      </w:r>
    </w:p>
    <w:p w14:paraId="6827759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1、资格审查</w:t>
      </w:r>
    </w:p>
    <w:p w14:paraId="098AD3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14:paraId="0FF5FF5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2、符合性审查</w:t>
      </w:r>
    </w:p>
    <w:p w14:paraId="6B9FD5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1AC5BEF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3、综合比较与评价</w:t>
      </w:r>
    </w:p>
    <w:p w14:paraId="5591DF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（1）对于投标文件中含义不明确、同类问题表述不一致或者有明显文字和计算错误的内容，评标委员会应当以书面形式要求投标人作出必要的澄清、说明或者补正。</w:t>
      </w:r>
    </w:p>
    <w:p w14:paraId="4B783C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5FDC7C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（3）评标时，评标委员会各成员应当独立对每个投标人的投标文件进行评价，并汇总每个投标人的得分。</w:t>
      </w:r>
    </w:p>
    <w:p w14:paraId="4A9DF9D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4、得分确认及评审报告编写</w:t>
      </w:r>
    </w:p>
    <w:p w14:paraId="02905C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（1）评标委员会对报价文件进行复核，对于系统计算出的价格分及总得分进行确认；</w:t>
      </w:r>
    </w:p>
    <w:p w14:paraId="170844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3D95BB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（3）评标委员会按评标原则及得分情况编写评审报告。</w:t>
      </w:r>
    </w:p>
    <w:p w14:paraId="535A17A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5、评价</w:t>
      </w:r>
    </w:p>
    <w:p w14:paraId="14FA23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采购组织机构对评标委员会评审专家进行评价。</w:t>
      </w:r>
    </w:p>
    <w:p w14:paraId="4B433A0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（三）澄清问题的形式</w:t>
      </w:r>
    </w:p>
    <w:p w14:paraId="634668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投标人的澄清、说明或者补正应当采用书面形式，并加盖公章或者由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，并不得超出投标文件的范围或者改变投标文件的实质性内容。</w:t>
      </w:r>
    </w:p>
    <w:p w14:paraId="635BEB7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（四）错误修正</w:t>
      </w:r>
    </w:p>
    <w:p w14:paraId="3F1036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投标文件报价出现前后不一致的，除招标文件另有规定外，按照下列规定修正：</w:t>
      </w:r>
    </w:p>
    <w:p w14:paraId="10C26C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1、投标文件中开标一览表（报价表）内容与投标文件中相应内容不一致的，以开标一览表（报价表）为准</w:t>
      </w:r>
      <w:r>
        <w:rPr>
          <w:rFonts w:hint="eastAsia" w:ascii="宋体" w:hAnsi="宋体" w:eastAsia="宋体" w:cs="宋体"/>
          <w:color w:val="auto"/>
          <w:sz w:val="21"/>
          <w:szCs w:val="21"/>
          <w:highlight w:val="none"/>
          <w:lang w:eastAsia="zh-CN"/>
        </w:rPr>
        <w:t>。政采云平台开标一览表中填报的价格与上传的报价响应文件中开标一览表的报价不一致的，以上传的报价响应文件中开标一览表的价格为准，修正平台上的投标报价</w:t>
      </w:r>
      <w:r>
        <w:rPr>
          <w:rFonts w:hint="eastAsia" w:ascii="宋体" w:hAnsi="宋体" w:eastAsia="宋体" w:cs="宋体"/>
          <w:color w:val="auto"/>
          <w:sz w:val="21"/>
          <w:szCs w:val="21"/>
          <w:highlight w:val="none"/>
        </w:rPr>
        <w:t>；</w:t>
      </w:r>
    </w:p>
    <w:p w14:paraId="3A0D9C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5F3EC3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3、单价金额小数点或者百分比有明显错位的，以开标一览表的总价为准，并修改单价；</w:t>
      </w:r>
    </w:p>
    <w:p w14:paraId="2517C2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38DEBC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同时出现两种以上不一致的，按照前款规定的顺序修正。修正应当采用书面形式，并加盖公章，或者由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。修正后的报价经投标人确认后产生约束力，投标人不确认</w:t>
      </w:r>
      <w:r>
        <w:rPr>
          <w:rFonts w:hint="eastAsia" w:ascii="宋体" w:hAnsi="宋体" w:eastAsia="宋体"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的，其投标无效。</w:t>
      </w:r>
    </w:p>
    <w:p w14:paraId="6A362C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（五）投标人存在下列情况之一的，投标无效</w:t>
      </w:r>
    </w:p>
    <w:p w14:paraId="1F46CE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1、资格证明文件或商务与技术文件跟报价文件出现混装或在资格证明文件或商务与技术文件中出现投标报价的，或者报价文件中报价的</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跟商务与技术文件中的投标</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出现重大偏差的；</w:t>
      </w:r>
    </w:p>
    <w:p w14:paraId="08579B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2、不具备招标文件中规定的资格要求的。</w:t>
      </w:r>
      <w:r>
        <w:rPr>
          <w:rFonts w:hint="eastAsia" w:ascii="宋体" w:hAnsi="宋体" w:eastAsia="宋体" w:cs="宋体"/>
          <w:color w:val="auto"/>
          <w:sz w:val="21"/>
          <w:szCs w:val="21"/>
          <w:highlight w:val="none"/>
        </w:rPr>
        <w:tab/>
      </w:r>
    </w:p>
    <w:p w14:paraId="38F27D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3、投标文件含有采购人不能接受的附加条件的。</w:t>
      </w:r>
    </w:p>
    <w:p w14:paraId="4E6B39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投标人的</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未能出具身份证明或与法定代表人授权委托人身份不符的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受疫情影响，投标人的授权委托代理人无须现场参加开标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6266C4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投标人的电子投标文件无法按时解密且本项目未达到启动备份文件条件的。</w:t>
      </w:r>
    </w:p>
    <w:p w14:paraId="72E819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6、电子投标文件解密失败的，且未在规定时间内提交备份投标文件的；</w:t>
      </w:r>
    </w:p>
    <w:p w14:paraId="6BCFBE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7、电子投标文件未按规定要求提供电子签章的；</w:t>
      </w:r>
    </w:p>
    <w:p w14:paraId="07B741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C6A35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 xml:space="preserve">、报价超过招标文件中规定的预算价/最高限(单)价。 </w:t>
      </w:r>
    </w:p>
    <w:p w14:paraId="6F0F29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、投标参数未如实填写，完全复制粘贴招标参数的。</w:t>
      </w:r>
    </w:p>
    <w:p w14:paraId="3ED31D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 xml:space="preserve">、投标文件提供虚假材料的。 </w:t>
      </w:r>
    </w:p>
    <w:p w14:paraId="6B569A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、不符合中华人民共和国财政部令第87号《政府采购货物和服务招标投标管理办法》第三十七条情形之一的，视为投标人串通投标，其投标无效，并移送采购监管部门：</w:t>
      </w:r>
    </w:p>
    <w:p w14:paraId="12DEED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14:paraId="045FE9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14:paraId="5BE495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（3）不同投标人的投标文件载明的项目管理成员或者联系人员为同一人；</w:t>
      </w:r>
    </w:p>
    <w:p w14:paraId="7FA16A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14:paraId="13934F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14:paraId="04A90B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rPr>
        <w:t>不同供应商的电子投标（响应）文件上传计算机的网卡MAC地址或硬盘序列号等硬件信息相同且无法合理解释的；</w:t>
      </w:r>
    </w:p>
    <w:p w14:paraId="07AC37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上传的电子投标（响应）文件若出现使用本项目其他投标（响应）供应商的数字证书加密的，或者加盖本项目其他投标（响应）供应商的电子印章的；</w:t>
      </w:r>
    </w:p>
    <w:p w14:paraId="279B4C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不同供应商的投标（响应）文件的内容存在3处（含）以上错误一致的；</w:t>
      </w:r>
    </w:p>
    <w:p w14:paraId="46CD7B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不同供应商联系人为同一人或不同联系人的联系电话一致的。</w:t>
      </w:r>
    </w:p>
    <w:p w14:paraId="68D3D6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不符合法律、法规和招标文件中规定的其他实质性要求的（招标文件中打“▲”内容及被拒绝的条款）。</w:t>
      </w:r>
    </w:p>
    <w:p w14:paraId="3993D0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（六）有下列情况之一的，本次招标作为废标处理</w:t>
      </w:r>
    </w:p>
    <w:p w14:paraId="1FE647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0F5584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2、评标委员会发现招标文件存在歧义、重大缺陷导致评标工作无法进行，或者招标文件内容违反国家有关强制性规定的；</w:t>
      </w:r>
    </w:p>
    <w:p w14:paraId="32E8C8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08DFDB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4、法律、法规和招标文件规定的其他导致评标结果无效的。</w:t>
      </w:r>
    </w:p>
    <w:p w14:paraId="11CD85B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（七）评标原则和评标办法</w:t>
      </w:r>
    </w:p>
    <w:p w14:paraId="7DF51A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94760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2、评标办法。具体评标内容及评分标准等详见《第三章：评标</w:t>
      </w:r>
      <w:r>
        <w:rPr>
          <w:rFonts w:hint="eastAsia" w:ascii="宋体" w:hAnsi="宋体" w:eastAsia="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5E3554D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（八）评标过程的监控</w:t>
      </w:r>
    </w:p>
    <w:p w14:paraId="53B194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本项目评标过程实行全程录音、录像监控，政府采购监管部门视情进行现场监督，投标人在评标过程中所进行的试图影响评标结果的不公正活动，可能导致其投标被拒绝。</w:t>
      </w:r>
    </w:p>
    <w:p w14:paraId="3128F0A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六、定标</w:t>
      </w:r>
    </w:p>
    <w:p w14:paraId="575990A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1F3F8D3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中标结果公告。中标结果将自中标人确定之日起2个工作日内在省级以上财政部门指定的媒体及相关网站公告。如发现中标供应商资格无效或其放弃中标资格，则按本次评标供应商得分排序结果依次替补或重新组织。</w:t>
      </w:r>
    </w:p>
    <w:p w14:paraId="5F9CF58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3、发出中标通知书。采购组织机构在发布中标结果的同时，向中标人发出中标通知书。</w:t>
      </w:r>
    </w:p>
    <w:p w14:paraId="3B38DFB3">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0D92BC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5、招标代理费：</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收取。该费用中标方须在领取中标通知书时一次性付清。（户名：</w:t>
      </w:r>
      <w:r>
        <w:rPr>
          <w:rFonts w:hint="eastAsia" w:ascii="宋体" w:hAnsi="宋体" w:eastAsia="宋体" w:cs="宋体"/>
          <w:color w:val="auto"/>
          <w:sz w:val="21"/>
          <w:szCs w:val="21"/>
          <w:highlight w:val="none"/>
          <w:lang w:eastAsia="zh-CN"/>
        </w:rPr>
        <w:t>浙江汇永工程咨询有限公司</w:t>
      </w:r>
      <w:r>
        <w:rPr>
          <w:rFonts w:hint="eastAsia" w:ascii="宋体" w:hAnsi="宋体" w:eastAsia="宋体" w:cs="宋体"/>
          <w:color w:val="auto"/>
          <w:sz w:val="21"/>
          <w:szCs w:val="21"/>
          <w:highlight w:val="none"/>
        </w:rPr>
        <w:t>；人民币账号：</w:t>
      </w:r>
      <w:r>
        <w:rPr>
          <w:rFonts w:hint="eastAsia" w:ascii="宋体" w:hAnsi="宋体" w:eastAsia="宋体" w:cs="宋体"/>
          <w:color w:val="auto"/>
          <w:sz w:val="21"/>
          <w:szCs w:val="21"/>
          <w:highlight w:val="none"/>
          <w:lang w:eastAsia="zh-CN"/>
        </w:rPr>
        <w:t>550423591600015</w:t>
      </w:r>
      <w:r>
        <w:rPr>
          <w:rFonts w:hint="eastAsia" w:ascii="宋体" w:hAnsi="宋体" w:eastAsia="宋体" w:cs="宋体"/>
          <w:color w:val="auto"/>
          <w:sz w:val="21"/>
          <w:szCs w:val="21"/>
          <w:highlight w:val="none"/>
        </w:rPr>
        <w:t>；开户行：</w:t>
      </w:r>
      <w:r>
        <w:rPr>
          <w:rFonts w:hint="eastAsia" w:ascii="宋体" w:hAnsi="宋体" w:eastAsia="宋体" w:cs="宋体"/>
          <w:color w:val="auto"/>
          <w:sz w:val="21"/>
          <w:szCs w:val="21"/>
          <w:highlight w:val="none"/>
          <w:lang w:eastAsia="zh-CN"/>
        </w:rPr>
        <w:t>台州银行市府大道支行</w:t>
      </w:r>
      <w:r>
        <w:rPr>
          <w:rFonts w:hint="eastAsia" w:ascii="宋体" w:hAnsi="宋体" w:eastAsia="宋体" w:cs="宋体"/>
          <w:color w:val="auto"/>
          <w:sz w:val="21"/>
          <w:szCs w:val="21"/>
          <w:highlight w:val="none"/>
        </w:rPr>
        <w:t>）</w:t>
      </w:r>
    </w:p>
    <w:p w14:paraId="4F084584">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0A534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563C615E">
            <w:pPr>
              <w:ind w:firstLine="1470" w:firstLineChars="700"/>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-58420</wp:posOffset>
                      </wp:positionH>
                      <wp:positionV relativeFrom="paragraph">
                        <wp:posOffset>21590</wp:posOffset>
                      </wp:positionV>
                      <wp:extent cx="1619250" cy="725170"/>
                      <wp:effectExtent l="1905" t="4445" r="17145" b="13335"/>
                      <wp:wrapNone/>
                      <wp:docPr id="6" name="直接连接符 6"/>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6pt;margin-top:1.7pt;height:57.1pt;width:127.5pt;z-index:251664384;mso-width-relative:page;mso-height-relative:page;" filled="f" stroked="t" coordsize="21600,21600" o:gfxdata="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fnlX1AAAAAgBAAAPAAAAAAAAAAEAIAAAACIA&#10;AABkcnMvZG93bnJldi54bWxQSwECFAAUAAAACACHTuJAWpXT7g0CAAD2AwAADgAAAAAAAAABACAA&#10;AAAjAQAAZHJzL2Uyb0RvYy54bWxQSwUGAAAAAAYABgBZAQAAogU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922655" cy="739775"/>
                      <wp:effectExtent l="3175" t="3810" r="7620" b="18415"/>
                      <wp:wrapNone/>
                      <wp:docPr id="4" name="直接连接符 4"/>
                      <wp:cNvGraphicFramePr/>
                      <a:graphic xmlns:a="http://schemas.openxmlformats.org/drawingml/2006/main">
                        <a:graphicData uri="http://schemas.microsoft.com/office/word/2010/wordprocessingShape">
                          <wps:wsp>
                            <wps:cNvCnPr/>
                            <wps:spPr>
                              <a:xfrm>
                                <a:off x="1812925" y="964565"/>
                                <a:ext cx="922655" cy="739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58.25pt;width:72.65pt;z-index:251663360;mso-width-relative:page;mso-height-relative:page;" filled="f" stroked="t" coordsize="21600,21600" o:gfxdata="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4BhXtUAAAAIAQAADwAAAAAAAAABACAAAAAiAAAAZHJzL2Rvd25y&#10;ZXYueG1sUEsBAhQAFAAAAAgAh07iQAUyfA4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71ABA6CD">
            <w:pPr>
              <w:ind w:firstLine="1054" w:firstLineChars="5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07E6DC18">
            <w:pPr>
              <w:ind w:firstLine="1476" w:firstLineChars="7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4AC48389">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450E9909">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48210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65F49F3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7980F36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5FFF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4201EA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383C599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52FE7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3CA503C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2C2139E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40869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2C6A273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6797714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36EC7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C7A5FE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47AB385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72B7C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D23514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351F5D2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693C9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2C8D471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1A2F1DC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3DB5B9F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七、合同签订及公告</w:t>
      </w:r>
    </w:p>
    <w:p w14:paraId="312F80F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（一）签订合同</w:t>
      </w:r>
    </w:p>
    <w:p w14:paraId="3E2AAC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1、采购人应当自中标通知书发出之日起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日内，按照招标文件和中标人投标文件的规定，与中标人签订书面合同。所签订的合同不得对招标文件确定的事项和中标人投标文件作实质性修改。</w:t>
      </w:r>
    </w:p>
    <w:p w14:paraId="2806F1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2、采购人不得向中标人提出任何不合理的要求作为签订合同的条件。</w:t>
      </w:r>
    </w:p>
    <w:p w14:paraId="298BC8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3、中标供应商无故拖延、拒签合同的,取消中标资格。</w:t>
      </w:r>
    </w:p>
    <w:p w14:paraId="132210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3F0FEC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5、询问或者质疑事项可能影响中标结果的，采购人应当暂停签订合同，已经签订合同的，应当中止履行合同（中标结果的质疑期为中标结果公告期限届满之日起七个工作日）。</w:t>
      </w:r>
    </w:p>
    <w:p w14:paraId="13AE623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（二）合同公告及备案</w:t>
      </w:r>
    </w:p>
    <w:p w14:paraId="34D97B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14:paraId="093C82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4E78AF50">
      <w:pPr>
        <w:spacing w:line="360" w:lineRule="auto"/>
        <w:jc w:val="both"/>
        <w:rPr>
          <w:rFonts w:hint="eastAsia" w:ascii="宋体" w:hAnsi="宋体" w:eastAsia="宋体" w:cs="宋体"/>
          <w:b/>
          <w:color w:val="auto"/>
          <w:sz w:val="36"/>
          <w:szCs w:val="36"/>
          <w:highlight w:val="none"/>
        </w:rPr>
      </w:pPr>
    </w:p>
    <w:p w14:paraId="4766C6FB">
      <w:pPr>
        <w:pStyle w:val="51"/>
        <w:rPr>
          <w:rFonts w:hint="eastAsia" w:ascii="宋体" w:hAnsi="宋体" w:eastAsia="宋体" w:cs="宋体"/>
          <w:b/>
          <w:color w:val="auto"/>
          <w:sz w:val="36"/>
          <w:szCs w:val="36"/>
          <w:highlight w:val="none"/>
        </w:rPr>
      </w:pPr>
    </w:p>
    <w:p w14:paraId="3814DACD">
      <w:pPr>
        <w:rPr>
          <w:rFonts w:hint="eastAsia" w:ascii="宋体" w:hAnsi="宋体" w:eastAsia="宋体" w:cs="宋体"/>
          <w:b/>
          <w:color w:val="auto"/>
          <w:sz w:val="36"/>
          <w:szCs w:val="36"/>
          <w:highlight w:val="none"/>
        </w:rPr>
      </w:pPr>
    </w:p>
    <w:p w14:paraId="27AF6750">
      <w:pPr>
        <w:pStyle w:val="20"/>
        <w:ind w:left="0" w:leftChars="0" w:firstLine="0" w:firstLineChars="0"/>
        <w:rPr>
          <w:rFonts w:hint="eastAsia" w:ascii="宋体" w:hAnsi="宋体" w:eastAsia="宋体" w:cs="宋体"/>
          <w:color w:val="auto"/>
          <w:highlight w:val="none"/>
        </w:rPr>
      </w:pPr>
    </w:p>
    <w:p w14:paraId="59919ACF">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28F61FDB">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 评标办法及评分标准</w:t>
      </w:r>
    </w:p>
    <w:p w14:paraId="4D2C923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一、采购组织机构将组织评标委员会，对投标人提供的投标文件进行综合评审。</w:t>
      </w:r>
    </w:p>
    <w:p w14:paraId="6B35475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二、本次招标项目的评标方法为综合评分法，总计100分，其中</w:t>
      </w:r>
      <w:r>
        <w:rPr>
          <w:rFonts w:hint="eastAsia" w:ascii="宋体" w:hAnsi="宋体" w:eastAsia="宋体" w:cs="宋体"/>
          <w:color w:val="auto"/>
          <w:sz w:val="21"/>
          <w:szCs w:val="21"/>
          <w:highlight w:val="none"/>
          <w:lang w:val="zh-CN"/>
        </w:rPr>
        <w:t>商务技术文件分值</w:t>
      </w:r>
      <w:r>
        <w:rPr>
          <w:rFonts w:hint="eastAsia" w:ascii="宋体" w:hAnsi="宋体" w:eastAsia="宋体" w:cs="宋体"/>
          <w:color w:val="auto"/>
          <w:sz w:val="21"/>
          <w:szCs w:val="21"/>
          <w:highlight w:val="none"/>
        </w:rPr>
        <w:t>80</w:t>
      </w:r>
      <w:r>
        <w:rPr>
          <w:rFonts w:hint="eastAsia" w:ascii="宋体" w:hAnsi="宋体" w:eastAsia="宋体" w:cs="宋体"/>
          <w:color w:val="auto"/>
          <w:sz w:val="21"/>
          <w:szCs w:val="21"/>
          <w:highlight w:val="none"/>
          <w:lang w:val="zh-CN"/>
        </w:rPr>
        <w:t>分，投标报价分值</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。评标标准按评分细化条款及分值进行评审。</w:t>
      </w:r>
    </w:p>
    <w:p w14:paraId="155B5A92">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（一）商务技术文件中的客观分应由评审小组成员独立评审，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color w:val="auto"/>
          <w:sz w:val="21"/>
          <w:szCs w:val="21"/>
          <w:highlight w:val="none"/>
          <w:lang w:val="zh-CN"/>
        </w:rPr>
        <w:t>；客观分不一致时，由评审委员会复核或书面说明理由，其余在规定的分值内单独评定打分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color w:val="auto"/>
          <w:sz w:val="21"/>
          <w:szCs w:val="21"/>
          <w:highlight w:val="none"/>
          <w:lang w:val="zh-CN"/>
        </w:rPr>
        <w:t>。</w:t>
      </w:r>
    </w:p>
    <w:p w14:paraId="4508CCB4">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（二）各投标人商务技术文件得分按照评标委员会成员的独立评分结果汇总后的算术平均分计算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，计算公式为：</w:t>
      </w:r>
    </w:p>
    <w:p w14:paraId="326F9F05">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商务技术文件</w:t>
      </w:r>
      <w:r>
        <w:rPr>
          <w:rFonts w:hint="eastAsia" w:ascii="宋体" w:hAnsi="宋体" w:eastAsia="宋体" w:cs="宋体"/>
          <w:color w:val="auto"/>
          <w:sz w:val="21"/>
          <w:szCs w:val="21"/>
          <w:highlight w:val="none"/>
        </w:rPr>
        <w:t>得分</w:t>
      </w:r>
      <w:r>
        <w:rPr>
          <w:rFonts w:hint="eastAsia" w:ascii="宋体" w:hAnsi="宋体" w:eastAsia="宋体" w:cs="宋体"/>
          <w:color w:val="auto"/>
          <w:sz w:val="21"/>
          <w:szCs w:val="21"/>
          <w:highlight w:val="none"/>
          <w:lang w:val="zh-CN"/>
        </w:rPr>
        <w:t>=评标委员会所有成员评分合计数/评标委员会组成人员数。</w:t>
      </w:r>
    </w:p>
    <w:p w14:paraId="39696016">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（三）投标报价得分采用低价优先法计算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，即满足招标文件要求且投标价格最低的投标报价为评标基准价，其报价得满分。其他投标人的投标报价得分按下列公式计算：</w:t>
      </w:r>
    </w:p>
    <w:p w14:paraId="70A9DC95">
      <w:pPr>
        <w:spacing w:line="360" w:lineRule="auto"/>
        <w:ind w:firstLine="420" w:firstLineChars="200"/>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zh-CN"/>
        </w:rPr>
        <w:t>投标报价得分=(评标基准价／投标报价)×20%×100 。</w:t>
      </w:r>
    </w:p>
    <w:p w14:paraId="08E6C5FA">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注：本项目专门面向中小企业采购，价格评审时，中小微企业的投标价格不做扣除。</w:t>
      </w:r>
    </w:p>
    <w:p w14:paraId="66E69C65">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（四）投标人综合得分＝商务技术文件得分＋投标报价得分。</w:t>
      </w:r>
    </w:p>
    <w:p w14:paraId="5DB598A9">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文件实质性要求前提下，</w:t>
      </w: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lang w:val="zh-CN"/>
        </w:rPr>
        <w:t>按照</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文件中规定的各项因素进行综合评审后，以评审总得分最高的投标人为第一中标候选人，评审总得分次高的投标人为第二中标候选人。</w:t>
      </w:r>
    </w:p>
    <w:p w14:paraId="253AA9BD">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四、如综合得分相同，投标报价低者为先；如综合得分且投标报价相同的，以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得分也相同的则抽签决定。</w:t>
      </w:r>
    </w:p>
    <w:p w14:paraId="7242C2F1">
      <w:pPr>
        <w:spacing w:line="360" w:lineRule="auto"/>
        <w:ind w:firstLine="420" w:firstLineChars="200"/>
        <w:rPr>
          <w:rFonts w:hint="eastAsia" w:ascii="宋体" w:hAnsi="宋体" w:eastAsia="宋体" w:cs="宋体"/>
          <w:color w:val="auto"/>
          <w:spacing w:val="10"/>
          <w:szCs w:val="21"/>
          <w:highlight w:val="none"/>
        </w:rPr>
      </w:pP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中标候选人放弃中标、拒绝与采购人签订合同、因不可抗力提出不能履行合同的，采购人可以按照评审报告推荐的中标或者成交候选人名单排序，确定下一候选人为中标或者成交供应商，也可以重新开展政府采购活动。评标办法的解释权归招标人。</w:t>
      </w:r>
    </w:p>
    <w:p w14:paraId="62042023">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val="zh-CN"/>
        </w:rPr>
        <w:t>、本次评分具体分值细化条款如下表：</w:t>
      </w:r>
    </w:p>
    <w:p w14:paraId="22E30766">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b/>
          <w:color w:val="auto"/>
          <w:szCs w:val="21"/>
          <w:highlight w:val="none"/>
        </w:rPr>
        <w:t>评标打分标准</w:t>
      </w:r>
      <w:r>
        <w:rPr>
          <w:rFonts w:hint="eastAsia" w:ascii="宋体" w:hAnsi="宋体" w:eastAsia="宋体" w:cs="宋体"/>
          <w:b/>
          <w:color w:val="auto"/>
          <w:szCs w:val="21"/>
          <w:highlight w:val="none"/>
          <w:lang w:val="en-US" w:eastAsia="zh-CN"/>
        </w:rPr>
        <w:t>表</w:t>
      </w:r>
      <w:r>
        <w:rPr>
          <w:rFonts w:hint="eastAsia" w:ascii="宋体" w:hAnsi="宋体" w:eastAsia="宋体" w:cs="宋体"/>
          <w:color w:val="auto"/>
          <w:sz w:val="21"/>
          <w:szCs w:val="21"/>
          <w:highlight w:val="none"/>
          <w:lang w:val="zh-CN"/>
        </w:rPr>
        <w:t xml:space="preserve"> </w:t>
      </w:r>
    </w:p>
    <w:tbl>
      <w:tblPr>
        <w:tblStyle w:val="22"/>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187"/>
        <w:gridCol w:w="6889"/>
        <w:gridCol w:w="686"/>
      </w:tblGrid>
      <w:tr w14:paraId="3F714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176" w:type="dxa"/>
            <w:gridSpan w:val="2"/>
            <w:vAlign w:val="center"/>
          </w:tcPr>
          <w:p w14:paraId="394D3410">
            <w:pPr>
              <w:pStyle w:val="58"/>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评分项目</w:t>
            </w:r>
          </w:p>
        </w:tc>
        <w:tc>
          <w:tcPr>
            <w:tcW w:w="6889" w:type="dxa"/>
            <w:vAlign w:val="center"/>
          </w:tcPr>
          <w:p w14:paraId="7B78A7BA">
            <w:pPr>
              <w:pStyle w:val="58"/>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评分内容</w:t>
            </w:r>
          </w:p>
        </w:tc>
        <w:tc>
          <w:tcPr>
            <w:tcW w:w="686" w:type="dxa"/>
            <w:vAlign w:val="center"/>
          </w:tcPr>
          <w:p w14:paraId="63AE8A2A">
            <w:pPr>
              <w:pStyle w:val="58"/>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28394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89" w:type="dxa"/>
            <w:vMerge w:val="restart"/>
            <w:vAlign w:val="center"/>
          </w:tcPr>
          <w:p w14:paraId="4EB9A5FF">
            <w:pPr>
              <w:pStyle w:val="58"/>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商务分</w:t>
            </w:r>
          </w:p>
          <w:p w14:paraId="0D0412CE">
            <w:pPr>
              <w:pStyle w:val="58"/>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23</w:t>
            </w:r>
            <w:r>
              <w:rPr>
                <w:rFonts w:hint="eastAsia" w:ascii="宋体" w:hAnsi="宋体" w:eastAsia="宋体" w:cs="宋体"/>
                <w:color w:val="auto"/>
                <w:kern w:val="0"/>
                <w:sz w:val="21"/>
                <w:szCs w:val="21"/>
                <w:highlight w:val="none"/>
              </w:rPr>
              <w:t>分）</w:t>
            </w:r>
          </w:p>
        </w:tc>
        <w:tc>
          <w:tcPr>
            <w:tcW w:w="1187" w:type="dxa"/>
            <w:vMerge w:val="restart"/>
            <w:vAlign w:val="center"/>
          </w:tcPr>
          <w:p w14:paraId="3C7E1FF3">
            <w:pPr>
              <w:pStyle w:val="58"/>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企业实力</w:t>
            </w:r>
          </w:p>
        </w:tc>
        <w:tc>
          <w:tcPr>
            <w:tcW w:w="6889" w:type="dxa"/>
            <w:vAlign w:val="top"/>
          </w:tcPr>
          <w:p w14:paraId="12A352A3">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具有国家认证认可监督管理委员会批准认可的认证机构颁发的，且在有效期内的质量管理体系认证</w:t>
            </w:r>
            <w:r>
              <w:rPr>
                <w:rFonts w:hint="eastAsia" w:ascii="宋体" w:hAnsi="宋体" w:eastAsia="宋体" w:cs="宋体"/>
                <w:color w:val="auto"/>
                <w:sz w:val="21"/>
                <w:szCs w:val="21"/>
                <w:highlight w:val="none"/>
                <w:lang w:val="en-US" w:eastAsia="zh-CN"/>
              </w:rPr>
              <w:t>证书、</w:t>
            </w:r>
            <w:r>
              <w:rPr>
                <w:rFonts w:hint="eastAsia" w:ascii="宋体" w:hAnsi="宋体" w:eastAsia="宋体" w:cs="宋体"/>
                <w:color w:val="auto"/>
                <w:sz w:val="21"/>
                <w:szCs w:val="21"/>
                <w:highlight w:val="none"/>
              </w:rPr>
              <w:t>环境管理体系认证</w:t>
            </w:r>
            <w:r>
              <w:rPr>
                <w:rFonts w:hint="eastAsia" w:ascii="宋体" w:hAnsi="宋体" w:eastAsia="宋体" w:cs="宋体"/>
                <w:color w:val="auto"/>
                <w:sz w:val="21"/>
                <w:szCs w:val="21"/>
                <w:highlight w:val="none"/>
                <w:lang w:val="en-US" w:eastAsia="zh-CN"/>
              </w:rPr>
              <w:t>证书</w:t>
            </w:r>
            <w:r>
              <w:rPr>
                <w:rFonts w:hint="eastAsia" w:ascii="宋体" w:hAnsi="宋体" w:eastAsia="宋体" w:cs="宋体"/>
                <w:color w:val="auto"/>
                <w:sz w:val="21"/>
                <w:szCs w:val="21"/>
                <w:highlight w:val="none"/>
              </w:rPr>
              <w:t>、职业健康安全管理体系认证</w:t>
            </w:r>
            <w:r>
              <w:rPr>
                <w:rFonts w:hint="eastAsia" w:ascii="宋体" w:hAnsi="宋体" w:eastAsia="宋体" w:cs="宋体"/>
                <w:color w:val="auto"/>
                <w:sz w:val="21"/>
                <w:szCs w:val="21"/>
                <w:highlight w:val="none"/>
                <w:lang w:val="en-US" w:eastAsia="zh-CN"/>
              </w:rPr>
              <w:t>证书、中国环境服务认证证书和信息技术服务管理体系认证证书</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每提供1个得1分，本项最高得5分。</w:t>
            </w:r>
          </w:p>
          <w:p w14:paraId="713D2A67">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（须提供</w:t>
            </w:r>
            <w:r>
              <w:rPr>
                <w:rFonts w:hint="eastAsia" w:ascii="宋体" w:hAnsi="宋体" w:eastAsia="宋体" w:cs="宋体"/>
                <w:b/>
                <w:bCs/>
                <w:color w:val="auto"/>
                <w:sz w:val="21"/>
                <w:szCs w:val="21"/>
                <w:highlight w:val="none"/>
                <w:lang w:val="en-US" w:eastAsia="zh-CN"/>
              </w:rPr>
              <w:t>①</w:t>
            </w:r>
            <w:r>
              <w:rPr>
                <w:rFonts w:hint="eastAsia" w:ascii="宋体" w:hAnsi="宋体" w:eastAsia="宋体" w:cs="宋体"/>
                <w:b/>
                <w:bCs/>
                <w:color w:val="auto"/>
                <w:sz w:val="21"/>
                <w:szCs w:val="21"/>
                <w:highlight w:val="none"/>
              </w:rPr>
              <w:t>相关证书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②</w:t>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https://www.so.com/link?m=bgeKa5pUJ7jqGvX1HhllAJLNiphU7TZFNQwb4+7ZUZpVLH3/mqlCJ7rNGXZ5/YNpLh7l1an07AVpzdd+DNfDz03MHubLsbYxQOzT8llEFb57FaGuLm6gSmMhBy2lLDBrTFSNNDZqVzwQMcexMhSdw5Kuw+3MXS7HQcV4Anm9Fs1KmUyptcyDigHMKmFQMXtO7xSEBzzl+542xjBTD4X4Ft///zWSTHNTKcszTMLGSmT541nhMntevTSaKintmdBbT4YHZJEfW00MedhN8WiQ3A1LHjOM=" \t "https://www.so.com/_blank"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全国认证认可信息公共服务平台</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t>网站截图</w:t>
            </w:r>
            <w:r>
              <w:rPr>
                <w:rFonts w:hint="eastAsia" w:ascii="宋体" w:hAnsi="宋体" w:eastAsia="宋体" w:cs="宋体"/>
                <w:b/>
                <w:bCs/>
                <w:color w:val="auto"/>
                <w:sz w:val="21"/>
                <w:szCs w:val="21"/>
                <w:highlight w:val="none"/>
                <w:lang w:val="en-US" w:eastAsia="zh-CN"/>
              </w:rPr>
              <w:t>，上述资料扫描件</w:t>
            </w:r>
            <w:r>
              <w:rPr>
                <w:rFonts w:hint="eastAsia" w:ascii="宋体" w:hAnsi="宋体" w:eastAsia="宋体" w:cs="宋体"/>
                <w:b/>
                <w:bCs/>
                <w:color w:val="auto"/>
                <w:sz w:val="21"/>
                <w:szCs w:val="21"/>
                <w:highlight w:val="none"/>
              </w:rPr>
              <w:t>并加盖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公章编入投标文件中，未提供</w:t>
            </w:r>
            <w:r>
              <w:rPr>
                <w:rFonts w:hint="eastAsia" w:ascii="宋体" w:hAnsi="宋体" w:eastAsia="宋体" w:cs="宋体"/>
                <w:b/>
                <w:bCs/>
                <w:color w:val="auto"/>
                <w:sz w:val="21"/>
                <w:szCs w:val="21"/>
                <w:highlight w:val="none"/>
                <w:lang w:val="en-US" w:eastAsia="zh-CN"/>
              </w:rPr>
              <w:t>或提供不全</w:t>
            </w:r>
            <w:r>
              <w:rPr>
                <w:rFonts w:hint="eastAsia" w:ascii="宋体" w:hAnsi="宋体" w:eastAsia="宋体" w:cs="宋体"/>
                <w:b/>
                <w:bCs/>
                <w:color w:val="auto"/>
                <w:sz w:val="21"/>
                <w:szCs w:val="21"/>
                <w:highlight w:val="none"/>
              </w:rPr>
              <w:t>的不得分）</w:t>
            </w:r>
          </w:p>
        </w:tc>
        <w:tc>
          <w:tcPr>
            <w:tcW w:w="686" w:type="dxa"/>
            <w:vAlign w:val="center"/>
          </w:tcPr>
          <w:p w14:paraId="07AA9B9E">
            <w:pPr>
              <w:pStyle w:val="58"/>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r>
      <w:tr w14:paraId="3338B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89" w:type="dxa"/>
            <w:vMerge w:val="continue"/>
            <w:vAlign w:val="center"/>
          </w:tcPr>
          <w:p w14:paraId="58CDA7DE">
            <w:pPr>
              <w:pStyle w:val="58"/>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color w:val="auto"/>
                <w:kern w:val="0"/>
                <w:sz w:val="21"/>
                <w:szCs w:val="21"/>
                <w:highlight w:val="none"/>
              </w:rPr>
            </w:pPr>
          </w:p>
        </w:tc>
        <w:tc>
          <w:tcPr>
            <w:tcW w:w="1187" w:type="dxa"/>
            <w:vMerge w:val="continue"/>
            <w:vAlign w:val="center"/>
          </w:tcPr>
          <w:p w14:paraId="43EC4E87">
            <w:pPr>
              <w:pStyle w:val="58"/>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color w:val="auto"/>
                <w:kern w:val="0"/>
                <w:sz w:val="21"/>
                <w:szCs w:val="21"/>
                <w:highlight w:val="none"/>
              </w:rPr>
            </w:pPr>
          </w:p>
        </w:tc>
        <w:tc>
          <w:tcPr>
            <w:tcW w:w="6889" w:type="dxa"/>
            <w:vAlign w:val="top"/>
          </w:tcPr>
          <w:p w14:paraId="7D17D4F2">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投标人自2020年1月1日至今（以颁发时间为准），在生态环境领域获得过</w:t>
            </w:r>
            <w:r>
              <w:rPr>
                <w:rFonts w:hint="eastAsia" w:ascii="宋体" w:hAnsi="宋体" w:eastAsia="宋体" w:cs="宋体"/>
                <w:b w:val="0"/>
                <w:bCs w:val="0"/>
                <w:color w:val="auto"/>
                <w:sz w:val="21"/>
                <w:szCs w:val="21"/>
                <w:highlight w:val="none"/>
              </w:rPr>
              <w:t>相关</w:t>
            </w:r>
            <w:r>
              <w:rPr>
                <w:rFonts w:hint="eastAsia" w:ascii="宋体" w:hAnsi="宋体" w:eastAsia="宋体" w:cs="宋体"/>
                <w:b w:val="0"/>
                <w:bCs w:val="0"/>
                <w:color w:val="auto"/>
                <w:sz w:val="21"/>
                <w:szCs w:val="21"/>
                <w:highlight w:val="none"/>
                <w:lang w:val="en-US" w:eastAsia="zh-CN"/>
              </w:rPr>
              <w:t>政府机构颁发的</w:t>
            </w:r>
            <w:r>
              <w:rPr>
                <w:rFonts w:hint="eastAsia" w:ascii="宋体" w:hAnsi="宋体" w:eastAsia="宋体" w:cs="宋体"/>
                <w:color w:val="auto"/>
                <w:sz w:val="21"/>
                <w:szCs w:val="21"/>
                <w:highlight w:val="none"/>
              </w:rPr>
              <w:t>国家级奖项的得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分，获得过省部级奖项的得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分，获得过市厅级奖项的得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其他不得分。</w:t>
            </w:r>
          </w:p>
          <w:p w14:paraId="1C81466B">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注：按最高项计取，不累计得分。</w:t>
            </w:r>
          </w:p>
          <w:p w14:paraId="524787BD">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（须提供相关荣誉证书扫描件加盖投标人公章编入投标文件中，未提供的不得分）</w:t>
            </w:r>
          </w:p>
        </w:tc>
        <w:tc>
          <w:tcPr>
            <w:tcW w:w="686" w:type="dxa"/>
            <w:vAlign w:val="center"/>
          </w:tcPr>
          <w:p w14:paraId="25DBF3F8">
            <w:pPr>
              <w:pStyle w:val="58"/>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14:paraId="11286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89" w:type="dxa"/>
            <w:vMerge w:val="continue"/>
            <w:vAlign w:val="center"/>
          </w:tcPr>
          <w:p w14:paraId="7AA3C078">
            <w:pPr>
              <w:pStyle w:val="58"/>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color w:val="auto"/>
                <w:kern w:val="0"/>
                <w:sz w:val="21"/>
                <w:szCs w:val="21"/>
                <w:highlight w:val="none"/>
              </w:rPr>
            </w:pPr>
          </w:p>
        </w:tc>
        <w:tc>
          <w:tcPr>
            <w:tcW w:w="1187" w:type="dxa"/>
            <w:vAlign w:val="center"/>
          </w:tcPr>
          <w:p w14:paraId="64E55BCF">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项目负责人</w:t>
            </w:r>
          </w:p>
        </w:tc>
        <w:tc>
          <w:tcPr>
            <w:tcW w:w="6889" w:type="dxa"/>
            <w:vAlign w:val="center"/>
          </w:tcPr>
          <w:p w14:paraId="1CFA7464">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拟投入的项目负责人：</w:t>
            </w:r>
          </w:p>
          <w:p w14:paraId="5C91D9CD">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1、具有生态、环保相关专业的</w:t>
            </w:r>
            <w:r>
              <w:rPr>
                <w:rFonts w:hint="eastAsia" w:ascii="宋体" w:hAnsi="宋体" w:eastAsia="宋体" w:cs="宋体"/>
                <w:color w:val="auto"/>
                <w:kern w:val="0"/>
                <w:sz w:val="21"/>
                <w:szCs w:val="21"/>
                <w:highlight w:val="none"/>
                <w:lang w:val="en-US" w:eastAsia="zh-CN" w:bidi="ar"/>
              </w:rPr>
              <w:t>正高级</w:t>
            </w:r>
            <w:r>
              <w:rPr>
                <w:rFonts w:hint="eastAsia" w:ascii="宋体" w:hAnsi="宋体" w:eastAsia="宋体" w:cs="宋体"/>
                <w:color w:val="auto"/>
                <w:kern w:val="0"/>
                <w:sz w:val="21"/>
                <w:szCs w:val="21"/>
                <w:highlight w:val="none"/>
                <w:lang w:bidi="ar"/>
              </w:rPr>
              <w:t>工程师职称的得3分，具有生态、环保相关专业的高级职称的得2分，具有生态、环保相关专业的中级</w:t>
            </w:r>
            <w:r>
              <w:rPr>
                <w:rFonts w:hint="eastAsia" w:ascii="宋体" w:hAnsi="宋体" w:eastAsia="宋体" w:cs="宋体"/>
                <w:color w:val="auto"/>
                <w:kern w:val="0"/>
                <w:sz w:val="21"/>
                <w:szCs w:val="21"/>
                <w:highlight w:val="none"/>
                <w:lang w:val="en-US" w:eastAsia="zh-CN" w:bidi="ar"/>
              </w:rPr>
              <w:t>职称</w:t>
            </w:r>
            <w:r>
              <w:rPr>
                <w:rFonts w:hint="eastAsia" w:ascii="宋体" w:hAnsi="宋体" w:eastAsia="宋体" w:cs="宋体"/>
                <w:color w:val="auto"/>
                <w:kern w:val="0"/>
                <w:sz w:val="21"/>
                <w:szCs w:val="21"/>
                <w:highlight w:val="none"/>
                <w:lang w:bidi="ar"/>
              </w:rPr>
              <w:t>的得1分</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其他不得分</w:t>
            </w:r>
            <w:r>
              <w:rPr>
                <w:rFonts w:hint="eastAsia" w:ascii="宋体" w:hAnsi="宋体" w:eastAsia="宋体" w:cs="宋体"/>
                <w:color w:val="auto"/>
                <w:kern w:val="0"/>
                <w:sz w:val="21"/>
                <w:szCs w:val="21"/>
                <w:highlight w:val="none"/>
                <w:lang w:bidi="ar"/>
              </w:rPr>
              <w:t>。</w:t>
            </w:r>
          </w:p>
          <w:p w14:paraId="763A52BB">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2、具有环境影响评价工程师资格证书的得2分。</w:t>
            </w:r>
          </w:p>
          <w:p w14:paraId="1FEB8A69">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本项最高得5分</w:t>
            </w:r>
            <w:r>
              <w:rPr>
                <w:rFonts w:hint="eastAsia" w:ascii="宋体" w:hAnsi="宋体" w:eastAsia="宋体" w:cs="宋体"/>
                <w:color w:val="auto"/>
                <w:kern w:val="0"/>
                <w:sz w:val="21"/>
                <w:szCs w:val="21"/>
                <w:highlight w:val="none"/>
                <w:lang w:eastAsia="zh-CN" w:bidi="ar"/>
              </w:rPr>
              <w:t>。</w:t>
            </w:r>
          </w:p>
          <w:p w14:paraId="5340F5A4">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须</w:t>
            </w:r>
            <w:r>
              <w:rPr>
                <w:rFonts w:hint="eastAsia" w:ascii="宋体" w:hAnsi="宋体" w:eastAsia="宋体" w:cs="宋体"/>
                <w:b/>
                <w:bCs/>
                <w:color w:val="auto"/>
                <w:sz w:val="21"/>
                <w:szCs w:val="21"/>
                <w:highlight w:val="none"/>
                <w:lang w:val="en-US" w:eastAsia="zh-CN"/>
              </w:rPr>
              <w:t>提供①相关证书；②供应商为其缴纳的投标截止时间前近1个月的社保证明，上述资料扫描件</w:t>
            </w:r>
            <w:r>
              <w:rPr>
                <w:rFonts w:hint="eastAsia" w:ascii="宋体" w:hAnsi="宋体" w:eastAsia="宋体" w:cs="宋体"/>
                <w:b/>
                <w:bCs/>
                <w:color w:val="auto"/>
                <w:sz w:val="21"/>
                <w:szCs w:val="21"/>
                <w:highlight w:val="none"/>
              </w:rPr>
              <w:t>并加盖</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rPr>
              <w:t>公章编入投标文件中，未提供</w:t>
            </w:r>
            <w:r>
              <w:rPr>
                <w:rFonts w:hint="eastAsia" w:ascii="宋体" w:hAnsi="宋体" w:eastAsia="宋体" w:cs="宋体"/>
                <w:b/>
                <w:bCs/>
                <w:color w:val="auto"/>
                <w:sz w:val="21"/>
                <w:szCs w:val="21"/>
                <w:highlight w:val="none"/>
                <w:lang w:val="en-US" w:eastAsia="zh-CN"/>
              </w:rPr>
              <w:t>或提供不全</w:t>
            </w:r>
            <w:r>
              <w:rPr>
                <w:rFonts w:hint="eastAsia" w:ascii="宋体" w:hAnsi="宋体" w:eastAsia="宋体" w:cs="宋体"/>
                <w:b/>
                <w:bCs/>
                <w:color w:val="auto"/>
                <w:sz w:val="21"/>
                <w:szCs w:val="21"/>
                <w:highlight w:val="none"/>
              </w:rPr>
              <w:t>的不得分</w:t>
            </w:r>
            <w:r>
              <w:rPr>
                <w:rFonts w:hint="eastAsia" w:ascii="宋体" w:hAnsi="宋体" w:eastAsia="宋体" w:cs="宋体"/>
                <w:b/>
                <w:bCs w:val="0"/>
                <w:color w:val="auto"/>
                <w:sz w:val="21"/>
                <w:szCs w:val="21"/>
                <w:highlight w:val="none"/>
                <w:lang w:eastAsia="zh-CN"/>
              </w:rPr>
              <w:t>）</w:t>
            </w:r>
          </w:p>
        </w:tc>
        <w:tc>
          <w:tcPr>
            <w:tcW w:w="686" w:type="dxa"/>
            <w:vAlign w:val="center"/>
          </w:tcPr>
          <w:p w14:paraId="33FAFA15">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5</w:t>
            </w:r>
          </w:p>
        </w:tc>
      </w:tr>
      <w:tr w14:paraId="6C6B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89" w:type="dxa"/>
            <w:vMerge w:val="continue"/>
            <w:vAlign w:val="center"/>
          </w:tcPr>
          <w:p w14:paraId="720573F4">
            <w:pPr>
              <w:pStyle w:val="58"/>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color w:val="auto"/>
                <w:kern w:val="0"/>
                <w:sz w:val="21"/>
                <w:szCs w:val="21"/>
                <w:highlight w:val="none"/>
              </w:rPr>
            </w:pPr>
          </w:p>
        </w:tc>
        <w:tc>
          <w:tcPr>
            <w:tcW w:w="1187" w:type="dxa"/>
            <w:vAlign w:val="center"/>
          </w:tcPr>
          <w:p w14:paraId="7C9B14C9">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bidi="ar"/>
              </w:rPr>
              <w:t>项目组成员</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项目负责人除外</w:t>
            </w:r>
            <w:r>
              <w:rPr>
                <w:rFonts w:hint="eastAsia" w:ascii="宋体" w:hAnsi="宋体" w:eastAsia="宋体" w:cs="宋体"/>
                <w:color w:val="auto"/>
                <w:kern w:val="0"/>
                <w:sz w:val="21"/>
                <w:szCs w:val="21"/>
                <w:highlight w:val="none"/>
                <w:lang w:eastAsia="zh-CN" w:bidi="ar"/>
              </w:rPr>
              <w:t>）</w:t>
            </w:r>
          </w:p>
        </w:tc>
        <w:tc>
          <w:tcPr>
            <w:tcW w:w="6889" w:type="dxa"/>
            <w:vAlign w:val="center"/>
          </w:tcPr>
          <w:p w14:paraId="2154880F">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拟投入</w:t>
            </w:r>
            <w:r>
              <w:rPr>
                <w:rFonts w:hint="eastAsia" w:ascii="宋体" w:hAnsi="宋体" w:eastAsia="宋体" w:cs="宋体"/>
                <w:color w:val="auto"/>
                <w:kern w:val="0"/>
                <w:sz w:val="21"/>
                <w:szCs w:val="21"/>
                <w:highlight w:val="none"/>
                <w:lang w:eastAsia="zh-CN" w:bidi="ar"/>
              </w:rPr>
              <w:t>的</w:t>
            </w:r>
            <w:r>
              <w:rPr>
                <w:rFonts w:hint="eastAsia" w:ascii="宋体" w:hAnsi="宋体" w:eastAsia="宋体" w:cs="宋体"/>
                <w:color w:val="auto"/>
                <w:kern w:val="0"/>
                <w:sz w:val="21"/>
                <w:szCs w:val="21"/>
                <w:highlight w:val="none"/>
                <w:lang w:bidi="ar"/>
              </w:rPr>
              <w:t>项目组成员（</w:t>
            </w:r>
            <w:r>
              <w:rPr>
                <w:rStyle w:val="59"/>
                <w:rFonts w:hint="eastAsia" w:ascii="宋体" w:hAnsi="宋体" w:eastAsia="宋体" w:cs="宋体"/>
                <w:color w:val="auto"/>
                <w:sz w:val="21"/>
                <w:szCs w:val="21"/>
                <w:highlight w:val="none"/>
                <w:lang w:bidi="ar"/>
              </w:rPr>
              <w:t>项目负责人除外）</w:t>
            </w:r>
            <w:r>
              <w:rPr>
                <w:rStyle w:val="59"/>
                <w:rFonts w:hint="eastAsia" w:ascii="宋体" w:hAnsi="宋体" w:eastAsia="宋体" w:cs="宋体"/>
                <w:color w:val="auto"/>
                <w:sz w:val="21"/>
                <w:szCs w:val="21"/>
                <w:highlight w:val="none"/>
                <w:lang w:eastAsia="zh-CN" w:bidi="ar"/>
              </w:rPr>
              <w:t>：</w:t>
            </w:r>
          </w:p>
          <w:p w14:paraId="283BFFCB">
            <w:pPr>
              <w:keepNext w:val="0"/>
              <w:keepLines w:val="0"/>
              <w:pageBreakBefore w:val="0"/>
              <w:widowControl/>
              <w:kinsoku/>
              <w:wordWrap/>
              <w:overflowPunct/>
              <w:topLinePunct w:val="0"/>
              <w:autoSpaceDE/>
              <w:autoSpaceDN/>
              <w:bidi w:val="0"/>
              <w:adjustRightInd/>
              <w:snapToGrid/>
              <w:jc w:val="left"/>
              <w:textAlignment w:val="auto"/>
              <w:rPr>
                <w:rStyle w:val="59"/>
                <w:rFonts w:hint="eastAsia" w:ascii="宋体" w:hAnsi="宋体" w:eastAsia="宋体" w:cs="宋体"/>
                <w:color w:val="auto"/>
                <w:sz w:val="21"/>
                <w:szCs w:val="21"/>
                <w:highlight w:val="none"/>
                <w:lang w:bidi="ar"/>
              </w:rPr>
            </w:pPr>
            <w:r>
              <w:rPr>
                <w:rFonts w:hint="eastAsia" w:ascii="宋体" w:hAnsi="宋体" w:eastAsia="宋体" w:cs="宋体"/>
                <w:color w:val="auto"/>
                <w:kern w:val="0"/>
                <w:sz w:val="21"/>
                <w:szCs w:val="21"/>
                <w:highlight w:val="none"/>
                <w:lang w:bidi="ar"/>
              </w:rPr>
              <w:t>1、</w:t>
            </w:r>
            <w:r>
              <w:rPr>
                <w:rStyle w:val="59"/>
                <w:rFonts w:hint="eastAsia" w:ascii="宋体" w:hAnsi="宋体" w:eastAsia="宋体" w:cs="宋体"/>
                <w:color w:val="auto"/>
                <w:sz w:val="21"/>
                <w:szCs w:val="21"/>
                <w:highlight w:val="none"/>
                <w:lang w:bidi="ar"/>
              </w:rPr>
              <w:t>具有</w:t>
            </w:r>
            <w:r>
              <w:rPr>
                <w:rStyle w:val="59"/>
                <w:rFonts w:hint="eastAsia" w:ascii="宋体" w:hAnsi="宋体" w:eastAsia="宋体" w:cs="宋体"/>
                <w:color w:val="auto"/>
                <w:sz w:val="21"/>
                <w:szCs w:val="21"/>
                <w:highlight w:val="none"/>
                <w:lang w:val="en-US" w:eastAsia="zh-CN" w:bidi="ar"/>
              </w:rPr>
              <w:t>环境影响评价</w:t>
            </w:r>
            <w:r>
              <w:rPr>
                <w:rStyle w:val="59"/>
                <w:rFonts w:hint="eastAsia" w:ascii="宋体" w:hAnsi="宋体" w:eastAsia="宋体" w:cs="宋体"/>
                <w:color w:val="auto"/>
                <w:sz w:val="21"/>
                <w:szCs w:val="21"/>
                <w:highlight w:val="none"/>
                <w:lang w:bidi="ar"/>
              </w:rPr>
              <w:t>工程师资格证</w:t>
            </w:r>
            <w:r>
              <w:rPr>
                <w:rFonts w:hint="eastAsia" w:ascii="宋体" w:hAnsi="宋体" w:eastAsia="宋体" w:cs="宋体"/>
                <w:color w:val="auto"/>
                <w:kern w:val="0"/>
                <w:sz w:val="21"/>
                <w:szCs w:val="21"/>
                <w:highlight w:val="none"/>
                <w:lang w:bidi="ar"/>
              </w:rPr>
              <w:t>书</w:t>
            </w:r>
            <w:r>
              <w:rPr>
                <w:rStyle w:val="59"/>
                <w:rFonts w:hint="eastAsia" w:ascii="宋体" w:hAnsi="宋体" w:eastAsia="宋体" w:cs="宋体"/>
                <w:color w:val="auto"/>
                <w:sz w:val="21"/>
                <w:szCs w:val="21"/>
                <w:highlight w:val="none"/>
                <w:lang w:bidi="ar"/>
              </w:rPr>
              <w:t>的，每提供一个得0.5分，最高得</w:t>
            </w:r>
            <w:r>
              <w:rPr>
                <w:rStyle w:val="59"/>
                <w:rFonts w:hint="eastAsia" w:ascii="宋体" w:hAnsi="宋体" w:cs="宋体"/>
                <w:color w:val="auto"/>
                <w:sz w:val="21"/>
                <w:szCs w:val="21"/>
                <w:highlight w:val="none"/>
                <w:lang w:val="en-US" w:eastAsia="zh-CN" w:bidi="ar"/>
              </w:rPr>
              <w:t>3</w:t>
            </w:r>
            <w:r>
              <w:rPr>
                <w:rStyle w:val="59"/>
                <w:rFonts w:hint="eastAsia" w:ascii="宋体" w:hAnsi="宋体" w:eastAsia="宋体" w:cs="宋体"/>
                <w:color w:val="auto"/>
                <w:sz w:val="21"/>
                <w:szCs w:val="21"/>
                <w:highlight w:val="none"/>
                <w:lang w:bidi="ar"/>
              </w:rPr>
              <w:t>分。</w:t>
            </w:r>
          </w:p>
          <w:p w14:paraId="00D16780">
            <w:pPr>
              <w:keepNext w:val="0"/>
              <w:keepLines w:val="0"/>
              <w:pageBreakBefore w:val="0"/>
              <w:widowControl/>
              <w:kinsoku/>
              <w:wordWrap/>
              <w:overflowPunct/>
              <w:topLinePunct w:val="0"/>
              <w:autoSpaceDE/>
              <w:autoSpaceDN/>
              <w:bidi w:val="0"/>
              <w:adjustRightInd/>
              <w:snapToGrid/>
              <w:jc w:val="left"/>
              <w:textAlignment w:val="auto"/>
              <w:rPr>
                <w:rStyle w:val="59"/>
                <w:rFonts w:hint="eastAsia" w:ascii="宋体" w:hAnsi="宋体" w:eastAsia="宋体" w:cs="宋体"/>
                <w:color w:val="auto"/>
                <w:sz w:val="21"/>
                <w:szCs w:val="21"/>
                <w:highlight w:val="none"/>
                <w:lang w:bidi="ar"/>
              </w:rPr>
            </w:pPr>
            <w:r>
              <w:rPr>
                <w:rStyle w:val="59"/>
                <w:rFonts w:hint="eastAsia" w:ascii="宋体" w:hAnsi="宋体" w:eastAsia="宋体" w:cs="宋体"/>
                <w:color w:val="auto"/>
                <w:sz w:val="21"/>
                <w:szCs w:val="21"/>
                <w:highlight w:val="none"/>
                <w:lang w:bidi="ar"/>
              </w:rPr>
              <w:t>2、具有</w:t>
            </w:r>
            <w:r>
              <w:rPr>
                <w:rStyle w:val="59"/>
                <w:rFonts w:hint="eastAsia" w:ascii="宋体" w:hAnsi="宋体" w:eastAsia="宋体" w:cs="宋体"/>
                <w:color w:val="auto"/>
                <w:sz w:val="21"/>
                <w:szCs w:val="21"/>
                <w:highlight w:val="none"/>
                <w:lang w:val="en-US" w:eastAsia="zh-CN" w:bidi="ar"/>
              </w:rPr>
              <w:t>注册环保</w:t>
            </w:r>
            <w:r>
              <w:rPr>
                <w:rStyle w:val="59"/>
                <w:rFonts w:hint="eastAsia" w:ascii="宋体" w:hAnsi="宋体" w:eastAsia="宋体" w:cs="宋体"/>
                <w:color w:val="auto"/>
                <w:sz w:val="21"/>
                <w:szCs w:val="21"/>
                <w:highlight w:val="none"/>
                <w:lang w:bidi="ar"/>
              </w:rPr>
              <w:t>工程师资格证</w:t>
            </w:r>
            <w:r>
              <w:rPr>
                <w:rFonts w:hint="eastAsia" w:ascii="宋体" w:hAnsi="宋体" w:eastAsia="宋体" w:cs="宋体"/>
                <w:color w:val="auto"/>
                <w:kern w:val="0"/>
                <w:sz w:val="21"/>
                <w:szCs w:val="21"/>
                <w:highlight w:val="none"/>
                <w:lang w:bidi="ar"/>
              </w:rPr>
              <w:t>书</w:t>
            </w:r>
            <w:r>
              <w:rPr>
                <w:rStyle w:val="59"/>
                <w:rFonts w:hint="eastAsia" w:ascii="宋体" w:hAnsi="宋体" w:eastAsia="宋体" w:cs="宋体"/>
                <w:color w:val="auto"/>
                <w:sz w:val="21"/>
                <w:szCs w:val="21"/>
                <w:highlight w:val="none"/>
                <w:lang w:bidi="ar"/>
              </w:rPr>
              <w:t>的，每提供一个得0.5分，最高得</w:t>
            </w:r>
            <w:r>
              <w:rPr>
                <w:rStyle w:val="59"/>
                <w:rFonts w:hint="eastAsia" w:ascii="宋体" w:hAnsi="宋体" w:cs="宋体"/>
                <w:color w:val="auto"/>
                <w:sz w:val="21"/>
                <w:szCs w:val="21"/>
                <w:highlight w:val="none"/>
                <w:lang w:val="en-US" w:eastAsia="zh-CN" w:bidi="ar"/>
              </w:rPr>
              <w:t>3</w:t>
            </w:r>
            <w:r>
              <w:rPr>
                <w:rStyle w:val="59"/>
                <w:rFonts w:hint="eastAsia" w:ascii="宋体" w:hAnsi="宋体" w:eastAsia="宋体" w:cs="宋体"/>
                <w:color w:val="auto"/>
                <w:sz w:val="21"/>
                <w:szCs w:val="21"/>
                <w:highlight w:val="none"/>
                <w:lang w:bidi="ar"/>
              </w:rPr>
              <w:t>分。</w:t>
            </w:r>
          </w:p>
          <w:p w14:paraId="1D6BF0D9">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3、具有</w:t>
            </w:r>
            <w:r>
              <w:rPr>
                <w:rFonts w:hint="eastAsia" w:ascii="宋体" w:hAnsi="宋体" w:eastAsia="宋体" w:cs="宋体"/>
                <w:color w:val="auto"/>
                <w:kern w:val="0"/>
                <w:sz w:val="21"/>
                <w:szCs w:val="21"/>
                <w:highlight w:val="none"/>
                <w:lang w:bidi="ar"/>
              </w:rPr>
              <w:t>环保相关专业</w:t>
            </w:r>
            <w:r>
              <w:rPr>
                <w:rFonts w:hint="eastAsia" w:ascii="宋体" w:hAnsi="宋体" w:eastAsia="宋体" w:cs="宋体"/>
                <w:color w:val="auto"/>
                <w:kern w:val="0"/>
                <w:sz w:val="21"/>
                <w:szCs w:val="21"/>
                <w:highlight w:val="none"/>
                <w:lang w:val="en-US" w:eastAsia="zh-CN" w:bidi="ar"/>
              </w:rPr>
              <w:t>博士学位</w:t>
            </w:r>
            <w:r>
              <w:rPr>
                <w:rFonts w:hint="eastAsia" w:ascii="宋体" w:hAnsi="宋体" w:eastAsia="宋体" w:cs="宋体"/>
                <w:color w:val="auto"/>
                <w:kern w:val="0"/>
                <w:sz w:val="21"/>
                <w:szCs w:val="21"/>
                <w:highlight w:val="none"/>
                <w:lang w:bidi="ar"/>
              </w:rPr>
              <w:t>的，每</w:t>
            </w:r>
            <w:r>
              <w:rPr>
                <w:rFonts w:hint="eastAsia" w:ascii="宋体" w:hAnsi="宋体" w:eastAsia="宋体" w:cs="宋体"/>
                <w:color w:val="auto"/>
                <w:kern w:val="0"/>
                <w:sz w:val="21"/>
                <w:szCs w:val="21"/>
                <w:highlight w:val="none"/>
                <w:lang w:val="en-US" w:eastAsia="zh-CN" w:bidi="ar"/>
              </w:rPr>
              <w:t>提供</w:t>
            </w:r>
            <w:r>
              <w:rPr>
                <w:rFonts w:hint="eastAsia" w:ascii="宋体" w:hAnsi="宋体" w:eastAsia="宋体" w:cs="宋体"/>
                <w:color w:val="auto"/>
                <w:kern w:val="0"/>
                <w:sz w:val="21"/>
                <w:szCs w:val="21"/>
                <w:highlight w:val="none"/>
                <w:lang w:bidi="ar"/>
              </w:rPr>
              <w:t>1人得</w:t>
            </w: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分，最高得</w:t>
            </w: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分。</w:t>
            </w:r>
          </w:p>
          <w:p w14:paraId="4AA5A320">
            <w:pPr>
              <w:keepNext w:val="0"/>
              <w:keepLines w:val="0"/>
              <w:pageBreakBefore w:val="0"/>
              <w:widowControl/>
              <w:kinsoku/>
              <w:wordWrap/>
              <w:overflowPunct/>
              <w:topLinePunct w:val="0"/>
              <w:autoSpaceDE/>
              <w:autoSpaceDN/>
              <w:bidi w:val="0"/>
              <w:adjustRightInd/>
              <w:snapToGrid/>
              <w:jc w:val="left"/>
              <w:textAlignment w:val="auto"/>
              <w:rPr>
                <w:rStyle w:val="59"/>
                <w:rFonts w:hint="eastAsia" w:ascii="宋体" w:hAnsi="宋体" w:eastAsia="宋体" w:cs="宋体"/>
                <w:color w:val="auto"/>
                <w:sz w:val="21"/>
                <w:szCs w:val="21"/>
                <w:highlight w:val="none"/>
                <w:lang w:bidi="ar"/>
              </w:rPr>
            </w:pPr>
            <w:r>
              <w:rPr>
                <w:rStyle w:val="59"/>
                <w:rFonts w:hint="eastAsia" w:ascii="宋体" w:hAnsi="宋体" w:eastAsia="宋体" w:cs="宋体"/>
                <w:color w:val="auto"/>
                <w:sz w:val="21"/>
                <w:szCs w:val="21"/>
                <w:highlight w:val="none"/>
                <w:lang w:bidi="ar"/>
              </w:rPr>
              <w:t>本项最高得</w:t>
            </w:r>
            <w:r>
              <w:rPr>
                <w:rStyle w:val="59"/>
                <w:rFonts w:hint="eastAsia" w:ascii="宋体" w:hAnsi="宋体" w:cs="宋体"/>
                <w:color w:val="auto"/>
                <w:sz w:val="21"/>
                <w:szCs w:val="21"/>
                <w:highlight w:val="none"/>
                <w:lang w:val="en-US" w:eastAsia="zh-CN" w:bidi="ar"/>
              </w:rPr>
              <w:t>7</w:t>
            </w:r>
            <w:r>
              <w:rPr>
                <w:rStyle w:val="59"/>
                <w:rFonts w:hint="eastAsia" w:ascii="宋体" w:hAnsi="宋体" w:eastAsia="宋体" w:cs="宋体"/>
                <w:color w:val="auto"/>
                <w:sz w:val="21"/>
                <w:szCs w:val="21"/>
                <w:highlight w:val="none"/>
                <w:lang w:bidi="ar"/>
              </w:rPr>
              <w:t>分。</w:t>
            </w:r>
          </w:p>
          <w:p w14:paraId="5A0FE514">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注：同一人员满足1/2/3多项的，</w:t>
            </w:r>
            <w:r>
              <w:rPr>
                <w:rFonts w:hint="eastAsia" w:ascii="宋体" w:hAnsi="宋体" w:cs="宋体"/>
                <w:b/>
                <w:bCs w:val="0"/>
                <w:color w:val="auto"/>
                <w:sz w:val="21"/>
                <w:szCs w:val="21"/>
                <w:highlight w:val="none"/>
                <w:lang w:val="en-US" w:eastAsia="zh-CN"/>
              </w:rPr>
              <w:t>不</w:t>
            </w:r>
            <w:r>
              <w:rPr>
                <w:rFonts w:hint="eastAsia" w:ascii="宋体" w:hAnsi="宋体" w:eastAsia="宋体" w:cs="宋体"/>
                <w:b/>
                <w:bCs w:val="0"/>
                <w:color w:val="auto"/>
                <w:sz w:val="21"/>
                <w:szCs w:val="21"/>
                <w:highlight w:val="none"/>
                <w:lang w:val="en-US" w:eastAsia="zh-CN"/>
              </w:rPr>
              <w:t>重复计分。</w:t>
            </w:r>
          </w:p>
          <w:p w14:paraId="1ACC97A2">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须</w:t>
            </w:r>
            <w:r>
              <w:rPr>
                <w:rFonts w:hint="eastAsia" w:ascii="宋体" w:hAnsi="宋体" w:eastAsia="宋体" w:cs="宋体"/>
                <w:b/>
                <w:bCs/>
                <w:color w:val="auto"/>
                <w:sz w:val="21"/>
                <w:szCs w:val="21"/>
                <w:highlight w:val="none"/>
                <w:lang w:val="en-US" w:eastAsia="zh-CN"/>
              </w:rPr>
              <w:t>提供①相关证书；②供应商为其缴纳的投标截止时间前近1个月的社保证明，上述资料扫描件</w:t>
            </w:r>
            <w:r>
              <w:rPr>
                <w:rFonts w:hint="eastAsia" w:ascii="宋体" w:hAnsi="宋体" w:eastAsia="宋体" w:cs="宋体"/>
                <w:b/>
                <w:bCs/>
                <w:color w:val="auto"/>
                <w:sz w:val="21"/>
                <w:szCs w:val="21"/>
                <w:highlight w:val="none"/>
              </w:rPr>
              <w:t>并加盖</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rPr>
              <w:t>公章编入投标文件中，未提供</w:t>
            </w:r>
            <w:r>
              <w:rPr>
                <w:rFonts w:hint="eastAsia" w:ascii="宋体" w:hAnsi="宋体" w:eastAsia="宋体" w:cs="宋体"/>
                <w:b/>
                <w:bCs/>
                <w:color w:val="auto"/>
                <w:sz w:val="21"/>
                <w:szCs w:val="21"/>
                <w:highlight w:val="none"/>
                <w:lang w:val="en-US" w:eastAsia="zh-CN"/>
              </w:rPr>
              <w:t>或提供不全</w:t>
            </w:r>
            <w:r>
              <w:rPr>
                <w:rFonts w:hint="eastAsia" w:ascii="宋体" w:hAnsi="宋体" w:eastAsia="宋体" w:cs="宋体"/>
                <w:b/>
                <w:bCs/>
                <w:color w:val="auto"/>
                <w:sz w:val="21"/>
                <w:szCs w:val="21"/>
                <w:highlight w:val="none"/>
              </w:rPr>
              <w:t>的不得分</w:t>
            </w:r>
            <w:r>
              <w:rPr>
                <w:rFonts w:hint="eastAsia" w:ascii="宋体" w:hAnsi="宋体" w:eastAsia="宋体" w:cs="宋体"/>
                <w:b/>
                <w:bCs w:val="0"/>
                <w:color w:val="auto"/>
                <w:sz w:val="21"/>
                <w:szCs w:val="21"/>
                <w:highlight w:val="none"/>
                <w:lang w:eastAsia="zh-CN"/>
              </w:rPr>
              <w:t>）</w:t>
            </w:r>
          </w:p>
        </w:tc>
        <w:tc>
          <w:tcPr>
            <w:tcW w:w="686" w:type="dxa"/>
            <w:vAlign w:val="center"/>
          </w:tcPr>
          <w:p w14:paraId="415A6F5F">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bidi="ar"/>
              </w:rPr>
              <w:t>7</w:t>
            </w:r>
          </w:p>
        </w:tc>
      </w:tr>
      <w:tr w14:paraId="4575F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9" w:type="dxa"/>
            <w:vMerge w:val="continue"/>
            <w:vAlign w:val="center"/>
          </w:tcPr>
          <w:p w14:paraId="33217C8A">
            <w:pPr>
              <w:pStyle w:val="58"/>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color w:val="auto"/>
                <w:kern w:val="0"/>
                <w:sz w:val="21"/>
                <w:szCs w:val="21"/>
                <w:highlight w:val="none"/>
              </w:rPr>
            </w:pPr>
          </w:p>
        </w:tc>
        <w:tc>
          <w:tcPr>
            <w:tcW w:w="1187" w:type="dxa"/>
            <w:vAlign w:val="center"/>
          </w:tcPr>
          <w:p w14:paraId="17A446A3">
            <w:pPr>
              <w:pStyle w:val="58"/>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承接经验</w:t>
            </w:r>
          </w:p>
        </w:tc>
        <w:tc>
          <w:tcPr>
            <w:tcW w:w="6889" w:type="dxa"/>
            <w:vAlign w:val="center"/>
          </w:tcPr>
          <w:p w14:paraId="148CD3DC">
            <w:pPr>
              <w:pStyle w:val="58"/>
              <w:keepNext w:val="0"/>
              <w:keepLines w:val="0"/>
              <w:pageBreakBefore w:val="0"/>
              <w:widowControl/>
              <w:kinsoku/>
              <w:wordWrap/>
              <w:overflowPunct/>
              <w:topLinePunct w:val="0"/>
              <w:autoSpaceDE/>
              <w:autoSpaceDN/>
              <w:bidi w:val="0"/>
              <w:adjustRightInd/>
              <w:snapToGrid/>
              <w:spacing w:before="0" w:after="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t>投标人</w:t>
            </w:r>
            <w:r>
              <w:rPr>
                <w:rFonts w:hint="eastAsia" w:ascii="宋体" w:hAnsi="宋体" w:eastAsia="宋体" w:cs="宋体"/>
                <w:color w:val="auto"/>
                <w:sz w:val="21"/>
                <w:szCs w:val="21"/>
                <w:highlight w:val="none"/>
              </w:rPr>
              <w:t>自20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月1日（以合同签订时间为准）以来，承接过类似项目的，每提供一个得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分，本项最高得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5E3F593D">
            <w:pPr>
              <w:pStyle w:val="58"/>
              <w:keepNext w:val="0"/>
              <w:keepLines w:val="0"/>
              <w:pageBreakBefore w:val="0"/>
              <w:widowControl/>
              <w:kinsoku/>
              <w:wordWrap/>
              <w:overflowPunct/>
              <w:topLinePunct w:val="0"/>
              <w:autoSpaceDE/>
              <w:autoSpaceDN/>
              <w:bidi w:val="0"/>
              <w:adjustRightInd/>
              <w:snapToGrid/>
              <w:spacing w:before="0" w:after="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（须提供合同扫描件并加盖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公章编入投标文件中，未提供的不得分）</w:t>
            </w:r>
          </w:p>
        </w:tc>
        <w:tc>
          <w:tcPr>
            <w:tcW w:w="686" w:type="dxa"/>
            <w:vAlign w:val="center"/>
          </w:tcPr>
          <w:p w14:paraId="75A207A2">
            <w:pPr>
              <w:pStyle w:val="58"/>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r>
      <w:tr w14:paraId="6EA76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89" w:type="dxa"/>
            <w:vMerge w:val="restart"/>
            <w:vAlign w:val="center"/>
          </w:tcPr>
          <w:p w14:paraId="62693871">
            <w:pPr>
              <w:pStyle w:val="58"/>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技术分</w:t>
            </w:r>
          </w:p>
          <w:p w14:paraId="304F7EDC">
            <w:pPr>
              <w:pStyle w:val="58"/>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5</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分）</w:t>
            </w:r>
          </w:p>
        </w:tc>
        <w:tc>
          <w:tcPr>
            <w:tcW w:w="1187" w:type="dxa"/>
            <w:vMerge w:val="restart"/>
            <w:vAlign w:val="center"/>
          </w:tcPr>
          <w:p w14:paraId="4C2B15B0">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项目背景及重难点分析</w:t>
            </w:r>
          </w:p>
        </w:tc>
        <w:tc>
          <w:tcPr>
            <w:tcW w:w="6889" w:type="dxa"/>
            <w:vAlign w:val="center"/>
          </w:tcPr>
          <w:p w14:paraId="41A6ED69">
            <w:pPr>
              <w:pStyle w:val="10"/>
              <w:snapToGrid w:val="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根据招标文件对项目设立的意义、由来及发展状况介绍，根据各投标人是否对项目背景有着充分了解，对完成本项目的总体思路，对项目目标的阐述是否满足招标文件要求进行打分。</w:t>
            </w:r>
          </w:p>
          <w:p w14:paraId="2AF616D1">
            <w:pPr>
              <w:pStyle w:val="10"/>
              <w:snapToGrid w:val="0"/>
              <w:rPr>
                <w:rFonts w:hint="eastAsia" w:hAnsi="宋体" w:cs="宋体"/>
                <w:color w:val="auto"/>
                <w:sz w:val="21"/>
                <w:szCs w:val="21"/>
                <w:highlight w:val="none"/>
                <w:lang w:val="en-US" w:eastAsia="zh-CN"/>
              </w:rPr>
            </w:pPr>
            <w:r>
              <w:rPr>
                <w:rFonts w:hint="eastAsia" w:ascii="宋体" w:hAnsi="宋体" w:eastAsia="宋体" w:cs="宋体"/>
                <w:color w:val="auto"/>
                <w:sz w:val="21"/>
                <w:szCs w:val="21"/>
                <w:highlight w:val="none"/>
              </w:rPr>
              <w:t>调查全面，背景、现状分析有针对性，项目需求理解准确的</w:t>
            </w:r>
            <w:r>
              <w:rPr>
                <w:rFonts w:hint="eastAsia" w:hAnsi="宋体" w:cs="宋体"/>
                <w:color w:val="auto"/>
                <w:sz w:val="21"/>
                <w:szCs w:val="21"/>
                <w:highlight w:val="none"/>
                <w:lang w:val="en-US" w:eastAsia="zh-CN"/>
              </w:rPr>
              <w:t>得4分；</w:t>
            </w:r>
          </w:p>
          <w:p w14:paraId="58869FD6">
            <w:pPr>
              <w:pStyle w:val="10"/>
              <w:snapToGrid w:val="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调查基本全面，背景、现状分析比较有针对性，项目需求理解基本准确的得2分；</w:t>
            </w:r>
          </w:p>
          <w:p w14:paraId="79941308">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项目理解简单片面，缺乏针对性的得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42CC3396">
            <w:pPr>
              <w:widowControl/>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686" w:type="dxa"/>
            <w:vAlign w:val="center"/>
          </w:tcPr>
          <w:p w14:paraId="036AF5E6">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bidi="ar"/>
              </w:rPr>
              <w:t>4</w:t>
            </w:r>
          </w:p>
        </w:tc>
      </w:tr>
      <w:tr w14:paraId="00D21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989" w:type="dxa"/>
            <w:vMerge w:val="continue"/>
            <w:vAlign w:val="center"/>
          </w:tcPr>
          <w:p w14:paraId="43FB959D">
            <w:pPr>
              <w:pStyle w:val="58"/>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color w:val="auto"/>
                <w:sz w:val="21"/>
                <w:szCs w:val="21"/>
                <w:highlight w:val="none"/>
              </w:rPr>
            </w:pPr>
          </w:p>
        </w:tc>
        <w:tc>
          <w:tcPr>
            <w:tcW w:w="1187" w:type="dxa"/>
            <w:vMerge w:val="continue"/>
            <w:vAlign w:val="center"/>
          </w:tcPr>
          <w:p w14:paraId="286C63EB">
            <w:pPr>
              <w:jc w:val="center"/>
              <w:rPr>
                <w:rFonts w:hint="eastAsia" w:ascii="宋体" w:hAnsi="宋体" w:eastAsia="宋体" w:cs="宋体"/>
                <w:color w:val="auto"/>
                <w:sz w:val="21"/>
                <w:szCs w:val="21"/>
                <w:highlight w:val="none"/>
              </w:rPr>
            </w:pPr>
          </w:p>
        </w:tc>
        <w:tc>
          <w:tcPr>
            <w:tcW w:w="6889" w:type="dxa"/>
            <w:vAlign w:val="center"/>
          </w:tcPr>
          <w:p w14:paraId="13BBACAE">
            <w:pPr>
              <w:widowControl/>
              <w:adjustRightInd w:val="0"/>
              <w:snapToGrid w:val="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根据项目需求，分析本项目重点、难点，并对此提出的解决对策是否具有全面性、针对性、可操作性进行打分。</w:t>
            </w:r>
          </w:p>
          <w:p w14:paraId="2E1B0265">
            <w:pPr>
              <w:widowControl/>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重点和难点问题认识清晰、准确，解决方案科学合理、有效全面且具有针对性的的得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12A2B152">
            <w:pPr>
              <w:widowControl/>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重点和难点问题认识较为清晰，解决方案阐述</w:t>
            </w:r>
            <w:r>
              <w:rPr>
                <w:rFonts w:hint="eastAsia" w:ascii="宋体" w:hAnsi="宋体" w:cs="宋体"/>
                <w:color w:val="auto"/>
                <w:sz w:val="21"/>
                <w:szCs w:val="21"/>
                <w:highlight w:val="none"/>
                <w:lang w:val="en-US" w:eastAsia="zh-CN"/>
              </w:rPr>
              <w:t>内容基本详尽</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019792F3">
            <w:pPr>
              <w:widowControl/>
              <w:adjustRightInd w:val="0"/>
              <w:snapToGrid w:val="0"/>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重点和难点问题认识</w:t>
            </w:r>
            <w:r>
              <w:rPr>
                <w:rFonts w:hint="eastAsia" w:ascii="宋体" w:hAnsi="宋体" w:cs="宋体"/>
                <w:color w:val="auto"/>
                <w:sz w:val="21"/>
                <w:szCs w:val="21"/>
                <w:highlight w:val="none"/>
                <w:lang w:val="en-US" w:eastAsia="zh-CN"/>
              </w:rPr>
              <w:t>简单，解决分析简单的得1分；</w:t>
            </w:r>
          </w:p>
          <w:p w14:paraId="635967A9">
            <w:pPr>
              <w:widowControl/>
              <w:adjustRightInd w:val="0"/>
              <w:snapToGrid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686" w:type="dxa"/>
            <w:vAlign w:val="center"/>
          </w:tcPr>
          <w:p w14:paraId="0A80D02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bidi="ar"/>
              </w:rPr>
              <w:t>4</w:t>
            </w:r>
          </w:p>
        </w:tc>
      </w:tr>
      <w:tr w14:paraId="57985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989" w:type="dxa"/>
            <w:vMerge w:val="continue"/>
            <w:vAlign w:val="center"/>
          </w:tcPr>
          <w:p w14:paraId="7E7CAAD9">
            <w:pPr>
              <w:pStyle w:val="58"/>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eastAsia="宋体" w:cs="宋体"/>
                <w:color w:val="auto"/>
                <w:kern w:val="0"/>
                <w:sz w:val="21"/>
                <w:szCs w:val="21"/>
                <w:highlight w:val="none"/>
              </w:rPr>
            </w:pPr>
          </w:p>
        </w:tc>
        <w:tc>
          <w:tcPr>
            <w:tcW w:w="1187" w:type="dxa"/>
            <w:vMerge w:val="restart"/>
            <w:vAlign w:val="center"/>
          </w:tcPr>
          <w:p w14:paraId="4ADF235D">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项目实施</w:t>
            </w:r>
            <w:r>
              <w:rPr>
                <w:rFonts w:hint="eastAsia" w:ascii="宋体" w:hAnsi="宋体" w:cs="宋体"/>
                <w:color w:val="auto"/>
                <w:kern w:val="0"/>
                <w:sz w:val="21"/>
                <w:szCs w:val="21"/>
                <w:highlight w:val="none"/>
                <w:lang w:val="en-US" w:eastAsia="zh-CN" w:bidi="ar"/>
              </w:rPr>
              <w:t>计划服务</w:t>
            </w:r>
            <w:r>
              <w:rPr>
                <w:rFonts w:hint="eastAsia" w:ascii="宋体" w:hAnsi="宋体" w:eastAsia="宋体" w:cs="宋体"/>
                <w:color w:val="auto"/>
                <w:kern w:val="0"/>
                <w:sz w:val="21"/>
                <w:szCs w:val="21"/>
                <w:highlight w:val="none"/>
                <w:lang w:bidi="ar"/>
              </w:rPr>
              <w:t>方案</w:t>
            </w:r>
          </w:p>
        </w:tc>
        <w:tc>
          <w:tcPr>
            <w:tcW w:w="6889" w:type="dxa"/>
            <w:vAlign w:val="center"/>
          </w:tcPr>
          <w:p w14:paraId="411D2F34">
            <w:pPr>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根据投标人制定的</w:t>
            </w:r>
            <w:r>
              <w:rPr>
                <w:rFonts w:hint="eastAsia" w:ascii="宋体" w:hAnsi="宋体" w:eastAsia="宋体" w:cs="宋体"/>
                <w:b/>
                <w:bCs/>
                <w:color w:val="auto"/>
                <w:kern w:val="0"/>
                <w:sz w:val="21"/>
                <w:szCs w:val="21"/>
                <w:highlight w:val="none"/>
                <w:lang w:bidi="ar"/>
              </w:rPr>
              <w:t>废气低效设施改造升级服务</w:t>
            </w:r>
            <w:r>
              <w:rPr>
                <w:rFonts w:hint="eastAsia" w:ascii="宋体" w:hAnsi="宋体" w:eastAsia="宋体" w:cs="宋体"/>
                <w:color w:val="auto"/>
                <w:kern w:val="0"/>
                <w:sz w:val="21"/>
                <w:szCs w:val="21"/>
                <w:highlight w:val="none"/>
                <w:lang w:bidi="ar"/>
              </w:rPr>
              <w:t>内容的详细程度以及工作流程的严谨性、科学性、可操作性进行打分。</w:t>
            </w:r>
          </w:p>
          <w:p w14:paraId="48CBDBB1">
            <w:p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服务内容</w:t>
            </w:r>
            <w:r>
              <w:rPr>
                <w:rFonts w:hint="eastAsia" w:ascii="宋体" w:hAnsi="宋体" w:eastAsia="宋体" w:cs="宋体"/>
                <w:color w:val="auto"/>
                <w:kern w:val="0"/>
                <w:sz w:val="21"/>
                <w:szCs w:val="21"/>
                <w:highlight w:val="none"/>
              </w:rPr>
              <w:t>条理思路清晰、贴合实际、可行性强、有针对性</w:t>
            </w:r>
            <w:r>
              <w:rPr>
                <w:rFonts w:hint="eastAsia" w:ascii="宋体" w:hAnsi="宋体" w:eastAsia="宋体" w:cs="宋体"/>
                <w:color w:val="auto"/>
                <w:kern w:val="0"/>
                <w:sz w:val="21"/>
                <w:szCs w:val="21"/>
                <w:highlight w:val="none"/>
                <w:lang w:bidi="ar"/>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53F692B3">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服务内容</w:t>
            </w:r>
            <w:r>
              <w:rPr>
                <w:rFonts w:hint="eastAsia" w:ascii="宋体" w:hAnsi="宋体" w:eastAsia="宋体" w:cs="宋体"/>
                <w:color w:val="auto"/>
                <w:sz w:val="21"/>
                <w:szCs w:val="21"/>
                <w:highlight w:val="none"/>
              </w:rPr>
              <w:t>简单、内容不完善，可行性</w:t>
            </w:r>
            <w:r>
              <w:rPr>
                <w:rFonts w:hint="eastAsia" w:ascii="宋体" w:hAnsi="宋体" w:cs="宋体"/>
                <w:color w:val="auto"/>
                <w:sz w:val="21"/>
                <w:szCs w:val="21"/>
                <w:highlight w:val="none"/>
                <w:lang w:val="en-US" w:eastAsia="zh-CN"/>
              </w:rPr>
              <w:t>一般</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55EBCB14">
            <w:pPr>
              <w:widowControl/>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方案内容简略且不明确得1分。</w:t>
            </w:r>
          </w:p>
          <w:p w14:paraId="4275ACBC">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686" w:type="dxa"/>
            <w:vAlign w:val="center"/>
          </w:tcPr>
          <w:p w14:paraId="53428AE6">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r>
      <w:tr w14:paraId="5B86D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989" w:type="dxa"/>
            <w:vMerge w:val="continue"/>
            <w:vAlign w:val="center"/>
          </w:tcPr>
          <w:p w14:paraId="53F9FC4A">
            <w:pPr>
              <w:pStyle w:val="58"/>
              <w:keepNext w:val="0"/>
              <w:keepLines w:val="0"/>
              <w:pageBreakBefore w:val="0"/>
              <w:widowControl/>
              <w:kinsoku/>
              <w:wordWrap/>
              <w:overflowPunct/>
              <w:topLinePunct w:val="0"/>
              <w:autoSpaceDE/>
              <w:autoSpaceDN/>
              <w:bidi w:val="0"/>
              <w:adjustRightInd/>
              <w:snapToGrid/>
              <w:spacing w:before="0" w:after="0"/>
              <w:jc w:val="left"/>
              <w:textAlignment w:val="auto"/>
              <w:rPr>
                <w:rFonts w:hint="eastAsia" w:ascii="宋体" w:hAnsi="宋体" w:eastAsia="宋体" w:cs="宋体"/>
                <w:color w:val="auto"/>
                <w:sz w:val="21"/>
                <w:szCs w:val="21"/>
                <w:highlight w:val="none"/>
              </w:rPr>
            </w:pPr>
          </w:p>
        </w:tc>
        <w:tc>
          <w:tcPr>
            <w:tcW w:w="1187" w:type="dxa"/>
            <w:vMerge w:val="continue"/>
            <w:vAlign w:val="center"/>
          </w:tcPr>
          <w:p w14:paraId="2169714C">
            <w:pPr>
              <w:widowControl/>
              <w:jc w:val="center"/>
              <w:rPr>
                <w:rFonts w:hint="eastAsia" w:ascii="宋体" w:hAnsi="宋体" w:eastAsia="宋体" w:cs="宋体"/>
                <w:color w:val="auto"/>
                <w:sz w:val="21"/>
                <w:szCs w:val="21"/>
                <w:highlight w:val="none"/>
                <w:lang w:val="en-US" w:eastAsia="zh-CN"/>
              </w:rPr>
            </w:pPr>
          </w:p>
        </w:tc>
        <w:tc>
          <w:tcPr>
            <w:tcW w:w="6889" w:type="dxa"/>
            <w:vAlign w:val="center"/>
          </w:tcPr>
          <w:p w14:paraId="58F7F40C">
            <w:pPr>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根据投标人制定的</w:t>
            </w:r>
            <w:r>
              <w:rPr>
                <w:rFonts w:hint="eastAsia" w:ascii="宋体" w:hAnsi="宋体" w:eastAsia="宋体" w:cs="宋体"/>
                <w:b/>
                <w:bCs/>
                <w:color w:val="auto"/>
                <w:kern w:val="0"/>
                <w:sz w:val="21"/>
                <w:szCs w:val="21"/>
                <w:highlight w:val="none"/>
                <w:lang w:bidi="ar"/>
              </w:rPr>
              <w:t>绩效提级</w:t>
            </w:r>
            <w:r>
              <w:rPr>
                <w:rFonts w:hint="eastAsia" w:ascii="宋体" w:hAnsi="宋体" w:cs="宋体"/>
                <w:b/>
                <w:bCs/>
                <w:color w:val="auto"/>
                <w:kern w:val="0"/>
                <w:sz w:val="21"/>
                <w:szCs w:val="21"/>
                <w:highlight w:val="none"/>
                <w:lang w:val="en-US" w:eastAsia="zh-CN" w:bidi="ar"/>
              </w:rPr>
              <w:t>技术</w:t>
            </w:r>
            <w:r>
              <w:rPr>
                <w:rFonts w:hint="eastAsia" w:ascii="宋体" w:hAnsi="宋体" w:eastAsia="宋体" w:cs="宋体"/>
                <w:b/>
                <w:bCs/>
                <w:color w:val="auto"/>
                <w:kern w:val="0"/>
                <w:sz w:val="21"/>
                <w:szCs w:val="21"/>
                <w:highlight w:val="none"/>
                <w:lang w:bidi="ar"/>
              </w:rPr>
              <w:t>服务</w:t>
            </w:r>
            <w:r>
              <w:rPr>
                <w:rFonts w:hint="eastAsia" w:ascii="宋体" w:hAnsi="宋体" w:eastAsia="宋体" w:cs="宋体"/>
                <w:color w:val="auto"/>
                <w:kern w:val="0"/>
                <w:sz w:val="21"/>
                <w:szCs w:val="21"/>
                <w:highlight w:val="none"/>
                <w:lang w:bidi="ar"/>
              </w:rPr>
              <w:t>内容的详细程度以及工作流程的严谨性、科学性、可操作性进行打分。</w:t>
            </w:r>
          </w:p>
          <w:p w14:paraId="2CF3E69C">
            <w:p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服务内容</w:t>
            </w:r>
            <w:r>
              <w:rPr>
                <w:rFonts w:hint="eastAsia" w:ascii="宋体" w:hAnsi="宋体" w:eastAsia="宋体" w:cs="宋体"/>
                <w:color w:val="auto"/>
                <w:kern w:val="0"/>
                <w:sz w:val="21"/>
                <w:szCs w:val="21"/>
                <w:highlight w:val="none"/>
              </w:rPr>
              <w:t>条理思路清晰、贴合实际、可行性强、有针对性</w:t>
            </w:r>
            <w:r>
              <w:rPr>
                <w:rFonts w:hint="eastAsia" w:ascii="宋体" w:hAnsi="宋体" w:eastAsia="宋体" w:cs="宋体"/>
                <w:color w:val="auto"/>
                <w:kern w:val="0"/>
                <w:sz w:val="21"/>
                <w:szCs w:val="21"/>
                <w:highlight w:val="none"/>
                <w:lang w:bidi="ar"/>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02125C3F">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服务内容</w:t>
            </w:r>
            <w:r>
              <w:rPr>
                <w:rFonts w:hint="eastAsia" w:ascii="宋体" w:hAnsi="宋体" w:eastAsia="宋体" w:cs="宋体"/>
                <w:color w:val="auto"/>
                <w:sz w:val="21"/>
                <w:szCs w:val="21"/>
                <w:highlight w:val="none"/>
              </w:rPr>
              <w:t>简单、内容不完善，可行性</w:t>
            </w:r>
            <w:r>
              <w:rPr>
                <w:rFonts w:hint="eastAsia" w:ascii="宋体" w:hAnsi="宋体" w:cs="宋体"/>
                <w:color w:val="auto"/>
                <w:sz w:val="21"/>
                <w:szCs w:val="21"/>
                <w:highlight w:val="none"/>
                <w:lang w:val="en-US" w:eastAsia="zh-CN"/>
              </w:rPr>
              <w:t>一般</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0E915B0A">
            <w:pPr>
              <w:widowControl/>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方案内容简略且不明确得1分。</w:t>
            </w:r>
          </w:p>
          <w:p w14:paraId="0C1C43E3">
            <w:pPr>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686" w:type="dxa"/>
            <w:vAlign w:val="center"/>
          </w:tcPr>
          <w:p w14:paraId="17E9C606">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cs="宋体"/>
                <w:color w:val="auto"/>
                <w:sz w:val="21"/>
                <w:szCs w:val="21"/>
                <w:highlight w:val="none"/>
                <w:lang w:val="en-US" w:eastAsia="zh-CN"/>
              </w:rPr>
              <w:t>4</w:t>
            </w:r>
          </w:p>
        </w:tc>
      </w:tr>
      <w:tr w14:paraId="4D5DF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89" w:type="dxa"/>
            <w:vMerge w:val="continue"/>
            <w:vAlign w:val="center"/>
          </w:tcPr>
          <w:p w14:paraId="2ACBB7B5">
            <w:pPr>
              <w:pStyle w:val="58"/>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eastAsia="宋体" w:cs="宋体"/>
                <w:color w:val="auto"/>
                <w:kern w:val="0"/>
                <w:sz w:val="21"/>
                <w:szCs w:val="21"/>
                <w:highlight w:val="none"/>
              </w:rPr>
            </w:pPr>
          </w:p>
        </w:tc>
        <w:tc>
          <w:tcPr>
            <w:tcW w:w="1187" w:type="dxa"/>
            <w:vMerge w:val="continue"/>
            <w:vAlign w:val="center"/>
          </w:tcPr>
          <w:p w14:paraId="1F40E4AE">
            <w:pPr>
              <w:widowControl/>
              <w:jc w:val="center"/>
              <w:rPr>
                <w:rFonts w:hint="eastAsia" w:ascii="宋体" w:hAnsi="宋体" w:eastAsia="宋体" w:cs="宋体"/>
                <w:color w:val="auto"/>
                <w:sz w:val="21"/>
                <w:szCs w:val="21"/>
                <w:highlight w:val="none"/>
                <w:lang w:val="en-US" w:eastAsia="zh-CN"/>
              </w:rPr>
            </w:pPr>
          </w:p>
        </w:tc>
        <w:tc>
          <w:tcPr>
            <w:tcW w:w="6889" w:type="dxa"/>
            <w:vAlign w:val="center"/>
          </w:tcPr>
          <w:p w14:paraId="44185713">
            <w:pPr>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根据投标人制定的</w:t>
            </w:r>
            <w:r>
              <w:rPr>
                <w:rFonts w:hint="eastAsia" w:ascii="宋体" w:hAnsi="宋体" w:eastAsia="宋体" w:cs="宋体"/>
                <w:b/>
                <w:bCs/>
                <w:color w:val="auto"/>
                <w:kern w:val="0"/>
                <w:sz w:val="21"/>
                <w:szCs w:val="21"/>
                <w:highlight w:val="none"/>
                <w:lang w:bidi="ar"/>
              </w:rPr>
              <w:t>源头替代</w:t>
            </w:r>
            <w:r>
              <w:rPr>
                <w:rFonts w:hint="eastAsia" w:ascii="宋体" w:hAnsi="宋体" w:cs="宋体"/>
                <w:b/>
                <w:bCs/>
                <w:color w:val="auto"/>
                <w:kern w:val="0"/>
                <w:sz w:val="21"/>
                <w:szCs w:val="21"/>
                <w:highlight w:val="none"/>
                <w:lang w:val="en-US" w:eastAsia="zh-CN" w:bidi="ar"/>
              </w:rPr>
              <w:t>技术</w:t>
            </w:r>
            <w:r>
              <w:rPr>
                <w:rFonts w:hint="eastAsia" w:ascii="宋体" w:hAnsi="宋体" w:eastAsia="宋体" w:cs="宋体"/>
                <w:b/>
                <w:bCs/>
                <w:color w:val="auto"/>
                <w:kern w:val="0"/>
                <w:sz w:val="21"/>
                <w:szCs w:val="21"/>
                <w:highlight w:val="none"/>
                <w:lang w:bidi="ar"/>
              </w:rPr>
              <w:t>服务</w:t>
            </w:r>
            <w:r>
              <w:rPr>
                <w:rFonts w:hint="eastAsia" w:ascii="宋体" w:hAnsi="宋体" w:eastAsia="宋体" w:cs="宋体"/>
                <w:color w:val="auto"/>
                <w:kern w:val="0"/>
                <w:sz w:val="21"/>
                <w:szCs w:val="21"/>
                <w:highlight w:val="none"/>
                <w:lang w:bidi="ar"/>
              </w:rPr>
              <w:t>内容的详细程度以及工作流程的严谨性、科学性、可操作性进行打分。</w:t>
            </w:r>
          </w:p>
          <w:p w14:paraId="3FBD5578">
            <w:p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服务内容</w:t>
            </w:r>
            <w:r>
              <w:rPr>
                <w:rFonts w:hint="eastAsia" w:ascii="宋体" w:hAnsi="宋体" w:eastAsia="宋体" w:cs="宋体"/>
                <w:color w:val="auto"/>
                <w:kern w:val="0"/>
                <w:sz w:val="21"/>
                <w:szCs w:val="21"/>
                <w:highlight w:val="none"/>
              </w:rPr>
              <w:t>条理思路清晰、贴合实际、可行性强、有针对性</w:t>
            </w:r>
            <w:r>
              <w:rPr>
                <w:rFonts w:hint="eastAsia" w:ascii="宋体" w:hAnsi="宋体" w:eastAsia="宋体" w:cs="宋体"/>
                <w:color w:val="auto"/>
                <w:kern w:val="0"/>
                <w:sz w:val="21"/>
                <w:szCs w:val="21"/>
                <w:highlight w:val="none"/>
                <w:lang w:bidi="ar"/>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37B1D01A">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服务内容</w:t>
            </w:r>
            <w:r>
              <w:rPr>
                <w:rFonts w:hint="eastAsia" w:ascii="宋体" w:hAnsi="宋体" w:eastAsia="宋体" w:cs="宋体"/>
                <w:color w:val="auto"/>
                <w:sz w:val="21"/>
                <w:szCs w:val="21"/>
                <w:highlight w:val="none"/>
              </w:rPr>
              <w:t>简单、内容不完善，可行性</w:t>
            </w:r>
            <w:r>
              <w:rPr>
                <w:rFonts w:hint="eastAsia" w:ascii="宋体" w:hAnsi="宋体" w:cs="宋体"/>
                <w:color w:val="auto"/>
                <w:sz w:val="21"/>
                <w:szCs w:val="21"/>
                <w:highlight w:val="none"/>
                <w:lang w:val="en-US" w:eastAsia="zh-CN"/>
              </w:rPr>
              <w:t>一般</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4B2906E3">
            <w:pPr>
              <w:widowControl/>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方案内容简略且不明确得1分。</w:t>
            </w:r>
          </w:p>
          <w:p w14:paraId="059A062E">
            <w:pPr>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686" w:type="dxa"/>
            <w:vAlign w:val="center"/>
          </w:tcPr>
          <w:p w14:paraId="28B99D5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14:paraId="7342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89" w:type="dxa"/>
            <w:vMerge w:val="continue"/>
            <w:vAlign w:val="center"/>
          </w:tcPr>
          <w:p w14:paraId="5E844268">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p>
        </w:tc>
        <w:tc>
          <w:tcPr>
            <w:tcW w:w="1187" w:type="dxa"/>
            <w:vMerge w:val="continue"/>
            <w:vAlign w:val="center"/>
          </w:tcPr>
          <w:p w14:paraId="05AC82ED">
            <w:pPr>
              <w:widowControl/>
              <w:jc w:val="center"/>
              <w:rPr>
                <w:rFonts w:hint="eastAsia" w:ascii="宋体" w:hAnsi="宋体" w:eastAsia="宋体" w:cs="宋体"/>
                <w:color w:val="auto"/>
                <w:sz w:val="21"/>
                <w:szCs w:val="21"/>
                <w:highlight w:val="none"/>
              </w:rPr>
            </w:pPr>
          </w:p>
        </w:tc>
        <w:tc>
          <w:tcPr>
            <w:tcW w:w="6889" w:type="dxa"/>
            <w:vAlign w:val="center"/>
          </w:tcPr>
          <w:p w14:paraId="67E006ED">
            <w:pPr>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根据投标人制定的</w:t>
            </w:r>
            <w:r>
              <w:rPr>
                <w:rFonts w:hint="eastAsia" w:ascii="宋体" w:hAnsi="宋体" w:eastAsia="宋体" w:cs="宋体"/>
                <w:b/>
                <w:bCs/>
                <w:color w:val="auto"/>
                <w:kern w:val="0"/>
                <w:sz w:val="21"/>
                <w:szCs w:val="21"/>
                <w:highlight w:val="none"/>
                <w:lang w:bidi="ar"/>
              </w:rPr>
              <w:t>固废规范化</w:t>
            </w:r>
            <w:r>
              <w:rPr>
                <w:rFonts w:hint="eastAsia" w:ascii="宋体" w:hAnsi="宋体" w:cs="宋体"/>
                <w:b/>
                <w:bCs/>
                <w:color w:val="auto"/>
                <w:kern w:val="0"/>
                <w:sz w:val="21"/>
                <w:szCs w:val="21"/>
                <w:highlight w:val="none"/>
                <w:lang w:val="en-US" w:eastAsia="zh-CN" w:bidi="ar"/>
              </w:rPr>
              <w:t>技术</w:t>
            </w:r>
            <w:r>
              <w:rPr>
                <w:rFonts w:hint="eastAsia" w:ascii="宋体" w:hAnsi="宋体" w:eastAsia="宋体" w:cs="宋体"/>
                <w:b/>
                <w:bCs/>
                <w:color w:val="auto"/>
                <w:kern w:val="0"/>
                <w:sz w:val="21"/>
                <w:szCs w:val="21"/>
                <w:highlight w:val="none"/>
                <w:lang w:bidi="ar"/>
              </w:rPr>
              <w:t>服务</w:t>
            </w:r>
            <w:r>
              <w:rPr>
                <w:rFonts w:hint="eastAsia" w:ascii="宋体" w:hAnsi="宋体" w:eastAsia="宋体" w:cs="宋体"/>
                <w:color w:val="auto"/>
                <w:kern w:val="0"/>
                <w:sz w:val="21"/>
                <w:szCs w:val="21"/>
                <w:highlight w:val="none"/>
                <w:lang w:bidi="ar"/>
              </w:rPr>
              <w:t>内容的详细程度以及工作流程的严谨性、科学性、可操作性进行打分。</w:t>
            </w:r>
          </w:p>
          <w:p w14:paraId="2E10096A">
            <w:p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服务内容</w:t>
            </w:r>
            <w:r>
              <w:rPr>
                <w:rFonts w:hint="eastAsia" w:ascii="宋体" w:hAnsi="宋体" w:eastAsia="宋体" w:cs="宋体"/>
                <w:color w:val="auto"/>
                <w:kern w:val="0"/>
                <w:sz w:val="21"/>
                <w:szCs w:val="21"/>
                <w:highlight w:val="none"/>
              </w:rPr>
              <w:t>条理思路清晰、贴合实际、可行性强、有针对性</w:t>
            </w:r>
            <w:r>
              <w:rPr>
                <w:rFonts w:hint="eastAsia" w:ascii="宋体" w:hAnsi="宋体" w:eastAsia="宋体" w:cs="宋体"/>
                <w:color w:val="auto"/>
                <w:kern w:val="0"/>
                <w:sz w:val="21"/>
                <w:szCs w:val="21"/>
                <w:highlight w:val="none"/>
                <w:lang w:bidi="ar"/>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6F85FA37">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服务内容</w:t>
            </w:r>
            <w:r>
              <w:rPr>
                <w:rFonts w:hint="eastAsia" w:ascii="宋体" w:hAnsi="宋体" w:eastAsia="宋体" w:cs="宋体"/>
                <w:color w:val="auto"/>
                <w:sz w:val="21"/>
                <w:szCs w:val="21"/>
                <w:highlight w:val="none"/>
              </w:rPr>
              <w:t>简单、内容不完善，可行性</w:t>
            </w:r>
            <w:r>
              <w:rPr>
                <w:rFonts w:hint="eastAsia" w:ascii="宋体" w:hAnsi="宋体" w:cs="宋体"/>
                <w:color w:val="auto"/>
                <w:sz w:val="21"/>
                <w:szCs w:val="21"/>
                <w:highlight w:val="none"/>
                <w:lang w:val="en-US" w:eastAsia="zh-CN"/>
              </w:rPr>
              <w:t>一般</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57396F76">
            <w:pPr>
              <w:widowControl/>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方案内容简略且不明确得1分。</w:t>
            </w:r>
          </w:p>
          <w:p w14:paraId="08021ED8">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686" w:type="dxa"/>
            <w:vAlign w:val="center"/>
          </w:tcPr>
          <w:p w14:paraId="528583B6">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14:paraId="323C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89" w:type="dxa"/>
            <w:vMerge w:val="continue"/>
            <w:vAlign w:val="center"/>
          </w:tcPr>
          <w:p w14:paraId="1A5444E0">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lang w:val="en-US" w:eastAsia="zh-CN"/>
              </w:rPr>
            </w:pPr>
          </w:p>
        </w:tc>
        <w:tc>
          <w:tcPr>
            <w:tcW w:w="1187" w:type="dxa"/>
            <w:vMerge w:val="continue"/>
            <w:vAlign w:val="center"/>
          </w:tcPr>
          <w:p w14:paraId="154E6422">
            <w:pPr>
              <w:widowControl/>
              <w:jc w:val="center"/>
              <w:rPr>
                <w:rFonts w:hint="eastAsia" w:ascii="宋体" w:hAnsi="宋体" w:eastAsia="宋体" w:cs="宋体"/>
                <w:color w:val="auto"/>
                <w:sz w:val="21"/>
                <w:szCs w:val="21"/>
                <w:highlight w:val="none"/>
                <w:lang w:val="en-US" w:eastAsia="zh-CN"/>
              </w:rPr>
            </w:pPr>
          </w:p>
        </w:tc>
        <w:tc>
          <w:tcPr>
            <w:tcW w:w="6889" w:type="dxa"/>
            <w:vAlign w:val="center"/>
          </w:tcPr>
          <w:p w14:paraId="422F302C">
            <w:pPr>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根据投标人制定的</w:t>
            </w:r>
            <w:r>
              <w:rPr>
                <w:rFonts w:hint="eastAsia" w:ascii="宋体" w:hAnsi="宋体" w:eastAsia="宋体" w:cs="宋体"/>
                <w:b/>
                <w:bCs/>
                <w:color w:val="auto"/>
                <w:kern w:val="0"/>
                <w:sz w:val="21"/>
                <w:szCs w:val="21"/>
                <w:highlight w:val="none"/>
                <w:lang w:bidi="ar"/>
              </w:rPr>
              <w:t>排污许可提质增效服务</w:t>
            </w:r>
            <w:r>
              <w:rPr>
                <w:rFonts w:hint="eastAsia" w:ascii="宋体" w:hAnsi="宋体" w:eastAsia="宋体" w:cs="宋体"/>
                <w:color w:val="auto"/>
                <w:kern w:val="0"/>
                <w:sz w:val="21"/>
                <w:szCs w:val="21"/>
                <w:highlight w:val="none"/>
                <w:lang w:bidi="ar"/>
              </w:rPr>
              <w:t>内容的详细程度以及工作流程的严谨性、科学性、可操作性进行打分。</w:t>
            </w:r>
          </w:p>
          <w:p w14:paraId="02903E63">
            <w:p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服务内容</w:t>
            </w:r>
            <w:r>
              <w:rPr>
                <w:rFonts w:hint="eastAsia" w:ascii="宋体" w:hAnsi="宋体" w:eastAsia="宋体" w:cs="宋体"/>
                <w:color w:val="auto"/>
                <w:kern w:val="0"/>
                <w:sz w:val="21"/>
                <w:szCs w:val="21"/>
                <w:highlight w:val="none"/>
              </w:rPr>
              <w:t>条理思路清晰、贴合实际、可行性强、有针对性</w:t>
            </w:r>
            <w:r>
              <w:rPr>
                <w:rFonts w:hint="eastAsia" w:ascii="宋体" w:hAnsi="宋体" w:eastAsia="宋体" w:cs="宋体"/>
                <w:color w:val="auto"/>
                <w:kern w:val="0"/>
                <w:sz w:val="21"/>
                <w:szCs w:val="21"/>
                <w:highlight w:val="none"/>
                <w:lang w:bidi="ar"/>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05DCE41D">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服务内容</w:t>
            </w:r>
            <w:r>
              <w:rPr>
                <w:rFonts w:hint="eastAsia" w:ascii="宋体" w:hAnsi="宋体" w:eastAsia="宋体" w:cs="宋体"/>
                <w:color w:val="auto"/>
                <w:sz w:val="21"/>
                <w:szCs w:val="21"/>
                <w:highlight w:val="none"/>
              </w:rPr>
              <w:t>简单、内容不完善，可行性</w:t>
            </w:r>
            <w:r>
              <w:rPr>
                <w:rFonts w:hint="eastAsia" w:ascii="宋体" w:hAnsi="宋体" w:cs="宋体"/>
                <w:color w:val="auto"/>
                <w:sz w:val="21"/>
                <w:szCs w:val="21"/>
                <w:highlight w:val="none"/>
                <w:lang w:val="en-US" w:eastAsia="zh-CN"/>
              </w:rPr>
              <w:t>一般</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0B48DC18">
            <w:pPr>
              <w:widowControl/>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方案内容简略且不明确得1分。</w:t>
            </w:r>
          </w:p>
          <w:p w14:paraId="048CA319">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686" w:type="dxa"/>
            <w:vAlign w:val="center"/>
          </w:tcPr>
          <w:p w14:paraId="3BAC87DB">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14:paraId="22996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89" w:type="dxa"/>
            <w:vMerge w:val="continue"/>
            <w:vAlign w:val="center"/>
          </w:tcPr>
          <w:p w14:paraId="7484BCCC">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lang w:val="en-US" w:eastAsia="zh-CN"/>
              </w:rPr>
            </w:pPr>
          </w:p>
        </w:tc>
        <w:tc>
          <w:tcPr>
            <w:tcW w:w="1187" w:type="dxa"/>
            <w:vMerge w:val="continue"/>
            <w:vAlign w:val="center"/>
          </w:tcPr>
          <w:p w14:paraId="124B63B7">
            <w:pPr>
              <w:widowControl/>
              <w:jc w:val="center"/>
              <w:rPr>
                <w:rFonts w:hint="eastAsia" w:ascii="宋体" w:hAnsi="宋体" w:eastAsia="宋体" w:cs="宋体"/>
                <w:color w:val="auto"/>
                <w:sz w:val="21"/>
                <w:szCs w:val="21"/>
                <w:highlight w:val="none"/>
                <w:lang w:val="en-US" w:eastAsia="zh-CN"/>
              </w:rPr>
            </w:pPr>
          </w:p>
        </w:tc>
        <w:tc>
          <w:tcPr>
            <w:tcW w:w="6889" w:type="dxa"/>
            <w:vAlign w:val="center"/>
          </w:tcPr>
          <w:p w14:paraId="6CB30720">
            <w:pPr>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根据投标人制定的</w:t>
            </w:r>
            <w:r>
              <w:rPr>
                <w:rFonts w:hint="eastAsia" w:ascii="宋体" w:hAnsi="宋体" w:cs="宋体"/>
                <w:b/>
                <w:bCs/>
                <w:color w:val="auto"/>
                <w:kern w:val="0"/>
                <w:sz w:val="21"/>
                <w:szCs w:val="21"/>
                <w:highlight w:val="none"/>
                <w:lang w:eastAsia="zh-CN" w:bidi="ar"/>
              </w:rPr>
              <w:t>“</w:t>
            </w:r>
            <w:r>
              <w:rPr>
                <w:rFonts w:hint="eastAsia" w:ascii="宋体" w:hAnsi="宋体" w:cs="宋体"/>
                <w:b/>
                <w:bCs/>
                <w:color w:val="auto"/>
                <w:kern w:val="0"/>
                <w:sz w:val="21"/>
                <w:szCs w:val="21"/>
                <w:highlight w:val="none"/>
                <w:lang w:val="en-US" w:eastAsia="zh-CN" w:bidi="ar"/>
              </w:rPr>
              <w:t>无废细胞</w:t>
            </w:r>
            <w:r>
              <w:rPr>
                <w:rFonts w:hint="eastAsia" w:ascii="宋体" w:hAnsi="宋体" w:cs="宋体"/>
                <w:b/>
                <w:bCs/>
                <w:color w:val="auto"/>
                <w:kern w:val="0"/>
                <w:sz w:val="21"/>
                <w:szCs w:val="21"/>
                <w:highlight w:val="none"/>
                <w:lang w:eastAsia="zh-CN" w:bidi="ar"/>
              </w:rPr>
              <w:t>”</w:t>
            </w:r>
            <w:r>
              <w:rPr>
                <w:rFonts w:hint="eastAsia" w:ascii="宋体" w:hAnsi="宋体" w:cs="宋体"/>
                <w:b/>
                <w:bCs/>
                <w:color w:val="auto"/>
                <w:kern w:val="0"/>
                <w:sz w:val="21"/>
                <w:szCs w:val="21"/>
                <w:highlight w:val="none"/>
                <w:lang w:val="en-US" w:eastAsia="zh-CN" w:bidi="ar"/>
              </w:rPr>
              <w:t>创建技术</w:t>
            </w:r>
            <w:r>
              <w:rPr>
                <w:rFonts w:hint="eastAsia" w:ascii="宋体" w:hAnsi="宋体" w:eastAsia="宋体" w:cs="宋体"/>
                <w:b/>
                <w:bCs/>
                <w:color w:val="auto"/>
                <w:kern w:val="0"/>
                <w:sz w:val="21"/>
                <w:szCs w:val="21"/>
                <w:highlight w:val="none"/>
                <w:lang w:bidi="ar"/>
              </w:rPr>
              <w:t>服务</w:t>
            </w:r>
            <w:r>
              <w:rPr>
                <w:rFonts w:hint="eastAsia" w:ascii="宋体" w:hAnsi="宋体" w:eastAsia="宋体" w:cs="宋体"/>
                <w:color w:val="auto"/>
                <w:kern w:val="0"/>
                <w:sz w:val="21"/>
                <w:szCs w:val="21"/>
                <w:highlight w:val="none"/>
                <w:lang w:bidi="ar"/>
              </w:rPr>
              <w:t>内容的详细程度以及工作流程的严谨性、科学性、可操作性进行打分。</w:t>
            </w:r>
          </w:p>
          <w:p w14:paraId="223466FF">
            <w:p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服务内容</w:t>
            </w:r>
            <w:r>
              <w:rPr>
                <w:rFonts w:hint="eastAsia" w:ascii="宋体" w:hAnsi="宋体" w:eastAsia="宋体" w:cs="宋体"/>
                <w:color w:val="auto"/>
                <w:kern w:val="0"/>
                <w:sz w:val="21"/>
                <w:szCs w:val="21"/>
                <w:highlight w:val="none"/>
              </w:rPr>
              <w:t>条理思路清晰、贴合实际、可行性强、有针对性</w:t>
            </w:r>
            <w:r>
              <w:rPr>
                <w:rFonts w:hint="eastAsia" w:ascii="宋体" w:hAnsi="宋体" w:eastAsia="宋体" w:cs="宋体"/>
                <w:color w:val="auto"/>
                <w:kern w:val="0"/>
                <w:sz w:val="21"/>
                <w:szCs w:val="21"/>
                <w:highlight w:val="none"/>
                <w:lang w:bidi="ar"/>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6E0653DA">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服务内容</w:t>
            </w:r>
            <w:r>
              <w:rPr>
                <w:rFonts w:hint="eastAsia" w:ascii="宋体" w:hAnsi="宋体" w:eastAsia="宋体" w:cs="宋体"/>
                <w:color w:val="auto"/>
                <w:sz w:val="21"/>
                <w:szCs w:val="21"/>
                <w:highlight w:val="none"/>
              </w:rPr>
              <w:t>简单、内容不完善，可行性</w:t>
            </w:r>
            <w:r>
              <w:rPr>
                <w:rFonts w:hint="eastAsia" w:ascii="宋体" w:hAnsi="宋体" w:cs="宋体"/>
                <w:color w:val="auto"/>
                <w:sz w:val="21"/>
                <w:szCs w:val="21"/>
                <w:highlight w:val="none"/>
                <w:lang w:val="en-US" w:eastAsia="zh-CN"/>
              </w:rPr>
              <w:t>一般</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455AFDE1">
            <w:pPr>
              <w:widowControl/>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方案内容简略且不明确得1分。</w:t>
            </w:r>
          </w:p>
          <w:p w14:paraId="31E82D03">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686" w:type="dxa"/>
            <w:vAlign w:val="center"/>
          </w:tcPr>
          <w:p w14:paraId="41D35BDA">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14:paraId="53916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89" w:type="dxa"/>
            <w:vMerge w:val="continue"/>
            <w:vAlign w:val="center"/>
          </w:tcPr>
          <w:p w14:paraId="5D4126CE">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lang w:val="en-US" w:eastAsia="zh-CN"/>
              </w:rPr>
            </w:pPr>
          </w:p>
        </w:tc>
        <w:tc>
          <w:tcPr>
            <w:tcW w:w="1187" w:type="dxa"/>
            <w:vMerge w:val="continue"/>
            <w:vAlign w:val="center"/>
          </w:tcPr>
          <w:p w14:paraId="23CC3892">
            <w:pPr>
              <w:widowControl/>
              <w:jc w:val="center"/>
              <w:rPr>
                <w:rFonts w:hint="eastAsia" w:ascii="宋体" w:hAnsi="宋体" w:eastAsia="宋体" w:cs="宋体"/>
                <w:color w:val="auto"/>
                <w:sz w:val="21"/>
                <w:szCs w:val="21"/>
                <w:highlight w:val="none"/>
                <w:lang w:val="en-US" w:eastAsia="zh-CN"/>
              </w:rPr>
            </w:pPr>
          </w:p>
        </w:tc>
        <w:tc>
          <w:tcPr>
            <w:tcW w:w="6889" w:type="dxa"/>
            <w:vAlign w:val="center"/>
          </w:tcPr>
          <w:p w14:paraId="1F97DDC5">
            <w:pPr>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根据投标人制定的</w:t>
            </w:r>
            <w:r>
              <w:rPr>
                <w:rFonts w:hint="eastAsia" w:ascii="宋体" w:hAnsi="宋体" w:cs="宋体"/>
                <w:b/>
                <w:bCs/>
                <w:color w:val="auto"/>
                <w:kern w:val="0"/>
                <w:sz w:val="21"/>
                <w:szCs w:val="21"/>
                <w:highlight w:val="none"/>
                <w:lang w:val="en-US" w:eastAsia="zh-CN" w:bidi="ar"/>
              </w:rPr>
              <w:t>排污权交易及初始排污权数据审核技术</w:t>
            </w:r>
            <w:r>
              <w:rPr>
                <w:rFonts w:hint="eastAsia" w:ascii="宋体" w:hAnsi="宋体" w:eastAsia="宋体" w:cs="宋体"/>
                <w:b/>
                <w:bCs/>
                <w:color w:val="auto"/>
                <w:kern w:val="0"/>
                <w:sz w:val="21"/>
                <w:szCs w:val="21"/>
                <w:highlight w:val="none"/>
                <w:lang w:bidi="ar"/>
              </w:rPr>
              <w:t>服务</w:t>
            </w:r>
            <w:r>
              <w:rPr>
                <w:rFonts w:hint="eastAsia" w:ascii="宋体" w:hAnsi="宋体" w:eastAsia="宋体" w:cs="宋体"/>
                <w:color w:val="auto"/>
                <w:kern w:val="0"/>
                <w:sz w:val="21"/>
                <w:szCs w:val="21"/>
                <w:highlight w:val="none"/>
                <w:lang w:bidi="ar"/>
              </w:rPr>
              <w:t>内容的详细程度以及工作流程的严谨性、科学性、可操作性进行打分。</w:t>
            </w:r>
          </w:p>
          <w:p w14:paraId="21855B91">
            <w:p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服务内容</w:t>
            </w:r>
            <w:r>
              <w:rPr>
                <w:rFonts w:hint="eastAsia" w:ascii="宋体" w:hAnsi="宋体" w:eastAsia="宋体" w:cs="宋体"/>
                <w:color w:val="auto"/>
                <w:kern w:val="0"/>
                <w:sz w:val="21"/>
                <w:szCs w:val="21"/>
                <w:highlight w:val="none"/>
              </w:rPr>
              <w:t>条理思路清晰、贴合实际、可行性强、有针对性</w:t>
            </w:r>
            <w:r>
              <w:rPr>
                <w:rFonts w:hint="eastAsia" w:ascii="宋体" w:hAnsi="宋体" w:eastAsia="宋体" w:cs="宋体"/>
                <w:color w:val="auto"/>
                <w:kern w:val="0"/>
                <w:sz w:val="21"/>
                <w:szCs w:val="21"/>
                <w:highlight w:val="none"/>
                <w:lang w:bidi="ar"/>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62D6A18C">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服务内容</w:t>
            </w:r>
            <w:r>
              <w:rPr>
                <w:rFonts w:hint="eastAsia" w:ascii="宋体" w:hAnsi="宋体" w:eastAsia="宋体" w:cs="宋体"/>
                <w:color w:val="auto"/>
                <w:sz w:val="21"/>
                <w:szCs w:val="21"/>
                <w:highlight w:val="none"/>
              </w:rPr>
              <w:t>简单、内容不完善，可行性</w:t>
            </w:r>
            <w:r>
              <w:rPr>
                <w:rFonts w:hint="eastAsia" w:ascii="宋体" w:hAnsi="宋体" w:cs="宋体"/>
                <w:color w:val="auto"/>
                <w:sz w:val="21"/>
                <w:szCs w:val="21"/>
                <w:highlight w:val="none"/>
                <w:lang w:val="en-US" w:eastAsia="zh-CN"/>
              </w:rPr>
              <w:t>一般</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1BC929F4">
            <w:pPr>
              <w:widowControl/>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方案内容简略且不明确得1分。</w:t>
            </w:r>
          </w:p>
          <w:p w14:paraId="2259CF96">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686" w:type="dxa"/>
            <w:vAlign w:val="center"/>
          </w:tcPr>
          <w:p w14:paraId="2CD80A0D">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r>
      <w:tr w14:paraId="4753A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89" w:type="dxa"/>
            <w:vMerge w:val="continue"/>
            <w:vAlign w:val="center"/>
          </w:tcPr>
          <w:p w14:paraId="7BDD5320">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lang w:val="en-US" w:eastAsia="zh-CN"/>
              </w:rPr>
            </w:pPr>
          </w:p>
        </w:tc>
        <w:tc>
          <w:tcPr>
            <w:tcW w:w="1187" w:type="dxa"/>
            <w:vMerge w:val="continue"/>
            <w:vAlign w:val="center"/>
          </w:tcPr>
          <w:p w14:paraId="79747D65">
            <w:pPr>
              <w:widowControl/>
              <w:jc w:val="center"/>
              <w:rPr>
                <w:rFonts w:hint="eastAsia" w:ascii="宋体" w:hAnsi="宋体" w:eastAsia="宋体" w:cs="宋体"/>
                <w:color w:val="auto"/>
                <w:sz w:val="21"/>
                <w:szCs w:val="21"/>
                <w:highlight w:val="none"/>
                <w:lang w:val="en-US" w:eastAsia="zh-CN"/>
              </w:rPr>
            </w:pPr>
          </w:p>
        </w:tc>
        <w:tc>
          <w:tcPr>
            <w:tcW w:w="6889" w:type="dxa"/>
            <w:vAlign w:val="center"/>
          </w:tcPr>
          <w:p w14:paraId="723E84C4">
            <w:pPr>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根据投标人制定的</w:t>
            </w:r>
            <w:r>
              <w:rPr>
                <w:rFonts w:hint="eastAsia" w:ascii="宋体" w:hAnsi="宋体" w:cs="宋体"/>
                <w:b/>
                <w:bCs/>
                <w:color w:val="auto"/>
                <w:kern w:val="0"/>
                <w:sz w:val="21"/>
                <w:szCs w:val="21"/>
                <w:highlight w:val="none"/>
                <w:lang w:val="en-US" w:eastAsia="zh-CN" w:bidi="ar"/>
              </w:rPr>
              <w:t>排污登记延续、变更技术</w:t>
            </w:r>
            <w:r>
              <w:rPr>
                <w:rFonts w:hint="eastAsia" w:ascii="宋体" w:hAnsi="宋体" w:eastAsia="宋体" w:cs="宋体"/>
                <w:b/>
                <w:bCs/>
                <w:color w:val="auto"/>
                <w:kern w:val="0"/>
                <w:sz w:val="21"/>
                <w:szCs w:val="21"/>
                <w:highlight w:val="none"/>
                <w:lang w:bidi="ar"/>
              </w:rPr>
              <w:t>服务</w:t>
            </w:r>
            <w:r>
              <w:rPr>
                <w:rFonts w:hint="eastAsia" w:ascii="宋体" w:hAnsi="宋体" w:eastAsia="宋体" w:cs="宋体"/>
                <w:color w:val="auto"/>
                <w:kern w:val="0"/>
                <w:sz w:val="21"/>
                <w:szCs w:val="21"/>
                <w:highlight w:val="none"/>
                <w:lang w:bidi="ar"/>
              </w:rPr>
              <w:t>内容的详细程度以及工作流程的严谨性、科学性、可操作性进行打分。</w:t>
            </w:r>
          </w:p>
          <w:p w14:paraId="34977B35">
            <w:p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服务内容</w:t>
            </w:r>
            <w:r>
              <w:rPr>
                <w:rFonts w:hint="eastAsia" w:ascii="宋体" w:hAnsi="宋体" w:eastAsia="宋体" w:cs="宋体"/>
                <w:color w:val="auto"/>
                <w:kern w:val="0"/>
                <w:sz w:val="21"/>
                <w:szCs w:val="21"/>
                <w:highlight w:val="none"/>
              </w:rPr>
              <w:t>条理思路清晰、贴合实际、可行性强、有针对性</w:t>
            </w:r>
            <w:r>
              <w:rPr>
                <w:rFonts w:hint="eastAsia" w:ascii="宋体" w:hAnsi="宋体" w:eastAsia="宋体" w:cs="宋体"/>
                <w:color w:val="auto"/>
                <w:kern w:val="0"/>
                <w:sz w:val="21"/>
                <w:szCs w:val="21"/>
                <w:highlight w:val="none"/>
                <w:lang w:bidi="ar"/>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77FF1984">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服务内容</w:t>
            </w:r>
            <w:r>
              <w:rPr>
                <w:rFonts w:hint="eastAsia" w:ascii="宋体" w:hAnsi="宋体" w:eastAsia="宋体" w:cs="宋体"/>
                <w:color w:val="auto"/>
                <w:sz w:val="21"/>
                <w:szCs w:val="21"/>
                <w:highlight w:val="none"/>
              </w:rPr>
              <w:t>简单、内容不完善，可行性</w:t>
            </w:r>
            <w:r>
              <w:rPr>
                <w:rFonts w:hint="eastAsia" w:ascii="宋体" w:hAnsi="宋体" w:cs="宋体"/>
                <w:color w:val="auto"/>
                <w:sz w:val="21"/>
                <w:szCs w:val="21"/>
                <w:highlight w:val="none"/>
                <w:lang w:val="en-US" w:eastAsia="zh-CN"/>
              </w:rPr>
              <w:t>一般</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43291C4F">
            <w:pPr>
              <w:widowControl/>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方案内容简略且不明确得1分。</w:t>
            </w:r>
          </w:p>
          <w:p w14:paraId="390F8F9A">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686" w:type="dxa"/>
            <w:vAlign w:val="center"/>
          </w:tcPr>
          <w:p w14:paraId="486B9520">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r>
      <w:tr w14:paraId="6FB3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89" w:type="dxa"/>
            <w:vMerge w:val="continue"/>
            <w:vAlign w:val="center"/>
          </w:tcPr>
          <w:p w14:paraId="58B0CB5C">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lang w:val="en-US" w:eastAsia="zh-CN"/>
              </w:rPr>
            </w:pPr>
          </w:p>
        </w:tc>
        <w:tc>
          <w:tcPr>
            <w:tcW w:w="1187" w:type="dxa"/>
            <w:vMerge w:val="continue"/>
            <w:vAlign w:val="center"/>
          </w:tcPr>
          <w:p w14:paraId="374A9ECE">
            <w:pPr>
              <w:widowControl/>
              <w:jc w:val="center"/>
              <w:rPr>
                <w:rFonts w:hint="eastAsia" w:ascii="宋体" w:hAnsi="宋体" w:eastAsia="宋体" w:cs="宋体"/>
                <w:color w:val="auto"/>
                <w:sz w:val="21"/>
                <w:szCs w:val="21"/>
                <w:highlight w:val="none"/>
                <w:lang w:val="en-US" w:eastAsia="zh-CN"/>
              </w:rPr>
            </w:pPr>
          </w:p>
        </w:tc>
        <w:tc>
          <w:tcPr>
            <w:tcW w:w="6889" w:type="dxa"/>
            <w:vAlign w:val="center"/>
          </w:tcPr>
          <w:p w14:paraId="7506E08A">
            <w:pPr>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根据投标人制定的</w:t>
            </w:r>
            <w:r>
              <w:rPr>
                <w:rFonts w:hint="eastAsia" w:ascii="宋体" w:hAnsi="宋体" w:cs="宋体"/>
                <w:b/>
                <w:bCs/>
                <w:color w:val="auto"/>
                <w:kern w:val="0"/>
                <w:sz w:val="21"/>
                <w:szCs w:val="21"/>
                <w:highlight w:val="none"/>
                <w:lang w:val="en-US" w:eastAsia="zh-CN" w:bidi="ar"/>
              </w:rPr>
              <w:t>系列督察整改复核及其他相关交办问题技术</w:t>
            </w:r>
            <w:r>
              <w:rPr>
                <w:rFonts w:hint="eastAsia" w:ascii="宋体" w:hAnsi="宋体" w:eastAsia="宋体" w:cs="宋体"/>
                <w:b/>
                <w:bCs/>
                <w:color w:val="auto"/>
                <w:kern w:val="0"/>
                <w:sz w:val="21"/>
                <w:szCs w:val="21"/>
                <w:highlight w:val="none"/>
                <w:lang w:bidi="ar"/>
              </w:rPr>
              <w:t>服务</w:t>
            </w:r>
            <w:r>
              <w:rPr>
                <w:rFonts w:hint="eastAsia" w:ascii="宋体" w:hAnsi="宋体" w:eastAsia="宋体" w:cs="宋体"/>
                <w:color w:val="auto"/>
                <w:kern w:val="0"/>
                <w:sz w:val="21"/>
                <w:szCs w:val="21"/>
                <w:highlight w:val="none"/>
                <w:lang w:bidi="ar"/>
              </w:rPr>
              <w:t>内容的详细程度以及工作流程的严谨性、科学性、可操作性进行打分。</w:t>
            </w:r>
          </w:p>
          <w:p w14:paraId="1745FFA8">
            <w:p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服务内容</w:t>
            </w:r>
            <w:r>
              <w:rPr>
                <w:rFonts w:hint="eastAsia" w:ascii="宋体" w:hAnsi="宋体" w:eastAsia="宋体" w:cs="宋体"/>
                <w:color w:val="auto"/>
                <w:kern w:val="0"/>
                <w:sz w:val="21"/>
                <w:szCs w:val="21"/>
                <w:highlight w:val="none"/>
              </w:rPr>
              <w:t>条理思路清晰、贴合实际、可行性强、有针对性</w:t>
            </w:r>
            <w:r>
              <w:rPr>
                <w:rFonts w:hint="eastAsia" w:ascii="宋体" w:hAnsi="宋体" w:eastAsia="宋体" w:cs="宋体"/>
                <w:color w:val="auto"/>
                <w:kern w:val="0"/>
                <w:sz w:val="21"/>
                <w:szCs w:val="21"/>
                <w:highlight w:val="none"/>
                <w:lang w:bidi="ar"/>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1C722DD3">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服务内容</w:t>
            </w:r>
            <w:r>
              <w:rPr>
                <w:rFonts w:hint="eastAsia" w:ascii="宋体" w:hAnsi="宋体" w:eastAsia="宋体" w:cs="宋体"/>
                <w:color w:val="auto"/>
                <w:sz w:val="21"/>
                <w:szCs w:val="21"/>
                <w:highlight w:val="none"/>
              </w:rPr>
              <w:t>简单、内容不完善，可行性</w:t>
            </w:r>
            <w:r>
              <w:rPr>
                <w:rFonts w:hint="eastAsia" w:ascii="宋体" w:hAnsi="宋体" w:cs="宋体"/>
                <w:color w:val="auto"/>
                <w:sz w:val="21"/>
                <w:szCs w:val="21"/>
                <w:highlight w:val="none"/>
                <w:lang w:val="en-US" w:eastAsia="zh-CN"/>
              </w:rPr>
              <w:t>一般</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22300290">
            <w:pPr>
              <w:widowControl/>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方案内容简略且不明确得1分。</w:t>
            </w:r>
          </w:p>
          <w:p w14:paraId="5F1061FC">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686" w:type="dxa"/>
            <w:vAlign w:val="center"/>
          </w:tcPr>
          <w:p w14:paraId="0768E2C9">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14:paraId="6D43B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89" w:type="dxa"/>
            <w:vMerge w:val="continue"/>
            <w:vAlign w:val="center"/>
          </w:tcPr>
          <w:p w14:paraId="3FBDD070">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lang w:val="en-US" w:eastAsia="zh-CN"/>
              </w:rPr>
            </w:pPr>
          </w:p>
        </w:tc>
        <w:tc>
          <w:tcPr>
            <w:tcW w:w="1187" w:type="dxa"/>
            <w:vMerge w:val="continue"/>
            <w:vAlign w:val="center"/>
          </w:tcPr>
          <w:p w14:paraId="241021A9">
            <w:pPr>
              <w:widowControl/>
              <w:jc w:val="center"/>
              <w:rPr>
                <w:rFonts w:hint="eastAsia" w:ascii="宋体" w:hAnsi="宋体" w:eastAsia="宋体" w:cs="宋体"/>
                <w:color w:val="auto"/>
                <w:sz w:val="21"/>
                <w:szCs w:val="21"/>
                <w:highlight w:val="none"/>
                <w:lang w:val="en-US" w:eastAsia="zh-CN"/>
              </w:rPr>
            </w:pPr>
          </w:p>
        </w:tc>
        <w:tc>
          <w:tcPr>
            <w:tcW w:w="6889" w:type="dxa"/>
            <w:vAlign w:val="center"/>
          </w:tcPr>
          <w:p w14:paraId="2D9A8005">
            <w:pPr>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根据投标人制定的</w:t>
            </w:r>
            <w:r>
              <w:rPr>
                <w:rFonts w:hint="eastAsia" w:ascii="宋体" w:hAnsi="宋体" w:cs="宋体"/>
                <w:b/>
                <w:bCs/>
                <w:color w:val="auto"/>
                <w:kern w:val="0"/>
                <w:sz w:val="21"/>
                <w:szCs w:val="21"/>
                <w:highlight w:val="none"/>
                <w:lang w:val="en-US" w:eastAsia="zh-CN" w:bidi="ar"/>
              </w:rPr>
              <w:t>温室气体排放报告审核</w:t>
            </w:r>
            <w:r>
              <w:rPr>
                <w:rFonts w:hint="eastAsia" w:ascii="宋体" w:hAnsi="宋体" w:eastAsia="宋体" w:cs="宋体"/>
                <w:b/>
                <w:bCs/>
                <w:color w:val="auto"/>
                <w:kern w:val="0"/>
                <w:sz w:val="21"/>
                <w:szCs w:val="21"/>
                <w:highlight w:val="none"/>
                <w:lang w:bidi="ar"/>
              </w:rPr>
              <w:t>服务</w:t>
            </w:r>
            <w:r>
              <w:rPr>
                <w:rFonts w:hint="eastAsia" w:ascii="宋体" w:hAnsi="宋体" w:eastAsia="宋体" w:cs="宋体"/>
                <w:color w:val="auto"/>
                <w:kern w:val="0"/>
                <w:sz w:val="21"/>
                <w:szCs w:val="21"/>
                <w:highlight w:val="none"/>
                <w:lang w:bidi="ar"/>
              </w:rPr>
              <w:t>内容的详细程度以及工作流程的严谨性、科学性、可操作性进行打分。</w:t>
            </w:r>
          </w:p>
          <w:p w14:paraId="10A4CDED">
            <w:p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服务内容</w:t>
            </w:r>
            <w:r>
              <w:rPr>
                <w:rFonts w:hint="eastAsia" w:ascii="宋体" w:hAnsi="宋体" w:eastAsia="宋体" w:cs="宋体"/>
                <w:color w:val="auto"/>
                <w:kern w:val="0"/>
                <w:sz w:val="21"/>
                <w:szCs w:val="21"/>
                <w:highlight w:val="none"/>
              </w:rPr>
              <w:t>条理思路清晰、贴合实际、可行性强、有针对性</w:t>
            </w:r>
            <w:r>
              <w:rPr>
                <w:rFonts w:hint="eastAsia" w:ascii="宋体" w:hAnsi="宋体" w:eastAsia="宋体" w:cs="宋体"/>
                <w:color w:val="auto"/>
                <w:kern w:val="0"/>
                <w:sz w:val="21"/>
                <w:szCs w:val="21"/>
                <w:highlight w:val="none"/>
                <w:lang w:bidi="ar"/>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7609D620">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服务内容</w:t>
            </w:r>
            <w:r>
              <w:rPr>
                <w:rFonts w:hint="eastAsia" w:ascii="宋体" w:hAnsi="宋体" w:eastAsia="宋体" w:cs="宋体"/>
                <w:color w:val="auto"/>
                <w:sz w:val="21"/>
                <w:szCs w:val="21"/>
                <w:highlight w:val="none"/>
              </w:rPr>
              <w:t>简单、内容不完善，可行性</w:t>
            </w:r>
            <w:r>
              <w:rPr>
                <w:rFonts w:hint="eastAsia" w:ascii="宋体" w:hAnsi="宋体" w:cs="宋体"/>
                <w:color w:val="auto"/>
                <w:sz w:val="21"/>
                <w:szCs w:val="21"/>
                <w:highlight w:val="none"/>
                <w:lang w:val="en-US" w:eastAsia="zh-CN"/>
              </w:rPr>
              <w:t>一般</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38D97C68">
            <w:pPr>
              <w:widowControl/>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方案内容简略且不明确得1分。</w:t>
            </w:r>
          </w:p>
          <w:p w14:paraId="09BA25A4">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686" w:type="dxa"/>
            <w:vAlign w:val="center"/>
          </w:tcPr>
          <w:p w14:paraId="0C1F929E">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r>
      <w:tr w14:paraId="4F266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89" w:type="dxa"/>
            <w:vMerge w:val="continue"/>
            <w:vAlign w:val="center"/>
          </w:tcPr>
          <w:p w14:paraId="713D71DA">
            <w:pPr>
              <w:pStyle w:val="58"/>
              <w:keepNext w:val="0"/>
              <w:keepLines w:val="0"/>
              <w:pageBreakBefore w:val="0"/>
              <w:widowControl/>
              <w:kinsoku/>
              <w:wordWrap/>
              <w:overflowPunct/>
              <w:topLinePunct w:val="0"/>
              <w:autoSpaceDE/>
              <w:autoSpaceDN/>
              <w:bidi w:val="0"/>
              <w:adjustRightInd/>
              <w:snapToGrid/>
              <w:spacing w:before="0" w:after="0"/>
              <w:jc w:val="left"/>
              <w:textAlignment w:val="auto"/>
              <w:rPr>
                <w:rFonts w:hint="eastAsia" w:ascii="宋体" w:hAnsi="宋体" w:eastAsia="宋体" w:cs="宋体"/>
                <w:color w:val="auto"/>
                <w:sz w:val="21"/>
                <w:szCs w:val="21"/>
                <w:highlight w:val="none"/>
              </w:rPr>
            </w:pPr>
          </w:p>
        </w:tc>
        <w:tc>
          <w:tcPr>
            <w:tcW w:w="1187" w:type="dxa"/>
            <w:vAlign w:val="center"/>
          </w:tcPr>
          <w:p w14:paraId="3F829BE4">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运营管理</w:t>
            </w:r>
          </w:p>
        </w:tc>
        <w:tc>
          <w:tcPr>
            <w:tcW w:w="6889" w:type="dxa"/>
            <w:shd w:val="clear" w:color="auto" w:fill="auto"/>
            <w:vAlign w:val="center"/>
          </w:tcPr>
          <w:p w14:paraId="7EF1B18C">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根据投标人针对本项目建立的工作制度、廉洁纪律管理制度及闭环管理机制进行打分。</w:t>
            </w:r>
          </w:p>
          <w:p w14:paraId="659EF6C9">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工作制度、廉洁纪律管理制度及闭环管理机制完善有可行性的得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7CCB2349">
            <w:pPr>
              <w:widowControl/>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工作制度、廉洁纪律管理制度及闭环管理机制不完善，可行性</w:t>
            </w:r>
            <w:r>
              <w:rPr>
                <w:rFonts w:hint="eastAsia" w:ascii="宋体" w:hAnsi="宋体" w:eastAsia="宋体" w:cs="宋体"/>
                <w:color w:val="auto"/>
                <w:sz w:val="21"/>
                <w:szCs w:val="21"/>
                <w:highlight w:val="none"/>
                <w:lang w:val="en-US" w:eastAsia="zh-CN"/>
              </w:rPr>
              <w:t>一般</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22270702">
            <w:pPr>
              <w:widowControl/>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方案内容简略且不明确得1分；</w:t>
            </w:r>
          </w:p>
          <w:p w14:paraId="39F0549B">
            <w:pPr>
              <w:widowControl/>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未提及此项不得分</w:t>
            </w:r>
            <w:r>
              <w:rPr>
                <w:rFonts w:hint="eastAsia" w:ascii="宋体" w:hAnsi="宋体" w:eastAsia="宋体" w:cs="宋体"/>
                <w:color w:val="auto"/>
                <w:sz w:val="21"/>
                <w:szCs w:val="21"/>
                <w:highlight w:val="none"/>
              </w:rPr>
              <w:t>。</w:t>
            </w:r>
          </w:p>
        </w:tc>
        <w:tc>
          <w:tcPr>
            <w:tcW w:w="686" w:type="dxa"/>
            <w:shd w:val="clear" w:color="auto" w:fill="auto"/>
            <w:vAlign w:val="center"/>
          </w:tcPr>
          <w:p w14:paraId="20FDA81B">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r>
      <w:tr w14:paraId="551C6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9" w:type="dxa"/>
            <w:vMerge w:val="continue"/>
            <w:vAlign w:val="center"/>
          </w:tcPr>
          <w:p w14:paraId="54B56FED">
            <w:pPr>
              <w:pStyle w:val="58"/>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eastAsia="宋体" w:cs="宋体"/>
                <w:color w:val="auto"/>
                <w:kern w:val="0"/>
                <w:sz w:val="21"/>
                <w:szCs w:val="21"/>
                <w:highlight w:val="none"/>
              </w:rPr>
            </w:pPr>
          </w:p>
        </w:tc>
        <w:tc>
          <w:tcPr>
            <w:tcW w:w="1187" w:type="dxa"/>
            <w:shd w:val="clear" w:color="auto" w:fill="auto"/>
            <w:vAlign w:val="center"/>
          </w:tcPr>
          <w:p w14:paraId="2F9151C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技术服务装备情况</w:t>
            </w:r>
          </w:p>
        </w:tc>
        <w:tc>
          <w:tcPr>
            <w:tcW w:w="6889" w:type="dxa"/>
            <w:shd w:val="clear" w:color="auto" w:fill="auto"/>
            <w:vAlign w:val="center"/>
          </w:tcPr>
          <w:p w14:paraId="6DCF3F0C">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投标人提供拟投入本项目的VOCs检测仪</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大气移动监测仪等设备，每提供1项得</w:t>
            </w:r>
            <w:r>
              <w:rPr>
                <w:rFonts w:hint="eastAsia" w:ascii="宋体" w:hAnsi="宋体" w:cs="宋体"/>
                <w:color w:val="auto"/>
                <w:kern w:val="0"/>
                <w:sz w:val="21"/>
                <w:szCs w:val="21"/>
                <w:highlight w:val="none"/>
                <w:lang w:val="en-US" w:eastAsia="zh-CN" w:bidi="ar"/>
              </w:rPr>
              <w:t>0.5</w:t>
            </w:r>
            <w:r>
              <w:rPr>
                <w:rFonts w:hint="eastAsia" w:ascii="宋体" w:hAnsi="宋体" w:eastAsia="宋体" w:cs="宋体"/>
                <w:color w:val="auto"/>
                <w:kern w:val="0"/>
                <w:sz w:val="21"/>
                <w:szCs w:val="21"/>
                <w:highlight w:val="none"/>
                <w:lang w:bidi="ar"/>
              </w:rPr>
              <w:t>分，最高得</w:t>
            </w:r>
            <w:r>
              <w:rPr>
                <w:rFonts w:hint="eastAsia" w:ascii="宋体" w:hAnsi="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分。</w:t>
            </w:r>
          </w:p>
          <w:p w14:paraId="1F5CD07E">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zh-CN"/>
              </w:rPr>
              <w:t>（</w:t>
            </w:r>
            <w:r>
              <w:rPr>
                <w:rFonts w:hint="eastAsia" w:ascii="宋体" w:hAnsi="宋体" w:eastAsia="宋体" w:cs="宋体"/>
                <w:b/>
                <w:bCs/>
                <w:color w:val="auto"/>
                <w:sz w:val="21"/>
                <w:szCs w:val="21"/>
                <w:highlight w:val="none"/>
                <w:lang w:val="en-US" w:eastAsia="zh-CN"/>
              </w:rPr>
              <w:t>如为自有</w:t>
            </w:r>
            <w:r>
              <w:rPr>
                <w:rFonts w:hint="eastAsia" w:ascii="宋体" w:hAnsi="宋体" w:eastAsia="宋体" w:cs="宋体"/>
                <w:b/>
                <w:bCs/>
                <w:color w:val="auto"/>
                <w:sz w:val="21"/>
                <w:szCs w:val="21"/>
                <w:highlight w:val="none"/>
                <w:lang w:val="zh-CN"/>
              </w:rPr>
              <w:t>设备：须提供购置合同或发票的扫描件加盖投标人公章编入投标文件中；</w:t>
            </w:r>
            <w:r>
              <w:rPr>
                <w:rFonts w:hint="eastAsia" w:ascii="宋体" w:hAnsi="宋体" w:eastAsia="宋体" w:cs="宋体"/>
                <w:b/>
                <w:bCs/>
                <w:color w:val="auto"/>
                <w:sz w:val="21"/>
                <w:szCs w:val="21"/>
                <w:highlight w:val="none"/>
                <w:lang w:val="en-US" w:eastAsia="zh-CN"/>
              </w:rPr>
              <w:t>如为</w:t>
            </w:r>
            <w:r>
              <w:rPr>
                <w:rFonts w:hint="eastAsia" w:ascii="宋体" w:hAnsi="宋体" w:eastAsia="宋体" w:cs="宋体"/>
                <w:b/>
                <w:bCs/>
                <w:color w:val="auto"/>
                <w:sz w:val="21"/>
                <w:szCs w:val="21"/>
                <w:highlight w:val="none"/>
                <w:lang w:val="zh-CN"/>
              </w:rPr>
              <w:t>租赁设备须提供租赁合同扫描件加盖投标人公章编入投标文件中，未提供的不得分）</w:t>
            </w:r>
          </w:p>
        </w:tc>
        <w:tc>
          <w:tcPr>
            <w:tcW w:w="686" w:type="dxa"/>
            <w:shd w:val="clear" w:color="auto" w:fill="auto"/>
            <w:vAlign w:val="center"/>
          </w:tcPr>
          <w:p w14:paraId="1267B01A">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bidi="ar"/>
              </w:rPr>
              <w:t>1</w:t>
            </w:r>
          </w:p>
        </w:tc>
      </w:tr>
      <w:tr w14:paraId="465F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9" w:type="dxa"/>
            <w:vMerge w:val="continue"/>
            <w:vAlign w:val="center"/>
          </w:tcPr>
          <w:p w14:paraId="39B74C2F">
            <w:pPr>
              <w:pStyle w:val="58"/>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eastAsia="宋体" w:cs="宋体"/>
                <w:color w:val="auto"/>
                <w:kern w:val="0"/>
                <w:sz w:val="21"/>
                <w:szCs w:val="21"/>
                <w:highlight w:val="none"/>
              </w:rPr>
            </w:pPr>
          </w:p>
        </w:tc>
        <w:tc>
          <w:tcPr>
            <w:tcW w:w="1187" w:type="dxa"/>
            <w:shd w:val="clear" w:color="auto" w:fill="auto"/>
            <w:vAlign w:val="center"/>
          </w:tcPr>
          <w:p w14:paraId="1850241C">
            <w:pPr>
              <w:widowControl/>
              <w:autoSpaceDE w:val="0"/>
              <w:autoSpaceDN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rPr>
              <w:t>保密制度</w:t>
            </w:r>
          </w:p>
        </w:tc>
        <w:tc>
          <w:tcPr>
            <w:tcW w:w="6889" w:type="dxa"/>
            <w:shd w:val="clear" w:color="auto" w:fill="auto"/>
            <w:vAlign w:val="center"/>
          </w:tcPr>
          <w:p w14:paraId="60D069B4">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根据投标人针对本项目工作制定的档案管理制度，包括是否有具体保密措施，使得工作中的档案资料等不被泄露等情况进行打分。</w:t>
            </w:r>
          </w:p>
          <w:p w14:paraId="4310EEE3">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保密制度完善，具体可行的得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0F639383">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保密制度基本完善可行的得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0485D1F1">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保密制度较差的得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6BC345E0">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686" w:type="dxa"/>
            <w:shd w:val="clear" w:color="auto" w:fill="auto"/>
            <w:vAlign w:val="center"/>
          </w:tcPr>
          <w:p w14:paraId="434E52F9">
            <w:pPr>
              <w:pStyle w:val="20"/>
              <w:widowControl/>
              <w:spacing w:after="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r>
      <w:tr w14:paraId="018D5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989" w:type="dxa"/>
            <w:vMerge w:val="continue"/>
            <w:vAlign w:val="center"/>
          </w:tcPr>
          <w:p w14:paraId="05A4C786">
            <w:pPr>
              <w:pStyle w:val="58"/>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eastAsia="宋体" w:cs="宋体"/>
                <w:color w:val="auto"/>
                <w:kern w:val="0"/>
                <w:sz w:val="21"/>
                <w:szCs w:val="21"/>
                <w:highlight w:val="none"/>
              </w:rPr>
            </w:pPr>
          </w:p>
        </w:tc>
        <w:tc>
          <w:tcPr>
            <w:tcW w:w="1187" w:type="dxa"/>
            <w:shd w:val="clear" w:color="auto" w:fill="auto"/>
            <w:vAlign w:val="center"/>
          </w:tcPr>
          <w:p w14:paraId="31FA1866">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服务质量保证措施</w:t>
            </w:r>
          </w:p>
        </w:tc>
        <w:tc>
          <w:tcPr>
            <w:tcW w:w="6889" w:type="dxa"/>
            <w:shd w:val="clear" w:color="auto" w:fill="auto"/>
            <w:vAlign w:val="center"/>
          </w:tcPr>
          <w:p w14:paraId="7A24DC49">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根据投标人针对本项目制定的服务质量保证制度建设情况的完善性、保障性、可行性等进行打分。</w:t>
            </w:r>
          </w:p>
          <w:p w14:paraId="601BE754">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服务质量保证措施全面、科学合理、具有规范性、可操作性强的得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0C70E3AB">
            <w:pPr>
              <w:widowControl/>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服务质量保证措施较为全面、基本合理、具有一定可操作性的得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0E31EC5D">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方案内容简略且不明确得1分。</w:t>
            </w:r>
          </w:p>
          <w:p w14:paraId="7EEDB0E2">
            <w:pPr>
              <w:widowControl/>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未提及此项不得分。</w:t>
            </w:r>
          </w:p>
        </w:tc>
        <w:tc>
          <w:tcPr>
            <w:tcW w:w="686" w:type="dxa"/>
            <w:shd w:val="clear" w:color="auto" w:fill="auto"/>
            <w:vAlign w:val="center"/>
          </w:tcPr>
          <w:p w14:paraId="376FFA0C">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bidi="ar"/>
              </w:rPr>
              <w:t>3</w:t>
            </w:r>
          </w:p>
        </w:tc>
      </w:tr>
      <w:tr w14:paraId="661E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176" w:type="dxa"/>
            <w:gridSpan w:val="2"/>
            <w:vAlign w:val="center"/>
          </w:tcPr>
          <w:p w14:paraId="429924C2">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56"/>
                <w:rFonts w:hint="eastAsia" w:ascii="宋体" w:hAnsi="宋体" w:eastAsia="宋体" w:cs="宋体"/>
                <w:color w:val="auto"/>
                <w:kern w:val="0"/>
                <w:sz w:val="21"/>
                <w:szCs w:val="21"/>
                <w:highlight w:val="none"/>
              </w:rPr>
            </w:pPr>
            <w:r>
              <w:rPr>
                <w:rStyle w:val="56"/>
                <w:rFonts w:hint="eastAsia" w:ascii="宋体" w:hAnsi="宋体" w:eastAsia="宋体" w:cs="宋体"/>
                <w:color w:val="auto"/>
                <w:kern w:val="0"/>
                <w:sz w:val="21"/>
                <w:szCs w:val="21"/>
                <w:highlight w:val="none"/>
              </w:rPr>
              <w:t>价格</w:t>
            </w:r>
          </w:p>
          <w:p w14:paraId="672FA34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Style w:val="56"/>
                <w:rFonts w:hint="eastAsia" w:ascii="宋体" w:hAnsi="宋体" w:eastAsia="宋体" w:cs="宋体"/>
                <w:color w:val="auto"/>
                <w:kern w:val="0"/>
                <w:sz w:val="21"/>
                <w:szCs w:val="21"/>
                <w:highlight w:val="none"/>
              </w:rPr>
              <w:t>（</w:t>
            </w:r>
            <w:r>
              <w:rPr>
                <w:rStyle w:val="56"/>
                <w:rFonts w:hint="eastAsia" w:ascii="宋体" w:hAnsi="宋体" w:eastAsia="宋体" w:cs="宋体"/>
                <w:color w:val="auto"/>
                <w:kern w:val="0"/>
                <w:sz w:val="21"/>
                <w:szCs w:val="21"/>
                <w:highlight w:val="none"/>
                <w:lang w:val="en-US" w:eastAsia="zh-CN"/>
              </w:rPr>
              <w:t>2</w:t>
            </w:r>
            <w:r>
              <w:rPr>
                <w:rStyle w:val="56"/>
                <w:rFonts w:hint="eastAsia" w:ascii="宋体" w:hAnsi="宋体" w:eastAsia="宋体" w:cs="宋体"/>
                <w:color w:val="auto"/>
                <w:kern w:val="0"/>
                <w:sz w:val="21"/>
                <w:szCs w:val="21"/>
                <w:highlight w:val="none"/>
              </w:rPr>
              <w:t>0分）</w:t>
            </w:r>
          </w:p>
        </w:tc>
        <w:tc>
          <w:tcPr>
            <w:tcW w:w="6889" w:type="dxa"/>
            <w:vAlign w:val="center"/>
          </w:tcPr>
          <w:p w14:paraId="44E7D1C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取投标合格</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的投标最终报价</w:t>
            </w:r>
            <w:r>
              <w:rPr>
                <w:rFonts w:hint="eastAsia" w:ascii="宋体" w:hAnsi="宋体" w:eastAsia="宋体" w:cs="宋体"/>
                <w:color w:val="auto"/>
                <w:sz w:val="21"/>
                <w:szCs w:val="21"/>
                <w:highlight w:val="none"/>
                <w:lang w:val="en-US" w:eastAsia="zh-CN"/>
              </w:rPr>
              <w:t>中的</w:t>
            </w:r>
            <w:r>
              <w:rPr>
                <w:rFonts w:hint="eastAsia" w:ascii="宋体" w:hAnsi="宋体" w:eastAsia="宋体" w:cs="宋体"/>
                <w:color w:val="auto"/>
                <w:sz w:val="21"/>
                <w:szCs w:val="21"/>
                <w:highlight w:val="none"/>
              </w:rPr>
              <w:t>最低价</w:t>
            </w:r>
            <w:r>
              <w:rPr>
                <w:rFonts w:hint="eastAsia" w:ascii="宋体" w:hAnsi="宋体" w:eastAsia="宋体" w:cs="宋体"/>
                <w:color w:val="auto"/>
                <w:sz w:val="21"/>
                <w:szCs w:val="21"/>
                <w:highlight w:val="none"/>
                <w:lang w:val="zh-CN"/>
              </w:rPr>
              <w:t>为评标基准价，</w:t>
            </w:r>
            <w:r>
              <w:rPr>
                <w:rFonts w:hint="eastAsia" w:ascii="宋体" w:hAnsi="宋体" w:eastAsia="宋体" w:cs="宋体"/>
                <w:color w:val="auto"/>
                <w:sz w:val="21"/>
                <w:szCs w:val="21"/>
                <w:highlight w:val="none"/>
              </w:rPr>
              <w:t>基准价为</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0分</w:t>
            </w:r>
            <w:r>
              <w:rPr>
                <w:rFonts w:hint="eastAsia" w:ascii="宋体" w:hAnsi="宋体" w:eastAsia="宋体" w:cs="宋体"/>
                <w:color w:val="auto"/>
                <w:sz w:val="21"/>
                <w:szCs w:val="21"/>
                <w:highlight w:val="none"/>
                <w:lang w:val="zh-CN"/>
              </w:rPr>
              <w:t>。</w:t>
            </w:r>
          </w:p>
          <w:p w14:paraId="5EC4A8C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zh-CN"/>
              </w:rPr>
              <w:t>投标报价得分=(评标基准价／投标报价)×</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%×100 。（</w:t>
            </w:r>
            <w:r>
              <w:rPr>
                <w:rFonts w:hint="eastAsia" w:ascii="宋体" w:hAnsi="宋体" w:eastAsia="宋体" w:cs="宋体"/>
                <w:color w:val="auto"/>
                <w:sz w:val="21"/>
                <w:szCs w:val="21"/>
                <w:highlight w:val="none"/>
              </w:rPr>
              <w:t>小数点后保留2位小数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四舍五入</w:t>
            </w:r>
            <w:r>
              <w:rPr>
                <w:rFonts w:hint="eastAsia" w:ascii="宋体" w:hAnsi="宋体" w:eastAsia="宋体" w:cs="宋体"/>
                <w:color w:val="auto"/>
                <w:sz w:val="21"/>
                <w:szCs w:val="21"/>
                <w:highlight w:val="none"/>
                <w:lang w:val="zh-CN"/>
              </w:rPr>
              <w:t>）。</w:t>
            </w:r>
          </w:p>
        </w:tc>
        <w:tc>
          <w:tcPr>
            <w:tcW w:w="686" w:type="dxa"/>
            <w:vAlign w:val="center"/>
          </w:tcPr>
          <w:p w14:paraId="6DD6746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20</w:t>
            </w:r>
          </w:p>
        </w:tc>
      </w:tr>
    </w:tbl>
    <w:p w14:paraId="0D34FFB6">
      <w:pPr>
        <w:spacing w:line="360" w:lineRule="auto"/>
        <w:ind w:firstLine="420" w:firstLineChars="200"/>
        <w:rPr>
          <w:rFonts w:hint="eastAsia" w:ascii="宋体" w:hAnsi="宋体" w:eastAsia="宋体" w:cs="宋体"/>
          <w:color w:val="auto"/>
          <w:sz w:val="21"/>
          <w:szCs w:val="21"/>
          <w:highlight w:val="none"/>
          <w:lang w:val="zh-CN"/>
        </w:rPr>
      </w:pPr>
    </w:p>
    <w:p w14:paraId="10F3F9CC">
      <w:pPr>
        <w:pStyle w:val="6"/>
        <w:rPr>
          <w:rFonts w:hint="eastAsia" w:ascii="宋体" w:hAnsi="宋体" w:eastAsia="宋体" w:cs="宋体"/>
          <w:b/>
          <w:color w:val="auto"/>
          <w:sz w:val="36"/>
          <w:szCs w:val="36"/>
          <w:highlight w:val="none"/>
        </w:rPr>
      </w:pPr>
    </w:p>
    <w:p w14:paraId="2B7932A4">
      <w:pPr>
        <w:pStyle w:val="20"/>
        <w:rPr>
          <w:rFonts w:hint="eastAsia" w:ascii="宋体" w:hAnsi="宋体" w:eastAsia="宋体" w:cs="宋体"/>
          <w:color w:val="auto"/>
          <w:highlight w:val="none"/>
        </w:rPr>
      </w:pPr>
    </w:p>
    <w:p w14:paraId="2C32E79A">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7D903585">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第四章 公开招标需求</w:t>
      </w:r>
    </w:p>
    <w:p w14:paraId="5828EFB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rPr>
        <w:t>、项目背景</w:t>
      </w:r>
    </w:p>
    <w:p w14:paraId="4EA740BC">
      <w:pPr>
        <w:tabs>
          <w:tab w:val="left" w:pos="8280"/>
        </w:tabs>
        <w:autoSpaceDE w:val="0"/>
        <w:autoSpaceDN w:val="0"/>
        <w:adjustRightInd w:val="0"/>
        <w:spacing w:line="360" w:lineRule="auto"/>
        <w:ind w:right="25"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浙江省臭氧污染防治攻坚三年行动方案》（2023-2025年）《排污许可提质增效工作方案》（2022-2024年）《关于印发台州市排污许可提质增效工作方案的通知》《关于印发台州市2025年空气质量改善攻坚行动方案》《浙江省全域“无废城市”建设实施方案（2022-2025年）》《台州市国家级“无废城市”建设实施方案（2022-2025）》《台州市排污权交易流程》等文件要求，结合新区实际，</w:t>
      </w:r>
      <w:r>
        <w:rPr>
          <w:rFonts w:hint="eastAsia" w:ascii="宋体" w:hAnsi="宋体" w:cs="宋体"/>
          <w:color w:val="auto"/>
          <w:sz w:val="21"/>
          <w:szCs w:val="21"/>
          <w:highlight w:val="none"/>
          <w:lang w:val="en-US" w:eastAsia="zh-CN"/>
        </w:rPr>
        <w:t>拟委托第三方进行工业园区生态环境污染防治项目，</w:t>
      </w:r>
      <w:r>
        <w:rPr>
          <w:rFonts w:hint="eastAsia" w:ascii="宋体" w:hAnsi="宋体" w:eastAsia="宋体" w:cs="宋体"/>
          <w:color w:val="auto"/>
          <w:sz w:val="21"/>
          <w:szCs w:val="21"/>
          <w:highlight w:val="none"/>
          <w:lang w:val="en-US" w:eastAsia="zh-CN"/>
        </w:rPr>
        <w:t>开展废气低效设施改造升级、绩效提级、源头替代、固废设施规范化建设运行、排污许可提质增效、无废细胞创建、排污权交易</w:t>
      </w:r>
      <w:r>
        <w:rPr>
          <w:rFonts w:hint="eastAsia" w:ascii="宋体" w:hAnsi="宋体" w:eastAsia="宋体" w:cs="宋体"/>
          <w:color w:val="auto"/>
          <w:sz w:val="21"/>
          <w:szCs w:val="21"/>
          <w:highlight w:val="none"/>
        </w:rPr>
        <w:t>及初始排污权数据审核</w:t>
      </w:r>
      <w:r>
        <w:rPr>
          <w:rFonts w:hint="eastAsia" w:ascii="宋体" w:hAnsi="宋体" w:eastAsia="宋体" w:cs="宋体"/>
          <w:color w:val="auto"/>
          <w:sz w:val="21"/>
          <w:szCs w:val="21"/>
          <w:highlight w:val="none"/>
          <w:lang w:val="en-US" w:eastAsia="zh-CN"/>
        </w:rPr>
        <w:t>、系列督察整改复核</w:t>
      </w:r>
      <w:r>
        <w:rPr>
          <w:rFonts w:hint="eastAsia" w:ascii="宋体" w:hAnsi="宋体" w:eastAsia="宋体" w:cs="宋体"/>
          <w:color w:val="auto"/>
          <w:sz w:val="21"/>
          <w:szCs w:val="21"/>
          <w:highlight w:val="none"/>
        </w:rPr>
        <w:t>及其他相关交办问题</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温室气体排放报告审核</w:t>
      </w:r>
      <w:r>
        <w:rPr>
          <w:rFonts w:hint="eastAsia" w:ascii="宋体" w:hAnsi="宋体" w:eastAsia="宋体" w:cs="宋体"/>
          <w:color w:val="auto"/>
          <w:sz w:val="21"/>
          <w:szCs w:val="21"/>
          <w:highlight w:val="none"/>
          <w:lang w:val="en-US" w:eastAsia="zh-CN"/>
        </w:rPr>
        <w:t>等工作，提升台州湾新区环境污染联防联控和精准管控能力，促进产业绿色改造升级，改善生态环境质量，推进美丽新区建设。</w:t>
      </w:r>
    </w:p>
    <w:p w14:paraId="1373334B">
      <w:pPr>
        <w:tabs>
          <w:tab w:val="left" w:pos="8280"/>
        </w:tabs>
        <w:autoSpaceDE w:val="0"/>
        <w:autoSpaceDN w:val="0"/>
        <w:adjustRightInd w:val="0"/>
        <w:spacing w:line="360" w:lineRule="auto"/>
        <w:ind w:right="25" w:firstLine="422" w:firstLineChars="200"/>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lang w:val="en-US" w:eastAsia="zh-CN"/>
        </w:rPr>
        <w:t>二</w:t>
      </w:r>
      <w:r>
        <w:rPr>
          <w:rFonts w:hint="eastAsia" w:ascii="宋体" w:hAnsi="宋体" w:eastAsia="宋体" w:cs="宋体"/>
          <w:b/>
          <w:color w:val="auto"/>
          <w:sz w:val="21"/>
          <w:szCs w:val="21"/>
          <w:highlight w:val="none"/>
        </w:rPr>
        <w:t>、项目</w:t>
      </w:r>
      <w:r>
        <w:rPr>
          <w:rFonts w:hint="eastAsia" w:ascii="宋体" w:hAnsi="宋体" w:cs="宋体"/>
          <w:b/>
          <w:color w:val="auto"/>
          <w:sz w:val="21"/>
          <w:szCs w:val="21"/>
          <w:highlight w:val="none"/>
          <w:lang w:val="en-US" w:eastAsia="zh-CN"/>
        </w:rPr>
        <w:t>内容</w:t>
      </w:r>
      <w:r>
        <w:rPr>
          <w:rFonts w:hint="eastAsia" w:ascii="宋体" w:hAnsi="宋体" w:eastAsia="宋体" w:cs="宋体"/>
          <w:b/>
          <w:color w:val="auto"/>
          <w:sz w:val="21"/>
          <w:szCs w:val="21"/>
          <w:highlight w:val="none"/>
        </w:rPr>
        <w:t>一览表</w:t>
      </w:r>
    </w:p>
    <w:tbl>
      <w:tblPr>
        <w:tblStyle w:val="22"/>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545"/>
        <w:gridCol w:w="1965"/>
        <w:gridCol w:w="1178"/>
        <w:gridCol w:w="784"/>
        <w:gridCol w:w="1383"/>
        <w:gridCol w:w="1125"/>
      </w:tblGrid>
      <w:tr w14:paraId="58BF2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55" w:type="dxa"/>
            <w:vAlign w:val="center"/>
          </w:tcPr>
          <w:p w14:paraId="71DCED6A">
            <w:pPr>
              <w:tabs>
                <w:tab w:val="left" w:pos="8280"/>
              </w:tabs>
              <w:autoSpaceDE w:val="0"/>
              <w:autoSpaceDN w:val="0"/>
              <w:adjustRightInd w:val="0"/>
              <w:snapToGrid w:val="0"/>
              <w:ind w:left="-105" w:leftChars="-50" w:right="-105" w:rightChars="-50"/>
              <w:jc w:val="center"/>
              <w:rPr>
                <w:rFonts w:hint="eastAsia" w:ascii="宋体" w:hAnsi="宋体" w:eastAsia="宋体" w:cs="宋体"/>
                <w:b/>
                <w:color w:val="auto"/>
                <w:sz w:val="21"/>
                <w:szCs w:val="21"/>
                <w:highlight w:val="none"/>
                <w:lang w:eastAsia="zh-CN"/>
              </w:rPr>
            </w:pPr>
            <w:bookmarkStart w:id="0" w:name="_Toc98821986"/>
            <w:r>
              <w:rPr>
                <w:rFonts w:hint="eastAsia" w:ascii="宋体" w:hAnsi="宋体" w:eastAsia="宋体" w:cs="宋体"/>
                <w:b/>
                <w:color w:val="auto"/>
                <w:sz w:val="21"/>
                <w:szCs w:val="21"/>
                <w:highlight w:val="none"/>
                <w:lang w:val="en-US" w:eastAsia="zh-CN"/>
              </w:rPr>
              <w:t>序号</w:t>
            </w:r>
          </w:p>
        </w:tc>
        <w:tc>
          <w:tcPr>
            <w:tcW w:w="3510" w:type="dxa"/>
            <w:gridSpan w:val="2"/>
            <w:vAlign w:val="center"/>
          </w:tcPr>
          <w:p w14:paraId="12C88D80">
            <w:pPr>
              <w:tabs>
                <w:tab w:val="left" w:pos="8280"/>
              </w:tabs>
              <w:autoSpaceDE w:val="0"/>
              <w:autoSpaceDN w:val="0"/>
              <w:adjustRightInd w:val="0"/>
              <w:snapToGrid w:val="0"/>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内容</w:t>
            </w:r>
          </w:p>
        </w:tc>
        <w:tc>
          <w:tcPr>
            <w:tcW w:w="1178" w:type="dxa"/>
            <w:vAlign w:val="center"/>
          </w:tcPr>
          <w:p w14:paraId="28EF64C9">
            <w:pPr>
              <w:tabs>
                <w:tab w:val="left" w:pos="8280"/>
              </w:tabs>
              <w:autoSpaceDE w:val="0"/>
              <w:autoSpaceDN w:val="0"/>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p w14:paraId="73491278">
            <w:pPr>
              <w:tabs>
                <w:tab w:val="left" w:pos="8280"/>
              </w:tabs>
              <w:autoSpaceDE w:val="0"/>
              <w:autoSpaceDN w:val="0"/>
              <w:adjustRightInd w:val="0"/>
              <w:snapToGrid w:val="0"/>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暂定</w:t>
            </w:r>
            <w:r>
              <w:rPr>
                <w:rFonts w:hint="eastAsia" w:ascii="宋体" w:hAnsi="宋体" w:cs="宋体"/>
                <w:b/>
                <w:color w:val="auto"/>
                <w:sz w:val="21"/>
                <w:szCs w:val="21"/>
                <w:highlight w:val="none"/>
                <w:lang w:eastAsia="zh-CN"/>
              </w:rPr>
              <w:t>）</w:t>
            </w:r>
          </w:p>
        </w:tc>
        <w:tc>
          <w:tcPr>
            <w:tcW w:w="784" w:type="dxa"/>
            <w:vAlign w:val="center"/>
          </w:tcPr>
          <w:p w14:paraId="4A277678">
            <w:pPr>
              <w:tabs>
                <w:tab w:val="left" w:pos="8280"/>
              </w:tabs>
              <w:autoSpaceDE w:val="0"/>
              <w:autoSpaceDN w:val="0"/>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383" w:type="dxa"/>
            <w:vAlign w:val="center"/>
          </w:tcPr>
          <w:p w14:paraId="68A300B2">
            <w:pPr>
              <w:tabs>
                <w:tab w:val="left" w:pos="8280"/>
              </w:tabs>
              <w:autoSpaceDE w:val="0"/>
              <w:autoSpaceDN w:val="0"/>
              <w:adjustRightInd w:val="0"/>
              <w:snapToGrid w:val="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最高限</w:t>
            </w:r>
            <w:r>
              <w:rPr>
                <w:rFonts w:hint="eastAsia" w:ascii="宋体" w:hAnsi="宋体" w:eastAsia="宋体" w:cs="宋体"/>
                <w:b/>
                <w:color w:val="auto"/>
                <w:sz w:val="21"/>
                <w:szCs w:val="21"/>
                <w:highlight w:val="none"/>
                <w:lang w:val="en-US" w:eastAsia="zh-CN"/>
              </w:rPr>
              <w:t>单</w:t>
            </w:r>
            <w:r>
              <w:rPr>
                <w:rFonts w:hint="eastAsia" w:ascii="宋体" w:hAnsi="宋体" w:eastAsia="宋体" w:cs="宋体"/>
                <w:b/>
                <w:color w:val="auto"/>
                <w:sz w:val="21"/>
                <w:szCs w:val="21"/>
                <w:highlight w:val="none"/>
              </w:rPr>
              <w:t>价</w:t>
            </w:r>
          </w:p>
        </w:tc>
        <w:tc>
          <w:tcPr>
            <w:tcW w:w="1125" w:type="dxa"/>
            <w:vAlign w:val="center"/>
          </w:tcPr>
          <w:p w14:paraId="45B7E605">
            <w:pPr>
              <w:tabs>
                <w:tab w:val="left" w:pos="8280"/>
              </w:tabs>
              <w:autoSpaceDE w:val="0"/>
              <w:autoSpaceDN w:val="0"/>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服务期限</w:t>
            </w:r>
          </w:p>
        </w:tc>
      </w:tr>
      <w:tr w14:paraId="5B93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55" w:type="dxa"/>
            <w:vAlign w:val="center"/>
          </w:tcPr>
          <w:p w14:paraId="1E65313C">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510" w:type="dxa"/>
            <w:gridSpan w:val="2"/>
            <w:vAlign w:val="center"/>
          </w:tcPr>
          <w:p w14:paraId="55505408">
            <w:pPr>
              <w:widowControl/>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废气低效设施改造升级项目</w:t>
            </w:r>
          </w:p>
        </w:tc>
        <w:tc>
          <w:tcPr>
            <w:tcW w:w="1178" w:type="dxa"/>
            <w:vAlign w:val="center"/>
          </w:tcPr>
          <w:p w14:paraId="1321C2B1">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784" w:type="dxa"/>
            <w:vAlign w:val="center"/>
          </w:tcPr>
          <w:p w14:paraId="45C76E71">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家</w:t>
            </w:r>
          </w:p>
        </w:tc>
        <w:tc>
          <w:tcPr>
            <w:tcW w:w="1383" w:type="dxa"/>
            <w:vAlign w:val="center"/>
          </w:tcPr>
          <w:p w14:paraId="1FB13084">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10000</w:t>
            </w:r>
            <w:r>
              <w:rPr>
                <w:rFonts w:hint="eastAsia" w:ascii="宋体" w:hAnsi="宋体" w:cs="宋体"/>
                <w:b w:val="0"/>
                <w:bCs/>
                <w:color w:val="auto"/>
                <w:sz w:val="21"/>
                <w:szCs w:val="21"/>
                <w:highlight w:val="none"/>
                <w:lang w:val="en-US" w:eastAsia="zh-CN"/>
              </w:rPr>
              <w:t>元/家</w:t>
            </w:r>
          </w:p>
        </w:tc>
        <w:tc>
          <w:tcPr>
            <w:tcW w:w="1125" w:type="dxa"/>
            <w:vMerge w:val="restart"/>
            <w:vAlign w:val="center"/>
          </w:tcPr>
          <w:p w14:paraId="22F6BBF7">
            <w:pPr>
              <w:widowControl/>
              <w:adjustRightInd w:val="0"/>
              <w:snapToGrid w:val="0"/>
              <w:ind w:left="-105" w:leftChars="-50" w:right="-105" w:rightChars="-5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合同签订之日起</w:t>
            </w:r>
            <w:r>
              <w:rPr>
                <w:rFonts w:hint="eastAsia" w:ascii="宋体" w:hAnsi="宋体" w:eastAsia="宋体" w:cs="宋体"/>
                <w:color w:val="auto"/>
                <w:sz w:val="21"/>
                <w:szCs w:val="21"/>
                <w:highlight w:val="none"/>
                <w:lang w:val="en-US" w:eastAsia="zh-CN"/>
              </w:rPr>
              <w:t>至2026年6月</w:t>
            </w:r>
            <w:r>
              <w:rPr>
                <w:rFonts w:hint="eastAsia" w:ascii="宋体" w:hAnsi="宋体" w:eastAsia="宋体" w:cs="宋体"/>
                <w:bCs/>
                <w:color w:val="auto"/>
                <w:sz w:val="21"/>
                <w:szCs w:val="21"/>
                <w:highlight w:val="none"/>
                <w:lang w:val="en-US" w:eastAsia="zh-CN"/>
              </w:rPr>
              <w:t>30日</w:t>
            </w:r>
          </w:p>
        </w:tc>
      </w:tr>
      <w:tr w14:paraId="7627F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55" w:type="dxa"/>
            <w:vAlign w:val="center"/>
          </w:tcPr>
          <w:p w14:paraId="05C4482A">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3510" w:type="dxa"/>
            <w:gridSpan w:val="2"/>
            <w:vAlign w:val="center"/>
          </w:tcPr>
          <w:p w14:paraId="77C1764B">
            <w:pPr>
              <w:widowControl/>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绩效提级技术服务项目（B级）</w:t>
            </w:r>
          </w:p>
        </w:tc>
        <w:tc>
          <w:tcPr>
            <w:tcW w:w="1178" w:type="dxa"/>
            <w:vAlign w:val="center"/>
          </w:tcPr>
          <w:p w14:paraId="20B3CFB7">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784" w:type="dxa"/>
            <w:vAlign w:val="center"/>
          </w:tcPr>
          <w:p w14:paraId="21023C62">
            <w:pPr>
              <w:tabs>
                <w:tab w:val="left" w:pos="8280"/>
              </w:tabs>
              <w:autoSpaceDE w:val="0"/>
              <w:autoSpaceDN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家</w:t>
            </w:r>
          </w:p>
        </w:tc>
        <w:tc>
          <w:tcPr>
            <w:tcW w:w="1383" w:type="dxa"/>
            <w:vAlign w:val="center"/>
          </w:tcPr>
          <w:p w14:paraId="4BD127D8">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20000</w:t>
            </w:r>
            <w:r>
              <w:rPr>
                <w:rFonts w:hint="eastAsia" w:ascii="宋体" w:hAnsi="宋体" w:cs="宋体"/>
                <w:b w:val="0"/>
                <w:bCs/>
                <w:color w:val="auto"/>
                <w:sz w:val="21"/>
                <w:szCs w:val="21"/>
                <w:highlight w:val="none"/>
                <w:lang w:val="en-US" w:eastAsia="zh-CN"/>
              </w:rPr>
              <w:t>元/家</w:t>
            </w:r>
          </w:p>
        </w:tc>
        <w:tc>
          <w:tcPr>
            <w:tcW w:w="1125" w:type="dxa"/>
            <w:vMerge w:val="continue"/>
            <w:vAlign w:val="center"/>
          </w:tcPr>
          <w:p w14:paraId="60E0D135">
            <w:pPr>
              <w:widowControl/>
              <w:adjustRightInd w:val="0"/>
              <w:snapToGrid w:val="0"/>
              <w:ind w:left="-105" w:leftChars="-50" w:right="-105" w:rightChars="-50"/>
              <w:jc w:val="center"/>
              <w:rPr>
                <w:rFonts w:hint="eastAsia" w:ascii="宋体" w:hAnsi="宋体" w:eastAsia="宋体" w:cs="宋体"/>
                <w:bCs/>
                <w:color w:val="auto"/>
                <w:sz w:val="21"/>
                <w:szCs w:val="21"/>
                <w:highlight w:val="none"/>
              </w:rPr>
            </w:pPr>
          </w:p>
        </w:tc>
      </w:tr>
      <w:tr w14:paraId="6FF0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55" w:type="dxa"/>
            <w:vAlign w:val="center"/>
          </w:tcPr>
          <w:p w14:paraId="3D986E8A">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3510" w:type="dxa"/>
            <w:gridSpan w:val="2"/>
            <w:vAlign w:val="center"/>
          </w:tcPr>
          <w:p w14:paraId="52A6E4A5">
            <w:pPr>
              <w:widowControl/>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源头替代技术服务项目</w:t>
            </w:r>
          </w:p>
        </w:tc>
        <w:tc>
          <w:tcPr>
            <w:tcW w:w="1178" w:type="dxa"/>
            <w:vAlign w:val="center"/>
          </w:tcPr>
          <w:p w14:paraId="215E00F6">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84" w:type="dxa"/>
            <w:vAlign w:val="center"/>
          </w:tcPr>
          <w:p w14:paraId="6CE186A3">
            <w:pPr>
              <w:tabs>
                <w:tab w:val="left" w:pos="8280"/>
              </w:tabs>
              <w:autoSpaceDE w:val="0"/>
              <w:autoSpaceDN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家</w:t>
            </w:r>
          </w:p>
        </w:tc>
        <w:tc>
          <w:tcPr>
            <w:tcW w:w="1383" w:type="dxa"/>
            <w:vAlign w:val="center"/>
          </w:tcPr>
          <w:p w14:paraId="41913C6D">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15000</w:t>
            </w:r>
            <w:r>
              <w:rPr>
                <w:rFonts w:hint="eastAsia" w:ascii="宋体" w:hAnsi="宋体" w:cs="宋体"/>
                <w:b w:val="0"/>
                <w:bCs/>
                <w:color w:val="auto"/>
                <w:sz w:val="21"/>
                <w:szCs w:val="21"/>
                <w:highlight w:val="none"/>
                <w:lang w:val="en-US" w:eastAsia="zh-CN"/>
              </w:rPr>
              <w:t>元/家</w:t>
            </w:r>
          </w:p>
        </w:tc>
        <w:tc>
          <w:tcPr>
            <w:tcW w:w="1125" w:type="dxa"/>
            <w:vMerge w:val="continue"/>
            <w:vAlign w:val="center"/>
          </w:tcPr>
          <w:p w14:paraId="66FE0198">
            <w:pPr>
              <w:widowControl/>
              <w:adjustRightInd w:val="0"/>
              <w:snapToGrid w:val="0"/>
              <w:ind w:left="-105" w:leftChars="-50" w:right="-105" w:rightChars="-50"/>
              <w:jc w:val="center"/>
              <w:rPr>
                <w:rFonts w:hint="eastAsia" w:ascii="宋体" w:hAnsi="宋体" w:eastAsia="宋体" w:cs="宋体"/>
                <w:bCs/>
                <w:color w:val="auto"/>
                <w:sz w:val="21"/>
                <w:szCs w:val="21"/>
                <w:highlight w:val="none"/>
              </w:rPr>
            </w:pPr>
          </w:p>
        </w:tc>
      </w:tr>
      <w:tr w14:paraId="50431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55" w:type="dxa"/>
            <w:vAlign w:val="center"/>
          </w:tcPr>
          <w:p w14:paraId="048B6F05">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3510" w:type="dxa"/>
            <w:gridSpan w:val="2"/>
            <w:vAlign w:val="center"/>
          </w:tcPr>
          <w:p w14:paraId="02C2CD95">
            <w:pPr>
              <w:widowControl/>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固废规范化管理技术服务项目</w:t>
            </w:r>
          </w:p>
        </w:tc>
        <w:tc>
          <w:tcPr>
            <w:tcW w:w="1178" w:type="dxa"/>
            <w:vAlign w:val="center"/>
          </w:tcPr>
          <w:p w14:paraId="3EC62C28">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784" w:type="dxa"/>
            <w:vAlign w:val="center"/>
          </w:tcPr>
          <w:p w14:paraId="2230C200">
            <w:pPr>
              <w:tabs>
                <w:tab w:val="left" w:pos="8280"/>
              </w:tabs>
              <w:autoSpaceDE w:val="0"/>
              <w:autoSpaceDN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家</w:t>
            </w:r>
          </w:p>
        </w:tc>
        <w:tc>
          <w:tcPr>
            <w:tcW w:w="1383" w:type="dxa"/>
            <w:vAlign w:val="center"/>
          </w:tcPr>
          <w:p w14:paraId="47628A65">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4000</w:t>
            </w:r>
            <w:r>
              <w:rPr>
                <w:rFonts w:hint="eastAsia" w:ascii="宋体" w:hAnsi="宋体" w:cs="宋体"/>
                <w:b w:val="0"/>
                <w:bCs/>
                <w:color w:val="auto"/>
                <w:sz w:val="21"/>
                <w:szCs w:val="21"/>
                <w:highlight w:val="none"/>
                <w:lang w:val="en-US" w:eastAsia="zh-CN"/>
              </w:rPr>
              <w:t>元/家</w:t>
            </w:r>
          </w:p>
        </w:tc>
        <w:tc>
          <w:tcPr>
            <w:tcW w:w="1125" w:type="dxa"/>
            <w:vMerge w:val="continue"/>
            <w:vAlign w:val="center"/>
          </w:tcPr>
          <w:p w14:paraId="63FCD76B">
            <w:pPr>
              <w:widowControl/>
              <w:adjustRightInd w:val="0"/>
              <w:snapToGrid w:val="0"/>
              <w:ind w:left="-105" w:leftChars="-50" w:right="-105" w:rightChars="-50"/>
              <w:jc w:val="center"/>
              <w:rPr>
                <w:rFonts w:hint="eastAsia" w:ascii="宋体" w:hAnsi="宋体" w:eastAsia="宋体" w:cs="宋体"/>
                <w:bCs/>
                <w:color w:val="auto"/>
                <w:sz w:val="21"/>
                <w:szCs w:val="21"/>
                <w:highlight w:val="none"/>
              </w:rPr>
            </w:pPr>
          </w:p>
        </w:tc>
      </w:tr>
      <w:tr w14:paraId="234E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5" w:type="dxa"/>
            <w:vMerge w:val="restart"/>
            <w:vAlign w:val="center"/>
          </w:tcPr>
          <w:p w14:paraId="51F79DD3">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545" w:type="dxa"/>
            <w:vMerge w:val="restart"/>
            <w:vAlign w:val="center"/>
          </w:tcPr>
          <w:p w14:paraId="6BFF677C">
            <w:pPr>
              <w:widowControl/>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排污许可提质增效技术服务项目</w:t>
            </w:r>
          </w:p>
        </w:tc>
        <w:tc>
          <w:tcPr>
            <w:tcW w:w="1965" w:type="dxa"/>
            <w:vAlign w:val="center"/>
          </w:tcPr>
          <w:p w14:paraId="6BD2B8FE">
            <w:pPr>
              <w:widowControl/>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排污许可证首次申领、重新申请、变更申请审核</w:t>
            </w:r>
          </w:p>
        </w:tc>
        <w:tc>
          <w:tcPr>
            <w:tcW w:w="1178" w:type="dxa"/>
            <w:vAlign w:val="center"/>
          </w:tcPr>
          <w:p w14:paraId="01F93EF3">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784" w:type="dxa"/>
            <w:vAlign w:val="center"/>
          </w:tcPr>
          <w:p w14:paraId="031F1DDF">
            <w:pPr>
              <w:tabs>
                <w:tab w:val="left" w:pos="8280"/>
              </w:tabs>
              <w:autoSpaceDE w:val="0"/>
              <w:autoSpaceDN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家</w:t>
            </w:r>
          </w:p>
        </w:tc>
        <w:tc>
          <w:tcPr>
            <w:tcW w:w="1383" w:type="dxa"/>
            <w:vAlign w:val="center"/>
          </w:tcPr>
          <w:p w14:paraId="5436CA0F">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4500</w:t>
            </w:r>
            <w:r>
              <w:rPr>
                <w:rFonts w:hint="eastAsia" w:ascii="宋体" w:hAnsi="宋体" w:cs="宋体"/>
                <w:b w:val="0"/>
                <w:bCs/>
                <w:color w:val="auto"/>
                <w:sz w:val="21"/>
                <w:szCs w:val="21"/>
                <w:highlight w:val="none"/>
                <w:lang w:val="en-US" w:eastAsia="zh-CN"/>
              </w:rPr>
              <w:t>元/家</w:t>
            </w:r>
          </w:p>
        </w:tc>
        <w:tc>
          <w:tcPr>
            <w:tcW w:w="1125" w:type="dxa"/>
            <w:vMerge w:val="continue"/>
            <w:vAlign w:val="center"/>
          </w:tcPr>
          <w:p w14:paraId="7231F099">
            <w:pPr>
              <w:widowControl/>
              <w:adjustRightInd w:val="0"/>
              <w:snapToGrid w:val="0"/>
              <w:ind w:left="-105" w:leftChars="-50" w:right="-105" w:rightChars="-50"/>
              <w:jc w:val="center"/>
              <w:rPr>
                <w:rFonts w:hint="eastAsia" w:ascii="宋体" w:hAnsi="宋体" w:eastAsia="宋体" w:cs="宋体"/>
                <w:bCs/>
                <w:color w:val="auto"/>
                <w:sz w:val="21"/>
                <w:szCs w:val="21"/>
                <w:highlight w:val="none"/>
              </w:rPr>
            </w:pPr>
          </w:p>
        </w:tc>
      </w:tr>
      <w:tr w14:paraId="483D5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55" w:type="dxa"/>
            <w:vMerge w:val="continue"/>
            <w:vAlign w:val="center"/>
          </w:tcPr>
          <w:p w14:paraId="7F43B8F1">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1545" w:type="dxa"/>
            <w:vMerge w:val="continue"/>
            <w:vAlign w:val="center"/>
          </w:tcPr>
          <w:p w14:paraId="3A7677AA">
            <w:pPr>
              <w:widowControl/>
              <w:adjustRightInd w:val="0"/>
              <w:snapToGrid w:val="0"/>
              <w:jc w:val="center"/>
              <w:rPr>
                <w:rFonts w:hint="eastAsia" w:ascii="宋体" w:hAnsi="宋体" w:eastAsia="宋体" w:cs="宋体"/>
                <w:color w:val="auto"/>
                <w:sz w:val="21"/>
                <w:szCs w:val="21"/>
                <w:highlight w:val="none"/>
                <w:lang w:val="en-US" w:eastAsia="zh-CN"/>
              </w:rPr>
            </w:pPr>
          </w:p>
        </w:tc>
        <w:tc>
          <w:tcPr>
            <w:tcW w:w="1965" w:type="dxa"/>
            <w:vAlign w:val="center"/>
          </w:tcPr>
          <w:p w14:paraId="46E3FD55">
            <w:pPr>
              <w:widowControl/>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排污许可证复核</w:t>
            </w:r>
          </w:p>
        </w:tc>
        <w:tc>
          <w:tcPr>
            <w:tcW w:w="1178" w:type="dxa"/>
            <w:vAlign w:val="center"/>
          </w:tcPr>
          <w:p w14:paraId="25D657DB">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784" w:type="dxa"/>
            <w:vAlign w:val="center"/>
          </w:tcPr>
          <w:p w14:paraId="0F0A53FC">
            <w:pPr>
              <w:tabs>
                <w:tab w:val="left" w:pos="8280"/>
              </w:tabs>
              <w:autoSpaceDE w:val="0"/>
              <w:autoSpaceDN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家</w:t>
            </w:r>
          </w:p>
        </w:tc>
        <w:tc>
          <w:tcPr>
            <w:tcW w:w="1383" w:type="dxa"/>
            <w:vAlign w:val="center"/>
          </w:tcPr>
          <w:p w14:paraId="192CC343">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2000</w:t>
            </w:r>
            <w:r>
              <w:rPr>
                <w:rFonts w:hint="eastAsia" w:ascii="宋体" w:hAnsi="宋体" w:cs="宋体"/>
                <w:b w:val="0"/>
                <w:bCs/>
                <w:color w:val="auto"/>
                <w:sz w:val="21"/>
                <w:szCs w:val="21"/>
                <w:highlight w:val="none"/>
                <w:lang w:val="en-US" w:eastAsia="zh-CN"/>
              </w:rPr>
              <w:t>元/家</w:t>
            </w:r>
          </w:p>
        </w:tc>
        <w:tc>
          <w:tcPr>
            <w:tcW w:w="1125" w:type="dxa"/>
            <w:vMerge w:val="continue"/>
            <w:vAlign w:val="center"/>
          </w:tcPr>
          <w:p w14:paraId="4499F8C2">
            <w:pPr>
              <w:widowControl/>
              <w:adjustRightInd w:val="0"/>
              <w:snapToGrid w:val="0"/>
              <w:ind w:left="-105" w:leftChars="-50" w:right="-105" w:rightChars="-50"/>
              <w:jc w:val="center"/>
              <w:rPr>
                <w:rFonts w:hint="eastAsia" w:ascii="宋体" w:hAnsi="宋体" w:eastAsia="宋体" w:cs="宋体"/>
                <w:bCs/>
                <w:color w:val="auto"/>
                <w:sz w:val="21"/>
                <w:szCs w:val="21"/>
                <w:highlight w:val="none"/>
              </w:rPr>
            </w:pPr>
          </w:p>
        </w:tc>
      </w:tr>
      <w:tr w14:paraId="47372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55" w:type="dxa"/>
            <w:vMerge w:val="continue"/>
            <w:vAlign w:val="center"/>
          </w:tcPr>
          <w:p w14:paraId="451DD235">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1545" w:type="dxa"/>
            <w:vMerge w:val="continue"/>
            <w:vAlign w:val="center"/>
          </w:tcPr>
          <w:p w14:paraId="2C4D0CBC">
            <w:pPr>
              <w:widowControl/>
              <w:adjustRightInd w:val="0"/>
              <w:snapToGrid w:val="0"/>
              <w:jc w:val="center"/>
              <w:rPr>
                <w:rFonts w:hint="eastAsia" w:ascii="宋体" w:hAnsi="宋体" w:eastAsia="宋体" w:cs="宋体"/>
                <w:color w:val="auto"/>
                <w:sz w:val="21"/>
                <w:szCs w:val="21"/>
                <w:highlight w:val="none"/>
                <w:lang w:val="en-US" w:eastAsia="zh-CN"/>
              </w:rPr>
            </w:pPr>
          </w:p>
        </w:tc>
        <w:tc>
          <w:tcPr>
            <w:tcW w:w="1965" w:type="dxa"/>
            <w:vAlign w:val="center"/>
          </w:tcPr>
          <w:p w14:paraId="7A131532">
            <w:pPr>
              <w:widowControl/>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排污许可证执行报告审核</w:t>
            </w:r>
          </w:p>
        </w:tc>
        <w:tc>
          <w:tcPr>
            <w:tcW w:w="1178" w:type="dxa"/>
            <w:vAlign w:val="center"/>
          </w:tcPr>
          <w:p w14:paraId="2B217EB0">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w:t>
            </w:r>
          </w:p>
        </w:tc>
        <w:tc>
          <w:tcPr>
            <w:tcW w:w="784" w:type="dxa"/>
            <w:vAlign w:val="center"/>
          </w:tcPr>
          <w:p w14:paraId="65C83224">
            <w:pPr>
              <w:tabs>
                <w:tab w:val="left" w:pos="8280"/>
              </w:tabs>
              <w:autoSpaceDE w:val="0"/>
              <w:autoSpaceDN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家</w:t>
            </w:r>
          </w:p>
        </w:tc>
        <w:tc>
          <w:tcPr>
            <w:tcW w:w="1383" w:type="dxa"/>
            <w:vAlign w:val="center"/>
          </w:tcPr>
          <w:p w14:paraId="52C4F31D">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620</w:t>
            </w:r>
            <w:r>
              <w:rPr>
                <w:rFonts w:hint="eastAsia" w:ascii="宋体" w:hAnsi="宋体" w:cs="宋体"/>
                <w:b w:val="0"/>
                <w:bCs/>
                <w:color w:val="auto"/>
                <w:sz w:val="21"/>
                <w:szCs w:val="21"/>
                <w:highlight w:val="none"/>
                <w:lang w:val="en-US" w:eastAsia="zh-CN"/>
              </w:rPr>
              <w:t>元/家</w:t>
            </w:r>
          </w:p>
        </w:tc>
        <w:tc>
          <w:tcPr>
            <w:tcW w:w="1125" w:type="dxa"/>
            <w:vMerge w:val="continue"/>
            <w:vAlign w:val="center"/>
          </w:tcPr>
          <w:p w14:paraId="78CDB656">
            <w:pPr>
              <w:widowControl/>
              <w:adjustRightInd w:val="0"/>
              <w:snapToGrid w:val="0"/>
              <w:ind w:left="-105" w:leftChars="-50" w:right="-105" w:rightChars="-50"/>
              <w:jc w:val="center"/>
              <w:rPr>
                <w:rFonts w:hint="eastAsia" w:ascii="宋体" w:hAnsi="宋体" w:eastAsia="宋体" w:cs="宋体"/>
                <w:bCs/>
                <w:color w:val="auto"/>
                <w:sz w:val="21"/>
                <w:szCs w:val="21"/>
                <w:highlight w:val="none"/>
              </w:rPr>
            </w:pPr>
          </w:p>
        </w:tc>
      </w:tr>
      <w:tr w14:paraId="73FF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55" w:type="dxa"/>
            <w:vAlign w:val="center"/>
          </w:tcPr>
          <w:p w14:paraId="6406BD1A">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3510" w:type="dxa"/>
            <w:gridSpan w:val="2"/>
            <w:vAlign w:val="center"/>
          </w:tcPr>
          <w:p w14:paraId="3BECBF3A">
            <w:pPr>
              <w:widowControl/>
              <w:adjustRightInd w:val="0"/>
              <w:snapToGrid w:val="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无废细胞</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建设技术服务项目</w:t>
            </w:r>
          </w:p>
        </w:tc>
        <w:tc>
          <w:tcPr>
            <w:tcW w:w="1178" w:type="dxa"/>
            <w:vAlign w:val="center"/>
          </w:tcPr>
          <w:p w14:paraId="7AAA6951">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84" w:type="dxa"/>
            <w:vAlign w:val="center"/>
          </w:tcPr>
          <w:p w14:paraId="2DCBCC7D">
            <w:pPr>
              <w:tabs>
                <w:tab w:val="left" w:pos="8280"/>
              </w:tabs>
              <w:autoSpaceDE w:val="0"/>
              <w:autoSpaceDN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家</w:t>
            </w:r>
          </w:p>
        </w:tc>
        <w:tc>
          <w:tcPr>
            <w:tcW w:w="1383" w:type="dxa"/>
            <w:vAlign w:val="center"/>
          </w:tcPr>
          <w:p w14:paraId="51C590B8">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10000</w:t>
            </w:r>
            <w:r>
              <w:rPr>
                <w:rFonts w:hint="eastAsia" w:ascii="宋体" w:hAnsi="宋体" w:cs="宋体"/>
                <w:b w:val="0"/>
                <w:bCs/>
                <w:color w:val="auto"/>
                <w:sz w:val="21"/>
                <w:szCs w:val="21"/>
                <w:highlight w:val="none"/>
                <w:lang w:val="en-US" w:eastAsia="zh-CN"/>
              </w:rPr>
              <w:t>元/家</w:t>
            </w:r>
          </w:p>
        </w:tc>
        <w:tc>
          <w:tcPr>
            <w:tcW w:w="1125" w:type="dxa"/>
            <w:vMerge w:val="continue"/>
            <w:vAlign w:val="center"/>
          </w:tcPr>
          <w:p w14:paraId="7633BEE8">
            <w:pPr>
              <w:widowControl/>
              <w:adjustRightInd w:val="0"/>
              <w:snapToGrid w:val="0"/>
              <w:ind w:left="-105" w:leftChars="-50" w:right="-105" w:rightChars="-50"/>
              <w:jc w:val="center"/>
              <w:rPr>
                <w:rFonts w:hint="eastAsia" w:ascii="宋体" w:hAnsi="宋体" w:eastAsia="宋体" w:cs="宋体"/>
                <w:bCs/>
                <w:color w:val="auto"/>
                <w:sz w:val="21"/>
                <w:szCs w:val="21"/>
                <w:highlight w:val="none"/>
              </w:rPr>
            </w:pPr>
          </w:p>
        </w:tc>
      </w:tr>
      <w:tr w14:paraId="3F7D3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55" w:type="dxa"/>
            <w:vMerge w:val="restart"/>
            <w:vAlign w:val="center"/>
          </w:tcPr>
          <w:p w14:paraId="42C99DAD">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545" w:type="dxa"/>
            <w:vMerge w:val="restart"/>
            <w:vAlign w:val="center"/>
          </w:tcPr>
          <w:p w14:paraId="3A089A22">
            <w:pPr>
              <w:widowControl/>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排污权交易及初始排污权数据审核技术服务</w:t>
            </w:r>
            <w:r>
              <w:rPr>
                <w:rFonts w:hint="eastAsia" w:ascii="宋体" w:hAnsi="宋体" w:eastAsia="宋体" w:cs="宋体"/>
                <w:color w:val="auto"/>
                <w:sz w:val="21"/>
                <w:szCs w:val="21"/>
                <w:highlight w:val="none"/>
                <w:lang w:val="en-US" w:eastAsia="zh-CN"/>
              </w:rPr>
              <w:t>项目</w:t>
            </w:r>
          </w:p>
        </w:tc>
        <w:tc>
          <w:tcPr>
            <w:tcW w:w="1965" w:type="dxa"/>
            <w:vAlign w:val="center"/>
          </w:tcPr>
          <w:p w14:paraId="12ECEB18">
            <w:pPr>
              <w:widowControl/>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企业新增排污权交易审核</w:t>
            </w:r>
          </w:p>
        </w:tc>
        <w:tc>
          <w:tcPr>
            <w:tcW w:w="1178" w:type="dxa"/>
            <w:vAlign w:val="center"/>
          </w:tcPr>
          <w:p w14:paraId="6AF654F9">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784" w:type="dxa"/>
            <w:vAlign w:val="center"/>
          </w:tcPr>
          <w:p w14:paraId="52988332">
            <w:pPr>
              <w:tabs>
                <w:tab w:val="left" w:pos="8280"/>
              </w:tabs>
              <w:autoSpaceDE w:val="0"/>
              <w:autoSpaceDN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家</w:t>
            </w:r>
          </w:p>
        </w:tc>
        <w:tc>
          <w:tcPr>
            <w:tcW w:w="1383" w:type="dxa"/>
            <w:vAlign w:val="center"/>
          </w:tcPr>
          <w:p w14:paraId="4C67ACCD">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1500</w:t>
            </w:r>
            <w:r>
              <w:rPr>
                <w:rFonts w:hint="eastAsia" w:ascii="宋体" w:hAnsi="宋体" w:cs="宋体"/>
                <w:b w:val="0"/>
                <w:bCs/>
                <w:color w:val="auto"/>
                <w:sz w:val="21"/>
                <w:szCs w:val="21"/>
                <w:highlight w:val="none"/>
                <w:lang w:val="en-US" w:eastAsia="zh-CN"/>
              </w:rPr>
              <w:t>元/家</w:t>
            </w:r>
          </w:p>
        </w:tc>
        <w:tc>
          <w:tcPr>
            <w:tcW w:w="1125" w:type="dxa"/>
            <w:vMerge w:val="continue"/>
            <w:vAlign w:val="center"/>
          </w:tcPr>
          <w:p w14:paraId="7465E929">
            <w:pPr>
              <w:widowControl/>
              <w:adjustRightInd w:val="0"/>
              <w:snapToGrid w:val="0"/>
              <w:ind w:left="-105" w:leftChars="-50" w:right="-105" w:rightChars="-50"/>
              <w:jc w:val="center"/>
              <w:rPr>
                <w:rFonts w:hint="eastAsia" w:ascii="宋体" w:hAnsi="宋体" w:eastAsia="宋体" w:cs="宋体"/>
                <w:bCs/>
                <w:color w:val="auto"/>
                <w:sz w:val="21"/>
                <w:szCs w:val="21"/>
                <w:highlight w:val="none"/>
              </w:rPr>
            </w:pPr>
          </w:p>
        </w:tc>
      </w:tr>
      <w:tr w14:paraId="37BF2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55" w:type="dxa"/>
            <w:vMerge w:val="continue"/>
            <w:vAlign w:val="center"/>
          </w:tcPr>
          <w:p w14:paraId="4B0644EA">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1545" w:type="dxa"/>
            <w:vMerge w:val="continue"/>
            <w:vAlign w:val="center"/>
          </w:tcPr>
          <w:p w14:paraId="25C5736A">
            <w:pPr>
              <w:widowControl/>
              <w:adjustRightInd w:val="0"/>
              <w:snapToGrid w:val="0"/>
              <w:jc w:val="center"/>
              <w:rPr>
                <w:rFonts w:hint="eastAsia" w:ascii="宋体" w:hAnsi="宋体" w:eastAsia="宋体" w:cs="宋体"/>
                <w:color w:val="auto"/>
                <w:sz w:val="21"/>
                <w:szCs w:val="21"/>
                <w:highlight w:val="none"/>
              </w:rPr>
            </w:pPr>
          </w:p>
        </w:tc>
        <w:tc>
          <w:tcPr>
            <w:tcW w:w="1965" w:type="dxa"/>
            <w:vAlign w:val="center"/>
          </w:tcPr>
          <w:p w14:paraId="2711F068">
            <w:pPr>
              <w:widowControl/>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初始排污权数据审核</w:t>
            </w:r>
          </w:p>
        </w:tc>
        <w:tc>
          <w:tcPr>
            <w:tcW w:w="1178" w:type="dxa"/>
            <w:vAlign w:val="center"/>
          </w:tcPr>
          <w:p w14:paraId="4832CCF7">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60</w:t>
            </w:r>
          </w:p>
        </w:tc>
        <w:tc>
          <w:tcPr>
            <w:tcW w:w="784" w:type="dxa"/>
            <w:vAlign w:val="center"/>
          </w:tcPr>
          <w:p w14:paraId="4721B432">
            <w:pPr>
              <w:tabs>
                <w:tab w:val="left" w:pos="8280"/>
              </w:tabs>
              <w:autoSpaceDE w:val="0"/>
              <w:autoSpaceDN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家</w:t>
            </w:r>
          </w:p>
        </w:tc>
        <w:tc>
          <w:tcPr>
            <w:tcW w:w="1383" w:type="dxa"/>
            <w:vAlign w:val="center"/>
          </w:tcPr>
          <w:p w14:paraId="0DADA614">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500</w:t>
            </w:r>
            <w:r>
              <w:rPr>
                <w:rFonts w:hint="eastAsia" w:ascii="宋体" w:hAnsi="宋体" w:cs="宋体"/>
                <w:b w:val="0"/>
                <w:bCs/>
                <w:color w:val="auto"/>
                <w:sz w:val="21"/>
                <w:szCs w:val="21"/>
                <w:highlight w:val="none"/>
                <w:lang w:val="en-US" w:eastAsia="zh-CN"/>
              </w:rPr>
              <w:t>元/家</w:t>
            </w:r>
          </w:p>
        </w:tc>
        <w:tc>
          <w:tcPr>
            <w:tcW w:w="1125" w:type="dxa"/>
            <w:vMerge w:val="continue"/>
            <w:vAlign w:val="center"/>
          </w:tcPr>
          <w:p w14:paraId="4B7130E7">
            <w:pPr>
              <w:widowControl/>
              <w:adjustRightInd w:val="0"/>
              <w:snapToGrid w:val="0"/>
              <w:ind w:left="-105" w:leftChars="-50" w:right="-105" w:rightChars="-50"/>
              <w:jc w:val="center"/>
              <w:rPr>
                <w:rFonts w:hint="eastAsia" w:ascii="宋体" w:hAnsi="宋体" w:eastAsia="宋体" w:cs="宋体"/>
                <w:bCs/>
                <w:color w:val="auto"/>
                <w:sz w:val="21"/>
                <w:szCs w:val="21"/>
                <w:highlight w:val="none"/>
              </w:rPr>
            </w:pPr>
          </w:p>
        </w:tc>
      </w:tr>
      <w:tr w14:paraId="59E9B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55" w:type="dxa"/>
            <w:vAlign w:val="center"/>
          </w:tcPr>
          <w:p w14:paraId="39906893">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3510" w:type="dxa"/>
            <w:gridSpan w:val="2"/>
            <w:vAlign w:val="center"/>
          </w:tcPr>
          <w:p w14:paraId="626E72F3">
            <w:pPr>
              <w:widowControl/>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排污登记延续、变更技术服务</w:t>
            </w:r>
            <w:r>
              <w:rPr>
                <w:rFonts w:hint="eastAsia" w:ascii="宋体" w:hAnsi="宋体" w:eastAsia="宋体" w:cs="宋体"/>
                <w:color w:val="auto"/>
                <w:sz w:val="21"/>
                <w:szCs w:val="21"/>
                <w:highlight w:val="none"/>
                <w:lang w:val="en-US" w:eastAsia="zh-CN"/>
              </w:rPr>
              <w:t>项目</w:t>
            </w:r>
          </w:p>
        </w:tc>
        <w:tc>
          <w:tcPr>
            <w:tcW w:w="1178" w:type="dxa"/>
            <w:vAlign w:val="center"/>
          </w:tcPr>
          <w:p w14:paraId="11682BDC">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500</w:t>
            </w:r>
          </w:p>
        </w:tc>
        <w:tc>
          <w:tcPr>
            <w:tcW w:w="784" w:type="dxa"/>
            <w:vAlign w:val="center"/>
          </w:tcPr>
          <w:p w14:paraId="46A2E11E">
            <w:pPr>
              <w:tabs>
                <w:tab w:val="left" w:pos="8280"/>
              </w:tabs>
              <w:autoSpaceDE w:val="0"/>
              <w:autoSpaceDN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家</w:t>
            </w:r>
          </w:p>
        </w:tc>
        <w:tc>
          <w:tcPr>
            <w:tcW w:w="1383" w:type="dxa"/>
            <w:vAlign w:val="center"/>
          </w:tcPr>
          <w:p w14:paraId="1CB84EF1">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750</w:t>
            </w:r>
            <w:r>
              <w:rPr>
                <w:rFonts w:hint="eastAsia" w:ascii="宋体" w:hAnsi="宋体" w:cs="宋体"/>
                <w:b w:val="0"/>
                <w:bCs/>
                <w:color w:val="auto"/>
                <w:sz w:val="21"/>
                <w:szCs w:val="21"/>
                <w:highlight w:val="none"/>
                <w:lang w:val="en-US" w:eastAsia="zh-CN"/>
              </w:rPr>
              <w:t>元/家</w:t>
            </w:r>
          </w:p>
        </w:tc>
        <w:tc>
          <w:tcPr>
            <w:tcW w:w="1125" w:type="dxa"/>
            <w:vMerge w:val="continue"/>
            <w:vAlign w:val="center"/>
          </w:tcPr>
          <w:p w14:paraId="25D59CC5">
            <w:pPr>
              <w:widowControl/>
              <w:adjustRightInd w:val="0"/>
              <w:snapToGrid w:val="0"/>
              <w:ind w:left="-105" w:leftChars="-50" w:right="-105" w:rightChars="-50"/>
              <w:jc w:val="center"/>
              <w:rPr>
                <w:rFonts w:hint="eastAsia" w:ascii="宋体" w:hAnsi="宋体" w:eastAsia="宋体" w:cs="宋体"/>
                <w:bCs/>
                <w:color w:val="auto"/>
                <w:sz w:val="21"/>
                <w:szCs w:val="21"/>
                <w:highlight w:val="none"/>
              </w:rPr>
            </w:pPr>
          </w:p>
        </w:tc>
      </w:tr>
      <w:tr w14:paraId="07135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55" w:type="dxa"/>
            <w:vAlign w:val="center"/>
          </w:tcPr>
          <w:p w14:paraId="4F1A986B">
            <w:pPr>
              <w:tabs>
                <w:tab w:val="left" w:pos="8280"/>
              </w:tabs>
              <w:autoSpaceDE w:val="0"/>
              <w:autoSpaceDN w:val="0"/>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3510" w:type="dxa"/>
            <w:gridSpan w:val="2"/>
            <w:vAlign w:val="center"/>
          </w:tcPr>
          <w:p w14:paraId="376E8857">
            <w:pPr>
              <w:widowControl/>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系列督察整改复核及其他相关交办问题技术服务</w:t>
            </w:r>
            <w:r>
              <w:rPr>
                <w:rFonts w:hint="eastAsia" w:ascii="宋体" w:hAnsi="宋体" w:eastAsia="宋体" w:cs="宋体"/>
                <w:color w:val="auto"/>
                <w:sz w:val="21"/>
                <w:szCs w:val="21"/>
                <w:highlight w:val="none"/>
                <w:lang w:val="en-US" w:eastAsia="zh-CN"/>
              </w:rPr>
              <w:t>项目</w:t>
            </w:r>
          </w:p>
        </w:tc>
        <w:tc>
          <w:tcPr>
            <w:tcW w:w="1178" w:type="dxa"/>
            <w:vAlign w:val="center"/>
          </w:tcPr>
          <w:p w14:paraId="7C8C3DCA">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84" w:type="dxa"/>
            <w:vAlign w:val="center"/>
          </w:tcPr>
          <w:p w14:paraId="3FB77788">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1383" w:type="dxa"/>
            <w:vAlign w:val="center"/>
          </w:tcPr>
          <w:p w14:paraId="7DF2151A">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120000</w:t>
            </w:r>
            <w:r>
              <w:rPr>
                <w:rFonts w:hint="eastAsia" w:ascii="宋体" w:hAnsi="宋体" w:cs="宋体"/>
                <w:b w:val="0"/>
                <w:bCs/>
                <w:color w:val="auto"/>
                <w:sz w:val="21"/>
                <w:szCs w:val="21"/>
                <w:highlight w:val="none"/>
                <w:lang w:val="en-US" w:eastAsia="zh-CN"/>
              </w:rPr>
              <w:t>元/项</w:t>
            </w:r>
          </w:p>
        </w:tc>
        <w:tc>
          <w:tcPr>
            <w:tcW w:w="1125" w:type="dxa"/>
            <w:vMerge w:val="continue"/>
            <w:vAlign w:val="center"/>
          </w:tcPr>
          <w:p w14:paraId="244A37B4">
            <w:pPr>
              <w:widowControl/>
              <w:adjustRightInd w:val="0"/>
              <w:snapToGrid w:val="0"/>
              <w:ind w:left="-105" w:leftChars="-50" w:right="-105" w:rightChars="-50"/>
              <w:jc w:val="center"/>
              <w:rPr>
                <w:rFonts w:hint="eastAsia" w:ascii="宋体" w:hAnsi="宋体" w:eastAsia="宋体" w:cs="宋体"/>
                <w:bCs/>
                <w:color w:val="auto"/>
                <w:sz w:val="21"/>
                <w:szCs w:val="21"/>
                <w:highlight w:val="none"/>
              </w:rPr>
            </w:pPr>
          </w:p>
        </w:tc>
      </w:tr>
      <w:tr w14:paraId="3C6B4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5" w:type="dxa"/>
            <w:vAlign w:val="center"/>
          </w:tcPr>
          <w:p w14:paraId="25F9C2DF">
            <w:pPr>
              <w:tabs>
                <w:tab w:val="left" w:pos="8280"/>
              </w:tabs>
              <w:autoSpaceDE w:val="0"/>
              <w:autoSpaceDN w:val="0"/>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3510" w:type="dxa"/>
            <w:gridSpan w:val="2"/>
            <w:vAlign w:val="center"/>
          </w:tcPr>
          <w:p w14:paraId="4C166D13">
            <w:pPr>
              <w:widowControl/>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温室气体排放报告审核服务</w:t>
            </w:r>
            <w:r>
              <w:rPr>
                <w:rFonts w:hint="eastAsia" w:ascii="宋体" w:hAnsi="宋体" w:eastAsia="宋体" w:cs="宋体"/>
                <w:color w:val="auto"/>
                <w:sz w:val="21"/>
                <w:szCs w:val="21"/>
                <w:highlight w:val="none"/>
                <w:lang w:val="en-US" w:eastAsia="zh-CN"/>
              </w:rPr>
              <w:t>项目</w:t>
            </w:r>
          </w:p>
        </w:tc>
        <w:tc>
          <w:tcPr>
            <w:tcW w:w="1178" w:type="dxa"/>
            <w:vAlign w:val="center"/>
          </w:tcPr>
          <w:p w14:paraId="707CFA3C">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86</w:t>
            </w:r>
          </w:p>
        </w:tc>
        <w:tc>
          <w:tcPr>
            <w:tcW w:w="784" w:type="dxa"/>
            <w:vAlign w:val="center"/>
          </w:tcPr>
          <w:p w14:paraId="16C6EFE6">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家</w:t>
            </w:r>
          </w:p>
        </w:tc>
        <w:tc>
          <w:tcPr>
            <w:tcW w:w="1383" w:type="dxa"/>
            <w:vAlign w:val="center"/>
          </w:tcPr>
          <w:p w14:paraId="1BF985B5">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500</w:t>
            </w:r>
            <w:r>
              <w:rPr>
                <w:rFonts w:hint="eastAsia" w:ascii="宋体" w:hAnsi="宋体" w:cs="宋体"/>
                <w:b w:val="0"/>
                <w:bCs/>
                <w:color w:val="auto"/>
                <w:sz w:val="21"/>
                <w:szCs w:val="21"/>
                <w:highlight w:val="none"/>
                <w:lang w:val="en-US" w:eastAsia="zh-CN"/>
              </w:rPr>
              <w:t>元/家</w:t>
            </w:r>
          </w:p>
        </w:tc>
        <w:tc>
          <w:tcPr>
            <w:tcW w:w="1125" w:type="dxa"/>
            <w:vMerge w:val="continue"/>
            <w:vAlign w:val="center"/>
          </w:tcPr>
          <w:p w14:paraId="374B141D">
            <w:pPr>
              <w:widowControl/>
              <w:adjustRightInd w:val="0"/>
              <w:snapToGrid w:val="0"/>
              <w:ind w:left="-105" w:leftChars="-50" w:right="-105" w:rightChars="-50"/>
              <w:jc w:val="center"/>
              <w:rPr>
                <w:rFonts w:hint="eastAsia" w:ascii="宋体" w:hAnsi="宋体" w:eastAsia="宋体" w:cs="宋体"/>
                <w:bCs/>
                <w:color w:val="auto"/>
                <w:sz w:val="21"/>
                <w:szCs w:val="21"/>
                <w:highlight w:val="none"/>
              </w:rPr>
            </w:pPr>
          </w:p>
        </w:tc>
      </w:tr>
    </w:tbl>
    <w:p w14:paraId="646AFEF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u w:val="single"/>
          <w:shd w:val="pct10" w:color="auto" w:fill="FFFFFF"/>
          <w:lang w:eastAsia="zh-CN"/>
        </w:rPr>
      </w:pPr>
      <w:r>
        <w:rPr>
          <w:rFonts w:hint="eastAsia" w:ascii="宋体" w:hAnsi="宋体" w:eastAsia="宋体" w:cs="宋体"/>
          <w:b/>
          <w:bCs/>
          <w:color w:val="auto"/>
          <w:sz w:val="21"/>
          <w:szCs w:val="21"/>
          <w:highlight w:val="none"/>
          <w:u w:val="single"/>
          <w:shd w:val="pct10" w:color="auto" w:fill="FFFFFF"/>
        </w:rPr>
        <w:t>▲</w:t>
      </w:r>
      <w:r>
        <w:rPr>
          <w:rFonts w:hint="eastAsia" w:asciiTheme="minorEastAsia" w:hAnsiTheme="minorEastAsia" w:eastAsiaTheme="minorEastAsia" w:cstheme="minorEastAsia"/>
          <w:b/>
          <w:bCs/>
          <w:color w:val="auto"/>
          <w:sz w:val="21"/>
          <w:szCs w:val="21"/>
          <w:highlight w:val="none"/>
          <w:u w:val="single"/>
          <w:shd w:val="pct10" w:color="auto" w:fill="FFFFFF"/>
        </w:rPr>
        <w:t>备注：</w:t>
      </w:r>
      <w:r>
        <w:rPr>
          <w:rFonts w:hint="eastAsia" w:asciiTheme="minorEastAsia" w:hAnsiTheme="minorEastAsia" w:eastAsiaTheme="minorEastAsia" w:cstheme="minorEastAsia"/>
          <w:b/>
          <w:bCs/>
          <w:color w:val="auto"/>
          <w:sz w:val="21"/>
          <w:szCs w:val="21"/>
          <w:highlight w:val="none"/>
          <w:u w:val="single"/>
          <w:shd w:val="pct10" w:color="auto" w:fill="FFFFFF"/>
          <w:lang w:val="en-US" w:eastAsia="zh-CN"/>
        </w:rPr>
        <w:t>投标人的</w:t>
      </w:r>
      <w:r>
        <w:rPr>
          <w:rFonts w:hint="eastAsia" w:asciiTheme="minorEastAsia" w:hAnsiTheme="minorEastAsia" w:eastAsiaTheme="minorEastAsia" w:cstheme="minorEastAsia"/>
          <w:b/>
          <w:bCs/>
          <w:color w:val="auto"/>
          <w:sz w:val="21"/>
          <w:szCs w:val="21"/>
          <w:highlight w:val="none"/>
          <w:u w:val="single"/>
          <w:shd w:val="pct10" w:color="auto" w:fill="FFFFFF"/>
        </w:rPr>
        <w:t>投标单价不得超过本采购内容中设定的最高限</w:t>
      </w:r>
      <w:r>
        <w:rPr>
          <w:rFonts w:hint="eastAsia" w:asciiTheme="minorEastAsia" w:hAnsiTheme="minorEastAsia" w:eastAsiaTheme="minorEastAsia" w:cstheme="minorEastAsia"/>
          <w:b/>
          <w:bCs/>
          <w:color w:val="auto"/>
          <w:sz w:val="21"/>
          <w:szCs w:val="21"/>
          <w:highlight w:val="none"/>
          <w:u w:val="single"/>
          <w:shd w:val="pct10" w:color="auto" w:fill="FFFFFF"/>
          <w:lang w:val="en-US" w:eastAsia="zh-CN"/>
        </w:rPr>
        <w:t>单</w:t>
      </w:r>
      <w:r>
        <w:rPr>
          <w:rFonts w:hint="eastAsia" w:asciiTheme="minorEastAsia" w:hAnsiTheme="minorEastAsia" w:eastAsiaTheme="minorEastAsia" w:cstheme="minorEastAsia"/>
          <w:b/>
          <w:bCs/>
          <w:color w:val="auto"/>
          <w:sz w:val="21"/>
          <w:szCs w:val="21"/>
          <w:highlight w:val="none"/>
          <w:u w:val="single"/>
          <w:shd w:val="pct10" w:color="auto" w:fill="FFFFFF"/>
        </w:rPr>
        <w:t>价，否</w:t>
      </w:r>
      <w:r>
        <w:rPr>
          <w:rFonts w:hint="eastAsia" w:asciiTheme="minorEastAsia" w:hAnsiTheme="minorEastAsia" w:eastAsiaTheme="minorEastAsia" w:cstheme="minorEastAsia"/>
          <w:b/>
          <w:bCs/>
          <w:color w:val="auto"/>
          <w:sz w:val="21"/>
          <w:szCs w:val="21"/>
          <w:highlight w:val="none"/>
          <w:u w:val="single"/>
          <w:shd w:val="pct10" w:color="auto" w:fill="FFFFFF"/>
          <w:lang w:val="en-US" w:eastAsia="zh-CN"/>
        </w:rPr>
        <w:t>则</w:t>
      </w:r>
      <w:r>
        <w:rPr>
          <w:rFonts w:hint="eastAsia" w:asciiTheme="minorEastAsia" w:hAnsiTheme="minorEastAsia" w:eastAsiaTheme="minorEastAsia" w:cstheme="minorEastAsia"/>
          <w:b/>
          <w:bCs/>
          <w:color w:val="auto"/>
          <w:sz w:val="21"/>
          <w:szCs w:val="21"/>
          <w:highlight w:val="none"/>
          <w:u w:val="single"/>
          <w:shd w:val="pct10" w:color="auto" w:fill="FFFFFF"/>
        </w:rPr>
        <w:t>为无效标</w:t>
      </w:r>
      <w:r>
        <w:rPr>
          <w:rFonts w:hint="eastAsia" w:asciiTheme="minorEastAsia" w:hAnsiTheme="minorEastAsia" w:eastAsiaTheme="minorEastAsia" w:cstheme="minorEastAsia"/>
          <w:b/>
          <w:bCs/>
          <w:color w:val="auto"/>
          <w:sz w:val="21"/>
          <w:szCs w:val="21"/>
          <w:highlight w:val="none"/>
          <w:u w:val="single"/>
          <w:shd w:val="pct10" w:color="auto" w:fill="FFFFFF"/>
          <w:lang w:eastAsia="zh-CN"/>
        </w:rPr>
        <w:t>。</w:t>
      </w:r>
    </w:p>
    <w:p w14:paraId="24CDF18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服务</w:t>
      </w:r>
      <w:r>
        <w:rPr>
          <w:rFonts w:hint="eastAsia" w:ascii="宋体" w:hAnsi="宋体" w:eastAsia="宋体" w:cs="宋体"/>
          <w:b/>
          <w:color w:val="auto"/>
          <w:sz w:val="21"/>
          <w:szCs w:val="21"/>
          <w:highlight w:val="none"/>
        </w:rPr>
        <w:t>内容</w:t>
      </w:r>
    </w:p>
    <w:p w14:paraId="7B3F708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bookmarkStart w:id="1" w:name="_Toc840"/>
      <w:bookmarkStart w:id="2" w:name="_Toc6316"/>
      <w:bookmarkStart w:id="3" w:name="_Toc28476"/>
      <w:r>
        <w:rPr>
          <w:rFonts w:hint="eastAsia" w:ascii="宋体" w:hAnsi="宋体" w:eastAsia="宋体" w:cs="宋体"/>
          <w:b/>
          <w:bCs/>
          <w:color w:val="auto"/>
          <w:sz w:val="21"/>
          <w:szCs w:val="21"/>
          <w:highlight w:val="none"/>
        </w:rPr>
        <w:t>1、废气低效设施改造升级项目</w:t>
      </w:r>
    </w:p>
    <w:p w14:paraId="1F07888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台州湾新区内重点企业废气设施进行排查摸底，根据《浙江省重点行业挥发性有机物污染防治可行技术指南》和《台州市“以废治废”活性炭治理体系建设工作方案》等相关文件要求制定需要整治的企业名单。对需升级改造的企业制定问题清单，改造过程进行监督指导和技术支持，及时反馈各类问题并提出解决措施。在企业完成升级改造后，对照《浙江省重点行业挥发性有机物污染防治可行技术指南》和《台州市“以废治废”活性炭治理体系建设工作方案》等相关文件要求进行验收指导</w:t>
      </w:r>
      <w:r>
        <w:rPr>
          <w:rFonts w:hint="eastAsia" w:ascii="宋体" w:hAnsi="宋体" w:eastAsia="宋体" w:cs="宋体"/>
          <w:color w:val="auto"/>
          <w:sz w:val="21"/>
          <w:szCs w:val="21"/>
          <w:highlight w:val="none"/>
          <w:lang w:eastAsia="zh-CN"/>
        </w:rPr>
        <w:t>，完成</w:t>
      </w:r>
      <w:r>
        <w:rPr>
          <w:rFonts w:hint="eastAsia" w:ascii="宋体" w:hAnsi="宋体" w:eastAsia="宋体" w:cs="宋体"/>
          <w:color w:val="auto"/>
          <w:sz w:val="21"/>
          <w:szCs w:val="21"/>
          <w:highlight w:val="none"/>
          <w:lang w:val="en-US" w:eastAsia="zh-CN"/>
        </w:rPr>
        <w:t>30家左右废气低效设施改造升级</w:t>
      </w:r>
      <w:r>
        <w:rPr>
          <w:rFonts w:hint="eastAsia" w:ascii="宋体" w:hAnsi="宋体" w:eastAsia="宋体" w:cs="宋体"/>
          <w:color w:val="auto"/>
          <w:sz w:val="21"/>
          <w:szCs w:val="21"/>
          <w:highlight w:val="none"/>
        </w:rPr>
        <w:t>。</w:t>
      </w:r>
    </w:p>
    <w:p w14:paraId="7A601B3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2、绩效提级</w:t>
      </w:r>
      <w:r>
        <w:rPr>
          <w:rFonts w:hint="eastAsia" w:ascii="宋体" w:hAnsi="宋体" w:eastAsia="宋体" w:cs="宋体"/>
          <w:b/>
          <w:bCs/>
          <w:color w:val="auto"/>
          <w:sz w:val="21"/>
          <w:szCs w:val="21"/>
          <w:highlight w:val="none"/>
          <w:lang w:val="en-US" w:eastAsia="zh-CN"/>
        </w:rPr>
        <w:t>技术服务（B级）</w:t>
      </w:r>
    </w:p>
    <w:p w14:paraId="10A529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bookmarkStart w:id="4" w:name="_Hlk138544140"/>
      <w:bookmarkEnd w:id="4"/>
      <w:bookmarkStart w:id="5" w:name="_Hlk138533571"/>
      <w:bookmarkEnd w:id="5"/>
      <w:r>
        <w:rPr>
          <w:rFonts w:hint="eastAsia" w:ascii="宋体" w:hAnsi="宋体" w:eastAsia="宋体" w:cs="宋体"/>
          <w:color w:val="auto"/>
          <w:sz w:val="21"/>
          <w:szCs w:val="21"/>
          <w:highlight w:val="none"/>
        </w:rPr>
        <w:t>在台州市大气污染源清单、第二次污染源普查调查等资料基础上，通过名单初筛、可行性预判给出企业名单筛选建议，明确202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年提级企业底册清单，开展台州湾新区202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企业污染防治绩效提级工作。通过咨询答疑、资料核查、现场指导等多种形式，按照绩效分级指标，对台州湾新区企业开展“一对一”大气污染防治绩效分级指导，协助企业准备绩效提级申报材料，同时归档绩效提级企业申报材料。指导服务完成</w:t>
      </w:r>
      <w:r>
        <w:rPr>
          <w:rFonts w:hint="eastAsia" w:ascii="宋体" w:hAnsi="宋体" w:eastAsia="宋体" w:cs="宋体"/>
          <w:color w:val="auto"/>
          <w:sz w:val="21"/>
          <w:szCs w:val="21"/>
          <w:highlight w:val="none"/>
          <w:lang w:val="en-US" w:eastAsia="zh-CN"/>
        </w:rPr>
        <w:t>B级10家左右</w:t>
      </w:r>
      <w:r>
        <w:rPr>
          <w:rFonts w:hint="eastAsia" w:ascii="宋体" w:hAnsi="宋体" w:eastAsia="宋体" w:cs="宋体"/>
          <w:color w:val="auto"/>
          <w:sz w:val="21"/>
          <w:szCs w:val="21"/>
          <w:highlight w:val="none"/>
        </w:rPr>
        <w:t>绩效提级资料申请审核工作。</w:t>
      </w:r>
    </w:p>
    <w:p w14:paraId="486AFCD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3、源头替代</w:t>
      </w:r>
      <w:r>
        <w:rPr>
          <w:rFonts w:hint="eastAsia" w:ascii="宋体" w:hAnsi="宋体" w:eastAsia="宋体" w:cs="宋体"/>
          <w:b/>
          <w:bCs/>
          <w:color w:val="auto"/>
          <w:sz w:val="21"/>
          <w:szCs w:val="21"/>
          <w:highlight w:val="none"/>
          <w:lang w:val="en-US" w:eastAsia="zh-CN"/>
        </w:rPr>
        <w:t>技术服务</w:t>
      </w:r>
    </w:p>
    <w:p w14:paraId="1D69FA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对园区内涉VOCs企业进行排查摸底，调查涉VOCs原料，制定相应的企业名单筛选建议。及时组织宣传培训，协助鼓励企业进行低VOCs原辅料的使用，减少VOCs挥发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完成源头替代</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家</w:t>
      </w:r>
      <w:r>
        <w:rPr>
          <w:rFonts w:hint="eastAsia" w:ascii="宋体" w:hAnsi="宋体" w:eastAsia="宋体" w:cs="宋体"/>
          <w:color w:val="auto"/>
          <w:sz w:val="21"/>
          <w:szCs w:val="21"/>
          <w:highlight w:val="none"/>
          <w:lang w:val="en-US" w:eastAsia="zh-CN"/>
        </w:rPr>
        <w:t>左右</w:t>
      </w:r>
      <w:r>
        <w:rPr>
          <w:rFonts w:hint="eastAsia" w:ascii="宋体" w:hAnsi="宋体" w:eastAsia="宋体" w:cs="宋体"/>
          <w:color w:val="auto"/>
          <w:sz w:val="21"/>
          <w:szCs w:val="21"/>
          <w:highlight w:val="none"/>
        </w:rPr>
        <w:t>。</w:t>
      </w:r>
    </w:p>
    <w:p w14:paraId="6153164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4、固废</w:t>
      </w:r>
      <w:r>
        <w:rPr>
          <w:rFonts w:hint="eastAsia" w:ascii="宋体" w:hAnsi="宋体" w:eastAsia="宋体" w:cs="宋体"/>
          <w:b/>
          <w:bCs/>
          <w:color w:val="auto"/>
          <w:sz w:val="21"/>
          <w:szCs w:val="21"/>
          <w:highlight w:val="none"/>
          <w:lang w:val="en-US" w:eastAsia="zh-CN"/>
        </w:rPr>
        <w:t>规范化管理技术服务</w:t>
      </w:r>
    </w:p>
    <w:p w14:paraId="04F581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面对产废单位进行现场排查以及浙江省固废平台巡查，通过线上加线下规范化排查形式，指导企业严格按照标准落实。根据现场情况及线上填报情况，对企业现状进行打分，并现场指导，使企业能够按照相关规范要求，做好危废堆场的建设和相关的管理工作，并根据相关要求进行危险转移和处置。调查主要内容包括：①企业危废贮存设施建设及管理情况：②企业管理制度执行情况；③企业的厂容厂貌；④企业的标签标识执行情况等。检查服务企业完成30家</w:t>
      </w:r>
      <w:r>
        <w:rPr>
          <w:rFonts w:hint="eastAsia" w:ascii="宋体" w:hAnsi="宋体" w:eastAsia="宋体" w:cs="宋体"/>
          <w:color w:val="auto"/>
          <w:sz w:val="21"/>
          <w:szCs w:val="21"/>
          <w:highlight w:val="none"/>
          <w:lang w:val="en-US" w:eastAsia="zh-CN"/>
        </w:rPr>
        <w:t>左右</w:t>
      </w:r>
      <w:r>
        <w:rPr>
          <w:rFonts w:hint="eastAsia" w:ascii="宋体" w:hAnsi="宋体" w:eastAsia="宋体" w:cs="宋体"/>
          <w:color w:val="auto"/>
          <w:sz w:val="21"/>
          <w:szCs w:val="21"/>
          <w:highlight w:val="none"/>
        </w:rPr>
        <w:t>。</w:t>
      </w:r>
    </w:p>
    <w:p w14:paraId="79466D0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5、排污许可提质增效服务</w:t>
      </w:r>
    </w:p>
    <w:p w14:paraId="5C8438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严格按照排污许可证申请与核发技术规范，采取非现场审查和现场核查结合方式，重点关注与污染物排放直接相关的生产设施、污染防治设施管控等内容，持续做好新增固定污染源排污许可证的核发工作。按照《环境管理台账及排污许可证执行报告技术规范（试行）》（HJ944-2018）有关要求以及管理部门要求，对排污单位提交的执行报告进行审核，包括日常负责催报、指导和审核服务。</w:t>
      </w:r>
    </w:p>
    <w:p w14:paraId="657EE6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配合台州湾新区</w:t>
      </w:r>
      <w:r>
        <w:rPr>
          <w:rFonts w:hint="eastAsia" w:ascii="宋体" w:hAnsi="宋体" w:eastAsia="宋体" w:cs="宋体"/>
          <w:color w:val="auto"/>
          <w:sz w:val="21"/>
          <w:szCs w:val="21"/>
          <w:highlight w:val="none"/>
          <w:lang w:eastAsia="zh-CN"/>
        </w:rPr>
        <w:t>生态环境分局</w:t>
      </w:r>
      <w:r>
        <w:rPr>
          <w:rFonts w:hint="eastAsia" w:ascii="宋体" w:hAnsi="宋体" w:eastAsia="宋体" w:cs="宋体"/>
          <w:color w:val="auto"/>
          <w:sz w:val="21"/>
          <w:szCs w:val="21"/>
          <w:highlight w:val="none"/>
        </w:rPr>
        <w:t>开展日常排污许可证管理工作，包括与企业、核发部门的沟通协调工作，并做好资料打印、汇编成本、归档等工作。完成首次申领、重新申请审核</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家</w:t>
      </w:r>
      <w:r>
        <w:rPr>
          <w:rFonts w:hint="eastAsia" w:ascii="宋体" w:hAnsi="宋体" w:eastAsia="宋体" w:cs="宋体"/>
          <w:color w:val="auto"/>
          <w:sz w:val="21"/>
          <w:szCs w:val="21"/>
          <w:highlight w:val="none"/>
          <w:lang w:val="en-US" w:eastAsia="zh-CN"/>
        </w:rPr>
        <w:t>左右</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复</w:t>
      </w:r>
      <w:r>
        <w:rPr>
          <w:rFonts w:hint="eastAsia" w:ascii="宋体" w:hAnsi="宋体" w:eastAsia="宋体" w:cs="宋体"/>
          <w:color w:val="auto"/>
          <w:sz w:val="21"/>
          <w:szCs w:val="21"/>
          <w:highlight w:val="none"/>
        </w:rPr>
        <w:t>核</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家</w:t>
      </w:r>
      <w:r>
        <w:rPr>
          <w:rFonts w:hint="eastAsia" w:ascii="宋体" w:hAnsi="宋体" w:eastAsia="宋体" w:cs="宋体"/>
          <w:color w:val="auto"/>
          <w:sz w:val="21"/>
          <w:szCs w:val="21"/>
          <w:highlight w:val="none"/>
          <w:lang w:val="en-US" w:eastAsia="zh-CN"/>
        </w:rPr>
        <w:t>左右</w:t>
      </w:r>
      <w:r>
        <w:rPr>
          <w:rFonts w:hint="eastAsia" w:ascii="宋体" w:hAnsi="宋体" w:eastAsia="宋体" w:cs="宋体"/>
          <w:color w:val="auto"/>
          <w:sz w:val="21"/>
          <w:szCs w:val="21"/>
          <w:highlight w:val="none"/>
        </w:rPr>
        <w:t>，执行报告审核</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家</w:t>
      </w:r>
      <w:r>
        <w:rPr>
          <w:rFonts w:hint="eastAsia" w:ascii="宋体" w:hAnsi="宋体" w:eastAsia="宋体" w:cs="宋体"/>
          <w:color w:val="auto"/>
          <w:sz w:val="21"/>
          <w:szCs w:val="21"/>
          <w:highlight w:val="none"/>
          <w:lang w:val="en-US" w:eastAsia="zh-CN"/>
        </w:rPr>
        <w:t>左右</w:t>
      </w:r>
      <w:r>
        <w:rPr>
          <w:rFonts w:hint="eastAsia" w:ascii="宋体" w:hAnsi="宋体" w:eastAsia="宋体" w:cs="宋体"/>
          <w:color w:val="auto"/>
          <w:sz w:val="21"/>
          <w:szCs w:val="21"/>
          <w:highlight w:val="none"/>
        </w:rPr>
        <w:t>。</w:t>
      </w:r>
    </w:p>
    <w:p w14:paraId="4EC5156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6、“无废细胞”建设技术服务</w:t>
      </w:r>
    </w:p>
    <w:p w14:paraId="258FCA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浙江省全域“无废城市”建设实施方案（2022-2025年）》、《台州市国家级“无废城市”建设实施方案（2022-2025）》等文件要求，结合浙江省和台州市年度重点工作任务，开展2025年度台州湾新区“无废城市”建设工作全程技术指导。</w:t>
      </w:r>
    </w:p>
    <w:p w14:paraId="0B03AC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开展“无废城市细胞”区级申报验收技术指导，包括现场核查及资料审查，分别对资料以及现场问题提出整改和优化建议；协助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无废城市细胞</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创建主体完成生态环境主管部门最终验收（包括后续整改），并协助创建主体上传申报材料至“浙里无废”系统，直至获得正式命名和“细胞证书”。</w:t>
      </w:r>
      <w:r>
        <w:rPr>
          <w:rFonts w:hint="eastAsia" w:ascii="宋体" w:hAnsi="宋体" w:eastAsia="宋体" w:cs="宋体"/>
          <w:color w:val="auto"/>
          <w:sz w:val="21"/>
          <w:szCs w:val="21"/>
          <w:highlight w:val="none"/>
          <w:lang w:eastAsia="zh-CN"/>
        </w:rPr>
        <w:t>协助</w:t>
      </w:r>
      <w:r>
        <w:rPr>
          <w:rFonts w:hint="eastAsia" w:ascii="宋体" w:hAnsi="宋体" w:eastAsia="宋体" w:cs="宋体"/>
          <w:color w:val="auto"/>
          <w:sz w:val="21"/>
          <w:szCs w:val="21"/>
          <w:highlight w:val="none"/>
        </w:rPr>
        <w:t>台州湾新区</w:t>
      </w:r>
      <w:r>
        <w:rPr>
          <w:rFonts w:hint="eastAsia" w:ascii="宋体" w:hAnsi="宋体" w:eastAsia="宋体" w:cs="宋体"/>
          <w:color w:val="auto"/>
          <w:sz w:val="21"/>
          <w:szCs w:val="21"/>
          <w:highlight w:val="none"/>
          <w:lang w:eastAsia="zh-CN"/>
        </w:rPr>
        <w:t>生态环境分局在命名的“</w:t>
      </w:r>
      <w:r>
        <w:rPr>
          <w:rFonts w:hint="eastAsia" w:ascii="宋体" w:hAnsi="宋体" w:eastAsia="宋体" w:cs="宋体"/>
          <w:color w:val="auto"/>
          <w:sz w:val="21"/>
          <w:szCs w:val="21"/>
          <w:highlight w:val="none"/>
          <w:lang w:val="en-US" w:eastAsia="zh-CN"/>
        </w:rPr>
        <w:t>无废城市细胞</w:t>
      </w:r>
      <w:r>
        <w:rPr>
          <w:rFonts w:hint="eastAsia" w:ascii="宋体" w:hAnsi="宋体" w:eastAsia="宋体" w:cs="宋体"/>
          <w:color w:val="auto"/>
          <w:sz w:val="21"/>
          <w:szCs w:val="21"/>
          <w:highlight w:val="none"/>
          <w:lang w:eastAsia="zh-CN"/>
        </w:rPr>
        <w:t>”中筛选参评省级</w:t>
      </w:r>
      <w:r>
        <w:rPr>
          <w:rFonts w:hint="eastAsia" w:ascii="宋体" w:hAnsi="宋体" w:eastAsia="宋体" w:cs="宋体"/>
          <w:color w:val="auto"/>
          <w:sz w:val="21"/>
          <w:szCs w:val="21"/>
          <w:highlight w:val="none"/>
          <w:lang w:val="en-US" w:eastAsia="zh-CN"/>
        </w:rPr>
        <w:t>优秀“无废城市细胞”</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总结</w:t>
      </w:r>
      <w:r>
        <w:rPr>
          <w:rFonts w:hint="eastAsia" w:ascii="宋体" w:hAnsi="宋体" w:eastAsia="宋体" w:cs="宋体"/>
          <w:color w:val="auto"/>
          <w:sz w:val="21"/>
          <w:szCs w:val="21"/>
          <w:highlight w:val="none"/>
          <w:lang w:eastAsia="zh-CN"/>
        </w:rPr>
        <w:t>细胞亮点，</w:t>
      </w:r>
      <w:r>
        <w:rPr>
          <w:rFonts w:hint="eastAsia" w:ascii="宋体" w:hAnsi="宋体" w:eastAsia="宋体" w:cs="宋体"/>
          <w:color w:val="auto"/>
          <w:sz w:val="21"/>
          <w:szCs w:val="21"/>
          <w:highlight w:val="none"/>
          <w:lang w:val="en-US" w:eastAsia="zh-CN"/>
        </w:rPr>
        <w:t>完成5个左右“无废细胞”创建。</w:t>
      </w:r>
    </w:p>
    <w:p w14:paraId="27F3B685">
      <w:pPr>
        <w:pStyle w:val="2"/>
        <w:keepNext w:val="0"/>
        <w:keepLines w:val="0"/>
        <w:pageBreakBefore w:val="0"/>
        <w:widowControl w:val="0"/>
        <w:tabs>
          <w:tab w:val="left" w:pos="8280"/>
        </w:tabs>
        <w:kinsoku/>
        <w:wordWrap/>
        <w:overflowPunct/>
        <w:topLinePunct w:val="0"/>
        <w:autoSpaceDE/>
        <w:autoSpaceDN/>
        <w:bidi w:val="0"/>
        <w:adjustRightInd/>
        <w:snapToGrid/>
        <w:spacing w:before="0" w:after="0" w:line="36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7、排污权交易及初始排污权数据审核技术服务</w:t>
      </w:r>
    </w:p>
    <w:p w14:paraId="3671ED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浙江省人民政府办公厅关于印发浙江省排污权有偿使用和交易管理办法的通知》(台政办发【2023】18号)和《台州市生态环境局台市发展和改革委员会台州市财政局国家税务总局台州市税务局人民银行台州市分行关于规范台州市排污权有偿使用和交易工作的通知》(台环发【2024】39号)文件要求，需对辖区内企业新增排污权交易和初始排污权数据进行审核。</w:t>
      </w:r>
    </w:p>
    <w:p w14:paraId="22FC9F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展企业排污权交易及初始排污权数据审核工作，协助台州湾新区生态环境分局对辖区内排污单位提交的排污权申购材料进行审核，核算企业新增排污权情况，跟进企业排污权交易的进展，指导企业排污权交易的申购；协助对辖区内排污单位初始排污权数据进行审核，梳理汇总企业初始排污权相关资料，复核企业初始排污权数据。新增排污权交易审核30家左右，初始排污权数据审核60家左右。</w:t>
      </w:r>
    </w:p>
    <w:p w14:paraId="4BFEAB5F">
      <w:pPr>
        <w:pStyle w:val="2"/>
        <w:keepNext w:val="0"/>
        <w:keepLines w:val="0"/>
        <w:pageBreakBefore w:val="0"/>
        <w:widowControl w:val="0"/>
        <w:tabs>
          <w:tab w:val="left" w:pos="8280"/>
        </w:tabs>
        <w:kinsoku/>
        <w:wordWrap/>
        <w:overflowPunct/>
        <w:topLinePunct w:val="0"/>
        <w:autoSpaceDE/>
        <w:autoSpaceDN/>
        <w:bidi w:val="0"/>
        <w:adjustRightInd/>
        <w:snapToGrid/>
        <w:spacing w:before="0" w:after="0" w:line="36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8、排污登记延续、变更技术服务</w:t>
      </w:r>
    </w:p>
    <w:p w14:paraId="71650B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台州市生态环境局关于印发2025年行政审批工作要点的通知》有关工作要求，需组织开展排污登记延续、变更工作。包括协助台州湾新区生态环境分局推进工业噪声依法纳入排污登记，组织指导企业开展排污登记延续。排污登记延续、变更企业家数500家左右。</w:t>
      </w:r>
    </w:p>
    <w:p w14:paraId="63F3AE25">
      <w:pPr>
        <w:pStyle w:val="2"/>
        <w:keepNext w:val="0"/>
        <w:keepLines w:val="0"/>
        <w:pageBreakBefore w:val="0"/>
        <w:widowControl w:val="0"/>
        <w:tabs>
          <w:tab w:val="left" w:pos="8280"/>
        </w:tabs>
        <w:kinsoku/>
        <w:wordWrap/>
        <w:overflowPunct/>
        <w:topLinePunct w:val="0"/>
        <w:autoSpaceDE/>
        <w:autoSpaceDN/>
        <w:bidi w:val="0"/>
        <w:adjustRightInd/>
        <w:snapToGrid/>
        <w:spacing w:before="0" w:after="0" w:line="36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9、系列督察整改复核及其他相关交办问题技术服务</w:t>
      </w:r>
    </w:p>
    <w:p w14:paraId="54C05D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为切实提高历轮中央生态环境保护督察交办信访件整改质效，严格落实各信访件办结目标和整改措施,根据中央生态环境保护督察交办信访件、《中共浙江省委办公厅 浙江省人民政府办公厅关于持续做好生态环境保护督察有关工作的通知》和《中央生态环境保护督察台州市整改工作协调小组关于开展历轮中央生态环境保护督察交办信访件“回头看”工作的通知》([2025]14号)有关工作要求，结合新区实际，决定开展系列督察及其他相关交办问题整改复核工作。</w:t>
      </w:r>
    </w:p>
    <w:p w14:paraId="4FF7B2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开展台州湾新区系列督察整改复核及其他相关交办问题技术咨询服务，包括梳理汇总辖区内系列督察及其他相关交办问题整改资料，复核相关问题整改情况并对整改实效进行评估。</w:t>
      </w:r>
    </w:p>
    <w:p w14:paraId="74249451">
      <w:pPr>
        <w:pStyle w:val="2"/>
        <w:keepNext w:val="0"/>
        <w:keepLines w:val="0"/>
        <w:pageBreakBefore w:val="0"/>
        <w:widowControl w:val="0"/>
        <w:tabs>
          <w:tab w:val="left" w:pos="8280"/>
        </w:tabs>
        <w:kinsoku/>
        <w:wordWrap/>
        <w:overflowPunct/>
        <w:topLinePunct w:val="0"/>
        <w:autoSpaceDE/>
        <w:autoSpaceDN/>
        <w:bidi w:val="0"/>
        <w:adjustRightInd/>
        <w:snapToGrid/>
        <w:spacing w:before="0" w:after="0" w:line="36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10、温室气体排放报告审核服务</w:t>
      </w:r>
    </w:p>
    <w:p w14:paraId="0986D8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建立重点企业碳排放管理台账，夯实谈账户数据基础，按照《浙江省减污降碳协同创新区建设实施方案》的相关工作要求，决定开展温室气体排放报告审核工作，包括协助台州湾新区生态环境分局收集企业温室气体排放报告，审核报告质量，核实企业现场实际情况，指导企业完成季报和年报的相关数据汇总和报送。温室气体排放报告审核86家次左右。</w:t>
      </w:r>
    </w:p>
    <w:p w14:paraId="2D92715E">
      <w:pPr>
        <w:keepNext w:val="0"/>
        <w:keepLines w:val="0"/>
        <w:pageBreakBefore w:val="0"/>
        <w:widowControl w:val="0"/>
        <w:numPr>
          <w:ilvl w:val="255"/>
          <w:numId w:val="0"/>
        </w:numPr>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、工作成果</w:t>
      </w:r>
      <w:bookmarkEnd w:id="1"/>
      <w:bookmarkEnd w:id="2"/>
      <w:bookmarkEnd w:id="3"/>
    </w:p>
    <w:p w14:paraId="3ED93356">
      <w:pPr>
        <w:keepNext w:val="0"/>
        <w:keepLines w:val="0"/>
        <w:pageBreakBefore w:val="0"/>
        <w:widowControl w:val="0"/>
        <w:suppressAutoHyphens/>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《台州湾新区工业园区生态环境污染防治项目工作汇编》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汇编中分别列明每个项目的成果文件等资料。</w:t>
      </w:r>
    </w:p>
    <w:p w14:paraId="449B14F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、服务时间</w:t>
      </w:r>
    </w:p>
    <w:p w14:paraId="2443B91F">
      <w:pPr>
        <w:keepNext w:val="0"/>
        <w:keepLines w:val="0"/>
        <w:pageBreakBefore w:val="0"/>
        <w:widowControl w:val="0"/>
        <w:suppressAutoHyphen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合同签订之日起</w:t>
      </w:r>
      <w:r>
        <w:rPr>
          <w:rFonts w:hint="eastAsia" w:ascii="宋体" w:hAnsi="宋体" w:eastAsia="宋体" w:cs="宋体"/>
          <w:color w:val="auto"/>
          <w:sz w:val="21"/>
          <w:szCs w:val="21"/>
          <w:highlight w:val="none"/>
          <w:lang w:val="en-US" w:eastAsia="zh-CN"/>
        </w:rPr>
        <w:t>至2026年6月</w:t>
      </w:r>
      <w:r>
        <w:rPr>
          <w:rFonts w:hint="eastAsia" w:ascii="宋体" w:hAnsi="宋体" w:eastAsia="宋体" w:cs="宋体"/>
          <w:bCs/>
          <w:color w:val="auto"/>
          <w:sz w:val="21"/>
          <w:szCs w:val="21"/>
          <w:highlight w:val="none"/>
          <w:lang w:val="en-US" w:eastAsia="zh-CN"/>
        </w:rPr>
        <w:t>30日</w:t>
      </w:r>
      <w:r>
        <w:rPr>
          <w:rFonts w:hint="eastAsia" w:ascii="宋体" w:hAnsi="宋体" w:eastAsia="宋体" w:cs="宋体"/>
          <w:color w:val="auto"/>
          <w:sz w:val="21"/>
          <w:szCs w:val="21"/>
          <w:highlight w:val="none"/>
          <w:lang w:val="en-US" w:eastAsia="zh-CN"/>
        </w:rPr>
        <w:t>。</w:t>
      </w:r>
    </w:p>
    <w:p w14:paraId="3C6B3CB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val="en-US" w:eastAsia="zh-CN"/>
        </w:rPr>
        <w:t>六、</w:t>
      </w:r>
      <w:r>
        <w:rPr>
          <w:rFonts w:hint="eastAsia" w:ascii="宋体" w:hAnsi="宋体" w:eastAsia="宋体" w:cs="宋体"/>
          <w:b/>
          <w:color w:val="auto"/>
          <w:sz w:val="21"/>
          <w:szCs w:val="21"/>
          <w:highlight w:val="none"/>
        </w:rPr>
        <w:t>付款条件</w:t>
      </w:r>
    </w:p>
    <w:p w14:paraId="09CD10F3">
      <w:pPr>
        <w:keepNext w:val="0"/>
        <w:keepLines w:val="0"/>
        <w:pageBreakBefore w:val="0"/>
        <w:widowControl w:val="0"/>
        <w:suppressAutoHyphen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按实结算，采购文件给定的数量为暂估量，最终采购量结算以实际完成的数量为准，中标单价不再进行调整。每个项目出具符合要求的成果文件后可纳入结算范围，采购人根据已出具符合要求的成果文件数量进行结算付款，总结算金额不超过中标总金额。</w:t>
      </w:r>
    </w:p>
    <w:p w14:paraId="260D81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2、结算方式：</w:t>
      </w:r>
      <w:r>
        <w:rPr>
          <w:rFonts w:hint="eastAsia" w:ascii="宋体" w:hAnsi="宋体" w:eastAsia="宋体" w:cs="宋体"/>
          <w:bCs/>
          <w:color w:val="auto"/>
          <w:sz w:val="21"/>
          <w:szCs w:val="21"/>
          <w:highlight w:val="none"/>
        </w:rPr>
        <w:t>合同结算价=Σ各项服务内容</w:t>
      </w:r>
      <w:r>
        <w:rPr>
          <w:rFonts w:hint="eastAsia" w:ascii="宋体" w:hAnsi="宋体" w:eastAsia="宋体" w:cs="宋体"/>
          <w:bCs/>
          <w:color w:val="auto"/>
          <w:sz w:val="21"/>
          <w:szCs w:val="21"/>
          <w:highlight w:val="none"/>
          <w:lang w:val="en-US" w:eastAsia="zh-CN"/>
        </w:rPr>
        <w:t>中标</w:t>
      </w:r>
      <w:r>
        <w:rPr>
          <w:rFonts w:hint="eastAsia" w:ascii="宋体" w:hAnsi="宋体" w:eastAsia="宋体" w:cs="宋体"/>
          <w:bCs/>
          <w:color w:val="auto"/>
          <w:sz w:val="21"/>
          <w:szCs w:val="21"/>
          <w:highlight w:val="none"/>
        </w:rPr>
        <w:t>单价×各项服务内容实际</w:t>
      </w:r>
      <w:r>
        <w:rPr>
          <w:rFonts w:hint="eastAsia" w:ascii="宋体" w:hAnsi="宋体" w:eastAsia="宋体" w:cs="宋体"/>
          <w:bCs/>
          <w:color w:val="auto"/>
          <w:sz w:val="21"/>
          <w:szCs w:val="21"/>
          <w:highlight w:val="none"/>
          <w:lang w:val="en-US" w:eastAsia="zh-CN"/>
        </w:rPr>
        <w:t>完成</w:t>
      </w:r>
      <w:r>
        <w:rPr>
          <w:rFonts w:hint="eastAsia" w:ascii="宋体" w:hAnsi="宋体" w:eastAsia="宋体" w:cs="宋体"/>
          <w:bCs/>
          <w:color w:val="auto"/>
          <w:sz w:val="21"/>
          <w:szCs w:val="21"/>
          <w:highlight w:val="none"/>
        </w:rPr>
        <w:t>数量</w:t>
      </w:r>
    </w:p>
    <w:p w14:paraId="7CBB55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val="0"/>
          <w:color w:val="auto"/>
          <w:sz w:val="21"/>
          <w:szCs w:val="21"/>
          <w:highlight w:val="none"/>
          <w:lang w:val="en-US"/>
        </w:rPr>
      </w:pPr>
      <w:r>
        <w:rPr>
          <w:rFonts w:hint="eastAsia" w:ascii="宋体" w:hAnsi="宋体" w:eastAsia="宋体" w:cs="宋体"/>
          <w:color w:val="auto"/>
          <w:sz w:val="21"/>
          <w:szCs w:val="21"/>
          <w:highlight w:val="none"/>
          <w:lang w:val="en-US" w:eastAsia="zh-CN"/>
        </w:rPr>
        <w:t>3、签订合同后七个工作日内支付项目合同额的</w:t>
      </w:r>
      <w:r>
        <w:rPr>
          <w:rFonts w:hint="eastAsia" w:ascii="宋体" w:hAnsi="宋体" w:cs="宋体"/>
          <w:color w:val="auto"/>
          <w:sz w:val="21"/>
          <w:szCs w:val="21"/>
          <w:highlight w:val="none"/>
          <w:lang w:val="en-US" w:eastAsia="zh-CN"/>
        </w:rPr>
        <w:t>47%</w:t>
      </w:r>
      <w:r>
        <w:rPr>
          <w:rFonts w:hint="eastAsia" w:ascii="宋体" w:hAnsi="宋体" w:eastAsia="宋体" w:cs="宋体"/>
          <w:color w:val="auto"/>
          <w:sz w:val="21"/>
          <w:szCs w:val="21"/>
          <w:highlight w:val="none"/>
          <w:lang w:val="en-US" w:eastAsia="zh-CN"/>
        </w:rPr>
        <w:t>作为预付款，项目完成经采购人验收后七个工作日内，按实结算，支付剩余款项。</w:t>
      </w:r>
      <w:r>
        <w:rPr>
          <w:rFonts w:hint="eastAsia" w:ascii="宋体" w:hAnsi="宋体" w:eastAsia="宋体" w:cs="宋体"/>
          <w:bCs/>
          <w:color w:val="auto"/>
          <w:sz w:val="21"/>
          <w:szCs w:val="21"/>
          <w:highlight w:val="none"/>
        </w:rPr>
        <w:t>每次付款前</w:t>
      </w:r>
      <w:r>
        <w:rPr>
          <w:rFonts w:hint="eastAsia" w:ascii="宋体" w:hAnsi="宋体" w:eastAsia="宋体" w:cs="宋体"/>
          <w:bCs/>
          <w:color w:val="auto"/>
          <w:sz w:val="21"/>
          <w:szCs w:val="21"/>
          <w:highlight w:val="none"/>
          <w:lang w:val="en-US" w:eastAsia="zh-CN"/>
        </w:rPr>
        <w:t>中标人</w:t>
      </w:r>
      <w:r>
        <w:rPr>
          <w:rFonts w:hint="eastAsia" w:ascii="宋体" w:hAnsi="宋体" w:eastAsia="宋体" w:cs="宋体"/>
          <w:bCs/>
          <w:color w:val="auto"/>
          <w:sz w:val="21"/>
          <w:szCs w:val="21"/>
          <w:highlight w:val="none"/>
        </w:rPr>
        <w:t>须开具</w:t>
      </w:r>
      <w:r>
        <w:rPr>
          <w:rFonts w:hint="eastAsia" w:ascii="宋体" w:hAnsi="宋体" w:eastAsia="宋体" w:cs="宋体"/>
          <w:bCs/>
          <w:color w:val="auto"/>
          <w:sz w:val="21"/>
          <w:szCs w:val="21"/>
          <w:highlight w:val="none"/>
          <w:lang w:val="en-US" w:eastAsia="zh-CN"/>
        </w:rPr>
        <w:t>正式发票</w:t>
      </w:r>
      <w:r>
        <w:rPr>
          <w:rFonts w:hint="eastAsia" w:ascii="宋体" w:hAnsi="宋体" w:eastAsia="宋体" w:cs="宋体"/>
          <w:bCs/>
          <w:color w:val="auto"/>
          <w:sz w:val="21"/>
          <w:szCs w:val="21"/>
          <w:highlight w:val="none"/>
        </w:rPr>
        <w:t>。</w:t>
      </w:r>
    </w:p>
    <w:p w14:paraId="6F13C25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Cs w:val="21"/>
          <w:highlight w:val="none"/>
          <w:lang w:eastAsia="zh-CN"/>
        </w:rPr>
        <w:sectPr>
          <w:headerReference r:id="rId5" w:type="first"/>
          <w:footerReference r:id="rId6" w:type="first"/>
          <w:pgSz w:w="11906" w:h="16838"/>
          <w:pgMar w:top="1440" w:right="1440" w:bottom="1440" w:left="1701" w:header="851" w:footer="992" w:gutter="0"/>
          <w:pgNumType w:fmt="decimal"/>
          <w:cols w:space="720" w:num="1"/>
          <w:docGrid w:linePitch="312" w:charSpace="0"/>
        </w:sectPr>
      </w:pPr>
      <w:r>
        <w:rPr>
          <w:rFonts w:hint="eastAsia" w:ascii="宋体" w:hAnsi="宋体" w:eastAsia="宋体" w:cs="宋体"/>
          <w:b/>
          <w:color w:val="auto"/>
          <w:szCs w:val="21"/>
          <w:highlight w:val="none"/>
          <w:lang w:val="en-US" w:eastAsia="zh-CN"/>
        </w:rPr>
        <w:t>七</w:t>
      </w:r>
      <w:r>
        <w:rPr>
          <w:rFonts w:hint="eastAsia" w:ascii="宋体" w:hAnsi="宋体" w:eastAsia="宋体" w:cs="宋体"/>
          <w:b/>
          <w:color w:val="auto"/>
          <w:szCs w:val="21"/>
          <w:highlight w:val="none"/>
        </w:rPr>
        <w:t>、本项目中标（成交）供应商应在</w:t>
      </w:r>
      <w:r>
        <w:rPr>
          <w:rFonts w:hint="eastAsia" w:ascii="宋体" w:hAnsi="宋体" w:eastAsia="宋体" w:cs="宋体"/>
          <w:b/>
          <w:color w:val="auto"/>
          <w:szCs w:val="21"/>
          <w:highlight w:val="none"/>
          <w:lang w:eastAsia="zh-CN"/>
        </w:rPr>
        <w:t>浙江政府采购网</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eastAsia="zh-CN"/>
        </w:rPr>
        <w:t>http://zfcg.czt.zj.gov.cn</w:t>
      </w:r>
      <w:r>
        <w:rPr>
          <w:rFonts w:hint="eastAsia" w:ascii="宋体" w:hAnsi="宋体" w:eastAsia="宋体" w:cs="宋体"/>
          <w:b/>
          <w:color w:val="auto"/>
          <w:szCs w:val="21"/>
          <w:highlight w:val="none"/>
        </w:rPr>
        <w:t>）上注册成为“政府采购供应商”，如不按要求注册的，采购方有权延期发布中标（成交）通知书和中标（成交）公告，后果由供应商自行承担</w:t>
      </w:r>
      <w:bookmarkEnd w:id="0"/>
      <w:r>
        <w:rPr>
          <w:rFonts w:hint="eastAsia" w:ascii="宋体" w:hAnsi="宋体" w:eastAsia="宋体" w:cs="宋体"/>
          <w:b/>
          <w:color w:val="auto"/>
          <w:szCs w:val="21"/>
          <w:highlight w:val="none"/>
          <w:lang w:eastAsia="zh-CN"/>
        </w:rPr>
        <w:t>。</w:t>
      </w:r>
    </w:p>
    <w:p w14:paraId="51BECE89">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第五章 政府采购合同主要条款</w:t>
      </w:r>
    </w:p>
    <w:p w14:paraId="18E19890">
      <w:pPr>
        <w:pStyle w:val="51"/>
        <w:spacing w:line="360" w:lineRule="auto"/>
        <w:jc w:val="center"/>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（此稿为合同样本，最终定稿待双方协商后定，但不得背离实质性内容）</w:t>
      </w:r>
    </w:p>
    <w:p w14:paraId="373CE9D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合同将由</w:t>
      </w:r>
      <w:r>
        <w:rPr>
          <w:rFonts w:hint="eastAsia" w:ascii="宋体" w:hAnsi="宋体" w:cs="宋体"/>
          <w:color w:val="auto"/>
          <w:sz w:val="21"/>
          <w:szCs w:val="21"/>
          <w:highlight w:val="none"/>
          <w:lang w:eastAsia="zh-CN"/>
        </w:rPr>
        <w:t>台州湾新区管理委员会</w:t>
      </w:r>
      <w:r>
        <w:rPr>
          <w:rFonts w:hint="eastAsia" w:ascii="宋体" w:hAnsi="宋体" w:eastAsia="宋体" w:cs="宋体"/>
          <w:color w:val="auto"/>
          <w:sz w:val="21"/>
          <w:szCs w:val="21"/>
          <w:highlight w:val="none"/>
        </w:rPr>
        <w:t>（以下简称甲方）与经评审最终确定的中标人（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p>
    <w:p w14:paraId="7ADF40A1">
      <w:pPr>
        <w:pStyle w:val="10"/>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项目编号</w:t>
      </w:r>
      <w:r>
        <w:rPr>
          <w:rFonts w:hint="eastAsia" w:ascii="宋体" w:hAnsi="宋体" w:eastAsia="宋体" w:cs="宋体"/>
          <w:color w:val="auto"/>
          <w:sz w:val="21"/>
          <w:szCs w:val="21"/>
          <w:highlight w:val="none"/>
        </w:rPr>
        <w:t>：</w:t>
      </w:r>
    </w:p>
    <w:p w14:paraId="26290746">
      <w:pPr>
        <w:pStyle w:val="10"/>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w:t>
      </w:r>
      <w:r>
        <w:rPr>
          <w:rFonts w:hint="eastAsia" w:ascii="宋体" w:hAnsi="宋体" w:eastAsia="宋体" w:cs="宋体"/>
          <w:color w:val="auto"/>
          <w:sz w:val="21"/>
          <w:szCs w:val="21"/>
          <w:highlight w:val="none"/>
        </w:rPr>
        <w:t>（采购方）</w:t>
      </w:r>
    </w:p>
    <w:p w14:paraId="1C395EBC">
      <w:pPr>
        <w:pStyle w:val="10"/>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w:t>
      </w:r>
      <w:r>
        <w:rPr>
          <w:rFonts w:hint="eastAsia" w:ascii="宋体" w:hAnsi="宋体" w:eastAsia="宋体" w:cs="宋体"/>
          <w:color w:val="auto"/>
          <w:sz w:val="21"/>
          <w:szCs w:val="21"/>
          <w:highlight w:val="none"/>
        </w:rPr>
        <w:t>（供应商）</w:t>
      </w:r>
      <w:r>
        <w:rPr>
          <w:rFonts w:hint="eastAsia" w:ascii="宋体" w:hAnsi="宋体" w:eastAsia="宋体" w:cs="宋体"/>
          <w:b/>
          <w:color w:val="auto"/>
          <w:sz w:val="21"/>
          <w:szCs w:val="21"/>
          <w:highlight w:val="none"/>
        </w:rPr>
        <w:t xml:space="preserve"> </w:t>
      </w:r>
    </w:p>
    <w:p w14:paraId="251493D6">
      <w:pPr>
        <w:pStyle w:val="10"/>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甲、乙双方根据</w:t>
      </w:r>
      <w:r>
        <w:rPr>
          <w:rFonts w:hint="eastAsia" w:hAnsi="宋体" w:cs="宋体"/>
          <w:color w:val="auto"/>
          <w:sz w:val="21"/>
          <w:szCs w:val="21"/>
          <w:highlight w:val="none"/>
          <w:u w:val="single"/>
          <w:lang w:eastAsia="zh-CN"/>
        </w:rPr>
        <w:t>工业园区生态环境污染防治项目</w:t>
      </w:r>
      <w:r>
        <w:rPr>
          <w:rFonts w:hint="eastAsia" w:ascii="宋体" w:hAnsi="宋体" w:eastAsia="宋体" w:cs="宋体"/>
          <w:color w:val="auto"/>
          <w:sz w:val="21"/>
          <w:szCs w:val="21"/>
          <w:highlight w:val="none"/>
          <w:u w:val="single"/>
        </w:rPr>
        <w:t>公开招标</w:t>
      </w:r>
      <w:r>
        <w:rPr>
          <w:rFonts w:hint="eastAsia" w:ascii="宋体" w:hAnsi="宋体" w:eastAsia="宋体" w:cs="宋体"/>
          <w:color w:val="auto"/>
          <w:sz w:val="21"/>
          <w:szCs w:val="21"/>
          <w:highlight w:val="none"/>
        </w:rPr>
        <w:t>的结果，签署本合同。</w:t>
      </w:r>
    </w:p>
    <w:p w14:paraId="1002E883">
      <w:pPr>
        <w:pStyle w:val="10"/>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一、服务内容</w:t>
      </w:r>
    </w:p>
    <w:p w14:paraId="10C75124">
      <w:pPr>
        <w:pStyle w:val="10"/>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详见本项目招标文件</w:t>
      </w:r>
      <w:r>
        <w:rPr>
          <w:rFonts w:hint="eastAsia" w:ascii="宋体" w:hAnsi="宋体" w:eastAsia="宋体" w:cs="宋体"/>
          <w:bCs/>
          <w:color w:val="auto"/>
          <w:sz w:val="21"/>
          <w:szCs w:val="21"/>
          <w:highlight w:val="none"/>
        </w:rPr>
        <w:t>第</w:t>
      </w:r>
      <w:r>
        <w:rPr>
          <w:rFonts w:hint="eastAsia" w:hAnsi="宋体" w:cs="宋体"/>
          <w:bCs/>
          <w:color w:val="auto"/>
          <w:sz w:val="21"/>
          <w:szCs w:val="21"/>
          <w:highlight w:val="none"/>
          <w:lang w:val="en-US" w:eastAsia="zh-CN"/>
        </w:rPr>
        <w:t>四</w:t>
      </w:r>
      <w:r>
        <w:rPr>
          <w:rFonts w:hint="eastAsia" w:ascii="宋体" w:hAnsi="宋体" w:eastAsia="宋体" w:cs="宋体"/>
          <w:bCs/>
          <w:color w:val="auto"/>
          <w:sz w:val="21"/>
          <w:szCs w:val="21"/>
          <w:highlight w:val="none"/>
        </w:rPr>
        <w:t>部分《</w:t>
      </w:r>
      <w:r>
        <w:rPr>
          <w:rFonts w:hint="eastAsia" w:hAnsi="宋体" w:cs="宋体"/>
          <w:bCs/>
          <w:color w:val="auto"/>
          <w:sz w:val="21"/>
          <w:szCs w:val="21"/>
          <w:highlight w:val="none"/>
          <w:lang w:val="en-US" w:eastAsia="zh-CN"/>
        </w:rPr>
        <w:t>公开招标需求</w:t>
      </w:r>
      <w:r>
        <w:rPr>
          <w:rFonts w:hint="eastAsia" w:ascii="宋体" w:hAnsi="宋体" w:eastAsia="宋体" w:cs="宋体"/>
          <w:color w:val="auto"/>
          <w:sz w:val="21"/>
          <w:szCs w:val="21"/>
          <w:highlight w:val="none"/>
        </w:rPr>
        <w:t>》。</w:t>
      </w:r>
    </w:p>
    <w:p w14:paraId="6F1CB257">
      <w:pPr>
        <w:pStyle w:val="10"/>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二、合同金额</w:t>
      </w:r>
    </w:p>
    <w:p w14:paraId="0B3EF70B">
      <w:pPr>
        <w:pStyle w:val="10"/>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color w:val="auto"/>
          <w:sz w:val="21"/>
          <w:szCs w:val="21"/>
          <w:highlight w:val="none"/>
        </w:rPr>
        <w:t>本合同金额为（大写）：_____________________元（￥_________元）人民币。</w:t>
      </w:r>
    </w:p>
    <w:tbl>
      <w:tblPr>
        <w:tblStyle w:val="22"/>
        <w:tblW w:w="10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159"/>
        <w:gridCol w:w="2191"/>
        <w:gridCol w:w="1108"/>
        <w:gridCol w:w="628"/>
        <w:gridCol w:w="1383"/>
        <w:gridCol w:w="709"/>
        <w:gridCol w:w="836"/>
        <w:gridCol w:w="836"/>
        <w:gridCol w:w="836"/>
      </w:tblGrid>
      <w:tr w14:paraId="53F5F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5" w:type="dxa"/>
            <w:vAlign w:val="center"/>
          </w:tcPr>
          <w:p w14:paraId="6CA8C850">
            <w:pPr>
              <w:keepNext w:val="0"/>
              <w:keepLines w:val="0"/>
              <w:pageBreakBefore w:val="0"/>
              <w:widowControl w:val="0"/>
              <w:tabs>
                <w:tab w:val="left" w:pos="8280"/>
              </w:tabs>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序号</w:t>
            </w:r>
          </w:p>
        </w:tc>
        <w:tc>
          <w:tcPr>
            <w:tcW w:w="3350" w:type="dxa"/>
            <w:gridSpan w:val="2"/>
            <w:vAlign w:val="center"/>
          </w:tcPr>
          <w:p w14:paraId="478EFBB5">
            <w:pPr>
              <w:keepNext w:val="0"/>
              <w:keepLines w:val="0"/>
              <w:pageBreakBefore w:val="0"/>
              <w:widowControl w:val="0"/>
              <w:tabs>
                <w:tab w:val="left" w:pos="8280"/>
              </w:tabs>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内容</w:t>
            </w:r>
          </w:p>
        </w:tc>
        <w:tc>
          <w:tcPr>
            <w:tcW w:w="1108" w:type="dxa"/>
            <w:vAlign w:val="center"/>
          </w:tcPr>
          <w:p w14:paraId="4150EA37">
            <w:pPr>
              <w:keepNext w:val="0"/>
              <w:keepLines w:val="0"/>
              <w:pageBreakBefore w:val="0"/>
              <w:widowControl w:val="0"/>
              <w:tabs>
                <w:tab w:val="left" w:pos="8280"/>
              </w:tabs>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p w14:paraId="13B21B9F">
            <w:pPr>
              <w:keepNext w:val="0"/>
              <w:keepLines w:val="0"/>
              <w:pageBreakBefore w:val="0"/>
              <w:widowControl w:val="0"/>
              <w:tabs>
                <w:tab w:val="left" w:pos="8280"/>
              </w:tabs>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暂定</w:t>
            </w:r>
            <w:r>
              <w:rPr>
                <w:rFonts w:hint="eastAsia" w:ascii="宋体" w:hAnsi="宋体" w:cs="宋体"/>
                <w:b/>
                <w:color w:val="auto"/>
                <w:sz w:val="21"/>
                <w:szCs w:val="21"/>
                <w:highlight w:val="none"/>
                <w:lang w:eastAsia="zh-CN"/>
              </w:rPr>
              <w:t>）</w:t>
            </w:r>
          </w:p>
        </w:tc>
        <w:tc>
          <w:tcPr>
            <w:tcW w:w="628" w:type="dxa"/>
            <w:vAlign w:val="center"/>
          </w:tcPr>
          <w:p w14:paraId="118AE42A">
            <w:pPr>
              <w:keepNext w:val="0"/>
              <w:keepLines w:val="0"/>
              <w:pageBreakBefore w:val="0"/>
              <w:widowControl w:val="0"/>
              <w:tabs>
                <w:tab w:val="left" w:pos="8280"/>
              </w:tabs>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383" w:type="dxa"/>
            <w:vAlign w:val="center"/>
          </w:tcPr>
          <w:p w14:paraId="78256899">
            <w:pPr>
              <w:keepNext w:val="0"/>
              <w:keepLines w:val="0"/>
              <w:pageBreakBefore w:val="0"/>
              <w:widowControl w:val="0"/>
              <w:tabs>
                <w:tab w:val="left" w:pos="8280"/>
              </w:tabs>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最高限</w:t>
            </w:r>
            <w:r>
              <w:rPr>
                <w:rFonts w:hint="eastAsia" w:ascii="宋体" w:hAnsi="宋体" w:eastAsia="宋体" w:cs="宋体"/>
                <w:b/>
                <w:color w:val="auto"/>
                <w:sz w:val="21"/>
                <w:szCs w:val="21"/>
                <w:highlight w:val="none"/>
                <w:lang w:val="en-US" w:eastAsia="zh-CN"/>
              </w:rPr>
              <w:t>单</w:t>
            </w:r>
            <w:r>
              <w:rPr>
                <w:rFonts w:hint="eastAsia" w:ascii="宋体" w:hAnsi="宋体" w:eastAsia="宋体" w:cs="宋体"/>
                <w:b/>
                <w:color w:val="auto"/>
                <w:sz w:val="21"/>
                <w:szCs w:val="21"/>
                <w:highlight w:val="none"/>
              </w:rPr>
              <w:t>价</w:t>
            </w:r>
          </w:p>
        </w:tc>
        <w:tc>
          <w:tcPr>
            <w:tcW w:w="709" w:type="dxa"/>
            <w:vAlign w:val="center"/>
          </w:tcPr>
          <w:p w14:paraId="2C799D6F">
            <w:pPr>
              <w:keepNext w:val="0"/>
              <w:keepLines w:val="0"/>
              <w:pageBreakBefore w:val="0"/>
              <w:widowControl w:val="0"/>
              <w:tabs>
                <w:tab w:val="left" w:pos="8280"/>
              </w:tabs>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单价</w:t>
            </w:r>
          </w:p>
        </w:tc>
        <w:tc>
          <w:tcPr>
            <w:tcW w:w="836" w:type="dxa"/>
            <w:vAlign w:val="center"/>
          </w:tcPr>
          <w:p w14:paraId="439937A4">
            <w:pPr>
              <w:keepNext w:val="0"/>
              <w:keepLines w:val="0"/>
              <w:pageBreakBefore w:val="0"/>
              <w:widowControl w:val="0"/>
              <w:tabs>
                <w:tab w:val="left" w:pos="8280"/>
              </w:tabs>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小计（元）</w:t>
            </w:r>
          </w:p>
        </w:tc>
        <w:tc>
          <w:tcPr>
            <w:tcW w:w="836" w:type="dxa"/>
            <w:vAlign w:val="center"/>
          </w:tcPr>
          <w:p w14:paraId="3C206D3A">
            <w:pPr>
              <w:keepNext w:val="0"/>
              <w:keepLines w:val="0"/>
              <w:pageBreakBefore w:val="0"/>
              <w:widowControl w:val="0"/>
              <w:tabs>
                <w:tab w:val="left" w:pos="8280"/>
              </w:tabs>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服务期</w:t>
            </w:r>
          </w:p>
        </w:tc>
        <w:tc>
          <w:tcPr>
            <w:tcW w:w="836" w:type="dxa"/>
            <w:vAlign w:val="center"/>
          </w:tcPr>
          <w:p w14:paraId="0D1A86BB">
            <w:pPr>
              <w:keepNext w:val="0"/>
              <w:keepLines w:val="0"/>
              <w:pageBreakBefore w:val="0"/>
              <w:widowControl w:val="0"/>
              <w:tabs>
                <w:tab w:val="left" w:pos="8280"/>
              </w:tabs>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备注</w:t>
            </w:r>
          </w:p>
        </w:tc>
      </w:tr>
      <w:tr w14:paraId="5068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575" w:type="dxa"/>
            <w:vAlign w:val="center"/>
          </w:tcPr>
          <w:p w14:paraId="4C196695">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350" w:type="dxa"/>
            <w:gridSpan w:val="2"/>
            <w:vAlign w:val="center"/>
          </w:tcPr>
          <w:p w14:paraId="1F9899BF">
            <w:pPr>
              <w:widowControl/>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废气低效设施改造升级项目</w:t>
            </w:r>
          </w:p>
        </w:tc>
        <w:tc>
          <w:tcPr>
            <w:tcW w:w="1108" w:type="dxa"/>
            <w:vAlign w:val="center"/>
          </w:tcPr>
          <w:p w14:paraId="232625D0">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628" w:type="dxa"/>
            <w:vAlign w:val="center"/>
          </w:tcPr>
          <w:p w14:paraId="03243412">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家</w:t>
            </w:r>
          </w:p>
        </w:tc>
        <w:tc>
          <w:tcPr>
            <w:tcW w:w="1383" w:type="dxa"/>
            <w:vAlign w:val="center"/>
          </w:tcPr>
          <w:p w14:paraId="1413D6BA">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10000</w:t>
            </w:r>
            <w:r>
              <w:rPr>
                <w:rFonts w:hint="eastAsia" w:ascii="宋体" w:hAnsi="宋体" w:cs="宋体"/>
                <w:b w:val="0"/>
                <w:bCs/>
                <w:color w:val="auto"/>
                <w:sz w:val="21"/>
                <w:szCs w:val="21"/>
                <w:highlight w:val="none"/>
                <w:lang w:val="en-US" w:eastAsia="zh-CN"/>
              </w:rPr>
              <w:t>元/家</w:t>
            </w:r>
          </w:p>
        </w:tc>
        <w:tc>
          <w:tcPr>
            <w:tcW w:w="709" w:type="dxa"/>
            <w:vAlign w:val="center"/>
          </w:tcPr>
          <w:p w14:paraId="289C7F0A">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Align w:val="center"/>
          </w:tcPr>
          <w:p w14:paraId="4CBA3F11">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Merge w:val="restart"/>
            <w:vAlign w:val="center"/>
          </w:tcPr>
          <w:p w14:paraId="49F4AD91">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合同签订之日起至</w:t>
            </w:r>
            <w:r>
              <w:rPr>
                <w:rFonts w:hint="eastAsia" w:ascii="宋体" w:hAnsi="宋体" w:eastAsia="宋体" w:cs="宋体"/>
                <w:bCs/>
                <w:color w:val="auto"/>
                <w:sz w:val="21"/>
                <w:szCs w:val="21"/>
                <w:highlight w:val="none"/>
              </w:rPr>
              <w:t>202</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年</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rPr>
              <w:t>月</w:t>
            </w:r>
            <w:r>
              <w:rPr>
                <w:rFonts w:hint="eastAsia" w:ascii="宋体" w:hAnsi="宋体" w:cs="宋体"/>
                <w:bCs/>
                <w:color w:val="auto"/>
                <w:sz w:val="21"/>
                <w:szCs w:val="21"/>
                <w:highlight w:val="none"/>
                <w:lang w:val="en-US" w:eastAsia="zh-CN"/>
              </w:rPr>
              <w:t>30</w:t>
            </w:r>
            <w:r>
              <w:rPr>
                <w:rFonts w:hint="eastAsia" w:ascii="宋体" w:hAnsi="宋体" w:eastAsia="宋体" w:cs="宋体"/>
                <w:bCs/>
                <w:color w:val="auto"/>
                <w:sz w:val="21"/>
                <w:szCs w:val="21"/>
                <w:highlight w:val="none"/>
                <w:lang w:val="en-US" w:eastAsia="zh-CN"/>
              </w:rPr>
              <w:t>日</w:t>
            </w:r>
          </w:p>
        </w:tc>
        <w:tc>
          <w:tcPr>
            <w:tcW w:w="836" w:type="dxa"/>
            <w:vAlign w:val="center"/>
          </w:tcPr>
          <w:p w14:paraId="3DF1AC1C">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r>
      <w:tr w14:paraId="2882C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75" w:type="dxa"/>
            <w:vAlign w:val="center"/>
          </w:tcPr>
          <w:p w14:paraId="524FAD9E">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3350" w:type="dxa"/>
            <w:gridSpan w:val="2"/>
            <w:vAlign w:val="center"/>
          </w:tcPr>
          <w:p w14:paraId="3162924E">
            <w:pPr>
              <w:widowControl/>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绩效提级技术服务项目（B级）</w:t>
            </w:r>
          </w:p>
        </w:tc>
        <w:tc>
          <w:tcPr>
            <w:tcW w:w="1108" w:type="dxa"/>
            <w:vAlign w:val="center"/>
          </w:tcPr>
          <w:p w14:paraId="0D140EFB">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628" w:type="dxa"/>
            <w:vAlign w:val="center"/>
          </w:tcPr>
          <w:p w14:paraId="1F4CDABE">
            <w:pPr>
              <w:tabs>
                <w:tab w:val="left" w:pos="8280"/>
              </w:tabs>
              <w:autoSpaceDE w:val="0"/>
              <w:autoSpaceDN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家</w:t>
            </w:r>
          </w:p>
        </w:tc>
        <w:tc>
          <w:tcPr>
            <w:tcW w:w="1383" w:type="dxa"/>
            <w:vAlign w:val="center"/>
          </w:tcPr>
          <w:p w14:paraId="696546BC">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20000</w:t>
            </w:r>
            <w:r>
              <w:rPr>
                <w:rFonts w:hint="eastAsia" w:ascii="宋体" w:hAnsi="宋体" w:cs="宋体"/>
                <w:b w:val="0"/>
                <w:bCs/>
                <w:color w:val="auto"/>
                <w:sz w:val="21"/>
                <w:szCs w:val="21"/>
                <w:highlight w:val="none"/>
                <w:lang w:val="en-US" w:eastAsia="zh-CN"/>
              </w:rPr>
              <w:t>元/家</w:t>
            </w:r>
          </w:p>
        </w:tc>
        <w:tc>
          <w:tcPr>
            <w:tcW w:w="709" w:type="dxa"/>
            <w:vAlign w:val="center"/>
          </w:tcPr>
          <w:p w14:paraId="041D5AFA">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Align w:val="center"/>
          </w:tcPr>
          <w:p w14:paraId="0309B50F">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Merge w:val="continue"/>
            <w:vAlign w:val="center"/>
          </w:tcPr>
          <w:p w14:paraId="6464DA1C">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Align w:val="center"/>
          </w:tcPr>
          <w:p w14:paraId="751BBE3E">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r>
      <w:tr w14:paraId="1C07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75" w:type="dxa"/>
            <w:vAlign w:val="center"/>
          </w:tcPr>
          <w:p w14:paraId="4E624329">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3350" w:type="dxa"/>
            <w:gridSpan w:val="2"/>
            <w:vAlign w:val="center"/>
          </w:tcPr>
          <w:p w14:paraId="4F8E8B7B">
            <w:pPr>
              <w:widowControl/>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源头替代技术服务项目</w:t>
            </w:r>
          </w:p>
        </w:tc>
        <w:tc>
          <w:tcPr>
            <w:tcW w:w="1108" w:type="dxa"/>
            <w:vAlign w:val="center"/>
          </w:tcPr>
          <w:p w14:paraId="43DA9655">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628" w:type="dxa"/>
            <w:vAlign w:val="center"/>
          </w:tcPr>
          <w:p w14:paraId="796D7E60">
            <w:pPr>
              <w:tabs>
                <w:tab w:val="left" w:pos="8280"/>
              </w:tabs>
              <w:autoSpaceDE w:val="0"/>
              <w:autoSpaceDN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家</w:t>
            </w:r>
          </w:p>
        </w:tc>
        <w:tc>
          <w:tcPr>
            <w:tcW w:w="1383" w:type="dxa"/>
            <w:vAlign w:val="center"/>
          </w:tcPr>
          <w:p w14:paraId="772DD70A">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15000</w:t>
            </w:r>
            <w:r>
              <w:rPr>
                <w:rFonts w:hint="eastAsia" w:ascii="宋体" w:hAnsi="宋体" w:cs="宋体"/>
                <w:b w:val="0"/>
                <w:bCs/>
                <w:color w:val="auto"/>
                <w:sz w:val="21"/>
                <w:szCs w:val="21"/>
                <w:highlight w:val="none"/>
                <w:lang w:val="en-US" w:eastAsia="zh-CN"/>
              </w:rPr>
              <w:t>元/家</w:t>
            </w:r>
          </w:p>
        </w:tc>
        <w:tc>
          <w:tcPr>
            <w:tcW w:w="709" w:type="dxa"/>
            <w:vAlign w:val="center"/>
          </w:tcPr>
          <w:p w14:paraId="39D45062">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Align w:val="center"/>
          </w:tcPr>
          <w:p w14:paraId="22E95666">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Merge w:val="continue"/>
            <w:vAlign w:val="center"/>
          </w:tcPr>
          <w:p w14:paraId="0117DBBF">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Align w:val="center"/>
          </w:tcPr>
          <w:p w14:paraId="0773B3A9">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r>
      <w:tr w14:paraId="3A49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75" w:type="dxa"/>
            <w:vAlign w:val="center"/>
          </w:tcPr>
          <w:p w14:paraId="11750E13">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3350" w:type="dxa"/>
            <w:gridSpan w:val="2"/>
            <w:vAlign w:val="center"/>
          </w:tcPr>
          <w:p w14:paraId="04B78140">
            <w:pPr>
              <w:widowControl/>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固废规范化管理技术服务项目</w:t>
            </w:r>
          </w:p>
        </w:tc>
        <w:tc>
          <w:tcPr>
            <w:tcW w:w="1108" w:type="dxa"/>
            <w:vAlign w:val="center"/>
          </w:tcPr>
          <w:p w14:paraId="7CEA3A5E">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628" w:type="dxa"/>
            <w:vAlign w:val="center"/>
          </w:tcPr>
          <w:p w14:paraId="58C77CED">
            <w:pPr>
              <w:tabs>
                <w:tab w:val="left" w:pos="8280"/>
              </w:tabs>
              <w:autoSpaceDE w:val="0"/>
              <w:autoSpaceDN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家</w:t>
            </w:r>
          </w:p>
        </w:tc>
        <w:tc>
          <w:tcPr>
            <w:tcW w:w="1383" w:type="dxa"/>
            <w:vAlign w:val="center"/>
          </w:tcPr>
          <w:p w14:paraId="6AE30CDF">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4000</w:t>
            </w:r>
            <w:r>
              <w:rPr>
                <w:rFonts w:hint="eastAsia" w:ascii="宋体" w:hAnsi="宋体" w:cs="宋体"/>
                <w:b w:val="0"/>
                <w:bCs/>
                <w:color w:val="auto"/>
                <w:sz w:val="21"/>
                <w:szCs w:val="21"/>
                <w:highlight w:val="none"/>
                <w:lang w:val="en-US" w:eastAsia="zh-CN"/>
              </w:rPr>
              <w:t>元/家</w:t>
            </w:r>
          </w:p>
        </w:tc>
        <w:tc>
          <w:tcPr>
            <w:tcW w:w="709" w:type="dxa"/>
            <w:vAlign w:val="center"/>
          </w:tcPr>
          <w:p w14:paraId="11726153">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Align w:val="center"/>
          </w:tcPr>
          <w:p w14:paraId="2A4F68F9">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Merge w:val="continue"/>
            <w:vAlign w:val="center"/>
          </w:tcPr>
          <w:p w14:paraId="2D44EC88">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Align w:val="center"/>
          </w:tcPr>
          <w:p w14:paraId="32DB571E">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r>
      <w:tr w14:paraId="48EE3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575" w:type="dxa"/>
            <w:vMerge w:val="restart"/>
            <w:vAlign w:val="center"/>
          </w:tcPr>
          <w:p w14:paraId="7743BD7B">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159" w:type="dxa"/>
            <w:vMerge w:val="restart"/>
            <w:vAlign w:val="center"/>
          </w:tcPr>
          <w:p w14:paraId="082A9FAF">
            <w:pPr>
              <w:widowControl/>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排污许可提质增效技术服务项目</w:t>
            </w:r>
          </w:p>
        </w:tc>
        <w:tc>
          <w:tcPr>
            <w:tcW w:w="2191" w:type="dxa"/>
            <w:vAlign w:val="center"/>
          </w:tcPr>
          <w:p w14:paraId="1E92B975">
            <w:pPr>
              <w:widowControl/>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排污许可证首次申领、重新申请、变更申请审核</w:t>
            </w:r>
          </w:p>
        </w:tc>
        <w:tc>
          <w:tcPr>
            <w:tcW w:w="1108" w:type="dxa"/>
            <w:vAlign w:val="center"/>
          </w:tcPr>
          <w:p w14:paraId="44CA60BA">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628" w:type="dxa"/>
            <w:vAlign w:val="center"/>
          </w:tcPr>
          <w:p w14:paraId="20D87527">
            <w:pPr>
              <w:tabs>
                <w:tab w:val="left" w:pos="8280"/>
              </w:tabs>
              <w:autoSpaceDE w:val="0"/>
              <w:autoSpaceDN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家</w:t>
            </w:r>
          </w:p>
        </w:tc>
        <w:tc>
          <w:tcPr>
            <w:tcW w:w="1383" w:type="dxa"/>
            <w:vAlign w:val="center"/>
          </w:tcPr>
          <w:p w14:paraId="5AECFD32">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4500</w:t>
            </w:r>
            <w:r>
              <w:rPr>
                <w:rFonts w:hint="eastAsia" w:ascii="宋体" w:hAnsi="宋体" w:cs="宋体"/>
                <w:b w:val="0"/>
                <w:bCs/>
                <w:color w:val="auto"/>
                <w:sz w:val="21"/>
                <w:szCs w:val="21"/>
                <w:highlight w:val="none"/>
                <w:lang w:val="en-US" w:eastAsia="zh-CN"/>
              </w:rPr>
              <w:t>元/家</w:t>
            </w:r>
          </w:p>
        </w:tc>
        <w:tc>
          <w:tcPr>
            <w:tcW w:w="709" w:type="dxa"/>
            <w:vAlign w:val="center"/>
          </w:tcPr>
          <w:p w14:paraId="7D49679B">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Align w:val="center"/>
          </w:tcPr>
          <w:p w14:paraId="4C2CE7BB">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Merge w:val="continue"/>
            <w:vAlign w:val="center"/>
          </w:tcPr>
          <w:p w14:paraId="25D355BD">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Align w:val="center"/>
          </w:tcPr>
          <w:p w14:paraId="06200A37">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r>
      <w:tr w14:paraId="38C17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75" w:type="dxa"/>
            <w:vMerge w:val="continue"/>
            <w:vAlign w:val="center"/>
          </w:tcPr>
          <w:p w14:paraId="7DCE774B">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1159" w:type="dxa"/>
            <w:vMerge w:val="continue"/>
            <w:vAlign w:val="center"/>
          </w:tcPr>
          <w:p w14:paraId="4B0B75CE">
            <w:pPr>
              <w:widowControl/>
              <w:adjustRightInd w:val="0"/>
              <w:snapToGrid w:val="0"/>
              <w:jc w:val="center"/>
              <w:rPr>
                <w:rFonts w:hint="eastAsia" w:ascii="宋体" w:hAnsi="宋体" w:eastAsia="宋体" w:cs="宋体"/>
                <w:color w:val="auto"/>
                <w:sz w:val="21"/>
                <w:szCs w:val="21"/>
                <w:highlight w:val="none"/>
                <w:lang w:val="en-US" w:eastAsia="zh-CN"/>
              </w:rPr>
            </w:pPr>
          </w:p>
        </w:tc>
        <w:tc>
          <w:tcPr>
            <w:tcW w:w="2191" w:type="dxa"/>
            <w:vAlign w:val="center"/>
          </w:tcPr>
          <w:p w14:paraId="31F36EE2">
            <w:pPr>
              <w:widowControl/>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排污许可证复核</w:t>
            </w:r>
          </w:p>
        </w:tc>
        <w:tc>
          <w:tcPr>
            <w:tcW w:w="1108" w:type="dxa"/>
            <w:vAlign w:val="center"/>
          </w:tcPr>
          <w:p w14:paraId="4477B268">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628" w:type="dxa"/>
            <w:vAlign w:val="center"/>
          </w:tcPr>
          <w:p w14:paraId="7CC06EF3">
            <w:pPr>
              <w:tabs>
                <w:tab w:val="left" w:pos="8280"/>
              </w:tabs>
              <w:autoSpaceDE w:val="0"/>
              <w:autoSpaceDN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家</w:t>
            </w:r>
          </w:p>
        </w:tc>
        <w:tc>
          <w:tcPr>
            <w:tcW w:w="1383" w:type="dxa"/>
            <w:vAlign w:val="center"/>
          </w:tcPr>
          <w:p w14:paraId="47DB6236">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2000</w:t>
            </w:r>
            <w:r>
              <w:rPr>
                <w:rFonts w:hint="eastAsia" w:ascii="宋体" w:hAnsi="宋体" w:cs="宋体"/>
                <w:b w:val="0"/>
                <w:bCs/>
                <w:color w:val="auto"/>
                <w:sz w:val="21"/>
                <w:szCs w:val="21"/>
                <w:highlight w:val="none"/>
                <w:lang w:val="en-US" w:eastAsia="zh-CN"/>
              </w:rPr>
              <w:t>元/家</w:t>
            </w:r>
          </w:p>
        </w:tc>
        <w:tc>
          <w:tcPr>
            <w:tcW w:w="709" w:type="dxa"/>
            <w:vAlign w:val="center"/>
          </w:tcPr>
          <w:p w14:paraId="2720C8CE">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Align w:val="center"/>
          </w:tcPr>
          <w:p w14:paraId="012515E8">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Merge w:val="continue"/>
            <w:vAlign w:val="center"/>
          </w:tcPr>
          <w:p w14:paraId="16E01817">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Align w:val="center"/>
          </w:tcPr>
          <w:p w14:paraId="0C4DC5F0">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r>
      <w:tr w14:paraId="2EC03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75" w:type="dxa"/>
            <w:vMerge w:val="continue"/>
            <w:vAlign w:val="center"/>
          </w:tcPr>
          <w:p w14:paraId="67007756">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1159" w:type="dxa"/>
            <w:vMerge w:val="continue"/>
            <w:vAlign w:val="center"/>
          </w:tcPr>
          <w:p w14:paraId="1DB51B89">
            <w:pPr>
              <w:widowControl/>
              <w:adjustRightInd w:val="0"/>
              <w:snapToGrid w:val="0"/>
              <w:jc w:val="center"/>
              <w:rPr>
                <w:rFonts w:hint="eastAsia" w:ascii="宋体" w:hAnsi="宋体" w:eastAsia="宋体" w:cs="宋体"/>
                <w:color w:val="auto"/>
                <w:sz w:val="21"/>
                <w:szCs w:val="21"/>
                <w:highlight w:val="none"/>
                <w:lang w:val="en-US" w:eastAsia="zh-CN"/>
              </w:rPr>
            </w:pPr>
          </w:p>
        </w:tc>
        <w:tc>
          <w:tcPr>
            <w:tcW w:w="2191" w:type="dxa"/>
            <w:vAlign w:val="center"/>
          </w:tcPr>
          <w:p w14:paraId="01DEE80B">
            <w:pPr>
              <w:widowControl/>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排污许可证执行报告审核</w:t>
            </w:r>
          </w:p>
        </w:tc>
        <w:tc>
          <w:tcPr>
            <w:tcW w:w="1108" w:type="dxa"/>
            <w:vAlign w:val="center"/>
          </w:tcPr>
          <w:p w14:paraId="24A0F7D0">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w:t>
            </w:r>
          </w:p>
        </w:tc>
        <w:tc>
          <w:tcPr>
            <w:tcW w:w="628" w:type="dxa"/>
            <w:vAlign w:val="center"/>
          </w:tcPr>
          <w:p w14:paraId="5463B0D2">
            <w:pPr>
              <w:tabs>
                <w:tab w:val="left" w:pos="8280"/>
              </w:tabs>
              <w:autoSpaceDE w:val="0"/>
              <w:autoSpaceDN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家</w:t>
            </w:r>
          </w:p>
        </w:tc>
        <w:tc>
          <w:tcPr>
            <w:tcW w:w="1383" w:type="dxa"/>
            <w:vAlign w:val="center"/>
          </w:tcPr>
          <w:p w14:paraId="30394F39">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620</w:t>
            </w:r>
            <w:r>
              <w:rPr>
                <w:rFonts w:hint="eastAsia" w:ascii="宋体" w:hAnsi="宋体" w:cs="宋体"/>
                <w:b w:val="0"/>
                <w:bCs/>
                <w:color w:val="auto"/>
                <w:sz w:val="21"/>
                <w:szCs w:val="21"/>
                <w:highlight w:val="none"/>
                <w:lang w:val="en-US" w:eastAsia="zh-CN"/>
              </w:rPr>
              <w:t>元/家</w:t>
            </w:r>
          </w:p>
        </w:tc>
        <w:tc>
          <w:tcPr>
            <w:tcW w:w="709" w:type="dxa"/>
            <w:vAlign w:val="center"/>
          </w:tcPr>
          <w:p w14:paraId="700DB7EC">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Align w:val="center"/>
          </w:tcPr>
          <w:p w14:paraId="0E3CD410">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Merge w:val="continue"/>
            <w:vAlign w:val="center"/>
          </w:tcPr>
          <w:p w14:paraId="151A93DE">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Align w:val="center"/>
          </w:tcPr>
          <w:p w14:paraId="6147B8AE">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r>
      <w:tr w14:paraId="4B9CD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75" w:type="dxa"/>
            <w:vAlign w:val="center"/>
          </w:tcPr>
          <w:p w14:paraId="012D4FD1">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3350" w:type="dxa"/>
            <w:gridSpan w:val="2"/>
            <w:vAlign w:val="center"/>
          </w:tcPr>
          <w:p w14:paraId="711334B3">
            <w:pPr>
              <w:widowControl/>
              <w:adjustRightInd w:val="0"/>
              <w:snapToGrid w:val="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无废细胞</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建设技术服务项目</w:t>
            </w:r>
          </w:p>
        </w:tc>
        <w:tc>
          <w:tcPr>
            <w:tcW w:w="1108" w:type="dxa"/>
            <w:vAlign w:val="center"/>
          </w:tcPr>
          <w:p w14:paraId="100E8BE4">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28" w:type="dxa"/>
            <w:vAlign w:val="center"/>
          </w:tcPr>
          <w:p w14:paraId="070782EC">
            <w:pPr>
              <w:tabs>
                <w:tab w:val="left" w:pos="8280"/>
              </w:tabs>
              <w:autoSpaceDE w:val="0"/>
              <w:autoSpaceDN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家</w:t>
            </w:r>
          </w:p>
        </w:tc>
        <w:tc>
          <w:tcPr>
            <w:tcW w:w="1383" w:type="dxa"/>
            <w:vAlign w:val="center"/>
          </w:tcPr>
          <w:p w14:paraId="07EBDECE">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10000</w:t>
            </w:r>
            <w:r>
              <w:rPr>
                <w:rFonts w:hint="eastAsia" w:ascii="宋体" w:hAnsi="宋体" w:cs="宋体"/>
                <w:b w:val="0"/>
                <w:bCs/>
                <w:color w:val="auto"/>
                <w:sz w:val="21"/>
                <w:szCs w:val="21"/>
                <w:highlight w:val="none"/>
                <w:lang w:val="en-US" w:eastAsia="zh-CN"/>
              </w:rPr>
              <w:t>元/家</w:t>
            </w:r>
          </w:p>
        </w:tc>
        <w:tc>
          <w:tcPr>
            <w:tcW w:w="709" w:type="dxa"/>
            <w:vAlign w:val="center"/>
          </w:tcPr>
          <w:p w14:paraId="6A5AB98A">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Align w:val="center"/>
          </w:tcPr>
          <w:p w14:paraId="6E04C147">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Merge w:val="continue"/>
            <w:vAlign w:val="center"/>
          </w:tcPr>
          <w:p w14:paraId="5D9728E4">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Align w:val="center"/>
          </w:tcPr>
          <w:p w14:paraId="5FDF02A2">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r>
      <w:tr w14:paraId="0E0C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575" w:type="dxa"/>
            <w:vMerge w:val="restart"/>
            <w:vAlign w:val="center"/>
          </w:tcPr>
          <w:p w14:paraId="18CFF364">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159" w:type="dxa"/>
            <w:vMerge w:val="restart"/>
            <w:vAlign w:val="center"/>
          </w:tcPr>
          <w:p w14:paraId="7AC818F8">
            <w:pPr>
              <w:widowControl/>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排污权交易及初始排污权数据审核技术服务</w:t>
            </w:r>
            <w:r>
              <w:rPr>
                <w:rFonts w:hint="eastAsia" w:ascii="宋体" w:hAnsi="宋体" w:eastAsia="宋体" w:cs="宋体"/>
                <w:color w:val="auto"/>
                <w:sz w:val="21"/>
                <w:szCs w:val="21"/>
                <w:highlight w:val="none"/>
                <w:lang w:val="en-US" w:eastAsia="zh-CN"/>
              </w:rPr>
              <w:t>项目</w:t>
            </w:r>
          </w:p>
        </w:tc>
        <w:tc>
          <w:tcPr>
            <w:tcW w:w="2191" w:type="dxa"/>
            <w:vAlign w:val="center"/>
          </w:tcPr>
          <w:p w14:paraId="0D54F2FA">
            <w:pPr>
              <w:widowControl/>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企业新增排污权交易审核</w:t>
            </w:r>
          </w:p>
        </w:tc>
        <w:tc>
          <w:tcPr>
            <w:tcW w:w="1108" w:type="dxa"/>
            <w:vAlign w:val="center"/>
          </w:tcPr>
          <w:p w14:paraId="227EC433">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628" w:type="dxa"/>
            <w:vAlign w:val="center"/>
          </w:tcPr>
          <w:p w14:paraId="09CC1B31">
            <w:pPr>
              <w:tabs>
                <w:tab w:val="left" w:pos="8280"/>
              </w:tabs>
              <w:autoSpaceDE w:val="0"/>
              <w:autoSpaceDN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家</w:t>
            </w:r>
          </w:p>
        </w:tc>
        <w:tc>
          <w:tcPr>
            <w:tcW w:w="1383" w:type="dxa"/>
            <w:vAlign w:val="center"/>
          </w:tcPr>
          <w:p w14:paraId="762BD1B5">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1500</w:t>
            </w:r>
            <w:r>
              <w:rPr>
                <w:rFonts w:hint="eastAsia" w:ascii="宋体" w:hAnsi="宋体" w:cs="宋体"/>
                <w:b w:val="0"/>
                <w:bCs/>
                <w:color w:val="auto"/>
                <w:sz w:val="21"/>
                <w:szCs w:val="21"/>
                <w:highlight w:val="none"/>
                <w:lang w:val="en-US" w:eastAsia="zh-CN"/>
              </w:rPr>
              <w:t>元/家</w:t>
            </w:r>
          </w:p>
        </w:tc>
        <w:tc>
          <w:tcPr>
            <w:tcW w:w="709" w:type="dxa"/>
            <w:vAlign w:val="center"/>
          </w:tcPr>
          <w:p w14:paraId="38DA39B7">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Align w:val="center"/>
          </w:tcPr>
          <w:p w14:paraId="11D829B7">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Merge w:val="continue"/>
            <w:vAlign w:val="center"/>
          </w:tcPr>
          <w:p w14:paraId="721475BA">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Align w:val="center"/>
          </w:tcPr>
          <w:p w14:paraId="652433AC">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r>
      <w:tr w14:paraId="701B3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75" w:type="dxa"/>
            <w:vMerge w:val="continue"/>
            <w:vAlign w:val="center"/>
          </w:tcPr>
          <w:p w14:paraId="68B0E73F">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1159" w:type="dxa"/>
            <w:vMerge w:val="continue"/>
            <w:vAlign w:val="center"/>
          </w:tcPr>
          <w:p w14:paraId="1EF3FD16">
            <w:pPr>
              <w:widowControl/>
              <w:adjustRightInd w:val="0"/>
              <w:snapToGrid w:val="0"/>
              <w:jc w:val="center"/>
              <w:rPr>
                <w:rFonts w:hint="eastAsia" w:ascii="宋体" w:hAnsi="宋体" w:eastAsia="宋体" w:cs="宋体"/>
                <w:color w:val="auto"/>
                <w:sz w:val="21"/>
                <w:szCs w:val="21"/>
                <w:highlight w:val="none"/>
              </w:rPr>
            </w:pPr>
          </w:p>
        </w:tc>
        <w:tc>
          <w:tcPr>
            <w:tcW w:w="2191" w:type="dxa"/>
            <w:vAlign w:val="center"/>
          </w:tcPr>
          <w:p w14:paraId="09F612F4">
            <w:pPr>
              <w:widowControl/>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初始排污权数据审核</w:t>
            </w:r>
          </w:p>
        </w:tc>
        <w:tc>
          <w:tcPr>
            <w:tcW w:w="1108" w:type="dxa"/>
            <w:vAlign w:val="center"/>
          </w:tcPr>
          <w:p w14:paraId="047E4471">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60</w:t>
            </w:r>
          </w:p>
        </w:tc>
        <w:tc>
          <w:tcPr>
            <w:tcW w:w="628" w:type="dxa"/>
            <w:vAlign w:val="center"/>
          </w:tcPr>
          <w:p w14:paraId="6BFC4A3F">
            <w:pPr>
              <w:tabs>
                <w:tab w:val="left" w:pos="8280"/>
              </w:tabs>
              <w:autoSpaceDE w:val="0"/>
              <w:autoSpaceDN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家</w:t>
            </w:r>
          </w:p>
        </w:tc>
        <w:tc>
          <w:tcPr>
            <w:tcW w:w="1383" w:type="dxa"/>
            <w:vAlign w:val="center"/>
          </w:tcPr>
          <w:p w14:paraId="19B455D7">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500</w:t>
            </w:r>
            <w:r>
              <w:rPr>
                <w:rFonts w:hint="eastAsia" w:ascii="宋体" w:hAnsi="宋体" w:cs="宋体"/>
                <w:b w:val="0"/>
                <w:bCs/>
                <w:color w:val="auto"/>
                <w:sz w:val="21"/>
                <w:szCs w:val="21"/>
                <w:highlight w:val="none"/>
                <w:lang w:val="en-US" w:eastAsia="zh-CN"/>
              </w:rPr>
              <w:t>元/家</w:t>
            </w:r>
          </w:p>
        </w:tc>
        <w:tc>
          <w:tcPr>
            <w:tcW w:w="709" w:type="dxa"/>
            <w:vAlign w:val="center"/>
          </w:tcPr>
          <w:p w14:paraId="7F489BD9">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Align w:val="center"/>
          </w:tcPr>
          <w:p w14:paraId="15219083">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Merge w:val="continue"/>
            <w:vAlign w:val="center"/>
          </w:tcPr>
          <w:p w14:paraId="51E0A882">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Align w:val="center"/>
          </w:tcPr>
          <w:p w14:paraId="3B549302">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r>
      <w:tr w14:paraId="1AA1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75" w:type="dxa"/>
            <w:vAlign w:val="center"/>
          </w:tcPr>
          <w:p w14:paraId="2B01E6D9">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3350" w:type="dxa"/>
            <w:gridSpan w:val="2"/>
            <w:vAlign w:val="center"/>
          </w:tcPr>
          <w:p w14:paraId="7D70EE6A">
            <w:pPr>
              <w:widowControl/>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排污登记延续、变更技术服务</w:t>
            </w:r>
            <w:r>
              <w:rPr>
                <w:rFonts w:hint="eastAsia" w:ascii="宋体" w:hAnsi="宋体" w:eastAsia="宋体" w:cs="宋体"/>
                <w:color w:val="auto"/>
                <w:sz w:val="21"/>
                <w:szCs w:val="21"/>
                <w:highlight w:val="none"/>
                <w:lang w:val="en-US" w:eastAsia="zh-CN"/>
              </w:rPr>
              <w:t>项目</w:t>
            </w:r>
          </w:p>
        </w:tc>
        <w:tc>
          <w:tcPr>
            <w:tcW w:w="1108" w:type="dxa"/>
            <w:vAlign w:val="center"/>
          </w:tcPr>
          <w:p w14:paraId="6ED389F7">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500</w:t>
            </w:r>
          </w:p>
        </w:tc>
        <w:tc>
          <w:tcPr>
            <w:tcW w:w="628" w:type="dxa"/>
            <w:vAlign w:val="center"/>
          </w:tcPr>
          <w:p w14:paraId="70AC117C">
            <w:pPr>
              <w:tabs>
                <w:tab w:val="left" w:pos="8280"/>
              </w:tabs>
              <w:autoSpaceDE w:val="0"/>
              <w:autoSpaceDN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家</w:t>
            </w:r>
          </w:p>
        </w:tc>
        <w:tc>
          <w:tcPr>
            <w:tcW w:w="1383" w:type="dxa"/>
            <w:vAlign w:val="center"/>
          </w:tcPr>
          <w:p w14:paraId="7291BE2E">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750</w:t>
            </w:r>
            <w:r>
              <w:rPr>
                <w:rFonts w:hint="eastAsia" w:ascii="宋体" w:hAnsi="宋体" w:cs="宋体"/>
                <w:b w:val="0"/>
                <w:bCs/>
                <w:color w:val="auto"/>
                <w:sz w:val="21"/>
                <w:szCs w:val="21"/>
                <w:highlight w:val="none"/>
                <w:lang w:val="en-US" w:eastAsia="zh-CN"/>
              </w:rPr>
              <w:t>元/家</w:t>
            </w:r>
          </w:p>
        </w:tc>
        <w:tc>
          <w:tcPr>
            <w:tcW w:w="709" w:type="dxa"/>
            <w:vAlign w:val="center"/>
          </w:tcPr>
          <w:p w14:paraId="5D72D14C">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Align w:val="center"/>
          </w:tcPr>
          <w:p w14:paraId="2FDF319E">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Merge w:val="continue"/>
            <w:vAlign w:val="center"/>
          </w:tcPr>
          <w:p w14:paraId="1A74964F">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Align w:val="center"/>
          </w:tcPr>
          <w:p w14:paraId="07E80B6F">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r>
      <w:tr w14:paraId="00A7A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75" w:type="dxa"/>
            <w:vAlign w:val="center"/>
          </w:tcPr>
          <w:p w14:paraId="7F089FCD">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3350" w:type="dxa"/>
            <w:gridSpan w:val="2"/>
            <w:vAlign w:val="center"/>
          </w:tcPr>
          <w:p w14:paraId="235F8916">
            <w:pPr>
              <w:widowControl/>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系列督察整改复核及其他相关交办问题技术服务</w:t>
            </w:r>
            <w:r>
              <w:rPr>
                <w:rFonts w:hint="eastAsia" w:ascii="宋体" w:hAnsi="宋体" w:eastAsia="宋体" w:cs="宋体"/>
                <w:color w:val="auto"/>
                <w:sz w:val="21"/>
                <w:szCs w:val="21"/>
                <w:highlight w:val="none"/>
                <w:lang w:val="en-US" w:eastAsia="zh-CN"/>
              </w:rPr>
              <w:t>项目</w:t>
            </w:r>
          </w:p>
        </w:tc>
        <w:tc>
          <w:tcPr>
            <w:tcW w:w="1108" w:type="dxa"/>
            <w:vAlign w:val="center"/>
          </w:tcPr>
          <w:p w14:paraId="1C2F98C0">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628" w:type="dxa"/>
            <w:vAlign w:val="center"/>
          </w:tcPr>
          <w:p w14:paraId="51938625">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1383" w:type="dxa"/>
            <w:vAlign w:val="center"/>
          </w:tcPr>
          <w:p w14:paraId="06FB9AB0">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120000</w:t>
            </w:r>
            <w:r>
              <w:rPr>
                <w:rFonts w:hint="eastAsia" w:ascii="宋体" w:hAnsi="宋体" w:cs="宋体"/>
                <w:b w:val="0"/>
                <w:bCs/>
                <w:color w:val="auto"/>
                <w:sz w:val="21"/>
                <w:szCs w:val="21"/>
                <w:highlight w:val="none"/>
                <w:lang w:val="en-US" w:eastAsia="zh-CN"/>
              </w:rPr>
              <w:t>元/项</w:t>
            </w:r>
          </w:p>
        </w:tc>
        <w:tc>
          <w:tcPr>
            <w:tcW w:w="709" w:type="dxa"/>
            <w:vAlign w:val="center"/>
          </w:tcPr>
          <w:p w14:paraId="50C6089C">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Align w:val="center"/>
          </w:tcPr>
          <w:p w14:paraId="3425642D">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Merge w:val="continue"/>
            <w:vAlign w:val="center"/>
          </w:tcPr>
          <w:p w14:paraId="747B8844">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Align w:val="center"/>
          </w:tcPr>
          <w:p w14:paraId="3DF984F0">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r>
      <w:tr w14:paraId="11AC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75" w:type="dxa"/>
            <w:vAlign w:val="center"/>
          </w:tcPr>
          <w:p w14:paraId="0974E761">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3350" w:type="dxa"/>
            <w:gridSpan w:val="2"/>
            <w:vAlign w:val="center"/>
          </w:tcPr>
          <w:p w14:paraId="2246159C">
            <w:pPr>
              <w:widowControl/>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温室气体排放报告审核服务</w:t>
            </w:r>
            <w:r>
              <w:rPr>
                <w:rFonts w:hint="eastAsia" w:ascii="宋体" w:hAnsi="宋体" w:eastAsia="宋体" w:cs="宋体"/>
                <w:color w:val="auto"/>
                <w:sz w:val="21"/>
                <w:szCs w:val="21"/>
                <w:highlight w:val="none"/>
                <w:lang w:val="en-US" w:eastAsia="zh-CN"/>
              </w:rPr>
              <w:t>项目</w:t>
            </w:r>
          </w:p>
        </w:tc>
        <w:tc>
          <w:tcPr>
            <w:tcW w:w="1108" w:type="dxa"/>
            <w:vAlign w:val="center"/>
          </w:tcPr>
          <w:p w14:paraId="331DFBC2">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86</w:t>
            </w:r>
          </w:p>
        </w:tc>
        <w:tc>
          <w:tcPr>
            <w:tcW w:w="628" w:type="dxa"/>
            <w:vAlign w:val="center"/>
          </w:tcPr>
          <w:p w14:paraId="2AA3EAF9">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家</w:t>
            </w:r>
          </w:p>
        </w:tc>
        <w:tc>
          <w:tcPr>
            <w:tcW w:w="1383" w:type="dxa"/>
            <w:vAlign w:val="center"/>
          </w:tcPr>
          <w:p w14:paraId="6466F47E">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500</w:t>
            </w:r>
            <w:r>
              <w:rPr>
                <w:rFonts w:hint="eastAsia" w:ascii="宋体" w:hAnsi="宋体" w:cs="宋体"/>
                <w:b w:val="0"/>
                <w:bCs/>
                <w:color w:val="auto"/>
                <w:sz w:val="21"/>
                <w:szCs w:val="21"/>
                <w:highlight w:val="none"/>
                <w:lang w:val="en-US" w:eastAsia="zh-CN"/>
              </w:rPr>
              <w:t>元/家</w:t>
            </w:r>
          </w:p>
        </w:tc>
        <w:tc>
          <w:tcPr>
            <w:tcW w:w="709" w:type="dxa"/>
            <w:vAlign w:val="center"/>
          </w:tcPr>
          <w:p w14:paraId="65F85FF7">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Align w:val="center"/>
          </w:tcPr>
          <w:p w14:paraId="779D85F7">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Merge w:val="continue"/>
            <w:vAlign w:val="center"/>
          </w:tcPr>
          <w:p w14:paraId="057D83F4">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Align w:val="center"/>
          </w:tcPr>
          <w:p w14:paraId="31F4B74D">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r>
      <w:tr w14:paraId="3358B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61" w:type="dxa"/>
            <w:gridSpan w:val="10"/>
            <w:vAlign w:val="center"/>
          </w:tcPr>
          <w:p w14:paraId="07EEBA5C">
            <w:pPr>
              <w:tabs>
                <w:tab w:val="left" w:pos="8280"/>
              </w:tabs>
              <w:autoSpaceDE w:val="0"/>
              <w:autoSpaceDN w:val="0"/>
              <w:adjustRightInd w:val="0"/>
              <w:snapToGrid w:val="0"/>
              <w:jc w:val="both"/>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合计  大写</w:t>
            </w:r>
          </w:p>
          <w:p w14:paraId="75181ED9">
            <w:pPr>
              <w:tabs>
                <w:tab w:val="left" w:pos="8280"/>
              </w:tabs>
              <w:autoSpaceDE w:val="0"/>
              <w:autoSpaceDN w:val="0"/>
              <w:adjustRightInd w:val="0"/>
              <w:snapToGrid w:val="0"/>
              <w:ind w:firstLine="632" w:firstLineChars="300"/>
              <w:jc w:val="both"/>
              <w:rPr>
                <w:rFonts w:hint="default"/>
                <w:color w:val="auto"/>
                <w:highlight w:val="none"/>
                <w:lang w:val="en-US" w:eastAsia="zh-CN"/>
              </w:rPr>
            </w:pPr>
            <w:r>
              <w:rPr>
                <w:rFonts w:hint="eastAsia" w:ascii="宋体" w:hAnsi="宋体" w:cs="宋体"/>
                <w:b/>
                <w:bCs/>
                <w:color w:val="auto"/>
                <w:sz w:val="21"/>
                <w:szCs w:val="21"/>
                <w:highlight w:val="none"/>
                <w:lang w:val="en-US" w:eastAsia="zh-CN"/>
              </w:rPr>
              <w:t>小写</w:t>
            </w:r>
          </w:p>
        </w:tc>
      </w:tr>
    </w:tbl>
    <w:p w14:paraId="78D97EDC">
      <w:pPr>
        <w:pStyle w:val="10"/>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三、技术资料</w:t>
      </w:r>
    </w:p>
    <w:p w14:paraId="1D78B0B1">
      <w:pPr>
        <w:pStyle w:val="10"/>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乙方应按</w:t>
      </w:r>
      <w:r>
        <w:rPr>
          <w:rFonts w:hint="eastAsia" w:hAnsi="宋体" w:cs="宋体"/>
          <w:color w:val="auto"/>
          <w:szCs w:val="21"/>
          <w:highlight w:val="none"/>
          <w:lang w:eastAsia="zh-CN"/>
        </w:rPr>
        <w:t>采购文件</w:t>
      </w:r>
      <w:r>
        <w:rPr>
          <w:rFonts w:hint="eastAsia" w:ascii="宋体" w:hAnsi="宋体" w:eastAsia="宋体" w:cs="宋体"/>
          <w:color w:val="auto"/>
          <w:szCs w:val="21"/>
          <w:highlight w:val="none"/>
        </w:rPr>
        <w:t>规定的时间向甲方提供有关技术资料。</w:t>
      </w:r>
    </w:p>
    <w:p w14:paraId="6363BFBE">
      <w:pPr>
        <w:pStyle w:val="10"/>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E99FFA9">
      <w:pPr>
        <w:pStyle w:val="10"/>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四、知识产权</w:t>
      </w:r>
    </w:p>
    <w:p w14:paraId="21C4BB2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1、乙方应保证提供服务过程中不会侵犯任何第三方的知识产权和其他权利。</w:t>
      </w:r>
    </w:p>
    <w:p w14:paraId="06EF130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2、本项目所有成果以及采集的数据的知识产权和其他权利属甲方所有，乙方不得以任何形式向第三方提供，否则，按国家法律和有关规定追究乙方的一切责任，并要求乙方承担甲方因此造成的损失。</w:t>
      </w:r>
    </w:p>
    <w:p w14:paraId="5FF097F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3、本项目作业过程中提供的或涉及的所有数据属甲方拥有，乙方无权在技术要求规定之外自行处置数据，不得自行删除、复制、调整完善、转移数据，不得以任何形式</w:t>
      </w:r>
      <w:r>
        <w:rPr>
          <w:rFonts w:hint="eastAsia" w:ascii="宋体" w:hAnsi="宋体" w:eastAsia="宋体" w:cs="宋体"/>
          <w:color w:val="auto"/>
          <w:szCs w:val="21"/>
          <w:highlight w:val="none"/>
        </w:rPr>
        <w:t>擅自使用或</w:t>
      </w:r>
      <w:r>
        <w:rPr>
          <w:rFonts w:hint="eastAsia" w:ascii="宋体" w:hAnsi="宋体" w:eastAsia="宋体" w:cs="宋体"/>
          <w:color w:val="auto"/>
          <w:szCs w:val="21"/>
          <w:highlight w:val="none"/>
          <w:lang w:val="en-US" w:eastAsia="zh-CN"/>
        </w:rPr>
        <w:t>向第三方提供。</w:t>
      </w:r>
    </w:p>
    <w:p w14:paraId="2454263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4、若侵犯,</w:t>
      </w:r>
      <w:r>
        <w:rPr>
          <w:rFonts w:hint="eastAsia" w:ascii="宋体" w:hAnsi="宋体" w:eastAsia="宋体" w:cs="宋体"/>
          <w:color w:val="auto"/>
          <w:szCs w:val="21"/>
          <w:highlight w:val="none"/>
        </w:rPr>
        <w:t>除承担本协议中的违约责任外，还应</w:t>
      </w:r>
      <w:r>
        <w:rPr>
          <w:rFonts w:hint="eastAsia" w:ascii="宋体" w:hAnsi="宋体" w:eastAsia="宋体" w:cs="宋体"/>
          <w:color w:val="auto"/>
          <w:szCs w:val="21"/>
          <w:highlight w:val="none"/>
          <w:lang w:val="en-US" w:eastAsia="zh-CN"/>
        </w:rPr>
        <w:t>由乙方赔偿甲方因此遭受的损失（包括但不限于应对及追偿过程中所支付的律师费、差旅费、诉讼费、保全费、鉴定费、评估费等）。</w:t>
      </w:r>
    </w:p>
    <w:p w14:paraId="18D32288">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lang w:val="en-US" w:eastAsia="zh-CN"/>
        </w:rPr>
        <w:t>五、</w:t>
      </w:r>
      <w:r>
        <w:rPr>
          <w:rFonts w:hint="eastAsia" w:ascii="宋体" w:hAnsi="宋体" w:eastAsia="宋体" w:cs="宋体"/>
          <w:b/>
          <w:color w:val="auto"/>
          <w:szCs w:val="21"/>
          <w:highlight w:val="none"/>
        </w:rPr>
        <w:t>转包或分包</w:t>
      </w:r>
    </w:p>
    <w:p w14:paraId="545790A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1、本合同范围的服务，应由乙方直接供应，不得转让他人供应；</w:t>
      </w:r>
    </w:p>
    <w:p w14:paraId="13EE750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2、乙方不得将本合同范围的服务全部或部分分包给他人供应；</w:t>
      </w:r>
    </w:p>
    <w:p w14:paraId="5711EB9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3、如有转包和分包行为，甲方有权解除合同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并向乙方追究违约责任</w:t>
      </w:r>
      <w:r>
        <w:rPr>
          <w:rFonts w:hint="eastAsia" w:ascii="宋体" w:hAnsi="宋体" w:eastAsia="宋体" w:cs="宋体"/>
          <w:color w:val="auto"/>
          <w:szCs w:val="21"/>
          <w:highlight w:val="none"/>
        </w:rPr>
        <w:t>。</w:t>
      </w:r>
    </w:p>
    <w:p w14:paraId="63BA0CC9">
      <w:pPr>
        <w:keepNext w:val="0"/>
        <w:keepLines w:val="0"/>
        <w:pageBreakBefore w:val="0"/>
        <w:widowControl w:val="0"/>
        <w:numPr>
          <w:ilvl w:val="255"/>
          <w:numId w:val="0"/>
        </w:numPr>
        <w:kinsoku/>
        <w:wordWrap/>
        <w:overflowPunct/>
        <w:topLinePunct w:val="0"/>
        <w:autoSpaceDE/>
        <w:autoSpaceDN/>
        <w:bidi w:val="0"/>
        <w:adjustRightInd/>
        <w:snapToGrid/>
        <w:spacing w:line="360" w:lineRule="auto"/>
        <w:ind w:left="0" w:firstLine="422" w:firstLineChars="200"/>
        <w:textAlignment w:val="auto"/>
        <w:outlineLvl w:val="1"/>
        <w:rPr>
          <w:rFonts w:hint="eastAsia" w:ascii="宋体" w:hAnsi="宋体" w:eastAsia="宋体" w:cs="宋体"/>
          <w:b/>
          <w:color w:val="auto"/>
          <w:sz w:val="21"/>
          <w:szCs w:val="21"/>
          <w:highlight w:val="none"/>
          <w:lang w:val="en-US" w:eastAsia="zh-CN"/>
        </w:rPr>
      </w:pPr>
      <w:r>
        <w:rPr>
          <w:rFonts w:hint="eastAsia" w:ascii="宋体" w:hAnsi="宋体" w:cs="宋体"/>
          <w:b/>
          <w:color w:val="auto"/>
          <w:szCs w:val="21"/>
          <w:highlight w:val="none"/>
          <w:lang w:val="en-US" w:eastAsia="zh-CN"/>
        </w:rPr>
        <w:t>六</w:t>
      </w:r>
      <w:r>
        <w:rPr>
          <w:rFonts w:hint="eastAsia" w:ascii="宋体" w:hAnsi="宋体" w:eastAsia="宋体" w:cs="宋体"/>
          <w:b/>
          <w:color w:val="auto"/>
          <w:szCs w:val="21"/>
          <w:highlight w:val="none"/>
        </w:rPr>
        <w:t>、</w:t>
      </w:r>
      <w:r>
        <w:rPr>
          <w:rFonts w:hint="eastAsia" w:ascii="宋体" w:hAnsi="宋体" w:eastAsia="宋体" w:cs="宋体"/>
          <w:b/>
          <w:color w:val="auto"/>
          <w:sz w:val="21"/>
          <w:szCs w:val="21"/>
          <w:highlight w:val="none"/>
        </w:rPr>
        <w:t>工作成果</w:t>
      </w:r>
      <w:r>
        <w:rPr>
          <w:rFonts w:hint="eastAsia" w:ascii="宋体" w:hAnsi="宋体" w:eastAsia="宋体" w:cs="宋体"/>
          <w:b/>
          <w:color w:val="auto"/>
          <w:sz w:val="21"/>
          <w:szCs w:val="21"/>
          <w:highlight w:val="none"/>
          <w:lang w:val="en-US" w:eastAsia="zh-CN"/>
        </w:rPr>
        <w:t>要求</w:t>
      </w:r>
    </w:p>
    <w:p w14:paraId="66E4B33D">
      <w:pPr>
        <w:keepNext w:val="0"/>
        <w:keepLines w:val="0"/>
        <w:pageBreakBefore w:val="0"/>
        <w:widowControl w:val="0"/>
        <w:suppressAutoHyphens/>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《台州湾新区工业园区生态环境污染防治项目工作汇编》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汇编中分别列明每个项目的成果文件等资料。</w:t>
      </w:r>
    </w:p>
    <w:p w14:paraId="7FA9CCE4">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color w:val="auto"/>
          <w:sz w:val="21"/>
          <w:szCs w:val="21"/>
          <w:highlight w:val="none"/>
        </w:rPr>
      </w:pPr>
      <w:r>
        <w:rPr>
          <w:rFonts w:hint="eastAsia" w:ascii="宋体" w:hAnsi="宋体" w:cs="宋体"/>
          <w:b/>
          <w:color w:val="auto"/>
          <w:szCs w:val="21"/>
          <w:highlight w:val="none"/>
          <w:lang w:val="en-US" w:eastAsia="zh-CN"/>
        </w:rPr>
        <w:t>七</w:t>
      </w:r>
      <w:r>
        <w:rPr>
          <w:rFonts w:hint="eastAsia" w:ascii="宋体" w:hAnsi="宋体" w:eastAsia="宋体" w:cs="宋体"/>
          <w:b/>
          <w:color w:val="auto"/>
          <w:szCs w:val="21"/>
          <w:highlight w:val="none"/>
        </w:rPr>
        <w:t>、</w:t>
      </w:r>
      <w:r>
        <w:rPr>
          <w:rFonts w:hint="eastAsia" w:ascii="宋体" w:hAnsi="宋体" w:eastAsia="宋体" w:cs="宋体"/>
          <w:b/>
          <w:color w:val="auto"/>
          <w:sz w:val="21"/>
          <w:szCs w:val="21"/>
          <w:highlight w:val="none"/>
        </w:rPr>
        <w:t>服务时间</w:t>
      </w:r>
    </w:p>
    <w:p w14:paraId="00B00741">
      <w:pPr>
        <w:keepNext w:val="0"/>
        <w:keepLines w:val="0"/>
        <w:pageBreakBefore w:val="0"/>
        <w:widowControl w:val="0"/>
        <w:suppressAutoHyphen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 w:val="21"/>
          <w:szCs w:val="21"/>
          <w:highlight w:val="none"/>
          <w:lang w:val="en-US" w:eastAsia="zh-CN"/>
        </w:rPr>
        <w:t>合同签订之日起</w:t>
      </w:r>
      <w:r>
        <w:rPr>
          <w:rFonts w:hint="eastAsia" w:ascii="宋体" w:hAnsi="宋体" w:eastAsia="宋体" w:cs="宋体"/>
          <w:color w:val="auto"/>
          <w:sz w:val="21"/>
          <w:szCs w:val="21"/>
          <w:highlight w:val="none"/>
          <w:lang w:val="en-US" w:eastAsia="zh-CN"/>
        </w:rPr>
        <w:t>至2026年6月</w:t>
      </w:r>
      <w:r>
        <w:rPr>
          <w:rFonts w:hint="eastAsia" w:ascii="宋体" w:hAnsi="宋体" w:eastAsia="宋体" w:cs="宋体"/>
          <w:bCs/>
          <w:color w:val="auto"/>
          <w:sz w:val="21"/>
          <w:szCs w:val="21"/>
          <w:highlight w:val="none"/>
          <w:lang w:val="en-US" w:eastAsia="zh-CN"/>
        </w:rPr>
        <w:t>30日</w:t>
      </w:r>
      <w:r>
        <w:rPr>
          <w:rFonts w:hint="eastAsia" w:ascii="宋体" w:hAnsi="宋体" w:eastAsia="宋体" w:cs="宋体"/>
          <w:color w:val="auto"/>
          <w:sz w:val="21"/>
          <w:szCs w:val="21"/>
          <w:highlight w:val="none"/>
          <w:lang w:val="en-US" w:eastAsia="zh-CN"/>
        </w:rPr>
        <w:t>。</w:t>
      </w:r>
    </w:p>
    <w:p w14:paraId="3AE02B4D">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rPr>
        <w:t>、付款条件</w:t>
      </w:r>
    </w:p>
    <w:p w14:paraId="0EDDBAF5">
      <w:pPr>
        <w:keepNext w:val="0"/>
        <w:keepLines w:val="0"/>
        <w:pageBreakBefore w:val="0"/>
        <w:widowControl w:val="0"/>
        <w:suppressAutoHyphens/>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按实结算，采购文件给定的数量为暂估量，最终采购量结算以实际完成的数量为准，中标单价不再进行调整。每个项目出具符合要求的成果文件后可纳入结算范围，采购人根据已出具符合要求的成果文件数量进行结算付款，总结算金额不超过</w:t>
      </w:r>
      <w:r>
        <w:rPr>
          <w:rFonts w:hint="eastAsia" w:ascii="宋体" w:hAnsi="宋体" w:cs="宋体"/>
          <w:color w:val="auto"/>
          <w:sz w:val="21"/>
          <w:szCs w:val="21"/>
          <w:highlight w:val="none"/>
          <w:lang w:val="en-US" w:eastAsia="zh-CN"/>
        </w:rPr>
        <w:t>合同金额</w:t>
      </w:r>
      <w:r>
        <w:rPr>
          <w:rFonts w:hint="eastAsia" w:ascii="宋体" w:hAnsi="宋体" w:eastAsia="宋体" w:cs="宋体"/>
          <w:color w:val="auto"/>
          <w:sz w:val="21"/>
          <w:szCs w:val="21"/>
          <w:highlight w:val="none"/>
          <w:lang w:val="en-US" w:eastAsia="zh-CN"/>
        </w:rPr>
        <w:t>。</w:t>
      </w:r>
    </w:p>
    <w:p w14:paraId="4EF393B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、结算方式：</w:t>
      </w:r>
      <w:r>
        <w:rPr>
          <w:rFonts w:hint="eastAsia" w:asciiTheme="minorEastAsia" w:hAnsiTheme="minorEastAsia" w:eastAsiaTheme="minorEastAsia" w:cstheme="minorEastAsia"/>
          <w:bCs/>
          <w:color w:val="auto"/>
          <w:sz w:val="21"/>
          <w:szCs w:val="21"/>
          <w:highlight w:val="none"/>
        </w:rPr>
        <w:t>合同结算价=Σ各项服务内容</w:t>
      </w:r>
      <w:r>
        <w:rPr>
          <w:rFonts w:hint="eastAsia" w:asciiTheme="minorEastAsia" w:hAnsiTheme="minorEastAsia" w:eastAsiaTheme="minorEastAsia" w:cstheme="minorEastAsia"/>
          <w:bCs/>
          <w:color w:val="auto"/>
          <w:sz w:val="21"/>
          <w:szCs w:val="21"/>
          <w:highlight w:val="none"/>
          <w:lang w:val="en-US" w:eastAsia="zh-CN"/>
        </w:rPr>
        <w:t>合同</w:t>
      </w:r>
      <w:r>
        <w:rPr>
          <w:rFonts w:hint="eastAsia" w:asciiTheme="minorEastAsia" w:hAnsiTheme="minorEastAsia" w:eastAsiaTheme="minorEastAsia" w:cstheme="minorEastAsia"/>
          <w:bCs/>
          <w:color w:val="auto"/>
          <w:sz w:val="21"/>
          <w:szCs w:val="21"/>
          <w:highlight w:val="none"/>
        </w:rPr>
        <w:t>单价×各项服务内容实际</w:t>
      </w:r>
      <w:r>
        <w:rPr>
          <w:rFonts w:hint="eastAsia" w:asciiTheme="minorEastAsia" w:hAnsiTheme="minorEastAsia" w:eastAsiaTheme="minorEastAsia" w:cstheme="minorEastAsia"/>
          <w:bCs/>
          <w:color w:val="auto"/>
          <w:sz w:val="21"/>
          <w:szCs w:val="21"/>
          <w:highlight w:val="none"/>
          <w:lang w:val="en-US" w:eastAsia="zh-CN"/>
        </w:rPr>
        <w:t>完成</w:t>
      </w:r>
      <w:r>
        <w:rPr>
          <w:rFonts w:hint="eastAsia" w:asciiTheme="minorEastAsia" w:hAnsiTheme="minorEastAsia" w:eastAsiaTheme="minorEastAsia" w:cstheme="minorEastAsia"/>
          <w:bCs/>
          <w:color w:val="auto"/>
          <w:sz w:val="21"/>
          <w:szCs w:val="21"/>
          <w:highlight w:val="none"/>
        </w:rPr>
        <w:t>数量</w:t>
      </w:r>
    </w:p>
    <w:p w14:paraId="6CAD4B2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default" w:ascii="宋体" w:hAnsi="宋体" w:eastAsia="宋体" w:cs="宋体"/>
          <w:snapToGrid w:val="0"/>
          <w:color w:val="auto"/>
          <w:sz w:val="21"/>
          <w:szCs w:val="21"/>
          <w:highlight w:val="none"/>
          <w:lang w:val="en-US"/>
        </w:rPr>
      </w:pPr>
      <w:r>
        <w:rPr>
          <w:rFonts w:hint="eastAsia" w:ascii="宋体" w:hAnsi="宋体" w:eastAsia="宋体" w:cs="宋体"/>
          <w:color w:val="auto"/>
          <w:sz w:val="21"/>
          <w:szCs w:val="21"/>
          <w:highlight w:val="none"/>
          <w:lang w:val="en-US" w:eastAsia="zh-CN"/>
        </w:rPr>
        <w:t>2、签订合同后七个工作日内支付项目合同额的</w:t>
      </w:r>
      <w:r>
        <w:rPr>
          <w:rFonts w:hint="eastAsia" w:ascii="宋体" w:hAnsi="宋体" w:cs="宋体"/>
          <w:color w:val="auto"/>
          <w:sz w:val="21"/>
          <w:szCs w:val="21"/>
          <w:highlight w:val="none"/>
          <w:lang w:val="en-US" w:eastAsia="zh-CN"/>
        </w:rPr>
        <w:t>47%</w:t>
      </w:r>
      <w:r>
        <w:rPr>
          <w:rFonts w:hint="eastAsia" w:ascii="宋体" w:hAnsi="宋体" w:eastAsia="宋体" w:cs="宋体"/>
          <w:color w:val="auto"/>
          <w:sz w:val="21"/>
          <w:szCs w:val="21"/>
          <w:highlight w:val="none"/>
          <w:lang w:val="en-US" w:eastAsia="zh-CN"/>
        </w:rPr>
        <w:t>作为预付款，项目完成经甲方验收后七个工作日内，按实结算，支付剩余款项。</w:t>
      </w:r>
      <w:r>
        <w:rPr>
          <w:rFonts w:hint="eastAsia" w:asciiTheme="minorEastAsia" w:hAnsiTheme="minorEastAsia" w:eastAsiaTheme="minorEastAsia" w:cstheme="minorEastAsia"/>
          <w:bCs/>
          <w:color w:val="auto"/>
          <w:sz w:val="21"/>
          <w:szCs w:val="21"/>
          <w:highlight w:val="none"/>
        </w:rPr>
        <w:t>每次付款前</w:t>
      </w:r>
      <w:r>
        <w:rPr>
          <w:rFonts w:hint="eastAsia" w:asciiTheme="minorEastAsia" w:hAnsiTheme="minorEastAsia" w:eastAsiaTheme="minorEastAsia" w:cstheme="minorEastAsia"/>
          <w:bCs/>
          <w:color w:val="auto"/>
          <w:sz w:val="21"/>
          <w:szCs w:val="21"/>
          <w:highlight w:val="none"/>
          <w:lang w:val="en-US" w:eastAsia="zh-CN"/>
        </w:rPr>
        <w:t>乙方</w:t>
      </w:r>
      <w:r>
        <w:rPr>
          <w:rFonts w:hint="eastAsia" w:asciiTheme="minorEastAsia" w:hAnsiTheme="minorEastAsia" w:eastAsiaTheme="minorEastAsia" w:cstheme="minorEastAsia"/>
          <w:bCs/>
          <w:color w:val="auto"/>
          <w:sz w:val="21"/>
          <w:szCs w:val="21"/>
          <w:highlight w:val="none"/>
        </w:rPr>
        <w:t>须开具</w:t>
      </w:r>
      <w:r>
        <w:rPr>
          <w:rFonts w:hint="eastAsia" w:asciiTheme="minorEastAsia" w:hAnsiTheme="minorEastAsia" w:eastAsiaTheme="minorEastAsia" w:cstheme="minorEastAsia"/>
          <w:bCs/>
          <w:color w:val="auto"/>
          <w:sz w:val="21"/>
          <w:szCs w:val="21"/>
          <w:highlight w:val="none"/>
          <w:lang w:val="en-US" w:eastAsia="zh-CN"/>
        </w:rPr>
        <w:t>正式发票</w:t>
      </w:r>
      <w:r>
        <w:rPr>
          <w:rFonts w:hint="eastAsia" w:asciiTheme="minorEastAsia" w:hAnsiTheme="minorEastAsia" w:eastAsiaTheme="minorEastAsia" w:cstheme="minorEastAsia"/>
          <w:bCs/>
          <w:color w:val="auto"/>
          <w:sz w:val="21"/>
          <w:szCs w:val="21"/>
          <w:highlight w:val="none"/>
        </w:rPr>
        <w:t>。</w:t>
      </w:r>
    </w:p>
    <w:p w14:paraId="2D28A9B1">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rPr>
          <w:rFonts w:hint="eastAsia" w:ascii="宋体" w:hAnsi="宋体" w:eastAsia="宋体" w:cs="宋体"/>
          <w:color w:val="auto"/>
          <w:szCs w:val="21"/>
          <w:highlight w:val="none"/>
        </w:rPr>
      </w:pPr>
      <w:r>
        <w:rPr>
          <w:rFonts w:hint="eastAsia" w:ascii="宋体" w:hAnsi="宋体" w:cs="宋体"/>
          <w:b/>
          <w:color w:val="auto"/>
          <w:highlight w:val="none"/>
          <w:lang w:val="en-US" w:eastAsia="zh-CN"/>
        </w:rPr>
        <w:t>九</w:t>
      </w:r>
      <w:r>
        <w:rPr>
          <w:rFonts w:hint="eastAsia" w:ascii="宋体" w:hAnsi="宋体" w:eastAsia="宋体" w:cs="宋体"/>
          <w:b/>
          <w:color w:val="auto"/>
          <w:highlight w:val="none"/>
        </w:rPr>
        <w:t>、税费</w:t>
      </w:r>
    </w:p>
    <w:p w14:paraId="374906EE">
      <w:pPr>
        <w:pStyle w:val="10"/>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本合同执行中相关的一切税费均由乙方负担。</w:t>
      </w:r>
    </w:p>
    <w:p w14:paraId="72C45E59">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jc w:val="both"/>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十</w:t>
      </w:r>
      <w:r>
        <w:rPr>
          <w:rFonts w:hint="eastAsia" w:ascii="宋体" w:hAnsi="宋体" w:eastAsia="宋体" w:cs="宋体"/>
          <w:b/>
          <w:color w:val="auto"/>
          <w:highlight w:val="none"/>
        </w:rPr>
        <w:t>、违约责任</w:t>
      </w:r>
    </w:p>
    <w:p w14:paraId="349B0543">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1、甲方无正当理由拒绝接受服务的，甲方向乙方支付合同款项百分之五作为违约金。</w:t>
      </w:r>
    </w:p>
    <w:p w14:paraId="07796156">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2、甲方无故逾期验收和办理款项支付手续的，甲方应按逾期付款总额向乙方支付每日万分之五违约金。</w:t>
      </w:r>
    </w:p>
    <w:p w14:paraId="0ED40A3F">
      <w:pPr>
        <w:pStyle w:val="10"/>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乙方逾期提供服务的，乙方应按逾期天数向甲方支付每日</w:t>
      </w:r>
      <w:r>
        <w:rPr>
          <w:rFonts w:hint="eastAsia" w:hAnsi="宋体" w:cs="宋体"/>
          <w:color w:val="auto"/>
          <w:highlight w:val="none"/>
          <w:lang w:val="en-US" w:eastAsia="zh-CN"/>
        </w:rPr>
        <w:t>合同款项的</w:t>
      </w:r>
      <w:r>
        <w:rPr>
          <w:rFonts w:hint="eastAsia" w:ascii="宋体" w:hAnsi="宋体" w:eastAsia="宋体" w:cs="宋体"/>
          <w:color w:val="auto"/>
          <w:highlight w:val="none"/>
        </w:rPr>
        <w:t xml:space="preserve">万分之五违约金。逾期超过约定日期10个工作日的，甲方可解除本合同。乙方因逾期或因其他违约行为导致甲方解除合同的，乙方应向甲方支付合同款项百分之五的违约金，如造成甲方损失超过违约金的，超出部分由乙方继续承担赔偿责任。 </w:t>
      </w:r>
    </w:p>
    <w:p w14:paraId="3C8731FD">
      <w:pPr>
        <w:pStyle w:val="10"/>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4、若发生纠纷，由违约方赔偿守约方因纠纷所支付的费用（包括但不限于律师费、差旅费、诉讼费、保全费、鉴定费、评估费等）。</w:t>
      </w:r>
    </w:p>
    <w:p w14:paraId="5F49CB49">
      <w:pPr>
        <w:pStyle w:val="10"/>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baseline"/>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lang w:val="en-US" w:eastAsia="zh-CN"/>
        </w:rPr>
        <w:t>十</w:t>
      </w:r>
      <w:r>
        <w:rPr>
          <w:rFonts w:hint="eastAsia" w:hAnsi="宋体" w:cs="宋体"/>
          <w:b/>
          <w:bCs/>
          <w:snapToGrid w:val="0"/>
          <w:color w:val="auto"/>
          <w:sz w:val="21"/>
          <w:szCs w:val="21"/>
          <w:highlight w:val="none"/>
          <w:lang w:val="en-US" w:eastAsia="zh-CN"/>
        </w:rPr>
        <w:t>一</w:t>
      </w:r>
      <w:r>
        <w:rPr>
          <w:rFonts w:hint="eastAsia" w:ascii="宋体" w:hAnsi="宋体" w:eastAsia="宋体" w:cs="宋体"/>
          <w:b/>
          <w:bCs/>
          <w:snapToGrid w:val="0"/>
          <w:color w:val="auto"/>
          <w:sz w:val="21"/>
          <w:szCs w:val="21"/>
          <w:highlight w:val="none"/>
          <w:lang w:val="en-US" w:eastAsia="zh-CN"/>
        </w:rPr>
        <w:t>、</w:t>
      </w:r>
      <w:r>
        <w:rPr>
          <w:rFonts w:hint="eastAsia" w:ascii="宋体" w:hAnsi="宋体" w:eastAsia="宋体" w:cs="宋体"/>
          <w:b/>
          <w:bCs/>
          <w:snapToGrid w:val="0"/>
          <w:color w:val="auto"/>
          <w:sz w:val="21"/>
          <w:szCs w:val="21"/>
          <w:highlight w:val="none"/>
        </w:rPr>
        <w:t>不可抗力事件处理</w:t>
      </w:r>
    </w:p>
    <w:p w14:paraId="6887343E">
      <w:pPr>
        <w:pStyle w:val="10"/>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1、在合同有效期内，任何一方因不可抗力事件导致不能履行合同，则合同履行期可延长，其延长期与不可抗力影响期相同。</w:t>
      </w:r>
    </w:p>
    <w:p w14:paraId="1E15442C">
      <w:pPr>
        <w:pStyle w:val="10"/>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2、不可抗力事件发生后，应立即通知对方，并寄送有关权威机构出具的证明。</w:t>
      </w:r>
    </w:p>
    <w:p w14:paraId="288A497D">
      <w:pPr>
        <w:pStyle w:val="10"/>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3、不可抗力事件延续120天以上，双方应通过友好协商，确定是否继续履行合同。</w:t>
      </w:r>
    </w:p>
    <w:p w14:paraId="586B8361">
      <w:pPr>
        <w:pStyle w:val="10"/>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baseline"/>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十</w:t>
      </w:r>
      <w:r>
        <w:rPr>
          <w:rFonts w:hint="eastAsia" w:hAnsi="宋体" w:cs="宋体"/>
          <w:b/>
          <w:bCs/>
          <w:snapToGrid w:val="0"/>
          <w:color w:val="auto"/>
          <w:sz w:val="21"/>
          <w:szCs w:val="21"/>
          <w:highlight w:val="none"/>
          <w:lang w:val="en-US" w:eastAsia="zh-CN"/>
        </w:rPr>
        <w:t>二</w:t>
      </w:r>
      <w:r>
        <w:rPr>
          <w:rFonts w:hint="eastAsia" w:ascii="宋体" w:hAnsi="宋体" w:eastAsia="宋体" w:cs="宋体"/>
          <w:b/>
          <w:bCs/>
          <w:snapToGrid w:val="0"/>
          <w:color w:val="auto"/>
          <w:sz w:val="21"/>
          <w:szCs w:val="21"/>
          <w:highlight w:val="none"/>
        </w:rPr>
        <w:t>、诉讼</w:t>
      </w:r>
    </w:p>
    <w:p w14:paraId="7FA2D3F9">
      <w:pPr>
        <w:pStyle w:val="10"/>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val="en-US" w:eastAsia="zh-CN"/>
        </w:rPr>
        <w:t>1、</w:t>
      </w:r>
      <w:r>
        <w:rPr>
          <w:rFonts w:hint="eastAsia" w:ascii="宋体" w:hAnsi="宋体" w:eastAsia="宋体" w:cs="宋体"/>
          <w:snapToGrid w:val="0"/>
          <w:color w:val="auto"/>
          <w:sz w:val="21"/>
          <w:szCs w:val="21"/>
          <w:highlight w:val="none"/>
        </w:rPr>
        <w:t>双方在执行合同中所发生的一切争议，应通过协商解决。如协商不成，可向甲方所在地法院起诉。</w:t>
      </w:r>
    </w:p>
    <w:p w14:paraId="2332E820">
      <w:pPr>
        <w:pStyle w:val="10"/>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baseline"/>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十</w:t>
      </w:r>
      <w:r>
        <w:rPr>
          <w:rFonts w:hint="eastAsia" w:hAnsi="宋体" w:cs="宋体"/>
          <w:b/>
          <w:bCs/>
          <w:snapToGrid w:val="0"/>
          <w:color w:val="auto"/>
          <w:sz w:val="21"/>
          <w:szCs w:val="21"/>
          <w:highlight w:val="none"/>
          <w:lang w:val="en-US" w:eastAsia="zh-CN"/>
        </w:rPr>
        <w:t>三</w:t>
      </w:r>
      <w:r>
        <w:rPr>
          <w:rFonts w:hint="eastAsia" w:ascii="宋体" w:hAnsi="宋体" w:eastAsia="宋体" w:cs="宋体"/>
          <w:b/>
          <w:bCs/>
          <w:snapToGrid w:val="0"/>
          <w:color w:val="auto"/>
          <w:sz w:val="21"/>
          <w:szCs w:val="21"/>
          <w:highlight w:val="none"/>
        </w:rPr>
        <w:t>、合同生效及其它</w:t>
      </w:r>
    </w:p>
    <w:p w14:paraId="6EAFB180">
      <w:pPr>
        <w:pStyle w:val="10"/>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1、合同经双方法定代表人或授权代表签字并加盖单位公章后生效。</w:t>
      </w:r>
    </w:p>
    <w:p w14:paraId="01EA208C">
      <w:pPr>
        <w:pStyle w:val="10"/>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2、合同执行中涉及采购资金和采购内容修改或补充的，须经财政部门审批，并签书面补充协议报政府采购监督管理部门备案，方可作为主合同不可分割的一部分。</w:t>
      </w:r>
    </w:p>
    <w:p w14:paraId="680A25CA">
      <w:pPr>
        <w:pStyle w:val="10"/>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3、本合同未尽事宜，遵照《</w:t>
      </w:r>
      <w:r>
        <w:rPr>
          <w:rFonts w:hint="eastAsia" w:ascii="宋体" w:hAnsi="宋体" w:eastAsia="宋体" w:cs="宋体"/>
          <w:snapToGrid w:val="0"/>
          <w:color w:val="auto"/>
          <w:sz w:val="21"/>
          <w:szCs w:val="21"/>
          <w:highlight w:val="none"/>
          <w:lang w:val="en-US" w:eastAsia="zh-CN"/>
        </w:rPr>
        <w:t>民法典</w:t>
      </w:r>
      <w:r>
        <w:rPr>
          <w:rFonts w:hint="eastAsia" w:ascii="宋体" w:hAnsi="宋体" w:eastAsia="宋体" w:cs="宋体"/>
          <w:snapToGrid w:val="0"/>
          <w:color w:val="auto"/>
          <w:sz w:val="21"/>
          <w:szCs w:val="21"/>
          <w:highlight w:val="none"/>
        </w:rPr>
        <w:t>》有关条文执行。</w:t>
      </w:r>
    </w:p>
    <w:p w14:paraId="127ECDB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spacing w:val="-6"/>
          <w:kern w:val="0"/>
          <w:sz w:val="21"/>
          <w:szCs w:val="21"/>
          <w:highlight w:val="none"/>
        </w:rPr>
        <w:t>、本合同壹式陆份，甲、乙双方、招标代理公司各执贰份。本项目未尽事宜以招标文件、投标文件及澄清文件等为准。</w:t>
      </w:r>
    </w:p>
    <w:p w14:paraId="14B82EA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spacing w:val="-6"/>
          <w:kern w:val="0"/>
          <w:sz w:val="21"/>
          <w:szCs w:val="21"/>
          <w:highlight w:val="none"/>
        </w:rPr>
        <w:t>、与本合同有关标书及记录同本合同具有同等法律效果。</w:t>
      </w:r>
    </w:p>
    <w:p w14:paraId="37402400">
      <w:pPr>
        <w:widowControl/>
        <w:spacing w:line="360" w:lineRule="auto"/>
        <w:ind w:firstLine="315"/>
        <w:rPr>
          <w:rFonts w:hint="eastAsia" w:ascii="宋体" w:hAnsi="宋体" w:eastAsia="宋体" w:cs="宋体"/>
          <w:color w:val="auto"/>
          <w:kern w:val="0"/>
          <w:sz w:val="21"/>
          <w:szCs w:val="21"/>
          <w:highlight w:val="none"/>
        </w:rPr>
      </w:pPr>
    </w:p>
    <w:p w14:paraId="45FCA503">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甲方（公章）：                            乙方（公章）：          </w:t>
      </w:r>
    </w:p>
    <w:p w14:paraId="25489CF1">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法定代表人或委托人：                      法定代表人或委托人：         </w:t>
      </w:r>
    </w:p>
    <w:p w14:paraId="59875D32">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                                联系电话：</w:t>
      </w:r>
    </w:p>
    <w:p w14:paraId="1FF3A530">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开户银行：                                开户银行：    </w:t>
      </w:r>
    </w:p>
    <w:p w14:paraId="6FBC7A43">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    号：                                账    号：</w:t>
      </w:r>
    </w:p>
    <w:p w14:paraId="625CAFCB">
      <w:pPr>
        <w:spacing w:line="5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合同</w:t>
      </w:r>
      <w:r>
        <w:rPr>
          <w:rFonts w:hint="eastAsia" w:ascii="宋体" w:hAnsi="宋体" w:cs="宋体"/>
          <w:snapToGrid w:val="0"/>
          <w:color w:val="auto"/>
          <w:sz w:val="21"/>
          <w:szCs w:val="21"/>
          <w:highlight w:val="none"/>
          <w:lang w:val="en-US" w:eastAsia="zh-CN"/>
        </w:rPr>
        <w:t>见证方</w:t>
      </w:r>
      <w:r>
        <w:rPr>
          <w:rFonts w:hint="eastAsia" w:ascii="宋体" w:hAnsi="宋体" w:eastAsia="宋体" w:cs="宋体"/>
          <w:snapToGrid w:val="0"/>
          <w:color w:val="auto"/>
          <w:sz w:val="21"/>
          <w:szCs w:val="21"/>
          <w:highlight w:val="none"/>
        </w:rPr>
        <w:t>：</w:t>
      </w:r>
    </w:p>
    <w:p w14:paraId="48CF9547">
      <w:pPr>
        <w:spacing w:line="500" w:lineRule="exact"/>
        <w:ind w:firstLine="42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sz w:val="21"/>
          <w:szCs w:val="21"/>
          <w:highlight w:val="none"/>
          <w:lang w:val="en-US" w:eastAsia="zh-CN"/>
        </w:rPr>
        <w:t xml:space="preserve">                                         </w:t>
      </w:r>
      <w:r>
        <w:rPr>
          <w:rFonts w:hint="eastAsia" w:ascii="宋体" w:hAnsi="宋体" w:eastAsia="宋体" w:cs="宋体"/>
          <w:color w:val="auto"/>
          <w:kern w:val="0"/>
          <w:sz w:val="21"/>
          <w:szCs w:val="21"/>
          <w:highlight w:val="none"/>
        </w:rPr>
        <w:t>签订日期：       年     月     日</w:t>
      </w:r>
    </w:p>
    <w:p w14:paraId="00CBBF36">
      <w:pPr>
        <w:pStyle w:val="51"/>
        <w:rPr>
          <w:rFonts w:hint="eastAsia" w:ascii="宋体" w:hAnsi="宋体" w:eastAsia="宋体" w:cs="宋体"/>
          <w:color w:val="auto"/>
          <w:sz w:val="24"/>
          <w:szCs w:val="24"/>
          <w:highlight w:val="none"/>
        </w:rPr>
      </w:pPr>
    </w:p>
    <w:p w14:paraId="0398824E">
      <w:pPr>
        <w:spacing w:line="360" w:lineRule="auto"/>
        <w:jc w:val="both"/>
        <w:rPr>
          <w:rFonts w:hint="eastAsia" w:ascii="宋体" w:hAnsi="宋体" w:eastAsia="宋体" w:cs="宋体"/>
          <w:color w:val="auto"/>
          <w:sz w:val="24"/>
          <w:szCs w:val="24"/>
          <w:highlight w:val="none"/>
        </w:rPr>
      </w:pPr>
    </w:p>
    <w:p w14:paraId="7E609696">
      <w:pPr>
        <w:spacing w:line="360" w:lineRule="auto"/>
        <w:jc w:val="center"/>
        <w:outlineLvl w:val="0"/>
        <w:rPr>
          <w:rFonts w:hint="eastAsia" w:ascii="宋体" w:hAnsi="宋体" w:eastAsia="宋体" w:cs="宋体"/>
          <w:b/>
          <w:color w:val="auto"/>
          <w:sz w:val="36"/>
          <w:szCs w:val="36"/>
          <w:highlight w:val="none"/>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pgNumType w:fmt="decimal"/>
          <w:cols w:space="425" w:num="1"/>
          <w:docGrid w:type="lines" w:linePitch="312" w:charSpace="0"/>
        </w:sectPr>
      </w:pPr>
    </w:p>
    <w:p w14:paraId="4D2A499A">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 投标文件格式附件</w:t>
      </w:r>
    </w:p>
    <w:p w14:paraId="4A7A792D">
      <w:pPr>
        <w:spacing w:line="360" w:lineRule="auto"/>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r>
        <w:rPr>
          <w:rFonts w:hint="eastAsia" w:ascii="宋体" w:hAnsi="宋体" w:eastAsia="宋体" w:cs="宋体"/>
          <w:color w:val="auto"/>
          <w:sz w:val="30"/>
          <w:szCs w:val="30"/>
          <w:highlight w:val="none"/>
        </w:rPr>
        <w:t xml:space="preserve">                       　</w:t>
      </w:r>
    </w:p>
    <w:p w14:paraId="5991549F">
      <w:pPr>
        <w:numPr>
          <w:ilvl w:val="0"/>
          <w:numId w:val="0"/>
        </w:numPr>
        <w:spacing w:line="360" w:lineRule="auto"/>
        <w:jc w:val="both"/>
        <w:rPr>
          <w:rFonts w:hint="eastAsia" w:ascii="宋体" w:hAnsi="宋体" w:eastAsia="宋体" w:cs="宋体"/>
          <w:b/>
          <w:color w:val="auto"/>
          <w:sz w:val="30"/>
          <w:szCs w:val="30"/>
          <w:highlight w:val="none"/>
        </w:rPr>
      </w:pPr>
    </w:p>
    <w:p w14:paraId="71C5A3A0">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6882931F">
      <w:pPr>
        <w:spacing w:beforeLines="100"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项目编号：（标段）</w:t>
      </w:r>
    </w:p>
    <w:p w14:paraId="5E67AB32">
      <w:pP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14:paraId="4926787E">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1EC62FFA">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78837D73">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4450F8A4">
      <w:pPr>
        <w:spacing w:after="100" w:afterAutospacing="1" w:line="360" w:lineRule="auto"/>
        <w:ind w:right="-108"/>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1E66DC77">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23A0E9E5">
      <w:pPr>
        <w:pStyle w:val="51"/>
        <w:rPr>
          <w:rFonts w:hint="eastAsia" w:ascii="宋体" w:hAnsi="宋体" w:eastAsia="宋体" w:cs="宋体"/>
          <w:color w:val="auto"/>
          <w:highlight w:val="none"/>
        </w:rPr>
      </w:pPr>
    </w:p>
    <w:p w14:paraId="4C9AC42E">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2CA15DE6">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6E7F9B6C">
      <w:pPr>
        <w:spacing w:line="360" w:lineRule="auto"/>
        <w:ind w:right="532" w:firstLine="720" w:firstLineChars="200"/>
        <w:rPr>
          <w:rFonts w:hint="eastAsia" w:ascii="宋体" w:hAnsi="宋体" w:eastAsia="宋体" w:cs="宋体"/>
          <w:b/>
          <w:color w:val="auto"/>
          <w:sz w:val="36"/>
          <w:szCs w:val="36"/>
          <w:highlight w:val="none"/>
        </w:rPr>
      </w:pPr>
      <w:r>
        <w:rPr>
          <w:rFonts w:hint="eastAsia" w:ascii="宋体" w:hAnsi="宋体" w:eastAsia="宋体" w:cs="宋体"/>
          <w:color w:val="auto"/>
          <w:sz w:val="36"/>
          <w:szCs w:val="36"/>
          <w:highlight w:val="none"/>
        </w:rPr>
        <w:t>时间：</w:t>
      </w:r>
    </w:p>
    <w:p w14:paraId="3B1CE8B7">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资格证明文件目录</w:t>
      </w:r>
    </w:p>
    <w:p w14:paraId="2578BB9E">
      <w:pPr>
        <w:snapToGrid w:val="0"/>
        <w:spacing w:before="50" w:after="50" w:line="360" w:lineRule="auto"/>
        <w:jc w:val="center"/>
        <w:rPr>
          <w:rFonts w:hint="eastAsia" w:ascii="宋体" w:hAnsi="宋体" w:eastAsia="宋体" w:cs="宋体"/>
          <w:b/>
          <w:bCs/>
          <w:color w:val="auto"/>
          <w:sz w:val="32"/>
          <w:szCs w:val="32"/>
          <w:highlight w:val="none"/>
        </w:rPr>
      </w:pPr>
    </w:p>
    <w:p w14:paraId="41517535">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bCs/>
          <w:color w:val="auto"/>
          <w:sz w:val="24"/>
          <w:highlight w:val="none"/>
        </w:rPr>
        <w:t>1、投标声明书</w:t>
      </w:r>
      <w:r>
        <w:rPr>
          <w:rFonts w:hint="eastAsia" w:ascii="宋体" w:hAnsi="宋体" w:eastAsia="宋体" w:cs="宋体"/>
          <w:color w:val="auto"/>
          <w:sz w:val="24"/>
          <w:highlight w:val="none"/>
        </w:rPr>
        <w:t>（附件2）</w:t>
      </w:r>
    </w:p>
    <w:p w14:paraId="320E601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2、授权委托书（附件3）</w:t>
      </w:r>
    </w:p>
    <w:p w14:paraId="5DD5449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3、法人或者其他组织的营业执照等证明文件，法定代表人和授权代表的身份证明</w:t>
      </w:r>
    </w:p>
    <w:p w14:paraId="545B2B3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szCs w:val="24"/>
          <w:highlight w:val="none"/>
          <w:lang w:val="en-US" w:eastAsia="zh-CN"/>
        </w:rPr>
        <w:t>须提供中小企业声明函等政府优惠政策适用证明材料（附件</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w:t>
      </w:r>
    </w:p>
    <w:p w14:paraId="7694A7C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
          <w:color w:val="auto"/>
          <w:sz w:val="28"/>
          <w:highlight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、投标人认为需要说明的其他材料</w:t>
      </w:r>
    </w:p>
    <w:p w14:paraId="37A5B36D">
      <w:pPr>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18B830F9">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投标声明书</w:t>
      </w:r>
    </w:p>
    <w:p w14:paraId="73CBA4BA">
      <w:pPr>
        <w:spacing w:line="360" w:lineRule="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台州湾新区管理委员会</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浙江汇永工程咨询有限公司</w:t>
      </w:r>
      <w:r>
        <w:rPr>
          <w:rFonts w:hint="eastAsia" w:ascii="宋体" w:hAnsi="宋体" w:eastAsia="宋体" w:cs="宋体"/>
          <w:color w:val="auto"/>
          <w:sz w:val="21"/>
          <w:szCs w:val="21"/>
          <w:highlight w:val="none"/>
          <w:u w:val="single"/>
        </w:rPr>
        <w:t>：</w:t>
      </w:r>
    </w:p>
    <w:p w14:paraId="7500275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）系中华人民共和国合法企业，经营地址</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0972EDF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姓名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）的法定代表人，我公司自愿参加贵方组织的</w:t>
      </w:r>
      <w:r>
        <w:rPr>
          <w:rFonts w:hint="eastAsia" w:ascii="宋体" w:hAnsi="宋体" w:cs="宋体"/>
          <w:color w:val="auto"/>
          <w:sz w:val="21"/>
          <w:szCs w:val="21"/>
          <w:highlight w:val="none"/>
          <w:u w:val="single"/>
          <w:lang w:eastAsia="zh-CN"/>
        </w:rPr>
        <w:t>工业园区生态环境污染防治项目</w:t>
      </w:r>
      <w:r>
        <w:rPr>
          <w:rFonts w:hint="eastAsia" w:ascii="宋体" w:hAnsi="宋体" w:eastAsia="宋体" w:cs="宋体"/>
          <w:color w:val="auto"/>
          <w:sz w:val="21"/>
          <w:szCs w:val="21"/>
          <w:highlight w:val="none"/>
        </w:rPr>
        <w:t>（编号为</w:t>
      </w:r>
      <w:r>
        <w:rPr>
          <w:rFonts w:hint="eastAsia" w:ascii="宋体" w:hAnsi="宋体" w:cs="宋体"/>
          <w:color w:val="auto"/>
          <w:sz w:val="21"/>
          <w:szCs w:val="21"/>
          <w:highlight w:val="none"/>
          <w:u w:val="single"/>
          <w:lang w:val="en-US" w:eastAsia="zh-CN"/>
        </w:rPr>
        <w:t>zjhy2025-tz15</w:t>
      </w:r>
      <w:r>
        <w:rPr>
          <w:rFonts w:hint="eastAsia" w:ascii="宋体" w:hAnsi="宋体" w:eastAsia="宋体" w:cs="宋体"/>
          <w:color w:val="auto"/>
          <w:sz w:val="21"/>
          <w:szCs w:val="21"/>
          <w:highlight w:val="none"/>
        </w:rPr>
        <w:t>）的投标，为此，我公司就本次投标有关事项郑重声明如下：</w:t>
      </w:r>
    </w:p>
    <w:p w14:paraId="2469ED9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 我公司声明截止投标时间前三年内：在经营活动中没有重大违法记录（重大违法记录是指供应商因违法经营受到刑事处罚或者责令停产停业、吊销许可证或者执照、较大数额罚款等行政处罚）。</w:t>
      </w:r>
    </w:p>
    <w:p w14:paraId="573D037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 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72B74D1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 我公司不是采购人的附属机构；在获知本项目采购信息后，与采购人聘请的为此项目提供咨询服务的公司及其附属机构没有任何联系。</w:t>
      </w:r>
    </w:p>
    <w:p w14:paraId="643B110E">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 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617F26F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 我公司严格履行采购合同，不降低合同约定的产品质量和服务，不擅自变更、中止、终止合同，或拒绝履行合同义务；</w:t>
      </w:r>
    </w:p>
    <w:p w14:paraId="1E2DAB6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 我公司承诺（若代理服务费由中标单位支付）：如在本项目中标，我公司在中标公告发布之日起5个工作日内按采购文件约定支付代理服务费。</w:t>
      </w:r>
    </w:p>
    <w:p w14:paraId="3C1895E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7. 以上事项如有虚假或隐瞒，我公司愿意承担一切后果，并不再寻求任何旨在减轻或免除法律责任的辩解</w:t>
      </w:r>
      <w:r>
        <w:rPr>
          <w:rFonts w:hint="eastAsia" w:ascii="宋体" w:hAnsi="宋体" w:eastAsia="宋体" w:cs="宋体"/>
          <w:color w:val="auto"/>
          <w:sz w:val="21"/>
          <w:szCs w:val="21"/>
          <w:highlight w:val="none"/>
        </w:rPr>
        <w:t>。</w:t>
      </w:r>
    </w:p>
    <w:p w14:paraId="55E5CD4C">
      <w:pPr>
        <w:spacing w:line="360" w:lineRule="auto"/>
        <w:ind w:firstLine="3360" w:firstLineChars="16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投标人名称(公章)：</w:t>
      </w:r>
    </w:p>
    <w:p w14:paraId="4428EA15">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法定代表人或授权委托代理人</w:t>
      </w:r>
      <w:r>
        <w:rPr>
          <w:rFonts w:hint="eastAsia" w:ascii="宋体" w:hAnsi="宋体"/>
          <w:color w:val="auto"/>
          <w:szCs w:val="21"/>
          <w:highlight w:val="none"/>
        </w:rPr>
        <w:t>（签字或盖章）</w:t>
      </w:r>
      <w:r>
        <w:rPr>
          <w:rFonts w:hint="eastAsia" w:ascii="宋体" w:hAnsi="宋体" w:eastAsia="宋体" w:cs="宋体"/>
          <w:color w:val="auto"/>
          <w:sz w:val="21"/>
          <w:szCs w:val="21"/>
          <w:highlight w:val="none"/>
          <w:lang w:val="zh-CN"/>
        </w:rPr>
        <w:t>：</w:t>
      </w:r>
    </w:p>
    <w:p w14:paraId="5132870D">
      <w:pPr>
        <w:spacing w:line="360" w:lineRule="auto"/>
        <w:ind w:firstLine="420" w:firstLineChars="200"/>
        <w:jc w:val="center"/>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lang w:val="zh-CN"/>
        </w:rPr>
        <w:t>日期：</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02B8B803">
      <w:pPr>
        <w:adjustRightInd w:val="0"/>
        <w:snapToGrid w:val="0"/>
        <w:spacing w:line="360" w:lineRule="auto"/>
        <w:ind w:right="480"/>
        <w:outlineLvl w:val="9"/>
        <w:rPr>
          <w:rFonts w:hint="eastAsia" w:ascii="宋体" w:hAnsi="宋体" w:eastAsia="宋体" w:cs="宋体"/>
          <w:b/>
          <w:color w:val="auto"/>
          <w:sz w:val="28"/>
          <w:highlight w:val="none"/>
        </w:rPr>
      </w:pPr>
    </w:p>
    <w:p w14:paraId="5D5C6636">
      <w:pPr>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02F4B6F7">
      <w:pPr>
        <w:spacing w:line="360" w:lineRule="auto"/>
        <w:ind w:firstLine="321" w:firstLineChars="100"/>
        <w:jc w:val="center"/>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32A90ABD">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hAnsi="宋体" w:cs="宋体"/>
          <w:color w:val="auto"/>
          <w:sz w:val="21"/>
          <w:szCs w:val="21"/>
          <w:highlight w:val="none"/>
          <w:u w:val="single"/>
          <w:lang w:eastAsia="zh-CN"/>
        </w:rPr>
        <w:t>台州湾新区管理委员会</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浙江汇永工程咨询有限公司</w:t>
      </w:r>
      <w:r>
        <w:rPr>
          <w:rFonts w:hint="eastAsia" w:ascii="宋体" w:hAnsi="宋体" w:eastAsia="宋体" w:cs="宋体"/>
          <w:color w:val="auto"/>
          <w:kern w:val="0"/>
          <w:sz w:val="21"/>
          <w:szCs w:val="21"/>
          <w:highlight w:val="none"/>
        </w:rPr>
        <w:t>：</w:t>
      </w:r>
    </w:p>
    <w:p w14:paraId="01F44BEC">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（投标人全称）</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（法定代表人或营业执照中单位负责人姓名）</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授权委托代理人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kern w:val="0"/>
          <w:sz w:val="21"/>
          <w:szCs w:val="21"/>
          <w:highlight w:val="none"/>
          <w:u w:val="single"/>
          <w:lang w:eastAsia="zh-CN"/>
        </w:rPr>
        <w:t>工业园区生态环境污染防治项目</w:t>
      </w:r>
      <w:r>
        <w:rPr>
          <w:rFonts w:hint="eastAsia" w:ascii="宋体" w:hAnsi="宋体" w:eastAsia="宋体" w:cs="宋体"/>
          <w:color w:val="auto"/>
          <w:sz w:val="21"/>
          <w:szCs w:val="21"/>
          <w:highlight w:val="none"/>
        </w:rPr>
        <w:t>的采购活动，并代表我方全权办理针对上述项目的投标、开标、评标、签约等具体事务和签署相关文件。我方对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的签字事项负全部责任。</w:t>
      </w:r>
    </w:p>
    <w:p w14:paraId="27866958">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63B3A6AD">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70A2421B">
      <w:pPr>
        <w:spacing w:line="360" w:lineRule="auto"/>
        <w:rPr>
          <w:rFonts w:hint="eastAsia" w:ascii="宋体" w:hAnsi="宋体" w:eastAsia="宋体" w:cs="宋体"/>
          <w:color w:val="auto"/>
          <w:sz w:val="21"/>
          <w:szCs w:val="21"/>
          <w:highlight w:val="none"/>
        </w:rPr>
      </w:pPr>
    </w:p>
    <w:p w14:paraId="5B289A0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w:t>
      </w:r>
    </w:p>
    <w:p w14:paraId="61E2910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投标人全称（公章）：</w:t>
      </w:r>
    </w:p>
    <w:p w14:paraId="2C15E9E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225D2E6E">
      <w:pPr>
        <w:spacing w:line="360" w:lineRule="auto"/>
        <w:rPr>
          <w:rFonts w:hint="eastAsia" w:ascii="宋体" w:hAnsi="宋体" w:eastAsia="宋体" w:cs="宋体"/>
          <w:color w:val="auto"/>
          <w:sz w:val="24"/>
          <w:highlight w:val="none"/>
        </w:rPr>
      </w:pPr>
    </w:p>
    <w:p w14:paraId="517D422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3C4D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6A419C2">
            <w:pPr>
              <w:spacing w:line="360" w:lineRule="auto"/>
              <w:rPr>
                <w:rFonts w:hint="eastAsia" w:ascii="宋体" w:hAnsi="宋体" w:eastAsia="宋体" w:cs="宋体"/>
                <w:b/>
                <w:color w:val="auto"/>
                <w:sz w:val="24"/>
                <w:highlight w:val="none"/>
              </w:rPr>
            </w:pPr>
          </w:p>
          <w:p w14:paraId="13F2916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w:t>
            </w:r>
            <w:r>
              <w:rPr>
                <w:rFonts w:hint="eastAsia" w:ascii="宋体" w:hAnsi="宋体" w:eastAsia="宋体" w:cs="宋体"/>
                <w:b/>
                <w:color w:val="auto"/>
                <w:sz w:val="24"/>
                <w:highlight w:val="none"/>
                <w:lang w:val="en-US" w:eastAsia="zh-CN"/>
              </w:rPr>
              <w:t>正、反面</w:t>
            </w:r>
            <w:r>
              <w:rPr>
                <w:rFonts w:hint="eastAsia" w:ascii="宋体" w:hAnsi="宋体" w:eastAsia="宋体" w:cs="宋体"/>
                <w:b/>
                <w:color w:val="auto"/>
                <w:sz w:val="24"/>
                <w:highlight w:val="none"/>
              </w:rPr>
              <w:t>复印件</w:t>
            </w:r>
            <w:r>
              <w:rPr>
                <w:rFonts w:hint="eastAsia" w:ascii="宋体" w:hAnsi="宋体" w:cs="宋体"/>
                <w:b/>
                <w:color w:val="auto"/>
                <w:sz w:val="24"/>
                <w:highlight w:val="none"/>
                <w:lang w:val="en-US" w:eastAsia="zh-CN"/>
              </w:rPr>
              <w:t>粘贴</w:t>
            </w:r>
            <w:r>
              <w:rPr>
                <w:rFonts w:hint="eastAsia" w:ascii="宋体" w:hAnsi="宋体" w:eastAsia="宋体" w:cs="宋体"/>
                <w:b/>
                <w:color w:val="auto"/>
                <w:sz w:val="24"/>
                <w:highlight w:val="none"/>
              </w:rPr>
              <w:t>处</w:t>
            </w:r>
          </w:p>
        </w:tc>
      </w:tr>
    </w:tbl>
    <w:p w14:paraId="549A8C6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法定代表人姓名：</w:t>
      </w:r>
    </w:p>
    <w:p w14:paraId="4D15E2D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2228036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2E33F4E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2BAC354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75159CFF">
      <w:pPr>
        <w:spacing w:line="360" w:lineRule="auto"/>
        <w:rPr>
          <w:rFonts w:hint="eastAsia" w:ascii="宋体" w:hAnsi="宋体" w:eastAsia="宋体" w:cs="宋体"/>
          <w:b/>
          <w:color w:val="auto"/>
          <w:sz w:val="21"/>
          <w:szCs w:val="21"/>
          <w:highlight w:val="none"/>
        </w:rPr>
      </w:pP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2DFC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1ECF8D5">
            <w:pPr>
              <w:spacing w:line="360" w:lineRule="auto"/>
              <w:rPr>
                <w:rFonts w:hint="eastAsia" w:ascii="宋体" w:hAnsi="宋体" w:eastAsia="宋体" w:cs="宋体"/>
                <w:b/>
                <w:color w:val="auto"/>
                <w:sz w:val="21"/>
                <w:szCs w:val="21"/>
                <w:highlight w:val="none"/>
              </w:rPr>
            </w:pPr>
          </w:p>
          <w:p w14:paraId="150704C4">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4"/>
                <w:highlight w:val="none"/>
                <w:lang w:eastAsia="zh-CN"/>
              </w:rPr>
              <w:t>授权委托代理人</w:t>
            </w:r>
            <w:r>
              <w:rPr>
                <w:rFonts w:hint="eastAsia" w:ascii="宋体" w:hAnsi="宋体" w:eastAsia="宋体" w:cs="宋体"/>
                <w:b/>
                <w:color w:val="auto"/>
                <w:sz w:val="24"/>
                <w:highlight w:val="none"/>
              </w:rPr>
              <w:t>身份证</w:t>
            </w:r>
            <w:r>
              <w:rPr>
                <w:rFonts w:hint="eastAsia" w:ascii="宋体" w:hAnsi="宋体" w:eastAsia="宋体" w:cs="宋体"/>
                <w:b/>
                <w:color w:val="auto"/>
                <w:sz w:val="24"/>
                <w:highlight w:val="none"/>
                <w:lang w:val="en-US" w:eastAsia="zh-CN"/>
              </w:rPr>
              <w:t>正、反面</w:t>
            </w:r>
            <w:r>
              <w:rPr>
                <w:rFonts w:hint="eastAsia" w:ascii="宋体" w:hAnsi="宋体" w:eastAsia="宋体" w:cs="宋体"/>
                <w:b/>
                <w:color w:val="auto"/>
                <w:sz w:val="24"/>
                <w:highlight w:val="none"/>
              </w:rPr>
              <w:t>复印件</w:t>
            </w:r>
            <w:r>
              <w:rPr>
                <w:rFonts w:hint="eastAsia" w:ascii="宋体" w:hAnsi="宋体" w:eastAsia="宋体" w:cs="宋体"/>
                <w:b/>
                <w:color w:val="auto"/>
                <w:sz w:val="24"/>
                <w:highlight w:val="none"/>
                <w:lang w:val="en-US" w:eastAsia="zh-CN"/>
              </w:rPr>
              <w:t>粘贴</w:t>
            </w:r>
            <w:r>
              <w:rPr>
                <w:rFonts w:hint="eastAsia" w:ascii="宋体" w:hAnsi="宋体" w:eastAsia="宋体" w:cs="宋体"/>
                <w:b/>
                <w:color w:val="auto"/>
                <w:sz w:val="24"/>
                <w:highlight w:val="none"/>
              </w:rPr>
              <w:t>处</w:t>
            </w:r>
          </w:p>
        </w:tc>
      </w:tr>
    </w:tbl>
    <w:p w14:paraId="77B552C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姓名：</w:t>
      </w:r>
    </w:p>
    <w:p w14:paraId="2FEF783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p w14:paraId="06674F8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33AA8A0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7AFF11D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4192924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4FBCCACD">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72B245B6">
      <w:pPr>
        <w:spacing w:line="400" w:lineRule="exact"/>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4</w:t>
      </w:r>
    </w:p>
    <w:p w14:paraId="4A2AF1FF">
      <w:pPr>
        <w:snapToGrid w:val="0"/>
        <w:spacing w:beforeLines="50" w:after="5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w:t>
      </w:r>
    </w:p>
    <w:p w14:paraId="74CF6236">
      <w:pPr>
        <w:pStyle w:val="6"/>
        <w:spacing w:before="5"/>
        <w:rPr>
          <w:rFonts w:hint="eastAsia" w:ascii="宋体" w:hAnsi="宋体" w:eastAsia="宋体" w:cs="宋体"/>
          <w:b/>
          <w:color w:val="auto"/>
          <w:sz w:val="18"/>
          <w:szCs w:val="18"/>
          <w:highlight w:val="none"/>
        </w:rPr>
      </w:pPr>
    </w:p>
    <w:p w14:paraId="7C382AAC">
      <w:pPr>
        <w:pStyle w:val="6"/>
        <w:autoSpaceDE w:val="0"/>
        <w:autoSpaceDN w:val="0"/>
        <w:adjustRightInd/>
        <w:spacing w:line="360" w:lineRule="auto"/>
        <w:ind w:right="-54" w:firstLine="420" w:firstLineChars="20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29016C6D">
      <w:pPr>
        <w:pStyle w:val="6"/>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3665E324">
      <w:pPr>
        <w:pStyle w:val="6"/>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2979CB1B">
      <w:pPr>
        <w:pStyle w:val="6"/>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313FA94E">
      <w:pPr>
        <w:pStyle w:val="6"/>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3E874B72">
      <w:pPr>
        <w:pStyle w:val="6"/>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2457B4A3">
      <w:pPr>
        <w:pStyle w:val="6"/>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14:paraId="378B889F">
      <w:pPr>
        <w:pStyle w:val="6"/>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14:paraId="01F623A8">
      <w:pPr>
        <w:pStyle w:val="6"/>
        <w:autoSpaceDE w:val="0"/>
        <w:autoSpaceDN w:val="0"/>
        <w:adjustRightInd/>
        <w:spacing w:before="29" w:line="360" w:lineRule="auto"/>
        <w:ind w:right="-54" w:firstLine="3990" w:firstLineChars="19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5C522D7C">
      <w:pPr>
        <w:pStyle w:val="6"/>
        <w:autoSpaceDE w:val="0"/>
        <w:autoSpaceDN w:val="0"/>
        <w:adjustRightInd/>
        <w:spacing w:before="29" w:line="360" w:lineRule="auto"/>
        <w:ind w:right="-54" w:firstLine="3990" w:firstLineChars="1900"/>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070F6C78">
      <w:pPr>
        <w:pStyle w:val="10"/>
        <w:spacing w:line="360" w:lineRule="auto"/>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2AC2C70C">
      <w:pPr>
        <w:pStyle w:val="49"/>
        <w:numPr>
          <w:ilvl w:val="0"/>
          <w:numId w:val="0"/>
        </w:numPr>
        <w:spacing w:line="360" w:lineRule="auto"/>
        <w:ind w:left="403" w:leftChars="0"/>
        <w:jc w:val="both"/>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1E1F8F0E">
      <w:pPr>
        <w:pStyle w:val="10"/>
        <w:spacing w:line="360" w:lineRule="auto"/>
        <w:jc w:val="center"/>
        <w:outlineLvl w:val="9"/>
        <w:rPr>
          <w:rFonts w:hint="eastAsia" w:ascii="宋体" w:hAnsi="宋体" w:eastAsia="宋体" w:cs="宋体"/>
          <w:b/>
          <w:color w:val="auto"/>
          <w:sz w:val="32"/>
          <w:szCs w:val="32"/>
          <w:highlight w:val="none"/>
          <w:lang w:val="en-GB"/>
        </w:rPr>
      </w:pPr>
    </w:p>
    <w:p w14:paraId="03411FBB">
      <w:pPr>
        <w:pStyle w:val="10"/>
        <w:spacing w:line="360" w:lineRule="auto"/>
        <w:jc w:val="center"/>
        <w:outlineLvl w:val="9"/>
        <w:rPr>
          <w:rFonts w:hint="eastAsia" w:ascii="宋体" w:hAnsi="宋体" w:eastAsia="宋体" w:cs="宋体"/>
          <w:b/>
          <w:color w:val="auto"/>
          <w:sz w:val="32"/>
          <w:szCs w:val="32"/>
          <w:highlight w:val="none"/>
          <w:lang w:val="en-GB"/>
        </w:rPr>
      </w:pPr>
    </w:p>
    <w:p w14:paraId="6E79ABFF">
      <w:pPr>
        <w:pStyle w:val="1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39D7A0BB">
      <w:pPr>
        <w:spacing w:line="360" w:lineRule="auto"/>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6F6FAB4">
      <w:pPr>
        <w:spacing w:line="360" w:lineRule="auto"/>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7AB901F2">
      <w:pPr>
        <w:tabs>
          <w:tab w:val="left" w:pos="4860"/>
        </w:tabs>
        <w:spacing w:line="360" w:lineRule="auto"/>
        <w:ind w:right="1560" w:firstLine="444" w:firstLineChars="200"/>
        <w:jc w:val="center"/>
        <w:rPr>
          <w:rFonts w:hint="eastAsia" w:ascii="宋体" w:hAnsi="宋体" w:eastAsia="宋体" w:cs="宋体"/>
          <w:color w:val="auto"/>
          <w:spacing w:val="6"/>
          <w:sz w:val="21"/>
          <w:szCs w:val="21"/>
          <w:highlight w:val="none"/>
        </w:rPr>
      </w:pPr>
    </w:p>
    <w:p w14:paraId="557A59EF">
      <w:pPr>
        <w:tabs>
          <w:tab w:val="left" w:pos="4860"/>
        </w:tabs>
        <w:spacing w:line="360" w:lineRule="auto"/>
        <w:ind w:right="1560" w:firstLine="444" w:firstLineChars="2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单位名称（盖章）：</w:t>
      </w:r>
    </w:p>
    <w:p w14:paraId="5F939F3B">
      <w:pPr>
        <w:tabs>
          <w:tab w:val="left" w:pos="4860"/>
        </w:tabs>
        <w:spacing w:line="360" w:lineRule="auto"/>
        <w:ind w:right="1560" w:firstLine="1890" w:firstLineChars="9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2"/>
          <w:sz w:val="21"/>
          <w:szCs w:val="21"/>
          <w:highlight w:val="none"/>
          <w:lang w:val="en-US" w:eastAsia="zh-CN" w:bidi="ar-SA"/>
        </w:rPr>
        <w:t>：</w:t>
      </w:r>
    </w:p>
    <w:p w14:paraId="7B4CE051">
      <w:pPr>
        <w:tabs>
          <w:tab w:val="left" w:pos="4860"/>
        </w:tabs>
        <w:spacing w:line="360" w:lineRule="auto"/>
        <w:ind w:right="1560" w:firstLine="2664" w:firstLineChars="1200"/>
        <w:jc w:val="both"/>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p>
    <w:p w14:paraId="266247D0">
      <w:pPr>
        <w:pStyle w:val="49"/>
        <w:spacing w:line="360" w:lineRule="auto"/>
        <w:rPr>
          <w:rFonts w:hint="eastAsia" w:ascii="宋体" w:hAnsi="宋体" w:eastAsia="宋体" w:cs="宋体"/>
          <w:b/>
          <w:color w:val="auto"/>
          <w:sz w:val="28"/>
          <w:szCs w:val="28"/>
          <w:highlight w:val="none"/>
        </w:rPr>
      </w:pPr>
    </w:p>
    <w:p w14:paraId="2A4E824E">
      <w:pPr>
        <w:pStyle w:val="49"/>
        <w:spacing w:line="360" w:lineRule="auto"/>
        <w:rPr>
          <w:rFonts w:hint="eastAsia" w:ascii="宋体" w:hAnsi="宋体" w:eastAsia="宋体" w:cs="宋体"/>
          <w:b/>
          <w:color w:val="auto"/>
          <w:sz w:val="28"/>
          <w:szCs w:val="28"/>
          <w:highlight w:val="none"/>
        </w:rPr>
      </w:pPr>
    </w:p>
    <w:p w14:paraId="6AAE9FA4">
      <w:pPr>
        <w:pStyle w:val="49"/>
        <w:spacing w:line="360" w:lineRule="auto"/>
        <w:rPr>
          <w:rFonts w:hint="eastAsia" w:ascii="宋体" w:hAnsi="宋体" w:eastAsia="宋体" w:cs="宋体"/>
          <w:b/>
          <w:color w:val="auto"/>
          <w:sz w:val="28"/>
          <w:szCs w:val="28"/>
          <w:highlight w:val="none"/>
        </w:rPr>
      </w:pPr>
    </w:p>
    <w:p w14:paraId="5287617B">
      <w:pPr>
        <w:pStyle w:val="49"/>
        <w:spacing w:line="360" w:lineRule="auto"/>
        <w:rPr>
          <w:rFonts w:hint="eastAsia" w:ascii="宋体" w:hAnsi="宋体" w:eastAsia="宋体" w:cs="宋体"/>
          <w:b/>
          <w:color w:val="auto"/>
          <w:sz w:val="28"/>
          <w:szCs w:val="28"/>
          <w:highlight w:val="none"/>
        </w:rPr>
      </w:pPr>
    </w:p>
    <w:p w14:paraId="6E9F1B87">
      <w:pPr>
        <w:pStyle w:val="49"/>
        <w:spacing w:line="360" w:lineRule="auto"/>
        <w:rPr>
          <w:rFonts w:hint="eastAsia" w:ascii="宋体" w:hAnsi="宋体" w:eastAsia="宋体" w:cs="宋体"/>
          <w:b/>
          <w:color w:val="auto"/>
          <w:sz w:val="28"/>
          <w:szCs w:val="28"/>
          <w:highlight w:val="none"/>
        </w:rPr>
      </w:pPr>
    </w:p>
    <w:p w14:paraId="40F0200E">
      <w:pPr>
        <w:pStyle w:val="49"/>
        <w:spacing w:line="360" w:lineRule="auto"/>
        <w:rPr>
          <w:rFonts w:hint="eastAsia" w:ascii="宋体" w:hAnsi="宋体" w:eastAsia="宋体" w:cs="宋体"/>
          <w:b/>
          <w:color w:val="auto"/>
          <w:sz w:val="28"/>
          <w:szCs w:val="28"/>
          <w:highlight w:val="none"/>
        </w:rPr>
      </w:pPr>
    </w:p>
    <w:p w14:paraId="1A46D1AF">
      <w:pPr>
        <w:pStyle w:val="49"/>
        <w:spacing w:line="360" w:lineRule="auto"/>
        <w:rPr>
          <w:rFonts w:hint="eastAsia" w:ascii="宋体" w:hAnsi="宋体" w:eastAsia="宋体" w:cs="宋体"/>
          <w:b/>
          <w:color w:val="auto"/>
          <w:sz w:val="28"/>
          <w:szCs w:val="28"/>
          <w:highlight w:val="none"/>
        </w:rPr>
      </w:pPr>
    </w:p>
    <w:p w14:paraId="17C7310B">
      <w:pPr>
        <w:pStyle w:val="49"/>
        <w:spacing w:line="360" w:lineRule="auto"/>
        <w:rPr>
          <w:rFonts w:hint="eastAsia" w:ascii="宋体" w:hAnsi="宋体" w:eastAsia="宋体" w:cs="宋体"/>
          <w:b/>
          <w:color w:val="auto"/>
          <w:sz w:val="28"/>
          <w:szCs w:val="28"/>
          <w:highlight w:val="none"/>
        </w:rPr>
      </w:pPr>
    </w:p>
    <w:p w14:paraId="58E2F519">
      <w:pPr>
        <w:pStyle w:val="49"/>
        <w:spacing w:line="360" w:lineRule="auto"/>
        <w:rPr>
          <w:rFonts w:hint="eastAsia" w:ascii="宋体" w:hAnsi="宋体" w:eastAsia="宋体" w:cs="宋体"/>
          <w:b/>
          <w:color w:val="auto"/>
          <w:sz w:val="28"/>
          <w:szCs w:val="28"/>
          <w:highlight w:val="none"/>
        </w:rPr>
      </w:pPr>
    </w:p>
    <w:p w14:paraId="2E0A3B92">
      <w:pPr>
        <w:pStyle w:val="49"/>
        <w:spacing w:line="360" w:lineRule="auto"/>
        <w:rPr>
          <w:rFonts w:hint="eastAsia" w:ascii="宋体" w:hAnsi="宋体" w:eastAsia="宋体" w:cs="宋体"/>
          <w:b/>
          <w:color w:val="auto"/>
          <w:sz w:val="28"/>
          <w:szCs w:val="28"/>
          <w:highlight w:val="none"/>
        </w:rPr>
      </w:pPr>
    </w:p>
    <w:p w14:paraId="34E773CC">
      <w:pPr>
        <w:pStyle w:val="6"/>
        <w:jc w:val="both"/>
        <w:rPr>
          <w:rFonts w:hint="eastAsia" w:ascii="宋体" w:hAnsi="宋体" w:eastAsia="宋体" w:cs="宋体"/>
          <w:color w:val="auto"/>
          <w:highlight w:val="none"/>
        </w:rPr>
      </w:pPr>
    </w:p>
    <w:p w14:paraId="6CE2E555">
      <w:pPr>
        <w:pStyle w:val="54"/>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pgSz w:w="11906" w:h="16838"/>
          <w:pgMar w:top="1440" w:right="1800" w:bottom="1440" w:left="1800" w:header="851" w:footer="992" w:gutter="0"/>
          <w:pgNumType w:fmt="decimal"/>
          <w:cols w:space="425" w:num="1"/>
          <w:docGrid w:type="lines" w:linePitch="312" w:charSpace="0"/>
        </w:sectPr>
      </w:pPr>
    </w:p>
    <w:p w14:paraId="29647962">
      <w:pPr>
        <w:pStyle w:val="54"/>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71FFC435">
      <w:pPr>
        <w:pStyle w:val="54"/>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lang w:eastAsia="zh-CN"/>
        </w:rPr>
        <w:t>浙江汇永工程咨询有限公司</w:t>
      </w:r>
      <w:r>
        <w:rPr>
          <w:rFonts w:hint="eastAsia" w:ascii="宋体" w:hAnsi="宋体" w:eastAsia="宋体" w:cs="宋体"/>
          <w:color w:val="auto"/>
          <w:kern w:val="0"/>
          <w:sz w:val="21"/>
          <w:szCs w:val="21"/>
          <w:highlight w:val="none"/>
        </w:rPr>
        <w:t>：</w:t>
      </w:r>
    </w:p>
    <w:p w14:paraId="0DAD28C2">
      <w:pPr>
        <w:pStyle w:val="54"/>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工业园区生态环境污染防治项目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zjhy2025-tz15</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288DB42D">
      <w:pPr>
        <w:pStyle w:val="51"/>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01A1B98">
      <w:pPr>
        <w:pStyle w:val="51"/>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1E7A8692">
      <w:pPr>
        <w:pStyle w:val="51"/>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07D09F3E">
      <w:pPr>
        <w:pStyle w:val="51"/>
        <w:keepNext w:val="0"/>
        <w:keepLines w:val="0"/>
        <w:pageBreakBefore w:val="0"/>
        <w:widowControl/>
        <w:kinsoku/>
        <w:wordWrap/>
        <w:overflowPunct/>
        <w:topLinePunct w:val="0"/>
        <w:autoSpaceDE/>
        <w:autoSpaceDN/>
        <w:bidi w:val="0"/>
        <w:snapToGrid w:val="0"/>
        <w:spacing w:line="360" w:lineRule="auto"/>
        <w:ind w:firstLine="222" w:firstLineChars="1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9A82889">
      <w:pPr>
        <w:pStyle w:val="54"/>
        <w:keepNext w:val="0"/>
        <w:keepLines w:val="0"/>
        <w:pageBreakBefore w:val="0"/>
        <w:widowControl w:val="0"/>
        <w:kinsoku/>
        <w:wordWrap/>
        <w:overflowPunct/>
        <w:topLinePunct w:val="0"/>
        <w:autoSpaceDE/>
        <w:autoSpaceDN/>
        <w:bidi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7D5587DB">
      <w:pPr>
        <w:pStyle w:val="54"/>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54667007">
      <w:pPr>
        <w:pStyle w:val="54"/>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29FE7B6D">
      <w:pPr>
        <w:pStyle w:val="54"/>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3982E11A">
      <w:pPr>
        <w:pStyle w:val="54"/>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5FBBFF36">
      <w:pPr>
        <w:pStyle w:val="54"/>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46D82F73">
      <w:pPr>
        <w:pStyle w:val="54"/>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509A2C57">
      <w:pPr>
        <w:pStyle w:val="54"/>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02FD00A0">
      <w:pPr>
        <w:pStyle w:val="54"/>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3ADE5951">
      <w:pPr>
        <w:pStyle w:val="51"/>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4971222A">
      <w:pPr>
        <w:pStyle w:val="51"/>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58DF1734">
      <w:pPr>
        <w:pStyle w:val="51"/>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五、本单位若有违反诚信投标、采购法律法规等行为，愿意按照招标文件规定接受投标担保的处理。如已中标，自动放弃中标资格；给招标人造成损失的，依法承担赔偿责任。</w:t>
      </w:r>
    </w:p>
    <w:p w14:paraId="2EEF052B">
      <w:pPr>
        <w:pStyle w:val="54"/>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（供应商代表签字或盖章）</w:t>
      </w:r>
    </w:p>
    <w:p w14:paraId="051F7F1D">
      <w:pPr>
        <w:pStyle w:val="54"/>
        <w:keepNext w:val="0"/>
        <w:keepLines w:val="0"/>
        <w:pageBreakBefore w:val="0"/>
        <w:widowControl w:val="0"/>
        <w:kinsoku/>
        <w:wordWrap/>
        <w:overflowPunct/>
        <w:topLinePunct w:val="0"/>
        <w:autoSpaceDE/>
        <w:autoSpaceDN/>
        <w:bidi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2B44FE23">
      <w:pPr>
        <w:keepNext w:val="0"/>
        <w:keepLines w:val="0"/>
        <w:pageBreakBefore w:val="0"/>
        <w:kinsoku/>
        <w:wordWrap/>
        <w:overflowPunct/>
        <w:topLinePunct w:val="0"/>
        <w:autoSpaceDE/>
        <w:autoSpaceDN/>
        <w:bidi w:val="0"/>
        <w:spacing w:line="360" w:lineRule="auto"/>
        <w:ind w:right="-110"/>
        <w:jc w:val="both"/>
        <w:textAlignment w:val="auto"/>
        <w:outlineLvl w:val="9"/>
        <w:rPr>
          <w:rFonts w:hint="eastAsia" w:ascii="宋体" w:hAnsi="宋体" w:eastAsia="宋体" w:cs="宋体"/>
          <w:b/>
          <w:color w:val="auto"/>
          <w:sz w:val="28"/>
          <w:highlight w:val="none"/>
        </w:rPr>
      </w:pPr>
    </w:p>
    <w:p w14:paraId="23AA9C07">
      <w:pPr>
        <w:spacing w:line="360" w:lineRule="auto"/>
        <w:ind w:right="-110"/>
        <w:jc w:val="both"/>
        <w:outlineLvl w:val="9"/>
        <w:rPr>
          <w:rFonts w:hint="eastAsia" w:ascii="宋体" w:hAnsi="宋体" w:eastAsia="宋体" w:cs="宋体"/>
          <w:b/>
          <w:color w:val="auto"/>
          <w:sz w:val="28"/>
          <w:highlight w:val="none"/>
        </w:rPr>
      </w:pPr>
    </w:p>
    <w:p w14:paraId="04CB7C36">
      <w:pPr>
        <w:spacing w:line="360" w:lineRule="auto"/>
        <w:ind w:right="-110"/>
        <w:jc w:val="both"/>
        <w:outlineLvl w:val="9"/>
        <w:rPr>
          <w:rFonts w:hint="eastAsia" w:ascii="宋体" w:hAnsi="宋体" w:eastAsia="宋体" w:cs="宋体"/>
          <w:b/>
          <w:color w:val="auto"/>
          <w:sz w:val="28"/>
          <w:highlight w:val="none"/>
        </w:rPr>
      </w:pPr>
    </w:p>
    <w:p w14:paraId="5D0200EF">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3AF06C9F">
      <w:pPr>
        <w:spacing w:line="360" w:lineRule="auto"/>
        <w:ind w:right="-110"/>
        <w:jc w:val="both"/>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5</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35C7274D">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5F94B12">
      <w:pPr>
        <w:spacing w:beforeLines="100"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项目编号：（标段）</w:t>
      </w:r>
    </w:p>
    <w:p w14:paraId="6D7E9F55">
      <w:pP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14:paraId="10B93B50">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078D506C">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7FF79A81">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482F4E5A">
      <w:pPr>
        <w:spacing w:after="100" w:afterAutospacing="1" w:line="360" w:lineRule="auto"/>
        <w:ind w:right="-108"/>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6AA6492B">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Cs/>
          <w:color w:val="auto"/>
          <w:sz w:val="24"/>
          <w:highlight w:val="none"/>
          <w:lang w:val="zh-CN"/>
        </w:rPr>
        <w:t>商务与技术文件</w:t>
      </w:r>
      <w:r>
        <w:rPr>
          <w:rFonts w:hint="eastAsia" w:ascii="宋体" w:hAnsi="宋体" w:eastAsia="宋体" w:cs="宋体"/>
          <w:b/>
          <w:color w:val="auto"/>
          <w:spacing w:val="40"/>
          <w:sz w:val="28"/>
          <w:szCs w:val="28"/>
          <w:highlight w:val="none"/>
        </w:rPr>
        <w:t>）</w:t>
      </w:r>
    </w:p>
    <w:p w14:paraId="428D917D">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6327B2A3">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    址：</w:t>
      </w:r>
    </w:p>
    <w:p w14:paraId="4EFA0D49">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    间：</w:t>
      </w:r>
    </w:p>
    <w:p w14:paraId="420260A3">
      <w:pPr>
        <w:spacing w:line="360" w:lineRule="auto"/>
        <w:ind w:right="532" w:firstLine="720" w:firstLineChars="200"/>
        <w:rPr>
          <w:rFonts w:hint="eastAsia" w:ascii="宋体" w:hAnsi="宋体" w:eastAsia="宋体" w:cs="宋体"/>
          <w:color w:val="auto"/>
          <w:sz w:val="36"/>
          <w:szCs w:val="36"/>
          <w:highlight w:val="none"/>
        </w:rPr>
      </w:pPr>
    </w:p>
    <w:p w14:paraId="3AF5A70C">
      <w:pPr>
        <w:snapToGrid w:val="0"/>
        <w:spacing w:before="50" w:after="50" w:line="360" w:lineRule="auto"/>
        <w:jc w:val="center"/>
        <w:rPr>
          <w:rFonts w:hint="eastAsia" w:ascii="宋体" w:hAnsi="宋体" w:eastAsia="宋体" w:cs="宋体"/>
          <w:b/>
          <w:bCs/>
          <w:color w:val="auto"/>
          <w:sz w:val="32"/>
          <w:szCs w:val="32"/>
          <w:highlight w:val="none"/>
          <w:lang w:val="zh-CN"/>
        </w:rPr>
      </w:pPr>
    </w:p>
    <w:p w14:paraId="0CF36658">
      <w:pPr>
        <w:snapToGrid w:val="0"/>
        <w:spacing w:before="50" w:after="50" w:line="360" w:lineRule="auto"/>
        <w:jc w:val="both"/>
        <w:rPr>
          <w:rFonts w:hint="eastAsia" w:ascii="宋体" w:hAnsi="宋体" w:eastAsia="宋体" w:cs="宋体"/>
          <w:b/>
          <w:bCs/>
          <w:color w:val="auto"/>
          <w:sz w:val="32"/>
          <w:szCs w:val="32"/>
          <w:highlight w:val="none"/>
          <w:lang w:val="zh-CN"/>
        </w:rPr>
      </w:pPr>
    </w:p>
    <w:p w14:paraId="385DD5A8">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5A83F961">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color w:val="auto"/>
          <w:sz w:val="24"/>
          <w:highlight w:val="none"/>
        </w:rPr>
      </w:pPr>
    </w:p>
    <w:p w14:paraId="2A1CB157">
      <w:pPr>
        <w:keepNext w:val="0"/>
        <w:keepLines w:val="0"/>
        <w:pageBreakBefore w:val="0"/>
        <w:numPr>
          <w:ilvl w:val="0"/>
          <w:numId w:val="2"/>
        </w:numPr>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评标索引</w:t>
      </w:r>
    </w:p>
    <w:p w14:paraId="0BE5059E">
      <w:pPr>
        <w:pStyle w:val="6"/>
        <w:keepNext w:val="0"/>
        <w:keepLines w:val="0"/>
        <w:pageBreakBefore w:val="0"/>
        <w:kinsoku/>
        <w:wordWrap/>
        <w:overflowPunct/>
        <w:topLinePunct w:val="0"/>
        <w:bidi w:val="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评标索引：自评表（附件</w:t>
      </w:r>
      <w:r>
        <w:rPr>
          <w:rFonts w:hint="eastAsia" w:ascii="宋体" w:hAnsi="宋体" w:cs="宋体"/>
          <w:color w:val="auto"/>
          <w:highlight w:val="none"/>
          <w:lang w:val="en-US" w:eastAsia="zh-CN"/>
        </w:rPr>
        <w:t>6</w:t>
      </w:r>
      <w:r>
        <w:rPr>
          <w:rFonts w:hint="eastAsia" w:ascii="宋体" w:hAnsi="宋体" w:eastAsia="宋体" w:cs="宋体"/>
          <w:color w:val="auto"/>
          <w:highlight w:val="none"/>
        </w:rPr>
        <w:t>）</w:t>
      </w:r>
    </w:p>
    <w:p w14:paraId="621F0571">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二</w:t>
      </w:r>
      <w:r>
        <w:rPr>
          <w:rFonts w:hint="eastAsia" w:ascii="宋体" w:hAnsi="宋体" w:eastAsia="宋体" w:cs="宋体"/>
          <w:b/>
          <w:bCs/>
          <w:color w:val="auto"/>
          <w:szCs w:val="21"/>
          <w:highlight w:val="none"/>
        </w:rPr>
        <w:t>、 技术方案描述部分</w:t>
      </w:r>
    </w:p>
    <w:p w14:paraId="11A125E5">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1、投标人情况介绍（附件</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p>
    <w:p w14:paraId="73540B97">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2、项目需求的理解与分析；</w:t>
      </w:r>
    </w:p>
    <w:p w14:paraId="158D74B5">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3、项目组织实施方案； </w:t>
      </w:r>
    </w:p>
    <w:p w14:paraId="442E1030">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4、项目实施人员一览表（附件</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p>
    <w:p w14:paraId="07572C08">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5、项目负责人资格情况表(附件</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w:t>
      </w:r>
    </w:p>
    <w:p w14:paraId="2E6BD5D9">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三</w:t>
      </w:r>
      <w:r>
        <w:rPr>
          <w:rFonts w:hint="eastAsia" w:ascii="宋体" w:hAnsi="宋体" w:eastAsia="宋体" w:cs="宋体"/>
          <w:b/>
          <w:bCs/>
          <w:color w:val="auto"/>
          <w:szCs w:val="21"/>
          <w:highlight w:val="none"/>
        </w:rPr>
        <w:t>、投标描述部分</w:t>
      </w:r>
    </w:p>
    <w:p w14:paraId="25C8604B">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1、投标描述及相关资料；</w:t>
      </w:r>
    </w:p>
    <w:p w14:paraId="4E4FDD05">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2、技术需求响应表（附件</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w:t>
      </w:r>
    </w:p>
    <w:p w14:paraId="69503E5E">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3、投标人需要说明的其他内容；（包括可能影响投标人技术性能评分项的各类证明材料）</w:t>
      </w:r>
    </w:p>
    <w:p w14:paraId="075B4D5A">
      <w:pPr>
        <w:keepNext w:val="0"/>
        <w:keepLines w:val="0"/>
        <w:pageBreakBefore w:val="0"/>
        <w:kinsoku/>
        <w:wordWrap/>
        <w:overflowPunct/>
        <w:topLinePunct w:val="0"/>
        <w:bidi w:val="0"/>
        <w:snapToGrid w:val="0"/>
        <w:spacing w:line="360" w:lineRule="auto"/>
        <w:ind w:firstLine="413" w:firstLineChars="196"/>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四</w:t>
      </w:r>
      <w:r>
        <w:rPr>
          <w:rFonts w:hint="eastAsia" w:ascii="宋体" w:hAnsi="宋体" w:eastAsia="宋体" w:cs="宋体"/>
          <w:b/>
          <w:bCs/>
          <w:color w:val="auto"/>
          <w:szCs w:val="21"/>
          <w:highlight w:val="none"/>
        </w:rPr>
        <w:t>、商务响应部分</w:t>
      </w:r>
    </w:p>
    <w:p w14:paraId="3C24B860">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1、投标人的企业证书一览表（附件1</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w:t>
      </w:r>
    </w:p>
    <w:p w14:paraId="7C4D06AE">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2、类似项目的成功案例（附件1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w:t>
      </w:r>
    </w:p>
    <w:p w14:paraId="716880B8">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3、资信及商务需求响应表（附件1</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p>
    <w:p w14:paraId="23B7CFB8">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4、售后服务情况表（</w:t>
      </w:r>
      <w:r>
        <w:rPr>
          <w:rFonts w:hint="eastAsia" w:ascii="宋体" w:hAnsi="宋体" w:cs="宋体"/>
          <w:color w:val="auto"/>
          <w:szCs w:val="21"/>
          <w:highlight w:val="none"/>
          <w:lang w:val="en-US" w:eastAsia="zh-CN"/>
        </w:rPr>
        <w:t>可视情况选填</w:t>
      </w:r>
      <w:r>
        <w:rPr>
          <w:rFonts w:hint="eastAsia" w:ascii="宋体" w:hAnsi="宋体" w:eastAsia="宋体" w:cs="宋体"/>
          <w:color w:val="auto"/>
          <w:szCs w:val="21"/>
          <w:highlight w:val="none"/>
        </w:rPr>
        <w:t>附件1</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w:t>
      </w:r>
    </w:p>
    <w:p w14:paraId="42A940BA">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5、投标人需要说明的其他内容。（包括可能影响投标人企业实力及信誉评分项以及售后服务评分项的各类证明材料）</w:t>
      </w:r>
    </w:p>
    <w:p w14:paraId="7B3D0FF2">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47EE2693">
      <w:pPr>
        <w:pStyle w:val="39"/>
        <w:shd w:val="clear" w:color="auto" w:fill="FFFFFF"/>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6</w:t>
      </w:r>
    </w:p>
    <w:p w14:paraId="5CEA3266">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b/>
          <w:color w:val="auto"/>
          <w:szCs w:val="21"/>
          <w:highlight w:val="none"/>
          <w:lang w:val="en-US" w:eastAsia="zh-CN"/>
        </w:rPr>
        <w:t>评标索引：自评表</w:t>
      </w:r>
    </w:p>
    <w:tbl>
      <w:tblPr>
        <w:tblStyle w:val="22"/>
        <w:tblW w:w="11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187"/>
        <w:gridCol w:w="6889"/>
        <w:gridCol w:w="686"/>
        <w:gridCol w:w="686"/>
        <w:gridCol w:w="686"/>
      </w:tblGrid>
      <w:tr w14:paraId="16BA4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176" w:type="dxa"/>
            <w:gridSpan w:val="2"/>
            <w:vAlign w:val="center"/>
          </w:tcPr>
          <w:p w14:paraId="14AB0F4C">
            <w:pPr>
              <w:pStyle w:val="58"/>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评分项目</w:t>
            </w:r>
          </w:p>
        </w:tc>
        <w:tc>
          <w:tcPr>
            <w:tcW w:w="6889" w:type="dxa"/>
            <w:vAlign w:val="center"/>
          </w:tcPr>
          <w:p w14:paraId="6559D39F">
            <w:pPr>
              <w:pStyle w:val="58"/>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评分内容</w:t>
            </w:r>
          </w:p>
        </w:tc>
        <w:tc>
          <w:tcPr>
            <w:tcW w:w="686" w:type="dxa"/>
            <w:vAlign w:val="center"/>
          </w:tcPr>
          <w:p w14:paraId="34D4DD09">
            <w:pPr>
              <w:pStyle w:val="58"/>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686" w:type="dxa"/>
            <w:vAlign w:val="center"/>
          </w:tcPr>
          <w:p w14:paraId="164F0D2D">
            <w:pPr>
              <w:pStyle w:val="58"/>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对应页码</w:t>
            </w:r>
          </w:p>
        </w:tc>
        <w:tc>
          <w:tcPr>
            <w:tcW w:w="686" w:type="dxa"/>
            <w:vAlign w:val="center"/>
          </w:tcPr>
          <w:p w14:paraId="1E0CFEED">
            <w:pPr>
              <w:pStyle w:val="58"/>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自评分</w:t>
            </w:r>
          </w:p>
        </w:tc>
      </w:tr>
      <w:tr w14:paraId="6BEC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89" w:type="dxa"/>
            <w:vMerge w:val="restart"/>
            <w:vAlign w:val="center"/>
          </w:tcPr>
          <w:p w14:paraId="1AA4B3FA">
            <w:pPr>
              <w:pStyle w:val="58"/>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商务分</w:t>
            </w:r>
          </w:p>
          <w:p w14:paraId="01FC1913">
            <w:pPr>
              <w:pStyle w:val="58"/>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23</w:t>
            </w:r>
            <w:r>
              <w:rPr>
                <w:rFonts w:hint="eastAsia" w:ascii="宋体" w:hAnsi="宋体" w:eastAsia="宋体" w:cs="宋体"/>
                <w:color w:val="auto"/>
                <w:kern w:val="0"/>
                <w:sz w:val="21"/>
                <w:szCs w:val="21"/>
                <w:highlight w:val="none"/>
              </w:rPr>
              <w:t>分）</w:t>
            </w:r>
          </w:p>
        </w:tc>
        <w:tc>
          <w:tcPr>
            <w:tcW w:w="1187" w:type="dxa"/>
            <w:vMerge w:val="restart"/>
            <w:vAlign w:val="center"/>
          </w:tcPr>
          <w:p w14:paraId="77BF3C41">
            <w:pPr>
              <w:pStyle w:val="58"/>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企业实力</w:t>
            </w:r>
          </w:p>
        </w:tc>
        <w:tc>
          <w:tcPr>
            <w:tcW w:w="6889" w:type="dxa"/>
            <w:vAlign w:val="top"/>
          </w:tcPr>
          <w:p w14:paraId="6F97E67D">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具有国家认证认可监督管理委员会批准认可的认证机构颁发的，且在有效期内的质量管理体系认证</w:t>
            </w:r>
            <w:r>
              <w:rPr>
                <w:rFonts w:hint="eastAsia" w:ascii="宋体" w:hAnsi="宋体" w:eastAsia="宋体" w:cs="宋体"/>
                <w:color w:val="auto"/>
                <w:sz w:val="21"/>
                <w:szCs w:val="21"/>
                <w:highlight w:val="none"/>
                <w:lang w:val="en-US" w:eastAsia="zh-CN"/>
              </w:rPr>
              <w:t>证书、</w:t>
            </w:r>
            <w:r>
              <w:rPr>
                <w:rFonts w:hint="eastAsia" w:ascii="宋体" w:hAnsi="宋体" w:eastAsia="宋体" w:cs="宋体"/>
                <w:color w:val="auto"/>
                <w:sz w:val="21"/>
                <w:szCs w:val="21"/>
                <w:highlight w:val="none"/>
              </w:rPr>
              <w:t>环境管理体系认证</w:t>
            </w:r>
            <w:r>
              <w:rPr>
                <w:rFonts w:hint="eastAsia" w:ascii="宋体" w:hAnsi="宋体" w:eastAsia="宋体" w:cs="宋体"/>
                <w:color w:val="auto"/>
                <w:sz w:val="21"/>
                <w:szCs w:val="21"/>
                <w:highlight w:val="none"/>
                <w:lang w:val="en-US" w:eastAsia="zh-CN"/>
              </w:rPr>
              <w:t>证书</w:t>
            </w:r>
            <w:r>
              <w:rPr>
                <w:rFonts w:hint="eastAsia" w:ascii="宋体" w:hAnsi="宋体" w:eastAsia="宋体" w:cs="宋体"/>
                <w:color w:val="auto"/>
                <w:sz w:val="21"/>
                <w:szCs w:val="21"/>
                <w:highlight w:val="none"/>
              </w:rPr>
              <w:t>、职业健康安全管理体系认证</w:t>
            </w:r>
            <w:r>
              <w:rPr>
                <w:rFonts w:hint="eastAsia" w:ascii="宋体" w:hAnsi="宋体" w:eastAsia="宋体" w:cs="宋体"/>
                <w:color w:val="auto"/>
                <w:sz w:val="21"/>
                <w:szCs w:val="21"/>
                <w:highlight w:val="none"/>
                <w:lang w:val="en-US" w:eastAsia="zh-CN"/>
              </w:rPr>
              <w:t>证书、中国环境服务认证证书和信息技术服务管理体系认证证书</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每提供1个得1分，本项最高得5分。</w:t>
            </w:r>
          </w:p>
          <w:p w14:paraId="51042222">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（须提供</w:t>
            </w:r>
            <w:r>
              <w:rPr>
                <w:rFonts w:hint="eastAsia" w:ascii="宋体" w:hAnsi="宋体" w:eastAsia="宋体" w:cs="宋体"/>
                <w:b/>
                <w:bCs/>
                <w:color w:val="auto"/>
                <w:sz w:val="21"/>
                <w:szCs w:val="21"/>
                <w:highlight w:val="none"/>
                <w:lang w:val="en-US" w:eastAsia="zh-CN"/>
              </w:rPr>
              <w:t>①</w:t>
            </w:r>
            <w:r>
              <w:rPr>
                <w:rFonts w:hint="eastAsia" w:ascii="宋体" w:hAnsi="宋体" w:eastAsia="宋体" w:cs="宋体"/>
                <w:b/>
                <w:bCs/>
                <w:color w:val="auto"/>
                <w:sz w:val="21"/>
                <w:szCs w:val="21"/>
                <w:highlight w:val="none"/>
              </w:rPr>
              <w:t>相关证书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②</w:t>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https://www.so.com/link?m=bgeKa5pUJ7jqGvX1HhllAJLNiphU7TZFNQwb4+7ZUZpVLH3/mqlCJ7rNGXZ5/YNpLh7l1an07AVpzdd+DNfDz03MHubLsbYxQOzT8llEFb57FaGuLm6gSmMhBy2lLDBrTFSNNDZqVzwQMcexMhSdw5Kuw+3MXS7HQcV4Anm9Fs1KmUyptcyDigHMKmFQMXtO7xSEBzzl+542xjBTD4X4Ft///zWSTHNTKcszTMLGSmT541nhMntevTSaKintmdBbT4YHZJEfW00MedhN8WiQ3A1LHjOM=" \t "https://www.so.com/_blank"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全国认证认可信息公共服务平台</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t>网站截图</w:t>
            </w:r>
            <w:r>
              <w:rPr>
                <w:rFonts w:hint="eastAsia" w:ascii="宋体" w:hAnsi="宋体" w:eastAsia="宋体" w:cs="宋体"/>
                <w:b/>
                <w:bCs/>
                <w:color w:val="auto"/>
                <w:sz w:val="21"/>
                <w:szCs w:val="21"/>
                <w:highlight w:val="none"/>
                <w:lang w:val="en-US" w:eastAsia="zh-CN"/>
              </w:rPr>
              <w:t>，上述资料扫描件</w:t>
            </w:r>
            <w:r>
              <w:rPr>
                <w:rFonts w:hint="eastAsia" w:ascii="宋体" w:hAnsi="宋体" w:eastAsia="宋体" w:cs="宋体"/>
                <w:b/>
                <w:bCs/>
                <w:color w:val="auto"/>
                <w:sz w:val="21"/>
                <w:szCs w:val="21"/>
                <w:highlight w:val="none"/>
              </w:rPr>
              <w:t>并加盖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公章编入投标文件中，未提供</w:t>
            </w:r>
            <w:r>
              <w:rPr>
                <w:rFonts w:hint="eastAsia" w:ascii="宋体" w:hAnsi="宋体" w:eastAsia="宋体" w:cs="宋体"/>
                <w:b/>
                <w:bCs/>
                <w:color w:val="auto"/>
                <w:sz w:val="21"/>
                <w:szCs w:val="21"/>
                <w:highlight w:val="none"/>
                <w:lang w:val="en-US" w:eastAsia="zh-CN"/>
              </w:rPr>
              <w:t>或提供不全</w:t>
            </w:r>
            <w:r>
              <w:rPr>
                <w:rFonts w:hint="eastAsia" w:ascii="宋体" w:hAnsi="宋体" w:eastAsia="宋体" w:cs="宋体"/>
                <w:b/>
                <w:bCs/>
                <w:color w:val="auto"/>
                <w:sz w:val="21"/>
                <w:szCs w:val="21"/>
                <w:highlight w:val="none"/>
              </w:rPr>
              <w:t>的不得分）</w:t>
            </w:r>
          </w:p>
        </w:tc>
        <w:tc>
          <w:tcPr>
            <w:tcW w:w="686" w:type="dxa"/>
            <w:vAlign w:val="center"/>
          </w:tcPr>
          <w:p w14:paraId="601334BE">
            <w:pPr>
              <w:pStyle w:val="58"/>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686" w:type="dxa"/>
            <w:vAlign w:val="center"/>
          </w:tcPr>
          <w:p w14:paraId="09740E23">
            <w:pPr>
              <w:pStyle w:val="58"/>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color w:val="auto"/>
                <w:sz w:val="21"/>
                <w:szCs w:val="21"/>
                <w:highlight w:val="none"/>
                <w:lang w:val="en-US" w:eastAsia="zh-CN"/>
              </w:rPr>
            </w:pPr>
          </w:p>
        </w:tc>
        <w:tc>
          <w:tcPr>
            <w:tcW w:w="686" w:type="dxa"/>
            <w:vAlign w:val="center"/>
          </w:tcPr>
          <w:p w14:paraId="67BFA703">
            <w:pPr>
              <w:pStyle w:val="58"/>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color w:val="auto"/>
                <w:sz w:val="21"/>
                <w:szCs w:val="21"/>
                <w:highlight w:val="none"/>
                <w:lang w:val="en-US" w:eastAsia="zh-CN"/>
              </w:rPr>
            </w:pPr>
          </w:p>
        </w:tc>
      </w:tr>
      <w:tr w14:paraId="5679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89" w:type="dxa"/>
            <w:vMerge w:val="continue"/>
            <w:vAlign w:val="center"/>
          </w:tcPr>
          <w:p w14:paraId="66ECCD31">
            <w:pPr>
              <w:pStyle w:val="58"/>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color w:val="auto"/>
                <w:kern w:val="0"/>
                <w:sz w:val="21"/>
                <w:szCs w:val="21"/>
                <w:highlight w:val="none"/>
              </w:rPr>
            </w:pPr>
          </w:p>
        </w:tc>
        <w:tc>
          <w:tcPr>
            <w:tcW w:w="1187" w:type="dxa"/>
            <w:vMerge w:val="continue"/>
            <w:vAlign w:val="center"/>
          </w:tcPr>
          <w:p w14:paraId="6FED6DF2">
            <w:pPr>
              <w:pStyle w:val="58"/>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color w:val="auto"/>
                <w:kern w:val="0"/>
                <w:sz w:val="21"/>
                <w:szCs w:val="21"/>
                <w:highlight w:val="none"/>
              </w:rPr>
            </w:pPr>
          </w:p>
        </w:tc>
        <w:tc>
          <w:tcPr>
            <w:tcW w:w="6889" w:type="dxa"/>
            <w:vAlign w:val="top"/>
          </w:tcPr>
          <w:p w14:paraId="2E606F3F">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投标人自2020年1月1日至今（以颁发时间为准），在生态环境领域获得过</w:t>
            </w:r>
            <w:r>
              <w:rPr>
                <w:rFonts w:hint="eastAsia" w:ascii="宋体" w:hAnsi="宋体" w:eastAsia="宋体" w:cs="宋体"/>
                <w:b w:val="0"/>
                <w:bCs w:val="0"/>
                <w:color w:val="auto"/>
                <w:sz w:val="21"/>
                <w:szCs w:val="21"/>
                <w:highlight w:val="none"/>
              </w:rPr>
              <w:t>相关</w:t>
            </w:r>
            <w:r>
              <w:rPr>
                <w:rFonts w:hint="eastAsia" w:ascii="宋体" w:hAnsi="宋体" w:eastAsia="宋体" w:cs="宋体"/>
                <w:b w:val="0"/>
                <w:bCs w:val="0"/>
                <w:color w:val="auto"/>
                <w:sz w:val="21"/>
                <w:szCs w:val="21"/>
                <w:highlight w:val="none"/>
                <w:lang w:val="en-US" w:eastAsia="zh-CN"/>
              </w:rPr>
              <w:t>政府机构颁发的</w:t>
            </w:r>
            <w:r>
              <w:rPr>
                <w:rFonts w:hint="eastAsia" w:ascii="宋体" w:hAnsi="宋体" w:eastAsia="宋体" w:cs="宋体"/>
                <w:color w:val="auto"/>
                <w:sz w:val="21"/>
                <w:szCs w:val="21"/>
                <w:highlight w:val="none"/>
              </w:rPr>
              <w:t>国家级奖项的得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分，获得过省部级奖项的得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分，获得过市厅级奖项的得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其他不得分。</w:t>
            </w:r>
          </w:p>
          <w:p w14:paraId="62961102">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注：按最高项计取，不累计得分。</w:t>
            </w:r>
          </w:p>
          <w:p w14:paraId="49CCBFEF">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（须提供相关荣誉证书扫描件加盖投标人公章编入投标文件中，未提供的不得分）</w:t>
            </w:r>
          </w:p>
        </w:tc>
        <w:tc>
          <w:tcPr>
            <w:tcW w:w="686" w:type="dxa"/>
            <w:vAlign w:val="center"/>
          </w:tcPr>
          <w:p w14:paraId="1B10EECF">
            <w:pPr>
              <w:pStyle w:val="58"/>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686" w:type="dxa"/>
            <w:vAlign w:val="center"/>
          </w:tcPr>
          <w:p w14:paraId="0C5DFD9B">
            <w:pPr>
              <w:pStyle w:val="58"/>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color w:val="auto"/>
                <w:sz w:val="21"/>
                <w:szCs w:val="21"/>
                <w:highlight w:val="none"/>
                <w:lang w:val="en-US" w:eastAsia="zh-CN"/>
              </w:rPr>
            </w:pPr>
          </w:p>
        </w:tc>
        <w:tc>
          <w:tcPr>
            <w:tcW w:w="686" w:type="dxa"/>
            <w:vAlign w:val="center"/>
          </w:tcPr>
          <w:p w14:paraId="6AE6EE6A">
            <w:pPr>
              <w:pStyle w:val="58"/>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color w:val="auto"/>
                <w:sz w:val="21"/>
                <w:szCs w:val="21"/>
                <w:highlight w:val="none"/>
                <w:lang w:val="en-US" w:eastAsia="zh-CN"/>
              </w:rPr>
            </w:pPr>
          </w:p>
        </w:tc>
      </w:tr>
      <w:tr w14:paraId="28EAA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89" w:type="dxa"/>
            <w:vMerge w:val="continue"/>
            <w:vAlign w:val="center"/>
          </w:tcPr>
          <w:p w14:paraId="46A9286D">
            <w:pPr>
              <w:pStyle w:val="58"/>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color w:val="auto"/>
                <w:kern w:val="0"/>
                <w:sz w:val="21"/>
                <w:szCs w:val="21"/>
                <w:highlight w:val="none"/>
              </w:rPr>
            </w:pPr>
          </w:p>
        </w:tc>
        <w:tc>
          <w:tcPr>
            <w:tcW w:w="1187" w:type="dxa"/>
            <w:vAlign w:val="center"/>
          </w:tcPr>
          <w:p w14:paraId="4343F62D">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项目负责人</w:t>
            </w:r>
          </w:p>
        </w:tc>
        <w:tc>
          <w:tcPr>
            <w:tcW w:w="6889" w:type="dxa"/>
            <w:vAlign w:val="center"/>
          </w:tcPr>
          <w:p w14:paraId="3E044AF8">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拟投入的项目负责人：</w:t>
            </w:r>
          </w:p>
          <w:p w14:paraId="31ED760A">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1、具有生态、环保相关专业的</w:t>
            </w:r>
            <w:r>
              <w:rPr>
                <w:rFonts w:hint="eastAsia" w:ascii="宋体" w:hAnsi="宋体" w:eastAsia="宋体" w:cs="宋体"/>
                <w:color w:val="auto"/>
                <w:kern w:val="0"/>
                <w:sz w:val="21"/>
                <w:szCs w:val="21"/>
                <w:highlight w:val="none"/>
                <w:lang w:val="en-US" w:eastAsia="zh-CN" w:bidi="ar"/>
              </w:rPr>
              <w:t>正高级</w:t>
            </w:r>
            <w:r>
              <w:rPr>
                <w:rFonts w:hint="eastAsia" w:ascii="宋体" w:hAnsi="宋体" w:eastAsia="宋体" w:cs="宋体"/>
                <w:color w:val="auto"/>
                <w:kern w:val="0"/>
                <w:sz w:val="21"/>
                <w:szCs w:val="21"/>
                <w:highlight w:val="none"/>
                <w:lang w:bidi="ar"/>
              </w:rPr>
              <w:t>工程师职称的得3分，具有生态、环保相关专业的高级职称的得2分，具有生态、环保相关专业的中级</w:t>
            </w:r>
            <w:r>
              <w:rPr>
                <w:rFonts w:hint="eastAsia" w:ascii="宋体" w:hAnsi="宋体" w:eastAsia="宋体" w:cs="宋体"/>
                <w:color w:val="auto"/>
                <w:kern w:val="0"/>
                <w:sz w:val="21"/>
                <w:szCs w:val="21"/>
                <w:highlight w:val="none"/>
                <w:lang w:val="en-US" w:eastAsia="zh-CN" w:bidi="ar"/>
              </w:rPr>
              <w:t>职称</w:t>
            </w:r>
            <w:r>
              <w:rPr>
                <w:rFonts w:hint="eastAsia" w:ascii="宋体" w:hAnsi="宋体" w:eastAsia="宋体" w:cs="宋体"/>
                <w:color w:val="auto"/>
                <w:kern w:val="0"/>
                <w:sz w:val="21"/>
                <w:szCs w:val="21"/>
                <w:highlight w:val="none"/>
                <w:lang w:bidi="ar"/>
              </w:rPr>
              <w:t>的得1分</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其他不得分</w:t>
            </w:r>
            <w:r>
              <w:rPr>
                <w:rFonts w:hint="eastAsia" w:ascii="宋体" w:hAnsi="宋体" w:eastAsia="宋体" w:cs="宋体"/>
                <w:color w:val="auto"/>
                <w:kern w:val="0"/>
                <w:sz w:val="21"/>
                <w:szCs w:val="21"/>
                <w:highlight w:val="none"/>
                <w:lang w:bidi="ar"/>
              </w:rPr>
              <w:t>。</w:t>
            </w:r>
          </w:p>
          <w:p w14:paraId="4F96655F">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2、具有环境影响评价工程师资格证书的得2分。</w:t>
            </w:r>
          </w:p>
          <w:p w14:paraId="0C4A6AF0">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本项最高得5分</w:t>
            </w:r>
            <w:r>
              <w:rPr>
                <w:rFonts w:hint="eastAsia" w:ascii="宋体" w:hAnsi="宋体" w:eastAsia="宋体" w:cs="宋体"/>
                <w:color w:val="auto"/>
                <w:kern w:val="0"/>
                <w:sz w:val="21"/>
                <w:szCs w:val="21"/>
                <w:highlight w:val="none"/>
                <w:lang w:eastAsia="zh-CN" w:bidi="ar"/>
              </w:rPr>
              <w:t>。</w:t>
            </w:r>
          </w:p>
          <w:p w14:paraId="146A1709">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须</w:t>
            </w:r>
            <w:r>
              <w:rPr>
                <w:rFonts w:hint="eastAsia" w:ascii="宋体" w:hAnsi="宋体" w:eastAsia="宋体" w:cs="宋体"/>
                <w:b/>
                <w:bCs/>
                <w:color w:val="auto"/>
                <w:sz w:val="21"/>
                <w:szCs w:val="21"/>
                <w:highlight w:val="none"/>
                <w:lang w:val="en-US" w:eastAsia="zh-CN"/>
              </w:rPr>
              <w:t>提供①相关证书；②供应商为其缴纳的投标截止时间前近1个月的社保证明，上述资料扫描件</w:t>
            </w:r>
            <w:r>
              <w:rPr>
                <w:rFonts w:hint="eastAsia" w:ascii="宋体" w:hAnsi="宋体" w:eastAsia="宋体" w:cs="宋体"/>
                <w:b/>
                <w:bCs/>
                <w:color w:val="auto"/>
                <w:sz w:val="21"/>
                <w:szCs w:val="21"/>
                <w:highlight w:val="none"/>
              </w:rPr>
              <w:t>并加盖</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rPr>
              <w:t>公章编入投标文件中，未提供</w:t>
            </w:r>
            <w:r>
              <w:rPr>
                <w:rFonts w:hint="eastAsia" w:ascii="宋体" w:hAnsi="宋体" w:eastAsia="宋体" w:cs="宋体"/>
                <w:b/>
                <w:bCs/>
                <w:color w:val="auto"/>
                <w:sz w:val="21"/>
                <w:szCs w:val="21"/>
                <w:highlight w:val="none"/>
                <w:lang w:val="en-US" w:eastAsia="zh-CN"/>
              </w:rPr>
              <w:t>或提供不全</w:t>
            </w:r>
            <w:r>
              <w:rPr>
                <w:rFonts w:hint="eastAsia" w:ascii="宋体" w:hAnsi="宋体" w:eastAsia="宋体" w:cs="宋体"/>
                <w:b/>
                <w:bCs/>
                <w:color w:val="auto"/>
                <w:sz w:val="21"/>
                <w:szCs w:val="21"/>
                <w:highlight w:val="none"/>
              </w:rPr>
              <w:t>的不得分</w:t>
            </w:r>
            <w:r>
              <w:rPr>
                <w:rFonts w:hint="eastAsia" w:ascii="宋体" w:hAnsi="宋体" w:eastAsia="宋体" w:cs="宋体"/>
                <w:b/>
                <w:bCs w:val="0"/>
                <w:color w:val="auto"/>
                <w:sz w:val="21"/>
                <w:szCs w:val="21"/>
                <w:highlight w:val="none"/>
                <w:lang w:eastAsia="zh-CN"/>
              </w:rPr>
              <w:t>）</w:t>
            </w:r>
          </w:p>
        </w:tc>
        <w:tc>
          <w:tcPr>
            <w:tcW w:w="686" w:type="dxa"/>
            <w:vAlign w:val="center"/>
          </w:tcPr>
          <w:p w14:paraId="132151BF">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5</w:t>
            </w:r>
          </w:p>
        </w:tc>
        <w:tc>
          <w:tcPr>
            <w:tcW w:w="686" w:type="dxa"/>
            <w:vAlign w:val="center"/>
          </w:tcPr>
          <w:p w14:paraId="23218A56">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kern w:val="0"/>
                <w:sz w:val="21"/>
                <w:szCs w:val="21"/>
                <w:highlight w:val="none"/>
                <w:lang w:bidi="ar"/>
              </w:rPr>
            </w:pPr>
          </w:p>
        </w:tc>
        <w:tc>
          <w:tcPr>
            <w:tcW w:w="686" w:type="dxa"/>
            <w:vAlign w:val="center"/>
          </w:tcPr>
          <w:p w14:paraId="4ED9DC0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kern w:val="0"/>
                <w:sz w:val="21"/>
                <w:szCs w:val="21"/>
                <w:highlight w:val="none"/>
                <w:lang w:bidi="ar"/>
              </w:rPr>
            </w:pPr>
          </w:p>
        </w:tc>
      </w:tr>
      <w:tr w14:paraId="27ECD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89" w:type="dxa"/>
            <w:vMerge w:val="continue"/>
            <w:vAlign w:val="center"/>
          </w:tcPr>
          <w:p w14:paraId="2381AB66">
            <w:pPr>
              <w:pStyle w:val="58"/>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color w:val="auto"/>
                <w:kern w:val="0"/>
                <w:sz w:val="21"/>
                <w:szCs w:val="21"/>
                <w:highlight w:val="none"/>
              </w:rPr>
            </w:pPr>
          </w:p>
        </w:tc>
        <w:tc>
          <w:tcPr>
            <w:tcW w:w="1187" w:type="dxa"/>
            <w:vAlign w:val="center"/>
          </w:tcPr>
          <w:p w14:paraId="3CF88C95">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bidi="ar"/>
              </w:rPr>
              <w:t>项目组成员</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项目负责人除外</w:t>
            </w:r>
            <w:r>
              <w:rPr>
                <w:rFonts w:hint="eastAsia" w:ascii="宋体" w:hAnsi="宋体" w:eastAsia="宋体" w:cs="宋体"/>
                <w:color w:val="auto"/>
                <w:kern w:val="0"/>
                <w:sz w:val="21"/>
                <w:szCs w:val="21"/>
                <w:highlight w:val="none"/>
                <w:lang w:eastAsia="zh-CN" w:bidi="ar"/>
              </w:rPr>
              <w:t>）</w:t>
            </w:r>
          </w:p>
        </w:tc>
        <w:tc>
          <w:tcPr>
            <w:tcW w:w="6889" w:type="dxa"/>
            <w:vAlign w:val="center"/>
          </w:tcPr>
          <w:p w14:paraId="2AF28A2D">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拟投入</w:t>
            </w:r>
            <w:r>
              <w:rPr>
                <w:rFonts w:hint="eastAsia" w:ascii="宋体" w:hAnsi="宋体" w:eastAsia="宋体" w:cs="宋体"/>
                <w:color w:val="auto"/>
                <w:kern w:val="0"/>
                <w:sz w:val="21"/>
                <w:szCs w:val="21"/>
                <w:highlight w:val="none"/>
                <w:lang w:eastAsia="zh-CN" w:bidi="ar"/>
              </w:rPr>
              <w:t>的</w:t>
            </w:r>
            <w:r>
              <w:rPr>
                <w:rFonts w:hint="eastAsia" w:ascii="宋体" w:hAnsi="宋体" w:eastAsia="宋体" w:cs="宋体"/>
                <w:color w:val="auto"/>
                <w:kern w:val="0"/>
                <w:sz w:val="21"/>
                <w:szCs w:val="21"/>
                <w:highlight w:val="none"/>
                <w:lang w:bidi="ar"/>
              </w:rPr>
              <w:t>项目组成员（</w:t>
            </w:r>
            <w:r>
              <w:rPr>
                <w:rStyle w:val="59"/>
                <w:rFonts w:hint="eastAsia" w:ascii="宋体" w:hAnsi="宋体" w:eastAsia="宋体" w:cs="宋体"/>
                <w:color w:val="auto"/>
                <w:sz w:val="21"/>
                <w:szCs w:val="21"/>
                <w:highlight w:val="none"/>
                <w:lang w:bidi="ar"/>
              </w:rPr>
              <w:t>项目负责人除外）</w:t>
            </w:r>
            <w:r>
              <w:rPr>
                <w:rStyle w:val="59"/>
                <w:rFonts w:hint="eastAsia" w:ascii="宋体" w:hAnsi="宋体" w:eastAsia="宋体" w:cs="宋体"/>
                <w:color w:val="auto"/>
                <w:sz w:val="21"/>
                <w:szCs w:val="21"/>
                <w:highlight w:val="none"/>
                <w:lang w:eastAsia="zh-CN" w:bidi="ar"/>
              </w:rPr>
              <w:t>：</w:t>
            </w:r>
          </w:p>
          <w:p w14:paraId="1F625651">
            <w:pPr>
              <w:keepNext w:val="0"/>
              <w:keepLines w:val="0"/>
              <w:pageBreakBefore w:val="0"/>
              <w:widowControl/>
              <w:kinsoku/>
              <w:wordWrap/>
              <w:overflowPunct/>
              <w:topLinePunct w:val="0"/>
              <w:autoSpaceDE/>
              <w:autoSpaceDN/>
              <w:bidi w:val="0"/>
              <w:adjustRightInd/>
              <w:snapToGrid/>
              <w:jc w:val="left"/>
              <w:textAlignment w:val="auto"/>
              <w:rPr>
                <w:rStyle w:val="59"/>
                <w:rFonts w:hint="eastAsia" w:ascii="宋体" w:hAnsi="宋体" w:eastAsia="宋体" w:cs="宋体"/>
                <w:color w:val="auto"/>
                <w:sz w:val="21"/>
                <w:szCs w:val="21"/>
                <w:highlight w:val="none"/>
                <w:lang w:bidi="ar"/>
              </w:rPr>
            </w:pPr>
            <w:r>
              <w:rPr>
                <w:rFonts w:hint="eastAsia" w:ascii="宋体" w:hAnsi="宋体" w:eastAsia="宋体" w:cs="宋体"/>
                <w:color w:val="auto"/>
                <w:kern w:val="0"/>
                <w:sz w:val="21"/>
                <w:szCs w:val="21"/>
                <w:highlight w:val="none"/>
                <w:lang w:bidi="ar"/>
              </w:rPr>
              <w:t>1、</w:t>
            </w:r>
            <w:r>
              <w:rPr>
                <w:rStyle w:val="59"/>
                <w:rFonts w:hint="eastAsia" w:ascii="宋体" w:hAnsi="宋体" w:eastAsia="宋体" w:cs="宋体"/>
                <w:color w:val="auto"/>
                <w:sz w:val="21"/>
                <w:szCs w:val="21"/>
                <w:highlight w:val="none"/>
                <w:lang w:bidi="ar"/>
              </w:rPr>
              <w:t>具有</w:t>
            </w:r>
            <w:r>
              <w:rPr>
                <w:rStyle w:val="59"/>
                <w:rFonts w:hint="eastAsia" w:ascii="宋体" w:hAnsi="宋体" w:eastAsia="宋体" w:cs="宋体"/>
                <w:color w:val="auto"/>
                <w:sz w:val="21"/>
                <w:szCs w:val="21"/>
                <w:highlight w:val="none"/>
                <w:lang w:val="en-US" w:eastAsia="zh-CN" w:bidi="ar"/>
              </w:rPr>
              <w:t>环境影响评价</w:t>
            </w:r>
            <w:r>
              <w:rPr>
                <w:rStyle w:val="59"/>
                <w:rFonts w:hint="eastAsia" w:ascii="宋体" w:hAnsi="宋体" w:eastAsia="宋体" w:cs="宋体"/>
                <w:color w:val="auto"/>
                <w:sz w:val="21"/>
                <w:szCs w:val="21"/>
                <w:highlight w:val="none"/>
                <w:lang w:bidi="ar"/>
              </w:rPr>
              <w:t>工程师资格证</w:t>
            </w:r>
            <w:r>
              <w:rPr>
                <w:rFonts w:hint="eastAsia" w:ascii="宋体" w:hAnsi="宋体" w:eastAsia="宋体" w:cs="宋体"/>
                <w:color w:val="auto"/>
                <w:kern w:val="0"/>
                <w:sz w:val="21"/>
                <w:szCs w:val="21"/>
                <w:highlight w:val="none"/>
                <w:lang w:bidi="ar"/>
              </w:rPr>
              <w:t>书</w:t>
            </w:r>
            <w:r>
              <w:rPr>
                <w:rStyle w:val="59"/>
                <w:rFonts w:hint="eastAsia" w:ascii="宋体" w:hAnsi="宋体" w:eastAsia="宋体" w:cs="宋体"/>
                <w:color w:val="auto"/>
                <w:sz w:val="21"/>
                <w:szCs w:val="21"/>
                <w:highlight w:val="none"/>
                <w:lang w:bidi="ar"/>
              </w:rPr>
              <w:t>的，每提供一个得0.5分，最高得</w:t>
            </w:r>
            <w:r>
              <w:rPr>
                <w:rStyle w:val="59"/>
                <w:rFonts w:hint="eastAsia" w:ascii="宋体" w:hAnsi="宋体" w:cs="宋体"/>
                <w:color w:val="auto"/>
                <w:sz w:val="21"/>
                <w:szCs w:val="21"/>
                <w:highlight w:val="none"/>
                <w:lang w:val="en-US" w:eastAsia="zh-CN" w:bidi="ar"/>
              </w:rPr>
              <w:t>3</w:t>
            </w:r>
            <w:r>
              <w:rPr>
                <w:rStyle w:val="59"/>
                <w:rFonts w:hint="eastAsia" w:ascii="宋体" w:hAnsi="宋体" w:eastAsia="宋体" w:cs="宋体"/>
                <w:color w:val="auto"/>
                <w:sz w:val="21"/>
                <w:szCs w:val="21"/>
                <w:highlight w:val="none"/>
                <w:lang w:bidi="ar"/>
              </w:rPr>
              <w:t>分。</w:t>
            </w:r>
          </w:p>
          <w:p w14:paraId="07E8BD9C">
            <w:pPr>
              <w:keepNext w:val="0"/>
              <w:keepLines w:val="0"/>
              <w:pageBreakBefore w:val="0"/>
              <w:widowControl/>
              <w:kinsoku/>
              <w:wordWrap/>
              <w:overflowPunct/>
              <w:topLinePunct w:val="0"/>
              <w:autoSpaceDE/>
              <w:autoSpaceDN/>
              <w:bidi w:val="0"/>
              <w:adjustRightInd/>
              <w:snapToGrid/>
              <w:jc w:val="left"/>
              <w:textAlignment w:val="auto"/>
              <w:rPr>
                <w:rStyle w:val="59"/>
                <w:rFonts w:hint="eastAsia" w:ascii="宋体" w:hAnsi="宋体" w:eastAsia="宋体" w:cs="宋体"/>
                <w:color w:val="auto"/>
                <w:sz w:val="21"/>
                <w:szCs w:val="21"/>
                <w:highlight w:val="none"/>
                <w:lang w:bidi="ar"/>
              </w:rPr>
            </w:pPr>
            <w:r>
              <w:rPr>
                <w:rStyle w:val="59"/>
                <w:rFonts w:hint="eastAsia" w:ascii="宋体" w:hAnsi="宋体" w:eastAsia="宋体" w:cs="宋体"/>
                <w:color w:val="auto"/>
                <w:sz w:val="21"/>
                <w:szCs w:val="21"/>
                <w:highlight w:val="none"/>
                <w:lang w:bidi="ar"/>
              </w:rPr>
              <w:t>2、具有</w:t>
            </w:r>
            <w:r>
              <w:rPr>
                <w:rStyle w:val="59"/>
                <w:rFonts w:hint="eastAsia" w:ascii="宋体" w:hAnsi="宋体" w:eastAsia="宋体" w:cs="宋体"/>
                <w:color w:val="auto"/>
                <w:sz w:val="21"/>
                <w:szCs w:val="21"/>
                <w:highlight w:val="none"/>
                <w:lang w:val="en-US" w:eastAsia="zh-CN" w:bidi="ar"/>
              </w:rPr>
              <w:t>注册环保</w:t>
            </w:r>
            <w:r>
              <w:rPr>
                <w:rStyle w:val="59"/>
                <w:rFonts w:hint="eastAsia" w:ascii="宋体" w:hAnsi="宋体" w:eastAsia="宋体" w:cs="宋体"/>
                <w:color w:val="auto"/>
                <w:sz w:val="21"/>
                <w:szCs w:val="21"/>
                <w:highlight w:val="none"/>
                <w:lang w:bidi="ar"/>
              </w:rPr>
              <w:t>工程师资格证</w:t>
            </w:r>
            <w:r>
              <w:rPr>
                <w:rFonts w:hint="eastAsia" w:ascii="宋体" w:hAnsi="宋体" w:eastAsia="宋体" w:cs="宋体"/>
                <w:color w:val="auto"/>
                <w:kern w:val="0"/>
                <w:sz w:val="21"/>
                <w:szCs w:val="21"/>
                <w:highlight w:val="none"/>
                <w:lang w:bidi="ar"/>
              </w:rPr>
              <w:t>书</w:t>
            </w:r>
            <w:r>
              <w:rPr>
                <w:rStyle w:val="59"/>
                <w:rFonts w:hint="eastAsia" w:ascii="宋体" w:hAnsi="宋体" w:eastAsia="宋体" w:cs="宋体"/>
                <w:color w:val="auto"/>
                <w:sz w:val="21"/>
                <w:szCs w:val="21"/>
                <w:highlight w:val="none"/>
                <w:lang w:bidi="ar"/>
              </w:rPr>
              <w:t>的，每提供一个得0.5分，最高得</w:t>
            </w:r>
            <w:r>
              <w:rPr>
                <w:rStyle w:val="59"/>
                <w:rFonts w:hint="eastAsia" w:ascii="宋体" w:hAnsi="宋体" w:cs="宋体"/>
                <w:color w:val="auto"/>
                <w:sz w:val="21"/>
                <w:szCs w:val="21"/>
                <w:highlight w:val="none"/>
                <w:lang w:val="en-US" w:eastAsia="zh-CN" w:bidi="ar"/>
              </w:rPr>
              <w:t>3</w:t>
            </w:r>
            <w:r>
              <w:rPr>
                <w:rStyle w:val="59"/>
                <w:rFonts w:hint="eastAsia" w:ascii="宋体" w:hAnsi="宋体" w:eastAsia="宋体" w:cs="宋体"/>
                <w:color w:val="auto"/>
                <w:sz w:val="21"/>
                <w:szCs w:val="21"/>
                <w:highlight w:val="none"/>
                <w:lang w:bidi="ar"/>
              </w:rPr>
              <w:t>分。</w:t>
            </w:r>
          </w:p>
          <w:p w14:paraId="01FD7BD6">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3、具有</w:t>
            </w:r>
            <w:r>
              <w:rPr>
                <w:rFonts w:hint="eastAsia" w:ascii="宋体" w:hAnsi="宋体" w:eastAsia="宋体" w:cs="宋体"/>
                <w:color w:val="auto"/>
                <w:kern w:val="0"/>
                <w:sz w:val="21"/>
                <w:szCs w:val="21"/>
                <w:highlight w:val="none"/>
                <w:lang w:bidi="ar"/>
              </w:rPr>
              <w:t>环保相关专业</w:t>
            </w:r>
            <w:r>
              <w:rPr>
                <w:rFonts w:hint="eastAsia" w:ascii="宋体" w:hAnsi="宋体" w:eastAsia="宋体" w:cs="宋体"/>
                <w:color w:val="auto"/>
                <w:kern w:val="0"/>
                <w:sz w:val="21"/>
                <w:szCs w:val="21"/>
                <w:highlight w:val="none"/>
                <w:lang w:val="en-US" w:eastAsia="zh-CN" w:bidi="ar"/>
              </w:rPr>
              <w:t>博士学位</w:t>
            </w:r>
            <w:r>
              <w:rPr>
                <w:rFonts w:hint="eastAsia" w:ascii="宋体" w:hAnsi="宋体" w:eastAsia="宋体" w:cs="宋体"/>
                <w:color w:val="auto"/>
                <w:kern w:val="0"/>
                <w:sz w:val="21"/>
                <w:szCs w:val="21"/>
                <w:highlight w:val="none"/>
                <w:lang w:bidi="ar"/>
              </w:rPr>
              <w:t>的，每</w:t>
            </w:r>
            <w:r>
              <w:rPr>
                <w:rFonts w:hint="eastAsia" w:ascii="宋体" w:hAnsi="宋体" w:eastAsia="宋体" w:cs="宋体"/>
                <w:color w:val="auto"/>
                <w:kern w:val="0"/>
                <w:sz w:val="21"/>
                <w:szCs w:val="21"/>
                <w:highlight w:val="none"/>
                <w:lang w:val="en-US" w:eastAsia="zh-CN" w:bidi="ar"/>
              </w:rPr>
              <w:t>提供</w:t>
            </w:r>
            <w:r>
              <w:rPr>
                <w:rFonts w:hint="eastAsia" w:ascii="宋体" w:hAnsi="宋体" w:eastAsia="宋体" w:cs="宋体"/>
                <w:color w:val="auto"/>
                <w:kern w:val="0"/>
                <w:sz w:val="21"/>
                <w:szCs w:val="21"/>
                <w:highlight w:val="none"/>
                <w:lang w:bidi="ar"/>
              </w:rPr>
              <w:t>1人得</w:t>
            </w: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分，最高得</w:t>
            </w: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分。</w:t>
            </w:r>
          </w:p>
          <w:p w14:paraId="707727F2">
            <w:pPr>
              <w:keepNext w:val="0"/>
              <w:keepLines w:val="0"/>
              <w:pageBreakBefore w:val="0"/>
              <w:widowControl/>
              <w:kinsoku/>
              <w:wordWrap/>
              <w:overflowPunct/>
              <w:topLinePunct w:val="0"/>
              <w:autoSpaceDE/>
              <w:autoSpaceDN/>
              <w:bidi w:val="0"/>
              <w:adjustRightInd/>
              <w:snapToGrid/>
              <w:jc w:val="left"/>
              <w:textAlignment w:val="auto"/>
              <w:rPr>
                <w:rStyle w:val="59"/>
                <w:rFonts w:hint="eastAsia" w:ascii="宋体" w:hAnsi="宋体" w:eastAsia="宋体" w:cs="宋体"/>
                <w:color w:val="auto"/>
                <w:sz w:val="21"/>
                <w:szCs w:val="21"/>
                <w:highlight w:val="none"/>
                <w:lang w:bidi="ar"/>
              </w:rPr>
            </w:pPr>
            <w:r>
              <w:rPr>
                <w:rStyle w:val="59"/>
                <w:rFonts w:hint="eastAsia" w:ascii="宋体" w:hAnsi="宋体" w:eastAsia="宋体" w:cs="宋体"/>
                <w:color w:val="auto"/>
                <w:sz w:val="21"/>
                <w:szCs w:val="21"/>
                <w:highlight w:val="none"/>
                <w:lang w:bidi="ar"/>
              </w:rPr>
              <w:t>本项最高得</w:t>
            </w:r>
            <w:r>
              <w:rPr>
                <w:rStyle w:val="59"/>
                <w:rFonts w:hint="eastAsia" w:ascii="宋体" w:hAnsi="宋体" w:cs="宋体"/>
                <w:color w:val="auto"/>
                <w:sz w:val="21"/>
                <w:szCs w:val="21"/>
                <w:highlight w:val="none"/>
                <w:lang w:val="en-US" w:eastAsia="zh-CN" w:bidi="ar"/>
              </w:rPr>
              <w:t>7</w:t>
            </w:r>
            <w:r>
              <w:rPr>
                <w:rStyle w:val="59"/>
                <w:rFonts w:hint="eastAsia" w:ascii="宋体" w:hAnsi="宋体" w:eastAsia="宋体" w:cs="宋体"/>
                <w:color w:val="auto"/>
                <w:sz w:val="21"/>
                <w:szCs w:val="21"/>
                <w:highlight w:val="none"/>
                <w:lang w:bidi="ar"/>
              </w:rPr>
              <w:t>分。</w:t>
            </w:r>
          </w:p>
          <w:p w14:paraId="40FBEA18">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注：同一人员满足1/2/3多项的，</w:t>
            </w:r>
            <w:r>
              <w:rPr>
                <w:rFonts w:hint="eastAsia" w:ascii="宋体" w:hAnsi="宋体" w:cs="宋体"/>
                <w:b/>
                <w:bCs w:val="0"/>
                <w:color w:val="auto"/>
                <w:sz w:val="21"/>
                <w:szCs w:val="21"/>
                <w:highlight w:val="none"/>
                <w:lang w:val="en-US" w:eastAsia="zh-CN"/>
              </w:rPr>
              <w:t>不</w:t>
            </w:r>
            <w:r>
              <w:rPr>
                <w:rFonts w:hint="eastAsia" w:ascii="宋体" w:hAnsi="宋体" w:eastAsia="宋体" w:cs="宋体"/>
                <w:b/>
                <w:bCs w:val="0"/>
                <w:color w:val="auto"/>
                <w:sz w:val="21"/>
                <w:szCs w:val="21"/>
                <w:highlight w:val="none"/>
                <w:lang w:val="en-US" w:eastAsia="zh-CN"/>
              </w:rPr>
              <w:t>重复计分。</w:t>
            </w:r>
          </w:p>
          <w:p w14:paraId="0387846D">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须</w:t>
            </w:r>
            <w:r>
              <w:rPr>
                <w:rFonts w:hint="eastAsia" w:ascii="宋体" w:hAnsi="宋体" w:eastAsia="宋体" w:cs="宋体"/>
                <w:b/>
                <w:bCs/>
                <w:color w:val="auto"/>
                <w:sz w:val="21"/>
                <w:szCs w:val="21"/>
                <w:highlight w:val="none"/>
                <w:lang w:val="en-US" w:eastAsia="zh-CN"/>
              </w:rPr>
              <w:t>提供①相关证书；②供应商为其缴纳的投标截止时间前近1个月的社保证明，上述资料扫描件</w:t>
            </w:r>
            <w:r>
              <w:rPr>
                <w:rFonts w:hint="eastAsia" w:ascii="宋体" w:hAnsi="宋体" w:eastAsia="宋体" w:cs="宋体"/>
                <w:b/>
                <w:bCs/>
                <w:color w:val="auto"/>
                <w:sz w:val="21"/>
                <w:szCs w:val="21"/>
                <w:highlight w:val="none"/>
              </w:rPr>
              <w:t>并加盖</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rPr>
              <w:t>公章编入投标文件中，未提供</w:t>
            </w:r>
            <w:r>
              <w:rPr>
                <w:rFonts w:hint="eastAsia" w:ascii="宋体" w:hAnsi="宋体" w:eastAsia="宋体" w:cs="宋体"/>
                <w:b/>
                <w:bCs/>
                <w:color w:val="auto"/>
                <w:sz w:val="21"/>
                <w:szCs w:val="21"/>
                <w:highlight w:val="none"/>
                <w:lang w:val="en-US" w:eastAsia="zh-CN"/>
              </w:rPr>
              <w:t>或提供不全</w:t>
            </w:r>
            <w:r>
              <w:rPr>
                <w:rFonts w:hint="eastAsia" w:ascii="宋体" w:hAnsi="宋体" w:eastAsia="宋体" w:cs="宋体"/>
                <w:b/>
                <w:bCs/>
                <w:color w:val="auto"/>
                <w:sz w:val="21"/>
                <w:szCs w:val="21"/>
                <w:highlight w:val="none"/>
              </w:rPr>
              <w:t>的不得分</w:t>
            </w:r>
            <w:r>
              <w:rPr>
                <w:rFonts w:hint="eastAsia" w:ascii="宋体" w:hAnsi="宋体" w:eastAsia="宋体" w:cs="宋体"/>
                <w:b/>
                <w:bCs w:val="0"/>
                <w:color w:val="auto"/>
                <w:sz w:val="21"/>
                <w:szCs w:val="21"/>
                <w:highlight w:val="none"/>
                <w:lang w:eastAsia="zh-CN"/>
              </w:rPr>
              <w:t>）</w:t>
            </w:r>
          </w:p>
        </w:tc>
        <w:tc>
          <w:tcPr>
            <w:tcW w:w="686" w:type="dxa"/>
            <w:vAlign w:val="center"/>
          </w:tcPr>
          <w:p w14:paraId="5E3A9110">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bidi="ar"/>
              </w:rPr>
              <w:t>7</w:t>
            </w:r>
          </w:p>
        </w:tc>
        <w:tc>
          <w:tcPr>
            <w:tcW w:w="686" w:type="dxa"/>
            <w:vAlign w:val="center"/>
          </w:tcPr>
          <w:p w14:paraId="160AB5D9">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auto"/>
                <w:kern w:val="0"/>
                <w:sz w:val="21"/>
                <w:szCs w:val="21"/>
                <w:highlight w:val="none"/>
                <w:lang w:val="en-US" w:eastAsia="zh-CN" w:bidi="ar"/>
              </w:rPr>
            </w:pPr>
          </w:p>
        </w:tc>
        <w:tc>
          <w:tcPr>
            <w:tcW w:w="686" w:type="dxa"/>
            <w:vAlign w:val="center"/>
          </w:tcPr>
          <w:p w14:paraId="352390D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auto"/>
                <w:kern w:val="0"/>
                <w:sz w:val="21"/>
                <w:szCs w:val="21"/>
                <w:highlight w:val="none"/>
                <w:lang w:val="en-US" w:eastAsia="zh-CN" w:bidi="ar"/>
              </w:rPr>
            </w:pPr>
          </w:p>
        </w:tc>
      </w:tr>
      <w:tr w14:paraId="4FA8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9" w:type="dxa"/>
            <w:vMerge w:val="continue"/>
            <w:vAlign w:val="center"/>
          </w:tcPr>
          <w:p w14:paraId="620F6CE1">
            <w:pPr>
              <w:pStyle w:val="58"/>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color w:val="auto"/>
                <w:kern w:val="0"/>
                <w:sz w:val="21"/>
                <w:szCs w:val="21"/>
                <w:highlight w:val="none"/>
              </w:rPr>
            </w:pPr>
          </w:p>
        </w:tc>
        <w:tc>
          <w:tcPr>
            <w:tcW w:w="1187" w:type="dxa"/>
            <w:vAlign w:val="center"/>
          </w:tcPr>
          <w:p w14:paraId="74313843">
            <w:pPr>
              <w:pStyle w:val="58"/>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承接经验</w:t>
            </w:r>
          </w:p>
        </w:tc>
        <w:tc>
          <w:tcPr>
            <w:tcW w:w="6889" w:type="dxa"/>
            <w:vAlign w:val="center"/>
          </w:tcPr>
          <w:p w14:paraId="627D2141">
            <w:pPr>
              <w:pStyle w:val="58"/>
              <w:keepNext w:val="0"/>
              <w:keepLines w:val="0"/>
              <w:pageBreakBefore w:val="0"/>
              <w:widowControl/>
              <w:kinsoku/>
              <w:wordWrap/>
              <w:overflowPunct/>
              <w:topLinePunct w:val="0"/>
              <w:autoSpaceDE/>
              <w:autoSpaceDN/>
              <w:bidi w:val="0"/>
              <w:adjustRightInd/>
              <w:snapToGrid/>
              <w:spacing w:before="0" w:after="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t>投标人</w:t>
            </w:r>
            <w:r>
              <w:rPr>
                <w:rFonts w:hint="eastAsia" w:ascii="宋体" w:hAnsi="宋体" w:eastAsia="宋体" w:cs="宋体"/>
                <w:color w:val="auto"/>
                <w:sz w:val="21"/>
                <w:szCs w:val="21"/>
                <w:highlight w:val="none"/>
              </w:rPr>
              <w:t>自20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月1日（以合同签订时间为准）以来，承接过类似项目的，每提供一个得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分，本项最高得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4955E50F">
            <w:pPr>
              <w:pStyle w:val="58"/>
              <w:keepNext w:val="0"/>
              <w:keepLines w:val="0"/>
              <w:pageBreakBefore w:val="0"/>
              <w:widowControl/>
              <w:kinsoku/>
              <w:wordWrap/>
              <w:overflowPunct/>
              <w:topLinePunct w:val="0"/>
              <w:autoSpaceDE/>
              <w:autoSpaceDN/>
              <w:bidi w:val="0"/>
              <w:adjustRightInd/>
              <w:snapToGrid/>
              <w:spacing w:before="0" w:after="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（须提供合同扫描件并加盖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公章编入投标文件中，未提供的不得分）</w:t>
            </w:r>
          </w:p>
        </w:tc>
        <w:tc>
          <w:tcPr>
            <w:tcW w:w="686" w:type="dxa"/>
            <w:vAlign w:val="center"/>
          </w:tcPr>
          <w:p w14:paraId="197A615B">
            <w:pPr>
              <w:pStyle w:val="58"/>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686" w:type="dxa"/>
            <w:vAlign w:val="center"/>
          </w:tcPr>
          <w:p w14:paraId="178B8EA1">
            <w:pPr>
              <w:pStyle w:val="58"/>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color w:val="auto"/>
                <w:sz w:val="21"/>
                <w:szCs w:val="21"/>
                <w:highlight w:val="none"/>
                <w:lang w:val="en-US" w:eastAsia="zh-CN"/>
              </w:rPr>
            </w:pPr>
          </w:p>
        </w:tc>
        <w:tc>
          <w:tcPr>
            <w:tcW w:w="686" w:type="dxa"/>
            <w:vAlign w:val="center"/>
          </w:tcPr>
          <w:p w14:paraId="6A962BE9">
            <w:pPr>
              <w:pStyle w:val="58"/>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color w:val="auto"/>
                <w:sz w:val="21"/>
                <w:szCs w:val="21"/>
                <w:highlight w:val="none"/>
                <w:lang w:val="en-US" w:eastAsia="zh-CN"/>
              </w:rPr>
            </w:pPr>
          </w:p>
        </w:tc>
      </w:tr>
      <w:tr w14:paraId="42A52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89" w:type="dxa"/>
            <w:vMerge w:val="restart"/>
            <w:vAlign w:val="center"/>
          </w:tcPr>
          <w:p w14:paraId="7A67FAA9">
            <w:pPr>
              <w:pStyle w:val="58"/>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技术分</w:t>
            </w:r>
          </w:p>
          <w:p w14:paraId="277EF498">
            <w:pPr>
              <w:pStyle w:val="58"/>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5</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分）</w:t>
            </w:r>
          </w:p>
        </w:tc>
        <w:tc>
          <w:tcPr>
            <w:tcW w:w="1187" w:type="dxa"/>
            <w:vMerge w:val="restart"/>
            <w:vAlign w:val="center"/>
          </w:tcPr>
          <w:p w14:paraId="3E1E075C">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项目背景及重难点分析</w:t>
            </w:r>
          </w:p>
        </w:tc>
        <w:tc>
          <w:tcPr>
            <w:tcW w:w="6889" w:type="dxa"/>
            <w:vAlign w:val="center"/>
          </w:tcPr>
          <w:p w14:paraId="0946B791">
            <w:pPr>
              <w:pStyle w:val="10"/>
              <w:snapToGrid w:val="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根据招标文件对项目设立的意义、由来及发展状况介绍，根据各投标人是否对项目背景有着充分了解，对完成本项目的总体思路，对项目目标的阐述是否满足招标文件要求进行打分。</w:t>
            </w:r>
          </w:p>
          <w:p w14:paraId="2F25A090">
            <w:pPr>
              <w:pStyle w:val="10"/>
              <w:snapToGrid w:val="0"/>
              <w:rPr>
                <w:rFonts w:hint="eastAsia" w:hAnsi="宋体" w:cs="宋体"/>
                <w:color w:val="auto"/>
                <w:sz w:val="21"/>
                <w:szCs w:val="21"/>
                <w:highlight w:val="none"/>
                <w:lang w:val="en-US" w:eastAsia="zh-CN"/>
              </w:rPr>
            </w:pPr>
            <w:r>
              <w:rPr>
                <w:rFonts w:hint="eastAsia" w:ascii="宋体" w:hAnsi="宋体" w:eastAsia="宋体" w:cs="宋体"/>
                <w:color w:val="auto"/>
                <w:sz w:val="21"/>
                <w:szCs w:val="21"/>
                <w:highlight w:val="none"/>
              </w:rPr>
              <w:t>调查全面，背景、现状分析有针对性，项目需求理解准确的</w:t>
            </w:r>
            <w:r>
              <w:rPr>
                <w:rFonts w:hint="eastAsia" w:hAnsi="宋体" w:cs="宋体"/>
                <w:color w:val="auto"/>
                <w:sz w:val="21"/>
                <w:szCs w:val="21"/>
                <w:highlight w:val="none"/>
                <w:lang w:val="en-US" w:eastAsia="zh-CN"/>
              </w:rPr>
              <w:t>得4分；</w:t>
            </w:r>
          </w:p>
          <w:p w14:paraId="0CFCA591">
            <w:pPr>
              <w:pStyle w:val="10"/>
              <w:snapToGrid w:val="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调查基本全面，背景、现状分析比较有针对性，项目需求理解基本准确的得2分；</w:t>
            </w:r>
          </w:p>
          <w:p w14:paraId="75E7177F">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项目理解简单片面，缺乏针对性的得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577403B1">
            <w:pPr>
              <w:widowControl/>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686" w:type="dxa"/>
            <w:vAlign w:val="center"/>
          </w:tcPr>
          <w:p w14:paraId="4F19455D">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bidi="ar"/>
              </w:rPr>
              <w:t>4</w:t>
            </w:r>
          </w:p>
        </w:tc>
        <w:tc>
          <w:tcPr>
            <w:tcW w:w="686" w:type="dxa"/>
            <w:vAlign w:val="center"/>
          </w:tcPr>
          <w:p w14:paraId="53399A4F">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auto"/>
                <w:kern w:val="0"/>
                <w:sz w:val="21"/>
                <w:szCs w:val="21"/>
                <w:highlight w:val="none"/>
                <w:lang w:val="en-US" w:eastAsia="zh-CN" w:bidi="ar"/>
              </w:rPr>
            </w:pPr>
          </w:p>
        </w:tc>
        <w:tc>
          <w:tcPr>
            <w:tcW w:w="686" w:type="dxa"/>
            <w:vAlign w:val="center"/>
          </w:tcPr>
          <w:p w14:paraId="367D0C98">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auto"/>
                <w:kern w:val="0"/>
                <w:sz w:val="21"/>
                <w:szCs w:val="21"/>
                <w:highlight w:val="none"/>
                <w:lang w:val="en-US" w:eastAsia="zh-CN" w:bidi="ar"/>
              </w:rPr>
            </w:pPr>
          </w:p>
        </w:tc>
      </w:tr>
      <w:tr w14:paraId="0B542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989" w:type="dxa"/>
            <w:vMerge w:val="continue"/>
            <w:vAlign w:val="center"/>
          </w:tcPr>
          <w:p w14:paraId="1B9847A4">
            <w:pPr>
              <w:pStyle w:val="58"/>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宋体" w:hAnsi="宋体" w:eastAsia="宋体" w:cs="宋体"/>
                <w:color w:val="auto"/>
                <w:sz w:val="21"/>
                <w:szCs w:val="21"/>
                <w:highlight w:val="none"/>
              </w:rPr>
            </w:pPr>
          </w:p>
        </w:tc>
        <w:tc>
          <w:tcPr>
            <w:tcW w:w="1187" w:type="dxa"/>
            <w:vMerge w:val="continue"/>
            <w:vAlign w:val="center"/>
          </w:tcPr>
          <w:p w14:paraId="25847010">
            <w:pPr>
              <w:jc w:val="center"/>
              <w:rPr>
                <w:rFonts w:hint="eastAsia" w:ascii="宋体" w:hAnsi="宋体" w:eastAsia="宋体" w:cs="宋体"/>
                <w:color w:val="auto"/>
                <w:sz w:val="21"/>
                <w:szCs w:val="21"/>
                <w:highlight w:val="none"/>
              </w:rPr>
            </w:pPr>
          </w:p>
        </w:tc>
        <w:tc>
          <w:tcPr>
            <w:tcW w:w="6889" w:type="dxa"/>
            <w:vAlign w:val="center"/>
          </w:tcPr>
          <w:p w14:paraId="326F724C">
            <w:pPr>
              <w:widowControl/>
              <w:adjustRightInd w:val="0"/>
              <w:snapToGrid w:val="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根据项目需求，分析本项目重点、难点，并对此提出的解决对策是否具有全面性、针对性、可操作性进行打分。</w:t>
            </w:r>
          </w:p>
          <w:p w14:paraId="4984D99C">
            <w:pPr>
              <w:widowControl/>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重点和难点问题认识清晰、准确，解决方案科学合理、有效全面且具有针对性的的得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0337A8FC">
            <w:pPr>
              <w:widowControl/>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重点和难点问题认识较为清晰，解决方案阐述</w:t>
            </w:r>
            <w:r>
              <w:rPr>
                <w:rFonts w:hint="eastAsia" w:ascii="宋体" w:hAnsi="宋体" w:cs="宋体"/>
                <w:color w:val="auto"/>
                <w:sz w:val="21"/>
                <w:szCs w:val="21"/>
                <w:highlight w:val="none"/>
                <w:lang w:val="en-US" w:eastAsia="zh-CN"/>
              </w:rPr>
              <w:t>内容基本详尽</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5B49D276">
            <w:pPr>
              <w:widowControl/>
              <w:adjustRightInd w:val="0"/>
              <w:snapToGrid w:val="0"/>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重点和难点问题认识</w:t>
            </w:r>
            <w:r>
              <w:rPr>
                <w:rFonts w:hint="eastAsia" w:ascii="宋体" w:hAnsi="宋体" w:cs="宋体"/>
                <w:color w:val="auto"/>
                <w:sz w:val="21"/>
                <w:szCs w:val="21"/>
                <w:highlight w:val="none"/>
                <w:lang w:val="en-US" w:eastAsia="zh-CN"/>
              </w:rPr>
              <w:t>简单，解决分析简单的得1分；</w:t>
            </w:r>
          </w:p>
          <w:p w14:paraId="0903A183">
            <w:pPr>
              <w:widowControl/>
              <w:adjustRightInd w:val="0"/>
              <w:snapToGrid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686" w:type="dxa"/>
            <w:vAlign w:val="center"/>
          </w:tcPr>
          <w:p w14:paraId="4414293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bidi="ar"/>
              </w:rPr>
              <w:t>4</w:t>
            </w:r>
          </w:p>
        </w:tc>
        <w:tc>
          <w:tcPr>
            <w:tcW w:w="686" w:type="dxa"/>
            <w:vAlign w:val="center"/>
          </w:tcPr>
          <w:p w14:paraId="1C000D9F">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auto"/>
                <w:kern w:val="0"/>
                <w:sz w:val="21"/>
                <w:szCs w:val="21"/>
                <w:highlight w:val="none"/>
                <w:lang w:val="en-US" w:eastAsia="zh-CN" w:bidi="ar"/>
              </w:rPr>
            </w:pPr>
          </w:p>
        </w:tc>
        <w:tc>
          <w:tcPr>
            <w:tcW w:w="686" w:type="dxa"/>
            <w:vAlign w:val="center"/>
          </w:tcPr>
          <w:p w14:paraId="02154EBA">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auto"/>
                <w:kern w:val="0"/>
                <w:sz w:val="21"/>
                <w:szCs w:val="21"/>
                <w:highlight w:val="none"/>
                <w:lang w:val="en-US" w:eastAsia="zh-CN" w:bidi="ar"/>
              </w:rPr>
            </w:pPr>
          </w:p>
        </w:tc>
      </w:tr>
      <w:tr w14:paraId="06F76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989" w:type="dxa"/>
            <w:vMerge w:val="continue"/>
            <w:vAlign w:val="center"/>
          </w:tcPr>
          <w:p w14:paraId="1A53A142">
            <w:pPr>
              <w:pStyle w:val="58"/>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eastAsia="宋体" w:cs="宋体"/>
                <w:color w:val="auto"/>
                <w:kern w:val="0"/>
                <w:sz w:val="21"/>
                <w:szCs w:val="21"/>
                <w:highlight w:val="none"/>
              </w:rPr>
            </w:pPr>
          </w:p>
        </w:tc>
        <w:tc>
          <w:tcPr>
            <w:tcW w:w="1187" w:type="dxa"/>
            <w:vMerge w:val="restart"/>
            <w:vAlign w:val="center"/>
          </w:tcPr>
          <w:p w14:paraId="02746F07">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项目实施</w:t>
            </w:r>
            <w:r>
              <w:rPr>
                <w:rFonts w:hint="eastAsia" w:ascii="宋体" w:hAnsi="宋体" w:cs="宋体"/>
                <w:color w:val="auto"/>
                <w:kern w:val="0"/>
                <w:sz w:val="21"/>
                <w:szCs w:val="21"/>
                <w:highlight w:val="none"/>
                <w:lang w:val="en-US" w:eastAsia="zh-CN" w:bidi="ar"/>
              </w:rPr>
              <w:t>计划服务</w:t>
            </w:r>
            <w:r>
              <w:rPr>
                <w:rFonts w:hint="eastAsia" w:ascii="宋体" w:hAnsi="宋体" w:eastAsia="宋体" w:cs="宋体"/>
                <w:color w:val="auto"/>
                <w:kern w:val="0"/>
                <w:sz w:val="21"/>
                <w:szCs w:val="21"/>
                <w:highlight w:val="none"/>
                <w:lang w:bidi="ar"/>
              </w:rPr>
              <w:t>方案</w:t>
            </w:r>
          </w:p>
        </w:tc>
        <w:tc>
          <w:tcPr>
            <w:tcW w:w="6889" w:type="dxa"/>
            <w:vAlign w:val="center"/>
          </w:tcPr>
          <w:p w14:paraId="76F9451F">
            <w:pPr>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根据投标人制定的</w:t>
            </w:r>
            <w:r>
              <w:rPr>
                <w:rFonts w:hint="eastAsia" w:ascii="宋体" w:hAnsi="宋体" w:eastAsia="宋体" w:cs="宋体"/>
                <w:b/>
                <w:bCs/>
                <w:color w:val="auto"/>
                <w:kern w:val="0"/>
                <w:sz w:val="21"/>
                <w:szCs w:val="21"/>
                <w:highlight w:val="none"/>
                <w:lang w:bidi="ar"/>
              </w:rPr>
              <w:t>废气低效设施改造升级服务</w:t>
            </w:r>
            <w:r>
              <w:rPr>
                <w:rFonts w:hint="eastAsia" w:ascii="宋体" w:hAnsi="宋体" w:eastAsia="宋体" w:cs="宋体"/>
                <w:color w:val="auto"/>
                <w:kern w:val="0"/>
                <w:sz w:val="21"/>
                <w:szCs w:val="21"/>
                <w:highlight w:val="none"/>
                <w:lang w:bidi="ar"/>
              </w:rPr>
              <w:t>内容的详细程度以及工作流程的严谨性、科学性、可操作性进行打分。</w:t>
            </w:r>
          </w:p>
          <w:p w14:paraId="3CD026D0">
            <w:p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服务内容</w:t>
            </w:r>
            <w:r>
              <w:rPr>
                <w:rFonts w:hint="eastAsia" w:ascii="宋体" w:hAnsi="宋体" w:eastAsia="宋体" w:cs="宋体"/>
                <w:color w:val="auto"/>
                <w:kern w:val="0"/>
                <w:sz w:val="21"/>
                <w:szCs w:val="21"/>
                <w:highlight w:val="none"/>
              </w:rPr>
              <w:t>条理思路清晰、贴合实际、可行性强、有针对性</w:t>
            </w:r>
            <w:r>
              <w:rPr>
                <w:rFonts w:hint="eastAsia" w:ascii="宋体" w:hAnsi="宋体" w:eastAsia="宋体" w:cs="宋体"/>
                <w:color w:val="auto"/>
                <w:kern w:val="0"/>
                <w:sz w:val="21"/>
                <w:szCs w:val="21"/>
                <w:highlight w:val="none"/>
                <w:lang w:bidi="ar"/>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6CEE2502">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服务内容</w:t>
            </w:r>
            <w:r>
              <w:rPr>
                <w:rFonts w:hint="eastAsia" w:ascii="宋体" w:hAnsi="宋体" w:eastAsia="宋体" w:cs="宋体"/>
                <w:color w:val="auto"/>
                <w:sz w:val="21"/>
                <w:szCs w:val="21"/>
                <w:highlight w:val="none"/>
              </w:rPr>
              <w:t>简单、内容不完善，可行性</w:t>
            </w:r>
            <w:r>
              <w:rPr>
                <w:rFonts w:hint="eastAsia" w:ascii="宋体" w:hAnsi="宋体" w:cs="宋体"/>
                <w:color w:val="auto"/>
                <w:sz w:val="21"/>
                <w:szCs w:val="21"/>
                <w:highlight w:val="none"/>
                <w:lang w:val="en-US" w:eastAsia="zh-CN"/>
              </w:rPr>
              <w:t>一般</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366513DA">
            <w:pPr>
              <w:widowControl/>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方案内容简略且不明确得1分。</w:t>
            </w:r>
          </w:p>
          <w:p w14:paraId="042CD396">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686" w:type="dxa"/>
            <w:vAlign w:val="center"/>
          </w:tcPr>
          <w:p w14:paraId="677AED71">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686" w:type="dxa"/>
            <w:vAlign w:val="center"/>
          </w:tcPr>
          <w:p w14:paraId="12AF7093">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auto"/>
                <w:sz w:val="21"/>
                <w:szCs w:val="21"/>
                <w:highlight w:val="none"/>
                <w:lang w:val="en-US" w:eastAsia="zh-CN"/>
              </w:rPr>
            </w:pPr>
          </w:p>
        </w:tc>
        <w:tc>
          <w:tcPr>
            <w:tcW w:w="686" w:type="dxa"/>
            <w:vAlign w:val="center"/>
          </w:tcPr>
          <w:p w14:paraId="3CCA2D19">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auto"/>
                <w:sz w:val="21"/>
                <w:szCs w:val="21"/>
                <w:highlight w:val="none"/>
                <w:lang w:val="en-US" w:eastAsia="zh-CN"/>
              </w:rPr>
            </w:pPr>
          </w:p>
        </w:tc>
      </w:tr>
      <w:tr w14:paraId="7BA4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989" w:type="dxa"/>
            <w:vMerge w:val="continue"/>
            <w:vAlign w:val="center"/>
          </w:tcPr>
          <w:p w14:paraId="2ABBD684">
            <w:pPr>
              <w:pStyle w:val="58"/>
              <w:keepNext w:val="0"/>
              <w:keepLines w:val="0"/>
              <w:pageBreakBefore w:val="0"/>
              <w:widowControl/>
              <w:kinsoku/>
              <w:wordWrap/>
              <w:overflowPunct/>
              <w:topLinePunct w:val="0"/>
              <w:autoSpaceDE/>
              <w:autoSpaceDN/>
              <w:bidi w:val="0"/>
              <w:adjustRightInd/>
              <w:snapToGrid/>
              <w:spacing w:before="0" w:after="0"/>
              <w:jc w:val="left"/>
              <w:textAlignment w:val="auto"/>
              <w:rPr>
                <w:rFonts w:hint="eastAsia" w:ascii="宋体" w:hAnsi="宋体" w:eastAsia="宋体" w:cs="宋体"/>
                <w:color w:val="auto"/>
                <w:sz w:val="21"/>
                <w:szCs w:val="21"/>
                <w:highlight w:val="none"/>
              </w:rPr>
            </w:pPr>
          </w:p>
        </w:tc>
        <w:tc>
          <w:tcPr>
            <w:tcW w:w="1187" w:type="dxa"/>
            <w:vMerge w:val="continue"/>
            <w:vAlign w:val="center"/>
          </w:tcPr>
          <w:p w14:paraId="7030209F">
            <w:pPr>
              <w:widowControl/>
              <w:jc w:val="center"/>
              <w:rPr>
                <w:rFonts w:hint="eastAsia" w:ascii="宋体" w:hAnsi="宋体" w:eastAsia="宋体" w:cs="宋体"/>
                <w:color w:val="auto"/>
                <w:sz w:val="21"/>
                <w:szCs w:val="21"/>
                <w:highlight w:val="none"/>
                <w:lang w:val="en-US" w:eastAsia="zh-CN"/>
              </w:rPr>
            </w:pPr>
          </w:p>
        </w:tc>
        <w:tc>
          <w:tcPr>
            <w:tcW w:w="6889" w:type="dxa"/>
            <w:vAlign w:val="center"/>
          </w:tcPr>
          <w:p w14:paraId="01A8F88C">
            <w:pPr>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根据投标人制定的</w:t>
            </w:r>
            <w:r>
              <w:rPr>
                <w:rFonts w:hint="eastAsia" w:ascii="宋体" w:hAnsi="宋体" w:eastAsia="宋体" w:cs="宋体"/>
                <w:b/>
                <w:bCs/>
                <w:color w:val="auto"/>
                <w:kern w:val="0"/>
                <w:sz w:val="21"/>
                <w:szCs w:val="21"/>
                <w:highlight w:val="none"/>
                <w:lang w:bidi="ar"/>
              </w:rPr>
              <w:t>绩效提级</w:t>
            </w:r>
            <w:r>
              <w:rPr>
                <w:rFonts w:hint="eastAsia" w:ascii="宋体" w:hAnsi="宋体" w:cs="宋体"/>
                <w:b/>
                <w:bCs/>
                <w:color w:val="auto"/>
                <w:kern w:val="0"/>
                <w:sz w:val="21"/>
                <w:szCs w:val="21"/>
                <w:highlight w:val="none"/>
                <w:lang w:val="en-US" w:eastAsia="zh-CN" w:bidi="ar"/>
              </w:rPr>
              <w:t>技术</w:t>
            </w:r>
            <w:r>
              <w:rPr>
                <w:rFonts w:hint="eastAsia" w:ascii="宋体" w:hAnsi="宋体" w:eastAsia="宋体" w:cs="宋体"/>
                <w:b/>
                <w:bCs/>
                <w:color w:val="auto"/>
                <w:kern w:val="0"/>
                <w:sz w:val="21"/>
                <w:szCs w:val="21"/>
                <w:highlight w:val="none"/>
                <w:lang w:bidi="ar"/>
              </w:rPr>
              <w:t>服务</w:t>
            </w:r>
            <w:r>
              <w:rPr>
                <w:rFonts w:hint="eastAsia" w:ascii="宋体" w:hAnsi="宋体" w:eastAsia="宋体" w:cs="宋体"/>
                <w:color w:val="auto"/>
                <w:kern w:val="0"/>
                <w:sz w:val="21"/>
                <w:szCs w:val="21"/>
                <w:highlight w:val="none"/>
                <w:lang w:bidi="ar"/>
              </w:rPr>
              <w:t>内容的详细程度以及工作流程的严谨性、科学性、可操作性进行打分。</w:t>
            </w:r>
          </w:p>
          <w:p w14:paraId="145862D7">
            <w:p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服务内容</w:t>
            </w:r>
            <w:r>
              <w:rPr>
                <w:rFonts w:hint="eastAsia" w:ascii="宋体" w:hAnsi="宋体" w:eastAsia="宋体" w:cs="宋体"/>
                <w:color w:val="auto"/>
                <w:kern w:val="0"/>
                <w:sz w:val="21"/>
                <w:szCs w:val="21"/>
                <w:highlight w:val="none"/>
              </w:rPr>
              <w:t>条理思路清晰、贴合实际、可行性强、有针对性</w:t>
            </w:r>
            <w:r>
              <w:rPr>
                <w:rFonts w:hint="eastAsia" w:ascii="宋体" w:hAnsi="宋体" w:eastAsia="宋体" w:cs="宋体"/>
                <w:color w:val="auto"/>
                <w:kern w:val="0"/>
                <w:sz w:val="21"/>
                <w:szCs w:val="21"/>
                <w:highlight w:val="none"/>
                <w:lang w:bidi="ar"/>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6046477E">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服务内容</w:t>
            </w:r>
            <w:r>
              <w:rPr>
                <w:rFonts w:hint="eastAsia" w:ascii="宋体" w:hAnsi="宋体" w:eastAsia="宋体" w:cs="宋体"/>
                <w:color w:val="auto"/>
                <w:sz w:val="21"/>
                <w:szCs w:val="21"/>
                <w:highlight w:val="none"/>
              </w:rPr>
              <w:t>简单、内容不完善，可行性</w:t>
            </w:r>
            <w:r>
              <w:rPr>
                <w:rFonts w:hint="eastAsia" w:ascii="宋体" w:hAnsi="宋体" w:cs="宋体"/>
                <w:color w:val="auto"/>
                <w:sz w:val="21"/>
                <w:szCs w:val="21"/>
                <w:highlight w:val="none"/>
                <w:lang w:val="en-US" w:eastAsia="zh-CN"/>
              </w:rPr>
              <w:t>一般</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4F930950">
            <w:pPr>
              <w:widowControl/>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方案内容简略且不明确得1分。</w:t>
            </w:r>
          </w:p>
          <w:p w14:paraId="27768450">
            <w:pPr>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686" w:type="dxa"/>
            <w:vAlign w:val="center"/>
          </w:tcPr>
          <w:p w14:paraId="20009098">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cs="宋体"/>
                <w:color w:val="auto"/>
                <w:sz w:val="21"/>
                <w:szCs w:val="21"/>
                <w:highlight w:val="none"/>
                <w:lang w:val="en-US" w:eastAsia="zh-CN"/>
              </w:rPr>
              <w:t>4</w:t>
            </w:r>
          </w:p>
        </w:tc>
        <w:tc>
          <w:tcPr>
            <w:tcW w:w="686" w:type="dxa"/>
            <w:vAlign w:val="center"/>
          </w:tcPr>
          <w:p w14:paraId="0F3CA7BD">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auto"/>
                <w:sz w:val="21"/>
                <w:szCs w:val="21"/>
                <w:highlight w:val="none"/>
                <w:lang w:val="en-US" w:eastAsia="zh-CN"/>
              </w:rPr>
            </w:pPr>
          </w:p>
        </w:tc>
        <w:tc>
          <w:tcPr>
            <w:tcW w:w="686" w:type="dxa"/>
            <w:vAlign w:val="center"/>
          </w:tcPr>
          <w:p w14:paraId="6F5332DD">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auto"/>
                <w:sz w:val="21"/>
                <w:szCs w:val="21"/>
                <w:highlight w:val="none"/>
                <w:lang w:val="en-US" w:eastAsia="zh-CN"/>
              </w:rPr>
            </w:pPr>
          </w:p>
        </w:tc>
      </w:tr>
      <w:tr w14:paraId="0FF9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89" w:type="dxa"/>
            <w:vMerge w:val="continue"/>
            <w:vAlign w:val="center"/>
          </w:tcPr>
          <w:p w14:paraId="50580938">
            <w:pPr>
              <w:pStyle w:val="58"/>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eastAsia="宋体" w:cs="宋体"/>
                <w:color w:val="auto"/>
                <w:kern w:val="0"/>
                <w:sz w:val="21"/>
                <w:szCs w:val="21"/>
                <w:highlight w:val="none"/>
              </w:rPr>
            </w:pPr>
          </w:p>
        </w:tc>
        <w:tc>
          <w:tcPr>
            <w:tcW w:w="1187" w:type="dxa"/>
            <w:vMerge w:val="continue"/>
            <w:vAlign w:val="center"/>
          </w:tcPr>
          <w:p w14:paraId="68870C2B">
            <w:pPr>
              <w:widowControl/>
              <w:jc w:val="center"/>
              <w:rPr>
                <w:rFonts w:hint="eastAsia" w:ascii="宋体" w:hAnsi="宋体" w:eastAsia="宋体" w:cs="宋体"/>
                <w:color w:val="auto"/>
                <w:sz w:val="21"/>
                <w:szCs w:val="21"/>
                <w:highlight w:val="none"/>
                <w:lang w:val="en-US" w:eastAsia="zh-CN"/>
              </w:rPr>
            </w:pPr>
          </w:p>
        </w:tc>
        <w:tc>
          <w:tcPr>
            <w:tcW w:w="6889" w:type="dxa"/>
            <w:vAlign w:val="center"/>
          </w:tcPr>
          <w:p w14:paraId="5D6F4C83">
            <w:pPr>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根据投标人制定的</w:t>
            </w:r>
            <w:r>
              <w:rPr>
                <w:rFonts w:hint="eastAsia" w:ascii="宋体" w:hAnsi="宋体" w:eastAsia="宋体" w:cs="宋体"/>
                <w:b/>
                <w:bCs/>
                <w:color w:val="auto"/>
                <w:kern w:val="0"/>
                <w:sz w:val="21"/>
                <w:szCs w:val="21"/>
                <w:highlight w:val="none"/>
                <w:lang w:bidi="ar"/>
              </w:rPr>
              <w:t>源头替代</w:t>
            </w:r>
            <w:r>
              <w:rPr>
                <w:rFonts w:hint="eastAsia" w:ascii="宋体" w:hAnsi="宋体" w:cs="宋体"/>
                <w:b/>
                <w:bCs/>
                <w:color w:val="auto"/>
                <w:kern w:val="0"/>
                <w:sz w:val="21"/>
                <w:szCs w:val="21"/>
                <w:highlight w:val="none"/>
                <w:lang w:val="en-US" w:eastAsia="zh-CN" w:bidi="ar"/>
              </w:rPr>
              <w:t>技术</w:t>
            </w:r>
            <w:r>
              <w:rPr>
                <w:rFonts w:hint="eastAsia" w:ascii="宋体" w:hAnsi="宋体" w:eastAsia="宋体" w:cs="宋体"/>
                <w:b/>
                <w:bCs/>
                <w:color w:val="auto"/>
                <w:kern w:val="0"/>
                <w:sz w:val="21"/>
                <w:szCs w:val="21"/>
                <w:highlight w:val="none"/>
                <w:lang w:bidi="ar"/>
              </w:rPr>
              <w:t>服务</w:t>
            </w:r>
            <w:r>
              <w:rPr>
                <w:rFonts w:hint="eastAsia" w:ascii="宋体" w:hAnsi="宋体" w:eastAsia="宋体" w:cs="宋体"/>
                <w:color w:val="auto"/>
                <w:kern w:val="0"/>
                <w:sz w:val="21"/>
                <w:szCs w:val="21"/>
                <w:highlight w:val="none"/>
                <w:lang w:bidi="ar"/>
              </w:rPr>
              <w:t>内容的详细程度以及工作流程的严谨性、科学性、可操作性进行打分。</w:t>
            </w:r>
          </w:p>
          <w:p w14:paraId="3C768642">
            <w:p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服务内容</w:t>
            </w:r>
            <w:r>
              <w:rPr>
                <w:rFonts w:hint="eastAsia" w:ascii="宋体" w:hAnsi="宋体" w:eastAsia="宋体" w:cs="宋体"/>
                <w:color w:val="auto"/>
                <w:kern w:val="0"/>
                <w:sz w:val="21"/>
                <w:szCs w:val="21"/>
                <w:highlight w:val="none"/>
              </w:rPr>
              <w:t>条理思路清晰、贴合实际、可行性强、有针对性</w:t>
            </w:r>
            <w:r>
              <w:rPr>
                <w:rFonts w:hint="eastAsia" w:ascii="宋体" w:hAnsi="宋体" w:eastAsia="宋体" w:cs="宋体"/>
                <w:color w:val="auto"/>
                <w:kern w:val="0"/>
                <w:sz w:val="21"/>
                <w:szCs w:val="21"/>
                <w:highlight w:val="none"/>
                <w:lang w:bidi="ar"/>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55F7683E">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服务内容</w:t>
            </w:r>
            <w:r>
              <w:rPr>
                <w:rFonts w:hint="eastAsia" w:ascii="宋体" w:hAnsi="宋体" w:eastAsia="宋体" w:cs="宋体"/>
                <w:color w:val="auto"/>
                <w:sz w:val="21"/>
                <w:szCs w:val="21"/>
                <w:highlight w:val="none"/>
              </w:rPr>
              <w:t>简单、内容不完善，可行性</w:t>
            </w:r>
            <w:r>
              <w:rPr>
                <w:rFonts w:hint="eastAsia" w:ascii="宋体" w:hAnsi="宋体" w:cs="宋体"/>
                <w:color w:val="auto"/>
                <w:sz w:val="21"/>
                <w:szCs w:val="21"/>
                <w:highlight w:val="none"/>
                <w:lang w:val="en-US" w:eastAsia="zh-CN"/>
              </w:rPr>
              <w:t>一般</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68E796FF">
            <w:pPr>
              <w:widowControl/>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方案内容简略且不明确得1分。</w:t>
            </w:r>
          </w:p>
          <w:p w14:paraId="2B7EF143">
            <w:pPr>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686" w:type="dxa"/>
            <w:vAlign w:val="center"/>
          </w:tcPr>
          <w:p w14:paraId="3933BD1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686" w:type="dxa"/>
            <w:vAlign w:val="center"/>
          </w:tcPr>
          <w:p w14:paraId="171FA5D1">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rPr>
            </w:pPr>
          </w:p>
        </w:tc>
        <w:tc>
          <w:tcPr>
            <w:tcW w:w="686" w:type="dxa"/>
            <w:vAlign w:val="center"/>
          </w:tcPr>
          <w:p w14:paraId="3F79203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rPr>
            </w:pPr>
          </w:p>
        </w:tc>
      </w:tr>
      <w:tr w14:paraId="1CADB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89" w:type="dxa"/>
            <w:vMerge w:val="continue"/>
            <w:vAlign w:val="center"/>
          </w:tcPr>
          <w:p w14:paraId="647F42D0">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p>
        </w:tc>
        <w:tc>
          <w:tcPr>
            <w:tcW w:w="1187" w:type="dxa"/>
            <w:vMerge w:val="continue"/>
            <w:vAlign w:val="center"/>
          </w:tcPr>
          <w:p w14:paraId="5337EC8D">
            <w:pPr>
              <w:widowControl/>
              <w:jc w:val="center"/>
              <w:rPr>
                <w:rFonts w:hint="eastAsia" w:ascii="宋体" w:hAnsi="宋体" w:eastAsia="宋体" w:cs="宋体"/>
                <w:color w:val="auto"/>
                <w:sz w:val="21"/>
                <w:szCs w:val="21"/>
                <w:highlight w:val="none"/>
              </w:rPr>
            </w:pPr>
          </w:p>
        </w:tc>
        <w:tc>
          <w:tcPr>
            <w:tcW w:w="6889" w:type="dxa"/>
            <w:vAlign w:val="center"/>
          </w:tcPr>
          <w:p w14:paraId="67776623">
            <w:pPr>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根据投标人制定的</w:t>
            </w:r>
            <w:r>
              <w:rPr>
                <w:rFonts w:hint="eastAsia" w:ascii="宋体" w:hAnsi="宋体" w:eastAsia="宋体" w:cs="宋体"/>
                <w:b/>
                <w:bCs/>
                <w:color w:val="auto"/>
                <w:kern w:val="0"/>
                <w:sz w:val="21"/>
                <w:szCs w:val="21"/>
                <w:highlight w:val="none"/>
                <w:lang w:bidi="ar"/>
              </w:rPr>
              <w:t>固废规范化</w:t>
            </w:r>
            <w:r>
              <w:rPr>
                <w:rFonts w:hint="eastAsia" w:ascii="宋体" w:hAnsi="宋体" w:cs="宋体"/>
                <w:b/>
                <w:bCs/>
                <w:color w:val="auto"/>
                <w:kern w:val="0"/>
                <w:sz w:val="21"/>
                <w:szCs w:val="21"/>
                <w:highlight w:val="none"/>
                <w:lang w:val="en-US" w:eastAsia="zh-CN" w:bidi="ar"/>
              </w:rPr>
              <w:t>技术</w:t>
            </w:r>
            <w:r>
              <w:rPr>
                <w:rFonts w:hint="eastAsia" w:ascii="宋体" w:hAnsi="宋体" w:eastAsia="宋体" w:cs="宋体"/>
                <w:b/>
                <w:bCs/>
                <w:color w:val="auto"/>
                <w:kern w:val="0"/>
                <w:sz w:val="21"/>
                <w:szCs w:val="21"/>
                <w:highlight w:val="none"/>
                <w:lang w:bidi="ar"/>
              </w:rPr>
              <w:t>服务</w:t>
            </w:r>
            <w:r>
              <w:rPr>
                <w:rFonts w:hint="eastAsia" w:ascii="宋体" w:hAnsi="宋体" w:eastAsia="宋体" w:cs="宋体"/>
                <w:color w:val="auto"/>
                <w:kern w:val="0"/>
                <w:sz w:val="21"/>
                <w:szCs w:val="21"/>
                <w:highlight w:val="none"/>
                <w:lang w:bidi="ar"/>
              </w:rPr>
              <w:t>内容的详细程度以及工作流程的严谨性、科学性、可操作性进行打分。</w:t>
            </w:r>
          </w:p>
          <w:p w14:paraId="01F99EA1">
            <w:p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服务内容</w:t>
            </w:r>
            <w:r>
              <w:rPr>
                <w:rFonts w:hint="eastAsia" w:ascii="宋体" w:hAnsi="宋体" w:eastAsia="宋体" w:cs="宋体"/>
                <w:color w:val="auto"/>
                <w:kern w:val="0"/>
                <w:sz w:val="21"/>
                <w:szCs w:val="21"/>
                <w:highlight w:val="none"/>
              </w:rPr>
              <w:t>条理思路清晰、贴合实际、可行性强、有针对性</w:t>
            </w:r>
            <w:r>
              <w:rPr>
                <w:rFonts w:hint="eastAsia" w:ascii="宋体" w:hAnsi="宋体" w:eastAsia="宋体" w:cs="宋体"/>
                <w:color w:val="auto"/>
                <w:kern w:val="0"/>
                <w:sz w:val="21"/>
                <w:szCs w:val="21"/>
                <w:highlight w:val="none"/>
                <w:lang w:bidi="ar"/>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4436E342">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服务内容</w:t>
            </w:r>
            <w:r>
              <w:rPr>
                <w:rFonts w:hint="eastAsia" w:ascii="宋体" w:hAnsi="宋体" w:eastAsia="宋体" w:cs="宋体"/>
                <w:color w:val="auto"/>
                <w:sz w:val="21"/>
                <w:szCs w:val="21"/>
                <w:highlight w:val="none"/>
              </w:rPr>
              <w:t>简单、内容不完善，可行性</w:t>
            </w:r>
            <w:r>
              <w:rPr>
                <w:rFonts w:hint="eastAsia" w:ascii="宋体" w:hAnsi="宋体" w:cs="宋体"/>
                <w:color w:val="auto"/>
                <w:sz w:val="21"/>
                <w:szCs w:val="21"/>
                <w:highlight w:val="none"/>
                <w:lang w:val="en-US" w:eastAsia="zh-CN"/>
              </w:rPr>
              <w:t>一般</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67F231E9">
            <w:pPr>
              <w:widowControl/>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方案内容简略且不明确得1分。</w:t>
            </w:r>
          </w:p>
          <w:p w14:paraId="144FCBD4">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686" w:type="dxa"/>
            <w:vAlign w:val="center"/>
          </w:tcPr>
          <w:p w14:paraId="050F0A68">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686" w:type="dxa"/>
            <w:vAlign w:val="center"/>
          </w:tcPr>
          <w:p w14:paraId="2EA91E5D">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rPr>
            </w:pPr>
          </w:p>
        </w:tc>
        <w:tc>
          <w:tcPr>
            <w:tcW w:w="686" w:type="dxa"/>
            <w:vAlign w:val="center"/>
          </w:tcPr>
          <w:p w14:paraId="49DC6863">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rPr>
            </w:pPr>
          </w:p>
        </w:tc>
      </w:tr>
      <w:tr w14:paraId="08287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89" w:type="dxa"/>
            <w:vMerge w:val="continue"/>
            <w:vAlign w:val="center"/>
          </w:tcPr>
          <w:p w14:paraId="28BC13F0">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lang w:val="en-US" w:eastAsia="zh-CN"/>
              </w:rPr>
            </w:pPr>
          </w:p>
        </w:tc>
        <w:tc>
          <w:tcPr>
            <w:tcW w:w="1187" w:type="dxa"/>
            <w:vMerge w:val="continue"/>
            <w:vAlign w:val="center"/>
          </w:tcPr>
          <w:p w14:paraId="27FBB976">
            <w:pPr>
              <w:widowControl/>
              <w:jc w:val="center"/>
              <w:rPr>
                <w:rFonts w:hint="eastAsia" w:ascii="宋体" w:hAnsi="宋体" w:eastAsia="宋体" w:cs="宋体"/>
                <w:color w:val="auto"/>
                <w:sz w:val="21"/>
                <w:szCs w:val="21"/>
                <w:highlight w:val="none"/>
                <w:lang w:val="en-US" w:eastAsia="zh-CN"/>
              </w:rPr>
            </w:pPr>
          </w:p>
        </w:tc>
        <w:tc>
          <w:tcPr>
            <w:tcW w:w="6889" w:type="dxa"/>
            <w:vAlign w:val="center"/>
          </w:tcPr>
          <w:p w14:paraId="368698A8">
            <w:pPr>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根据投标人制定的</w:t>
            </w:r>
            <w:r>
              <w:rPr>
                <w:rFonts w:hint="eastAsia" w:ascii="宋体" w:hAnsi="宋体" w:eastAsia="宋体" w:cs="宋体"/>
                <w:b/>
                <w:bCs/>
                <w:color w:val="auto"/>
                <w:kern w:val="0"/>
                <w:sz w:val="21"/>
                <w:szCs w:val="21"/>
                <w:highlight w:val="none"/>
                <w:lang w:bidi="ar"/>
              </w:rPr>
              <w:t>排污许可提质增效服务</w:t>
            </w:r>
            <w:r>
              <w:rPr>
                <w:rFonts w:hint="eastAsia" w:ascii="宋体" w:hAnsi="宋体" w:eastAsia="宋体" w:cs="宋体"/>
                <w:color w:val="auto"/>
                <w:kern w:val="0"/>
                <w:sz w:val="21"/>
                <w:szCs w:val="21"/>
                <w:highlight w:val="none"/>
                <w:lang w:bidi="ar"/>
              </w:rPr>
              <w:t>内容的详细程度以及工作流程的严谨性、科学性、可操作性进行打分。</w:t>
            </w:r>
          </w:p>
          <w:p w14:paraId="4E6D5486">
            <w:p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服务内容</w:t>
            </w:r>
            <w:r>
              <w:rPr>
                <w:rFonts w:hint="eastAsia" w:ascii="宋体" w:hAnsi="宋体" w:eastAsia="宋体" w:cs="宋体"/>
                <w:color w:val="auto"/>
                <w:kern w:val="0"/>
                <w:sz w:val="21"/>
                <w:szCs w:val="21"/>
                <w:highlight w:val="none"/>
              </w:rPr>
              <w:t>条理思路清晰、贴合实际、可行性强、有针对性</w:t>
            </w:r>
            <w:r>
              <w:rPr>
                <w:rFonts w:hint="eastAsia" w:ascii="宋体" w:hAnsi="宋体" w:eastAsia="宋体" w:cs="宋体"/>
                <w:color w:val="auto"/>
                <w:kern w:val="0"/>
                <w:sz w:val="21"/>
                <w:szCs w:val="21"/>
                <w:highlight w:val="none"/>
                <w:lang w:bidi="ar"/>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2A8FD1E3">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服务内容</w:t>
            </w:r>
            <w:r>
              <w:rPr>
                <w:rFonts w:hint="eastAsia" w:ascii="宋体" w:hAnsi="宋体" w:eastAsia="宋体" w:cs="宋体"/>
                <w:color w:val="auto"/>
                <w:sz w:val="21"/>
                <w:szCs w:val="21"/>
                <w:highlight w:val="none"/>
              </w:rPr>
              <w:t>简单、内容不完善，可行性</w:t>
            </w:r>
            <w:r>
              <w:rPr>
                <w:rFonts w:hint="eastAsia" w:ascii="宋体" w:hAnsi="宋体" w:cs="宋体"/>
                <w:color w:val="auto"/>
                <w:sz w:val="21"/>
                <w:szCs w:val="21"/>
                <w:highlight w:val="none"/>
                <w:lang w:val="en-US" w:eastAsia="zh-CN"/>
              </w:rPr>
              <w:t>一般</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4BC65E2C">
            <w:pPr>
              <w:widowControl/>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方案内容简略且不明确得1分。</w:t>
            </w:r>
          </w:p>
          <w:p w14:paraId="2CA5E73F">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686" w:type="dxa"/>
            <w:vAlign w:val="center"/>
          </w:tcPr>
          <w:p w14:paraId="753ADEAF">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686" w:type="dxa"/>
            <w:vAlign w:val="center"/>
          </w:tcPr>
          <w:p w14:paraId="199B9FF0">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rPr>
            </w:pPr>
          </w:p>
        </w:tc>
        <w:tc>
          <w:tcPr>
            <w:tcW w:w="686" w:type="dxa"/>
            <w:vAlign w:val="center"/>
          </w:tcPr>
          <w:p w14:paraId="133C3D4E">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rPr>
            </w:pPr>
          </w:p>
        </w:tc>
      </w:tr>
      <w:tr w14:paraId="155B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89" w:type="dxa"/>
            <w:vMerge w:val="continue"/>
            <w:vAlign w:val="center"/>
          </w:tcPr>
          <w:p w14:paraId="4C321A63">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lang w:val="en-US" w:eastAsia="zh-CN"/>
              </w:rPr>
            </w:pPr>
          </w:p>
        </w:tc>
        <w:tc>
          <w:tcPr>
            <w:tcW w:w="1187" w:type="dxa"/>
            <w:vMerge w:val="continue"/>
            <w:vAlign w:val="center"/>
          </w:tcPr>
          <w:p w14:paraId="614EFD2E">
            <w:pPr>
              <w:widowControl/>
              <w:jc w:val="center"/>
              <w:rPr>
                <w:rFonts w:hint="eastAsia" w:ascii="宋体" w:hAnsi="宋体" w:eastAsia="宋体" w:cs="宋体"/>
                <w:color w:val="auto"/>
                <w:sz w:val="21"/>
                <w:szCs w:val="21"/>
                <w:highlight w:val="none"/>
                <w:lang w:val="en-US" w:eastAsia="zh-CN"/>
              </w:rPr>
            </w:pPr>
          </w:p>
        </w:tc>
        <w:tc>
          <w:tcPr>
            <w:tcW w:w="6889" w:type="dxa"/>
            <w:vAlign w:val="center"/>
          </w:tcPr>
          <w:p w14:paraId="2169CB56">
            <w:pPr>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根据投标人制定的</w:t>
            </w:r>
            <w:r>
              <w:rPr>
                <w:rFonts w:hint="eastAsia" w:ascii="宋体" w:hAnsi="宋体" w:cs="宋体"/>
                <w:b/>
                <w:bCs/>
                <w:color w:val="auto"/>
                <w:kern w:val="0"/>
                <w:sz w:val="21"/>
                <w:szCs w:val="21"/>
                <w:highlight w:val="none"/>
                <w:lang w:eastAsia="zh-CN" w:bidi="ar"/>
              </w:rPr>
              <w:t>“</w:t>
            </w:r>
            <w:r>
              <w:rPr>
                <w:rFonts w:hint="eastAsia" w:ascii="宋体" w:hAnsi="宋体" w:cs="宋体"/>
                <w:b/>
                <w:bCs/>
                <w:color w:val="auto"/>
                <w:kern w:val="0"/>
                <w:sz w:val="21"/>
                <w:szCs w:val="21"/>
                <w:highlight w:val="none"/>
                <w:lang w:val="en-US" w:eastAsia="zh-CN" w:bidi="ar"/>
              </w:rPr>
              <w:t>无废细胞</w:t>
            </w:r>
            <w:r>
              <w:rPr>
                <w:rFonts w:hint="eastAsia" w:ascii="宋体" w:hAnsi="宋体" w:cs="宋体"/>
                <w:b/>
                <w:bCs/>
                <w:color w:val="auto"/>
                <w:kern w:val="0"/>
                <w:sz w:val="21"/>
                <w:szCs w:val="21"/>
                <w:highlight w:val="none"/>
                <w:lang w:eastAsia="zh-CN" w:bidi="ar"/>
              </w:rPr>
              <w:t>”</w:t>
            </w:r>
            <w:r>
              <w:rPr>
                <w:rFonts w:hint="eastAsia" w:ascii="宋体" w:hAnsi="宋体" w:cs="宋体"/>
                <w:b/>
                <w:bCs/>
                <w:color w:val="auto"/>
                <w:kern w:val="0"/>
                <w:sz w:val="21"/>
                <w:szCs w:val="21"/>
                <w:highlight w:val="none"/>
                <w:lang w:val="en-US" w:eastAsia="zh-CN" w:bidi="ar"/>
              </w:rPr>
              <w:t>创建技术</w:t>
            </w:r>
            <w:r>
              <w:rPr>
                <w:rFonts w:hint="eastAsia" w:ascii="宋体" w:hAnsi="宋体" w:eastAsia="宋体" w:cs="宋体"/>
                <w:b/>
                <w:bCs/>
                <w:color w:val="auto"/>
                <w:kern w:val="0"/>
                <w:sz w:val="21"/>
                <w:szCs w:val="21"/>
                <w:highlight w:val="none"/>
                <w:lang w:bidi="ar"/>
              </w:rPr>
              <w:t>服务</w:t>
            </w:r>
            <w:r>
              <w:rPr>
                <w:rFonts w:hint="eastAsia" w:ascii="宋体" w:hAnsi="宋体" w:eastAsia="宋体" w:cs="宋体"/>
                <w:color w:val="auto"/>
                <w:kern w:val="0"/>
                <w:sz w:val="21"/>
                <w:szCs w:val="21"/>
                <w:highlight w:val="none"/>
                <w:lang w:bidi="ar"/>
              </w:rPr>
              <w:t>内容的详细程度以及工作流程的严谨性、科学性、可操作性进行打分。</w:t>
            </w:r>
          </w:p>
          <w:p w14:paraId="6AC1C222">
            <w:p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服务内容</w:t>
            </w:r>
            <w:r>
              <w:rPr>
                <w:rFonts w:hint="eastAsia" w:ascii="宋体" w:hAnsi="宋体" w:eastAsia="宋体" w:cs="宋体"/>
                <w:color w:val="auto"/>
                <w:kern w:val="0"/>
                <w:sz w:val="21"/>
                <w:szCs w:val="21"/>
                <w:highlight w:val="none"/>
              </w:rPr>
              <w:t>条理思路清晰、贴合实际、可行性强、有针对性</w:t>
            </w:r>
            <w:r>
              <w:rPr>
                <w:rFonts w:hint="eastAsia" w:ascii="宋体" w:hAnsi="宋体" w:eastAsia="宋体" w:cs="宋体"/>
                <w:color w:val="auto"/>
                <w:kern w:val="0"/>
                <w:sz w:val="21"/>
                <w:szCs w:val="21"/>
                <w:highlight w:val="none"/>
                <w:lang w:bidi="ar"/>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09EBA295">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服务内容</w:t>
            </w:r>
            <w:r>
              <w:rPr>
                <w:rFonts w:hint="eastAsia" w:ascii="宋体" w:hAnsi="宋体" w:eastAsia="宋体" w:cs="宋体"/>
                <w:color w:val="auto"/>
                <w:sz w:val="21"/>
                <w:szCs w:val="21"/>
                <w:highlight w:val="none"/>
              </w:rPr>
              <w:t>简单、内容不完善，可行性</w:t>
            </w:r>
            <w:r>
              <w:rPr>
                <w:rFonts w:hint="eastAsia" w:ascii="宋体" w:hAnsi="宋体" w:cs="宋体"/>
                <w:color w:val="auto"/>
                <w:sz w:val="21"/>
                <w:szCs w:val="21"/>
                <w:highlight w:val="none"/>
                <w:lang w:val="en-US" w:eastAsia="zh-CN"/>
              </w:rPr>
              <w:t>一般</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1BF7E5C7">
            <w:pPr>
              <w:widowControl/>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方案内容简略且不明确得1分。</w:t>
            </w:r>
          </w:p>
          <w:p w14:paraId="70A81E19">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686" w:type="dxa"/>
            <w:vAlign w:val="center"/>
          </w:tcPr>
          <w:p w14:paraId="38EB55C8">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686" w:type="dxa"/>
            <w:vAlign w:val="center"/>
          </w:tcPr>
          <w:p w14:paraId="59173D9E">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rPr>
            </w:pPr>
          </w:p>
        </w:tc>
        <w:tc>
          <w:tcPr>
            <w:tcW w:w="686" w:type="dxa"/>
            <w:vAlign w:val="center"/>
          </w:tcPr>
          <w:p w14:paraId="0B2B97E5">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rPr>
            </w:pPr>
          </w:p>
        </w:tc>
      </w:tr>
      <w:tr w14:paraId="15C4E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89" w:type="dxa"/>
            <w:vMerge w:val="continue"/>
            <w:vAlign w:val="center"/>
          </w:tcPr>
          <w:p w14:paraId="1A02EBCD">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lang w:val="en-US" w:eastAsia="zh-CN"/>
              </w:rPr>
            </w:pPr>
          </w:p>
        </w:tc>
        <w:tc>
          <w:tcPr>
            <w:tcW w:w="1187" w:type="dxa"/>
            <w:vMerge w:val="continue"/>
            <w:vAlign w:val="center"/>
          </w:tcPr>
          <w:p w14:paraId="03823485">
            <w:pPr>
              <w:widowControl/>
              <w:jc w:val="center"/>
              <w:rPr>
                <w:rFonts w:hint="eastAsia" w:ascii="宋体" w:hAnsi="宋体" w:eastAsia="宋体" w:cs="宋体"/>
                <w:color w:val="auto"/>
                <w:sz w:val="21"/>
                <w:szCs w:val="21"/>
                <w:highlight w:val="none"/>
                <w:lang w:val="en-US" w:eastAsia="zh-CN"/>
              </w:rPr>
            </w:pPr>
          </w:p>
        </w:tc>
        <w:tc>
          <w:tcPr>
            <w:tcW w:w="6889" w:type="dxa"/>
            <w:vAlign w:val="center"/>
          </w:tcPr>
          <w:p w14:paraId="7E0D8F0B">
            <w:pPr>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根据投标人制定的</w:t>
            </w:r>
            <w:r>
              <w:rPr>
                <w:rFonts w:hint="eastAsia" w:ascii="宋体" w:hAnsi="宋体" w:cs="宋体"/>
                <w:b/>
                <w:bCs/>
                <w:color w:val="auto"/>
                <w:kern w:val="0"/>
                <w:sz w:val="21"/>
                <w:szCs w:val="21"/>
                <w:highlight w:val="none"/>
                <w:lang w:val="en-US" w:eastAsia="zh-CN" w:bidi="ar"/>
              </w:rPr>
              <w:t>排污权交易及初始排污权数据审核技术</w:t>
            </w:r>
            <w:r>
              <w:rPr>
                <w:rFonts w:hint="eastAsia" w:ascii="宋体" w:hAnsi="宋体" w:eastAsia="宋体" w:cs="宋体"/>
                <w:b/>
                <w:bCs/>
                <w:color w:val="auto"/>
                <w:kern w:val="0"/>
                <w:sz w:val="21"/>
                <w:szCs w:val="21"/>
                <w:highlight w:val="none"/>
                <w:lang w:bidi="ar"/>
              </w:rPr>
              <w:t>服务</w:t>
            </w:r>
            <w:r>
              <w:rPr>
                <w:rFonts w:hint="eastAsia" w:ascii="宋体" w:hAnsi="宋体" w:eastAsia="宋体" w:cs="宋体"/>
                <w:color w:val="auto"/>
                <w:kern w:val="0"/>
                <w:sz w:val="21"/>
                <w:szCs w:val="21"/>
                <w:highlight w:val="none"/>
                <w:lang w:bidi="ar"/>
              </w:rPr>
              <w:t>内容的详细程度以及工作流程的严谨性、科学性、可操作性进行打分。</w:t>
            </w:r>
          </w:p>
          <w:p w14:paraId="4B57DCD0">
            <w:p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服务内容</w:t>
            </w:r>
            <w:r>
              <w:rPr>
                <w:rFonts w:hint="eastAsia" w:ascii="宋体" w:hAnsi="宋体" w:eastAsia="宋体" w:cs="宋体"/>
                <w:color w:val="auto"/>
                <w:kern w:val="0"/>
                <w:sz w:val="21"/>
                <w:szCs w:val="21"/>
                <w:highlight w:val="none"/>
              </w:rPr>
              <w:t>条理思路清晰、贴合实际、可行性强、有针对性</w:t>
            </w:r>
            <w:r>
              <w:rPr>
                <w:rFonts w:hint="eastAsia" w:ascii="宋体" w:hAnsi="宋体" w:eastAsia="宋体" w:cs="宋体"/>
                <w:color w:val="auto"/>
                <w:kern w:val="0"/>
                <w:sz w:val="21"/>
                <w:szCs w:val="21"/>
                <w:highlight w:val="none"/>
                <w:lang w:bidi="ar"/>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27DB7C1C">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服务内容</w:t>
            </w:r>
            <w:r>
              <w:rPr>
                <w:rFonts w:hint="eastAsia" w:ascii="宋体" w:hAnsi="宋体" w:eastAsia="宋体" w:cs="宋体"/>
                <w:color w:val="auto"/>
                <w:sz w:val="21"/>
                <w:szCs w:val="21"/>
                <w:highlight w:val="none"/>
              </w:rPr>
              <w:t>简单、内容不完善，可行性</w:t>
            </w:r>
            <w:r>
              <w:rPr>
                <w:rFonts w:hint="eastAsia" w:ascii="宋体" w:hAnsi="宋体" w:cs="宋体"/>
                <w:color w:val="auto"/>
                <w:sz w:val="21"/>
                <w:szCs w:val="21"/>
                <w:highlight w:val="none"/>
                <w:lang w:val="en-US" w:eastAsia="zh-CN"/>
              </w:rPr>
              <w:t>一般</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019C94E6">
            <w:pPr>
              <w:widowControl/>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方案内容简略且不明确得1分。</w:t>
            </w:r>
          </w:p>
          <w:p w14:paraId="077A0074">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686" w:type="dxa"/>
            <w:vAlign w:val="center"/>
          </w:tcPr>
          <w:p w14:paraId="202C5116">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686" w:type="dxa"/>
            <w:vAlign w:val="center"/>
          </w:tcPr>
          <w:p w14:paraId="37A11C85">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auto"/>
                <w:sz w:val="21"/>
                <w:szCs w:val="21"/>
                <w:highlight w:val="none"/>
                <w:lang w:val="en-US" w:eastAsia="zh-CN"/>
              </w:rPr>
            </w:pPr>
          </w:p>
        </w:tc>
        <w:tc>
          <w:tcPr>
            <w:tcW w:w="686" w:type="dxa"/>
            <w:vAlign w:val="center"/>
          </w:tcPr>
          <w:p w14:paraId="30D8CC43">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auto"/>
                <w:sz w:val="21"/>
                <w:szCs w:val="21"/>
                <w:highlight w:val="none"/>
                <w:lang w:val="en-US" w:eastAsia="zh-CN"/>
              </w:rPr>
            </w:pPr>
          </w:p>
        </w:tc>
      </w:tr>
      <w:tr w14:paraId="0A4A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89" w:type="dxa"/>
            <w:vMerge w:val="continue"/>
            <w:vAlign w:val="center"/>
          </w:tcPr>
          <w:p w14:paraId="11831BB0">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lang w:val="en-US" w:eastAsia="zh-CN"/>
              </w:rPr>
            </w:pPr>
          </w:p>
        </w:tc>
        <w:tc>
          <w:tcPr>
            <w:tcW w:w="1187" w:type="dxa"/>
            <w:vMerge w:val="continue"/>
            <w:vAlign w:val="center"/>
          </w:tcPr>
          <w:p w14:paraId="6F095150">
            <w:pPr>
              <w:widowControl/>
              <w:jc w:val="center"/>
              <w:rPr>
                <w:rFonts w:hint="eastAsia" w:ascii="宋体" w:hAnsi="宋体" w:eastAsia="宋体" w:cs="宋体"/>
                <w:color w:val="auto"/>
                <w:sz w:val="21"/>
                <w:szCs w:val="21"/>
                <w:highlight w:val="none"/>
                <w:lang w:val="en-US" w:eastAsia="zh-CN"/>
              </w:rPr>
            </w:pPr>
          </w:p>
        </w:tc>
        <w:tc>
          <w:tcPr>
            <w:tcW w:w="6889" w:type="dxa"/>
            <w:vAlign w:val="center"/>
          </w:tcPr>
          <w:p w14:paraId="4029DC8E">
            <w:pPr>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根据投标人制定的</w:t>
            </w:r>
            <w:r>
              <w:rPr>
                <w:rFonts w:hint="eastAsia" w:ascii="宋体" w:hAnsi="宋体" w:cs="宋体"/>
                <w:b/>
                <w:bCs/>
                <w:color w:val="auto"/>
                <w:kern w:val="0"/>
                <w:sz w:val="21"/>
                <w:szCs w:val="21"/>
                <w:highlight w:val="none"/>
                <w:lang w:val="en-US" w:eastAsia="zh-CN" w:bidi="ar"/>
              </w:rPr>
              <w:t>排污登记延续、变更技术</w:t>
            </w:r>
            <w:r>
              <w:rPr>
                <w:rFonts w:hint="eastAsia" w:ascii="宋体" w:hAnsi="宋体" w:eastAsia="宋体" w:cs="宋体"/>
                <w:b/>
                <w:bCs/>
                <w:color w:val="auto"/>
                <w:kern w:val="0"/>
                <w:sz w:val="21"/>
                <w:szCs w:val="21"/>
                <w:highlight w:val="none"/>
                <w:lang w:bidi="ar"/>
              </w:rPr>
              <w:t>服务</w:t>
            </w:r>
            <w:r>
              <w:rPr>
                <w:rFonts w:hint="eastAsia" w:ascii="宋体" w:hAnsi="宋体" w:eastAsia="宋体" w:cs="宋体"/>
                <w:color w:val="auto"/>
                <w:kern w:val="0"/>
                <w:sz w:val="21"/>
                <w:szCs w:val="21"/>
                <w:highlight w:val="none"/>
                <w:lang w:bidi="ar"/>
              </w:rPr>
              <w:t>内容的详细程度以及工作流程的严谨性、科学性、可操作性进行打分。</w:t>
            </w:r>
          </w:p>
          <w:p w14:paraId="506A263D">
            <w:p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服务内容</w:t>
            </w:r>
            <w:r>
              <w:rPr>
                <w:rFonts w:hint="eastAsia" w:ascii="宋体" w:hAnsi="宋体" w:eastAsia="宋体" w:cs="宋体"/>
                <w:color w:val="auto"/>
                <w:kern w:val="0"/>
                <w:sz w:val="21"/>
                <w:szCs w:val="21"/>
                <w:highlight w:val="none"/>
              </w:rPr>
              <w:t>条理思路清晰、贴合实际、可行性强、有针对性</w:t>
            </w:r>
            <w:r>
              <w:rPr>
                <w:rFonts w:hint="eastAsia" w:ascii="宋体" w:hAnsi="宋体" w:eastAsia="宋体" w:cs="宋体"/>
                <w:color w:val="auto"/>
                <w:kern w:val="0"/>
                <w:sz w:val="21"/>
                <w:szCs w:val="21"/>
                <w:highlight w:val="none"/>
                <w:lang w:bidi="ar"/>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43179105">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服务内容</w:t>
            </w:r>
            <w:r>
              <w:rPr>
                <w:rFonts w:hint="eastAsia" w:ascii="宋体" w:hAnsi="宋体" w:eastAsia="宋体" w:cs="宋体"/>
                <w:color w:val="auto"/>
                <w:sz w:val="21"/>
                <w:szCs w:val="21"/>
                <w:highlight w:val="none"/>
              </w:rPr>
              <w:t>简单、内容不完善，可行性</w:t>
            </w:r>
            <w:r>
              <w:rPr>
                <w:rFonts w:hint="eastAsia" w:ascii="宋体" w:hAnsi="宋体" w:cs="宋体"/>
                <w:color w:val="auto"/>
                <w:sz w:val="21"/>
                <w:szCs w:val="21"/>
                <w:highlight w:val="none"/>
                <w:lang w:val="en-US" w:eastAsia="zh-CN"/>
              </w:rPr>
              <w:t>一般</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43E08D9B">
            <w:pPr>
              <w:widowControl/>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方案内容简略且不明确得1分。</w:t>
            </w:r>
          </w:p>
          <w:p w14:paraId="3EBA4512">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686" w:type="dxa"/>
            <w:vAlign w:val="center"/>
          </w:tcPr>
          <w:p w14:paraId="36364D4B">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686" w:type="dxa"/>
            <w:vAlign w:val="center"/>
          </w:tcPr>
          <w:p w14:paraId="1BEA7C13">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auto"/>
                <w:sz w:val="21"/>
                <w:szCs w:val="21"/>
                <w:highlight w:val="none"/>
                <w:lang w:val="en-US" w:eastAsia="zh-CN"/>
              </w:rPr>
            </w:pPr>
          </w:p>
        </w:tc>
        <w:tc>
          <w:tcPr>
            <w:tcW w:w="686" w:type="dxa"/>
            <w:vAlign w:val="center"/>
          </w:tcPr>
          <w:p w14:paraId="087C400C">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auto"/>
                <w:sz w:val="21"/>
                <w:szCs w:val="21"/>
                <w:highlight w:val="none"/>
                <w:lang w:val="en-US" w:eastAsia="zh-CN"/>
              </w:rPr>
            </w:pPr>
          </w:p>
        </w:tc>
      </w:tr>
      <w:tr w14:paraId="21EE1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89" w:type="dxa"/>
            <w:vMerge w:val="continue"/>
            <w:vAlign w:val="center"/>
          </w:tcPr>
          <w:p w14:paraId="70C9B9CF">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lang w:val="en-US" w:eastAsia="zh-CN"/>
              </w:rPr>
            </w:pPr>
          </w:p>
        </w:tc>
        <w:tc>
          <w:tcPr>
            <w:tcW w:w="1187" w:type="dxa"/>
            <w:vMerge w:val="continue"/>
            <w:vAlign w:val="center"/>
          </w:tcPr>
          <w:p w14:paraId="3E3F5E55">
            <w:pPr>
              <w:widowControl/>
              <w:jc w:val="center"/>
              <w:rPr>
                <w:rFonts w:hint="eastAsia" w:ascii="宋体" w:hAnsi="宋体" w:eastAsia="宋体" w:cs="宋体"/>
                <w:color w:val="auto"/>
                <w:sz w:val="21"/>
                <w:szCs w:val="21"/>
                <w:highlight w:val="none"/>
                <w:lang w:val="en-US" w:eastAsia="zh-CN"/>
              </w:rPr>
            </w:pPr>
          </w:p>
        </w:tc>
        <w:tc>
          <w:tcPr>
            <w:tcW w:w="6889" w:type="dxa"/>
            <w:vAlign w:val="center"/>
          </w:tcPr>
          <w:p w14:paraId="48E6BD03">
            <w:pPr>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根据投标人制定的</w:t>
            </w:r>
            <w:r>
              <w:rPr>
                <w:rFonts w:hint="eastAsia" w:ascii="宋体" w:hAnsi="宋体" w:cs="宋体"/>
                <w:b/>
                <w:bCs/>
                <w:color w:val="auto"/>
                <w:kern w:val="0"/>
                <w:sz w:val="21"/>
                <w:szCs w:val="21"/>
                <w:highlight w:val="none"/>
                <w:lang w:val="en-US" w:eastAsia="zh-CN" w:bidi="ar"/>
              </w:rPr>
              <w:t>系列督察整改复核及其他相关交办问题技术</w:t>
            </w:r>
            <w:r>
              <w:rPr>
                <w:rFonts w:hint="eastAsia" w:ascii="宋体" w:hAnsi="宋体" w:eastAsia="宋体" w:cs="宋体"/>
                <w:b/>
                <w:bCs/>
                <w:color w:val="auto"/>
                <w:kern w:val="0"/>
                <w:sz w:val="21"/>
                <w:szCs w:val="21"/>
                <w:highlight w:val="none"/>
                <w:lang w:bidi="ar"/>
              </w:rPr>
              <w:t>服务</w:t>
            </w:r>
            <w:r>
              <w:rPr>
                <w:rFonts w:hint="eastAsia" w:ascii="宋体" w:hAnsi="宋体" w:eastAsia="宋体" w:cs="宋体"/>
                <w:color w:val="auto"/>
                <w:kern w:val="0"/>
                <w:sz w:val="21"/>
                <w:szCs w:val="21"/>
                <w:highlight w:val="none"/>
                <w:lang w:bidi="ar"/>
              </w:rPr>
              <w:t>内容的详细程度以及工作流程的严谨性、科学性、可操作性进行打分。</w:t>
            </w:r>
          </w:p>
          <w:p w14:paraId="1A98474A">
            <w:p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服务内容</w:t>
            </w:r>
            <w:r>
              <w:rPr>
                <w:rFonts w:hint="eastAsia" w:ascii="宋体" w:hAnsi="宋体" w:eastAsia="宋体" w:cs="宋体"/>
                <w:color w:val="auto"/>
                <w:kern w:val="0"/>
                <w:sz w:val="21"/>
                <w:szCs w:val="21"/>
                <w:highlight w:val="none"/>
              </w:rPr>
              <w:t>条理思路清晰、贴合实际、可行性强、有针对性</w:t>
            </w:r>
            <w:r>
              <w:rPr>
                <w:rFonts w:hint="eastAsia" w:ascii="宋体" w:hAnsi="宋体" w:eastAsia="宋体" w:cs="宋体"/>
                <w:color w:val="auto"/>
                <w:kern w:val="0"/>
                <w:sz w:val="21"/>
                <w:szCs w:val="21"/>
                <w:highlight w:val="none"/>
                <w:lang w:bidi="ar"/>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52DA3DF1">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服务内容</w:t>
            </w:r>
            <w:r>
              <w:rPr>
                <w:rFonts w:hint="eastAsia" w:ascii="宋体" w:hAnsi="宋体" w:eastAsia="宋体" w:cs="宋体"/>
                <w:color w:val="auto"/>
                <w:sz w:val="21"/>
                <w:szCs w:val="21"/>
                <w:highlight w:val="none"/>
              </w:rPr>
              <w:t>简单、内容不完善，可行性</w:t>
            </w:r>
            <w:r>
              <w:rPr>
                <w:rFonts w:hint="eastAsia" w:ascii="宋体" w:hAnsi="宋体" w:cs="宋体"/>
                <w:color w:val="auto"/>
                <w:sz w:val="21"/>
                <w:szCs w:val="21"/>
                <w:highlight w:val="none"/>
                <w:lang w:val="en-US" w:eastAsia="zh-CN"/>
              </w:rPr>
              <w:t>一般</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171F6BDE">
            <w:pPr>
              <w:widowControl/>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方案内容简略且不明确得1分。</w:t>
            </w:r>
          </w:p>
          <w:p w14:paraId="5C69E388">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686" w:type="dxa"/>
            <w:vAlign w:val="center"/>
          </w:tcPr>
          <w:p w14:paraId="5AF85426">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686" w:type="dxa"/>
            <w:vAlign w:val="center"/>
          </w:tcPr>
          <w:p w14:paraId="76E225EA">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auto"/>
                <w:sz w:val="21"/>
                <w:szCs w:val="21"/>
                <w:highlight w:val="none"/>
                <w:lang w:val="en-US" w:eastAsia="zh-CN"/>
              </w:rPr>
            </w:pPr>
          </w:p>
        </w:tc>
        <w:tc>
          <w:tcPr>
            <w:tcW w:w="686" w:type="dxa"/>
            <w:vAlign w:val="center"/>
          </w:tcPr>
          <w:p w14:paraId="05506BCA">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auto"/>
                <w:sz w:val="21"/>
                <w:szCs w:val="21"/>
                <w:highlight w:val="none"/>
                <w:lang w:val="en-US" w:eastAsia="zh-CN"/>
              </w:rPr>
            </w:pPr>
          </w:p>
        </w:tc>
      </w:tr>
      <w:tr w14:paraId="52687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89" w:type="dxa"/>
            <w:vMerge w:val="continue"/>
            <w:vAlign w:val="center"/>
          </w:tcPr>
          <w:p w14:paraId="22EC2862">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lang w:val="en-US" w:eastAsia="zh-CN"/>
              </w:rPr>
            </w:pPr>
          </w:p>
        </w:tc>
        <w:tc>
          <w:tcPr>
            <w:tcW w:w="1187" w:type="dxa"/>
            <w:vMerge w:val="continue"/>
            <w:vAlign w:val="center"/>
          </w:tcPr>
          <w:p w14:paraId="3A8942A9">
            <w:pPr>
              <w:widowControl/>
              <w:jc w:val="center"/>
              <w:rPr>
                <w:rFonts w:hint="eastAsia" w:ascii="宋体" w:hAnsi="宋体" w:eastAsia="宋体" w:cs="宋体"/>
                <w:color w:val="auto"/>
                <w:sz w:val="21"/>
                <w:szCs w:val="21"/>
                <w:highlight w:val="none"/>
                <w:lang w:val="en-US" w:eastAsia="zh-CN"/>
              </w:rPr>
            </w:pPr>
          </w:p>
        </w:tc>
        <w:tc>
          <w:tcPr>
            <w:tcW w:w="6889" w:type="dxa"/>
            <w:vAlign w:val="center"/>
          </w:tcPr>
          <w:p w14:paraId="7D4CAA8B">
            <w:pPr>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根据投标人制定的</w:t>
            </w:r>
            <w:r>
              <w:rPr>
                <w:rFonts w:hint="eastAsia" w:ascii="宋体" w:hAnsi="宋体" w:cs="宋体"/>
                <w:b/>
                <w:bCs/>
                <w:color w:val="auto"/>
                <w:kern w:val="0"/>
                <w:sz w:val="21"/>
                <w:szCs w:val="21"/>
                <w:highlight w:val="none"/>
                <w:lang w:val="en-US" w:eastAsia="zh-CN" w:bidi="ar"/>
              </w:rPr>
              <w:t>温室气体排放报告审核</w:t>
            </w:r>
            <w:r>
              <w:rPr>
                <w:rFonts w:hint="eastAsia" w:ascii="宋体" w:hAnsi="宋体" w:eastAsia="宋体" w:cs="宋体"/>
                <w:b/>
                <w:bCs/>
                <w:color w:val="auto"/>
                <w:kern w:val="0"/>
                <w:sz w:val="21"/>
                <w:szCs w:val="21"/>
                <w:highlight w:val="none"/>
                <w:lang w:bidi="ar"/>
              </w:rPr>
              <w:t>服务</w:t>
            </w:r>
            <w:r>
              <w:rPr>
                <w:rFonts w:hint="eastAsia" w:ascii="宋体" w:hAnsi="宋体" w:eastAsia="宋体" w:cs="宋体"/>
                <w:color w:val="auto"/>
                <w:kern w:val="0"/>
                <w:sz w:val="21"/>
                <w:szCs w:val="21"/>
                <w:highlight w:val="none"/>
                <w:lang w:bidi="ar"/>
              </w:rPr>
              <w:t>内容的详细程度以及工作流程的严谨性、科学性、可操作性进行打分。</w:t>
            </w:r>
          </w:p>
          <w:p w14:paraId="4D10031F">
            <w:p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服务内容</w:t>
            </w:r>
            <w:r>
              <w:rPr>
                <w:rFonts w:hint="eastAsia" w:ascii="宋体" w:hAnsi="宋体" w:eastAsia="宋体" w:cs="宋体"/>
                <w:color w:val="auto"/>
                <w:kern w:val="0"/>
                <w:sz w:val="21"/>
                <w:szCs w:val="21"/>
                <w:highlight w:val="none"/>
              </w:rPr>
              <w:t>条理思路清晰、贴合实际、可行性强、有针对性</w:t>
            </w:r>
            <w:r>
              <w:rPr>
                <w:rFonts w:hint="eastAsia" w:ascii="宋体" w:hAnsi="宋体" w:eastAsia="宋体" w:cs="宋体"/>
                <w:color w:val="auto"/>
                <w:kern w:val="0"/>
                <w:sz w:val="21"/>
                <w:szCs w:val="21"/>
                <w:highlight w:val="none"/>
                <w:lang w:bidi="ar"/>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4B565E47">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服务内容</w:t>
            </w:r>
            <w:r>
              <w:rPr>
                <w:rFonts w:hint="eastAsia" w:ascii="宋体" w:hAnsi="宋体" w:eastAsia="宋体" w:cs="宋体"/>
                <w:color w:val="auto"/>
                <w:sz w:val="21"/>
                <w:szCs w:val="21"/>
                <w:highlight w:val="none"/>
              </w:rPr>
              <w:t>简单、内容不完善，可行性</w:t>
            </w:r>
            <w:r>
              <w:rPr>
                <w:rFonts w:hint="eastAsia" w:ascii="宋体" w:hAnsi="宋体" w:cs="宋体"/>
                <w:color w:val="auto"/>
                <w:sz w:val="21"/>
                <w:szCs w:val="21"/>
                <w:highlight w:val="none"/>
                <w:lang w:val="en-US" w:eastAsia="zh-CN"/>
              </w:rPr>
              <w:t>一般</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1A3D1DA5">
            <w:pPr>
              <w:widowControl/>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方案内容简略且不明确得1分。</w:t>
            </w:r>
          </w:p>
          <w:p w14:paraId="4CC3816B">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686" w:type="dxa"/>
            <w:vAlign w:val="center"/>
          </w:tcPr>
          <w:p w14:paraId="39044601">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686" w:type="dxa"/>
            <w:vAlign w:val="center"/>
          </w:tcPr>
          <w:p w14:paraId="1956C54B">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auto"/>
                <w:sz w:val="21"/>
                <w:szCs w:val="21"/>
                <w:highlight w:val="none"/>
                <w:lang w:val="en-US" w:eastAsia="zh-CN"/>
              </w:rPr>
            </w:pPr>
          </w:p>
        </w:tc>
        <w:tc>
          <w:tcPr>
            <w:tcW w:w="686" w:type="dxa"/>
            <w:vAlign w:val="center"/>
          </w:tcPr>
          <w:p w14:paraId="714A157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auto"/>
                <w:sz w:val="21"/>
                <w:szCs w:val="21"/>
                <w:highlight w:val="none"/>
                <w:lang w:val="en-US" w:eastAsia="zh-CN"/>
              </w:rPr>
            </w:pPr>
          </w:p>
        </w:tc>
      </w:tr>
      <w:tr w14:paraId="44689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89" w:type="dxa"/>
            <w:vMerge w:val="continue"/>
            <w:vAlign w:val="center"/>
          </w:tcPr>
          <w:p w14:paraId="246AD038">
            <w:pPr>
              <w:pStyle w:val="58"/>
              <w:keepNext w:val="0"/>
              <w:keepLines w:val="0"/>
              <w:pageBreakBefore w:val="0"/>
              <w:widowControl/>
              <w:kinsoku/>
              <w:wordWrap/>
              <w:overflowPunct/>
              <w:topLinePunct w:val="0"/>
              <w:autoSpaceDE/>
              <w:autoSpaceDN/>
              <w:bidi w:val="0"/>
              <w:adjustRightInd/>
              <w:snapToGrid/>
              <w:spacing w:before="0" w:after="0"/>
              <w:jc w:val="left"/>
              <w:textAlignment w:val="auto"/>
              <w:rPr>
                <w:rFonts w:hint="eastAsia" w:ascii="宋体" w:hAnsi="宋体" w:eastAsia="宋体" w:cs="宋体"/>
                <w:color w:val="auto"/>
                <w:sz w:val="21"/>
                <w:szCs w:val="21"/>
                <w:highlight w:val="none"/>
              </w:rPr>
            </w:pPr>
          </w:p>
        </w:tc>
        <w:tc>
          <w:tcPr>
            <w:tcW w:w="1187" w:type="dxa"/>
            <w:vAlign w:val="center"/>
          </w:tcPr>
          <w:p w14:paraId="480520E5">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运营管理</w:t>
            </w:r>
          </w:p>
        </w:tc>
        <w:tc>
          <w:tcPr>
            <w:tcW w:w="6889" w:type="dxa"/>
            <w:shd w:val="clear" w:color="auto" w:fill="auto"/>
            <w:vAlign w:val="center"/>
          </w:tcPr>
          <w:p w14:paraId="7CA5DEB8">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根据投标人针对本项目建立的工作制度、廉洁纪律管理制度及闭环管理机制进行打分。</w:t>
            </w:r>
          </w:p>
          <w:p w14:paraId="55890248">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工作制度、廉洁纪律管理制度及闭环管理机制完善有可行性的得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22815AC3">
            <w:pPr>
              <w:widowControl/>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工作制度、廉洁纪律管理制度及闭环管理机制不完善，可行性</w:t>
            </w:r>
            <w:r>
              <w:rPr>
                <w:rFonts w:hint="eastAsia" w:ascii="宋体" w:hAnsi="宋体" w:eastAsia="宋体" w:cs="宋体"/>
                <w:color w:val="auto"/>
                <w:sz w:val="21"/>
                <w:szCs w:val="21"/>
                <w:highlight w:val="none"/>
                <w:lang w:val="en-US" w:eastAsia="zh-CN"/>
              </w:rPr>
              <w:t>一般</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494D3270">
            <w:pPr>
              <w:widowControl/>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方案内容简略且不明确得1分；</w:t>
            </w:r>
          </w:p>
          <w:p w14:paraId="5404EF5B">
            <w:pPr>
              <w:widowControl/>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未提及此项不得分</w:t>
            </w:r>
            <w:r>
              <w:rPr>
                <w:rFonts w:hint="eastAsia" w:ascii="宋体" w:hAnsi="宋体" w:eastAsia="宋体" w:cs="宋体"/>
                <w:color w:val="auto"/>
                <w:sz w:val="21"/>
                <w:szCs w:val="21"/>
                <w:highlight w:val="none"/>
              </w:rPr>
              <w:t>。</w:t>
            </w:r>
          </w:p>
        </w:tc>
        <w:tc>
          <w:tcPr>
            <w:tcW w:w="686" w:type="dxa"/>
            <w:shd w:val="clear" w:color="auto" w:fill="auto"/>
            <w:vAlign w:val="center"/>
          </w:tcPr>
          <w:p w14:paraId="616061CD">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c>
          <w:tcPr>
            <w:tcW w:w="686" w:type="dxa"/>
            <w:shd w:val="clear" w:color="auto" w:fill="auto"/>
            <w:vAlign w:val="center"/>
          </w:tcPr>
          <w:p w14:paraId="3C7CB81C">
            <w:pPr>
              <w:widowControl/>
              <w:jc w:val="center"/>
              <w:rPr>
                <w:rFonts w:hint="eastAsia" w:ascii="宋体" w:hAnsi="宋体" w:cs="宋体"/>
                <w:color w:val="auto"/>
                <w:sz w:val="21"/>
                <w:szCs w:val="21"/>
                <w:highlight w:val="none"/>
                <w:lang w:val="en-US" w:eastAsia="zh-CN"/>
              </w:rPr>
            </w:pPr>
          </w:p>
        </w:tc>
        <w:tc>
          <w:tcPr>
            <w:tcW w:w="686" w:type="dxa"/>
            <w:shd w:val="clear" w:color="auto" w:fill="auto"/>
            <w:vAlign w:val="center"/>
          </w:tcPr>
          <w:p w14:paraId="04B04FC0">
            <w:pPr>
              <w:widowControl/>
              <w:jc w:val="center"/>
              <w:rPr>
                <w:rFonts w:hint="eastAsia" w:ascii="宋体" w:hAnsi="宋体" w:cs="宋体"/>
                <w:color w:val="auto"/>
                <w:sz w:val="21"/>
                <w:szCs w:val="21"/>
                <w:highlight w:val="none"/>
                <w:lang w:val="en-US" w:eastAsia="zh-CN"/>
              </w:rPr>
            </w:pPr>
          </w:p>
        </w:tc>
      </w:tr>
      <w:tr w14:paraId="1D609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9" w:type="dxa"/>
            <w:vMerge w:val="continue"/>
            <w:vAlign w:val="center"/>
          </w:tcPr>
          <w:p w14:paraId="1357F9E2">
            <w:pPr>
              <w:pStyle w:val="58"/>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eastAsia="宋体" w:cs="宋体"/>
                <w:color w:val="auto"/>
                <w:kern w:val="0"/>
                <w:sz w:val="21"/>
                <w:szCs w:val="21"/>
                <w:highlight w:val="none"/>
              </w:rPr>
            </w:pPr>
          </w:p>
        </w:tc>
        <w:tc>
          <w:tcPr>
            <w:tcW w:w="1187" w:type="dxa"/>
            <w:shd w:val="clear" w:color="auto" w:fill="auto"/>
            <w:vAlign w:val="center"/>
          </w:tcPr>
          <w:p w14:paraId="4C48FBBB">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技术服务装备情况</w:t>
            </w:r>
          </w:p>
        </w:tc>
        <w:tc>
          <w:tcPr>
            <w:tcW w:w="6889" w:type="dxa"/>
            <w:shd w:val="clear" w:color="auto" w:fill="auto"/>
            <w:vAlign w:val="center"/>
          </w:tcPr>
          <w:p w14:paraId="173C97B8">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投标人提供拟投入本项目的VOCs检测仪</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大气移动监测仪等设备，每提供1项得</w:t>
            </w:r>
            <w:r>
              <w:rPr>
                <w:rFonts w:hint="eastAsia" w:ascii="宋体" w:hAnsi="宋体" w:cs="宋体"/>
                <w:color w:val="auto"/>
                <w:kern w:val="0"/>
                <w:sz w:val="21"/>
                <w:szCs w:val="21"/>
                <w:highlight w:val="none"/>
                <w:lang w:val="en-US" w:eastAsia="zh-CN" w:bidi="ar"/>
              </w:rPr>
              <w:t>0.5</w:t>
            </w:r>
            <w:r>
              <w:rPr>
                <w:rFonts w:hint="eastAsia" w:ascii="宋体" w:hAnsi="宋体" w:eastAsia="宋体" w:cs="宋体"/>
                <w:color w:val="auto"/>
                <w:kern w:val="0"/>
                <w:sz w:val="21"/>
                <w:szCs w:val="21"/>
                <w:highlight w:val="none"/>
                <w:lang w:bidi="ar"/>
              </w:rPr>
              <w:t>分，最高得</w:t>
            </w:r>
            <w:r>
              <w:rPr>
                <w:rFonts w:hint="eastAsia" w:ascii="宋体" w:hAnsi="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分。</w:t>
            </w:r>
          </w:p>
          <w:p w14:paraId="6DF22AD5">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zh-CN"/>
              </w:rPr>
              <w:t>（</w:t>
            </w:r>
            <w:r>
              <w:rPr>
                <w:rFonts w:hint="eastAsia" w:ascii="宋体" w:hAnsi="宋体" w:eastAsia="宋体" w:cs="宋体"/>
                <w:b/>
                <w:bCs/>
                <w:color w:val="auto"/>
                <w:sz w:val="21"/>
                <w:szCs w:val="21"/>
                <w:highlight w:val="none"/>
                <w:lang w:val="en-US" w:eastAsia="zh-CN"/>
              </w:rPr>
              <w:t>如为自有</w:t>
            </w:r>
            <w:r>
              <w:rPr>
                <w:rFonts w:hint="eastAsia" w:ascii="宋体" w:hAnsi="宋体" w:eastAsia="宋体" w:cs="宋体"/>
                <w:b/>
                <w:bCs/>
                <w:color w:val="auto"/>
                <w:sz w:val="21"/>
                <w:szCs w:val="21"/>
                <w:highlight w:val="none"/>
                <w:lang w:val="zh-CN"/>
              </w:rPr>
              <w:t>设备：须提供购置合同或发票的扫描件加盖投标人公章编入投标文件中；</w:t>
            </w:r>
            <w:r>
              <w:rPr>
                <w:rFonts w:hint="eastAsia" w:ascii="宋体" w:hAnsi="宋体" w:eastAsia="宋体" w:cs="宋体"/>
                <w:b/>
                <w:bCs/>
                <w:color w:val="auto"/>
                <w:sz w:val="21"/>
                <w:szCs w:val="21"/>
                <w:highlight w:val="none"/>
                <w:lang w:val="en-US" w:eastAsia="zh-CN"/>
              </w:rPr>
              <w:t>如为</w:t>
            </w:r>
            <w:r>
              <w:rPr>
                <w:rFonts w:hint="eastAsia" w:ascii="宋体" w:hAnsi="宋体" w:eastAsia="宋体" w:cs="宋体"/>
                <w:b/>
                <w:bCs/>
                <w:color w:val="auto"/>
                <w:sz w:val="21"/>
                <w:szCs w:val="21"/>
                <w:highlight w:val="none"/>
                <w:lang w:val="zh-CN"/>
              </w:rPr>
              <w:t>租赁设备须提供租赁合同扫描件加盖投标人公章编入投标文件中，未提供的不得分）</w:t>
            </w:r>
          </w:p>
        </w:tc>
        <w:tc>
          <w:tcPr>
            <w:tcW w:w="686" w:type="dxa"/>
            <w:shd w:val="clear" w:color="auto" w:fill="auto"/>
            <w:vAlign w:val="center"/>
          </w:tcPr>
          <w:p w14:paraId="440996E8">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bidi="ar"/>
              </w:rPr>
              <w:t>1</w:t>
            </w:r>
          </w:p>
        </w:tc>
        <w:tc>
          <w:tcPr>
            <w:tcW w:w="686" w:type="dxa"/>
            <w:shd w:val="clear" w:color="auto" w:fill="auto"/>
            <w:vAlign w:val="center"/>
          </w:tcPr>
          <w:p w14:paraId="471792CD">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auto"/>
                <w:kern w:val="0"/>
                <w:sz w:val="21"/>
                <w:szCs w:val="21"/>
                <w:highlight w:val="none"/>
                <w:lang w:val="en-US" w:eastAsia="zh-CN" w:bidi="ar"/>
              </w:rPr>
            </w:pPr>
          </w:p>
        </w:tc>
        <w:tc>
          <w:tcPr>
            <w:tcW w:w="686" w:type="dxa"/>
            <w:shd w:val="clear" w:color="auto" w:fill="auto"/>
            <w:vAlign w:val="center"/>
          </w:tcPr>
          <w:p w14:paraId="70A7683B">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auto"/>
                <w:kern w:val="0"/>
                <w:sz w:val="21"/>
                <w:szCs w:val="21"/>
                <w:highlight w:val="none"/>
                <w:lang w:val="en-US" w:eastAsia="zh-CN" w:bidi="ar"/>
              </w:rPr>
            </w:pPr>
          </w:p>
        </w:tc>
      </w:tr>
      <w:tr w14:paraId="638CD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9" w:type="dxa"/>
            <w:vMerge w:val="continue"/>
            <w:vAlign w:val="center"/>
          </w:tcPr>
          <w:p w14:paraId="7606BF4A">
            <w:pPr>
              <w:pStyle w:val="58"/>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eastAsia="宋体" w:cs="宋体"/>
                <w:color w:val="auto"/>
                <w:kern w:val="0"/>
                <w:sz w:val="21"/>
                <w:szCs w:val="21"/>
                <w:highlight w:val="none"/>
              </w:rPr>
            </w:pPr>
          </w:p>
        </w:tc>
        <w:tc>
          <w:tcPr>
            <w:tcW w:w="1187" w:type="dxa"/>
            <w:shd w:val="clear" w:color="auto" w:fill="auto"/>
            <w:vAlign w:val="center"/>
          </w:tcPr>
          <w:p w14:paraId="06E6B141">
            <w:pPr>
              <w:widowControl/>
              <w:autoSpaceDE w:val="0"/>
              <w:autoSpaceDN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rPr>
              <w:t>保密制度</w:t>
            </w:r>
          </w:p>
        </w:tc>
        <w:tc>
          <w:tcPr>
            <w:tcW w:w="6889" w:type="dxa"/>
            <w:shd w:val="clear" w:color="auto" w:fill="auto"/>
            <w:vAlign w:val="center"/>
          </w:tcPr>
          <w:p w14:paraId="1BD31824">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根据投标人针对本项目工作制定的档案管理制度，包括是否有具体保密措施，使得工作中的档案资料等不被泄露等情况进行打分。</w:t>
            </w:r>
          </w:p>
          <w:p w14:paraId="345977EC">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保密制度完善，具体可行的得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4FF8A425">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保密制度基本完善可行的得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53A4FE76">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保密制度较差的得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6775142A">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686" w:type="dxa"/>
            <w:shd w:val="clear" w:color="auto" w:fill="auto"/>
            <w:vAlign w:val="center"/>
          </w:tcPr>
          <w:p w14:paraId="32487847">
            <w:pPr>
              <w:pStyle w:val="20"/>
              <w:widowControl/>
              <w:spacing w:after="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686" w:type="dxa"/>
            <w:shd w:val="clear" w:color="auto" w:fill="auto"/>
            <w:vAlign w:val="center"/>
          </w:tcPr>
          <w:p w14:paraId="1DAFE5F7">
            <w:pPr>
              <w:pStyle w:val="20"/>
              <w:widowControl/>
              <w:spacing w:after="0"/>
              <w:ind w:firstLine="0" w:firstLineChars="0"/>
              <w:jc w:val="center"/>
              <w:rPr>
                <w:rFonts w:hint="eastAsia" w:ascii="宋体" w:hAnsi="宋体" w:cs="宋体"/>
                <w:color w:val="auto"/>
                <w:sz w:val="21"/>
                <w:szCs w:val="21"/>
                <w:highlight w:val="none"/>
                <w:lang w:val="en-US" w:eastAsia="zh-CN"/>
              </w:rPr>
            </w:pPr>
          </w:p>
        </w:tc>
        <w:tc>
          <w:tcPr>
            <w:tcW w:w="686" w:type="dxa"/>
            <w:shd w:val="clear" w:color="auto" w:fill="auto"/>
            <w:vAlign w:val="center"/>
          </w:tcPr>
          <w:p w14:paraId="5EC45A24">
            <w:pPr>
              <w:pStyle w:val="20"/>
              <w:widowControl/>
              <w:spacing w:after="0"/>
              <w:ind w:firstLine="0" w:firstLineChars="0"/>
              <w:jc w:val="center"/>
              <w:rPr>
                <w:rFonts w:hint="eastAsia" w:ascii="宋体" w:hAnsi="宋体" w:cs="宋体"/>
                <w:color w:val="auto"/>
                <w:sz w:val="21"/>
                <w:szCs w:val="21"/>
                <w:highlight w:val="none"/>
                <w:lang w:val="en-US" w:eastAsia="zh-CN"/>
              </w:rPr>
            </w:pPr>
          </w:p>
        </w:tc>
      </w:tr>
      <w:tr w14:paraId="0E54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989" w:type="dxa"/>
            <w:vMerge w:val="continue"/>
            <w:vAlign w:val="center"/>
          </w:tcPr>
          <w:p w14:paraId="3F50B3AC">
            <w:pPr>
              <w:pStyle w:val="58"/>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eastAsia="宋体" w:cs="宋体"/>
                <w:color w:val="auto"/>
                <w:kern w:val="0"/>
                <w:sz w:val="21"/>
                <w:szCs w:val="21"/>
                <w:highlight w:val="none"/>
              </w:rPr>
            </w:pPr>
          </w:p>
        </w:tc>
        <w:tc>
          <w:tcPr>
            <w:tcW w:w="1187" w:type="dxa"/>
            <w:shd w:val="clear" w:color="auto" w:fill="auto"/>
            <w:vAlign w:val="center"/>
          </w:tcPr>
          <w:p w14:paraId="5D907360">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服务质量保证措施</w:t>
            </w:r>
          </w:p>
        </w:tc>
        <w:tc>
          <w:tcPr>
            <w:tcW w:w="6889" w:type="dxa"/>
            <w:shd w:val="clear" w:color="auto" w:fill="auto"/>
            <w:vAlign w:val="center"/>
          </w:tcPr>
          <w:p w14:paraId="7967B500">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根据投标人针对本项目制定的服务质量保证制度建设情况的完善性、保障性、可行性等进行打分。</w:t>
            </w:r>
          </w:p>
          <w:p w14:paraId="78F6EB2F">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服务质量保证措施全面、科学合理、具有规范性、可操作性强的得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1DE7D170">
            <w:pPr>
              <w:widowControl/>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服务质量保证措施较为全面、基本合理、具有一定可操作性的得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66C578C4">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方案内容简略且不明确得1分。</w:t>
            </w:r>
          </w:p>
          <w:p w14:paraId="40432898">
            <w:pPr>
              <w:widowControl/>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未提及此项不得分。</w:t>
            </w:r>
          </w:p>
        </w:tc>
        <w:tc>
          <w:tcPr>
            <w:tcW w:w="686" w:type="dxa"/>
            <w:shd w:val="clear" w:color="auto" w:fill="auto"/>
            <w:vAlign w:val="center"/>
          </w:tcPr>
          <w:p w14:paraId="48EA1EC7">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bidi="ar"/>
              </w:rPr>
              <w:t>3</w:t>
            </w:r>
          </w:p>
        </w:tc>
        <w:tc>
          <w:tcPr>
            <w:tcW w:w="686" w:type="dxa"/>
            <w:shd w:val="clear" w:color="auto" w:fill="auto"/>
            <w:vAlign w:val="center"/>
          </w:tcPr>
          <w:p w14:paraId="011655A1">
            <w:pPr>
              <w:widowControl/>
              <w:jc w:val="center"/>
              <w:rPr>
                <w:rFonts w:hint="eastAsia" w:ascii="宋体" w:hAnsi="宋体" w:cs="宋体"/>
                <w:color w:val="auto"/>
                <w:kern w:val="0"/>
                <w:sz w:val="21"/>
                <w:szCs w:val="21"/>
                <w:highlight w:val="none"/>
                <w:lang w:val="en-US" w:eastAsia="zh-CN" w:bidi="ar"/>
              </w:rPr>
            </w:pPr>
          </w:p>
        </w:tc>
        <w:tc>
          <w:tcPr>
            <w:tcW w:w="686" w:type="dxa"/>
            <w:shd w:val="clear" w:color="auto" w:fill="auto"/>
            <w:vAlign w:val="center"/>
          </w:tcPr>
          <w:p w14:paraId="629F8729">
            <w:pPr>
              <w:widowControl/>
              <w:jc w:val="center"/>
              <w:rPr>
                <w:rFonts w:hint="eastAsia" w:ascii="宋体" w:hAnsi="宋体" w:cs="宋体"/>
                <w:color w:val="auto"/>
                <w:kern w:val="0"/>
                <w:sz w:val="21"/>
                <w:szCs w:val="21"/>
                <w:highlight w:val="none"/>
                <w:lang w:val="en-US" w:eastAsia="zh-CN" w:bidi="ar"/>
              </w:rPr>
            </w:pPr>
          </w:p>
        </w:tc>
      </w:tr>
    </w:tbl>
    <w:p w14:paraId="4339E72C">
      <w:pPr>
        <w:pStyle w:val="39"/>
        <w:shd w:val="clear" w:color="auto" w:fill="FFFFFF"/>
        <w:spacing w:before="0" w:beforeAutospacing="0" w:after="0" w:afterAutospacing="0" w:line="240" w:lineRule="auto"/>
        <w:jc w:val="both"/>
        <w:rPr>
          <w:rFonts w:hint="eastAsia" w:ascii="宋体" w:hAnsi="宋体" w:eastAsia="宋体" w:cs="宋体"/>
          <w:b/>
          <w:color w:val="auto"/>
          <w:sz w:val="32"/>
          <w:szCs w:val="32"/>
          <w:highlight w:val="none"/>
        </w:rPr>
      </w:pPr>
    </w:p>
    <w:p w14:paraId="44ED9AD2">
      <w:pPr>
        <w:pStyle w:val="39"/>
        <w:shd w:val="clear" w:color="auto" w:fill="FFFFFF"/>
        <w:spacing w:before="0" w:beforeAutospacing="0" w:after="0" w:afterAutospacing="0" w:line="240" w:lineRule="auto"/>
        <w:jc w:val="both"/>
        <w:outlineLvl w:val="9"/>
        <w:rPr>
          <w:rFonts w:hint="eastAsia" w:ascii="宋体" w:hAnsi="宋体" w:eastAsia="宋体" w:cs="宋体"/>
          <w:b/>
          <w:color w:val="auto"/>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bookmarkStart w:id="6" w:name="_GoBack"/>
      <w:bookmarkEnd w:id="6"/>
    </w:p>
    <w:p w14:paraId="18599F4B">
      <w:pPr>
        <w:pStyle w:val="39"/>
        <w:shd w:val="clear" w:color="auto" w:fill="FFFFFF"/>
        <w:spacing w:before="0" w:beforeAutospacing="0" w:after="0" w:afterAutospacing="0" w:line="240" w:lineRule="auto"/>
        <w:jc w:val="both"/>
        <w:outlineLvl w:val="9"/>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附件</w:t>
      </w:r>
      <w:r>
        <w:rPr>
          <w:rFonts w:hint="eastAsia" w:cs="宋体"/>
          <w:b/>
          <w:color w:val="auto"/>
          <w:sz w:val="28"/>
          <w:szCs w:val="28"/>
          <w:highlight w:val="none"/>
          <w:lang w:val="en-US" w:eastAsia="zh-CN"/>
        </w:rPr>
        <w:t>7</w:t>
      </w:r>
    </w:p>
    <w:p w14:paraId="0989A16B">
      <w:pPr>
        <w:pStyle w:val="39"/>
        <w:shd w:val="clear" w:color="auto" w:fill="FFFFFF"/>
        <w:spacing w:before="0" w:beforeAutospacing="0" w:after="0" w:afterAutospacing="0" w:line="240" w:lineRule="auto"/>
        <w:jc w:val="center"/>
        <w:rPr>
          <w:rFonts w:hint="eastAsia" w:ascii="宋体" w:hAnsi="宋体" w:eastAsia="宋体" w:cs="宋体"/>
          <w:color w:val="auto"/>
          <w:sz w:val="36"/>
          <w:szCs w:val="36"/>
          <w:highlight w:val="none"/>
        </w:rPr>
      </w:pPr>
      <w:r>
        <w:rPr>
          <w:rFonts w:hint="eastAsia" w:ascii="宋体" w:hAnsi="宋体" w:eastAsia="宋体" w:cs="宋体"/>
          <w:b/>
          <w:color w:val="auto"/>
          <w:sz w:val="32"/>
          <w:szCs w:val="32"/>
          <w:highlight w:val="none"/>
        </w:rPr>
        <w:t>投标</w:t>
      </w:r>
      <w:r>
        <w:rPr>
          <w:rFonts w:hint="eastAsia" w:ascii="宋体" w:hAnsi="宋体" w:eastAsia="宋体" w:cs="宋体"/>
          <w:b/>
          <w:bCs/>
          <w:color w:val="auto"/>
          <w:spacing w:val="21"/>
          <w:sz w:val="32"/>
          <w:szCs w:val="32"/>
          <w:highlight w:val="none"/>
        </w:rPr>
        <w:t>人基本情况表</w:t>
      </w:r>
    </w:p>
    <w:tbl>
      <w:tblPr>
        <w:tblStyle w:val="22"/>
        <w:tblW w:w="9064"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633"/>
        <w:gridCol w:w="910"/>
        <w:gridCol w:w="311"/>
        <w:gridCol w:w="852"/>
        <w:gridCol w:w="112"/>
        <w:gridCol w:w="1093"/>
        <w:gridCol w:w="325"/>
        <w:gridCol w:w="1276"/>
        <w:gridCol w:w="400"/>
        <w:gridCol w:w="1218"/>
        <w:gridCol w:w="933"/>
      </w:tblGrid>
      <w:tr w14:paraId="5A2D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01" w:type="dxa"/>
          </w:tcPr>
          <w:p w14:paraId="3F8B3251">
            <w:pPr>
              <w:pStyle w:val="39"/>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911" w:type="dxa"/>
            <w:gridSpan w:val="6"/>
          </w:tcPr>
          <w:p w14:paraId="6133E977">
            <w:pPr>
              <w:pStyle w:val="39"/>
              <w:shd w:val="clear" w:color="auto" w:fill="FFFFFF"/>
              <w:spacing w:line="240" w:lineRule="auto"/>
              <w:rPr>
                <w:rFonts w:hint="eastAsia" w:ascii="宋体" w:hAnsi="宋体" w:eastAsia="宋体" w:cs="宋体"/>
                <w:bCs/>
                <w:color w:val="auto"/>
                <w:sz w:val="21"/>
                <w:szCs w:val="21"/>
                <w:highlight w:val="none"/>
              </w:rPr>
            </w:pPr>
          </w:p>
        </w:tc>
        <w:tc>
          <w:tcPr>
            <w:tcW w:w="2001" w:type="dxa"/>
            <w:gridSpan w:val="3"/>
          </w:tcPr>
          <w:p w14:paraId="34BAA1E1">
            <w:pPr>
              <w:pStyle w:val="39"/>
              <w:shd w:val="clear" w:color="auto" w:fill="FFFFFF"/>
              <w:spacing w:line="24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pacing w:val="16"/>
                <w:sz w:val="21"/>
                <w:szCs w:val="21"/>
                <w:highlight w:val="none"/>
                <w:lang w:eastAsia="zh-CN"/>
              </w:rPr>
              <w:t>法定代表人</w:t>
            </w:r>
          </w:p>
        </w:tc>
        <w:tc>
          <w:tcPr>
            <w:tcW w:w="2151" w:type="dxa"/>
            <w:gridSpan w:val="2"/>
          </w:tcPr>
          <w:p w14:paraId="50ED77E0">
            <w:pPr>
              <w:pStyle w:val="39"/>
              <w:shd w:val="clear" w:color="auto" w:fill="FFFFFF"/>
              <w:spacing w:line="240" w:lineRule="auto"/>
              <w:rPr>
                <w:rFonts w:hint="eastAsia" w:ascii="宋体" w:hAnsi="宋体" w:eastAsia="宋体" w:cs="宋体"/>
                <w:bCs/>
                <w:color w:val="auto"/>
                <w:sz w:val="21"/>
                <w:szCs w:val="21"/>
                <w:highlight w:val="none"/>
              </w:rPr>
            </w:pPr>
          </w:p>
        </w:tc>
      </w:tr>
      <w:tr w14:paraId="5BD03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1" w:type="dxa"/>
          </w:tcPr>
          <w:p w14:paraId="6049D10C">
            <w:pPr>
              <w:pStyle w:val="39"/>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911" w:type="dxa"/>
            <w:gridSpan w:val="6"/>
          </w:tcPr>
          <w:p w14:paraId="26EC2157">
            <w:pPr>
              <w:pStyle w:val="39"/>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05810BCB">
            <w:pPr>
              <w:pStyle w:val="39"/>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tcPr>
          <w:p w14:paraId="1EEC21E5">
            <w:pPr>
              <w:pStyle w:val="39"/>
              <w:shd w:val="clear" w:color="auto" w:fill="FFFFFF"/>
              <w:spacing w:line="240" w:lineRule="auto"/>
              <w:rPr>
                <w:rFonts w:hint="eastAsia" w:ascii="宋体" w:hAnsi="宋体" w:eastAsia="宋体" w:cs="宋体"/>
                <w:bCs/>
                <w:color w:val="auto"/>
                <w:spacing w:val="16"/>
                <w:sz w:val="21"/>
                <w:szCs w:val="21"/>
                <w:highlight w:val="none"/>
              </w:rPr>
            </w:pPr>
          </w:p>
        </w:tc>
      </w:tr>
      <w:tr w14:paraId="57A0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01" w:type="dxa"/>
          </w:tcPr>
          <w:p w14:paraId="1D65E252">
            <w:pPr>
              <w:pStyle w:val="39"/>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33" w:type="dxa"/>
          </w:tcPr>
          <w:p w14:paraId="549C4E67">
            <w:pPr>
              <w:pStyle w:val="39"/>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p>
        </w:tc>
        <w:tc>
          <w:tcPr>
            <w:tcW w:w="910" w:type="dxa"/>
          </w:tcPr>
          <w:p w14:paraId="704415D5">
            <w:pPr>
              <w:pStyle w:val="39"/>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368" w:type="dxa"/>
            <w:gridSpan w:val="4"/>
          </w:tcPr>
          <w:p w14:paraId="0F6C8C28">
            <w:pPr>
              <w:widowControl/>
              <w:spacing w:line="240" w:lineRule="auto"/>
              <w:jc w:val="left"/>
              <w:rPr>
                <w:rFonts w:hint="eastAsia" w:ascii="宋体" w:hAnsi="宋体" w:eastAsia="宋体" w:cs="宋体"/>
                <w:bCs/>
                <w:color w:val="auto"/>
                <w:spacing w:val="16"/>
                <w:kern w:val="0"/>
                <w:sz w:val="21"/>
                <w:szCs w:val="21"/>
                <w:highlight w:val="none"/>
              </w:rPr>
            </w:pPr>
          </w:p>
          <w:p w14:paraId="6CB11B6D">
            <w:pPr>
              <w:pStyle w:val="39"/>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098094E4">
            <w:pPr>
              <w:pStyle w:val="39"/>
              <w:shd w:val="clear" w:color="auto" w:fill="FFFFFF"/>
              <w:spacing w:line="240" w:lineRule="auto"/>
              <w:ind w:left="107"/>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tcPr>
          <w:p w14:paraId="1490AB55">
            <w:pPr>
              <w:pStyle w:val="39"/>
              <w:shd w:val="clear" w:color="auto" w:fill="FFFFFF"/>
              <w:spacing w:line="240" w:lineRule="auto"/>
              <w:ind w:left="107"/>
              <w:rPr>
                <w:rFonts w:hint="eastAsia" w:ascii="宋体" w:hAnsi="宋体" w:eastAsia="宋体" w:cs="宋体"/>
                <w:bCs/>
                <w:color w:val="auto"/>
                <w:spacing w:val="16"/>
                <w:sz w:val="21"/>
                <w:szCs w:val="21"/>
                <w:highlight w:val="none"/>
              </w:rPr>
            </w:pPr>
          </w:p>
        </w:tc>
      </w:tr>
      <w:tr w14:paraId="4AB5C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1" w:type="dxa"/>
            <w:vMerge w:val="restart"/>
          </w:tcPr>
          <w:p w14:paraId="543DB048">
            <w:pPr>
              <w:pStyle w:val="39"/>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33" w:type="dxa"/>
            <w:vMerge w:val="restart"/>
            <w:tcBorders>
              <w:top w:val="nil"/>
            </w:tcBorders>
          </w:tcPr>
          <w:p w14:paraId="6DD5888A">
            <w:pPr>
              <w:pStyle w:val="39"/>
              <w:shd w:val="clear" w:color="auto" w:fill="FFFFFF"/>
              <w:spacing w:line="240" w:lineRule="auto"/>
              <w:rPr>
                <w:rFonts w:hint="eastAsia" w:ascii="宋体" w:hAnsi="宋体" w:eastAsia="宋体" w:cs="宋体"/>
                <w:bCs/>
                <w:color w:val="auto"/>
                <w:spacing w:val="16"/>
                <w:sz w:val="21"/>
                <w:szCs w:val="21"/>
                <w:highlight w:val="none"/>
              </w:rPr>
            </w:pPr>
          </w:p>
        </w:tc>
        <w:tc>
          <w:tcPr>
            <w:tcW w:w="910" w:type="dxa"/>
            <w:tcBorders>
              <w:top w:val="nil"/>
            </w:tcBorders>
          </w:tcPr>
          <w:p w14:paraId="4F8E7D2C">
            <w:pPr>
              <w:pStyle w:val="39"/>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368" w:type="dxa"/>
            <w:gridSpan w:val="4"/>
            <w:tcBorders>
              <w:top w:val="nil"/>
            </w:tcBorders>
          </w:tcPr>
          <w:p w14:paraId="33F1551A">
            <w:pPr>
              <w:widowControl/>
              <w:spacing w:line="240" w:lineRule="auto"/>
              <w:jc w:val="left"/>
              <w:rPr>
                <w:rFonts w:hint="eastAsia" w:ascii="宋体" w:hAnsi="宋体" w:eastAsia="宋体" w:cs="宋体"/>
                <w:bCs/>
                <w:color w:val="auto"/>
                <w:spacing w:val="16"/>
                <w:kern w:val="0"/>
                <w:sz w:val="21"/>
                <w:szCs w:val="21"/>
                <w:highlight w:val="none"/>
              </w:rPr>
            </w:pPr>
          </w:p>
          <w:p w14:paraId="5E53D4E5">
            <w:pPr>
              <w:pStyle w:val="39"/>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vMerge w:val="restart"/>
          </w:tcPr>
          <w:p w14:paraId="0D3A33A7">
            <w:pPr>
              <w:pStyle w:val="39"/>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tcPr>
          <w:p w14:paraId="5571899F">
            <w:pPr>
              <w:pStyle w:val="39"/>
              <w:shd w:val="clear" w:color="auto" w:fill="FFFFFF"/>
              <w:spacing w:line="240" w:lineRule="auto"/>
              <w:rPr>
                <w:rFonts w:hint="eastAsia" w:ascii="宋体" w:hAnsi="宋体" w:eastAsia="宋体" w:cs="宋体"/>
                <w:bCs/>
                <w:color w:val="auto"/>
                <w:spacing w:val="16"/>
                <w:sz w:val="21"/>
                <w:szCs w:val="21"/>
                <w:highlight w:val="none"/>
              </w:rPr>
            </w:pPr>
          </w:p>
        </w:tc>
      </w:tr>
      <w:tr w14:paraId="51AD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1" w:type="dxa"/>
            <w:vMerge w:val="continue"/>
          </w:tcPr>
          <w:p w14:paraId="4FE38FDE">
            <w:pPr>
              <w:pStyle w:val="39"/>
              <w:shd w:val="clear" w:color="auto" w:fill="FFFFFF"/>
              <w:spacing w:line="240" w:lineRule="auto"/>
              <w:ind w:left="107"/>
              <w:rPr>
                <w:rFonts w:hint="eastAsia" w:ascii="宋体" w:hAnsi="宋体" w:eastAsia="宋体" w:cs="宋体"/>
                <w:bCs/>
                <w:color w:val="auto"/>
                <w:sz w:val="21"/>
                <w:szCs w:val="21"/>
                <w:highlight w:val="none"/>
              </w:rPr>
            </w:pPr>
          </w:p>
        </w:tc>
        <w:tc>
          <w:tcPr>
            <w:tcW w:w="633" w:type="dxa"/>
            <w:vMerge w:val="continue"/>
          </w:tcPr>
          <w:p w14:paraId="33909394">
            <w:pPr>
              <w:pStyle w:val="39"/>
              <w:shd w:val="clear" w:color="auto" w:fill="FFFFFF"/>
              <w:spacing w:line="240" w:lineRule="auto"/>
              <w:rPr>
                <w:rFonts w:hint="eastAsia" w:ascii="宋体" w:hAnsi="宋体" w:eastAsia="宋体" w:cs="宋体"/>
                <w:bCs/>
                <w:color w:val="auto"/>
                <w:spacing w:val="16"/>
                <w:sz w:val="21"/>
                <w:szCs w:val="21"/>
                <w:highlight w:val="none"/>
              </w:rPr>
            </w:pPr>
          </w:p>
        </w:tc>
        <w:tc>
          <w:tcPr>
            <w:tcW w:w="910" w:type="dxa"/>
          </w:tcPr>
          <w:p w14:paraId="6F860ECA">
            <w:pPr>
              <w:pStyle w:val="39"/>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368" w:type="dxa"/>
            <w:gridSpan w:val="4"/>
          </w:tcPr>
          <w:p w14:paraId="555BF15B">
            <w:pPr>
              <w:pStyle w:val="39"/>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vMerge w:val="continue"/>
          </w:tcPr>
          <w:p w14:paraId="49B6E5EF">
            <w:pPr>
              <w:pStyle w:val="39"/>
              <w:shd w:val="clear" w:color="auto" w:fill="FFFFFF"/>
              <w:spacing w:line="240" w:lineRule="auto"/>
              <w:rPr>
                <w:rFonts w:hint="eastAsia" w:ascii="宋体" w:hAnsi="宋体" w:eastAsia="宋体" w:cs="宋体"/>
                <w:bCs/>
                <w:color w:val="auto"/>
                <w:spacing w:val="16"/>
                <w:sz w:val="21"/>
                <w:szCs w:val="21"/>
                <w:highlight w:val="none"/>
              </w:rPr>
            </w:pPr>
          </w:p>
        </w:tc>
        <w:tc>
          <w:tcPr>
            <w:tcW w:w="2151" w:type="dxa"/>
            <w:gridSpan w:val="2"/>
            <w:vMerge w:val="continue"/>
          </w:tcPr>
          <w:p w14:paraId="11398F32">
            <w:pPr>
              <w:pStyle w:val="39"/>
              <w:shd w:val="clear" w:color="auto" w:fill="FFFFFF"/>
              <w:spacing w:line="240" w:lineRule="auto"/>
              <w:rPr>
                <w:rFonts w:hint="eastAsia" w:ascii="宋体" w:hAnsi="宋体" w:eastAsia="宋体" w:cs="宋体"/>
                <w:bCs/>
                <w:color w:val="auto"/>
                <w:spacing w:val="16"/>
                <w:sz w:val="21"/>
                <w:szCs w:val="21"/>
                <w:highlight w:val="none"/>
              </w:rPr>
            </w:pPr>
          </w:p>
        </w:tc>
      </w:tr>
      <w:tr w14:paraId="083C6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1" w:type="dxa"/>
            <w:vMerge w:val="restart"/>
          </w:tcPr>
          <w:p w14:paraId="6E7C70C2">
            <w:pPr>
              <w:pStyle w:val="39"/>
              <w:shd w:val="clear" w:color="auto" w:fill="FFFFFF"/>
              <w:spacing w:line="240" w:lineRule="auto"/>
              <w:ind w:left="107"/>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2AA510D6">
            <w:pPr>
              <w:pStyle w:val="39"/>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56A89F7D">
            <w:pPr>
              <w:pStyle w:val="39"/>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60FDC938">
            <w:pPr>
              <w:pStyle w:val="39"/>
              <w:shd w:val="clear" w:color="auto" w:fill="FFFFFF"/>
              <w:spacing w:line="240" w:lineRule="auto"/>
              <w:ind w:left="107"/>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0AACBAE0">
            <w:pPr>
              <w:pStyle w:val="39"/>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33" w:type="dxa"/>
            <w:tcBorders>
              <w:top w:val="nil"/>
            </w:tcBorders>
          </w:tcPr>
          <w:p w14:paraId="44A6CB96">
            <w:pPr>
              <w:pStyle w:val="39"/>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10" w:type="dxa"/>
            <w:tcBorders>
              <w:top w:val="nil"/>
            </w:tcBorders>
          </w:tcPr>
          <w:p w14:paraId="5647E738">
            <w:pPr>
              <w:pStyle w:val="39"/>
              <w:shd w:val="clear" w:color="auto" w:fill="FFFFFF"/>
              <w:spacing w:line="240" w:lineRule="auto"/>
              <w:rPr>
                <w:rFonts w:hint="eastAsia" w:ascii="宋体" w:hAnsi="宋体" w:eastAsia="宋体" w:cs="宋体"/>
                <w:bCs/>
                <w:color w:val="auto"/>
                <w:spacing w:val="16"/>
                <w:sz w:val="21"/>
                <w:szCs w:val="21"/>
                <w:highlight w:val="none"/>
              </w:rPr>
            </w:pPr>
          </w:p>
        </w:tc>
        <w:tc>
          <w:tcPr>
            <w:tcW w:w="1163" w:type="dxa"/>
            <w:gridSpan w:val="2"/>
            <w:tcBorders>
              <w:top w:val="nil"/>
            </w:tcBorders>
          </w:tcPr>
          <w:p w14:paraId="0261D116">
            <w:pPr>
              <w:pStyle w:val="39"/>
              <w:shd w:val="clear" w:color="auto" w:fill="FFFFFF"/>
              <w:spacing w:before="0" w:beforeAutospacing="0" w:after="0" w:afterAutospacing="0"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nil"/>
            </w:tcBorders>
          </w:tcPr>
          <w:p w14:paraId="5BAA7471">
            <w:pPr>
              <w:widowControl/>
              <w:spacing w:line="240" w:lineRule="auto"/>
              <w:jc w:val="left"/>
              <w:rPr>
                <w:rFonts w:hint="eastAsia" w:ascii="宋体" w:hAnsi="宋体" w:eastAsia="宋体" w:cs="宋体"/>
                <w:bCs/>
                <w:color w:val="auto"/>
                <w:spacing w:val="16"/>
                <w:kern w:val="0"/>
                <w:sz w:val="21"/>
                <w:szCs w:val="21"/>
                <w:highlight w:val="none"/>
              </w:rPr>
            </w:pPr>
          </w:p>
          <w:p w14:paraId="5A65D370">
            <w:pPr>
              <w:widowControl/>
              <w:spacing w:line="240" w:lineRule="auto"/>
              <w:jc w:val="left"/>
              <w:rPr>
                <w:rFonts w:hint="eastAsia" w:ascii="宋体" w:hAnsi="宋体" w:eastAsia="宋体" w:cs="宋体"/>
                <w:bCs/>
                <w:color w:val="auto"/>
                <w:spacing w:val="16"/>
                <w:kern w:val="0"/>
                <w:sz w:val="21"/>
                <w:szCs w:val="21"/>
                <w:highlight w:val="none"/>
              </w:rPr>
            </w:pPr>
          </w:p>
          <w:p w14:paraId="0B6DD322">
            <w:pPr>
              <w:pStyle w:val="39"/>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0481BE43">
            <w:pPr>
              <w:pStyle w:val="39"/>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Pr>
          <w:p w14:paraId="38407AD6">
            <w:pPr>
              <w:widowControl/>
              <w:spacing w:line="240" w:lineRule="auto"/>
              <w:jc w:val="left"/>
              <w:rPr>
                <w:rFonts w:hint="eastAsia" w:ascii="宋体" w:hAnsi="宋体" w:eastAsia="宋体" w:cs="宋体"/>
                <w:bCs/>
                <w:color w:val="auto"/>
                <w:spacing w:val="16"/>
                <w:kern w:val="0"/>
                <w:sz w:val="21"/>
                <w:szCs w:val="21"/>
                <w:highlight w:val="none"/>
              </w:rPr>
            </w:pPr>
          </w:p>
          <w:p w14:paraId="2C171482">
            <w:pPr>
              <w:pStyle w:val="39"/>
              <w:shd w:val="clear" w:color="auto" w:fill="FFFFFF"/>
              <w:spacing w:line="240" w:lineRule="auto"/>
              <w:rPr>
                <w:rFonts w:hint="eastAsia" w:ascii="宋体" w:hAnsi="宋体" w:eastAsia="宋体" w:cs="宋体"/>
                <w:bCs/>
                <w:color w:val="auto"/>
                <w:spacing w:val="16"/>
                <w:sz w:val="21"/>
                <w:szCs w:val="21"/>
                <w:highlight w:val="none"/>
              </w:rPr>
            </w:pPr>
          </w:p>
        </w:tc>
      </w:tr>
      <w:tr w14:paraId="6A0D1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01" w:type="dxa"/>
            <w:vMerge w:val="continue"/>
          </w:tcPr>
          <w:p w14:paraId="561EF88D">
            <w:pPr>
              <w:pStyle w:val="39"/>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49A961A7">
            <w:pPr>
              <w:pStyle w:val="39"/>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10" w:type="dxa"/>
          </w:tcPr>
          <w:p w14:paraId="16B215DB">
            <w:pPr>
              <w:pStyle w:val="39"/>
              <w:shd w:val="clear" w:color="auto" w:fill="FFFFFF"/>
              <w:spacing w:line="240" w:lineRule="auto"/>
              <w:rPr>
                <w:rFonts w:hint="eastAsia" w:ascii="宋体" w:hAnsi="宋体" w:eastAsia="宋体" w:cs="宋体"/>
                <w:bCs/>
                <w:color w:val="auto"/>
                <w:sz w:val="21"/>
                <w:szCs w:val="21"/>
                <w:highlight w:val="none"/>
              </w:rPr>
            </w:pPr>
          </w:p>
        </w:tc>
        <w:tc>
          <w:tcPr>
            <w:tcW w:w="1163" w:type="dxa"/>
            <w:gridSpan w:val="2"/>
          </w:tcPr>
          <w:p w14:paraId="3A9A5F97">
            <w:pPr>
              <w:pStyle w:val="39"/>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tcPr>
          <w:p w14:paraId="1B2AB4A0">
            <w:pPr>
              <w:pStyle w:val="39"/>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平方米</w:t>
            </w:r>
          </w:p>
          <w:p w14:paraId="03B4EA7E">
            <w:pPr>
              <w:pStyle w:val="39"/>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tcPr>
          <w:p w14:paraId="14E159E3">
            <w:pPr>
              <w:pStyle w:val="39"/>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tcPr>
          <w:p w14:paraId="08989DE8">
            <w:pPr>
              <w:pStyle w:val="39"/>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p>
        </w:tc>
      </w:tr>
      <w:tr w14:paraId="45DEF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1" w:type="dxa"/>
            <w:vMerge w:val="continue"/>
          </w:tcPr>
          <w:p w14:paraId="1C3039B8">
            <w:pPr>
              <w:pStyle w:val="39"/>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215EBEE6">
            <w:pPr>
              <w:pStyle w:val="39"/>
              <w:shd w:val="clear" w:color="auto" w:fill="FFFFFF"/>
              <w:spacing w:line="240" w:lineRule="auto"/>
              <w:ind w:left="2"/>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10" w:type="dxa"/>
          </w:tcPr>
          <w:p w14:paraId="1D458D6E">
            <w:pPr>
              <w:pStyle w:val="39"/>
              <w:shd w:val="clear" w:color="auto" w:fill="FFFFFF"/>
              <w:spacing w:line="240" w:lineRule="auto"/>
              <w:ind w:left="2"/>
              <w:rPr>
                <w:rFonts w:hint="eastAsia" w:ascii="宋体" w:hAnsi="宋体" w:eastAsia="宋体" w:cs="宋体"/>
                <w:bCs/>
                <w:color w:val="auto"/>
                <w:sz w:val="21"/>
                <w:szCs w:val="21"/>
                <w:highlight w:val="none"/>
              </w:rPr>
            </w:pPr>
          </w:p>
        </w:tc>
        <w:tc>
          <w:tcPr>
            <w:tcW w:w="1163" w:type="dxa"/>
            <w:gridSpan w:val="2"/>
          </w:tcPr>
          <w:p w14:paraId="1C22D7C3">
            <w:pPr>
              <w:pStyle w:val="39"/>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tcPr>
          <w:p w14:paraId="29910FC2">
            <w:pPr>
              <w:widowControl/>
              <w:spacing w:line="240" w:lineRule="auto"/>
              <w:jc w:val="left"/>
              <w:rPr>
                <w:rFonts w:hint="eastAsia" w:ascii="宋体" w:hAnsi="宋体" w:eastAsia="宋体" w:cs="宋体"/>
                <w:bCs/>
                <w:color w:val="auto"/>
                <w:kern w:val="0"/>
                <w:sz w:val="21"/>
                <w:szCs w:val="21"/>
                <w:highlight w:val="none"/>
              </w:rPr>
            </w:pPr>
          </w:p>
          <w:p w14:paraId="6266E9AA">
            <w:pPr>
              <w:pStyle w:val="39"/>
              <w:shd w:val="clear" w:color="auto" w:fill="FFFFFF"/>
              <w:spacing w:line="240" w:lineRule="auto"/>
              <w:ind w:left="107"/>
              <w:rPr>
                <w:rFonts w:hint="eastAsia" w:ascii="宋体" w:hAnsi="宋体" w:eastAsia="宋体" w:cs="宋体"/>
                <w:bCs/>
                <w:color w:val="auto"/>
                <w:sz w:val="21"/>
                <w:szCs w:val="21"/>
                <w:highlight w:val="none"/>
              </w:rPr>
            </w:pPr>
          </w:p>
        </w:tc>
        <w:tc>
          <w:tcPr>
            <w:tcW w:w="1218" w:type="dxa"/>
          </w:tcPr>
          <w:p w14:paraId="62546ACB">
            <w:pPr>
              <w:pStyle w:val="39"/>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tcPr>
          <w:p w14:paraId="2A9E6071">
            <w:pPr>
              <w:pStyle w:val="39"/>
              <w:shd w:val="clear" w:color="auto" w:fill="FFFFFF"/>
              <w:spacing w:line="240" w:lineRule="auto"/>
              <w:ind w:left="107"/>
              <w:rPr>
                <w:rFonts w:hint="eastAsia" w:ascii="宋体" w:hAnsi="宋体" w:eastAsia="宋体" w:cs="宋体"/>
                <w:bCs/>
                <w:color w:val="auto"/>
                <w:sz w:val="21"/>
                <w:szCs w:val="21"/>
                <w:highlight w:val="none"/>
              </w:rPr>
            </w:pPr>
          </w:p>
        </w:tc>
      </w:tr>
      <w:tr w14:paraId="6DD2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01" w:type="dxa"/>
            <w:vMerge w:val="continue"/>
          </w:tcPr>
          <w:p w14:paraId="306DB142">
            <w:pPr>
              <w:pStyle w:val="39"/>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12135B5B">
            <w:pPr>
              <w:pStyle w:val="39"/>
              <w:shd w:val="clear" w:color="auto" w:fill="FFFFFF"/>
              <w:spacing w:line="240" w:lineRule="auto"/>
              <w:ind w:left="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430" w:type="dxa"/>
            <w:gridSpan w:val="10"/>
          </w:tcPr>
          <w:p w14:paraId="494ADC5D">
            <w:pPr>
              <w:pStyle w:val="39"/>
              <w:shd w:val="clear" w:color="auto" w:fill="FFFFFF"/>
              <w:spacing w:line="240" w:lineRule="auto"/>
              <w:ind w:left="107"/>
              <w:rPr>
                <w:rFonts w:hint="eastAsia" w:ascii="宋体" w:hAnsi="宋体" w:eastAsia="宋体" w:cs="宋体"/>
                <w:bCs/>
                <w:color w:val="auto"/>
                <w:sz w:val="21"/>
                <w:szCs w:val="21"/>
                <w:highlight w:val="none"/>
              </w:rPr>
            </w:pPr>
          </w:p>
        </w:tc>
      </w:tr>
      <w:tr w14:paraId="0B4B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01" w:type="dxa"/>
            <w:vMerge w:val="continue"/>
          </w:tcPr>
          <w:p w14:paraId="7EF84693">
            <w:pPr>
              <w:pStyle w:val="39"/>
              <w:shd w:val="clear" w:color="auto" w:fill="FFFFFF"/>
              <w:spacing w:line="240" w:lineRule="auto"/>
              <w:ind w:left="107"/>
              <w:rPr>
                <w:rFonts w:hint="eastAsia" w:ascii="宋体" w:hAnsi="宋体" w:eastAsia="宋体" w:cs="宋体"/>
                <w:bCs/>
                <w:color w:val="auto"/>
                <w:sz w:val="21"/>
                <w:szCs w:val="21"/>
                <w:highlight w:val="none"/>
              </w:rPr>
            </w:pPr>
          </w:p>
        </w:tc>
        <w:tc>
          <w:tcPr>
            <w:tcW w:w="8063" w:type="dxa"/>
            <w:gridSpan w:val="11"/>
          </w:tcPr>
          <w:p w14:paraId="2FDD530F">
            <w:pPr>
              <w:pStyle w:val="39"/>
              <w:shd w:val="clear" w:color="auto" w:fill="FFFFFF"/>
              <w:spacing w:line="240" w:lineRule="auto"/>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13E7B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1" w:type="dxa"/>
            <w:vMerge w:val="restart"/>
          </w:tcPr>
          <w:p w14:paraId="71A30C86">
            <w:pPr>
              <w:pStyle w:val="39"/>
              <w:shd w:val="clear" w:color="auto" w:fill="FFFFFF"/>
              <w:spacing w:line="240" w:lineRule="auto"/>
              <w:ind w:left="107"/>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27547DAC">
            <w:pPr>
              <w:pStyle w:val="39"/>
              <w:shd w:val="clear" w:color="auto" w:fill="FFFFFF"/>
              <w:spacing w:line="240" w:lineRule="auto"/>
              <w:ind w:left="107"/>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854" w:type="dxa"/>
            <w:gridSpan w:val="3"/>
            <w:vMerge w:val="restart"/>
          </w:tcPr>
          <w:p w14:paraId="5575BE4A">
            <w:pPr>
              <w:pStyle w:val="39"/>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964" w:type="dxa"/>
            <w:gridSpan w:val="2"/>
          </w:tcPr>
          <w:p w14:paraId="5B341E89">
            <w:pPr>
              <w:pStyle w:val="39"/>
              <w:shd w:val="clear" w:color="auto" w:fill="FFFFFF"/>
              <w:spacing w:line="240" w:lineRule="auto"/>
              <w:ind w:right="-78" w:rightChars="-37"/>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tcPr>
          <w:p w14:paraId="161B1C68">
            <w:pPr>
              <w:pStyle w:val="39"/>
              <w:shd w:val="clear" w:color="auto" w:fill="FFFFFF"/>
              <w:spacing w:before="0" w:beforeAutospacing="0" w:after="0" w:afterAutospacing="0"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tcPr>
          <w:p w14:paraId="1FFDCB23">
            <w:pPr>
              <w:pStyle w:val="39"/>
              <w:shd w:val="clear" w:color="auto" w:fill="FFFFFF"/>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tcPr>
          <w:p w14:paraId="03185FD3">
            <w:pPr>
              <w:pStyle w:val="39"/>
              <w:shd w:val="clear" w:color="auto" w:fill="FFFFFF"/>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tcPr>
          <w:p w14:paraId="22849959">
            <w:pPr>
              <w:pStyle w:val="39"/>
              <w:shd w:val="clear" w:color="auto" w:fill="FFFFFF"/>
              <w:spacing w:before="0" w:beforeAutospacing="0" w:after="0" w:afterAutospacing="0"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51B20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01" w:type="dxa"/>
            <w:vMerge w:val="continue"/>
          </w:tcPr>
          <w:p w14:paraId="4E11B87C">
            <w:pPr>
              <w:pStyle w:val="39"/>
              <w:shd w:val="clear" w:color="auto" w:fill="FFFFFF"/>
              <w:spacing w:line="240" w:lineRule="auto"/>
              <w:ind w:left="107"/>
              <w:rPr>
                <w:rFonts w:hint="eastAsia" w:ascii="宋体" w:hAnsi="宋体" w:eastAsia="宋体" w:cs="宋体"/>
                <w:bCs/>
                <w:color w:val="auto"/>
                <w:sz w:val="21"/>
                <w:szCs w:val="21"/>
                <w:highlight w:val="none"/>
              </w:rPr>
            </w:pPr>
          </w:p>
        </w:tc>
        <w:tc>
          <w:tcPr>
            <w:tcW w:w="1854" w:type="dxa"/>
            <w:gridSpan w:val="3"/>
            <w:vMerge w:val="continue"/>
          </w:tcPr>
          <w:p w14:paraId="3880F69B">
            <w:pPr>
              <w:pStyle w:val="39"/>
              <w:shd w:val="clear" w:color="auto" w:fill="FFFFFF"/>
              <w:spacing w:line="240" w:lineRule="auto"/>
              <w:rPr>
                <w:rFonts w:hint="eastAsia" w:ascii="宋体" w:hAnsi="宋体" w:eastAsia="宋体" w:cs="宋体"/>
                <w:bCs/>
                <w:color w:val="auto"/>
                <w:sz w:val="21"/>
                <w:szCs w:val="21"/>
                <w:highlight w:val="none"/>
              </w:rPr>
            </w:pPr>
          </w:p>
        </w:tc>
        <w:tc>
          <w:tcPr>
            <w:tcW w:w="964" w:type="dxa"/>
            <w:gridSpan w:val="2"/>
          </w:tcPr>
          <w:p w14:paraId="5C298B43">
            <w:pPr>
              <w:pStyle w:val="39"/>
              <w:shd w:val="clear" w:color="auto" w:fill="FFFFFF"/>
              <w:spacing w:line="240" w:lineRule="auto"/>
              <w:rPr>
                <w:rFonts w:hint="eastAsia" w:ascii="宋体" w:hAnsi="宋体" w:eastAsia="宋体" w:cs="宋体"/>
                <w:bCs/>
                <w:color w:val="auto"/>
                <w:sz w:val="21"/>
                <w:szCs w:val="21"/>
                <w:highlight w:val="none"/>
              </w:rPr>
            </w:pPr>
          </w:p>
        </w:tc>
        <w:tc>
          <w:tcPr>
            <w:tcW w:w="1418" w:type="dxa"/>
            <w:gridSpan w:val="2"/>
          </w:tcPr>
          <w:p w14:paraId="7CD54F10">
            <w:pPr>
              <w:pStyle w:val="39"/>
              <w:shd w:val="clear" w:color="auto" w:fill="FFFFFF"/>
              <w:spacing w:line="240" w:lineRule="auto"/>
              <w:rPr>
                <w:rFonts w:hint="eastAsia" w:ascii="宋体" w:hAnsi="宋体" w:eastAsia="宋体" w:cs="宋体"/>
                <w:bCs/>
                <w:color w:val="auto"/>
                <w:sz w:val="21"/>
                <w:szCs w:val="21"/>
                <w:highlight w:val="none"/>
              </w:rPr>
            </w:pPr>
          </w:p>
        </w:tc>
        <w:tc>
          <w:tcPr>
            <w:tcW w:w="1276" w:type="dxa"/>
          </w:tcPr>
          <w:p w14:paraId="027736FD">
            <w:pPr>
              <w:pStyle w:val="39"/>
              <w:shd w:val="clear" w:color="auto" w:fill="FFFFFF"/>
              <w:spacing w:line="240" w:lineRule="auto"/>
              <w:rPr>
                <w:rFonts w:hint="eastAsia" w:ascii="宋体" w:hAnsi="宋体" w:eastAsia="宋体" w:cs="宋体"/>
                <w:bCs/>
                <w:color w:val="auto"/>
                <w:sz w:val="21"/>
                <w:szCs w:val="21"/>
                <w:highlight w:val="none"/>
              </w:rPr>
            </w:pPr>
          </w:p>
        </w:tc>
        <w:tc>
          <w:tcPr>
            <w:tcW w:w="2551" w:type="dxa"/>
            <w:gridSpan w:val="3"/>
          </w:tcPr>
          <w:p w14:paraId="571C3C9C">
            <w:pPr>
              <w:pStyle w:val="39"/>
              <w:shd w:val="clear" w:color="auto" w:fill="FFFFFF"/>
              <w:spacing w:line="240" w:lineRule="auto"/>
              <w:rPr>
                <w:rFonts w:hint="eastAsia" w:ascii="宋体" w:hAnsi="宋体" w:eastAsia="宋体" w:cs="宋体"/>
                <w:bCs/>
                <w:color w:val="auto"/>
                <w:sz w:val="21"/>
                <w:szCs w:val="21"/>
                <w:highlight w:val="none"/>
              </w:rPr>
            </w:pPr>
          </w:p>
        </w:tc>
      </w:tr>
      <w:tr w14:paraId="4D62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01" w:type="dxa"/>
            <w:vMerge w:val="continue"/>
          </w:tcPr>
          <w:p w14:paraId="40240659">
            <w:pPr>
              <w:pStyle w:val="39"/>
              <w:shd w:val="clear" w:color="auto" w:fill="FFFFFF"/>
              <w:spacing w:line="240" w:lineRule="auto"/>
              <w:ind w:left="107"/>
              <w:rPr>
                <w:rFonts w:hint="eastAsia" w:ascii="宋体" w:hAnsi="宋体" w:eastAsia="宋体" w:cs="宋体"/>
                <w:bCs/>
                <w:color w:val="auto"/>
                <w:spacing w:val="16"/>
                <w:sz w:val="21"/>
                <w:szCs w:val="21"/>
                <w:highlight w:val="none"/>
              </w:rPr>
            </w:pPr>
          </w:p>
        </w:tc>
        <w:tc>
          <w:tcPr>
            <w:tcW w:w="1854" w:type="dxa"/>
            <w:gridSpan w:val="3"/>
          </w:tcPr>
          <w:p w14:paraId="148DC916">
            <w:pPr>
              <w:pStyle w:val="39"/>
              <w:shd w:val="clear" w:color="auto" w:fill="FFFFFF"/>
              <w:spacing w:before="0" w:beforeAutospacing="0" w:after="0" w:afterAutospacing="0" w:line="240" w:lineRule="auto"/>
              <w:ind w:right="-107" w:rightChars="-51"/>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209" w:type="dxa"/>
            <w:gridSpan w:val="8"/>
          </w:tcPr>
          <w:p w14:paraId="3EF4D1A2">
            <w:pPr>
              <w:pStyle w:val="39"/>
              <w:shd w:val="clear" w:color="auto" w:fill="FFFFFF"/>
              <w:spacing w:line="240" w:lineRule="auto"/>
              <w:rPr>
                <w:rFonts w:hint="eastAsia" w:ascii="宋体" w:hAnsi="宋体" w:eastAsia="宋体" w:cs="宋体"/>
                <w:bCs/>
                <w:color w:val="auto"/>
                <w:spacing w:val="16"/>
                <w:sz w:val="21"/>
                <w:szCs w:val="21"/>
                <w:highlight w:val="none"/>
              </w:rPr>
            </w:pPr>
          </w:p>
        </w:tc>
      </w:tr>
      <w:tr w14:paraId="4C9BB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01" w:type="dxa"/>
            <w:vMerge w:val="continue"/>
          </w:tcPr>
          <w:p w14:paraId="5C782F35">
            <w:pPr>
              <w:pStyle w:val="39"/>
              <w:shd w:val="clear" w:color="auto" w:fill="FFFFFF"/>
              <w:spacing w:line="240" w:lineRule="auto"/>
              <w:ind w:left="107"/>
              <w:rPr>
                <w:rFonts w:hint="eastAsia" w:ascii="宋体" w:hAnsi="宋体" w:eastAsia="宋体" w:cs="宋体"/>
                <w:bCs/>
                <w:color w:val="auto"/>
                <w:spacing w:val="27"/>
                <w:sz w:val="21"/>
                <w:szCs w:val="21"/>
                <w:highlight w:val="none"/>
              </w:rPr>
            </w:pPr>
          </w:p>
        </w:tc>
        <w:tc>
          <w:tcPr>
            <w:tcW w:w="1854" w:type="dxa"/>
            <w:gridSpan w:val="3"/>
          </w:tcPr>
          <w:p w14:paraId="4BF173B3">
            <w:pPr>
              <w:pStyle w:val="39"/>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209" w:type="dxa"/>
            <w:gridSpan w:val="8"/>
          </w:tcPr>
          <w:p w14:paraId="4B25BC1F">
            <w:pPr>
              <w:pStyle w:val="39"/>
              <w:shd w:val="clear" w:color="auto" w:fill="FFFFFF"/>
              <w:spacing w:line="240" w:lineRule="auto"/>
              <w:rPr>
                <w:rFonts w:hint="eastAsia" w:ascii="宋体" w:hAnsi="宋体" w:eastAsia="宋体" w:cs="宋体"/>
                <w:bCs/>
                <w:color w:val="auto"/>
                <w:spacing w:val="16"/>
                <w:sz w:val="21"/>
                <w:szCs w:val="21"/>
                <w:highlight w:val="none"/>
              </w:rPr>
            </w:pPr>
          </w:p>
        </w:tc>
      </w:tr>
    </w:tbl>
    <w:p w14:paraId="4DA71A1B">
      <w:pPr>
        <w:pStyle w:val="39"/>
        <w:shd w:val="clear" w:color="auto" w:fill="FFFFFF"/>
        <w:spacing w:before="0" w:beforeAutospacing="0" w:after="0" w:afterAutospacing="0" w:line="360" w:lineRule="auto"/>
        <w:rPr>
          <w:rFonts w:hint="eastAsia" w:ascii="宋体" w:hAnsi="宋体" w:eastAsia="宋体" w:cs="宋体"/>
          <w:color w:val="auto"/>
          <w:highlight w:val="none"/>
        </w:rPr>
      </w:pPr>
    </w:p>
    <w:p w14:paraId="37A20AD6">
      <w:pPr>
        <w:pStyle w:val="39"/>
        <w:shd w:val="clear" w:color="auto" w:fill="FFFFFF"/>
        <w:spacing w:before="0" w:beforeAutospacing="0" w:after="0" w:afterAutospacing="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53532DFB">
      <w:pPr>
        <w:pStyle w:val="39"/>
        <w:shd w:val="clear" w:color="auto" w:fill="FFFFFF"/>
        <w:spacing w:before="0" w:beforeAutospacing="0" w:after="0" w:afterAutospacing="0"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1.姓名栏必须将所有股东都统计在内，若非股份公司此行（第三行）无需填写；</w:t>
      </w:r>
    </w:p>
    <w:p w14:paraId="1730DDA4">
      <w:pPr>
        <w:spacing w:line="360" w:lineRule="auto"/>
        <w:rPr>
          <w:rFonts w:hint="eastAsia" w:ascii="宋体" w:hAnsi="宋体" w:eastAsia="宋体" w:cs="宋体"/>
          <w:color w:val="auto"/>
          <w:sz w:val="21"/>
          <w:szCs w:val="21"/>
          <w:highlight w:val="none"/>
        </w:rPr>
      </w:pPr>
    </w:p>
    <w:p w14:paraId="1F58A088">
      <w:pPr>
        <w:spacing w:line="360" w:lineRule="auto"/>
        <w:rPr>
          <w:rFonts w:hint="eastAsia" w:ascii="宋体" w:hAnsi="宋体" w:eastAsia="宋体" w:cs="宋体"/>
          <w:color w:val="auto"/>
          <w:sz w:val="21"/>
          <w:szCs w:val="21"/>
          <w:highlight w:val="none"/>
        </w:rPr>
      </w:pPr>
    </w:p>
    <w:p w14:paraId="38D12DB8">
      <w:pPr>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0DAEF943">
      <w:pPr>
        <w:spacing w:line="360" w:lineRule="auto"/>
        <w:ind w:left="420"/>
        <w:rPr>
          <w:rFonts w:hint="eastAsia" w:ascii="宋体" w:hAnsi="宋体" w:eastAsia="宋体" w:cs="宋体"/>
          <w:color w:val="auto"/>
          <w:sz w:val="21"/>
          <w:szCs w:val="21"/>
          <w:highlight w:val="none"/>
        </w:rPr>
      </w:pPr>
    </w:p>
    <w:p w14:paraId="1E79504E">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63457CE7">
      <w:pPr>
        <w:spacing w:line="360" w:lineRule="auto"/>
        <w:rPr>
          <w:rFonts w:hint="eastAsia" w:ascii="宋体" w:hAnsi="宋体" w:eastAsia="宋体" w:cs="宋体"/>
          <w:color w:val="auto"/>
          <w:sz w:val="21"/>
          <w:szCs w:val="21"/>
          <w:highlight w:val="none"/>
        </w:rPr>
      </w:pPr>
    </w:p>
    <w:p w14:paraId="486C07C4">
      <w:pPr>
        <w:pStyle w:val="39"/>
        <w:shd w:val="clear" w:color="auto" w:fill="FFFFFF"/>
        <w:spacing w:before="0" w:beforeAutospacing="0" w:after="0" w:afterAutospacing="0"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533725FD">
      <w:pPr>
        <w:pStyle w:val="39"/>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60A25FB7">
      <w:pPr>
        <w:pStyle w:val="39"/>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5A4DCA47">
      <w:pPr>
        <w:pStyle w:val="39"/>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350B0D34">
      <w:pPr>
        <w:pStyle w:val="39"/>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28F2D0C1">
      <w:pPr>
        <w:pStyle w:val="39"/>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1597C5DD">
      <w:pPr>
        <w:pStyle w:val="39"/>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03230F13">
      <w:pPr>
        <w:pStyle w:val="39"/>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0EBDF340">
      <w:pPr>
        <w:pStyle w:val="39"/>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3933A198">
      <w:pPr>
        <w:pStyle w:val="39"/>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2AB8D4A8">
      <w:pPr>
        <w:pStyle w:val="39"/>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307EF962">
      <w:pPr>
        <w:pStyle w:val="39"/>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730ECDFC">
      <w:pPr>
        <w:pStyle w:val="39"/>
        <w:shd w:val="clear" w:color="auto" w:fill="FFFFFF"/>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232D0E6">
      <w:pPr>
        <w:pStyle w:val="39"/>
        <w:shd w:val="clear" w:color="auto" w:fill="FFFFFF"/>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8</w:t>
      </w:r>
    </w:p>
    <w:p w14:paraId="719E9676">
      <w:pPr>
        <w:snapToGrid w:val="0"/>
        <w:spacing w:beforeLines="50" w:after="50"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361039D0">
      <w:pPr>
        <w:snapToGrid w:val="0"/>
        <w:spacing w:beforeLines="50" w:after="50" w:line="360" w:lineRule="auto"/>
        <w:ind w:firstLine="2400" w:firstLineChars="1000"/>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2"/>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4"/>
        <w:gridCol w:w="750"/>
        <w:gridCol w:w="889"/>
        <w:gridCol w:w="857"/>
        <w:gridCol w:w="1511"/>
        <w:gridCol w:w="1211"/>
        <w:gridCol w:w="1457"/>
        <w:gridCol w:w="1529"/>
      </w:tblGrid>
      <w:tr w14:paraId="70B0E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vAlign w:val="center"/>
          </w:tcPr>
          <w:p w14:paraId="1A774FB7">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750" w:type="dxa"/>
            <w:tcBorders>
              <w:top w:val="single" w:color="auto" w:sz="4" w:space="0"/>
              <w:left w:val="single" w:color="auto" w:sz="4" w:space="0"/>
              <w:bottom w:val="single" w:color="auto" w:sz="4" w:space="0"/>
              <w:right w:val="single" w:color="auto" w:sz="4" w:space="0"/>
            </w:tcBorders>
            <w:vAlign w:val="center"/>
          </w:tcPr>
          <w:p w14:paraId="5F02A7CF">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889" w:type="dxa"/>
            <w:tcBorders>
              <w:top w:val="single" w:color="auto" w:sz="4" w:space="0"/>
              <w:left w:val="single" w:color="auto" w:sz="4" w:space="0"/>
              <w:bottom w:val="single" w:color="auto" w:sz="4" w:space="0"/>
              <w:right w:val="single" w:color="auto" w:sz="4" w:space="0"/>
            </w:tcBorders>
            <w:vAlign w:val="center"/>
          </w:tcPr>
          <w:p w14:paraId="362AE208">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857" w:type="dxa"/>
            <w:tcBorders>
              <w:top w:val="single" w:color="auto" w:sz="4" w:space="0"/>
              <w:left w:val="single" w:color="auto" w:sz="4" w:space="0"/>
              <w:bottom w:val="single" w:color="auto" w:sz="4" w:space="0"/>
              <w:right w:val="single" w:color="auto" w:sz="4" w:space="0"/>
            </w:tcBorders>
            <w:vAlign w:val="center"/>
          </w:tcPr>
          <w:p w14:paraId="53A072EE">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11" w:type="dxa"/>
            <w:tcBorders>
              <w:top w:val="single" w:color="auto" w:sz="4" w:space="0"/>
              <w:left w:val="single" w:color="auto" w:sz="4" w:space="0"/>
              <w:bottom w:val="single" w:color="auto" w:sz="4" w:space="0"/>
              <w:right w:val="single" w:color="auto" w:sz="4" w:space="0"/>
            </w:tcBorders>
            <w:vAlign w:val="center"/>
          </w:tcPr>
          <w:p w14:paraId="26F73A28">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11" w:type="dxa"/>
            <w:tcBorders>
              <w:top w:val="single" w:color="auto" w:sz="4" w:space="0"/>
              <w:left w:val="single" w:color="auto" w:sz="4" w:space="0"/>
              <w:bottom w:val="single" w:color="auto" w:sz="4" w:space="0"/>
              <w:right w:val="single" w:color="auto" w:sz="4" w:space="0"/>
            </w:tcBorders>
            <w:vAlign w:val="center"/>
          </w:tcPr>
          <w:p w14:paraId="233418F1">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457" w:type="dxa"/>
            <w:tcBorders>
              <w:top w:val="single" w:color="auto" w:sz="4" w:space="0"/>
              <w:left w:val="single" w:color="auto" w:sz="4" w:space="0"/>
              <w:bottom w:val="single" w:color="auto" w:sz="4" w:space="0"/>
              <w:right w:val="single" w:color="auto" w:sz="4" w:space="0"/>
            </w:tcBorders>
            <w:vAlign w:val="center"/>
          </w:tcPr>
          <w:p w14:paraId="4D060168">
            <w:pPr>
              <w:snapToGrid w:val="0"/>
              <w:spacing w:beforeLines="50" w:after="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529" w:type="dxa"/>
            <w:tcBorders>
              <w:top w:val="single" w:color="auto" w:sz="4" w:space="0"/>
              <w:left w:val="single" w:color="auto" w:sz="4" w:space="0"/>
              <w:bottom w:val="single" w:color="auto" w:sz="4" w:space="0"/>
            </w:tcBorders>
            <w:vAlign w:val="center"/>
          </w:tcPr>
          <w:p w14:paraId="69E2B996">
            <w:pPr>
              <w:snapToGrid w:val="0"/>
              <w:spacing w:beforeLines="50" w:after="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2BA3F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tcPr>
          <w:p w14:paraId="1E616AD2">
            <w:pPr>
              <w:snapToGrid w:val="0"/>
              <w:spacing w:beforeLines="50" w:after="50" w:line="360" w:lineRule="auto"/>
              <w:rPr>
                <w:rFonts w:hint="eastAsia" w:ascii="宋体" w:hAnsi="宋体" w:eastAsia="宋体" w:cs="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14:paraId="0E8D38C5">
            <w:pPr>
              <w:snapToGrid w:val="0"/>
              <w:spacing w:beforeLines="50" w:after="50" w:line="360" w:lineRule="auto"/>
              <w:rPr>
                <w:rFonts w:hint="eastAsia" w:ascii="宋体" w:hAnsi="宋体" w:eastAsia="宋体" w:cs="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14:paraId="667E7E83">
            <w:pPr>
              <w:snapToGrid w:val="0"/>
              <w:spacing w:beforeLines="50" w:after="50" w:line="360" w:lineRule="auto"/>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108208F9">
            <w:pPr>
              <w:snapToGrid w:val="0"/>
              <w:spacing w:beforeLines="50" w:after="50" w:line="360" w:lineRule="auto"/>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28C40F18">
            <w:pPr>
              <w:snapToGrid w:val="0"/>
              <w:spacing w:beforeLines="50" w:after="50" w:line="360" w:lineRule="auto"/>
              <w:rPr>
                <w:rFonts w:hint="eastAsia" w:ascii="宋体" w:hAnsi="宋体" w:eastAsia="宋体" w:cs="宋体"/>
                <w:b/>
                <w:color w:val="auto"/>
                <w:kern w:val="44"/>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tcPr>
          <w:p w14:paraId="3D2F7295">
            <w:pPr>
              <w:snapToGrid w:val="0"/>
              <w:spacing w:beforeLines="50" w:after="50" w:line="360" w:lineRule="auto"/>
              <w:rPr>
                <w:rFonts w:hint="eastAsia" w:ascii="宋体" w:hAnsi="宋体" w:eastAsia="宋体" w:cs="宋体"/>
                <w:b/>
                <w:color w:val="auto"/>
                <w:kern w:val="44"/>
                <w:sz w:val="21"/>
                <w:szCs w:val="21"/>
                <w:highlight w:val="none"/>
              </w:rPr>
            </w:pPr>
          </w:p>
        </w:tc>
        <w:tc>
          <w:tcPr>
            <w:tcW w:w="1457" w:type="dxa"/>
            <w:tcBorders>
              <w:top w:val="single" w:color="auto" w:sz="4" w:space="0"/>
              <w:left w:val="single" w:color="auto" w:sz="4" w:space="0"/>
              <w:bottom w:val="single" w:color="auto" w:sz="4" w:space="0"/>
              <w:right w:val="single" w:color="auto" w:sz="4" w:space="0"/>
            </w:tcBorders>
          </w:tcPr>
          <w:p w14:paraId="5E97C470">
            <w:pPr>
              <w:snapToGrid w:val="0"/>
              <w:spacing w:beforeLines="50" w:after="50" w:line="360" w:lineRule="auto"/>
              <w:rPr>
                <w:rFonts w:hint="eastAsia" w:ascii="宋体" w:hAnsi="宋体" w:eastAsia="宋体" w:cs="宋体"/>
                <w:b/>
                <w:color w:val="auto"/>
                <w:kern w:val="44"/>
                <w:sz w:val="21"/>
                <w:szCs w:val="21"/>
                <w:highlight w:val="none"/>
              </w:rPr>
            </w:pPr>
          </w:p>
        </w:tc>
        <w:tc>
          <w:tcPr>
            <w:tcW w:w="1529" w:type="dxa"/>
            <w:tcBorders>
              <w:top w:val="single" w:color="auto" w:sz="4" w:space="0"/>
              <w:left w:val="single" w:color="auto" w:sz="4" w:space="0"/>
              <w:bottom w:val="single" w:color="auto" w:sz="4" w:space="0"/>
            </w:tcBorders>
          </w:tcPr>
          <w:p w14:paraId="7EF4F8DA">
            <w:pPr>
              <w:snapToGrid w:val="0"/>
              <w:spacing w:beforeLines="50" w:after="50" w:line="360" w:lineRule="auto"/>
              <w:rPr>
                <w:rFonts w:hint="eastAsia" w:ascii="宋体" w:hAnsi="宋体" w:eastAsia="宋体" w:cs="宋体"/>
                <w:b/>
                <w:color w:val="auto"/>
                <w:kern w:val="44"/>
                <w:sz w:val="21"/>
                <w:szCs w:val="21"/>
                <w:highlight w:val="none"/>
              </w:rPr>
            </w:pPr>
          </w:p>
        </w:tc>
      </w:tr>
      <w:tr w14:paraId="35811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tcPr>
          <w:p w14:paraId="7FB40E0C">
            <w:pPr>
              <w:snapToGrid w:val="0"/>
              <w:spacing w:beforeLines="50" w:after="50" w:line="360" w:lineRule="auto"/>
              <w:rPr>
                <w:rFonts w:hint="eastAsia" w:ascii="宋体" w:hAnsi="宋体" w:eastAsia="宋体" w:cs="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14:paraId="27852DDE">
            <w:pPr>
              <w:snapToGrid w:val="0"/>
              <w:spacing w:beforeLines="50" w:after="50" w:line="360" w:lineRule="auto"/>
              <w:rPr>
                <w:rFonts w:hint="eastAsia" w:ascii="宋体" w:hAnsi="宋体" w:eastAsia="宋体" w:cs="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14:paraId="63BCE987">
            <w:pPr>
              <w:snapToGrid w:val="0"/>
              <w:spacing w:beforeLines="50" w:after="50" w:line="360" w:lineRule="auto"/>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4C6D5DFA">
            <w:pPr>
              <w:snapToGrid w:val="0"/>
              <w:spacing w:beforeLines="50" w:after="50" w:line="360" w:lineRule="auto"/>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6890ED91">
            <w:pPr>
              <w:snapToGrid w:val="0"/>
              <w:spacing w:beforeLines="50" w:after="50" w:line="360" w:lineRule="auto"/>
              <w:rPr>
                <w:rFonts w:hint="eastAsia" w:ascii="宋体" w:hAnsi="宋体" w:eastAsia="宋体" w:cs="宋体"/>
                <w:b/>
                <w:color w:val="auto"/>
                <w:kern w:val="44"/>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tcPr>
          <w:p w14:paraId="00C0D142">
            <w:pPr>
              <w:snapToGrid w:val="0"/>
              <w:spacing w:beforeLines="50" w:after="50" w:line="360" w:lineRule="auto"/>
              <w:rPr>
                <w:rFonts w:hint="eastAsia" w:ascii="宋体" w:hAnsi="宋体" w:eastAsia="宋体" w:cs="宋体"/>
                <w:b/>
                <w:color w:val="auto"/>
                <w:kern w:val="44"/>
                <w:sz w:val="21"/>
                <w:szCs w:val="21"/>
                <w:highlight w:val="none"/>
              </w:rPr>
            </w:pPr>
          </w:p>
        </w:tc>
        <w:tc>
          <w:tcPr>
            <w:tcW w:w="1457" w:type="dxa"/>
            <w:tcBorders>
              <w:top w:val="single" w:color="auto" w:sz="4" w:space="0"/>
              <w:left w:val="single" w:color="auto" w:sz="4" w:space="0"/>
              <w:bottom w:val="single" w:color="auto" w:sz="4" w:space="0"/>
              <w:right w:val="single" w:color="auto" w:sz="4" w:space="0"/>
            </w:tcBorders>
          </w:tcPr>
          <w:p w14:paraId="37B36DCB">
            <w:pPr>
              <w:snapToGrid w:val="0"/>
              <w:spacing w:beforeLines="50" w:after="50" w:line="360" w:lineRule="auto"/>
              <w:rPr>
                <w:rFonts w:hint="eastAsia" w:ascii="宋体" w:hAnsi="宋体" w:eastAsia="宋体" w:cs="宋体"/>
                <w:b/>
                <w:color w:val="auto"/>
                <w:kern w:val="44"/>
                <w:sz w:val="21"/>
                <w:szCs w:val="21"/>
                <w:highlight w:val="none"/>
              </w:rPr>
            </w:pPr>
          </w:p>
        </w:tc>
        <w:tc>
          <w:tcPr>
            <w:tcW w:w="1529" w:type="dxa"/>
            <w:tcBorders>
              <w:top w:val="single" w:color="auto" w:sz="4" w:space="0"/>
              <w:left w:val="single" w:color="auto" w:sz="4" w:space="0"/>
              <w:bottom w:val="single" w:color="auto" w:sz="4" w:space="0"/>
            </w:tcBorders>
          </w:tcPr>
          <w:p w14:paraId="18048508">
            <w:pPr>
              <w:snapToGrid w:val="0"/>
              <w:spacing w:beforeLines="50" w:after="50" w:line="360" w:lineRule="auto"/>
              <w:rPr>
                <w:rFonts w:hint="eastAsia" w:ascii="宋体" w:hAnsi="宋体" w:eastAsia="宋体" w:cs="宋体"/>
                <w:b/>
                <w:color w:val="auto"/>
                <w:kern w:val="44"/>
                <w:sz w:val="21"/>
                <w:szCs w:val="21"/>
                <w:highlight w:val="none"/>
              </w:rPr>
            </w:pPr>
          </w:p>
        </w:tc>
      </w:tr>
      <w:tr w14:paraId="4824F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tcPr>
          <w:p w14:paraId="52492EE7">
            <w:pPr>
              <w:snapToGrid w:val="0"/>
              <w:spacing w:beforeLines="50" w:after="50" w:line="360" w:lineRule="auto"/>
              <w:rPr>
                <w:rFonts w:hint="eastAsia" w:ascii="宋体" w:hAnsi="宋体" w:eastAsia="宋体" w:cs="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14:paraId="04C3C7F6">
            <w:pPr>
              <w:snapToGrid w:val="0"/>
              <w:spacing w:beforeLines="50" w:after="50" w:line="360" w:lineRule="auto"/>
              <w:rPr>
                <w:rFonts w:hint="eastAsia" w:ascii="宋体" w:hAnsi="宋体" w:eastAsia="宋体" w:cs="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14:paraId="4002A033">
            <w:pPr>
              <w:snapToGrid w:val="0"/>
              <w:spacing w:beforeLines="50" w:after="50" w:line="360" w:lineRule="auto"/>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1488E98E">
            <w:pPr>
              <w:pStyle w:val="11"/>
              <w:snapToGrid w:val="0"/>
              <w:spacing w:beforeLines="50" w:after="50" w:line="360" w:lineRule="auto"/>
              <w:ind w:left="5250"/>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61132B22">
            <w:pPr>
              <w:pStyle w:val="11"/>
              <w:snapToGrid w:val="0"/>
              <w:spacing w:beforeLines="50" w:after="50" w:line="360" w:lineRule="auto"/>
              <w:ind w:left="5250"/>
              <w:rPr>
                <w:rFonts w:hint="eastAsia" w:ascii="宋体" w:hAnsi="宋体" w:eastAsia="宋体" w:cs="宋体"/>
                <w:b/>
                <w:color w:val="auto"/>
                <w:kern w:val="44"/>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tcPr>
          <w:p w14:paraId="4483BCD9">
            <w:pPr>
              <w:pStyle w:val="11"/>
              <w:spacing w:line="360" w:lineRule="auto"/>
              <w:ind w:left="5250"/>
              <w:rPr>
                <w:rFonts w:hint="eastAsia" w:ascii="宋体" w:hAnsi="宋体" w:eastAsia="宋体" w:cs="宋体"/>
                <w:color w:val="auto"/>
                <w:sz w:val="21"/>
                <w:szCs w:val="21"/>
                <w:highlight w:val="none"/>
              </w:rPr>
            </w:pPr>
          </w:p>
        </w:tc>
        <w:tc>
          <w:tcPr>
            <w:tcW w:w="1457" w:type="dxa"/>
            <w:tcBorders>
              <w:top w:val="single" w:color="auto" w:sz="4" w:space="0"/>
              <w:left w:val="single" w:color="auto" w:sz="4" w:space="0"/>
              <w:bottom w:val="single" w:color="auto" w:sz="4" w:space="0"/>
              <w:right w:val="single" w:color="auto" w:sz="4" w:space="0"/>
            </w:tcBorders>
          </w:tcPr>
          <w:p w14:paraId="7EED15B9">
            <w:pPr>
              <w:snapToGrid w:val="0"/>
              <w:spacing w:beforeLines="50" w:after="50" w:line="360" w:lineRule="auto"/>
              <w:rPr>
                <w:rFonts w:hint="eastAsia" w:ascii="宋体" w:hAnsi="宋体" w:eastAsia="宋体" w:cs="宋体"/>
                <w:color w:val="auto"/>
                <w:sz w:val="21"/>
                <w:szCs w:val="21"/>
                <w:highlight w:val="none"/>
              </w:rPr>
            </w:pPr>
          </w:p>
        </w:tc>
        <w:tc>
          <w:tcPr>
            <w:tcW w:w="1529" w:type="dxa"/>
            <w:tcBorders>
              <w:top w:val="single" w:color="auto" w:sz="4" w:space="0"/>
              <w:left w:val="single" w:color="auto" w:sz="4" w:space="0"/>
              <w:bottom w:val="single" w:color="auto" w:sz="4" w:space="0"/>
            </w:tcBorders>
          </w:tcPr>
          <w:p w14:paraId="1F4E1396">
            <w:pPr>
              <w:snapToGrid w:val="0"/>
              <w:spacing w:beforeLines="50" w:after="50" w:line="360" w:lineRule="auto"/>
              <w:rPr>
                <w:rFonts w:hint="eastAsia" w:ascii="宋体" w:hAnsi="宋体" w:eastAsia="宋体" w:cs="宋体"/>
                <w:b/>
                <w:color w:val="auto"/>
                <w:kern w:val="44"/>
                <w:sz w:val="21"/>
                <w:szCs w:val="21"/>
                <w:highlight w:val="none"/>
              </w:rPr>
            </w:pPr>
          </w:p>
        </w:tc>
      </w:tr>
      <w:tr w14:paraId="6EA97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tcPr>
          <w:p w14:paraId="213AEFD3">
            <w:pPr>
              <w:snapToGrid w:val="0"/>
              <w:spacing w:beforeLines="50" w:after="50" w:line="360" w:lineRule="auto"/>
              <w:rPr>
                <w:rFonts w:hint="eastAsia" w:ascii="宋体" w:hAnsi="宋体" w:eastAsia="宋体" w:cs="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14:paraId="6AA4B120">
            <w:pPr>
              <w:snapToGrid w:val="0"/>
              <w:spacing w:beforeLines="50" w:after="50" w:line="360" w:lineRule="auto"/>
              <w:rPr>
                <w:rFonts w:hint="eastAsia" w:ascii="宋体" w:hAnsi="宋体" w:eastAsia="宋体" w:cs="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14:paraId="591FD125">
            <w:pPr>
              <w:snapToGrid w:val="0"/>
              <w:spacing w:beforeLines="50" w:after="50" w:line="360" w:lineRule="auto"/>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331BCBAD">
            <w:pPr>
              <w:snapToGrid w:val="0"/>
              <w:spacing w:beforeLines="50" w:after="50" w:line="360" w:lineRule="auto"/>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57BF613E">
            <w:pPr>
              <w:snapToGrid w:val="0"/>
              <w:spacing w:beforeLines="50" w:after="50" w:line="360" w:lineRule="auto"/>
              <w:rPr>
                <w:rFonts w:hint="eastAsia" w:ascii="宋体" w:hAnsi="宋体" w:eastAsia="宋体" w:cs="宋体"/>
                <w:b/>
                <w:color w:val="auto"/>
                <w:kern w:val="44"/>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tcPr>
          <w:p w14:paraId="3BE57A8F">
            <w:pPr>
              <w:snapToGrid w:val="0"/>
              <w:spacing w:beforeLines="50" w:after="50" w:line="360" w:lineRule="auto"/>
              <w:rPr>
                <w:rFonts w:hint="eastAsia" w:ascii="宋体" w:hAnsi="宋体" w:eastAsia="宋体" w:cs="宋体"/>
                <w:b/>
                <w:color w:val="auto"/>
                <w:kern w:val="44"/>
                <w:sz w:val="21"/>
                <w:szCs w:val="21"/>
                <w:highlight w:val="none"/>
              </w:rPr>
            </w:pPr>
          </w:p>
        </w:tc>
        <w:tc>
          <w:tcPr>
            <w:tcW w:w="1457" w:type="dxa"/>
            <w:tcBorders>
              <w:top w:val="single" w:color="auto" w:sz="4" w:space="0"/>
              <w:left w:val="single" w:color="auto" w:sz="4" w:space="0"/>
              <w:bottom w:val="single" w:color="auto" w:sz="4" w:space="0"/>
              <w:right w:val="single" w:color="auto" w:sz="4" w:space="0"/>
            </w:tcBorders>
          </w:tcPr>
          <w:p w14:paraId="63360C2F">
            <w:pPr>
              <w:snapToGrid w:val="0"/>
              <w:spacing w:beforeLines="50" w:after="50" w:line="360" w:lineRule="auto"/>
              <w:rPr>
                <w:rFonts w:hint="eastAsia" w:ascii="宋体" w:hAnsi="宋体" w:eastAsia="宋体" w:cs="宋体"/>
                <w:b/>
                <w:color w:val="auto"/>
                <w:kern w:val="44"/>
                <w:sz w:val="21"/>
                <w:szCs w:val="21"/>
                <w:highlight w:val="none"/>
              </w:rPr>
            </w:pPr>
          </w:p>
        </w:tc>
        <w:tc>
          <w:tcPr>
            <w:tcW w:w="1529" w:type="dxa"/>
            <w:tcBorders>
              <w:top w:val="single" w:color="auto" w:sz="4" w:space="0"/>
              <w:left w:val="single" w:color="auto" w:sz="4" w:space="0"/>
              <w:bottom w:val="single" w:color="auto" w:sz="4" w:space="0"/>
            </w:tcBorders>
          </w:tcPr>
          <w:p w14:paraId="0D0C051E">
            <w:pPr>
              <w:snapToGrid w:val="0"/>
              <w:spacing w:beforeLines="50" w:after="50" w:line="360" w:lineRule="auto"/>
              <w:rPr>
                <w:rFonts w:hint="eastAsia" w:ascii="宋体" w:hAnsi="宋体" w:eastAsia="宋体" w:cs="宋体"/>
                <w:b/>
                <w:color w:val="auto"/>
                <w:kern w:val="44"/>
                <w:sz w:val="21"/>
                <w:szCs w:val="21"/>
                <w:highlight w:val="none"/>
              </w:rPr>
            </w:pPr>
          </w:p>
        </w:tc>
      </w:tr>
      <w:tr w14:paraId="473FA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tcPr>
          <w:p w14:paraId="41B298AF">
            <w:pPr>
              <w:snapToGrid w:val="0"/>
              <w:spacing w:beforeLines="50" w:after="50" w:line="360" w:lineRule="auto"/>
              <w:rPr>
                <w:rFonts w:hint="eastAsia" w:ascii="宋体" w:hAnsi="宋体" w:eastAsia="宋体" w:cs="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14:paraId="7EB52D95">
            <w:pPr>
              <w:snapToGrid w:val="0"/>
              <w:spacing w:beforeLines="50" w:after="50" w:line="360" w:lineRule="auto"/>
              <w:rPr>
                <w:rFonts w:hint="eastAsia" w:ascii="宋体" w:hAnsi="宋体" w:eastAsia="宋体" w:cs="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14:paraId="26B4052B">
            <w:pPr>
              <w:snapToGrid w:val="0"/>
              <w:spacing w:beforeLines="50" w:after="50" w:line="360" w:lineRule="auto"/>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4EDDC8EE">
            <w:pPr>
              <w:snapToGrid w:val="0"/>
              <w:spacing w:beforeLines="50" w:after="50" w:line="360" w:lineRule="auto"/>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55DFB214">
            <w:pPr>
              <w:snapToGrid w:val="0"/>
              <w:spacing w:beforeLines="50" w:after="50" w:line="360" w:lineRule="auto"/>
              <w:rPr>
                <w:rFonts w:hint="eastAsia" w:ascii="宋体" w:hAnsi="宋体" w:eastAsia="宋体" w:cs="宋体"/>
                <w:b/>
                <w:color w:val="auto"/>
                <w:kern w:val="44"/>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tcPr>
          <w:p w14:paraId="6DDC804E">
            <w:pPr>
              <w:snapToGrid w:val="0"/>
              <w:spacing w:beforeLines="50" w:after="50" w:line="360" w:lineRule="auto"/>
              <w:rPr>
                <w:rFonts w:hint="eastAsia" w:ascii="宋体" w:hAnsi="宋体" w:eastAsia="宋体" w:cs="宋体"/>
                <w:b/>
                <w:color w:val="auto"/>
                <w:kern w:val="44"/>
                <w:sz w:val="21"/>
                <w:szCs w:val="21"/>
                <w:highlight w:val="none"/>
              </w:rPr>
            </w:pPr>
          </w:p>
        </w:tc>
        <w:tc>
          <w:tcPr>
            <w:tcW w:w="1457" w:type="dxa"/>
            <w:tcBorders>
              <w:top w:val="single" w:color="auto" w:sz="4" w:space="0"/>
              <w:left w:val="single" w:color="auto" w:sz="4" w:space="0"/>
              <w:bottom w:val="single" w:color="auto" w:sz="4" w:space="0"/>
              <w:right w:val="single" w:color="auto" w:sz="4" w:space="0"/>
            </w:tcBorders>
          </w:tcPr>
          <w:p w14:paraId="65C6F930">
            <w:pPr>
              <w:snapToGrid w:val="0"/>
              <w:spacing w:beforeLines="50" w:after="50" w:line="360" w:lineRule="auto"/>
              <w:rPr>
                <w:rFonts w:hint="eastAsia" w:ascii="宋体" w:hAnsi="宋体" w:eastAsia="宋体" w:cs="宋体"/>
                <w:b/>
                <w:color w:val="auto"/>
                <w:kern w:val="44"/>
                <w:sz w:val="21"/>
                <w:szCs w:val="21"/>
                <w:highlight w:val="none"/>
              </w:rPr>
            </w:pPr>
          </w:p>
        </w:tc>
        <w:tc>
          <w:tcPr>
            <w:tcW w:w="1529" w:type="dxa"/>
            <w:tcBorders>
              <w:top w:val="single" w:color="auto" w:sz="4" w:space="0"/>
              <w:left w:val="single" w:color="auto" w:sz="4" w:space="0"/>
              <w:bottom w:val="single" w:color="auto" w:sz="4" w:space="0"/>
            </w:tcBorders>
          </w:tcPr>
          <w:p w14:paraId="4E560977">
            <w:pPr>
              <w:snapToGrid w:val="0"/>
              <w:spacing w:beforeLines="50" w:after="50" w:line="360" w:lineRule="auto"/>
              <w:rPr>
                <w:rFonts w:hint="eastAsia" w:ascii="宋体" w:hAnsi="宋体" w:eastAsia="宋体" w:cs="宋体"/>
                <w:b/>
                <w:color w:val="auto"/>
                <w:kern w:val="44"/>
                <w:sz w:val="21"/>
                <w:szCs w:val="21"/>
                <w:highlight w:val="none"/>
              </w:rPr>
            </w:pPr>
          </w:p>
        </w:tc>
      </w:tr>
      <w:tr w14:paraId="395D3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tcPr>
          <w:p w14:paraId="7F15F170">
            <w:pPr>
              <w:snapToGrid w:val="0"/>
              <w:spacing w:beforeLines="50" w:after="50" w:line="360" w:lineRule="auto"/>
              <w:rPr>
                <w:rFonts w:hint="eastAsia" w:ascii="宋体" w:hAnsi="宋体" w:eastAsia="宋体" w:cs="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14:paraId="6BCD3865">
            <w:pPr>
              <w:snapToGrid w:val="0"/>
              <w:spacing w:beforeLines="50" w:after="50" w:line="360" w:lineRule="auto"/>
              <w:rPr>
                <w:rFonts w:hint="eastAsia" w:ascii="宋体" w:hAnsi="宋体" w:eastAsia="宋体" w:cs="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14:paraId="3EC8C385">
            <w:pPr>
              <w:snapToGrid w:val="0"/>
              <w:spacing w:beforeLines="50" w:after="50" w:line="360" w:lineRule="auto"/>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6EA5D6F1">
            <w:pPr>
              <w:snapToGrid w:val="0"/>
              <w:spacing w:beforeLines="50" w:after="50" w:line="360" w:lineRule="auto"/>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2EFFCE20">
            <w:pPr>
              <w:snapToGrid w:val="0"/>
              <w:spacing w:beforeLines="50" w:after="50" w:line="360" w:lineRule="auto"/>
              <w:rPr>
                <w:rFonts w:hint="eastAsia" w:ascii="宋体" w:hAnsi="宋体" w:eastAsia="宋体" w:cs="宋体"/>
                <w:b/>
                <w:color w:val="auto"/>
                <w:kern w:val="44"/>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tcPr>
          <w:p w14:paraId="47016B88">
            <w:pPr>
              <w:snapToGrid w:val="0"/>
              <w:spacing w:beforeLines="50" w:after="50" w:line="360" w:lineRule="auto"/>
              <w:rPr>
                <w:rFonts w:hint="eastAsia" w:ascii="宋体" w:hAnsi="宋体" w:eastAsia="宋体" w:cs="宋体"/>
                <w:b/>
                <w:color w:val="auto"/>
                <w:kern w:val="44"/>
                <w:sz w:val="21"/>
                <w:szCs w:val="21"/>
                <w:highlight w:val="none"/>
              </w:rPr>
            </w:pPr>
          </w:p>
        </w:tc>
        <w:tc>
          <w:tcPr>
            <w:tcW w:w="1457" w:type="dxa"/>
            <w:tcBorders>
              <w:top w:val="single" w:color="auto" w:sz="4" w:space="0"/>
              <w:left w:val="single" w:color="auto" w:sz="4" w:space="0"/>
              <w:bottom w:val="single" w:color="auto" w:sz="4" w:space="0"/>
              <w:right w:val="single" w:color="auto" w:sz="4" w:space="0"/>
            </w:tcBorders>
          </w:tcPr>
          <w:p w14:paraId="367481DE">
            <w:pPr>
              <w:snapToGrid w:val="0"/>
              <w:spacing w:beforeLines="50" w:after="50" w:line="360" w:lineRule="auto"/>
              <w:rPr>
                <w:rFonts w:hint="eastAsia" w:ascii="宋体" w:hAnsi="宋体" w:eastAsia="宋体" w:cs="宋体"/>
                <w:b/>
                <w:color w:val="auto"/>
                <w:kern w:val="44"/>
                <w:sz w:val="21"/>
                <w:szCs w:val="21"/>
                <w:highlight w:val="none"/>
              </w:rPr>
            </w:pPr>
          </w:p>
        </w:tc>
        <w:tc>
          <w:tcPr>
            <w:tcW w:w="1529" w:type="dxa"/>
            <w:tcBorders>
              <w:top w:val="single" w:color="auto" w:sz="4" w:space="0"/>
              <w:left w:val="single" w:color="auto" w:sz="4" w:space="0"/>
              <w:bottom w:val="single" w:color="auto" w:sz="4" w:space="0"/>
            </w:tcBorders>
          </w:tcPr>
          <w:p w14:paraId="66BC7E7E">
            <w:pPr>
              <w:snapToGrid w:val="0"/>
              <w:spacing w:beforeLines="50" w:after="50" w:line="360" w:lineRule="auto"/>
              <w:rPr>
                <w:rFonts w:hint="eastAsia" w:ascii="宋体" w:hAnsi="宋体" w:eastAsia="宋体" w:cs="宋体"/>
                <w:b/>
                <w:color w:val="auto"/>
                <w:kern w:val="44"/>
                <w:sz w:val="21"/>
                <w:szCs w:val="21"/>
                <w:highlight w:val="none"/>
              </w:rPr>
            </w:pPr>
          </w:p>
        </w:tc>
      </w:tr>
      <w:tr w14:paraId="30B389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tcPr>
          <w:p w14:paraId="2C281C09">
            <w:pPr>
              <w:snapToGrid w:val="0"/>
              <w:spacing w:beforeLines="50" w:after="50" w:line="360" w:lineRule="auto"/>
              <w:rPr>
                <w:rFonts w:hint="eastAsia" w:ascii="宋体" w:hAnsi="宋体" w:eastAsia="宋体" w:cs="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14:paraId="2C465084">
            <w:pPr>
              <w:snapToGrid w:val="0"/>
              <w:spacing w:beforeLines="50" w:after="50" w:line="360" w:lineRule="auto"/>
              <w:rPr>
                <w:rFonts w:hint="eastAsia" w:ascii="宋体" w:hAnsi="宋体" w:eastAsia="宋体" w:cs="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14:paraId="161BE83F">
            <w:pPr>
              <w:snapToGrid w:val="0"/>
              <w:spacing w:beforeLines="50" w:after="50" w:line="360" w:lineRule="auto"/>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233A3B7C">
            <w:pPr>
              <w:snapToGrid w:val="0"/>
              <w:spacing w:beforeLines="50" w:after="50" w:line="360" w:lineRule="auto"/>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1729FDFA">
            <w:pPr>
              <w:snapToGrid w:val="0"/>
              <w:spacing w:beforeLines="50" w:after="50" w:line="360" w:lineRule="auto"/>
              <w:rPr>
                <w:rFonts w:hint="eastAsia" w:ascii="宋体" w:hAnsi="宋体" w:eastAsia="宋体" w:cs="宋体"/>
                <w:b/>
                <w:color w:val="auto"/>
                <w:kern w:val="44"/>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tcPr>
          <w:p w14:paraId="0342CD90">
            <w:pPr>
              <w:snapToGrid w:val="0"/>
              <w:spacing w:beforeLines="50" w:after="50" w:line="360" w:lineRule="auto"/>
              <w:rPr>
                <w:rFonts w:hint="eastAsia" w:ascii="宋体" w:hAnsi="宋体" w:eastAsia="宋体" w:cs="宋体"/>
                <w:b/>
                <w:color w:val="auto"/>
                <w:kern w:val="44"/>
                <w:sz w:val="21"/>
                <w:szCs w:val="21"/>
                <w:highlight w:val="none"/>
              </w:rPr>
            </w:pPr>
          </w:p>
        </w:tc>
        <w:tc>
          <w:tcPr>
            <w:tcW w:w="1457" w:type="dxa"/>
            <w:tcBorders>
              <w:top w:val="single" w:color="auto" w:sz="4" w:space="0"/>
              <w:left w:val="single" w:color="auto" w:sz="4" w:space="0"/>
              <w:bottom w:val="single" w:color="auto" w:sz="4" w:space="0"/>
              <w:right w:val="single" w:color="auto" w:sz="4" w:space="0"/>
            </w:tcBorders>
          </w:tcPr>
          <w:p w14:paraId="35DAC8E9">
            <w:pPr>
              <w:snapToGrid w:val="0"/>
              <w:spacing w:beforeLines="50" w:after="50" w:line="360" w:lineRule="auto"/>
              <w:rPr>
                <w:rFonts w:hint="eastAsia" w:ascii="宋体" w:hAnsi="宋体" w:eastAsia="宋体" w:cs="宋体"/>
                <w:b/>
                <w:color w:val="auto"/>
                <w:kern w:val="44"/>
                <w:sz w:val="21"/>
                <w:szCs w:val="21"/>
                <w:highlight w:val="none"/>
              </w:rPr>
            </w:pPr>
          </w:p>
        </w:tc>
        <w:tc>
          <w:tcPr>
            <w:tcW w:w="1529" w:type="dxa"/>
            <w:tcBorders>
              <w:top w:val="single" w:color="auto" w:sz="4" w:space="0"/>
              <w:left w:val="single" w:color="auto" w:sz="4" w:space="0"/>
              <w:bottom w:val="single" w:color="auto" w:sz="4" w:space="0"/>
            </w:tcBorders>
          </w:tcPr>
          <w:p w14:paraId="69F8D2F2">
            <w:pPr>
              <w:snapToGrid w:val="0"/>
              <w:spacing w:beforeLines="50" w:after="50" w:line="360" w:lineRule="auto"/>
              <w:rPr>
                <w:rFonts w:hint="eastAsia" w:ascii="宋体" w:hAnsi="宋体" w:eastAsia="宋体" w:cs="宋体"/>
                <w:b/>
                <w:color w:val="auto"/>
                <w:kern w:val="44"/>
                <w:sz w:val="21"/>
                <w:szCs w:val="21"/>
                <w:highlight w:val="none"/>
              </w:rPr>
            </w:pPr>
          </w:p>
        </w:tc>
      </w:tr>
      <w:tr w14:paraId="30C2B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tcPr>
          <w:p w14:paraId="48B1C778">
            <w:pPr>
              <w:snapToGrid w:val="0"/>
              <w:spacing w:beforeLines="50" w:after="50" w:line="360" w:lineRule="auto"/>
              <w:rPr>
                <w:rFonts w:hint="eastAsia" w:ascii="宋体" w:hAnsi="宋体" w:eastAsia="宋体" w:cs="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14:paraId="5D3D1F08">
            <w:pPr>
              <w:snapToGrid w:val="0"/>
              <w:spacing w:beforeLines="50" w:after="50" w:line="360" w:lineRule="auto"/>
              <w:rPr>
                <w:rFonts w:hint="eastAsia" w:ascii="宋体" w:hAnsi="宋体" w:eastAsia="宋体" w:cs="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14:paraId="5D414997">
            <w:pPr>
              <w:snapToGrid w:val="0"/>
              <w:spacing w:beforeLines="50" w:after="50" w:line="360" w:lineRule="auto"/>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194C11C4">
            <w:pPr>
              <w:snapToGrid w:val="0"/>
              <w:spacing w:beforeLines="50" w:after="50" w:line="360" w:lineRule="auto"/>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6AA325E1">
            <w:pPr>
              <w:snapToGrid w:val="0"/>
              <w:spacing w:beforeLines="50" w:after="50" w:line="360" w:lineRule="auto"/>
              <w:rPr>
                <w:rFonts w:hint="eastAsia" w:ascii="宋体" w:hAnsi="宋体" w:eastAsia="宋体" w:cs="宋体"/>
                <w:b/>
                <w:color w:val="auto"/>
                <w:kern w:val="44"/>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tcPr>
          <w:p w14:paraId="701D8105">
            <w:pPr>
              <w:snapToGrid w:val="0"/>
              <w:spacing w:beforeLines="50" w:after="50" w:line="360" w:lineRule="auto"/>
              <w:rPr>
                <w:rFonts w:hint="eastAsia" w:ascii="宋体" w:hAnsi="宋体" w:eastAsia="宋体" w:cs="宋体"/>
                <w:b/>
                <w:color w:val="auto"/>
                <w:kern w:val="44"/>
                <w:sz w:val="21"/>
                <w:szCs w:val="21"/>
                <w:highlight w:val="none"/>
              </w:rPr>
            </w:pPr>
          </w:p>
        </w:tc>
        <w:tc>
          <w:tcPr>
            <w:tcW w:w="1457" w:type="dxa"/>
            <w:tcBorders>
              <w:top w:val="single" w:color="auto" w:sz="4" w:space="0"/>
              <w:left w:val="single" w:color="auto" w:sz="4" w:space="0"/>
              <w:bottom w:val="single" w:color="auto" w:sz="4" w:space="0"/>
              <w:right w:val="single" w:color="auto" w:sz="4" w:space="0"/>
            </w:tcBorders>
          </w:tcPr>
          <w:p w14:paraId="038928B4">
            <w:pPr>
              <w:snapToGrid w:val="0"/>
              <w:spacing w:beforeLines="50" w:after="50" w:line="360" w:lineRule="auto"/>
              <w:rPr>
                <w:rFonts w:hint="eastAsia" w:ascii="宋体" w:hAnsi="宋体" w:eastAsia="宋体" w:cs="宋体"/>
                <w:b/>
                <w:color w:val="auto"/>
                <w:kern w:val="44"/>
                <w:sz w:val="21"/>
                <w:szCs w:val="21"/>
                <w:highlight w:val="none"/>
              </w:rPr>
            </w:pPr>
          </w:p>
        </w:tc>
        <w:tc>
          <w:tcPr>
            <w:tcW w:w="1529" w:type="dxa"/>
            <w:tcBorders>
              <w:top w:val="single" w:color="auto" w:sz="4" w:space="0"/>
              <w:left w:val="single" w:color="auto" w:sz="4" w:space="0"/>
              <w:bottom w:val="single" w:color="auto" w:sz="4" w:space="0"/>
            </w:tcBorders>
          </w:tcPr>
          <w:p w14:paraId="1BFDD8D4">
            <w:pPr>
              <w:snapToGrid w:val="0"/>
              <w:spacing w:beforeLines="50" w:after="50" w:line="360" w:lineRule="auto"/>
              <w:rPr>
                <w:rFonts w:hint="eastAsia" w:ascii="宋体" w:hAnsi="宋体" w:eastAsia="宋体" w:cs="宋体"/>
                <w:b/>
                <w:color w:val="auto"/>
                <w:kern w:val="44"/>
                <w:sz w:val="21"/>
                <w:szCs w:val="21"/>
                <w:highlight w:val="none"/>
              </w:rPr>
            </w:pPr>
          </w:p>
        </w:tc>
      </w:tr>
    </w:tbl>
    <w:p w14:paraId="71460B0E">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4EF7D500">
      <w:pPr>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69DE3099">
      <w:pPr>
        <w:pStyle w:val="4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16641F73">
      <w:pPr>
        <w:pStyle w:val="4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出具上述人员在本单位服务的外部证明，如：投标截止日之前的代缴个税税单、参加社会保险的《投保单》或《社会保险参保人员证明》等。</w:t>
      </w:r>
    </w:p>
    <w:p w14:paraId="4B447429">
      <w:pPr>
        <w:spacing w:line="360" w:lineRule="auto"/>
        <w:ind w:firstLine="420" w:firstLineChars="200"/>
        <w:rPr>
          <w:rFonts w:hint="eastAsia" w:ascii="宋体" w:hAnsi="宋体" w:eastAsia="宋体" w:cs="宋体"/>
          <w:color w:val="auto"/>
          <w:sz w:val="21"/>
          <w:szCs w:val="21"/>
          <w:highlight w:val="none"/>
        </w:rPr>
      </w:pPr>
    </w:p>
    <w:p w14:paraId="5F293039">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5493BB2C">
      <w:pPr>
        <w:spacing w:line="360" w:lineRule="auto"/>
        <w:ind w:left="420"/>
        <w:rPr>
          <w:rFonts w:hint="eastAsia" w:ascii="宋体" w:hAnsi="宋体" w:eastAsia="宋体" w:cs="宋体"/>
          <w:color w:val="auto"/>
          <w:sz w:val="21"/>
          <w:szCs w:val="21"/>
          <w:highlight w:val="none"/>
        </w:rPr>
      </w:pPr>
    </w:p>
    <w:p w14:paraId="254DAB46">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2335E669">
      <w:pPr>
        <w:spacing w:line="360" w:lineRule="auto"/>
        <w:rPr>
          <w:rFonts w:hint="eastAsia" w:ascii="宋体" w:hAnsi="宋体" w:eastAsia="宋体" w:cs="宋体"/>
          <w:color w:val="auto"/>
          <w:sz w:val="21"/>
          <w:szCs w:val="21"/>
          <w:highlight w:val="none"/>
        </w:rPr>
      </w:pPr>
    </w:p>
    <w:p w14:paraId="24922204">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41AB912B">
      <w:pPr>
        <w:spacing w:line="360" w:lineRule="auto"/>
        <w:rPr>
          <w:rFonts w:hint="eastAsia" w:ascii="宋体" w:hAnsi="宋体" w:eastAsia="宋体" w:cs="宋体"/>
          <w:b/>
          <w:color w:val="auto"/>
          <w:sz w:val="28"/>
          <w:highlight w:val="none"/>
        </w:rPr>
      </w:pPr>
    </w:p>
    <w:p w14:paraId="7D16E71C">
      <w:pPr>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8170562">
      <w:pPr>
        <w:spacing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9</w:t>
      </w:r>
    </w:p>
    <w:p w14:paraId="5C7229DA">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458FFDB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采购编号：</w:t>
      </w:r>
    </w:p>
    <w:tbl>
      <w:tblPr>
        <w:tblStyle w:val="22"/>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302EF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0FB27378">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姓名</w:t>
            </w:r>
          </w:p>
        </w:tc>
        <w:tc>
          <w:tcPr>
            <w:tcW w:w="2967" w:type="dxa"/>
            <w:tcBorders>
              <w:top w:val="single" w:color="auto" w:sz="12" w:space="0"/>
            </w:tcBorders>
            <w:vAlign w:val="center"/>
          </w:tcPr>
          <w:p w14:paraId="6C7EA9C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tcBorders>
              <w:top w:val="single" w:color="auto" w:sz="12" w:space="0"/>
              <w:right w:val="single" w:color="auto" w:sz="12" w:space="0"/>
            </w:tcBorders>
            <w:vAlign w:val="center"/>
          </w:tcPr>
          <w:p w14:paraId="74C68601">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近年来主要工作业绩</w:t>
            </w:r>
          </w:p>
        </w:tc>
      </w:tr>
      <w:tr w14:paraId="15016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FB2DBBA">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性别</w:t>
            </w:r>
          </w:p>
        </w:tc>
        <w:tc>
          <w:tcPr>
            <w:tcW w:w="2967" w:type="dxa"/>
            <w:vAlign w:val="center"/>
          </w:tcPr>
          <w:p w14:paraId="61B91B1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restart"/>
            <w:tcBorders>
              <w:right w:val="single" w:color="auto" w:sz="12" w:space="0"/>
            </w:tcBorders>
            <w:vAlign w:val="center"/>
          </w:tcPr>
          <w:p w14:paraId="292BB240">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注：业绩证明应提供</w:t>
            </w:r>
            <w:r>
              <w:rPr>
                <w:rFonts w:hint="eastAsia" w:ascii="宋体" w:hAnsi="宋体" w:cs="宋体"/>
                <w:color w:val="auto"/>
                <w:sz w:val="21"/>
                <w:szCs w:val="21"/>
                <w:highlight w:val="none"/>
                <w:lang w:val="en-US" w:eastAsia="zh-CN"/>
              </w:rPr>
              <w:t>佐证</w:t>
            </w:r>
            <w:r>
              <w:rPr>
                <w:rFonts w:hint="eastAsia" w:ascii="宋体" w:hAnsi="宋体" w:eastAsia="宋体" w:cs="宋体"/>
                <w:color w:val="auto"/>
                <w:sz w:val="21"/>
                <w:szCs w:val="21"/>
                <w:highlight w:val="none"/>
              </w:rPr>
              <w:t>材料</w:t>
            </w:r>
          </w:p>
          <w:p w14:paraId="49EAE48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合同或中标通知书）。</w:t>
            </w:r>
          </w:p>
        </w:tc>
      </w:tr>
      <w:tr w14:paraId="0F6C7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16D80C0">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年龄</w:t>
            </w:r>
          </w:p>
        </w:tc>
        <w:tc>
          <w:tcPr>
            <w:tcW w:w="2967" w:type="dxa"/>
            <w:vAlign w:val="center"/>
          </w:tcPr>
          <w:p w14:paraId="4C469F4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2031F60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2D7A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24C5BD6">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职称</w:t>
            </w:r>
          </w:p>
        </w:tc>
        <w:tc>
          <w:tcPr>
            <w:tcW w:w="2967" w:type="dxa"/>
            <w:vAlign w:val="center"/>
          </w:tcPr>
          <w:p w14:paraId="00118A3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6F147C5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12278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8940179">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毕业时间</w:t>
            </w:r>
          </w:p>
        </w:tc>
        <w:tc>
          <w:tcPr>
            <w:tcW w:w="2967" w:type="dxa"/>
            <w:vAlign w:val="center"/>
          </w:tcPr>
          <w:p w14:paraId="74C1CD9D">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0B6EBF9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222D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1FDB269">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学校专业</w:t>
            </w:r>
          </w:p>
        </w:tc>
        <w:tc>
          <w:tcPr>
            <w:tcW w:w="2967" w:type="dxa"/>
            <w:vAlign w:val="center"/>
          </w:tcPr>
          <w:p w14:paraId="1178638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0B20BBB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26F95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3A7EDC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联系电话</w:t>
            </w:r>
          </w:p>
        </w:tc>
        <w:tc>
          <w:tcPr>
            <w:tcW w:w="2967" w:type="dxa"/>
            <w:vAlign w:val="center"/>
          </w:tcPr>
          <w:p w14:paraId="40C15027">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22B94FA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1FE40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C4128B9">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最近一年工作状况</w:t>
            </w:r>
          </w:p>
        </w:tc>
        <w:tc>
          <w:tcPr>
            <w:tcW w:w="2967" w:type="dxa"/>
            <w:vAlign w:val="center"/>
          </w:tcPr>
          <w:p w14:paraId="254718B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152A9217">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A8A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076E1B54">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4F92942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bl>
    <w:p w14:paraId="02CA0C1E">
      <w:pPr>
        <w:spacing w:line="360" w:lineRule="auto"/>
        <w:ind w:left="420"/>
        <w:rPr>
          <w:rFonts w:hint="eastAsia" w:ascii="宋体" w:hAnsi="宋体" w:eastAsia="宋体" w:cs="宋体"/>
          <w:color w:val="auto"/>
          <w:sz w:val="21"/>
          <w:szCs w:val="21"/>
          <w:highlight w:val="none"/>
        </w:rPr>
      </w:pPr>
    </w:p>
    <w:p w14:paraId="1FAC9EC2">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115687EA">
      <w:pPr>
        <w:spacing w:line="360" w:lineRule="auto"/>
        <w:ind w:left="420"/>
        <w:rPr>
          <w:rFonts w:hint="eastAsia" w:ascii="宋体" w:hAnsi="宋体" w:eastAsia="宋体" w:cs="宋体"/>
          <w:color w:val="auto"/>
          <w:sz w:val="21"/>
          <w:szCs w:val="21"/>
          <w:highlight w:val="none"/>
        </w:rPr>
      </w:pPr>
    </w:p>
    <w:p w14:paraId="49F2C17D">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6B5607E6">
      <w:pPr>
        <w:spacing w:line="360" w:lineRule="auto"/>
        <w:rPr>
          <w:rFonts w:hint="eastAsia" w:ascii="宋体" w:hAnsi="宋体" w:eastAsia="宋体" w:cs="宋体"/>
          <w:color w:val="auto"/>
          <w:sz w:val="21"/>
          <w:szCs w:val="21"/>
          <w:highlight w:val="none"/>
        </w:rPr>
      </w:pPr>
    </w:p>
    <w:p w14:paraId="4DA2496D">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1E59F063">
      <w:pPr>
        <w:snapToGrid w:val="0"/>
        <w:spacing w:before="50" w:after="50" w:line="360" w:lineRule="auto"/>
        <w:rPr>
          <w:rFonts w:hint="eastAsia" w:ascii="宋体" w:hAnsi="宋体" w:eastAsia="宋体" w:cs="宋体"/>
          <w:b/>
          <w:color w:val="auto"/>
          <w:sz w:val="21"/>
          <w:szCs w:val="21"/>
          <w:highlight w:val="none"/>
        </w:rPr>
      </w:pPr>
    </w:p>
    <w:p w14:paraId="5E5197AE">
      <w:pPr>
        <w:pStyle w:val="6"/>
        <w:rPr>
          <w:rFonts w:hint="eastAsia" w:ascii="宋体" w:hAnsi="宋体" w:eastAsia="宋体" w:cs="宋体"/>
          <w:color w:val="auto"/>
          <w:highlight w:val="none"/>
        </w:rPr>
      </w:pPr>
    </w:p>
    <w:p w14:paraId="40C3B80E">
      <w:pPr>
        <w:pStyle w:val="6"/>
        <w:rPr>
          <w:rFonts w:hint="eastAsia" w:ascii="宋体" w:hAnsi="宋体" w:eastAsia="宋体" w:cs="宋体"/>
          <w:color w:val="auto"/>
          <w:highlight w:val="none"/>
        </w:rPr>
      </w:pPr>
    </w:p>
    <w:p w14:paraId="7927D6E9">
      <w:pPr>
        <w:snapToGrid w:val="0"/>
        <w:spacing w:before="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729AAC6F">
      <w:pPr>
        <w:snapToGrid w:val="0"/>
        <w:spacing w:before="50" w:after="50" w:line="360" w:lineRule="auto"/>
        <w:outlineLvl w:val="9"/>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10</w:t>
      </w:r>
    </w:p>
    <w:p w14:paraId="543B0C9C">
      <w:pPr>
        <w:spacing w:line="360" w:lineRule="auto"/>
        <w:ind w:left="480"/>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kern w:val="0"/>
          <w:sz w:val="32"/>
          <w:szCs w:val="32"/>
          <w:highlight w:val="none"/>
        </w:rPr>
        <w:t>技术需求响应表</w:t>
      </w:r>
    </w:p>
    <w:p w14:paraId="0EEF15F8">
      <w:pPr>
        <w:spacing w:line="360" w:lineRule="auto"/>
        <w:rPr>
          <w:rFonts w:hint="eastAsia" w:ascii="宋体" w:hAnsi="宋体" w:eastAsia="宋体" w:cs="宋体"/>
          <w:color w:val="auto"/>
          <w:sz w:val="21"/>
          <w:szCs w:val="21"/>
          <w:highlight w:val="none"/>
        </w:rPr>
      </w:pPr>
    </w:p>
    <w:tbl>
      <w:tblPr>
        <w:tblStyle w:val="22"/>
        <w:tblW w:w="83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560"/>
        <w:gridCol w:w="2250"/>
        <w:gridCol w:w="2006"/>
      </w:tblGrid>
      <w:tr w14:paraId="6DA2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14:paraId="651CB007">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85" w:type="dxa"/>
            <w:vAlign w:val="center"/>
          </w:tcPr>
          <w:p w14:paraId="749C86DF">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560" w:type="dxa"/>
            <w:vAlign w:val="center"/>
          </w:tcPr>
          <w:p w14:paraId="55595DAE">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招标参数</w:t>
            </w:r>
          </w:p>
        </w:tc>
        <w:tc>
          <w:tcPr>
            <w:tcW w:w="2250" w:type="dxa"/>
            <w:vAlign w:val="center"/>
          </w:tcPr>
          <w:p w14:paraId="5A26B623">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投标参数</w:t>
            </w:r>
          </w:p>
        </w:tc>
        <w:tc>
          <w:tcPr>
            <w:tcW w:w="2006" w:type="dxa"/>
            <w:vAlign w:val="center"/>
          </w:tcPr>
          <w:p w14:paraId="651E8960">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偏离说明</w:t>
            </w:r>
          </w:p>
        </w:tc>
      </w:tr>
      <w:tr w14:paraId="311E1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3C4FD0D6">
            <w:pPr>
              <w:spacing w:line="360" w:lineRule="auto"/>
              <w:rPr>
                <w:rFonts w:hint="eastAsia" w:ascii="宋体" w:hAnsi="宋体" w:eastAsia="宋体" w:cs="宋体"/>
                <w:color w:val="auto"/>
                <w:sz w:val="21"/>
                <w:szCs w:val="21"/>
                <w:highlight w:val="none"/>
              </w:rPr>
            </w:pPr>
          </w:p>
        </w:tc>
        <w:tc>
          <w:tcPr>
            <w:tcW w:w="1785" w:type="dxa"/>
            <w:vAlign w:val="center"/>
          </w:tcPr>
          <w:p w14:paraId="160D7727">
            <w:pPr>
              <w:spacing w:line="360" w:lineRule="auto"/>
              <w:rPr>
                <w:rFonts w:hint="eastAsia" w:ascii="宋体" w:hAnsi="宋体" w:eastAsia="宋体" w:cs="宋体"/>
                <w:color w:val="auto"/>
                <w:sz w:val="21"/>
                <w:szCs w:val="21"/>
                <w:highlight w:val="none"/>
              </w:rPr>
            </w:pPr>
          </w:p>
        </w:tc>
        <w:tc>
          <w:tcPr>
            <w:tcW w:w="1560" w:type="dxa"/>
            <w:vAlign w:val="center"/>
          </w:tcPr>
          <w:p w14:paraId="4476B060">
            <w:pPr>
              <w:spacing w:line="360" w:lineRule="auto"/>
              <w:rPr>
                <w:rFonts w:hint="eastAsia" w:ascii="宋体" w:hAnsi="宋体" w:eastAsia="宋体" w:cs="宋体"/>
                <w:color w:val="auto"/>
                <w:sz w:val="21"/>
                <w:szCs w:val="21"/>
                <w:highlight w:val="none"/>
              </w:rPr>
            </w:pPr>
          </w:p>
        </w:tc>
        <w:tc>
          <w:tcPr>
            <w:tcW w:w="2250" w:type="dxa"/>
            <w:vAlign w:val="center"/>
          </w:tcPr>
          <w:p w14:paraId="0BBD547A">
            <w:pPr>
              <w:spacing w:line="360" w:lineRule="auto"/>
              <w:rPr>
                <w:rFonts w:hint="eastAsia" w:ascii="宋体" w:hAnsi="宋体" w:eastAsia="宋体" w:cs="宋体"/>
                <w:color w:val="auto"/>
                <w:sz w:val="21"/>
                <w:szCs w:val="21"/>
                <w:highlight w:val="none"/>
              </w:rPr>
            </w:pPr>
          </w:p>
        </w:tc>
        <w:tc>
          <w:tcPr>
            <w:tcW w:w="2006" w:type="dxa"/>
            <w:vAlign w:val="center"/>
          </w:tcPr>
          <w:p w14:paraId="5EC41E1F">
            <w:pPr>
              <w:spacing w:line="360" w:lineRule="auto"/>
              <w:rPr>
                <w:rFonts w:hint="eastAsia" w:ascii="宋体" w:hAnsi="宋体" w:eastAsia="宋体" w:cs="宋体"/>
                <w:color w:val="auto"/>
                <w:sz w:val="21"/>
                <w:szCs w:val="21"/>
                <w:highlight w:val="none"/>
              </w:rPr>
            </w:pPr>
          </w:p>
        </w:tc>
      </w:tr>
      <w:tr w14:paraId="38871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299146E1">
            <w:pPr>
              <w:spacing w:line="360" w:lineRule="auto"/>
              <w:rPr>
                <w:rFonts w:hint="eastAsia" w:ascii="宋体" w:hAnsi="宋体" w:eastAsia="宋体" w:cs="宋体"/>
                <w:color w:val="auto"/>
                <w:sz w:val="21"/>
                <w:szCs w:val="21"/>
                <w:highlight w:val="none"/>
              </w:rPr>
            </w:pPr>
          </w:p>
        </w:tc>
        <w:tc>
          <w:tcPr>
            <w:tcW w:w="1785" w:type="dxa"/>
            <w:vAlign w:val="center"/>
          </w:tcPr>
          <w:p w14:paraId="7211A4E5">
            <w:pPr>
              <w:spacing w:line="360" w:lineRule="auto"/>
              <w:rPr>
                <w:rFonts w:hint="eastAsia" w:ascii="宋体" w:hAnsi="宋体" w:eastAsia="宋体" w:cs="宋体"/>
                <w:color w:val="auto"/>
                <w:sz w:val="21"/>
                <w:szCs w:val="21"/>
                <w:highlight w:val="none"/>
              </w:rPr>
            </w:pPr>
          </w:p>
        </w:tc>
        <w:tc>
          <w:tcPr>
            <w:tcW w:w="1560" w:type="dxa"/>
            <w:vAlign w:val="center"/>
          </w:tcPr>
          <w:p w14:paraId="599E5231">
            <w:pPr>
              <w:spacing w:line="360" w:lineRule="auto"/>
              <w:rPr>
                <w:rFonts w:hint="eastAsia" w:ascii="宋体" w:hAnsi="宋体" w:eastAsia="宋体" w:cs="宋体"/>
                <w:color w:val="auto"/>
                <w:sz w:val="21"/>
                <w:szCs w:val="21"/>
                <w:highlight w:val="none"/>
              </w:rPr>
            </w:pPr>
          </w:p>
        </w:tc>
        <w:tc>
          <w:tcPr>
            <w:tcW w:w="2250" w:type="dxa"/>
            <w:vAlign w:val="center"/>
          </w:tcPr>
          <w:p w14:paraId="5E79D6FC">
            <w:pPr>
              <w:spacing w:line="360" w:lineRule="auto"/>
              <w:rPr>
                <w:rFonts w:hint="eastAsia" w:ascii="宋体" w:hAnsi="宋体" w:eastAsia="宋体" w:cs="宋体"/>
                <w:color w:val="auto"/>
                <w:sz w:val="21"/>
                <w:szCs w:val="21"/>
                <w:highlight w:val="none"/>
              </w:rPr>
            </w:pPr>
          </w:p>
        </w:tc>
        <w:tc>
          <w:tcPr>
            <w:tcW w:w="2006" w:type="dxa"/>
            <w:vAlign w:val="center"/>
          </w:tcPr>
          <w:p w14:paraId="78C9E001">
            <w:pPr>
              <w:spacing w:line="360" w:lineRule="auto"/>
              <w:rPr>
                <w:rFonts w:hint="eastAsia" w:ascii="宋体" w:hAnsi="宋体" w:eastAsia="宋体" w:cs="宋体"/>
                <w:color w:val="auto"/>
                <w:sz w:val="21"/>
                <w:szCs w:val="21"/>
                <w:highlight w:val="none"/>
              </w:rPr>
            </w:pPr>
          </w:p>
        </w:tc>
      </w:tr>
      <w:tr w14:paraId="23CB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831A248">
            <w:pPr>
              <w:spacing w:line="360" w:lineRule="auto"/>
              <w:rPr>
                <w:rFonts w:hint="eastAsia" w:ascii="宋体" w:hAnsi="宋体" w:eastAsia="宋体" w:cs="宋体"/>
                <w:color w:val="auto"/>
                <w:sz w:val="21"/>
                <w:szCs w:val="21"/>
                <w:highlight w:val="none"/>
              </w:rPr>
            </w:pPr>
          </w:p>
        </w:tc>
        <w:tc>
          <w:tcPr>
            <w:tcW w:w="1785" w:type="dxa"/>
            <w:vAlign w:val="center"/>
          </w:tcPr>
          <w:p w14:paraId="3285CD17">
            <w:pPr>
              <w:spacing w:line="360" w:lineRule="auto"/>
              <w:rPr>
                <w:rFonts w:hint="eastAsia" w:ascii="宋体" w:hAnsi="宋体" w:eastAsia="宋体" w:cs="宋体"/>
                <w:color w:val="auto"/>
                <w:sz w:val="21"/>
                <w:szCs w:val="21"/>
                <w:highlight w:val="none"/>
              </w:rPr>
            </w:pPr>
          </w:p>
        </w:tc>
        <w:tc>
          <w:tcPr>
            <w:tcW w:w="1560" w:type="dxa"/>
            <w:vAlign w:val="center"/>
          </w:tcPr>
          <w:p w14:paraId="56AFAD17">
            <w:pPr>
              <w:spacing w:line="360" w:lineRule="auto"/>
              <w:rPr>
                <w:rFonts w:hint="eastAsia" w:ascii="宋体" w:hAnsi="宋体" w:eastAsia="宋体" w:cs="宋体"/>
                <w:color w:val="auto"/>
                <w:sz w:val="21"/>
                <w:szCs w:val="21"/>
                <w:highlight w:val="none"/>
              </w:rPr>
            </w:pPr>
          </w:p>
        </w:tc>
        <w:tc>
          <w:tcPr>
            <w:tcW w:w="2250" w:type="dxa"/>
            <w:vAlign w:val="center"/>
          </w:tcPr>
          <w:p w14:paraId="60E9E824">
            <w:pPr>
              <w:spacing w:line="360" w:lineRule="auto"/>
              <w:rPr>
                <w:rFonts w:hint="eastAsia" w:ascii="宋体" w:hAnsi="宋体" w:eastAsia="宋体" w:cs="宋体"/>
                <w:color w:val="auto"/>
                <w:sz w:val="21"/>
                <w:szCs w:val="21"/>
                <w:highlight w:val="none"/>
              </w:rPr>
            </w:pPr>
          </w:p>
        </w:tc>
        <w:tc>
          <w:tcPr>
            <w:tcW w:w="2006" w:type="dxa"/>
            <w:vAlign w:val="center"/>
          </w:tcPr>
          <w:p w14:paraId="07F06EB8">
            <w:pPr>
              <w:spacing w:line="360" w:lineRule="auto"/>
              <w:rPr>
                <w:rFonts w:hint="eastAsia" w:ascii="宋体" w:hAnsi="宋体" w:eastAsia="宋体" w:cs="宋体"/>
                <w:color w:val="auto"/>
                <w:sz w:val="21"/>
                <w:szCs w:val="21"/>
                <w:highlight w:val="none"/>
              </w:rPr>
            </w:pPr>
          </w:p>
        </w:tc>
      </w:tr>
      <w:tr w14:paraId="6E425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E6EB06D">
            <w:pPr>
              <w:spacing w:line="360" w:lineRule="auto"/>
              <w:rPr>
                <w:rFonts w:hint="eastAsia" w:ascii="宋体" w:hAnsi="宋体" w:eastAsia="宋体" w:cs="宋体"/>
                <w:color w:val="auto"/>
                <w:sz w:val="21"/>
                <w:szCs w:val="21"/>
                <w:highlight w:val="none"/>
              </w:rPr>
            </w:pPr>
          </w:p>
        </w:tc>
        <w:tc>
          <w:tcPr>
            <w:tcW w:w="1785" w:type="dxa"/>
            <w:vAlign w:val="center"/>
          </w:tcPr>
          <w:p w14:paraId="24059D8C">
            <w:pPr>
              <w:spacing w:line="360" w:lineRule="auto"/>
              <w:rPr>
                <w:rFonts w:hint="eastAsia" w:ascii="宋体" w:hAnsi="宋体" w:eastAsia="宋体" w:cs="宋体"/>
                <w:color w:val="auto"/>
                <w:sz w:val="21"/>
                <w:szCs w:val="21"/>
                <w:highlight w:val="none"/>
              </w:rPr>
            </w:pPr>
          </w:p>
        </w:tc>
        <w:tc>
          <w:tcPr>
            <w:tcW w:w="1560" w:type="dxa"/>
            <w:vAlign w:val="center"/>
          </w:tcPr>
          <w:p w14:paraId="0462EB92">
            <w:pPr>
              <w:spacing w:line="360" w:lineRule="auto"/>
              <w:rPr>
                <w:rFonts w:hint="eastAsia" w:ascii="宋体" w:hAnsi="宋体" w:eastAsia="宋体" w:cs="宋体"/>
                <w:color w:val="auto"/>
                <w:sz w:val="21"/>
                <w:szCs w:val="21"/>
                <w:highlight w:val="none"/>
              </w:rPr>
            </w:pPr>
          </w:p>
        </w:tc>
        <w:tc>
          <w:tcPr>
            <w:tcW w:w="2250" w:type="dxa"/>
            <w:vAlign w:val="center"/>
          </w:tcPr>
          <w:p w14:paraId="3372489F">
            <w:pPr>
              <w:spacing w:line="360" w:lineRule="auto"/>
              <w:rPr>
                <w:rFonts w:hint="eastAsia" w:ascii="宋体" w:hAnsi="宋体" w:eastAsia="宋体" w:cs="宋体"/>
                <w:color w:val="auto"/>
                <w:sz w:val="21"/>
                <w:szCs w:val="21"/>
                <w:highlight w:val="none"/>
              </w:rPr>
            </w:pPr>
          </w:p>
        </w:tc>
        <w:tc>
          <w:tcPr>
            <w:tcW w:w="2006" w:type="dxa"/>
            <w:vAlign w:val="center"/>
          </w:tcPr>
          <w:p w14:paraId="3611AD0A">
            <w:pPr>
              <w:spacing w:line="360" w:lineRule="auto"/>
              <w:rPr>
                <w:rFonts w:hint="eastAsia" w:ascii="宋体" w:hAnsi="宋体" w:eastAsia="宋体" w:cs="宋体"/>
                <w:color w:val="auto"/>
                <w:sz w:val="21"/>
                <w:szCs w:val="21"/>
                <w:highlight w:val="none"/>
              </w:rPr>
            </w:pPr>
          </w:p>
        </w:tc>
      </w:tr>
      <w:tr w14:paraId="4126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52942FB2">
            <w:pPr>
              <w:spacing w:line="360" w:lineRule="auto"/>
              <w:rPr>
                <w:rFonts w:hint="eastAsia" w:ascii="宋体" w:hAnsi="宋体" w:eastAsia="宋体" w:cs="宋体"/>
                <w:color w:val="auto"/>
                <w:sz w:val="21"/>
                <w:szCs w:val="21"/>
                <w:highlight w:val="none"/>
              </w:rPr>
            </w:pPr>
          </w:p>
        </w:tc>
        <w:tc>
          <w:tcPr>
            <w:tcW w:w="1785" w:type="dxa"/>
            <w:vAlign w:val="center"/>
          </w:tcPr>
          <w:p w14:paraId="1DE5032C">
            <w:pPr>
              <w:spacing w:line="360" w:lineRule="auto"/>
              <w:rPr>
                <w:rFonts w:hint="eastAsia" w:ascii="宋体" w:hAnsi="宋体" w:eastAsia="宋体" w:cs="宋体"/>
                <w:color w:val="auto"/>
                <w:sz w:val="21"/>
                <w:szCs w:val="21"/>
                <w:highlight w:val="none"/>
              </w:rPr>
            </w:pPr>
          </w:p>
        </w:tc>
        <w:tc>
          <w:tcPr>
            <w:tcW w:w="1560" w:type="dxa"/>
            <w:vAlign w:val="center"/>
          </w:tcPr>
          <w:p w14:paraId="2B00D46F">
            <w:pPr>
              <w:spacing w:line="360" w:lineRule="auto"/>
              <w:rPr>
                <w:rFonts w:hint="eastAsia" w:ascii="宋体" w:hAnsi="宋体" w:eastAsia="宋体" w:cs="宋体"/>
                <w:color w:val="auto"/>
                <w:sz w:val="21"/>
                <w:szCs w:val="21"/>
                <w:highlight w:val="none"/>
              </w:rPr>
            </w:pPr>
          </w:p>
        </w:tc>
        <w:tc>
          <w:tcPr>
            <w:tcW w:w="2250" w:type="dxa"/>
            <w:vAlign w:val="center"/>
          </w:tcPr>
          <w:p w14:paraId="2837251D">
            <w:pPr>
              <w:spacing w:line="360" w:lineRule="auto"/>
              <w:rPr>
                <w:rFonts w:hint="eastAsia" w:ascii="宋体" w:hAnsi="宋体" w:eastAsia="宋体" w:cs="宋体"/>
                <w:color w:val="auto"/>
                <w:sz w:val="21"/>
                <w:szCs w:val="21"/>
                <w:highlight w:val="none"/>
              </w:rPr>
            </w:pPr>
          </w:p>
        </w:tc>
        <w:tc>
          <w:tcPr>
            <w:tcW w:w="2006" w:type="dxa"/>
            <w:vAlign w:val="center"/>
          </w:tcPr>
          <w:p w14:paraId="44E9110F">
            <w:pPr>
              <w:spacing w:line="360" w:lineRule="auto"/>
              <w:rPr>
                <w:rFonts w:hint="eastAsia" w:ascii="宋体" w:hAnsi="宋体" w:eastAsia="宋体" w:cs="宋体"/>
                <w:color w:val="auto"/>
                <w:sz w:val="21"/>
                <w:szCs w:val="21"/>
                <w:highlight w:val="none"/>
              </w:rPr>
            </w:pPr>
          </w:p>
        </w:tc>
      </w:tr>
      <w:tr w14:paraId="15CF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175A3B12">
            <w:pPr>
              <w:spacing w:line="360" w:lineRule="auto"/>
              <w:rPr>
                <w:rFonts w:hint="eastAsia" w:ascii="宋体" w:hAnsi="宋体" w:eastAsia="宋体" w:cs="宋体"/>
                <w:color w:val="auto"/>
                <w:sz w:val="21"/>
                <w:szCs w:val="21"/>
                <w:highlight w:val="none"/>
              </w:rPr>
            </w:pPr>
          </w:p>
        </w:tc>
        <w:tc>
          <w:tcPr>
            <w:tcW w:w="1785" w:type="dxa"/>
            <w:vAlign w:val="center"/>
          </w:tcPr>
          <w:p w14:paraId="536C1CAA">
            <w:pPr>
              <w:spacing w:line="360" w:lineRule="auto"/>
              <w:rPr>
                <w:rFonts w:hint="eastAsia" w:ascii="宋体" w:hAnsi="宋体" w:eastAsia="宋体" w:cs="宋体"/>
                <w:color w:val="auto"/>
                <w:sz w:val="21"/>
                <w:szCs w:val="21"/>
                <w:highlight w:val="none"/>
              </w:rPr>
            </w:pPr>
          </w:p>
        </w:tc>
        <w:tc>
          <w:tcPr>
            <w:tcW w:w="1560" w:type="dxa"/>
            <w:vAlign w:val="center"/>
          </w:tcPr>
          <w:p w14:paraId="4BE24CC3">
            <w:pPr>
              <w:spacing w:line="360" w:lineRule="auto"/>
              <w:rPr>
                <w:rFonts w:hint="eastAsia" w:ascii="宋体" w:hAnsi="宋体" w:eastAsia="宋体" w:cs="宋体"/>
                <w:color w:val="auto"/>
                <w:sz w:val="21"/>
                <w:szCs w:val="21"/>
                <w:highlight w:val="none"/>
              </w:rPr>
            </w:pPr>
          </w:p>
        </w:tc>
        <w:tc>
          <w:tcPr>
            <w:tcW w:w="2250" w:type="dxa"/>
            <w:vAlign w:val="center"/>
          </w:tcPr>
          <w:p w14:paraId="0478651F">
            <w:pPr>
              <w:spacing w:line="360" w:lineRule="auto"/>
              <w:rPr>
                <w:rFonts w:hint="eastAsia" w:ascii="宋体" w:hAnsi="宋体" w:eastAsia="宋体" w:cs="宋体"/>
                <w:color w:val="auto"/>
                <w:sz w:val="21"/>
                <w:szCs w:val="21"/>
                <w:highlight w:val="none"/>
              </w:rPr>
            </w:pPr>
          </w:p>
        </w:tc>
        <w:tc>
          <w:tcPr>
            <w:tcW w:w="2006" w:type="dxa"/>
            <w:vAlign w:val="center"/>
          </w:tcPr>
          <w:p w14:paraId="2E9EB25B">
            <w:pPr>
              <w:spacing w:line="360" w:lineRule="auto"/>
              <w:rPr>
                <w:rFonts w:hint="eastAsia" w:ascii="宋体" w:hAnsi="宋体" w:eastAsia="宋体" w:cs="宋体"/>
                <w:color w:val="auto"/>
                <w:sz w:val="21"/>
                <w:szCs w:val="21"/>
                <w:highlight w:val="none"/>
              </w:rPr>
            </w:pPr>
          </w:p>
        </w:tc>
      </w:tr>
      <w:tr w14:paraId="217FB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33002E07">
            <w:pPr>
              <w:spacing w:line="360" w:lineRule="auto"/>
              <w:rPr>
                <w:rFonts w:hint="eastAsia" w:ascii="宋体" w:hAnsi="宋体" w:eastAsia="宋体" w:cs="宋体"/>
                <w:color w:val="auto"/>
                <w:sz w:val="21"/>
                <w:szCs w:val="21"/>
                <w:highlight w:val="none"/>
              </w:rPr>
            </w:pPr>
          </w:p>
        </w:tc>
        <w:tc>
          <w:tcPr>
            <w:tcW w:w="1785" w:type="dxa"/>
            <w:vAlign w:val="center"/>
          </w:tcPr>
          <w:p w14:paraId="2E250B6A">
            <w:pPr>
              <w:spacing w:line="360" w:lineRule="auto"/>
              <w:rPr>
                <w:rFonts w:hint="eastAsia" w:ascii="宋体" w:hAnsi="宋体" w:eastAsia="宋体" w:cs="宋体"/>
                <w:color w:val="auto"/>
                <w:sz w:val="21"/>
                <w:szCs w:val="21"/>
                <w:highlight w:val="none"/>
              </w:rPr>
            </w:pPr>
          </w:p>
        </w:tc>
        <w:tc>
          <w:tcPr>
            <w:tcW w:w="1560" w:type="dxa"/>
            <w:vAlign w:val="center"/>
          </w:tcPr>
          <w:p w14:paraId="3D06F94B">
            <w:pPr>
              <w:spacing w:line="360" w:lineRule="auto"/>
              <w:rPr>
                <w:rFonts w:hint="eastAsia" w:ascii="宋体" w:hAnsi="宋体" w:eastAsia="宋体" w:cs="宋体"/>
                <w:color w:val="auto"/>
                <w:sz w:val="21"/>
                <w:szCs w:val="21"/>
                <w:highlight w:val="none"/>
              </w:rPr>
            </w:pPr>
          </w:p>
        </w:tc>
        <w:tc>
          <w:tcPr>
            <w:tcW w:w="2250" w:type="dxa"/>
            <w:vAlign w:val="center"/>
          </w:tcPr>
          <w:p w14:paraId="0BA79A5A">
            <w:pPr>
              <w:spacing w:line="360" w:lineRule="auto"/>
              <w:rPr>
                <w:rFonts w:hint="eastAsia" w:ascii="宋体" w:hAnsi="宋体" w:eastAsia="宋体" w:cs="宋体"/>
                <w:color w:val="auto"/>
                <w:sz w:val="21"/>
                <w:szCs w:val="21"/>
                <w:highlight w:val="none"/>
              </w:rPr>
            </w:pPr>
          </w:p>
        </w:tc>
        <w:tc>
          <w:tcPr>
            <w:tcW w:w="2006" w:type="dxa"/>
            <w:vAlign w:val="center"/>
          </w:tcPr>
          <w:p w14:paraId="7633849F">
            <w:pPr>
              <w:spacing w:line="360" w:lineRule="auto"/>
              <w:rPr>
                <w:rFonts w:hint="eastAsia" w:ascii="宋体" w:hAnsi="宋体" w:eastAsia="宋体" w:cs="宋体"/>
                <w:color w:val="auto"/>
                <w:sz w:val="21"/>
                <w:szCs w:val="21"/>
                <w:highlight w:val="none"/>
              </w:rPr>
            </w:pPr>
          </w:p>
        </w:tc>
      </w:tr>
    </w:tbl>
    <w:p w14:paraId="18B0CAF1">
      <w:pPr>
        <w:pStyle w:val="41"/>
        <w:tabs>
          <w:tab w:val="left" w:pos="360"/>
        </w:tabs>
        <w:spacing w:line="360" w:lineRule="auto"/>
        <w:ind w:right="84" w:rightChars="4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41645E73">
      <w:pPr>
        <w:pStyle w:val="41"/>
        <w:spacing w:line="360" w:lineRule="auto"/>
        <w:ind w:right="84" w:rightChars="4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本表参照本招标文件第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部分“</w:t>
      </w:r>
      <w:r>
        <w:rPr>
          <w:rFonts w:hint="eastAsia" w:ascii="宋体" w:hAnsi="宋体" w:cs="宋体"/>
          <w:color w:val="auto"/>
          <w:sz w:val="21"/>
          <w:szCs w:val="21"/>
          <w:highlight w:val="none"/>
          <w:lang w:val="en-US" w:eastAsia="zh-CN"/>
        </w:rPr>
        <w:t>公开</w:t>
      </w:r>
      <w:r>
        <w:rPr>
          <w:rFonts w:hint="eastAsia" w:ascii="宋体" w:hAnsi="宋体" w:eastAsia="宋体" w:cs="宋体"/>
          <w:color w:val="auto"/>
          <w:sz w:val="21"/>
          <w:szCs w:val="21"/>
          <w:highlight w:val="none"/>
        </w:rPr>
        <w:t>招标需求”填制，投标人应根据投标</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服务指标，对照招标文件要求在“偏离情况”栏注明“正偏离”、“负偏离”或“无偏离”。</w:t>
      </w:r>
    </w:p>
    <w:p w14:paraId="354781DD">
      <w:pPr>
        <w:spacing w:line="360" w:lineRule="auto"/>
        <w:rPr>
          <w:rFonts w:hint="eastAsia" w:ascii="宋体" w:hAnsi="宋体" w:eastAsia="宋体" w:cs="宋体"/>
          <w:color w:val="auto"/>
          <w:sz w:val="21"/>
          <w:szCs w:val="21"/>
          <w:highlight w:val="none"/>
        </w:rPr>
      </w:pPr>
    </w:p>
    <w:p w14:paraId="65CFA8DF">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5D2A7D43">
      <w:pPr>
        <w:spacing w:line="360" w:lineRule="auto"/>
        <w:ind w:left="420"/>
        <w:rPr>
          <w:rFonts w:hint="eastAsia" w:ascii="宋体" w:hAnsi="宋体" w:eastAsia="宋体" w:cs="宋体"/>
          <w:color w:val="auto"/>
          <w:sz w:val="21"/>
          <w:szCs w:val="21"/>
          <w:highlight w:val="none"/>
        </w:rPr>
      </w:pPr>
    </w:p>
    <w:p w14:paraId="1CFF1E78">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45A1B963">
      <w:pPr>
        <w:spacing w:line="360" w:lineRule="auto"/>
        <w:rPr>
          <w:rFonts w:hint="eastAsia" w:ascii="宋体" w:hAnsi="宋体" w:eastAsia="宋体" w:cs="宋体"/>
          <w:color w:val="auto"/>
          <w:sz w:val="21"/>
          <w:szCs w:val="21"/>
          <w:highlight w:val="none"/>
        </w:rPr>
      </w:pPr>
    </w:p>
    <w:p w14:paraId="73380F6B">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5CADFFE6">
      <w:pPr>
        <w:pStyle w:val="42"/>
        <w:spacing w:line="360" w:lineRule="auto"/>
        <w:jc w:val="left"/>
        <w:rPr>
          <w:rFonts w:hint="eastAsia" w:ascii="宋体" w:hAnsi="宋体" w:eastAsia="宋体" w:cs="宋体"/>
          <w:b/>
          <w:color w:val="auto"/>
          <w:sz w:val="28"/>
          <w:highlight w:val="none"/>
        </w:rPr>
      </w:pPr>
    </w:p>
    <w:p w14:paraId="67F11638">
      <w:pPr>
        <w:pStyle w:val="42"/>
        <w:spacing w:line="360" w:lineRule="auto"/>
        <w:jc w:val="left"/>
        <w:outlineLvl w:val="9"/>
        <w:rPr>
          <w:rFonts w:hint="eastAsia" w:ascii="宋体" w:hAnsi="宋体" w:eastAsia="宋体" w:cs="宋体"/>
          <w:b/>
          <w:color w:val="auto"/>
          <w:sz w:val="28"/>
          <w:highlight w:val="none"/>
        </w:rPr>
      </w:pPr>
    </w:p>
    <w:p w14:paraId="5A91D7E5">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508A18AF">
      <w:pPr>
        <w:pStyle w:val="42"/>
        <w:spacing w:line="360" w:lineRule="auto"/>
        <w:jc w:val="left"/>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1</w:t>
      </w:r>
    </w:p>
    <w:p w14:paraId="4AE1B7FA">
      <w:pPr>
        <w:pStyle w:val="43"/>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08AE4C2A">
      <w:pPr>
        <w:pStyle w:val="43"/>
        <w:spacing w:line="360" w:lineRule="auto"/>
        <w:jc w:val="center"/>
        <w:rPr>
          <w:rFonts w:hint="eastAsia" w:ascii="宋体" w:hAnsi="宋体" w:eastAsia="宋体" w:cs="宋体"/>
          <w:color w:val="auto"/>
          <w:sz w:val="24"/>
          <w:highlight w:val="none"/>
        </w:rPr>
      </w:pPr>
    </w:p>
    <w:tbl>
      <w:tblPr>
        <w:tblStyle w:val="22"/>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4D151B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1043DEAB">
            <w:pPr>
              <w:pStyle w:val="4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double" w:color="auto" w:sz="4" w:space="0"/>
            </w:tcBorders>
          </w:tcPr>
          <w:p w14:paraId="5861732F">
            <w:pPr>
              <w:pStyle w:val="4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double" w:color="auto" w:sz="4" w:space="0"/>
            </w:tcBorders>
          </w:tcPr>
          <w:p w14:paraId="7483BDED">
            <w:pPr>
              <w:pStyle w:val="4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double" w:color="auto" w:sz="4" w:space="0"/>
              <w:right w:val="single" w:color="auto" w:sz="4" w:space="0"/>
            </w:tcBorders>
          </w:tcPr>
          <w:p w14:paraId="06D95674">
            <w:pPr>
              <w:pStyle w:val="4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4EBC3A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D956A61">
            <w:pPr>
              <w:pStyle w:val="43"/>
              <w:spacing w:line="360" w:lineRule="auto"/>
              <w:jc w:val="center"/>
              <w:rPr>
                <w:rFonts w:hint="eastAsia" w:ascii="宋体" w:hAnsi="宋体" w:eastAsia="宋体" w:cs="宋体"/>
                <w:color w:val="auto"/>
                <w:sz w:val="21"/>
                <w:szCs w:val="21"/>
                <w:highlight w:val="none"/>
              </w:rPr>
            </w:pPr>
          </w:p>
        </w:tc>
        <w:tc>
          <w:tcPr>
            <w:tcW w:w="2258" w:type="dxa"/>
          </w:tcPr>
          <w:p w14:paraId="568C889B">
            <w:pPr>
              <w:pStyle w:val="43"/>
              <w:spacing w:line="360" w:lineRule="auto"/>
              <w:jc w:val="center"/>
              <w:rPr>
                <w:rFonts w:hint="eastAsia" w:ascii="宋体" w:hAnsi="宋体" w:eastAsia="宋体" w:cs="宋体"/>
                <w:color w:val="auto"/>
                <w:sz w:val="21"/>
                <w:szCs w:val="21"/>
                <w:highlight w:val="none"/>
              </w:rPr>
            </w:pPr>
          </w:p>
        </w:tc>
        <w:tc>
          <w:tcPr>
            <w:tcW w:w="2260" w:type="dxa"/>
          </w:tcPr>
          <w:p w14:paraId="02028E27">
            <w:pPr>
              <w:pStyle w:val="43"/>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4A00D4E2">
            <w:pPr>
              <w:pStyle w:val="43"/>
              <w:spacing w:line="360" w:lineRule="auto"/>
              <w:jc w:val="center"/>
              <w:rPr>
                <w:rFonts w:hint="eastAsia" w:ascii="宋体" w:hAnsi="宋体" w:eastAsia="宋体" w:cs="宋体"/>
                <w:color w:val="auto"/>
                <w:sz w:val="21"/>
                <w:szCs w:val="21"/>
                <w:highlight w:val="none"/>
              </w:rPr>
            </w:pPr>
          </w:p>
        </w:tc>
      </w:tr>
      <w:tr w14:paraId="3C32AB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8B11181">
            <w:pPr>
              <w:pStyle w:val="43"/>
              <w:spacing w:line="360" w:lineRule="auto"/>
              <w:jc w:val="center"/>
              <w:rPr>
                <w:rFonts w:hint="eastAsia" w:ascii="宋体" w:hAnsi="宋体" w:eastAsia="宋体" w:cs="宋体"/>
                <w:color w:val="auto"/>
                <w:sz w:val="21"/>
                <w:szCs w:val="21"/>
                <w:highlight w:val="none"/>
              </w:rPr>
            </w:pPr>
          </w:p>
        </w:tc>
        <w:tc>
          <w:tcPr>
            <w:tcW w:w="2258" w:type="dxa"/>
          </w:tcPr>
          <w:p w14:paraId="48E6A88A">
            <w:pPr>
              <w:pStyle w:val="43"/>
              <w:spacing w:line="360" w:lineRule="auto"/>
              <w:jc w:val="center"/>
              <w:rPr>
                <w:rFonts w:hint="eastAsia" w:ascii="宋体" w:hAnsi="宋体" w:eastAsia="宋体" w:cs="宋体"/>
                <w:color w:val="auto"/>
                <w:sz w:val="21"/>
                <w:szCs w:val="21"/>
                <w:highlight w:val="none"/>
              </w:rPr>
            </w:pPr>
          </w:p>
        </w:tc>
        <w:tc>
          <w:tcPr>
            <w:tcW w:w="2260" w:type="dxa"/>
          </w:tcPr>
          <w:p w14:paraId="25B73653">
            <w:pPr>
              <w:pStyle w:val="43"/>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4FE5BDEE">
            <w:pPr>
              <w:pStyle w:val="43"/>
              <w:spacing w:line="360" w:lineRule="auto"/>
              <w:jc w:val="center"/>
              <w:rPr>
                <w:rFonts w:hint="eastAsia" w:ascii="宋体" w:hAnsi="宋体" w:eastAsia="宋体" w:cs="宋体"/>
                <w:color w:val="auto"/>
                <w:sz w:val="21"/>
                <w:szCs w:val="21"/>
                <w:highlight w:val="none"/>
              </w:rPr>
            </w:pPr>
          </w:p>
        </w:tc>
      </w:tr>
      <w:tr w14:paraId="01B259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DA9FD3D">
            <w:pPr>
              <w:pStyle w:val="43"/>
              <w:spacing w:line="360" w:lineRule="auto"/>
              <w:jc w:val="center"/>
              <w:rPr>
                <w:rFonts w:hint="eastAsia" w:ascii="宋体" w:hAnsi="宋体" w:eastAsia="宋体" w:cs="宋体"/>
                <w:color w:val="auto"/>
                <w:sz w:val="21"/>
                <w:szCs w:val="21"/>
                <w:highlight w:val="none"/>
              </w:rPr>
            </w:pPr>
          </w:p>
        </w:tc>
        <w:tc>
          <w:tcPr>
            <w:tcW w:w="2258" w:type="dxa"/>
          </w:tcPr>
          <w:p w14:paraId="41975DED">
            <w:pPr>
              <w:pStyle w:val="43"/>
              <w:spacing w:line="360" w:lineRule="auto"/>
              <w:jc w:val="center"/>
              <w:rPr>
                <w:rFonts w:hint="eastAsia" w:ascii="宋体" w:hAnsi="宋体" w:eastAsia="宋体" w:cs="宋体"/>
                <w:color w:val="auto"/>
                <w:sz w:val="21"/>
                <w:szCs w:val="21"/>
                <w:highlight w:val="none"/>
              </w:rPr>
            </w:pPr>
          </w:p>
        </w:tc>
        <w:tc>
          <w:tcPr>
            <w:tcW w:w="2260" w:type="dxa"/>
          </w:tcPr>
          <w:p w14:paraId="0C225B53">
            <w:pPr>
              <w:pStyle w:val="43"/>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6186EB00">
            <w:pPr>
              <w:pStyle w:val="43"/>
              <w:spacing w:line="360" w:lineRule="auto"/>
              <w:jc w:val="center"/>
              <w:rPr>
                <w:rFonts w:hint="eastAsia" w:ascii="宋体" w:hAnsi="宋体" w:eastAsia="宋体" w:cs="宋体"/>
                <w:color w:val="auto"/>
                <w:sz w:val="21"/>
                <w:szCs w:val="21"/>
                <w:highlight w:val="none"/>
              </w:rPr>
            </w:pPr>
          </w:p>
        </w:tc>
      </w:tr>
      <w:tr w14:paraId="7BCBB2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41386F0">
            <w:pPr>
              <w:pStyle w:val="43"/>
              <w:spacing w:line="360" w:lineRule="auto"/>
              <w:jc w:val="center"/>
              <w:rPr>
                <w:rFonts w:hint="eastAsia" w:ascii="宋体" w:hAnsi="宋体" w:eastAsia="宋体" w:cs="宋体"/>
                <w:color w:val="auto"/>
                <w:sz w:val="21"/>
                <w:szCs w:val="21"/>
                <w:highlight w:val="none"/>
              </w:rPr>
            </w:pPr>
          </w:p>
        </w:tc>
        <w:tc>
          <w:tcPr>
            <w:tcW w:w="2258" w:type="dxa"/>
          </w:tcPr>
          <w:p w14:paraId="4E86F5B4">
            <w:pPr>
              <w:pStyle w:val="43"/>
              <w:spacing w:line="360" w:lineRule="auto"/>
              <w:jc w:val="center"/>
              <w:rPr>
                <w:rFonts w:hint="eastAsia" w:ascii="宋体" w:hAnsi="宋体" w:eastAsia="宋体" w:cs="宋体"/>
                <w:color w:val="auto"/>
                <w:sz w:val="21"/>
                <w:szCs w:val="21"/>
                <w:highlight w:val="none"/>
              </w:rPr>
            </w:pPr>
          </w:p>
        </w:tc>
        <w:tc>
          <w:tcPr>
            <w:tcW w:w="2260" w:type="dxa"/>
          </w:tcPr>
          <w:p w14:paraId="3F277843">
            <w:pPr>
              <w:pStyle w:val="43"/>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39A1965A">
            <w:pPr>
              <w:pStyle w:val="43"/>
              <w:spacing w:line="360" w:lineRule="auto"/>
              <w:jc w:val="center"/>
              <w:rPr>
                <w:rFonts w:hint="eastAsia" w:ascii="宋体" w:hAnsi="宋体" w:eastAsia="宋体" w:cs="宋体"/>
                <w:color w:val="auto"/>
                <w:sz w:val="21"/>
                <w:szCs w:val="21"/>
                <w:highlight w:val="none"/>
              </w:rPr>
            </w:pPr>
          </w:p>
        </w:tc>
      </w:tr>
      <w:tr w14:paraId="1144F3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14D5638">
            <w:pPr>
              <w:pStyle w:val="43"/>
              <w:spacing w:line="360" w:lineRule="auto"/>
              <w:jc w:val="center"/>
              <w:rPr>
                <w:rFonts w:hint="eastAsia" w:ascii="宋体" w:hAnsi="宋体" w:eastAsia="宋体" w:cs="宋体"/>
                <w:color w:val="auto"/>
                <w:sz w:val="21"/>
                <w:szCs w:val="21"/>
                <w:highlight w:val="none"/>
              </w:rPr>
            </w:pPr>
          </w:p>
        </w:tc>
        <w:tc>
          <w:tcPr>
            <w:tcW w:w="2258" w:type="dxa"/>
          </w:tcPr>
          <w:p w14:paraId="7CB0A14B">
            <w:pPr>
              <w:pStyle w:val="43"/>
              <w:spacing w:line="360" w:lineRule="auto"/>
              <w:jc w:val="center"/>
              <w:rPr>
                <w:rFonts w:hint="eastAsia" w:ascii="宋体" w:hAnsi="宋体" w:eastAsia="宋体" w:cs="宋体"/>
                <w:color w:val="auto"/>
                <w:sz w:val="21"/>
                <w:szCs w:val="21"/>
                <w:highlight w:val="none"/>
              </w:rPr>
            </w:pPr>
          </w:p>
        </w:tc>
        <w:tc>
          <w:tcPr>
            <w:tcW w:w="2260" w:type="dxa"/>
          </w:tcPr>
          <w:p w14:paraId="62FA7D48">
            <w:pPr>
              <w:pStyle w:val="43"/>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5291F5D8">
            <w:pPr>
              <w:pStyle w:val="43"/>
              <w:spacing w:line="360" w:lineRule="auto"/>
              <w:jc w:val="center"/>
              <w:rPr>
                <w:rFonts w:hint="eastAsia" w:ascii="宋体" w:hAnsi="宋体" w:eastAsia="宋体" w:cs="宋体"/>
                <w:color w:val="auto"/>
                <w:sz w:val="21"/>
                <w:szCs w:val="21"/>
                <w:highlight w:val="none"/>
              </w:rPr>
            </w:pPr>
          </w:p>
        </w:tc>
      </w:tr>
      <w:tr w14:paraId="000966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DC6DEC7">
            <w:pPr>
              <w:pStyle w:val="43"/>
              <w:spacing w:line="360" w:lineRule="auto"/>
              <w:jc w:val="center"/>
              <w:rPr>
                <w:rFonts w:hint="eastAsia" w:ascii="宋体" w:hAnsi="宋体" w:eastAsia="宋体" w:cs="宋体"/>
                <w:color w:val="auto"/>
                <w:sz w:val="21"/>
                <w:szCs w:val="21"/>
                <w:highlight w:val="none"/>
              </w:rPr>
            </w:pPr>
          </w:p>
        </w:tc>
        <w:tc>
          <w:tcPr>
            <w:tcW w:w="2258" w:type="dxa"/>
          </w:tcPr>
          <w:p w14:paraId="31DE1B1E">
            <w:pPr>
              <w:pStyle w:val="43"/>
              <w:spacing w:line="360" w:lineRule="auto"/>
              <w:jc w:val="center"/>
              <w:rPr>
                <w:rFonts w:hint="eastAsia" w:ascii="宋体" w:hAnsi="宋体" w:eastAsia="宋体" w:cs="宋体"/>
                <w:color w:val="auto"/>
                <w:sz w:val="21"/>
                <w:szCs w:val="21"/>
                <w:highlight w:val="none"/>
              </w:rPr>
            </w:pPr>
          </w:p>
        </w:tc>
        <w:tc>
          <w:tcPr>
            <w:tcW w:w="2260" w:type="dxa"/>
          </w:tcPr>
          <w:p w14:paraId="28149CE3">
            <w:pPr>
              <w:pStyle w:val="43"/>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201DB753">
            <w:pPr>
              <w:pStyle w:val="43"/>
              <w:spacing w:line="360" w:lineRule="auto"/>
              <w:jc w:val="center"/>
              <w:rPr>
                <w:rFonts w:hint="eastAsia" w:ascii="宋体" w:hAnsi="宋体" w:eastAsia="宋体" w:cs="宋体"/>
                <w:color w:val="auto"/>
                <w:sz w:val="21"/>
                <w:szCs w:val="21"/>
                <w:highlight w:val="none"/>
              </w:rPr>
            </w:pPr>
          </w:p>
        </w:tc>
      </w:tr>
      <w:tr w14:paraId="5993B5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640B71BE">
            <w:pPr>
              <w:pStyle w:val="43"/>
              <w:spacing w:line="360" w:lineRule="auto"/>
              <w:jc w:val="center"/>
              <w:rPr>
                <w:rFonts w:hint="eastAsia" w:ascii="宋体" w:hAnsi="宋体" w:eastAsia="宋体" w:cs="宋体"/>
                <w:color w:val="auto"/>
                <w:sz w:val="21"/>
                <w:szCs w:val="21"/>
                <w:highlight w:val="none"/>
              </w:rPr>
            </w:pPr>
          </w:p>
        </w:tc>
        <w:tc>
          <w:tcPr>
            <w:tcW w:w="2258" w:type="dxa"/>
            <w:tcBorders>
              <w:bottom w:val="double" w:color="auto" w:sz="4" w:space="0"/>
            </w:tcBorders>
          </w:tcPr>
          <w:p w14:paraId="7A56A165">
            <w:pPr>
              <w:pStyle w:val="43"/>
              <w:spacing w:line="360" w:lineRule="auto"/>
              <w:jc w:val="center"/>
              <w:rPr>
                <w:rFonts w:hint="eastAsia" w:ascii="宋体" w:hAnsi="宋体" w:eastAsia="宋体" w:cs="宋体"/>
                <w:color w:val="auto"/>
                <w:sz w:val="21"/>
                <w:szCs w:val="21"/>
                <w:highlight w:val="none"/>
              </w:rPr>
            </w:pPr>
          </w:p>
        </w:tc>
        <w:tc>
          <w:tcPr>
            <w:tcW w:w="2260" w:type="dxa"/>
            <w:tcBorders>
              <w:bottom w:val="double" w:color="auto" w:sz="4" w:space="0"/>
            </w:tcBorders>
          </w:tcPr>
          <w:p w14:paraId="4C6DF737">
            <w:pPr>
              <w:pStyle w:val="43"/>
              <w:spacing w:line="360" w:lineRule="auto"/>
              <w:jc w:val="center"/>
              <w:rPr>
                <w:rFonts w:hint="eastAsia" w:ascii="宋体" w:hAnsi="宋体" w:eastAsia="宋体" w:cs="宋体"/>
                <w:color w:val="auto"/>
                <w:sz w:val="21"/>
                <w:szCs w:val="21"/>
                <w:highlight w:val="none"/>
              </w:rPr>
            </w:pPr>
          </w:p>
        </w:tc>
        <w:tc>
          <w:tcPr>
            <w:tcW w:w="2047" w:type="dxa"/>
            <w:tcBorders>
              <w:bottom w:val="double" w:color="auto" w:sz="4" w:space="0"/>
              <w:right w:val="single" w:color="auto" w:sz="4" w:space="0"/>
            </w:tcBorders>
          </w:tcPr>
          <w:p w14:paraId="07BBB5D9">
            <w:pPr>
              <w:pStyle w:val="43"/>
              <w:spacing w:line="360" w:lineRule="auto"/>
              <w:jc w:val="center"/>
              <w:rPr>
                <w:rFonts w:hint="eastAsia" w:ascii="宋体" w:hAnsi="宋体" w:eastAsia="宋体" w:cs="宋体"/>
                <w:color w:val="auto"/>
                <w:sz w:val="21"/>
                <w:szCs w:val="21"/>
                <w:highlight w:val="none"/>
              </w:rPr>
            </w:pPr>
          </w:p>
        </w:tc>
      </w:tr>
    </w:tbl>
    <w:p w14:paraId="2DB33F14">
      <w:pPr>
        <w:pStyle w:val="43"/>
        <w:tabs>
          <w:tab w:val="left" w:pos="1050"/>
        </w:tabs>
        <w:spacing w:line="360" w:lineRule="auto"/>
        <w:rPr>
          <w:rFonts w:hint="eastAsia" w:ascii="宋体" w:hAnsi="宋体" w:eastAsia="宋体" w:cs="宋体"/>
          <w:color w:val="auto"/>
          <w:sz w:val="24"/>
          <w:highlight w:val="none"/>
        </w:rPr>
      </w:pPr>
    </w:p>
    <w:p w14:paraId="055C5192">
      <w:pPr>
        <w:pStyle w:val="43"/>
        <w:tabs>
          <w:tab w:val="left" w:pos="1050"/>
        </w:tabs>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0D58C86A">
      <w:pPr>
        <w:pStyle w:val="43"/>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填写投标人获得资质、认证或企业信誉证书；</w:t>
      </w:r>
    </w:p>
    <w:p w14:paraId="6519EF37">
      <w:pPr>
        <w:pStyle w:val="43"/>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01F61FAC">
      <w:pPr>
        <w:pStyle w:val="43"/>
        <w:tabs>
          <w:tab w:val="left" w:pos="1050"/>
        </w:tabs>
        <w:spacing w:line="360" w:lineRule="auto"/>
        <w:ind w:firstLine="630" w:firstLineChars="300"/>
        <w:rPr>
          <w:rFonts w:hint="eastAsia" w:ascii="宋体" w:hAnsi="宋体" w:eastAsia="宋体" w:cs="宋体"/>
          <w:color w:val="auto"/>
          <w:sz w:val="21"/>
          <w:szCs w:val="21"/>
          <w:highlight w:val="none"/>
        </w:rPr>
      </w:pPr>
    </w:p>
    <w:p w14:paraId="5F931A2E">
      <w:pPr>
        <w:pStyle w:val="43"/>
        <w:tabs>
          <w:tab w:val="left" w:pos="1050"/>
        </w:tabs>
        <w:spacing w:line="360" w:lineRule="auto"/>
        <w:ind w:firstLine="630" w:firstLineChars="300"/>
        <w:rPr>
          <w:rFonts w:hint="eastAsia" w:ascii="宋体" w:hAnsi="宋体" w:eastAsia="宋体" w:cs="宋体"/>
          <w:color w:val="auto"/>
          <w:sz w:val="21"/>
          <w:szCs w:val="21"/>
          <w:highlight w:val="none"/>
        </w:rPr>
      </w:pPr>
    </w:p>
    <w:p w14:paraId="6B40D138">
      <w:pPr>
        <w:pStyle w:val="43"/>
        <w:tabs>
          <w:tab w:val="left" w:pos="1050"/>
        </w:tabs>
        <w:spacing w:line="360" w:lineRule="auto"/>
        <w:ind w:firstLine="630" w:firstLineChars="300"/>
        <w:rPr>
          <w:rFonts w:hint="eastAsia" w:ascii="宋体" w:hAnsi="宋体" w:eastAsia="宋体" w:cs="宋体"/>
          <w:color w:val="auto"/>
          <w:sz w:val="21"/>
          <w:szCs w:val="21"/>
          <w:highlight w:val="none"/>
        </w:rPr>
      </w:pPr>
    </w:p>
    <w:p w14:paraId="1110641A">
      <w:pPr>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6F8D738C">
      <w:pPr>
        <w:spacing w:line="360" w:lineRule="auto"/>
        <w:ind w:left="420"/>
        <w:rPr>
          <w:rFonts w:hint="eastAsia" w:ascii="宋体" w:hAnsi="宋体" w:eastAsia="宋体" w:cs="宋体"/>
          <w:color w:val="auto"/>
          <w:sz w:val="21"/>
          <w:szCs w:val="21"/>
          <w:highlight w:val="none"/>
        </w:rPr>
      </w:pPr>
    </w:p>
    <w:p w14:paraId="150BE290">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77E37414">
      <w:pPr>
        <w:spacing w:line="360" w:lineRule="auto"/>
        <w:rPr>
          <w:rFonts w:hint="eastAsia" w:ascii="宋体" w:hAnsi="宋体" w:eastAsia="宋体" w:cs="宋体"/>
          <w:color w:val="auto"/>
          <w:sz w:val="21"/>
          <w:szCs w:val="21"/>
          <w:highlight w:val="none"/>
        </w:rPr>
      </w:pPr>
    </w:p>
    <w:p w14:paraId="5DA5387D">
      <w:pPr>
        <w:pStyle w:val="39"/>
        <w:shd w:val="clear" w:color="auto" w:fill="FFFFFF"/>
        <w:spacing w:before="0" w:beforeAutospacing="0" w:after="0" w:afterAutospacing="0" w:line="360" w:lineRule="auto"/>
        <w:ind w:firstLine="371" w:firstLineChars="177"/>
        <w:rPr>
          <w:rFonts w:hint="eastAsia" w:ascii="宋体" w:hAnsi="宋体" w:eastAsia="宋体" w:cs="宋体"/>
          <w:b/>
          <w:bCs/>
          <w:color w:val="auto"/>
          <w:spacing w:val="11"/>
          <w:sz w:val="21"/>
          <w:szCs w:val="21"/>
          <w:highlight w:val="none"/>
        </w:rPr>
      </w:pPr>
      <w:r>
        <w:rPr>
          <w:rFonts w:hint="eastAsia" w:ascii="宋体" w:hAnsi="宋体" w:eastAsia="宋体" w:cs="宋体"/>
          <w:color w:val="auto"/>
          <w:sz w:val="21"/>
          <w:szCs w:val="21"/>
          <w:highlight w:val="none"/>
        </w:rPr>
        <w:t>日期：：</w:t>
      </w:r>
    </w:p>
    <w:p w14:paraId="58ED3B1D">
      <w:pPr>
        <w:spacing w:line="360" w:lineRule="auto"/>
        <w:rPr>
          <w:rFonts w:hint="eastAsia" w:ascii="宋体" w:hAnsi="宋体" w:eastAsia="宋体" w:cs="宋体"/>
          <w:b/>
          <w:color w:val="auto"/>
          <w:sz w:val="24"/>
          <w:highlight w:val="none"/>
        </w:rPr>
      </w:pPr>
    </w:p>
    <w:p w14:paraId="70AA7E02">
      <w:pPr>
        <w:spacing w:line="360" w:lineRule="auto"/>
        <w:rPr>
          <w:rFonts w:hint="eastAsia" w:ascii="宋体" w:hAnsi="宋体" w:eastAsia="宋体" w:cs="宋体"/>
          <w:b/>
          <w:color w:val="auto"/>
          <w:sz w:val="28"/>
          <w:highlight w:val="none"/>
        </w:rPr>
      </w:pPr>
    </w:p>
    <w:p w14:paraId="53072878">
      <w:pPr>
        <w:pStyle w:val="6"/>
        <w:rPr>
          <w:rFonts w:hint="eastAsia" w:ascii="宋体" w:hAnsi="宋体" w:eastAsia="宋体" w:cs="宋体"/>
          <w:b/>
          <w:color w:val="auto"/>
          <w:sz w:val="28"/>
          <w:highlight w:val="none"/>
        </w:rPr>
      </w:pPr>
    </w:p>
    <w:p w14:paraId="544A52F6">
      <w:pPr>
        <w:pStyle w:val="6"/>
        <w:rPr>
          <w:rFonts w:hint="eastAsia" w:ascii="宋体" w:hAnsi="宋体" w:eastAsia="宋体" w:cs="宋体"/>
          <w:b/>
          <w:color w:val="auto"/>
          <w:sz w:val="28"/>
          <w:highlight w:val="none"/>
        </w:rPr>
      </w:pPr>
    </w:p>
    <w:p w14:paraId="5F670118">
      <w:pPr>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2</w:t>
      </w:r>
    </w:p>
    <w:p w14:paraId="3FED78AC">
      <w:pPr>
        <w:pStyle w:val="42"/>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投标人类似项目实施情况一览表</w:t>
      </w:r>
    </w:p>
    <w:p w14:paraId="73C4B954">
      <w:pPr>
        <w:pStyle w:val="42"/>
        <w:spacing w:line="360" w:lineRule="auto"/>
        <w:jc w:val="center"/>
        <w:rPr>
          <w:rFonts w:hint="eastAsia" w:ascii="宋体" w:hAnsi="宋体" w:eastAsia="宋体" w:cs="宋体"/>
          <w:b/>
          <w:color w:val="auto"/>
          <w:sz w:val="24"/>
          <w:highlight w:val="none"/>
        </w:rPr>
      </w:pPr>
    </w:p>
    <w:tbl>
      <w:tblPr>
        <w:tblStyle w:val="22"/>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8"/>
        <w:gridCol w:w="1105"/>
        <w:gridCol w:w="1575"/>
        <w:gridCol w:w="1260"/>
        <w:gridCol w:w="1452"/>
        <w:gridCol w:w="1383"/>
        <w:gridCol w:w="2037"/>
      </w:tblGrid>
      <w:tr w14:paraId="592E0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8" w:type="dxa"/>
            <w:tcBorders>
              <w:top w:val="single" w:color="auto" w:sz="6" w:space="0"/>
              <w:left w:val="single" w:color="auto" w:sz="6" w:space="0"/>
              <w:bottom w:val="single" w:color="auto" w:sz="6" w:space="0"/>
              <w:right w:val="single" w:color="auto" w:sz="6" w:space="0"/>
            </w:tcBorders>
            <w:vAlign w:val="center"/>
          </w:tcPr>
          <w:p w14:paraId="56EE4961">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05" w:type="dxa"/>
            <w:tcBorders>
              <w:top w:val="single" w:color="auto" w:sz="6" w:space="0"/>
              <w:left w:val="single" w:color="auto" w:sz="6" w:space="0"/>
              <w:bottom w:val="single" w:color="auto" w:sz="6" w:space="0"/>
              <w:right w:val="single" w:color="auto" w:sz="6" w:space="0"/>
            </w:tcBorders>
            <w:vAlign w:val="center"/>
          </w:tcPr>
          <w:p w14:paraId="05EF2289">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2A31F16B">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4745916C">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0E23C9A4">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4361CA9E">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5A4E4BCE">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332DA5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728" w:type="dxa"/>
            <w:tcBorders>
              <w:top w:val="single" w:color="auto" w:sz="6" w:space="0"/>
              <w:left w:val="single" w:color="auto" w:sz="6" w:space="0"/>
              <w:bottom w:val="single" w:color="auto" w:sz="6" w:space="0"/>
              <w:right w:val="single" w:color="auto" w:sz="6" w:space="0"/>
            </w:tcBorders>
          </w:tcPr>
          <w:p w14:paraId="0476EC3B">
            <w:pPr>
              <w:pStyle w:val="42"/>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05" w:type="dxa"/>
            <w:tcBorders>
              <w:top w:val="single" w:color="auto" w:sz="6" w:space="0"/>
              <w:left w:val="single" w:color="auto" w:sz="6" w:space="0"/>
              <w:bottom w:val="single" w:color="auto" w:sz="6" w:space="0"/>
              <w:right w:val="single" w:color="auto" w:sz="6" w:space="0"/>
            </w:tcBorders>
          </w:tcPr>
          <w:p w14:paraId="5B00DF0C">
            <w:pPr>
              <w:pStyle w:val="42"/>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1E4F060D">
            <w:pPr>
              <w:pStyle w:val="42"/>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3480823C">
            <w:pPr>
              <w:pStyle w:val="42"/>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1B3F9C27">
            <w:pPr>
              <w:pStyle w:val="42"/>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47430396">
            <w:pPr>
              <w:pStyle w:val="42"/>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4FC521AD">
            <w:pPr>
              <w:pStyle w:val="42"/>
              <w:spacing w:line="360" w:lineRule="auto"/>
              <w:rPr>
                <w:rFonts w:hint="eastAsia" w:ascii="宋体" w:hAnsi="宋体" w:eastAsia="宋体" w:cs="宋体"/>
                <w:color w:val="auto"/>
                <w:sz w:val="21"/>
                <w:szCs w:val="21"/>
                <w:highlight w:val="none"/>
              </w:rPr>
            </w:pPr>
          </w:p>
        </w:tc>
      </w:tr>
      <w:tr w14:paraId="1D018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28" w:type="dxa"/>
            <w:tcBorders>
              <w:top w:val="single" w:color="auto" w:sz="6" w:space="0"/>
              <w:left w:val="single" w:color="auto" w:sz="6" w:space="0"/>
              <w:bottom w:val="single" w:color="auto" w:sz="6" w:space="0"/>
              <w:right w:val="single" w:color="auto" w:sz="6" w:space="0"/>
            </w:tcBorders>
          </w:tcPr>
          <w:p w14:paraId="2B7BA077">
            <w:pPr>
              <w:pStyle w:val="42"/>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05" w:type="dxa"/>
            <w:tcBorders>
              <w:top w:val="single" w:color="auto" w:sz="6" w:space="0"/>
              <w:left w:val="single" w:color="auto" w:sz="6" w:space="0"/>
              <w:bottom w:val="single" w:color="auto" w:sz="6" w:space="0"/>
              <w:right w:val="single" w:color="auto" w:sz="6" w:space="0"/>
            </w:tcBorders>
          </w:tcPr>
          <w:p w14:paraId="5AA7C51F">
            <w:pPr>
              <w:pStyle w:val="42"/>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60EBF757">
            <w:pPr>
              <w:pStyle w:val="42"/>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42B4C4B9">
            <w:pPr>
              <w:pStyle w:val="42"/>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4DF602EC">
            <w:pPr>
              <w:pStyle w:val="42"/>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460CDC43">
            <w:pPr>
              <w:pStyle w:val="42"/>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74559C12">
            <w:pPr>
              <w:pStyle w:val="42"/>
              <w:spacing w:line="360" w:lineRule="auto"/>
              <w:rPr>
                <w:rFonts w:hint="eastAsia" w:ascii="宋体" w:hAnsi="宋体" w:eastAsia="宋体" w:cs="宋体"/>
                <w:color w:val="auto"/>
                <w:sz w:val="21"/>
                <w:szCs w:val="21"/>
                <w:highlight w:val="none"/>
              </w:rPr>
            </w:pPr>
          </w:p>
        </w:tc>
      </w:tr>
      <w:tr w14:paraId="05A9E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728" w:type="dxa"/>
            <w:tcBorders>
              <w:top w:val="single" w:color="auto" w:sz="6" w:space="0"/>
              <w:left w:val="single" w:color="auto" w:sz="6" w:space="0"/>
              <w:bottom w:val="single" w:color="auto" w:sz="6" w:space="0"/>
              <w:right w:val="single" w:color="auto" w:sz="6" w:space="0"/>
            </w:tcBorders>
          </w:tcPr>
          <w:p w14:paraId="2D9519CF">
            <w:pPr>
              <w:pStyle w:val="42"/>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05" w:type="dxa"/>
            <w:tcBorders>
              <w:top w:val="single" w:color="auto" w:sz="6" w:space="0"/>
              <w:left w:val="single" w:color="auto" w:sz="6" w:space="0"/>
              <w:bottom w:val="single" w:color="auto" w:sz="6" w:space="0"/>
              <w:right w:val="single" w:color="auto" w:sz="6" w:space="0"/>
            </w:tcBorders>
          </w:tcPr>
          <w:p w14:paraId="7CB22436">
            <w:pPr>
              <w:pStyle w:val="42"/>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63ED95F2">
            <w:pPr>
              <w:pStyle w:val="42"/>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354AB87F">
            <w:pPr>
              <w:pStyle w:val="42"/>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26B61EFA">
            <w:pPr>
              <w:pStyle w:val="42"/>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0C2B8441">
            <w:pPr>
              <w:pStyle w:val="42"/>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3F26EB0B">
            <w:pPr>
              <w:pStyle w:val="42"/>
              <w:spacing w:line="360" w:lineRule="auto"/>
              <w:rPr>
                <w:rFonts w:hint="eastAsia" w:ascii="宋体" w:hAnsi="宋体" w:eastAsia="宋体" w:cs="宋体"/>
                <w:color w:val="auto"/>
                <w:sz w:val="21"/>
                <w:szCs w:val="21"/>
                <w:highlight w:val="none"/>
              </w:rPr>
            </w:pPr>
          </w:p>
        </w:tc>
      </w:tr>
      <w:tr w14:paraId="78657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28" w:type="dxa"/>
            <w:tcBorders>
              <w:top w:val="single" w:color="auto" w:sz="6" w:space="0"/>
              <w:left w:val="single" w:color="auto" w:sz="6" w:space="0"/>
              <w:bottom w:val="single" w:color="auto" w:sz="6" w:space="0"/>
              <w:right w:val="single" w:color="auto" w:sz="6" w:space="0"/>
            </w:tcBorders>
          </w:tcPr>
          <w:p w14:paraId="75A894EA">
            <w:pPr>
              <w:pStyle w:val="4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105" w:type="dxa"/>
            <w:tcBorders>
              <w:top w:val="single" w:color="auto" w:sz="6" w:space="0"/>
              <w:left w:val="single" w:color="auto" w:sz="6" w:space="0"/>
              <w:bottom w:val="single" w:color="auto" w:sz="6" w:space="0"/>
              <w:right w:val="single" w:color="auto" w:sz="6" w:space="0"/>
            </w:tcBorders>
          </w:tcPr>
          <w:p w14:paraId="35647663">
            <w:pPr>
              <w:pStyle w:val="42"/>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1D5D2212">
            <w:pPr>
              <w:pStyle w:val="42"/>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27F39A0F">
            <w:pPr>
              <w:pStyle w:val="42"/>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370FB260">
            <w:pPr>
              <w:pStyle w:val="42"/>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5DF93800">
            <w:pPr>
              <w:pStyle w:val="42"/>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0C0F835A">
            <w:pPr>
              <w:pStyle w:val="42"/>
              <w:spacing w:line="360" w:lineRule="auto"/>
              <w:rPr>
                <w:rFonts w:hint="eastAsia" w:ascii="宋体" w:hAnsi="宋体" w:eastAsia="宋体" w:cs="宋体"/>
                <w:color w:val="auto"/>
                <w:sz w:val="21"/>
                <w:szCs w:val="21"/>
                <w:highlight w:val="none"/>
              </w:rPr>
            </w:pPr>
          </w:p>
        </w:tc>
      </w:tr>
      <w:tr w14:paraId="1A669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28" w:type="dxa"/>
            <w:tcBorders>
              <w:top w:val="single" w:color="auto" w:sz="6" w:space="0"/>
              <w:left w:val="single" w:color="auto" w:sz="6" w:space="0"/>
              <w:bottom w:val="single" w:color="auto" w:sz="6" w:space="0"/>
              <w:right w:val="single" w:color="auto" w:sz="6" w:space="0"/>
            </w:tcBorders>
          </w:tcPr>
          <w:p w14:paraId="1C2B616B">
            <w:pPr>
              <w:pStyle w:val="42"/>
              <w:spacing w:line="360" w:lineRule="auto"/>
              <w:rPr>
                <w:rFonts w:hint="eastAsia" w:ascii="宋体" w:hAnsi="宋体" w:eastAsia="宋体" w:cs="宋体"/>
                <w:color w:val="auto"/>
                <w:sz w:val="21"/>
                <w:szCs w:val="21"/>
                <w:highlight w:val="none"/>
              </w:rPr>
            </w:pPr>
          </w:p>
        </w:tc>
        <w:tc>
          <w:tcPr>
            <w:tcW w:w="1105" w:type="dxa"/>
            <w:tcBorders>
              <w:top w:val="single" w:color="auto" w:sz="6" w:space="0"/>
              <w:left w:val="single" w:color="auto" w:sz="6" w:space="0"/>
              <w:bottom w:val="single" w:color="auto" w:sz="6" w:space="0"/>
              <w:right w:val="single" w:color="auto" w:sz="6" w:space="0"/>
            </w:tcBorders>
          </w:tcPr>
          <w:p w14:paraId="2064E976">
            <w:pPr>
              <w:pStyle w:val="42"/>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3EEE700B">
            <w:pPr>
              <w:pStyle w:val="42"/>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08517313">
            <w:pPr>
              <w:pStyle w:val="42"/>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39D5B7E6">
            <w:pPr>
              <w:pStyle w:val="42"/>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0B57479A">
            <w:pPr>
              <w:pStyle w:val="42"/>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133EAA27">
            <w:pPr>
              <w:pStyle w:val="42"/>
              <w:spacing w:line="360" w:lineRule="auto"/>
              <w:rPr>
                <w:rFonts w:hint="eastAsia" w:ascii="宋体" w:hAnsi="宋体" w:eastAsia="宋体" w:cs="宋体"/>
                <w:color w:val="auto"/>
                <w:sz w:val="21"/>
                <w:szCs w:val="21"/>
                <w:highlight w:val="none"/>
              </w:rPr>
            </w:pPr>
          </w:p>
        </w:tc>
      </w:tr>
      <w:tr w14:paraId="336EBE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28" w:type="dxa"/>
            <w:tcBorders>
              <w:top w:val="single" w:color="auto" w:sz="6" w:space="0"/>
              <w:left w:val="single" w:color="auto" w:sz="6" w:space="0"/>
              <w:bottom w:val="single" w:color="auto" w:sz="6" w:space="0"/>
              <w:right w:val="single" w:color="auto" w:sz="6" w:space="0"/>
            </w:tcBorders>
          </w:tcPr>
          <w:p w14:paraId="77B427D9">
            <w:pPr>
              <w:pStyle w:val="42"/>
              <w:spacing w:line="360" w:lineRule="auto"/>
              <w:rPr>
                <w:rFonts w:hint="eastAsia" w:ascii="宋体" w:hAnsi="宋体" w:eastAsia="宋体" w:cs="宋体"/>
                <w:color w:val="auto"/>
                <w:sz w:val="21"/>
                <w:szCs w:val="21"/>
                <w:highlight w:val="none"/>
              </w:rPr>
            </w:pPr>
          </w:p>
        </w:tc>
        <w:tc>
          <w:tcPr>
            <w:tcW w:w="1105" w:type="dxa"/>
            <w:tcBorders>
              <w:top w:val="single" w:color="auto" w:sz="6" w:space="0"/>
              <w:left w:val="single" w:color="auto" w:sz="6" w:space="0"/>
              <w:bottom w:val="single" w:color="auto" w:sz="6" w:space="0"/>
              <w:right w:val="single" w:color="auto" w:sz="6" w:space="0"/>
            </w:tcBorders>
          </w:tcPr>
          <w:p w14:paraId="26FDE853">
            <w:pPr>
              <w:pStyle w:val="42"/>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43A0AEBF">
            <w:pPr>
              <w:pStyle w:val="42"/>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04FE7FAA">
            <w:pPr>
              <w:pStyle w:val="42"/>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323CBB06">
            <w:pPr>
              <w:pStyle w:val="42"/>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437285C8">
            <w:pPr>
              <w:pStyle w:val="42"/>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D1B6448">
            <w:pPr>
              <w:pStyle w:val="42"/>
              <w:spacing w:line="360" w:lineRule="auto"/>
              <w:rPr>
                <w:rFonts w:hint="eastAsia" w:ascii="宋体" w:hAnsi="宋体" w:eastAsia="宋体" w:cs="宋体"/>
                <w:color w:val="auto"/>
                <w:sz w:val="21"/>
                <w:szCs w:val="21"/>
                <w:highlight w:val="none"/>
              </w:rPr>
            </w:pPr>
          </w:p>
        </w:tc>
      </w:tr>
      <w:tr w14:paraId="54400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28" w:type="dxa"/>
            <w:tcBorders>
              <w:top w:val="single" w:color="auto" w:sz="6" w:space="0"/>
              <w:left w:val="single" w:color="auto" w:sz="6" w:space="0"/>
              <w:bottom w:val="single" w:color="auto" w:sz="6" w:space="0"/>
              <w:right w:val="single" w:color="auto" w:sz="6" w:space="0"/>
            </w:tcBorders>
          </w:tcPr>
          <w:p w14:paraId="778BE756">
            <w:pPr>
              <w:pStyle w:val="42"/>
              <w:spacing w:line="360" w:lineRule="auto"/>
              <w:rPr>
                <w:rFonts w:hint="eastAsia" w:ascii="宋体" w:hAnsi="宋体" w:eastAsia="宋体" w:cs="宋体"/>
                <w:color w:val="auto"/>
                <w:sz w:val="21"/>
                <w:szCs w:val="21"/>
                <w:highlight w:val="none"/>
              </w:rPr>
            </w:pPr>
          </w:p>
        </w:tc>
        <w:tc>
          <w:tcPr>
            <w:tcW w:w="1105" w:type="dxa"/>
            <w:tcBorders>
              <w:top w:val="single" w:color="auto" w:sz="6" w:space="0"/>
              <w:left w:val="single" w:color="auto" w:sz="6" w:space="0"/>
              <w:bottom w:val="single" w:color="auto" w:sz="6" w:space="0"/>
              <w:right w:val="single" w:color="auto" w:sz="6" w:space="0"/>
            </w:tcBorders>
          </w:tcPr>
          <w:p w14:paraId="1DEEBDD5">
            <w:pPr>
              <w:pStyle w:val="42"/>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7882144E">
            <w:pPr>
              <w:pStyle w:val="42"/>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7812B6AB">
            <w:pPr>
              <w:pStyle w:val="42"/>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54E7A461">
            <w:pPr>
              <w:pStyle w:val="42"/>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1B4042AF">
            <w:pPr>
              <w:pStyle w:val="42"/>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305E94A0">
            <w:pPr>
              <w:pStyle w:val="42"/>
              <w:spacing w:line="360" w:lineRule="auto"/>
              <w:rPr>
                <w:rFonts w:hint="eastAsia" w:ascii="宋体" w:hAnsi="宋体" w:eastAsia="宋体" w:cs="宋体"/>
                <w:color w:val="auto"/>
                <w:sz w:val="21"/>
                <w:szCs w:val="21"/>
                <w:highlight w:val="none"/>
              </w:rPr>
            </w:pPr>
          </w:p>
        </w:tc>
      </w:tr>
    </w:tbl>
    <w:p w14:paraId="2CA45A5F">
      <w:pPr>
        <w:autoSpaceDE w:val="0"/>
        <w:autoSpaceDN w:val="0"/>
        <w:adjustRightInd w:val="0"/>
        <w:spacing w:beforeLines="5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5C6583E5">
      <w:pPr>
        <w:autoSpaceDE w:val="0"/>
        <w:autoSpaceDN w:val="0"/>
        <w:adjustRightInd w:val="0"/>
        <w:spacing w:beforeLines="50" w:line="360" w:lineRule="auto"/>
        <w:ind w:firstLine="424" w:firstLineChars="202"/>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业绩证明应提供证明材料（合同复印件可只提供首页、含金额页、盖章页并加盖投标人公章）；</w:t>
      </w:r>
    </w:p>
    <w:p w14:paraId="3EFA0308">
      <w:pPr>
        <w:spacing w:line="360" w:lineRule="auto"/>
        <w:ind w:firstLine="424" w:firstLineChars="20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报价供应商可按此表格式复制。</w:t>
      </w:r>
    </w:p>
    <w:p w14:paraId="010D37CB">
      <w:pPr>
        <w:spacing w:line="360" w:lineRule="auto"/>
        <w:rPr>
          <w:rFonts w:hint="eastAsia" w:ascii="宋体" w:hAnsi="宋体" w:eastAsia="宋体" w:cs="宋体"/>
          <w:color w:val="auto"/>
          <w:sz w:val="21"/>
          <w:szCs w:val="21"/>
          <w:highlight w:val="none"/>
        </w:rPr>
      </w:pPr>
    </w:p>
    <w:p w14:paraId="1D5EBD22">
      <w:pPr>
        <w:spacing w:line="360" w:lineRule="auto"/>
        <w:rPr>
          <w:rFonts w:hint="eastAsia" w:ascii="宋体" w:hAnsi="宋体" w:eastAsia="宋体" w:cs="宋体"/>
          <w:color w:val="auto"/>
          <w:sz w:val="21"/>
          <w:szCs w:val="21"/>
          <w:highlight w:val="none"/>
        </w:rPr>
      </w:pPr>
    </w:p>
    <w:p w14:paraId="5A8AB7FA">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3E0C5487">
      <w:pPr>
        <w:spacing w:line="360" w:lineRule="auto"/>
        <w:ind w:left="420"/>
        <w:rPr>
          <w:rFonts w:hint="eastAsia" w:ascii="宋体" w:hAnsi="宋体" w:eastAsia="宋体" w:cs="宋体"/>
          <w:color w:val="auto"/>
          <w:sz w:val="21"/>
          <w:szCs w:val="21"/>
          <w:highlight w:val="none"/>
        </w:rPr>
      </w:pPr>
    </w:p>
    <w:p w14:paraId="156AB61C">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1B749EDB">
      <w:pPr>
        <w:spacing w:line="360" w:lineRule="auto"/>
        <w:rPr>
          <w:rFonts w:hint="eastAsia" w:ascii="宋体" w:hAnsi="宋体" w:eastAsia="宋体" w:cs="宋体"/>
          <w:color w:val="auto"/>
          <w:sz w:val="21"/>
          <w:szCs w:val="21"/>
          <w:highlight w:val="none"/>
        </w:rPr>
      </w:pPr>
    </w:p>
    <w:p w14:paraId="4A9F0CF8">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37518497">
      <w:pPr>
        <w:spacing w:line="360" w:lineRule="auto"/>
        <w:jc w:val="center"/>
        <w:rPr>
          <w:rFonts w:hint="eastAsia" w:ascii="宋体" w:hAnsi="宋体" w:eastAsia="宋体" w:cs="宋体"/>
          <w:snapToGrid w:val="0"/>
          <w:color w:val="auto"/>
          <w:kern w:val="0"/>
          <w:sz w:val="21"/>
          <w:szCs w:val="21"/>
          <w:highlight w:val="none"/>
        </w:rPr>
      </w:pPr>
    </w:p>
    <w:p w14:paraId="1877D1CC">
      <w:pPr>
        <w:pStyle w:val="43"/>
        <w:tabs>
          <w:tab w:val="left" w:pos="1050"/>
        </w:tabs>
        <w:spacing w:line="360" w:lineRule="auto"/>
        <w:rPr>
          <w:rFonts w:hint="eastAsia" w:ascii="宋体" w:hAnsi="宋体" w:eastAsia="宋体" w:cs="宋体"/>
          <w:b/>
          <w:color w:val="auto"/>
          <w:sz w:val="28"/>
          <w:highlight w:val="none"/>
        </w:rPr>
      </w:pPr>
    </w:p>
    <w:p w14:paraId="677E966E">
      <w:pPr>
        <w:pStyle w:val="43"/>
        <w:tabs>
          <w:tab w:val="left" w:pos="1050"/>
        </w:tabs>
        <w:spacing w:line="360" w:lineRule="auto"/>
        <w:rPr>
          <w:rFonts w:hint="eastAsia" w:ascii="宋体" w:hAnsi="宋体" w:eastAsia="宋体" w:cs="宋体"/>
          <w:b/>
          <w:color w:val="auto"/>
          <w:sz w:val="28"/>
          <w:highlight w:val="none"/>
        </w:rPr>
      </w:pPr>
    </w:p>
    <w:p w14:paraId="46E6575C">
      <w:pPr>
        <w:pStyle w:val="43"/>
        <w:tabs>
          <w:tab w:val="left" w:pos="1050"/>
        </w:tabs>
        <w:spacing w:line="360" w:lineRule="auto"/>
        <w:outlineLvl w:val="9"/>
        <w:rPr>
          <w:rFonts w:hint="eastAsia" w:ascii="宋体" w:hAnsi="宋体" w:eastAsia="宋体" w:cs="宋体"/>
          <w:color w:val="auto"/>
          <w:sz w:val="24"/>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3</w:t>
      </w:r>
    </w:p>
    <w:p w14:paraId="478D2220">
      <w:pPr>
        <w:snapToGrid w:val="0"/>
        <w:spacing w:beforeLines="50" w:after="5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资信及商务需求响应表</w:t>
      </w:r>
    </w:p>
    <w:p w14:paraId="3D7B5271">
      <w:pPr>
        <w:spacing w:line="360" w:lineRule="auto"/>
        <w:ind w:left="481" w:leftChars="229" w:firstLine="949" w:firstLineChars="450"/>
        <w:rPr>
          <w:rFonts w:hint="eastAsia" w:ascii="宋体" w:hAnsi="宋体" w:eastAsia="宋体" w:cs="宋体"/>
          <w:b/>
          <w:color w:val="auto"/>
          <w:sz w:val="21"/>
          <w:szCs w:val="21"/>
          <w:highlight w:val="none"/>
        </w:rPr>
      </w:pPr>
    </w:p>
    <w:tbl>
      <w:tblPr>
        <w:tblStyle w:val="22"/>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9"/>
        <w:gridCol w:w="1541"/>
        <w:gridCol w:w="1365"/>
        <w:gridCol w:w="2625"/>
      </w:tblGrid>
      <w:tr w14:paraId="5BFAB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2E162B11">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029" w:type="dxa"/>
            <w:vAlign w:val="center"/>
          </w:tcPr>
          <w:p w14:paraId="7E8224BD">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c>
          <w:tcPr>
            <w:tcW w:w="1541" w:type="dxa"/>
            <w:vAlign w:val="center"/>
          </w:tcPr>
          <w:p w14:paraId="457C331A">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招标需求</w:t>
            </w:r>
          </w:p>
        </w:tc>
        <w:tc>
          <w:tcPr>
            <w:tcW w:w="1365" w:type="dxa"/>
            <w:vAlign w:val="center"/>
          </w:tcPr>
          <w:p w14:paraId="79188681">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是否响应</w:t>
            </w:r>
          </w:p>
        </w:tc>
        <w:tc>
          <w:tcPr>
            <w:tcW w:w="2625" w:type="dxa"/>
            <w:vAlign w:val="center"/>
          </w:tcPr>
          <w:p w14:paraId="3C5D3F9C">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投标人的承诺或说明</w:t>
            </w:r>
          </w:p>
        </w:tc>
      </w:tr>
      <w:tr w14:paraId="13DD1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13B6AD31">
            <w:pPr>
              <w:spacing w:line="360" w:lineRule="auto"/>
              <w:jc w:val="center"/>
              <w:rPr>
                <w:rFonts w:hint="eastAsia" w:ascii="宋体" w:hAnsi="宋体" w:eastAsia="宋体" w:cs="宋体"/>
                <w:color w:val="auto"/>
                <w:sz w:val="21"/>
                <w:szCs w:val="21"/>
                <w:highlight w:val="none"/>
              </w:rPr>
            </w:pPr>
          </w:p>
        </w:tc>
        <w:tc>
          <w:tcPr>
            <w:tcW w:w="2029" w:type="dxa"/>
            <w:vAlign w:val="top"/>
          </w:tcPr>
          <w:p w14:paraId="0EDFEC40">
            <w:pPr>
              <w:snapToGrid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服务期</w:t>
            </w:r>
          </w:p>
        </w:tc>
        <w:tc>
          <w:tcPr>
            <w:tcW w:w="1541" w:type="dxa"/>
            <w:vAlign w:val="center"/>
          </w:tcPr>
          <w:p w14:paraId="738C8632">
            <w:pPr>
              <w:spacing w:line="360" w:lineRule="auto"/>
              <w:jc w:val="center"/>
              <w:rPr>
                <w:rFonts w:hint="eastAsia" w:ascii="宋体" w:hAnsi="宋体" w:eastAsia="宋体" w:cs="宋体"/>
                <w:color w:val="auto"/>
                <w:sz w:val="21"/>
                <w:szCs w:val="21"/>
                <w:highlight w:val="none"/>
              </w:rPr>
            </w:pPr>
          </w:p>
        </w:tc>
        <w:tc>
          <w:tcPr>
            <w:tcW w:w="1365" w:type="dxa"/>
            <w:vAlign w:val="center"/>
          </w:tcPr>
          <w:p w14:paraId="61D5A401">
            <w:pPr>
              <w:spacing w:line="360" w:lineRule="auto"/>
              <w:jc w:val="center"/>
              <w:rPr>
                <w:rFonts w:hint="eastAsia" w:ascii="宋体" w:hAnsi="宋体" w:eastAsia="宋体" w:cs="宋体"/>
                <w:color w:val="auto"/>
                <w:sz w:val="21"/>
                <w:szCs w:val="21"/>
                <w:highlight w:val="none"/>
              </w:rPr>
            </w:pPr>
          </w:p>
        </w:tc>
        <w:tc>
          <w:tcPr>
            <w:tcW w:w="2625" w:type="dxa"/>
            <w:vAlign w:val="center"/>
          </w:tcPr>
          <w:p w14:paraId="3344724E">
            <w:pPr>
              <w:spacing w:line="360" w:lineRule="auto"/>
              <w:jc w:val="center"/>
              <w:rPr>
                <w:rFonts w:hint="eastAsia" w:ascii="宋体" w:hAnsi="宋体" w:eastAsia="宋体" w:cs="宋体"/>
                <w:color w:val="auto"/>
                <w:sz w:val="21"/>
                <w:szCs w:val="21"/>
                <w:highlight w:val="none"/>
              </w:rPr>
            </w:pPr>
          </w:p>
        </w:tc>
      </w:tr>
      <w:tr w14:paraId="4F29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F324449">
            <w:pPr>
              <w:spacing w:line="360" w:lineRule="auto"/>
              <w:rPr>
                <w:rFonts w:hint="eastAsia" w:ascii="宋体" w:hAnsi="宋体" w:eastAsia="宋体" w:cs="宋体"/>
                <w:color w:val="auto"/>
                <w:sz w:val="21"/>
                <w:szCs w:val="21"/>
                <w:highlight w:val="none"/>
              </w:rPr>
            </w:pPr>
          </w:p>
        </w:tc>
        <w:tc>
          <w:tcPr>
            <w:tcW w:w="2029" w:type="dxa"/>
            <w:vAlign w:val="top"/>
          </w:tcPr>
          <w:p w14:paraId="14C72119">
            <w:pPr>
              <w:snapToGrid w:val="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付款条件</w:t>
            </w:r>
          </w:p>
        </w:tc>
        <w:tc>
          <w:tcPr>
            <w:tcW w:w="1541" w:type="dxa"/>
            <w:vAlign w:val="center"/>
          </w:tcPr>
          <w:p w14:paraId="6E1A1610">
            <w:pPr>
              <w:spacing w:line="360" w:lineRule="auto"/>
              <w:rPr>
                <w:rFonts w:hint="eastAsia" w:ascii="宋体" w:hAnsi="宋体" w:eastAsia="宋体" w:cs="宋体"/>
                <w:color w:val="auto"/>
                <w:sz w:val="21"/>
                <w:szCs w:val="21"/>
                <w:highlight w:val="none"/>
              </w:rPr>
            </w:pPr>
          </w:p>
        </w:tc>
        <w:tc>
          <w:tcPr>
            <w:tcW w:w="1365" w:type="dxa"/>
            <w:vAlign w:val="center"/>
          </w:tcPr>
          <w:p w14:paraId="4AB53CC7">
            <w:pPr>
              <w:spacing w:line="360" w:lineRule="auto"/>
              <w:rPr>
                <w:rFonts w:hint="eastAsia" w:ascii="宋体" w:hAnsi="宋体" w:eastAsia="宋体" w:cs="宋体"/>
                <w:color w:val="auto"/>
                <w:sz w:val="21"/>
                <w:szCs w:val="21"/>
                <w:highlight w:val="none"/>
              </w:rPr>
            </w:pPr>
          </w:p>
        </w:tc>
        <w:tc>
          <w:tcPr>
            <w:tcW w:w="2625" w:type="dxa"/>
            <w:vAlign w:val="center"/>
          </w:tcPr>
          <w:p w14:paraId="5ED2524B">
            <w:pPr>
              <w:spacing w:line="360" w:lineRule="auto"/>
              <w:rPr>
                <w:rFonts w:hint="eastAsia" w:ascii="宋体" w:hAnsi="宋体" w:eastAsia="宋体" w:cs="宋体"/>
                <w:color w:val="auto"/>
                <w:sz w:val="21"/>
                <w:szCs w:val="21"/>
                <w:highlight w:val="none"/>
              </w:rPr>
            </w:pPr>
          </w:p>
        </w:tc>
      </w:tr>
      <w:tr w14:paraId="52694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186011A7">
            <w:pPr>
              <w:spacing w:line="360" w:lineRule="auto"/>
              <w:rPr>
                <w:rFonts w:hint="eastAsia" w:ascii="宋体" w:hAnsi="宋体" w:eastAsia="宋体" w:cs="宋体"/>
                <w:color w:val="auto"/>
                <w:sz w:val="21"/>
                <w:szCs w:val="21"/>
                <w:highlight w:val="none"/>
              </w:rPr>
            </w:pPr>
          </w:p>
        </w:tc>
        <w:tc>
          <w:tcPr>
            <w:tcW w:w="2029" w:type="dxa"/>
            <w:vAlign w:val="top"/>
          </w:tcPr>
          <w:p w14:paraId="0BE6BB92">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41" w:type="dxa"/>
            <w:vAlign w:val="center"/>
          </w:tcPr>
          <w:p w14:paraId="392525AF">
            <w:pPr>
              <w:spacing w:line="360" w:lineRule="auto"/>
              <w:rPr>
                <w:rFonts w:hint="eastAsia" w:ascii="宋体" w:hAnsi="宋体" w:eastAsia="宋体" w:cs="宋体"/>
                <w:color w:val="auto"/>
                <w:sz w:val="21"/>
                <w:szCs w:val="21"/>
                <w:highlight w:val="none"/>
              </w:rPr>
            </w:pPr>
          </w:p>
        </w:tc>
        <w:tc>
          <w:tcPr>
            <w:tcW w:w="1365" w:type="dxa"/>
            <w:vAlign w:val="center"/>
          </w:tcPr>
          <w:p w14:paraId="5085BA99">
            <w:pPr>
              <w:spacing w:line="360" w:lineRule="auto"/>
              <w:rPr>
                <w:rFonts w:hint="eastAsia" w:ascii="宋体" w:hAnsi="宋体" w:eastAsia="宋体" w:cs="宋体"/>
                <w:color w:val="auto"/>
                <w:sz w:val="21"/>
                <w:szCs w:val="21"/>
                <w:highlight w:val="none"/>
              </w:rPr>
            </w:pPr>
          </w:p>
        </w:tc>
        <w:tc>
          <w:tcPr>
            <w:tcW w:w="2625" w:type="dxa"/>
            <w:vAlign w:val="center"/>
          </w:tcPr>
          <w:p w14:paraId="6F873203">
            <w:pPr>
              <w:spacing w:line="360" w:lineRule="auto"/>
              <w:rPr>
                <w:rFonts w:hint="eastAsia" w:ascii="宋体" w:hAnsi="宋体" w:eastAsia="宋体" w:cs="宋体"/>
                <w:color w:val="auto"/>
                <w:sz w:val="21"/>
                <w:szCs w:val="21"/>
                <w:highlight w:val="none"/>
              </w:rPr>
            </w:pPr>
          </w:p>
        </w:tc>
      </w:tr>
      <w:tr w14:paraId="1B6AA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59E8392">
            <w:pPr>
              <w:spacing w:line="360" w:lineRule="auto"/>
              <w:rPr>
                <w:rFonts w:hint="eastAsia" w:ascii="宋体" w:hAnsi="宋体" w:eastAsia="宋体" w:cs="宋体"/>
                <w:color w:val="auto"/>
                <w:sz w:val="21"/>
                <w:szCs w:val="21"/>
                <w:highlight w:val="none"/>
              </w:rPr>
            </w:pPr>
          </w:p>
        </w:tc>
        <w:tc>
          <w:tcPr>
            <w:tcW w:w="2029" w:type="dxa"/>
            <w:vAlign w:val="top"/>
          </w:tcPr>
          <w:p w14:paraId="424BF1F0">
            <w:pPr>
              <w:snapToGrid w:val="0"/>
              <w:jc w:val="center"/>
              <w:rPr>
                <w:rFonts w:hint="eastAsia" w:ascii="宋体" w:hAnsi="宋体" w:eastAsia="宋体" w:cs="宋体"/>
                <w:color w:val="auto"/>
                <w:sz w:val="21"/>
                <w:szCs w:val="21"/>
                <w:highlight w:val="none"/>
              </w:rPr>
            </w:pPr>
          </w:p>
        </w:tc>
        <w:tc>
          <w:tcPr>
            <w:tcW w:w="1541" w:type="dxa"/>
            <w:vAlign w:val="center"/>
          </w:tcPr>
          <w:p w14:paraId="06A8ED00">
            <w:pPr>
              <w:spacing w:line="360" w:lineRule="auto"/>
              <w:rPr>
                <w:rFonts w:hint="eastAsia" w:ascii="宋体" w:hAnsi="宋体" w:eastAsia="宋体" w:cs="宋体"/>
                <w:color w:val="auto"/>
                <w:sz w:val="21"/>
                <w:szCs w:val="21"/>
                <w:highlight w:val="none"/>
              </w:rPr>
            </w:pPr>
          </w:p>
        </w:tc>
        <w:tc>
          <w:tcPr>
            <w:tcW w:w="1365" w:type="dxa"/>
            <w:vAlign w:val="center"/>
          </w:tcPr>
          <w:p w14:paraId="778DDA86">
            <w:pPr>
              <w:spacing w:line="360" w:lineRule="auto"/>
              <w:rPr>
                <w:rFonts w:hint="eastAsia" w:ascii="宋体" w:hAnsi="宋体" w:eastAsia="宋体" w:cs="宋体"/>
                <w:color w:val="auto"/>
                <w:sz w:val="21"/>
                <w:szCs w:val="21"/>
                <w:highlight w:val="none"/>
              </w:rPr>
            </w:pPr>
          </w:p>
        </w:tc>
        <w:tc>
          <w:tcPr>
            <w:tcW w:w="2625" w:type="dxa"/>
            <w:vAlign w:val="center"/>
          </w:tcPr>
          <w:p w14:paraId="05BF698F">
            <w:pPr>
              <w:spacing w:line="360" w:lineRule="auto"/>
              <w:rPr>
                <w:rFonts w:hint="eastAsia" w:ascii="宋体" w:hAnsi="宋体" w:eastAsia="宋体" w:cs="宋体"/>
                <w:color w:val="auto"/>
                <w:sz w:val="21"/>
                <w:szCs w:val="21"/>
                <w:highlight w:val="none"/>
              </w:rPr>
            </w:pPr>
          </w:p>
        </w:tc>
      </w:tr>
      <w:tr w14:paraId="6FEE1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0A33E1BB">
            <w:pPr>
              <w:spacing w:line="360" w:lineRule="auto"/>
              <w:rPr>
                <w:rFonts w:hint="eastAsia" w:ascii="宋体" w:hAnsi="宋体" w:eastAsia="宋体" w:cs="宋体"/>
                <w:color w:val="auto"/>
                <w:sz w:val="21"/>
                <w:szCs w:val="21"/>
                <w:highlight w:val="none"/>
              </w:rPr>
            </w:pPr>
          </w:p>
        </w:tc>
        <w:tc>
          <w:tcPr>
            <w:tcW w:w="2029" w:type="dxa"/>
            <w:vAlign w:val="top"/>
          </w:tcPr>
          <w:p w14:paraId="07D166AE">
            <w:pPr>
              <w:snapToGrid w:val="0"/>
              <w:jc w:val="center"/>
              <w:rPr>
                <w:rFonts w:hint="eastAsia" w:ascii="宋体" w:hAnsi="宋体" w:eastAsia="宋体" w:cs="宋体"/>
                <w:color w:val="auto"/>
                <w:sz w:val="21"/>
                <w:szCs w:val="21"/>
                <w:highlight w:val="none"/>
              </w:rPr>
            </w:pPr>
          </w:p>
        </w:tc>
        <w:tc>
          <w:tcPr>
            <w:tcW w:w="1541" w:type="dxa"/>
            <w:vAlign w:val="center"/>
          </w:tcPr>
          <w:p w14:paraId="72D17E4F">
            <w:pPr>
              <w:spacing w:line="360" w:lineRule="auto"/>
              <w:rPr>
                <w:rFonts w:hint="eastAsia" w:ascii="宋体" w:hAnsi="宋体" w:eastAsia="宋体" w:cs="宋体"/>
                <w:color w:val="auto"/>
                <w:sz w:val="21"/>
                <w:szCs w:val="21"/>
                <w:highlight w:val="none"/>
              </w:rPr>
            </w:pPr>
          </w:p>
        </w:tc>
        <w:tc>
          <w:tcPr>
            <w:tcW w:w="1365" w:type="dxa"/>
            <w:vAlign w:val="center"/>
          </w:tcPr>
          <w:p w14:paraId="3E7114CC">
            <w:pPr>
              <w:spacing w:line="360" w:lineRule="auto"/>
              <w:rPr>
                <w:rFonts w:hint="eastAsia" w:ascii="宋体" w:hAnsi="宋体" w:eastAsia="宋体" w:cs="宋体"/>
                <w:color w:val="auto"/>
                <w:sz w:val="21"/>
                <w:szCs w:val="21"/>
                <w:highlight w:val="none"/>
              </w:rPr>
            </w:pPr>
          </w:p>
        </w:tc>
        <w:tc>
          <w:tcPr>
            <w:tcW w:w="2625" w:type="dxa"/>
            <w:vAlign w:val="center"/>
          </w:tcPr>
          <w:p w14:paraId="4AC3BCDC">
            <w:pPr>
              <w:spacing w:line="360" w:lineRule="auto"/>
              <w:rPr>
                <w:rFonts w:hint="eastAsia" w:ascii="宋体" w:hAnsi="宋体" w:eastAsia="宋体" w:cs="宋体"/>
                <w:color w:val="auto"/>
                <w:sz w:val="21"/>
                <w:szCs w:val="21"/>
                <w:highlight w:val="none"/>
              </w:rPr>
            </w:pPr>
          </w:p>
        </w:tc>
      </w:tr>
      <w:tr w14:paraId="5702E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38D261A0">
            <w:pPr>
              <w:spacing w:line="360" w:lineRule="auto"/>
              <w:rPr>
                <w:rFonts w:hint="eastAsia" w:ascii="宋体" w:hAnsi="宋体" w:eastAsia="宋体" w:cs="宋体"/>
                <w:color w:val="auto"/>
                <w:sz w:val="21"/>
                <w:szCs w:val="21"/>
                <w:highlight w:val="none"/>
              </w:rPr>
            </w:pPr>
          </w:p>
        </w:tc>
        <w:tc>
          <w:tcPr>
            <w:tcW w:w="2029" w:type="dxa"/>
          </w:tcPr>
          <w:p w14:paraId="7BDB2F63">
            <w:pPr>
              <w:snapToGrid w:val="0"/>
              <w:spacing w:line="360" w:lineRule="auto"/>
              <w:jc w:val="center"/>
              <w:rPr>
                <w:rFonts w:hint="eastAsia" w:ascii="宋体" w:hAnsi="宋体" w:eastAsia="宋体" w:cs="宋体"/>
                <w:color w:val="auto"/>
                <w:sz w:val="21"/>
                <w:szCs w:val="21"/>
                <w:highlight w:val="none"/>
              </w:rPr>
            </w:pPr>
          </w:p>
        </w:tc>
        <w:tc>
          <w:tcPr>
            <w:tcW w:w="1541" w:type="dxa"/>
            <w:vAlign w:val="center"/>
          </w:tcPr>
          <w:p w14:paraId="21C5C427">
            <w:pPr>
              <w:spacing w:line="360" w:lineRule="auto"/>
              <w:rPr>
                <w:rFonts w:hint="eastAsia" w:ascii="宋体" w:hAnsi="宋体" w:eastAsia="宋体" w:cs="宋体"/>
                <w:color w:val="auto"/>
                <w:sz w:val="21"/>
                <w:szCs w:val="21"/>
                <w:highlight w:val="none"/>
              </w:rPr>
            </w:pPr>
          </w:p>
        </w:tc>
        <w:tc>
          <w:tcPr>
            <w:tcW w:w="1365" w:type="dxa"/>
            <w:vAlign w:val="center"/>
          </w:tcPr>
          <w:p w14:paraId="119DC7AF">
            <w:pPr>
              <w:spacing w:line="360" w:lineRule="auto"/>
              <w:rPr>
                <w:rFonts w:hint="eastAsia" w:ascii="宋体" w:hAnsi="宋体" w:eastAsia="宋体" w:cs="宋体"/>
                <w:color w:val="auto"/>
                <w:sz w:val="21"/>
                <w:szCs w:val="21"/>
                <w:highlight w:val="none"/>
              </w:rPr>
            </w:pPr>
          </w:p>
        </w:tc>
        <w:tc>
          <w:tcPr>
            <w:tcW w:w="2625" w:type="dxa"/>
            <w:vAlign w:val="center"/>
          </w:tcPr>
          <w:p w14:paraId="28FDB178">
            <w:pPr>
              <w:spacing w:line="360" w:lineRule="auto"/>
              <w:rPr>
                <w:rFonts w:hint="eastAsia" w:ascii="宋体" w:hAnsi="宋体" w:eastAsia="宋体" w:cs="宋体"/>
                <w:color w:val="auto"/>
                <w:sz w:val="21"/>
                <w:szCs w:val="21"/>
                <w:highlight w:val="none"/>
              </w:rPr>
            </w:pPr>
          </w:p>
        </w:tc>
      </w:tr>
    </w:tbl>
    <w:p w14:paraId="5AA90EF1">
      <w:pPr>
        <w:spacing w:line="360" w:lineRule="auto"/>
        <w:ind w:left="420"/>
        <w:rPr>
          <w:rFonts w:hint="eastAsia" w:ascii="宋体" w:hAnsi="宋体" w:eastAsia="宋体" w:cs="宋体"/>
          <w:color w:val="auto"/>
          <w:sz w:val="21"/>
          <w:szCs w:val="21"/>
          <w:highlight w:val="none"/>
        </w:rPr>
      </w:pPr>
    </w:p>
    <w:p w14:paraId="261DEA99">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28657BB8">
      <w:pPr>
        <w:spacing w:line="360" w:lineRule="auto"/>
        <w:ind w:left="420"/>
        <w:rPr>
          <w:rFonts w:hint="eastAsia" w:ascii="宋体" w:hAnsi="宋体" w:eastAsia="宋体" w:cs="宋体"/>
          <w:color w:val="auto"/>
          <w:sz w:val="21"/>
          <w:szCs w:val="21"/>
          <w:highlight w:val="none"/>
        </w:rPr>
      </w:pPr>
    </w:p>
    <w:p w14:paraId="562FD84A">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4F6F74B2">
      <w:pPr>
        <w:spacing w:line="360" w:lineRule="auto"/>
        <w:ind w:firstLine="435"/>
        <w:rPr>
          <w:rFonts w:hint="eastAsia" w:ascii="宋体" w:hAnsi="宋体" w:eastAsia="宋体" w:cs="宋体"/>
          <w:color w:val="auto"/>
          <w:sz w:val="21"/>
          <w:szCs w:val="21"/>
          <w:highlight w:val="none"/>
        </w:rPr>
      </w:pPr>
    </w:p>
    <w:p w14:paraId="0D5197BB">
      <w:pPr>
        <w:spacing w:line="360" w:lineRule="auto"/>
        <w:ind w:firstLine="43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日期：</w:t>
      </w:r>
    </w:p>
    <w:p w14:paraId="32F3BA6A">
      <w:pPr>
        <w:tabs>
          <w:tab w:val="left" w:pos="2460"/>
        </w:tabs>
        <w:spacing w:line="360" w:lineRule="auto"/>
        <w:ind w:firstLine="435"/>
        <w:rPr>
          <w:rFonts w:hint="eastAsia" w:ascii="宋体" w:hAnsi="宋体" w:eastAsia="宋体" w:cs="宋体"/>
          <w:b/>
          <w:color w:val="auto"/>
          <w:sz w:val="28"/>
          <w:highlight w:val="none"/>
        </w:rPr>
      </w:pPr>
    </w:p>
    <w:p w14:paraId="1E9E20B7">
      <w:pPr>
        <w:tabs>
          <w:tab w:val="left" w:pos="2460"/>
        </w:tabs>
        <w:spacing w:line="360" w:lineRule="auto"/>
        <w:ind w:firstLine="435"/>
        <w:rPr>
          <w:rFonts w:hint="eastAsia" w:ascii="宋体" w:hAnsi="宋体" w:eastAsia="宋体" w:cs="宋体"/>
          <w:b/>
          <w:color w:val="auto"/>
          <w:sz w:val="28"/>
          <w:highlight w:val="none"/>
        </w:rPr>
      </w:pPr>
    </w:p>
    <w:p w14:paraId="3FED07D7">
      <w:pPr>
        <w:tabs>
          <w:tab w:val="left" w:pos="2460"/>
        </w:tabs>
        <w:spacing w:line="360" w:lineRule="auto"/>
        <w:ind w:firstLine="435"/>
        <w:rPr>
          <w:rFonts w:hint="eastAsia" w:ascii="宋体" w:hAnsi="宋体" w:eastAsia="宋体" w:cs="宋体"/>
          <w:b/>
          <w:color w:val="auto"/>
          <w:sz w:val="28"/>
          <w:highlight w:val="none"/>
        </w:rPr>
      </w:pPr>
    </w:p>
    <w:p w14:paraId="6178E7F0">
      <w:pPr>
        <w:pStyle w:val="6"/>
        <w:rPr>
          <w:rFonts w:hint="eastAsia" w:ascii="宋体" w:hAnsi="宋体" w:eastAsia="宋体" w:cs="宋体"/>
          <w:b/>
          <w:color w:val="auto"/>
          <w:sz w:val="28"/>
          <w:highlight w:val="none"/>
        </w:rPr>
      </w:pPr>
    </w:p>
    <w:p w14:paraId="3077D028">
      <w:pPr>
        <w:pStyle w:val="6"/>
        <w:rPr>
          <w:rFonts w:hint="eastAsia" w:ascii="宋体" w:hAnsi="宋体" w:eastAsia="宋体" w:cs="宋体"/>
          <w:b/>
          <w:color w:val="auto"/>
          <w:sz w:val="28"/>
          <w:highlight w:val="none"/>
        </w:rPr>
      </w:pPr>
    </w:p>
    <w:p w14:paraId="4CEEFCE5">
      <w:pPr>
        <w:tabs>
          <w:tab w:val="left" w:pos="2460"/>
        </w:tabs>
        <w:spacing w:line="360" w:lineRule="auto"/>
        <w:rPr>
          <w:rFonts w:hint="eastAsia" w:ascii="宋体" w:hAnsi="宋体" w:eastAsia="宋体" w:cs="宋体"/>
          <w:b/>
          <w:color w:val="auto"/>
          <w:sz w:val="28"/>
          <w:highlight w:val="none"/>
        </w:rPr>
      </w:pPr>
    </w:p>
    <w:p w14:paraId="4271D65F">
      <w:pPr>
        <w:pStyle w:val="51"/>
        <w:rPr>
          <w:rFonts w:hint="eastAsia" w:ascii="宋体" w:hAnsi="宋体" w:eastAsia="宋体" w:cs="宋体"/>
          <w:color w:val="auto"/>
          <w:highlight w:val="none"/>
        </w:rPr>
      </w:pPr>
    </w:p>
    <w:p w14:paraId="30A8389C">
      <w:pPr>
        <w:tabs>
          <w:tab w:val="left" w:pos="2460"/>
        </w:tabs>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4</w:t>
      </w:r>
      <w:r>
        <w:rPr>
          <w:rFonts w:hint="eastAsia" w:ascii="宋体" w:hAnsi="宋体" w:eastAsia="宋体" w:cs="宋体"/>
          <w:b/>
          <w:color w:val="auto"/>
          <w:sz w:val="28"/>
          <w:highlight w:val="none"/>
        </w:rPr>
        <w:tab/>
      </w:r>
    </w:p>
    <w:p w14:paraId="72EF1B9F">
      <w:pPr>
        <w:spacing w:line="360" w:lineRule="auto"/>
        <w:ind w:firstLine="435"/>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41FA56E8">
      <w:pPr>
        <w:spacing w:line="360" w:lineRule="auto"/>
        <w:ind w:firstLine="435"/>
        <w:jc w:val="center"/>
        <w:rPr>
          <w:rFonts w:hint="eastAsia" w:ascii="宋体" w:hAnsi="宋体" w:eastAsia="宋体" w:cs="宋体"/>
          <w:b/>
          <w:color w:val="auto"/>
          <w:sz w:val="36"/>
          <w:szCs w:val="36"/>
          <w:highlight w:val="none"/>
        </w:rPr>
      </w:pPr>
    </w:p>
    <w:tbl>
      <w:tblPr>
        <w:tblStyle w:val="22"/>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39DAC7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41C0A89F">
            <w:pPr>
              <w:pStyle w:val="44"/>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tcBorders>
              <w:top w:val="single" w:color="auto" w:sz="4" w:space="0"/>
            </w:tcBorders>
            <w:vAlign w:val="center"/>
          </w:tcPr>
          <w:p w14:paraId="509D46BB">
            <w:pPr>
              <w:pStyle w:val="44"/>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tcBorders>
              <w:top w:val="single" w:color="auto" w:sz="4" w:space="0"/>
            </w:tcBorders>
            <w:vAlign w:val="center"/>
          </w:tcPr>
          <w:p w14:paraId="28B2CD9C">
            <w:pPr>
              <w:pStyle w:val="44"/>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投标人情况</w:t>
            </w:r>
          </w:p>
        </w:tc>
        <w:tc>
          <w:tcPr>
            <w:tcW w:w="1373" w:type="dxa"/>
            <w:tcBorders>
              <w:top w:val="single" w:color="auto" w:sz="4" w:space="0"/>
            </w:tcBorders>
            <w:vAlign w:val="center"/>
          </w:tcPr>
          <w:p w14:paraId="0B710F79">
            <w:pPr>
              <w:pStyle w:val="44"/>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593BFD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92" w:hRule="atLeast"/>
          <w:jc w:val="center"/>
        </w:trPr>
        <w:tc>
          <w:tcPr>
            <w:tcW w:w="739" w:type="dxa"/>
            <w:vAlign w:val="center"/>
          </w:tcPr>
          <w:p w14:paraId="19E93F1C">
            <w:pPr>
              <w:pStyle w:val="44"/>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vAlign w:val="center"/>
          </w:tcPr>
          <w:p w14:paraId="117ECAB0">
            <w:pPr>
              <w:pStyle w:val="44"/>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内售后服务情况(服务方式、服务网点、售后服务的内容和措施等等，可用附页和宣传材料)</w:t>
            </w:r>
          </w:p>
        </w:tc>
        <w:tc>
          <w:tcPr>
            <w:tcW w:w="4061" w:type="dxa"/>
          </w:tcPr>
          <w:p w14:paraId="264479E0">
            <w:pPr>
              <w:pStyle w:val="44"/>
              <w:spacing w:line="360" w:lineRule="auto"/>
              <w:rPr>
                <w:rFonts w:hint="eastAsia" w:ascii="宋体" w:hAnsi="宋体" w:eastAsia="宋体" w:cs="宋体"/>
                <w:bCs/>
                <w:color w:val="auto"/>
                <w:sz w:val="21"/>
                <w:szCs w:val="21"/>
                <w:highlight w:val="none"/>
              </w:rPr>
            </w:pPr>
          </w:p>
        </w:tc>
        <w:tc>
          <w:tcPr>
            <w:tcW w:w="1373" w:type="dxa"/>
          </w:tcPr>
          <w:p w14:paraId="2B0C50FA">
            <w:pPr>
              <w:pStyle w:val="44"/>
              <w:spacing w:line="360" w:lineRule="auto"/>
              <w:rPr>
                <w:rFonts w:hint="eastAsia" w:ascii="宋体" w:hAnsi="宋体" w:eastAsia="宋体" w:cs="宋体"/>
                <w:bCs/>
                <w:color w:val="auto"/>
                <w:sz w:val="21"/>
                <w:szCs w:val="21"/>
                <w:highlight w:val="none"/>
              </w:rPr>
            </w:pPr>
          </w:p>
        </w:tc>
      </w:tr>
      <w:tr w14:paraId="0EA628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69" w:hRule="exact"/>
          <w:jc w:val="center"/>
        </w:trPr>
        <w:tc>
          <w:tcPr>
            <w:tcW w:w="739" w:type="dxa"/>
            <w:vAlign w:val="center"/>
          </w:tcPr>
          <w:p w14:paraId="2C211C70">
            <w:pPr>
              <w:pStyle w:val="44"/>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vAlign w:val="center"/>
          </w:tcPr>
          <w:p w14:paraId="72A79C02">
            <w:pPr>
              <w:pStyle w:val="44"/>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服务期满后</w:t>
            </w:r>
            <w:r>
              <w:rPr>
                <w:rFonts w:hint="eastAsia" w:ascii="宋体" w:hAnsi="宋体" w:eastAsia="宋体" w:cs="宋体"/>
                <w:bCs/>
                <w:color w:val="auto"/>
                <w:sz w:val="21"/>
                <w:szCs w:val="21"/>
                <w:highlight w:val="none"/>
              </w:rPr>
              <w:t>售后服务</w:t>
            </w:r>
          </w:p>
        </w:tc>
        <w:tc>
          <w:tcPr>
            <w:tcW w:w="4061" w:type="dxa"/>
          </w:tcPr>
          <w:p w14:paraId="54925455">
            <w:pPr>
              <w:pStyle w:val="44"/>
              <w:widowControl/>
              <w:spacing w:line="360" w:lineRule="auto"/>
              <w:jc w:val="left"/>
              <w:rPr>
                <w:rFonts w:hint="eastAsia" w:ascii="宋体" w:hAnsi="宋体" w:eastAsia="宋体" w:cs="宋体"/>
                <w:bCs/>
                <w:color w:val="auto"/>
                <w:sz w:val="21"/>
                <w:szCs w:val="21"/>
                <w:highlight w:val="none"/>
              </w:rPr>
            </w:pPr>
          </w:p>
          <w:p w14:paraId="76259F1A">
            <w:pPr>
              <w:pStyle w:val="44"/>
              <w:widowControl/>
              <w:spacing w:line="360" w:lineRule="auto"/>
              <w:jc w:val="left"/>
              <w:rPr>
                <w:rFonts w:hint="eastAsia" w:ascii="宋体" w:hAnsi="宋体" w:eastAsia="宋体" w:cs="宋体"/>
                <w:bCs/>
                <w:color w:val="auto"/>
                <w:sz w:val="21"/>
                <w:szCs w:val="21"/>
                <w:highlight w:val="none"/>
              </w:rPr>
            </w:pPr>
          </w:p>
          <w:p w14:paraId="58FF912D">
            <w:pPr>
              <w:pStyle w:val="44"/>
              <w:spacing w:line="360" w:lineRule="auto"/>
              <w:rPr>
                <w:rFonts w:hint="eastAsia" w:ascii="宋体" w:hAnsi="宋体" w:eastAsia="宋体" w:cs="宋体"/>
                <w:bCs/>
                <w:color w:val="auto"/>
                <w:sz w:val="21"/>
                <w:szCs w:val="21"/>
                <w:highlight w:val="none"/>
              </w:rPr>
            </w:pPr>
          </w:p>
        </w:tc>
        <w:tc>
          <w:tcPr>
            <w:tcW w:w="1373" w:type="dxa"/>
          </w:tcPr>
          <w:p w14:paraId="436E863E">
            <w:pPr>
              <w:pStyle w:val="44"/>
              <w:widowControl/>
              <w:spacing w:line="360" w:lineRule="auto"/>
              <w:jc w:val="left"/>
              <w:rPr>
                <w:rFonts w:hint="eastAsia" w:ascii="宋体" w:hAnsi="宋体" w:eastAsia="宋体" w:cs="宋体"/>
                <w:bCs/>
                <w:color w:val="auto"/>
                <w:sz w:val="21"/>
                <w:szCs w:val="21"/>
                <w:highlight w:val="none"/>
              </w:rPr>
            </w:pPr>
          </w:p>
          <w:p w14:paraId="73FAD6D5">
            <w:pPr>
              <w:pStyle w:val="44"/>
              <w:widowControl/>
              <w:spacing w:line="360" w:lineRule="auto"/>
              <w:jc w:val="left"/>
              <w:rPr>
                <w:rFonts w:hint="eastAsia" w:ascii="宋体" w:hAnsi="宋体" w:eastAsia="宋体" w:cs="宋体"/>
                <w:bCs/>
                <w:color w:val="auto"/>
                <w:sz w:val="21"/>
                <w:szCs w:val="21"/>
                <w:highlight w:val="none"/>
              </w:rPr>
            </w:pPr>
          </w:p>
          <w:p w14:paraId="304C80A7">
            <w:pPr>
              <w:pStyle w:val="44"/>
              <w:spacing w:line="360" w:lineRule="auto"/>
              <w:rPr>
                <w:rFonts w:hint="eastAsia" w:ascii="宋体" w:hAnsi="宋体" w:eastAsia="宋体" w:cs="宋体"/>
                <w:bCs/>
                <w:color w:val="auto"/>
                <w:sz w:val="21"/>
                <w:szCs w:val="21"/>
                <w:highlight w:val="none"/>
              </w:rPr>
            </w:pPr>
          </w:p>
        </w:tc>
      </w:tr>
      <w:tr w14:paraId="711186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40E6BB4E">
            <w:pPr>
              <w:pStyle w:val="44"/>
              <w:widowControl/>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2355" w:type="dxa"/>
            <w:vAlign w:val="center"/>
          </w:tcPr>
          <w:p w14:paraId="309A1366">
            <w:pPr>
              <w:pStyle w:val="44"/>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培训方案（可用附页）</w:t>
            </w:r>
          </w:p>
        </w:tc>
        <w:tc>
          <w:tcPr>
            <w:tcW w:w="4061" w:type="dxa"/>
          </w:tcPr>
          <w:p w14:paraId="5A1E6B65">
            <w:pPr>
              <w:pStyle w:val="44"/>
              <w:widowControl/>
              <w:spacing w:line="360" w:lineRule="auto"/>
              <w:jc w:val="left"/>
              <w:rPr>
                <w:rFonts w:hint="eastAsia" w:ascii="宋体" w:hAnsi="宋体" w:eastAsia="宋体" w:cs="宋体"/>
                <w:bCs/>
                <w:i/>
                <w:color w:val="auto"/>
                <w:sz w:val="21"/>
                <w:szCs w:val="21"/>
                <w:highlight w:val="none"/>
              </w:rPr>
            </w:pPr>
          </w:p>
          <w:p w14:paraId="25F188C3">
            <w:pPr>
              <w:pStyle w:val="44"/>
              <w:widowControl/>
              <w:spacing w:line="360" w:lineRule="auto"/>
              <w:jc w:val="left"/>
              <w:rPr>
                <w:rFonts w:hint="eastAsia" w:ascii="宋体" w:hAnsi="宋体" w:eastAsia="宋体" w:cs="宋体"/>
                <w:bCs/>
                <w:i/>
                <w:color w:val="auto"/>
                <w:sz w:val="21"/>
                <w:szCs w:val="21"/>
                <w:highlight w:val="none"/>
              </w:rPr>
            </w:pPr>
          </w:p>
        </w:tc>
        <w:tc>
          <w:tcPr>
            <w:tcW w:w="1373" w:type="dxa"/>
          </w:tcPr>
          <w:p w14:paraId="05684489">
            <w:pPr>
              <w:pStyle w:val="44"/>
              <w:widowControl/>
              <w:spacing w:line="360" w:lineRule="auto"/>
              <w:jc w:val="left"/>
              <w:rPr>
                <w:rFonts w:hint="eastAsia" w:ascii="宋体" w:hAnsi="宋体" w:eastAsia="宋体" w:cs="宋体"/>
                <w:bCs/>
                <w:i/>
                <w:color w:val="auto"/>
                <w:sz w:val="21"/>
                <w:szCs w:val="21"/>
                <w:highlight w:val="none"/>
              </w:rPr>
            </w:pPr>
          </w:p>
          <w:p w14:paraId="5BAA7B71">
            <w:pPr>
              <w:pStyle w:val="44"/>
              <w:widowControl/>
              <w:spacing w:line="360" w:lineRule="auto"/>
              <w:jc w:val="left"/>
              <w:rPr>
                <w:rFonts w:hint="eastAsia" w:ascii="宋体" w:hAnsi="宋体" w:eastAsia="宋体" w:cs="宋体"/>
                <w:bCs/>
                <w:i/>
                <w:color w:val="auto"/>
                <w:sz w:val="21"/>
                <w:szCs w:val="21"/>
                <w:highlight w:val="none"/>
              </w:rPr>
            </w:pPr>
          </w:p>
          <w:p w14:paraId="090A3BDD">
            <w:pPr>
              <w:pStyle w:val="44"/>
              <w:widowControl/>
              <w:spacing w:line="360" w:lineRule="auto"/>
              <w:jc w:val="left"/>
              <w:rPr>
                <w:rFonts w:hint="eastAsia" w:ascii="宋体" w:hAnsi="宋体" w:eastAsia="宋体" w:cs="宋体"/>
                <w:bCs/>
                <w:i/>
                <w:color w:val="auto"/>
                <w:sz w:val="21"/>
                <w:szCs w:val="21"/>
                <w:highlight w:val="none"/>
              </w:rPr>
            </w:pPr>
          </w:p>
        </w:tc>
      </w:tr>
      <w:tr w14:paraId="2947DA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36166D22">
            <w:pPr>
              <w:pStyle w:val="44"/>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tcBorders>
              <w:bottom w:val="single" w:color="auto" w:sz="4" w:space="0"/>
            </w:tcBorders>
            <w:vAlign w:val="center"/>
          </w:tcPr>
          <w:p w14:paraId="393D3566">
            <w:pPr>
              <w:pStyle w:val="44"/>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tcBorders>
              <w:bottom w:val="single" w:color="auto" w:sz="4" w:space="0"/>
            </w:tcBorders>
          </w:tcPr>
          <w:p w14:paraId="3A2A916C">
            <w:pPr>
              <w:pStyle w:val="44"/>
              <w:widowControl/>
              <w:spacing w:line="360" w:lineRule="auto"/>
              <w:jc w:val="left"/>
              <w:rPr>
                <w:rFonts w:hint="eastAsia" w:ascii="宋体" w:hAnsi="宋体" w:eastAsia="宋体" w:cs="宋体"/>
                <w:bCs/>
                <w:color w:val="auto"/>
                <w:sz w:val="21"/>
                <w:szCs w:val="21"/>
                <w:highlight w:val="none"/>
              </w:rPr>
            </w:pPr>
          </w:p>
        </w:tc>
        <w:tc>
          <w:tcPr>
            <w:tcW w:w="1373" w:type="dxa"/>
            <w:tcBorders>
              <w:bottom w:val="single" w:color="auto" w:sz="4" w:space="0"/>
            </w:tcBorders>
          </w:tcPr>
          <w:p w14:paraId="07E28EFA">
            <w:pPr>
              <w:pStyle w:val="44"/>
              <w:widowControl/>
              <w:spacing w:line="360" w:lineRule="auto"/>
              <w:jc w:val="left"/>
              <w:rPr>
                <w:rFonts w:hint="eastAsia" w:ascii="宋体" w:hAnsi="宋体" w:eastAsia="宋体" w:cs="宋体"/>
                <w:bCs/>
                <w:color w:val="auto"/>
                <w:sz w:val="21"/>
                <w:szCs w:val="21"/>
                <w:highlight w:val="none"/>
              </w:rPr>
            </w:pPr>
          </w:p>
        </w:tc>
      </w:tr>
    </w:tbl>
    <w:p w14:paraId="73893DB2">
      <w:pPr>
        <w:spacing w:line="360" w:lineRule="auto"/>
        <w:ind w:left="420"/>
        <w:rPr>
          <w:rFonts w:hint="eastAsia" w:ascii="宋体" w:hAnsi="宋体" w:eastAsia="宋体" w:cs="宋体"/>
          <w:color w:val="auto"/>
          <w:sz w:val="21"/>
          <w:szCs w:val="21"/>
          <w:highlight w:val="none"/>
        </w:rPr>
      </w:pPr>
    </w:p>
    <w:p w14:paraId="3EBBAFFC">
      <w:pPr>
        <w:spacing w:line="360" w:lineRule="auto"/>
        <w:ind w:left="420"/>
        <w:rPr>
          <w:rFonts w:hint="eastAsia" w:ascii="宋体" w:hAnsi="宋体" w:eastAsia="宋体" w:cs="宋体"/>
          <w:color w:val="auto"/>
          <w:sz w:val="21"/>
          <w:szCs w:val="21"/>
          <w:highlight w:val="none"/>
        </w:rPr>
      </w:pPr>
    </w:p>
    <w:p w14:paraId="0E7E622E">
      <w:pPr>
        <w:spacing w:line="360" w:lineRule="auto"/>
        <w:rPr>
          <w:rFonts w:hint="eastAsia" w:ascii="宋体" w:hAnsi="宋体" w:eastAsia="宋体" w:cs="宋体"/>
          <w:color w:val="auto"/>
          <w:sz w:val="21"/>
          <w:szCs w:val="21"/>
          <w:highlight w:val="none"/>
        </w:rPr>
      </w:pPr>
    </w:p>
    <w:p w14:paraId="5FDA7835">
      <w:pPr>
        <w:spacing w:line="360" w:lineRule="auto"/>
        <w:ind w:left="420"/>
        <w:rPr>
          <w:rFonts w:hint="eastAsia" w:ascii="宋体" w:hAnsi="宋体" w:eastAsia="宋体" w:cs="宋体"/>
          <w:color w:val="auto"/>
          <w:sz w:val="21"/>
          <w:szCs w:val="21"/>
          <w:highlight w:val="none"/>
        </w:rPr>
      </w:pPr>
    </w:p>
    <w:p w14:paraId="37D84A09">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1D79C459">
      <w:pPr>
        <w:spacing w:line="360" w:lineRule="auto"/>
        <w:ind w:left="420"/>
        <w:rPr>
          <w:rFonts w:hint="eastAsia" w:ascii="宋体" w:hAnsi="宋体" w:eastAsia="宋体" w:cs="宋体"/>
          <w:color w:val="auto"/>
          <w:sz w:val="21"/>
          <w:szCs w:val="21"/>
          <w:highlight w:val="none"/>
        </w:rPr>
      </w:pPr>
    </w:p>
    <w:p w14:paraId="26F34C01">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24420612">
      <w:pPr>
        <w:spacing w:line="360" w:lineRule="auto"/>
        <w:rPr>
          <w:rFonts w:hint="eastAsia" w:ascii="宋体" w:hAnsi="宋体" w:eastAsia="宋体" w:cs="宋体"/>
          <w:color w:val="auto"/>
          <w:sz w:val="21"/>
          <w:szCs w:val="21"/>
          <w:highlight w:val="none"/>
        </w:rPr>
      </w:pPr>
    </w:p>
    <w:p w14:paraId="17135EAD">
      <w:pPr>
        <w:spacing w:line="360" w:lineRule="auto"/>
        <w:ind w:firstLine="435"/>
        <w:rPr>
          <w:rFonts w:hint="eastAsia" w:ascii="宋体" w:hAnsi="宋体" w:eastAsia="宋体" w:cs="宋体"/>
          <w:color w:val="auto"/>
          <w:sz w:val="24"/>
          <w:highlight w:val="none"/>
          <w:u w:val="single"/>
        </w:rPr>
      </w:pPr>
      <w:r>
        <w:rPr>
          <w:rFonts w:hint="eastAsia" w:ascii="宋体" w:hAnsi="宋体" w:eastAsia="宋体" w:cs="宋体"/>
          <w:color w:val="auto"/>
          <w:sz w:val="21"/>
          <w:szCs w:val="21"/>
          <w:highlight w:val="none"/>
        </w:rPr>
        <w:t>日期：</w:t>
      </w:r>
    </w:p>
    <w:p w14:paraId="37261282">
      <w:pPr>
        <w:spacing w:line="360" w:lineRule="auto"/>
        <w:ind w:firstLine="435"/>
        <w:rPr>
          <w:rFonts w:hint="eastAsia" w:ascii="宋体" w:hAnsi="宋体" w:eastAsia="宋体" w:cs="宋体"/>
          <w:color w:val="auto"/>
          <w:sz w:val="24"/>
          <w:highlight w:val="none"/>
          <w:u w:val="single"/>
        </w:rPr>
      </w:pPr>
    </w:p>
    <w:p w14:paraId="4264D671">
      <w:pPr>
        <w:pStyle w:val="45"/>
        <w:spacing w:line="360" w:lineRule="auto"/>
        <w:rPr>
          <w:rFonts w:hint="eastAsia" w:ascii="宋体" w:hAnsi="宋体" w:eastAsia="宋体" w:cs="宋体"/>
          <w:b/>
          <w:color w:val="auto"/>
          <w:sz w:val="28"/>
          <w:szCs w:val="28"/>
          <w:highlight w:val="none"/>
        </w:rPr>
      </w:pPr>
    </w:p>
    <w:p w14:paraId="79D2CFA7">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1E7B770F">
      <w:pPr>
        <w:spacing w:line="360" w:lineRule="auto"/>
        <w:ind w:right="-110"/>
        <w:jc w:val="left"/>
        <w:outlineLvl w:val="9"/>
        <w:rPr>
          <w:rFonts w:hint="eastAsia" w:ascii="宋体" w:hAnsi="宋体" w:eastAsia="宋体" w:cs="宋体"/>
          <w:color w:val="auto"/>
          <w:spacing w:val="40"/>
          <w:sz w:val="52"/>
          <w:szCs w:val="52"/>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 xml:space="preserve">5 </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64980CC2">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68FD526">
      <w:pPr>
        <w:spacing w:beforeLines="100"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项目编号：（标段）</w:t>
      </w:r>
    </w:p>
    <w:p w14:paraId="13D5EC1D">
      <w:pPr>
        <w:spacing w:after="100" w:afterAutospacing="1" w:line="360" w:lineRule="auto"/>
        <w:ind w:right="-108"/>
        <w:jc w:val="center"/>
        <w:rPr>
          <w:rFonts w:hint="eastAsia" w:ascii="宋体" w:hAnsi="宋体" w:eastAsia="宋体" w:cs="宋体"/>
          <w:b/>
          <w:color w:val="auto"/>
          <w:spacing w:val="40"/>
          <w:sz w:val="84"/>
          <w:szCs w:val="84"/>
          <w:highlight w:val="none"/>
        </w:rPr>
      </w:pPr>
    </w:p>
    <w:p w14:paraId="6C0B0EB6">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报</w:t>
      </w:r>
    </w:p>
    <w:p w14:paraId="18F26B49">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价</w:t>
      </w:r>
    </w:p>
    <w:p w14:paraId="10536A89">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文</w:t>
      </w:r>
    </w:p>
    <w:p w14:paraId="44340AD8">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件</w:t>
      </w:r>
    </w:p>
    <w:p w14:paraId="5CFBFFB3">
      <w:pPr>
        <w:spacing w:line="360" w:lineRule="auto"/>
        <w:ind w:right="532"/>
        <w:jc w:val="center"/>
        <w:rPr>
          <w:rFonts w:hint="eastAsia" w:ascii="宋体" w:hAnsi="宋体" w:eastAsia="宋体" w:cs="宋体"/>
          <w:color w:val="auto"/>
          <w:sz w:val="36"/>
          <w:szCs w:val="36"/>
          <w:highlight w:val="none"/>
        </w:rPr>
      </w:pPr>
    </w:p>
    <w:p w14:paraId="2E81D459">
      <w:pPr>
        <w:spacing w:line="360" w:lineRule="auto"/>
        <w:ind w:right="532"/>
        <w:rPr>
          <w:rFonts w:hint="eastAsia" w:ascii="宋体" w:hAnsi="宋体" w:eastAsia="宋体" w:cs="宋体"/>
          <w:color w:val="auto"/>
          <w:sz w:val="36"/>
          <w:szCs w:val="36"/>
          <w:highlight w:val="none"/>
        </w:rPr>
      </w:pPr>
    </w:p>
    <w:p w14:paraId="02588B2C">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供应商全称（公章）：</w:t>
      </w:r>
    </w:p>
    <w:p w14:paraId="09AFC5D1">
      <w:pPr>
        <w:spacing w:line="360" w:lineRule="auto"/>
        <w:ind w:right="-108"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772BAE12">
      <w:pPr>
        <w:spacing w:line="360" w:lineRule="auto"/>
        <w:ind w:right="-108"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14:paraId="2A1AA7CD">
      <w:pPr>
        <w:spacing w:line="360" w:lineRule="auto"/>
        <w:ind w:right="-108"/>
        <w:jc w:val="center"/>
        <w:rPr>
          <w:rFonts w:hint="eastAsia" w:ascii="宋体" w:hAnsi="宋体" w:eastAsia="宋体" w:cs="宋体"/>
          <w:b/>
          <w:color w:val="auto"/>
          <w:sz w:val="36"/>
          <w:szCs w:val="32"/>
          <w:highlight w:val="none"/>
        </w:rPr>
      </w:pPr>
    </w:p>
    <w:p w14:paraId="0BB656AB">
      <w:pPr>
        <w:keepNext w:val="0"/>
        <w:keepLines w:val="0"/>
        <w:pageBreakBefore w:val="0"/>
        <w:widowControl w:val="0"/>
        <w:kinsoku/>
        <w:wordWrap/>
        <w:overflowPunct/>
        <w:topLinePunct w:val="0"/>
        <w:autoSpaceDE/>
        <w:autoSpaceDN/>
        <w:bidi w:val="0"/>
        <w:adjustRightInd/>
        <w:snapToGrid/>
        <w:spacing w:line="360" w:lineRule="auto"/>
        <w:ind w:right="-108"/>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3EDDC6FB">
      <w:pPr>
        <w:snapToGrid w:val="0"/>
        <w:spacing w:line="360" w:lineRule="auto"/>
        <w:rPr>
          <w:rFonts w:hint="eastAsia" w:ascii="宋体" w:hAnsi="宋体" w:eastAsia="宋体" w:cs="宋体"/>
          <w:color w:val="auto"/>
          <w:sz w:val="24"/>
          <w:highlight w:val="none"/>
        </w:rPr>
      </w:pPr>
    </w:p>
    <w:p w14:paraId="463FEED0">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1、开标一览表（附件1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p>
    <w:p w14:paraId="1A017BAA">
      <w:pPr>
        <w:pStyle w:val="11"/>
        <w:snapToGrid w:val="0"/>
        <w:spacing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2、报价明细表（附件1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p>
    <w:p w14:paraId="17D71A09">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3、针对报价投标人认为其他需要说明的；</w:t>
      </w:r>
    </w:p>
    <w:p w14:paraId="0D34A2B7">
      <w:pPr>
        <w:spacing w:line="360" w:lineRule="auto"/>
        <w:rPr>
          <w:rFonts w:hint="eastAsia" w:ascii="宋体" w:hAnsi="宋体" w:eastAsia="宋体" w:cs="宋体"/>
          <w:b/>
          <w:color w:val="auto"/>
          <w:sz w:val="21"/>
          <w:szCs w:val="21"/>
          <w:highlight w:val="none"/>
        </w:rPr>
      </w:pPr>
    </w:p>
    <w:p w14:paraId="2E6EB6BC">
      <w:pPr>
        <w:spacing w:line="360" w:lineRule="auto"/>
        <w:ind w:left="480"/>
        <w:rPr>
          <w:rFonts w:hint="eastAsia" w:ascii="宋体" w:hAnsi="宋体" w:eastAsia="宋体" w:cs="宋体"/>
          <w:b/>
          <w:color w:val="auto"/>
          <w:sz w:val="21"/>
          <w:szCs w:val="21"/>
          <w:highlight w:val="none"/>
        </w:rPr>
      </w:pPr>
    </w:p>
    <w:p w14:paraId="4E52DA08">
      <w:pPr>
        <w:spacing w:line="360" w:lineRule="auto"/>
        <w:ind w:left="480"/>
        <w:rPr>
          <w:rFonts w:hint="eastAsia" w:ascii="宋体" w:hAnsi="宋体" w:eastAsia="宋体" w:cs="宋体"/>
          <w:b/>
          <w:color w:val="auto"/>
          <w:sz w:val="28"/>
          <w:highlight w:val="none"/>
        </w:rPr>
      </w:pPr>
    </w:p>
    <w:p w14:paraId="26A3678B">
      <w:pPr>
        <w:spacing w:line="360" w:lineRule="auto"/>
        <w:ind w:left="480"/>
        <w:rPr>
          <w:rFonts w:hint="eastAsia" w:ascii="宋体" w:hAnsi="宋体" w:eastAsia="宋体" w:cs="宋体"/>
          <w:b/>
          <w:color w:val="auto"/>
          <w:sz w:val="28"/>
          <w:highlight w:val="none"/>
        </w:rPr>
      </w:pPr>
    </w:p>
    <w:p w14:paraId="1D9859C1">
      <w:pPr>
        <w:spacing w:line="360" w:lineRule="auto"/>
        <w:ind w:left="480"/>
        <w:rPr>
          <w:rFonts w:hint="eastAsia" w:ascii="宋体" w:hAnsi="宋体" w:eastAsia="宋体" w:cs="宋体"/>
          <w:b/>
          <w:color w:val="auto"/>
          <w:sz w:val="28"/>
          <w:highlight w:val="none"/>
        </w:rPr>
      </w:pPr>
    </w:p>
    <w:p w14:paraId="56AA3BC9">
      <w:pPr>
        <w:spacing w:line="360" w:lineRule="auto"/>
        <w:ind w:left="480"/>
        <w:rPr>
          <w:rFonts w:hint="eastAsia" w:ascii="宋体" w:hAnsi="宋体" w:eastAsia="宋体" w:cs="宋体"/>
          <w:b/>
          <w:color w:val="auto"/>
          <w:sz w:val="28"/>
          <w:highlight w:val="none"/>
        </w:rPr>
      </w:pPr>
    </w:p>
    <w:p w14:paraId="4C798F50">
      <w:pPr>
        <w:spacing w:line="360" w:lineRule="auto"/>
        <w:ind w:left="480"/>
        <w:rPr>
          <w:rFonts w:hint="eastAsia" w:ascii="宋体" w:hAnsi="宋体" w:eastAsia="宋体" w:cs="宋体"/>
          <w:b/>
          <w:color w:val="auto"/>
          <w:sz w:val="28"/>
          <w:highlight w:val="none"/>
        </w:rPr>
      </w:pPr>
    </w:p>
    <w:p w14:paraId="7402AAD2">
      <w:pPr>
        <w:spacing w:line="360" w:lineRule="auto"/>
        <w:ind w:left="480"/>
        <w:rPr>
          <w:rFonts w:hint="eastAsia" w:ascii="宋体" w:hAnsi="宋体" w:eastAsia="宋体" w:cs="宋体"/>
          <w:b/>
          <w:color w:val="auto"/>
          <w:sz w:val="28"/>
          <w:highlight w:val="none"/>
        </w:rPr>
      </w:pPr>
    </w:p>
    <w:p w14:paraId="6DFF5121">
      <w:pPr>
        <w:spacing w:line="360" w:lineRule="auto"/>
        <w:ind w:left="480"/>
        <w:rPr>
          <w:rFonts w:hint="eastAsia" w:ascii="宋体" w:hAnsi="宋体" w:eastAsia="宋体" w:cs="宋体"/>
          <w:b/>
          <w:color w:val="auto"/>
          <w:sz w:val="28"/>
          <w:highlight w:val="none"/>
        </w:rPr>
      </w:pPr>
    </w:p>
    <w:p w14:paraId="2F94A659">
      <w:pPr>
        <w:spacing w:line="360" w:lineRule="auto"/>
        <w:ind w:left="480"/>
        <w:rPr>
          <w:rFonts w:hint="eastAsia" w:ascii="宋体" w:hAnsi="宋体" w:eastAsia="宋体" w:cs="宋体"/>
          <w:b/>
          <w:color w:val="auto"/>
          <w:sz w:val="28"/>
          <w:highlight w:val="none"/>
        </w:rPr>
      </w:pPr>
    </w:p>
    <w:p w14:paraId="4BD54F54">
      <w:pPr>
        <w:spacing w:line="360" w:lineRule="auto"/>
        <w:ind w:left="480"/>
        <w:rPr>
          <w:rFonts w:hint="eastAsia" w:ascii="宋体" w:hAnsi="宋体" w:eastAsia="宋体" w:cs="宋体"/>
          <w:b/>
          <w:color w:val="auto"/>
          <w:sz w:val="28"/>
          <w:highlight w:val="none"/>
        </w:rPr>
      </w:pPr>
    </w:p>
    <w:p w14:paraId="793B0C66">
      <w:pPr>
        <w:spacing w:line="360" w:lineRule="auto"/>
        <w:ind w:left="480"/>
        <w:rPr>
          <w:rFonts w:hint="eastAsia" w:ascii="宋体" w:hAnsi="宋体" w:eastAsia="宋体" w:cs="宋体"/>
          <w:b/>
          <w:color w:val="auto"/>
          <w:sz w:val="28"/>
          <w:highlight w:val="none"/>
        </w:rPr>
      </w:pPr>
    </w:p>
    <w:p w14:paraId="11F134C3">
      <w:pPr>
        <w:spacing w:line="360" w:lineRule="auto"/>
        <w:ind w:left="480"/>
        <w:rPr>
          <w:rFonts w:hint="eastAsia" w:ascii="宋体" w:hAnsi="宋体" w:eastAsia="宋体" w:cs="宋体"/>
          <w:b/>
          <w:color w:val="auto"/>
          <w:sz w:val="28"/>
          <w:highlight w:val="none"/>
        </w:rPr>
      </w:pPr>
    </w:p>
    <w:p w14:paraId="48169FC3">
      <w:pPr>
        <w:spacing w:line="360" w:lineRule="auto"/>
        <w:ind w:left="480"/>
        <w:rPr>
          <w:rFonts w:hint="eastAsia" w:ascii="宋体" w:hAnsi="宋体" w:eastAsia="宋体" w:cs="宋体"/>
          <w:b/>
          <w:color w:val="auto"/>
          <w:sz w:val="28"/>
          <w:highlight w:val="none"/>
        </w:rPr>
      </w:pPr>
    </w:p>
    <w:p w14:paraId="3AF91E25">
      <w:pPr>
        <w:pStyle w:val="6"/>
        <w:rPr>
          <w:rFonts w:hint="eastAsia" w:ascii="宋体" w:hAnsi="宋体" w:eastAsia="宋体" w:cs="宋体"/>
          <w:color w:val="auto"/>
          <w:highlight w:val="none"/>
        </w:rPr>
      </w:pPr>
    </w:p>
    <w:p w14:paraId="3201236D">
      <w:pPr>
        <w:spacing w:line="360" w:lineRule="auto"/>
        <w:ind w:left="480"/>
        <w:rPr>
          <w:rFonts w:hint="eastAsia" w:ascii="宋体" w:hAnsi="宋体" w:eastAsia="宋体" w:cs="宋体"/>
          <w:b/>
          <w:color w:val="auto"/>
          <w:sz w:val="28"/>
          <w:highlight w:val="none"/>
        </w:rPr>
      </w:pPr>
    </w:p>
    <w:p w14:paraId="31CC4391">
      <w:pPr>
        <w:spacing w:line="360" w:lineRule="auto"/>
        <w:ind w:left="480"/>
        <w:rPr>
          <w:rFonts w:hint="eastAsia" w:ascii="宋体" w:hAnsi="宋体" w:eastAsia="宋体" w:cs="宋体"/>
          <w:b/>
          <w:color w:val="auto"/>
          <w:sz w:val="28"/>
          <w:highlight w:val="none"/>
        </w:rPr>
      </w:pPr>
    </w:p>
    <w:p w14:paraId="0EA8D4BA">
      <w:pPr>
        <w:pStyle w:val="6"/>
        <w:rPr>
          <w:rFonts w:hint="eastAsia" w:ascii="宋体" w:hAnsi="宋体" w:eastAsia="宋体" w:cs="宋体"/>
          <w:color w:val="auto"/>
          <w:highlight w:val="none"/>
        </w:rPr>
      </w:pPr>
    </w:p>
    <w:p w14:paraId="6EA7C81C">
      <w:pPr>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0819A0A">
      <w:pPr>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6</w:t>
      </w:r>
    </w:p>
    <w:p w14:paraId="4881D04F">
      <w:pPr>
        <w:spacing w:line="360" w:lineRule="auto"/>
        <w:ind w:left="-2" w:hanging="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w:t>
      </w:r>
    </w:p>
    <w:p w14:paraId="57E8A956">
      <w:pPr>
        <w:spacing w:line="360" w:lineRule="auto"/>
        <w:ind w:left="-2" w:hanging="2"/>
        <w:jc w:val="center"/>
        <w:rPr>
          <w:rFonts w:hint="eastAsia" w:ascii="宋体" w:hAnsi="宋体" w:eastAsia="宋体" w:cs="宋体"/>
          <w:b/>
          <w:color w:val="auto"/>
          <w:sz w:val="32"/>
          <w:szCs w:val="32"/>
          <w:highlight w:val="none"/>
        </w:rPr>
      </w:pPr>
    </w:p>
    <w:p w14:paraId="44A75406">
      <w:pPr>
        <w:pStyle w:val="1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11800E59">
      <w:pPr>
        <w:pStyle w:val="48"/>
        <w:spacing w:line="360" w:lineRule="auto"/>
        <w:ind w:right="48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p>
    <w:tbl>
      <w:tblPr>
        <w:tblStyle w:val="22"/>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32A3D43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bottom w:val="single" w:color="auto" w:sz="4" w:space="0"/>
              <w:right w:val="single" w:color="auto" w:sz="4" w:space="0"/>
            </w:tcBorders>
            <w:vAlign w:val="center"/>
          </w:tcPr>
          <w:p w14:paraId="2D0C2029">
            <w:pPr>
              <w:autoSpaceDE w:val="0"/>
              <w:autoSpaceDN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73F600B9">
            <w:pPr>
              <w:autoSpaceDE w:val="0"/>
              <w:autoSpaceDN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629" w:type="dxa"/>
            <w:tcBorders>
              <w:top w:val="single" w:color="auto" w:sz="12" w:space="0"/>
              <w:left w:val="single" w:color="auto" w:sz="4" w:space="0"/>
              <w:bottom w:val="single" w:color="auto" w:sz="4" w:space="0"/>
            </w:tcBorders>
            <w:vAlign w:val="center"/>
          </w:tcPr>
          <w:p w14:paraId="160AFF58">
            <w:pPr>
              <w:autoSpaceDE w:val="0"/>
              <w:autoSpaceDN w:val="0"/>
              <w:spacing w:line="360" w:lineRule="auto"/>
              <w:jc w:val="center"/>
              <w:textAlignment w:val="bottom"/>
              <w:rPr>
                <w:rFonts w:hint="eastAsia" w:ascii="宋体" w:hAnsi="宋体" w:eastAsia="宋体" w:cs="宋体"/>
                <w:color w:val="auto"/>
                <w:sz w:val="21"/>
                <w:szCs w:val="21"/>
                <w:highlight w:val="none"/>
              </w:rPr>
            </w:pPr>
          </w:p>
        </w:tc>
      </w:tr>
      <w:tr w14:paraId="2C9BA23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bottom w:val="single" w:color="auto" w:sz="4" w:space="0"/>
              <w:right w:val="single" w:color="auto" w:sz="4" w:space="0"/>
            </w:tcBorders>
            <w:vAlign w:val="center"/>
          </w:tcPr>
          <w:p w14:paraId="59752691">
            <w:pPr>
              <w:spacing w:line="360" w:lineRule="auto"/>
              <w:rPr>
                <w:rFonts w:hint="eastAsia" w:ascii="宋体" w:hAnsi="宋体" w:eastAsia="宋体" w:cs="宋体"/>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3BBB7B7B">
            <w:pPr>
              <w:autoSpaceDE w:val="0"/>
              <w:autoSpaceDN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629" w:type="dxa"/>
            <w:tcBorders>
              <w:top w:val="single" w:color="auto" w:sz="4" w:space="0"/>
              <w:left w:val="single" w:color="auto" w:sz="4" w:space="0"/>
              <w:bottom w:val="single" w:color="auto" w:sz="4" w:space="0"/>
            </w:tcBorders>
            <w:vAlign w:val="center"/>
          </w:tcPr>
          <w:p w14:paraId="7CE37EF5">
            <w:pPr>
              <w:autoSpaceDE w:val="0"/>
              <w:autoSpaceDN w:val="0"/>
              <w:spacing w:line="360" w:lineRule="auto"/>
              <w:jc w:val="center"/>
              <w:textAlignment w:val="bottom"/>
              <w:rPr>
                <w:rFonts w:hint="eastAsia" w:ascii="宋体" w:hAnsi="宋体" w:eastAsia="宋体" w:cs="宋体"/>
                <w:color w:val="auto"/>
                <w:sz w:val="21"/>
                <w:szCs w:val="21"/>
                <w:highlight w:val="none"/>
              </w:rPr>
            </w:pPr>
          </w:p>
        </w:tc>
      </w:tr>
    </w:tbl>
    <w:p w14:paraId="3E0B6F2F">
      <w:pPr>
        <w:spacing w:line="360" w:lineRule="auto"/>
        <w:rPr>
          <w:rFonts w:hint="eastAsia" w:ascii="宋体" w:hAnsi="宋体" w:eastAsia="宋体" w:cs="宋体"/>
          <w:color w:val="auto"/>
          <w:sz w:val="24"/>
          <w:highlight w:val="none"/>
        </w:rPr>
      </w:pPr>
      <w:r>
        <w:rPr>
          <w:rFonts w:hint="eastAsia" w:ascii="宋体" w:hAnsi="宋体" w:eastAsia="宋体" w:cs="宋体"/>
          <w:b/>
          <w:color w:val="auto"/>
          <w:szCs w:val="21"/>
          <w:highlight w:val="none"/>
        </w:rPr>
        <w:t>填报要求：</w:t>
      </w:r>
    </w:p>
    <w:p w14:paraId="29C3F2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lang w:val="en-US" w:eastAsia="zh-CN"/>
        </w:rPr>
        <w:t>投标总报价为完成本项目的所有费用，包括所有人员的人工费、交通费、住宿费、伙食费、办公设施费、管理费、利润、税金、合同包含的所有风险责任等各项费用及不可预见费等所需的全部费用，全部费用已包含在投标总报价中。</w:t>
      </w:r>
    </w:p>
    <w:p w14:paraId="2239D728">
      <w:pPr>
        <w:spacing w:line="360" w:lineRule="auto"/>
        <w:ind w:firstLine="420" w:firstLineChars="200"/>
        <w:rPr>
          <w:rFonts w:hint="eastAsia" w:ascii="宋体" w:hAnsi="宋体" w:eastAsia="宋体" w:cs="宋体"/>
          <w:b/>
          <w:i/>
          <w:color w:val="auto"/>
          <w:szCs w:val="21"/>
          <w:highlight w:val="none"/>
          <w:u w:val="singl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报价一经涂改，应在涂改处加盖单位公章，或者由法定代表人或全权代表</w:t>
      </w:r>
      <w:r>
        <w:rPr>
          <w:rFonts w:hint="eastAsia" w:ascii="宋体" w:hAnsi="宋体" w:eastAsia="宋体" w:cs="宋体"/>
          <w:color w:val="auto"/>
          <w:kern w:val="0"/>
          <w:szCs w:val="21"/>
          <w:highlight w:val="none"/>
          <w:lang w:eastAsia="zh-CN"/>
        </w:rPr>
        <w:t>签字</w:t>
      </w:r>
      <w:r>
        <w:rPr>
          <w:rFonts w:hint="eastAsia" w:ascii="宋体" w:hAnsi="宋体" w:eastAsia="宋体" w:cs="宋体"/>
          <w:color w:val="auto"/>
          <w:kern w:val="0"/>
          <w:szCs w:val="21"/>
          <w:highlight w:val="none"/>
        </w:rPr>
        <w:t>或盖章，否则其投标作无效标处理。</w:t>
      </w:r>
    </w:p>
    <w:p w14:paraId="5053C56D">
      <w:pPr>
        <w:spacing w:line="360" w:lineRule="auto"/>
        <w:ind w:left="420"/>
        <w:rPr>
          <w:rFonts w:hint="eastAsia" w:ascii="宋体" w:hAnsi="宋体" w:eastAsia="宋体" w:cs="宋体"/>
          <w:color w:val="auto"/>
          <w:sz w:val="21"/>
          <w:szCs w:val="21"/>
          <w:highlight w:val="none"/>
        </w:rPr>
      </w:pPr>
    </w:p>
    <w:p w14:paraId="72FD24A8">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3FE090BE">
      <w:pPr>
        <w:spacing w:line="360" w:lineRule="auto"/>
        <w:ind w:left="420"/>
        <w:rPr>
          <w:rFonts w:hint="eastAsia" w:ascii="宋体" w:hAnsi="宋体" w:eastAsia="宋体" w:cs="宋体"/>
          <w:color w:val="auto"/>
          <w:sz w:val="21"/>
          <w:szCs w:val="21"/>
          <w:highlight w:val="none"/>
        </w:rPr>
      </w:pPr>
    </w:p>
    <w:p w14:paraId="7484E902">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（签字或盖章）：</w:t>
      </w:r>
    </w:p>
    <w:p w14:paraId="79DB23B5">
      <w:pPr>
        <w:spacing w:line="360" w:lineRule="auto"/>
        <w:rPr>
          <w:rFonts w:hint="eastAsia" w:ascii="宋体" w:hAnsi="宋体" w:eastAsia="宋体" w:cs="宋体"/>
          <w:color w:val="auto"/>
          <w:sz w:val="21"/>
          <w:szCs w:val="21"/>
          <w:highlight w:val="none"/>
        </w:rPr>
      </w:pPr>
    </w:p>
    <w:p w14:paraId="143542B8">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6F7227B3">
      <w:pPr>
        <w:spacing w:line="360" w:lineRule="auto"/>
        <w:rPr>
          <w:rFonts w:hint="eastAsia" w:ascii="宋体" w:hAnsi="宋体" w:eastAsia="宋体" w:cs="宋体"/>
          <w:b/>
          <w:color w:val="auto"/>
          <w:sz w:val="28"/>
          <w:highlight w:val="none"/>
        </w:rPr>
      </w:pPr>
    </w:p>
    <w:p w14:paraId="0969A117">
      <w:pPr>
        <w:spacing w:line="360" w:lineRule="auto"/>
        <w:rPr>
          <w:rFonts w:hint="eastAsia" w:ascii="宋体" w:hAnsi="宋体" w:eastAsia="宋体" w:cs="宋体"/>
          <w:b/>
          <w:color w:val="auto"/>
          <w:sz w:val="28"/>
          <w:highlight w:val="none"/>
        </w:rPr>
      </w:pPr>
    </w:p>
    <w:p w14:paraId="0ED540E2">
      <w:pPr>
        <w:pStyle w:val="6"/>
        <w:rPr>
          <w:rFonts w:hint="eastAsia" w:ascii="宋体" w:hAnsi="宋体" w:eastAsia="宋体" w:cs="宋体"/>
          <w:color w:val="auto"/>
          <w:highlight w:val="none"/>
        </w:rPr>
      </w:pPr>
    </w:p>
    <w:p w14:paraId="20AED4EF">
      <w:pPr>
        <w:pStyle w:val="51"/>
        <w:rPr>
          <w:rFonts w:hint="eastAsia" w:ascii="宋体" w:hAnsi="宋体" w:eastAsia="宋体" w:cs="宋体"/>
          <w:color w:val="auto"/>
          <w:highlight w:val="none"/>
        </w:rPr>
      </w:pPr>
    </w:p>
    <w:p w14:paraId="3863AB46">
      <w:pPr>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CEA9643">
      <w:pPr>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7</w:t>
      </w:r>
    </w:p>
    <w:p w14:paraId="615316C7">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报价明细表</w:t>
      </w:r>
    </w:p>
    <w:p w14:paraId="6AC2319A">
      <w:pPr>
        <w:pStyle w:val="1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509CFECE">
      <w:pPr>
        <w:pStyle w:val="48"/>
        <w:spacing w:line="360" w:lineRule="auto"/>
        <w:ind w:right="480"/>
        <w:jc w:val="left"/>
        <w:rPr>
          <w:rFonts w:hint="eastAsia" w:ascii="宋体" w:hAnsi="宋体" w:eastAsia="宋体" w:cs="宋体"/>
          <w:b/>
          <w:color w:val="auto"/>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r>
        <w:rPr>
          <w:rFonts w:hint="eastAsia" w:ascii="宋体" w:hAnsi="宋体" w:eastAsia="宋体" w:cs="宋体"/>
          <w:color w:val="auto"/>
          <w:sz w:val="24"/>
          <w:highlight w:val="none"/>
        </w:rPr>
        <w:t xml:space="preserve">                             </w:t>
      </w:r>
    </w:p>
    <w:tbl>
      <w:tblPr>
        <w:tblStyle w:val="22"/>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545"/>
        <w:gridCol w:w="1965"/>
        <w:gridCol w:w="1178"/>
        <w:gridCol w:w="784"/>
        <w:gridCol w:w="1383"/>
        <w:gridCol w:w="709"/>
        <w:gridCol w:w="836"/>
        <w:gridCol w:w="836"/>
        <w:gridCol w:w="836"/>
      </w:tblGrid>
      <w:tr w14:paraId="01AD3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5" w:type="dxa"/>
            <w:vAlign w:val="center"/>
          </w:tcPr>
          <w:p w14:paraId="11A87BC4">
            <w:pPr>
              <w:keepNext w:val="0"/>
              <w:keepLines w:val="0"/>
              <w:pageBreakBefore w:val="0"/>
              <w:widowControl w:val="0"/>
              <w:tabs>
                <w:tab w:val="left" w:pos="8280"/>
              </w:tabs>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序号</w:t>
            </w:r>
          </w:p>
        </w:tc>
        <w:tc>
          <w:tcPr>
            <w:tcW w:w="3510" w:type="dxa"/>
            <w:gridSpan w:val="2"/>
            <w:vAlign w:val="center"/>
          </w:tcPr>
          <w:p w14:paraId="0DC56BF8">
            <w:pPr>
              <w:keepNext w:val="0"/>
              <w:keepLines w:val="0"/>
              <w:pageBreakBefore w:val="0"/>
              <w:widowControl w:val="0"/>
              <w:tabs>
                <w:tab w:val="left" w:pos="8280"/>
              </w:tabs>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内容</w:t>
            </w:r>
          </w:p>
        </w:tc>
        <w:tc>
          <w:tcPr>
            <w:tcW w:w="1178" w:type="dxa"/>
            <w:vAlign w:val="center"/>
          </w:tcPr>
          <w:p w14:paraId="79B62CE2">
            <w:pPr>
              <w:keepNext w:val="0"/>
              <w:keepLines w:val="0"/>
              <w:pageBreakBefore w:val="0"/>
              <w:widowControl w:val="0"/>
              <w:tabs>
                <w:tab w:val="left" w:pos="8280"/>
              </w:tabs>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p w14:paraId="62D4A0A6">
            <w:pPr>
              <w:keepNext w:val="0"/>
              <w:keepLines w:val="0"/>
              <w:pageBreakBefore w:val="0"/>
              <w:widowControl w:val="0"/>
              <w:tabs>
                <w:tab w:val="left" w:pos="8280"/>
              </w:tabs>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暂定</w:t>
            </w:r>
            <w:r>
              <w:rPr>
                <w:rFonts w:hint="eastAsia" w:ascii="宋体" w:hAnsi="宋体" w:cs="宋体"/>
                <w:b/>
                <w:color w:val="auto"/>
                <w:sz w:val="21"/>
                <w:szCs w:val="21"/>
                <w:highlight w:val="none"/>
                <w:lang w:eastAsia="zh-CN"/>
              </w:rPr>
              <w:t>）</w:t>
            </w:r>
          </w:p>
        </w:tc>
        <w:tc>
          <w:tcPr>
            <w:tcW w:w="784" w:type="dxa"/>
            <w:vAlign w:val="center"/>
          </w:tcPr>
          <w:p w14:paraId="32B22230">
            <w:pPr>
              <w:keepNext w:val="0"/>
              <w:keepLines w:val="0"/>
              <w:pageBreakBefore w:val="0"/>
              <w:widowControl w:val="0"/>
              <w:tabs>
                <w:tab w:val="left" w:pos="8280"/>
              </w:tabs>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383" w:type="dxa"/>
            <w:vAlign w:val="center"/>
          </w:tcPr>
          <w:p w14:paraId="7F0EAE47">
            <w:pPr>
              <w:keepNext w:val="0"/>
              <w:keepLines w:val="0"/>
              <w:pageBreakBefore w:val="0"/>
              <w:widowControl w:val="0"/>
              <w:tabs>
                <w:tab w:val="left" w:pos="8280"/>
              </w:tabs>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最高限</w:t>
            </w:r>
            <w:r>
              <w:rPr>
                <w:rFonts w:hint="eastAsia" w:ascii="宋体" w:hAnsi="宋体" w:eastAsia="宋体" w:cs="宋体"/>
                <w:b/>
                <w:color w:val="auto"/>
                <w:sz w:val="21"/>
                <w:szCs w:val="21"/>
                <w:highlight w:val="none"/>
                <w:lang w:val="en-US" w:eastAsia="zh-CN"/>
              </w:rPr>
              <w:t>单</w:t>
            </w:r>
            <w:r>
              <w:rPr>
                <w:rFonts w:hint="eastAsia" w:ascii="宋体" w:hAnsi="宋体" w:eastAsia="宋体" w:cs="宋体"/>
                <w:b/>
                <w:color w:val="auto"/>
                <w:sz w:val="21"/>
                <w:szCs w:val="21"/>
                <w:highlight w:val="none"/>
              </w:rPr>
              <w:t>价</w:t>
            </w:r>
          </w:p>
        </w:tc>
        <w:tc>
          <w:tcPr>
            <w:tcW w:w="709" w:type="dxa"/>
            <w:vAlign w:val="center"/>
          </w:tcPr>
          <w:p w14:paraId="2A6F0D4A">
            <w:pPr>
              <w:keepNext w:val="0"/>
              <w:keepLines w:val="0"/>
              <w:pageBreakBefore w:val="0"/>
              <w:widowControl w:val="0"/>
              <w:tabs>
                <w:tab w:val="left" w:pos="8280"/>
              </w:tabs>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投标单价</w:t>
            </w:r>
          </w:p>
        </w:tc>
        <w:tc>
          <w:tcPr>
            <w:tcW w:w="836" w:type="dxa"/>
            <w:vAlign w:val="center"/>
          </w:tcPr>
          <w:p w14:paraId="13C63420">
            <w:pPr>
              <w:keepNext w:val="0"/>
              <w:keepLines w:val="0"/>
              <w:pageBreakBefore w:val="0"/>
              <w:widowControl w:val="0"/>
              <w:tabs>
                <w:tab w:val="left" w:pos="8280"/>
              </w:tabs>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小计（元）</w:t>
            </w:r>
          </w:p>
        </w:tc>
        <w:tc>
          <w:tcPr>
            <w:tcW w:w="836" w:type="dxa"/>
            <w:vAlign w:val="center"/>
          </w:tcPr>
          <w:p w14:paraId="0B6666E9">
            <w:pPr>
              <w:keepNext w:val="0"/>
              <w:keepLines w:val="0"/>
              <w:pageBreakBefore w:val="0"/>
              <w:widowControl w:val="0"/>
              <w:tabs>
                <w:tab w:val="left" w:pos="8280"/>
              </w:tabs>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服务期</w:t>
            </w:r>
          </w:p>
        </w:tc>
        <w:tc>
          <w:tcPr>
            <w:tcW w:w="836" w:type="dxa"/>
            <w:vAlign w:val="center"/>
          </w:tcPr>
          <w:p w14:paraId="2ABBE5F8">
            <w:pPr>
              <w:keepNext w:val="0"/>
              <w:keepLines w:val="0"/>
              <w:pageBreakBefore w:val="0"/>
              <w:widowControl w:val="0"/>
              <w:tabs>
                <w:tab w:val="left" w:pos="8280"/>
              </w:tabs>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备注</w:t>
            </w:r>
          </w:p>
        </w:tc>
      </w:tr>
      <w:tr w14:paraId="347C9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555" w:type="dxa"/>
            <w:vAlign w:val="center"/>
          </w:tcPr>
          <w:p w14:paraId="0F87A02C">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510" w:type="dxa"/>
            <w:gridSpan w:val="2"/>
            <w:vAlign w:val="center"/>
          </w:tcPr>
          <w:p w14:paraId="638A9B30">
            <w:pPr>
              <w:widowControl/>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废气低效设施改造升级项目</w:t>
            </w:r>
          </w:p>
        </w:tc>
        <w:tc>
          <w:tcPr>
            <w:tcW w:w="1178" w:type="dxa"/>
            <w:vAlign w:val="center"/>
          </w:tcPr>
          <w:p w14:paraId="49AFC9F5">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784" w:type="dxa"/>
            <w:vAlign w:val="center"/>
          </w:tcPr>
          <w:p w14:paraId="7AFF239D">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家</w:t>
            </w:r>
          </w:p>
        </w:tc>
        <w:tc>
          <w:tcPr>
            <w:tcW w:w="1383" w:type="dxa"/>
            <w:vAlign w:val="center"/>
          </w:tcPr>
          <w:p w14:paraId="1C7E8A49">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10000</w:t>
            </w:r>
            <w:r>
              <w:rPr>
                <w:rFonts w:hint="eastAsia" w:ascii="宋体" w:hAnsi="宋体" w:cs="宋体"/>
                <w:b w:val="0"/>
                <w:bCs/>
                <w:color w:val="auto"/>
                <w:sz w:val="21"/>
                <w:szCs w:val="21"/>
                <w:highlight w:val="none"/>
                <w:lang w:val="en-US" w:eastAsia="zh-CN"/>
              </w:rPr>
              <w:t>元/家</w:t>
            </w:r>
          </w:p>
        </w:tc>
        <w:tc>
          <w:tcPr>
            <w:tcW w:w="709" w:type="dxa"/>
            <w:vAlign w:val="center"/>
          </w:tcPr>
          <w:p w14:paraId="557E7619">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Align w:val="center"/>
          </w:tcPr>
          <w:p w14:paraId="01BDBECB">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Merge w:val="restart"/>
            <w:vAlign w:val="center"/>
          </w:tcPr>
          <w:p w14:paraId="3BB5E1C7">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合同签订之日起至</w:t>
            </w:r>
            <w:r>
              <w:rPr>
                <w:rFonts w:hint="eastAsia" w:ascii="宋体" w:hAnsi="宋体" w:eastAsia="宋体" w:cs="宋体"/>
                <w:bCs/>
                <w:color w:val="auto"/>
                <w:sz w:val="21"/>
                <w:szCs w:val="21"/>
                <w:highlight w:val="none"/>
              </w:rPr>
              <w:t>202</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年</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rPr>
              <w:t>月</w:t>
            </w:r>
            <w:r>
              <w:rPr>
                <w:rFonts w:hint="eastAsia" w:ascii="宋体" w:hAnsi="宋体" w:cs="宋体"/>
                <w:bCs/>
                <w:color w:val="auto"/>
                <w:sz w:val="21"/>
                <w:szCs w:val="21"/>
                <w:highlight w:val="none"/>
                <w:lang w:val="en-US" w:eastAsia="zh-CN"/>
              </w:rPr>
              <w:t>30</w:t>
            </w:r>
            <w:r>
              <w:rPr>
                <w:rFonts w:hint="eastAsia" w:ascii="宋体" w:hAnsi="宋体" w:eastAsia="宋体" w:cs="宋体"/>
                <w:bCs/>
                <w:color w:val="auto"/>
                <w:sz w:val="21"/>
                <w:szCs w:val="21"/>
                <w:highlight w:val="none"/>
                <w:lang w:val="en-US" w:eastAsia="zh-CN"/>
              </w:rPr>
              <w:t>日</w:t>
            </w:r>
          </w:p>
        </w:tc>
        <w:tc>
          <w:tcPr>
            <w:tcW w:w="836" w:type="dxa"/>
            <w:vAlign w:val="center"/>
          </w:tcPr>
          <w:p w14:paraId="1DDB9B38">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r>
      <w:tr w14:paraId="604B9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55" w:type="dxa"/>
            <w:vAlign w:val="center"/>
          </w:tcPr>
          <w:p w14:paraId="1BF9B408">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3510" w:type="dxa"/>
            <w:gridSpan w:val="2"/>
            <w:vAlign w:val="center"/>
          </w:tcPr>
          <w:p w14:paraId="264902F5">
            <w:pPr>
              <w:widowControl/>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绩效提级技术服务项目（B级）</w:t>
            </w:r>
          </w:p>
        </w:tc>
        <w:tc>
          <w:tcPr>
            <w:tcW w:w="1178" w:type="dxa"/>
            <w:vAlign w:val="center"/>
          </w:tcPr>
          <w:p w14:paraId="7C931EED">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784" w:type="dxa"/>
            <w:vAlign w:val="center"/>
          </w:tcPr>
          <w:p w14:paraId="1FD8C5D2">
            <w:pPr>
              <w:tabs>
                <w:tab w:val="left" w:pos="8280"/>
              </w:tabs>
              <w:autoSpaceDE w:val="0"/>
              <w:autoSpaceDN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家</w:t>
            </w:r>
          </w:p>
        </w:tc>
        <w:tc>
          <w:tcPr>
            <w:tcW w:w="1383" w:type="dxa"/>
            <w:vAlign w:val="center"/>
          </w:tcPr>
          <w:p w14:paraId="4F4748AE">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20000</w:t>
            </w:r>
            <w:r>
              <w:rPr>
                <w:rFonts w:hint="eastAsia" w:ascii="宋体" w:hAnsi="宋体" w:cs="宋体"/>
                <w:b w:val="0"/>
                <w:bCs/>
                <w:color w:val="auto"/>
                <w:sz w:val="21"/>
                <w:szCs w:val="21"/>
                <w:highlight w:val="none"/>
                <w:lang w:val="en-US" w:eastAsia="zh-CN"/>
              </w:rPr>
              <w:t>元/家</w:t>
            </w:r>
          </w:p>
        </w:tc>
        <w:tc>
          <w:tcPr>
            <w:tcW w:w="709" w:type="dxa"/>
            <w:vAlign w:val="center"/>
          </w:tcPr>
          <w:p w14:paraId="1FC5854A">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Align w:val="center"/>
          </w:tcPr>
          <w:p w14:paraId="5931AE37">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Merge w:val="continue"/>
            <w:vAlign w:val="center"/>
          </w:tcPr>
          <w:p w14:paraId="150F069A">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Align w:val="center"/>
          </w:tcPr>
          <w:p w14:paraId="3C3412E3">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r>
      <w:tr w14:paraId="0774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55" w:type="dxa"/>
            <w:vAlign w:val="center"/>
          </w:tcPr>
          <w:p w14:paraId="4A225AF6">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3510" w:type="dxa"/>
            <w:gridSpan w:val="2"/>
            <w:vAlign w:val="center"/>
          </w:tcPr>
          <w:p w14:paraId="2CE47218">
            <w:pPr>
              <w:widowControl/>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源头替代技术服务项目</w:t>
            </w:r>
          </w:p>
        </w:tc>
        <w:tc>
          <w:tcPr>
            <w:tcW w:w="1178" w:type="dxa"/>
            <w:vAlign w:val="center"/>
          </w:tcPr>
          <w:p w14:paraId="30CFE62E">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84" w:type="dxa"/>
            <w:vAlign w:val="center"/>
          </w:tcPr>
          <w:p w14:paraId="18F97E6C">
            <w:pPr>
              <w:tabs>
                <w:tab w:val="left" w:pos="8280"/>
              </w:tabs>
              <w:autoSpaceDE w:val="0"/>
              <w:autoSpaceDN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家</w:t>
            </w:r>
          </w:p>
        </w:tc>
        <w:tc>
          <w:tcPr>
            <w:tcW w:w="1383" w:type="dxa"/>
            <w:vAlign w:val="center"/>
          </w:tcPr>
          <w:p w14:paraId="5ED4BB69">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15000</w:t>
            </w:r>
            <w:r>
              <w:rPr>
                <w:rFonts w:hint="eastAsia" w:ascii="宋体" w:hAnsi="宋体" w:cs="宋体"/>
                <w:b w:val="0"/>
                <w:bCs/>
                <w:color w:val="auto"/>
                <w:sz w:val="21"/>
                <w:szCs w:val="21"/>
                <w:highlight w:val="none"/>
                <w:lang w:val="en-US" w:eastAsia="zh-CN"/>
              </w:rPr>
              <w:t>元/家</w:t>
            </w:r>
          </w:p>
        </w:tc>
        <w:tc>
          <w:tcPr>
            <w:tcW w:w="709" w:type="dxa"/>
            <w:vAlign w:val="center"/>
          </w:tcPr>
          <w:p w14:paraId="00FDFBFF">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Align w:val="center"/>
          </w:tcPr>
          <w:p w14:paraId="11A0C90D">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Merge w:val="continue"/>
            <w:vAlign w:val="center"/>
          </w:tcPr>
          <w:p w14:paraId="48D3679A">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Align w:val="center"/>
          </w:tcPr>
          <w:p w14:paraId="1ECE08CA">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r>
      <w:tr w14:paraId="20FD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55" w:type="dxa"/>
            <w:vAlign w:val="center"/>
          </w:tcPr>
          <w:p w14:paraId="5540779B">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3510" w:type="dxa"/>
            <w:gridSpan w:val="2"/>
            <w:vAlign w:val="center"/>
          </w:tcPr>
          <w:p w14:paraId="3A013571">
            <w:pPr>
              <w:widowControl/>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固废规范化管理技术服务项目</w:t>
            </w:r>
          </w:p>
        </w:tc>
        <w:tc>
          <w:tcPr>
            <w:tcW w:w="1178" w:type="dxa"/>
            <w:vAlign w:val="center"/>
          </w:tcPr>
          <w:p w14:paraId="0EE00FE6">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784" w:type="dxa"/>
            <w:vAlign w:val="center"/>
          </w:tcPr>
          <w:p w14:paraId="64C35B56">
            <w:pPr>
              <w:tabs>
                <w:tab w:val="left" w:pos="8280"/>
              </w:tabs>
              <w:autoSpaceDE w:val="0"/>
              <w:autoSpaceDN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家</w:t>
            </w:r>
          </w:p>
        </w:tc>
        <w:tc>
          <w:tcPr>
            <w:tcW w:w="1383" w:type="dxa"/>
            <w:vAlign w:val="center"/>
          </w:tcPr>
          <w:p w14:paraId="621CCE94">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4000</w:t>
            </w:r>
            <w:r>
              <w:rPr>
                <w:rFonts w:hint="eastAsia" w:ascii="宋体" w:hAnsi="宋体" w:cs="宋体"/>
                <w:b w:val="0"/>
                <w:bCs/>
                <w:color w:val="auto"/>
                <w:sz w:val="21"/>
                <w:szCs w:val="21"/>
                <w:highlight w:val="none"/>
                <w:lang w:val="en-US" w:eastAsia="zh-CN"/>
              </w:rPr>
              <w:t>元/家</w:t>
            </w:r>
          </w:p>
        </w:tc>
        <w:tc>
          <w:tcPr>
            <w:tcW w:w="709" w:type="dxa"/>
            <w:vAlign w:val="center"/>
          </w:tcPr>
          <w:p w14:paraId="1DE970AE">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Align w:val="center"/>
          </w:tcPr>
          <w:p w14:paraId="4639901F">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Merge w:val="continue"/>
            <w:vAlign w:val="center"/>
          </w:tcPr>
          <w:p w14:paraId="357935A9">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Align w:val="center"/>
          </w:tcPr>
          <w:p w14:paraId="1EAF5D94">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r>
      <w:tr w14:paraId="67B05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555" w:type="dxa"/>
            <w:vMerge w:val="restart"/>
            <w:vAlign w:val="center"/>
          </w:tcPr>
          <w:p w14:paraId="299EE80F">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545" w:type="dxa"/>
            <w:vMerge w:val="restart"/>
            <w:vAlign w:val="center"/>
          </w:tcPr>
          <w:p w14:paraId="20845736">
            <w:pPr>
              <w:widowControl/>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排污许可提质增效技术服务项目</w:t>
            </w:r>
          </w:p>
        </w:tc>
        <w:tc>
          <w:tcPr>
            <w:tcW w:w="1965" w:type="dxa"/>
            <w:vAlign w:val="center"/>
          </w:tcPr>
          <w:p w14:paraId="3CAA4A56">
            <w:pPr>
              <w:widowControl/>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排污许可证首次申领、重新申请、变更申请审核</w:t>
            </w:r>
          </w:p>
        </w:tc>
        <w:tc>
          <w:tcPr>
            <w:tcW w:w="1178" w:type="dxa"/>
            <w:vAlign w:val="center"/>
          </w:tcPr>
          <w:p w14:paraId="2ECF7384">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784" w:type="dxa"/>
            <w:vAlign w:val="center"/>
          </w:tcPr>
          <w:p w14:paraId="209B237E">
            <w:pPr>
              <w:tabs>
                <w:tab w:val="left" w:pos="8280"/>
              </w:tabs>
              <w:autoSpaceDE w:val="0"/>
              <w:autoSpaceDN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家</w:t>
            </w:r>
          </w:p>
        </w:tc>
        <w:tc>
          <w:tcPr>
            <w:tcW w:w="1383" w:type="dxa"/>
            <w:vAlign w:val="center"/>
          </w:tcPr>
          <w:p w14:paraId="00D17500">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4500</w:t>
            </w:r>
            <w:r>
              <w:rPr>
                <w:rFonts w:hint="eastAsia" w:ascii="宋体" w:hAnsi="宋体" w:cs="宋体"/>
                <w:b w:val="0"/>
                <w:bCs/>
                <w:color w:val="auto"/>
                <w:sz w:val="21"/>
                <w:szCs w:val="21"/>
                <w:highlight w:val="none"/>
                <w:lang w:val="en-US" w:eastAsia="zh-CN"/>
              </w:rPr>
              <w:t>元/家</w:t>
            </w:r>
          </w:p>
        </w:tc>
        <w:tc>
          <w:tcPr>
            <w:tcW w:w="709" w:type="dxa"/>
            <w:vAlign w:val="center"/>
          </w:tcPr>
          <w:p w14:paraId="6ACC1F8A">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Align w:val="center"/>
          </w:tcPr>
          <w:p w14:paraId="582204DA">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Merge w:val="continue"/>
            <w:vAlign w:val="center"/>
          </w:tcPr>
          <w:p w14:paraId="14F3193C">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Align w:val="center"/>
          </w:tcPr>
          <w:p w14:paraId="74D61DAC">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r>
      <w:tr w14:paraId="566BA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55" w:type="dxa"/>
            <w:vMerge w:val="continue"/>
            <w:vAlign w:val="center"/>
          </w:tcPr>
          <w:p w14:paraId="7014399E">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1545" w:type="dxa"/>
            <w:vMerge w:val="continue"/>
            <w:vAlign w:val="center"/>
          </w:tcPr>
          <w:p w14:paraId="0DDCFC09">
            <w:pPr>
              <w:widowControl/>
              <w:adjustRightInd w:val="0"/>
              <w:snapToGrid w:val="0"/>
              <w:jc w:val="center"/>
              <w:rPr>
                <w:rFonts w:hint="eastAsia" w:ascii="宋体" w:hAnsi="宋体" w:eastAsia="宋体" w:cs="宋体"/>
                <w:color w:val="auto"/>
                <w:sz w:val="21"/>
                <w:szCs w:val="21"/>
                <w:highlight w:val="none"/>
                <w:lang w:val="en-US" w:eastAsia="zh-CN"/>
              </w:rPr>
            </w:pPr>
          </w:p>
        </w:tc>
        <w:tc>
          <w:tcPr>
            <w:tcW w:w="1965" w:type="dxa"/>
            <w:vAlign w:val="center"/>
          </w:tcPr>
          <w:p w14:paraId="6811B1D8">
            <w:pPr>
              <w:widowControl/>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排污许可证复核</w:t>
            </w:r>
          </w:p>
        </w:tc>
        <w:tc>
          <w:tcPr>
            <w:tcW w:w="1178" w:type="dxa"/>
            <w:vAlign w:val="center"/>
          </w:tcPr>
          <w:p w14:paraId="520FD646">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784" w:type="dxa"/>
            <w:vAlign w:val="center"/>
          </w:tcPr>
          <w:p w14:paraId="78963343">
            <w:pPr>
              <w:tabs>
                <w:tab w:val="left" w:pos="8280"/>
              </w:tabs>
              <w:autoSpaceDE w:val="0"/>
              <w:autoSpaceDN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家</w:t>
            </w:r>
          </w:p>
        </w:tc>
        <w:tc>
          <w:tcPr>
            <w:tcW w:w="1383" w:type="dxa"/>
            <w:vAlign w:val="center"/>
          </w:tcPr>
          <w:p w14:paraId="037F6779">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2000</w:t>
            </w:r>
            <w:r>
              <w:rPr>
                <w:rFonts w:hint="eastAsia" w:ascii="宋体" w:hAnsi="宋体" w:cs="宋体"/>
                <w:b w:val="0"/>
                <w:bCs/>
                <w:color w:val="auto"/>
                <w:sz w:val="21"/>
                <w:szCs w:val="21"/>
                <w:highlight w:val="none"/>
                <w:lang w:val="en-US" w:eastAsia="zh-CN"/>
              </w:rPr>
              <w:t>元/家</w:t>
            </w:r>
          </w:p>
        </w:tc>
        <w:tc>
          <w:tcPr>
            <w:tcW w:w="709" w:type="dxa"/>
            <w:vAlign w:val="center"/>
          </w:tcPr>
          <w:p w14:paraId="7D269C08">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Align w:val="center"/>
          </w:tcPr>
          <w:p w14:paraId="0DCEB2E8">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Merge w:val="continue"/>
            <w:vAlign w:val="center"/>
          </w:tcPr>
          <w:p w14:paraId="17DD1AE2">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Align w:val="center"/>
          </w:tcPr>
          <w:p w14:paraId="03432264">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r>
      <w:tr w14:paraId="6ABFB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55" w:type="dxa"/>
            <w:vMerge w:val="continue"/>
            <w:vAlign w:val="center"/>
          </w:tcPr>
          <w:p w14:paraId="323E5FE5">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1545" w:type="dxa"/>
            <w:vMerge w:val="continue"/>
            <w:vAlign w:val="center"/>
          </w:tcPr>
          <w:p w14:paraId="5D9A8951">
            <w:pPr>
              <w:widowControl/>
              <w:adjustRightInd w:val="0"/>
              <w:snapToGrid w:val="0"/>
              <w:jc w:val="center"/>
              <w:rPr>
                <w:rFonts w:hint="eastAsia" w:ascii="宋体" w:hAnsi="宋体" w:eastAsia="宋体" w:cs="宋体"/>
                <w:color w:val="auto"/>
                <w:sz w:val="21"/>
                <w:szCs w:val="21"/>
                <w:highlight w:val="none"/>
                <w:lang w:val="en-US" w:eastAsia="zh-CN"/>
              </w:rPr>
            </w:pPr>
          </w:p>
        </w:tc>
        <w:tc>
          <w:tcPr>
            <w:tcW w:w="1965" w:type="dxa"/>
            <w:vAlign w:val="center"/>
          </w:tcPr>
          <w:p w14:paraId="5C76725A">
            <w:pPr>
              <w:widowControl/>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排污许可证执行报告审核</w:t>
            </w:r>
          </w:p>
        </w:tc>
        <w:tc>
          <w:tcPr>
            <w:tcW w:w="1178" w:type="dxa"/>
            <w:vAlign w:val="center"/>
          </w:tcPr>
          <w:p w14:paraId="2C0B68A4">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w:t>
            </w:r>
          </w:p>
        </w:tc>
        <w:tc>
          <w:tcPr>
            <w:tcW w:w="784" w:type="dxa"/>
            <w:vAlign w:val="center"/>
          </w:tcPr>
          <w:p w14:paraId="5A39D400">
            <w:pPr>
              <w:tabs>
                <w:tab w:val="left" w:pos="8280"/>
              </w:tabs>
              <w:autoSpaceDE w:val="0"/>
              <w:autoSpaceDN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家</w:t>
            </w:r>
          </w:p>
        </w:tc>
        <w:tc>
          <w:tcPr>
            <w:tcW w:w="1383" w:type="dxa"/>
            <w:vAlign w:val="center"/>
          </w:tcPr>
          <w:p w14:paraId="3F6AAE94">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620</w:t>
            </w:r>
            <w:r>
              <w:rPr>
                <w:rFonts w:hint="eastAsia" w:ascii="宋体" w:hAnsi="宋体" w:cs="宋体"/>
                <w:b w:val="0"/>
                <w:bCs/>
                <w:color w:val="auto"/>
                <w:sz w:val="21"/>
                <w:szCs w:val="21"/>
                <w:highlight w:val="none"/>
                <w:lang w:val="en-US" w:eastAsia="zh-CN"/>
              </w:rPr>
              <w:t>元/家</w:t>
            </w:r>
          </w:p>
        </w:tc>
        <w:tc>
          <w:tcPr>
            <w:tcW w:w="709" w:type="dxa"/>
            <w:vAlign w:val="center"/>
          </w:tcPr>
          <w:p w14:paraId="1ED99B79">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Align w:val="center"/>
          </w:tcPr>
          <w:p w14:paraId="438F743B">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Merge w:val="continue"/>
            <w:vAlign w:val="center"/>
          </w:tcPr>
          <w:p w14:paraId="1DB3E498">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Align w:val="center"/>
          </w:tcPr>
          <w:p w14:paraId="24509C95">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r>
      <w:tr w14:paraId="13037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55" w:type="dxa"/>
            <w:vAlign w:val="center"/>
          </w:tcPr>
          <w:p w14:paraId="43C9A525">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3510" w:type="dxa"/>
            <w:gridSpan w:val="2"/>
            <w:vAlign w:val="center"/>
          </w:tcPr>
          <w:p w14:paraId="1EFBC7B9">
            <w:pPr>
              <w:widowControl/>
              <w:adjustRightInd w:val="0"/>
              <w:snapToGrid w:val="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无废细胞</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建设技术服务项目</w:t>
            </w:r>
          </w:p>
        </w:tc>
        <w:tc>
          <w:tcPr>
            <w:tcW w:w="1178" w:type="dxa"/>
            <w:vAlign w:val="center"/>
          </w:tcPr>
          <w:p w14:paraId="483D3184">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84" w:type="dxa"/>
            <w:vAlign w:val="center"/>
          </w:tcPr>
          <w:p w14:paraId="07D758AF">
            <w:pPr>
              <w:tabs>
                <w:tab w:val="left" w:pos="8280"/>
              </w:tabs>
              <w:autoSpaceDE w:val="0"/>
              <w:autoSpaceDN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家</w:t>
            </w:r>
          </w:p>
        </w:tc>
        <w:tc>
          <w:tcPr>
            <w:tcW w:w="1383" w:type="dxa"/>
            <w:vAlign w:val="center"/>
          </w:tcPr>
          <w:p w14:paraId="4FF320C6">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10000</w:t>
            </w:r>
            <w:r>
              <w:rPr>
                <w:rFonts w:hint="eastAsia" w:ascii="宋体" w:hAnsi="宋体" w:cs="宋体"/>
                <w:b w:val="0"/>
                <w:bCs/>
                <w:color w:val="auto"/>
                <w:sz w:val="21"/>
                <w:szCs w:val="21"/>
                <w:highlight w:val="none"/>
                <w:lang w:val="en-US" w:eastAsia="zh-CN"/>
              </w:rPr>
              <w:t>元/家</w:t>
            </w:r>
          </w:p>
        </w:tc>
        <w:tc>
          <w:tcPr>
            <w:tcW w:w="709" w:type="dxa"/>
            <w:vAlign w:val="center"/>
          </w:tcPr>
          <w:p w14:paraId="6D921DA0">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Align w:val="center"/>
          </w:tcPr>
          <w:p w14:paraId="38AE5A30">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Merge w:val="continue"/>
            <w:vAlign w:val="center"/>
          </w:tcPr>
          <w:p w14:paraId="75D17245">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Align w:val="center"/>
          </w:tcPr>
          <w:p w14:paraId="172B54E3">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r>
      <w:tr w14:paraId="2D45D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555" w:type="dxa"/>
            <w:vMerge w:val="restart"/>
            <w:vAlign w:val="center"/>
          </w:tcPr>
          <w:p w14:paraId="085CB043">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545" w:type="dxa"/>
            <w:vMerge w:val="restart"/>
            <w:vAlign w:val="center"/>
          </w:tcPr>
          <w:p w14:paraId="20111A38">
            <w:pPr>
              <w:widowControl/>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排污权交易及初始排污权数据审核技术服务</w:t>
            </w:r>
            <w:r>
              <w:rPr>
                <w:rFonts w:hint="eastAsia" w:ascii="宋体" w:hAnsi="宋体" w:eastAsia="宋体" w:cs="宋体"/>
                <w:color w:val="auto"/>
                <w:sz w:val="21"/>
                <w:szCs w:val="21"/>
                <w:highlight w:val="none"/>
                <w:lang w:val="en-US" w:eastAsia="zh-CN"/>
              </w:rPr>
              <w:t>项目</w:t>
            </w:r>
          </w:p>
        </w:tc>
        <w:tc>
          <w:tcPr>
            <w:tcW w:w="1965" w:type="dxa"/>
            <w:vAlign w:val="center"/>
          </w:tcPr>
          <w:p w14:paraId="670FF7C7">
            <w:pPr>
              <w:widowControl/>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企业新增排污权交易审核</w:t>
            </w:r>
          </w:p>
        </w:tc>
        <w:tc>
          <w:tcPr>
            <w:tcW w:w="1178" w:type="dxa"/>
            <w:vAlign w:val="center"/>
          </w:tcPr>
          <w:p w14:paraId="09C8D60A">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784" w:type="dxa"/>
            <w:vAlign w:val="center"/>
          </w:tcPr>
          <w:p w14:paraId="5434303E">
            <w:pPr>
              <w:tabs>
                <w:tab w:val="left" w:pos="8280"/>
              </w:tabs>
              <w:autoSpaceDE w:val="0"/>
              <w:autoSpaceDN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家</w:t>
            </w:r>
          </w:p>
        </w:tc>
        <w:tc>
          <w:tcPr>
            <w:tcW w:w="1383" w:type="dxa"/>
            <w:vAlign w:val="center"/>
          </w:tcPr>
          <w:p w14:paraId="5CFBF472">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1500</w:t>
            </w:r>
            <w:r>
              <w:rPr>
                <w:rFonts w:hint="eastAsia" w:ascii="宋体" w:hAnsi="宋体" w:cs="宋体"/>
                <w:b w:val="0"/>
                <w:bCs/>
                <w:color w:val="auto"/>
                <w:sz w:val="21"/>
                <w:szCs w:val="21"/>
                <w:highlight w:val="none"/>
                <w:lang w:val="en-US" w:eastAsia="zh-CN"/>
              </w:rPr>
              <w:t>元/家</w:t>
            </w:r>
          </w:p>
        </w:tc>
        <w:tc>
          <w:tcPr>
            <w:tcW w:w="709" w:type="dxa"/>
            <w:vAlign w:val="center"/>
          </w:tcPr>
          <w:p w14:paraId="5E8EA9CD">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Align w:val="center"/>
          </w:tcPr>
          <w:p w14:paraId="374EC805">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Merge w:val="continue"/>
            <w:vAlign w:val="center"/>
          </w:tcPr>
          <w:p w14:paraId="06299CC7">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Align w:val="center"/>
          </w:tcPr>
          <w:p w14:paraId="3F38C320">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r>
      <w:tr w14:paraId="172A0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55" w:type="dxa"/>
            <w:vMerge w:val="continue"/>
            <w:vAlign w:val="center"/>
          </w:tcPr>
          <w:p w14:paraId="1AECA599">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1545" w:type="dxa"/>
            <w:vMerge w:val="continue"/>
            <w:vAlign w:val="center"/>
          </w:tcPr>
          <w:p w14:paraId="25CB66CB">
            <w:pPr>
              <w:widowControl/>
              <w:adjustRightInd w:val="0"/>
              <w:snapToGrid w:val="0"/>
              <w:jc w:val="center"/>
              <w:rPr>
                <w:rFonts w:hint="eastAsia" w:ascii="宋体" w:hAnsi="宋体" w:eastAsia="宋体" w:cs="宋体"/>
                <w:color w:val="auto"/>
                <w:sz w:val="21"/>
                <w:szCs w:val="21"/>
                <w:highlight w:val="none"/>
              </w:rPr>
            </w:pPr>
          </w:p>
        </w:tc>
        <w:tc>
          <w:tcPr>
            <w:tcW w:w="1965" w:type="dxa"/>
            <w:vAlign w:val="center"/>
          </w:tcPr>
          <w:p w14:paraId="2DAAD4C6">
            <w:pPr>
              <w:widowControl/>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初始排污权数据审核</w:t>
            </w:r>
          </w:p>
        </w:tc>
        <w:tc>
          <w:tcPr>
            <w:tcW w:w="1178" w:type="dxa"/>
            <w:vAlign w:val="center"/>
          </w:tcPr>
          <w:p w14:paraId="1470A558">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60</w:t>
            </w:r>
          </w:p>
        </w:tc>
        <w:tc>
          <w:tcPr>
            <w:tcW w:w="784" w:type="dxa"/>
            <w:vAlign w:val="center"/>
          </w:tcPr>
          <w:p w14:paraId="4C8B1068">
            <w:pPr>
              <w:tabs>
                <w:tab w:val="left" w:pos="8280"/>
              </w:tabs>
              <w:autoSpaceDE w:val="0"/>
              <w:autoSpaceDN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家</w:t>
            </w:r>
          </w:p>
        </w:tc>
        <w:tc>
          <w:tcPr>
            <w:tcW w:w="1383" w:type="dxa"/>
            <w:vAlign w:val="center"/>
          </w:tcPr>
          <w:p w14:paraId="6D86A567">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500</w:t>
            </w:r>
            <w:r>
              <w:rPr>
                <w:rFonts w:hint="eastAsia" w:ascii="宋体" w:hAnsi="宋体" w:cs="宋体"/>
                <w:b w:val="0"/>
                <w:bCs/>
                <w:color w:val="auto"/>
                <w:sz w:val="21"/>
                <w:szCs w:val="21"/>
                <w:highlight w:val="none"/>
                <w:lang w:val="en-US" w:eastAsia="zh-CN"/>
              </w:rPr>
              <w:t>元/家</w:t>
            </w:r>
          </w:p>
        </w:tc>
        <w:tc>
          <w:tcPr>
            <w:tcW w:w="709" w:type="dxa"/>
            <w:vAlign w:val="center"/>
          </w:tcPr>
          <w:p w14:paraId="24A12761">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Align w:val="center"/>
          </w:tcPr>
          <w:p w14:paraId="3FAE99B4">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Merge w:val="continue"/>
            <w:vAlign w:val="center"/>
          </w:tcPr>
          <w:p w14:paraId="4221757B">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Align w:val="center"/>
          </w:tcPr>
          <w:p w14:paraId="2E62DA32">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r>
      <w:tr w14:paraId="589F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55" w:type="dxa"/>
            <w:vAlign w:val="center"/>
          </w:tcPr>
          <w:p w14:paraId="1A25CEB5">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3510" w:type="dxa"/>
            <w:gridSpan w:val="2"/>
            <w:vAlign w:val="center"/>
          </w:tcPr>
          <w:p w14:paraId="04A23D90">
            <w:pPr>
              <w:widowControl/>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排污登记延续、变更技术服务</w:t>
            </w:r>
            <w:r>
              <w:rPr>
                <w:rFonts w:hint="eastAsia" w:ascii="宋体" w:hAnsi="宋体" w:eastAsia="宋体" w:cs="宋体"/>
                <w:color w:val="auto"/>
                <w:sz w:val="21"/>
                <w:szCs w:val="21"/>
                <w:highlight w:val="none"/>
                <w:lang w:val="en-US" w:eastAsia="zh-CN"/>
              </w:rPr>
              <w:t>项目</w:t>
            </w:r>
          </w:p>
        </w:tc>
        <w:tc>
          <w:tcPr>
            <w:tcW w:w="1178" w:type="dxa"/>
            <w:vAlign w:val="center"/>
          </w:tcPr>
          <w:p w14:paraId="0668FF38">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500</w:t>
            </w:r>
          </w:p>
        </w:tc>
        <w:tc>
          <w:tcPr>
            <w:tcW w:w="784" w:type="dxa"/>
            <w:vAlign w:val="center"/>
          </w:tcPr>
          <w:p w14:paraId="6D186B8B">
            <w:pPr>
              <w:tabs>
                <w:tab w:val="left" w:pos="8280"/>
              </w:tabs>
              <w:autoSpaceDE w:val="0"/>
              <w:autoSpaceDN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家</w:t>
            </w:r>
          </w:p>
        </w:tc>
        <w:tc>
          <w:tcPr>
            <w:tcW w:w="1383" w:type="dxa"/>
            <w:vAlign w:val="center"/>
          </w:tcPr>
          <w:p w14:paraId="5D925640">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750</w:t>
            </w:r>
            <w:r>
              <w:rPr>
                <w:rFonts w:hint="eastAsia" w:ascii="宋体" w:hAnsi="宋体" w:cs="宋体"/>
                <w:b w:val="0"/>
                <w:bCs/>
                <w:color w:val="auto"/>
                <w:sz w:val="21"/>
                <w:szCs w:val="21"/>
                <w:highlight w:val="none"/>
                <w:lang w:val="en-US" w:eastAsia="zh-CN"/>
              </w:rPr>
              <w:t>元/家</w:t>
            </w:r>
          </w:p>
        </w:tc>
        <w:tc>
          <w:tcPr>
            <w:tcW w:w="709" w:type="dxa"/>
            <w:vAlign w:val="center"/>
          </w:tcPr>
          <w:p w14:paraId="5E36374D">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Align w:val="center"/>
          </w:tcPr>
          <w:p w14:paraId="36A97132">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Merge w:val="continue"/>
            <w:vAlign w:val="center"/>
          </w:tcPr>
          <w:p w14:paraId="5A786FD8">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Align w:val="center"/>
          </w:tcPr>
          <w:p w14:paraId="2EC9CB7F">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r>
      <w:tr w14:paraId="367D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55" w:type="dxa"/>
            <w:vAlign w:val="center"/>
          </w:tcPr>
          <w:p w14:paraId="07A2A5C1">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3510" w:type="dxa"/>
            <w:gridSpan w:val="2"/>
            <w:vAlign w:val="center"/>
          </w:tcPr>
          <w:p w14:paraId="2FB99711">
            <w:pPr>
              <w:widowControl/>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系列督察整改复核及其他相关交办问题技术服务</w:t>
            </w:r>
            <w:r>
              <w:rPr>
                <w:rFonts w:hint="eastAsia" w:ascii="宋体" w:hAnsi="宋体" w:eastAsia="宋体" w:cs="宋体"/>
                <w:color w:val="auto"/>
                <w:sz w:val="21"/>
                <w:szCs w:val="21"/>
                <w:highlight w:val="none"/>
                <w:lang w:val="en-US" w:eastAsia="zh-CN"/>
              </w:rPr>
              <w:t>项目</w:t>
            </w:r>
          </w:p>
        </w:tc>
        <w:tc>
          <w:tcPr>
            <w:tcW w:w="1178" w:type="dxa"/>
            <w:vAlign w:val="center"/>
          </w:tcPr>
          <w:p w14:paraId="7376C506">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84" w:type="dxa"/>
            <w:vAlign w:val="center"/>
          </w:tcPr>
          <w:p w14:paraId="49CCA8AC">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1383" w:type="dxa"/>
            <w:vAlign w:val="center"/>
          </w:tcPr>
          <w:p w14:paraId="28B15E4B">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120000</w:t>
            </w:r>
            <w:r>
              <w:rPr>
                <w:rFonts w:hint="eastAsia" w:ascii="宋体" w:hAnsi="宋体" w:cs="宋体"/>
                <w:b w:val="0"/>
                <w:bCs/>
                <w:color w:val="auto"/>
                <w:sz w:val="21"/>
                <w:szCs w:val="21"/>
                <w:highlight w:val="none"/>
                <w:lang w:val="en-US" w:eastAsia="zh-CN"/>
              </w:rPr>
              <w:t>元/项</w:t>
            </w:r>
          </w:p>
        </w:tc>
        <w:tc>
          <w:tcPr>
            <w:tcW w:w="709" w:type="dxa"/>
            <w:vAlign w:val="center"/>
          </w:tcPr>
          <w:p w14:paraId="44056319">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Align w:val="center"/>
          </w:tcPr>
          <w:p w14:paraId="7E75D463">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Merge w:val="continue"/>
            <w:vAlign w:val="center"/>
          </w:tcPr>
          <w:p w14:paraId="027006D9">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Align w:val="center"/>
          </w:tcPr>
          <w:p w14:paraId="114EA6FA">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r>
      <w:tr w14:paraId="60533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55" w:type="dxa"/>
            <w:vAlign w:val="center"/>
          </w:tcPr>
          <w:p w14:paraId="6FAC2C68">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3510" w:type="dxa"/>
            <w:gridSpan w:val="2"/>
            <w:vAlign w:val="center"/>
          </w:tcPr>
          <w:p w14:paraId="36A3E859">
            <w:pPr>
              <w:widowControl/>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温室气体排放报告审核服务</w:t>
            </w:r>
            <w:r>
              <w:rPr>
                <w:rFonts w:hint="eastAsia" w:ascii="宋体" w:hAnsi="宋体" w:eastAsia="宋体" w:cs="宋体"/>
                <w:color w:val="auto"/>
                <w:sz w:val="21"/>
                <w:szCs w:val="21"/>
                <w:highlight w:val="none"/>
                <w:lang w:val="en-US" w:eastAsia="zh-CN"/>
              </w:rPr>
              <w:t>项目</w:t>
            </w:r>
          </w:p>
        </w:tc>
        <w:tc>
          <w:tcPr>
            <w:tcW w:w="1178" w:type="dxa"/>
            <w:vAlign w:val="center"/>
          </w:tcPr>
          <w:p w14:paraId="36361F2B">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86</w:t>
            </w:r>
          </w:p>
        </w:tc>
        <w:tc>
          <w:tcPr>
            <w:tcW w:w="784" w:type="dxa"/>
            <w:vAlign w:val="center"/>
          </w:tcPr>
          <w:p w14:paraId="3625D179">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家</w:t>
            </w:r>
          </w:p>
        </w:tc>
        <w:tc>
          <w:tcPr>
            <w:tcW w:w="1383" w:type="dxa"/>
            <w:vAlign w:val="center"/>
          </w:tcPr>
          <w:p w14:paraId="015606E8">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500</w:t>
            </w:r>
            <w:r>
              <w:rPr>
                <w:rFonts w:hint="eastAsia" w:ascii="宋体" w:hAnsi="宋体" w:cs="宋体"/>
                <w:b w:val="0"/>
                <w:bCs/>
                <w:color w:val="auto"/>
                <w:sz w:val="21"/>
                <w:szCs w:val="21"/>
                <w:highlight w:val="none"/>
                <w:lang w:val="en-US" w:eastAsia="zh-CN"/>
              </w:rPr>
              <w:t>元/家</w:t>
            </w:r>
          </w:p>
        </w:tc>
        <w:tc>
          <w:tcPr>
            <w:tcW w:w="709" w:type="dxa"/>
            <w:vAlign w:val="center"/>
          </w:tcPr>
          <w:p w14:paraId="720C8801">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Align w:val="center"/>
          </w:tcPr>
          <w:p w14:paraId="5A88C7F6">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Merge w:val="continue"/>
            <w:vAlign w:val="center"/>
          </w:tcPr>
          <w:p w14:paraId="700A131F">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c>
          <w:tcPr>
            <w:tcW w:w="836" w:type="dxa"/>
            <w:vAlign w:val="center"/>
          </w:tcPr>
          <w:p w14:paraId="0D4A153C">
            <w:pPr>
              <w:tabs>
                <w:tab w:val="left" w:pos="8280"/>
              </w:tabs>
              <w:autoSpaceDE w:val="0"/>
              <w:autoSpaceDN w:val="0"/>
              <w:adjustRightInd w:val="0"/>
              <w:snapToGrid w:val="0"/>
              <w:jc w:val="center"/>
              <w:rPr>
                <w:rFonts w:hint="eastAsia" w:ascii="宋体" w:hAnsi="宋体" w:eastAsia="宋体" w:cs="宋体"/>
                <w:color w:val="auto"/>
                <w:sz w:val="21"/>
                <w:szCs w:val="21"/>
                <w:highlight w:val="none"/>
                <w:lang w:val="en-US" w:eastAsia="zh-CN"/>
              </w:rPr>
            </w:pPr>
          </w:p>
        </w:tc>
      </w:tr>
      <w:tr w14:paraId="0C93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627" w:type="dxa"/>
            <w:gridSpan w:val="10"/>
            <w:vAlign w:val="center"/>
          </w:tcPr>
          <w:p w14:paraId="67C8463B">
            <w:pPr>
              <w:tabs>
                <w:tab w:val="left" w:pos="8280"/>
              </w:tabs>
              <w:autoSpaceDE w:val="0"/>
              <w:autoSpaceDN w:val="0"/>
              <w:adjustRightInd w:val="0"/>
              <w:snapToGrid w:val="0"/>
              <w:jc w:val="both"/>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报价合计  大写</w:t>
            </w:r>
          </w:p>
          <w:p w14:paraId="4E1416C4">
            <w:pPr>
              <w:tabs>
                <w:tab w:val="left" w:pos="8280"/>
              </w:tabs>
              <w:autoSpaceDE w:val="0"/>
              <w:autoSpaceDN w:val="0"/>
              <w:adjustRightInd w:val="0"/>
              <w:snapToGrid w:val="0"/>
              <w:ind w:firstLine="1054" w:firstLineChars="500"/>
              <w:jc w:val="both"/>
              <w:rPr>
                <w:rFonts w:hint="default"/>
                <w:color w:val="auto"/>
                <w:highlight w:val="none"/>
                <w:lang w:val="en-US" w:eastAsia="zh-CN"/>
              </w:rPr>
            </w:pPr>
            <w:r>
              <w:rPr>
                <w:rFonts w:hint="eastAsia" w:ascii="宋体" w:hAnsi="宋体" w:cs="宋体"/>
                <w:b/>
                <w:bCs/>
                <w:color w:val="auto"/>
                <w:sz w:val="21"/>
                <w:szCs w:val="21"/>
                <w:highlight w:val="none"/>
                <w:lang w:val="en-US" w:eastAsia="zh-CN"/>
              </w:rPr>
              <w:t>小写</w:t>
            </w:r>
          </w:p>
        </w:tc>
      </w:tr>
    </w:tbl>
    <w:p w14:paraId="3C85F927">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118A826E">
      <w:pPr>
        <w:numPr>
          <w:ilvl w:val="0"/>
          <w:numId w:val="0"/>
        </w:numPr>
        <w:spacing w:line="360" w:lineRule="auto"/>
        <w:ind w:left="435" w:leftChars="0"/>
        <w:rPr>
          <w:rFonts w:hint="eastAsia" w:asciiTheme="minorEastAsia" w:hAnsiTheme="minorEastAsia" w:eastAsiaTheme="minorEastAsia" w:cstheme="minorEastAsia"/>
          <w:b/>
          <w:bCs/>
          <w:color w:val="auto"/>
          <w:sz w:val="21"/>
          <w:szCs w:val="21"/>
          <w:highlight w:val="none"/>
          <w:u w:val="single"/>
          <w:shd w:val="pct10" w:color="auto" w:fill="FFFFFF"/>
          <w:lang w:eastAsia="zh-CN"/>
        </w:rPr>
      </w:pPr>
      <w:r>
        <w:rPr>
          <w:rFonts w:hint="eastAsia" w:asciiTheme="minorEastAsia" w:hAnsiTheme="minorEastAsia" w:eastAsiaTheme="minorEastAsia" w:cstheme="minorEastAsia"/>
          <w:b/>
          <w:bCs/>
          <w:color w:val="auto"/>
          <w:kern w:val="2"/>
          <w:sz w:val="21"/>
          <w:szCs w:val="21"/>
          <w:highlight w:val="none"/>
          <w:shd w:val="pct10" w:fill="FFFFFF"/>
          <w:lang w:val="en-US" w:eastAsia="zh-CN" w:bidi="ar-SA"/>
        </w:rPr>
        <w:t>1、</w:t>
      </w:r>
      <w:r>
        <w:rPr>
          <w:rFonts w:hint="eastAsia" w:ascii="宋体" w:hAnsi="宋体" w:eastAsia="宋体" w:cs="宋体"/>
          <w:b/>
          <w:bCs/>
          <w:color w:val="auto"/>
          <w:sz w:val="21"/>
          <w:szCs w:val="21"/>
          <w:highlight w:val="none"/>
          <w:u w:val="single"/>
          <w:shd w:val="pct10" w:color="auto" w:fill="FFFFFF"/>
        </w:rPr>
        <w:t>▲</w:t>
      </w:r>
      <w:r>
        <w:rPr>
          <w:rFonts w:hint="eastAsia" w:asciiTheme="minorEastAsia" w:hAnsiTheme="minorEastAsia" w:eastAsiaTheme="minorEastAsia" w:cstheme="minorEastAsia"/>
          <w:b/>
          <w:bCs/>
          <w:color w:val="auto"/>
          <w:sz w:val="21"/>
          <w:szCs w:val="21"/>
          <w:highlight w:val="none"/>
          <w:u w:val="single"/>
          <w:shd w:val="pct10" w:color="auto" w:fill="FFFFFF"/>
        </w:rPr>
        <w:t>备注：</w:t>
      </w:r>
      <w:r>
        <w:rPr>
          <w:rFonts w:hint="eastAsia" w:asciiTheme="minorEastAsia" w:hAnsiTheme="minorEastAsia" w:eastAsiaTheme="minorEastAsia" w:cstheme="minorEastAsia"/>
          <w:b/>
          <w:bCs/>
          <w:color w:val="auto"/>
          <w:sz w:val="21"/>
          <w:szCs w:val="21"/>
          <w:highlight w:val="none"/>
          <w:u w:val="single"/>
          <w:shd w:val="pct10" w:color="auto" w:fill="FFFFFF"/>
          <w:lang w:val="en-US" w:eastAsia="zh-CN"/>
        </w:rPr>
        <w:t>投标人的</w:t>
      </w:r>
      <w:r>
        <w:rPr>
          <w:rFonts w:hint="eastAsia" w:asciiTheme="minorEastAsia" w:hAnsiTheme="minorEastAsia" w:eastAsiaTheme="minorEastAsia" w:cstheme="minorEastAsia"/>
          <w:b/>
          <w:bCs/>
          <w:color w:val="auto"/>
          <w:sz w:val="21"/>
          <w:szCs w:val="21"/>
          <w:highlight w:val="none"/>
          <w:u w:val="single"/>
          <w:shd w:val="pct10" w:color="auto" w:fill="FFFFFF"/>
        </w:rPr>
        <w:t>投标单价不得超过本采购内容中设定的最高限</w:t>
      </w:r>
      <w:r>
        <w:rPr>
          <w:rFonts w:hint="eastAsia" w:asciiTheme="minorEastAsia" w:hAnsiTheme="minorEastAsia" w:eastAsiaTheme="minorEastAsia" w:cstheme="minorEastAsia"/>
          <w:b/>
          <w:bCs/>
          <w:color w:val="auto"/>
          <w:sz w:val="21"/>
          <w:szCs w:val="21"/>
          <w:highlight w:val="none"/>
          <w:u w:val="single"/>
          <w:shd w:val="pct10" w:color="auto" w:fill="FFFFFF"/>
          <w:lang w:val="en-US" w:eastAsia="zh-CN"/>
        </w:rPr>
        <w:t>单</w:t>
      </w:r>
      <w:r>
        <w:rPr>
          <w:rFonts w:hint="eastAsia" w:asciiTheme="minorEastAsia" w:hAnsiTheme="minorEastAsia" w:eastAsiaTheme="minorEastAsia" w:cstheme="minorEastAsia"/>
          <w:b/>
          <w:bCs/>
          <w:color w:val="auto"/>
          <w:sz w:val="21"/>
          <w:szCs w:val="21"/>
          <w:highlight w:val="none"/>
          <w:u w:val="single"/>
          <w:shd w:val="pct10" w:color="auto" w:fill="FFFFFF"/>
        </w:rPr>
        <w:t>价，否</w:t>
      </w:r>
      <w:r>
        <w:rPr>
          <w:rFonts w:hint="eastAsia" w:asciiTheme="minorEastAsia" w:hAnsiTheme="minorEastAsia" w:eastAsiaTheme="minorEastAsia" w:cstheme="minorEastAsia"/>
          <w:b/>
          <w:bCs/>
          <w:color w:val="auto"/>
          <w:sz w:val="21"/>
          <w:szCs w:val="21"/>
          <w:highlight w:val="none"/>
          <w:u w:val="single"/>
          <w:shd w:val="pct10" w:color="auto" w:fill="FFFFFF"/>
          <w:lang w:val="en-US" w:eastAsia="zh-CN"/>
        </w:rPr>
        <w:t>则</w:t>
      </w:r>
      <w:r>
        <w:rPr>
          <w:rFonts w:hint="eastAsia" w:asciiTheme="minorEastAsia" w:hAnsiTheme="minorEastAsia" w:eastAsiaTheme="minorEastAsia" w:cstheme="minorEastAsia"/>
          <w:b/>
          <w:bCs/>
          <w:color w:val="auto"/>
          <w:sz w:val="21"/>
          <w:szCs w:val="21"/>
          <w:highlight w:val="none"/>
          <w:u w:val="single"/>
          <w:shd w:val="pct10" w:color="auto" w:fill="FFFFFF"/>
        </w:rPr>
        <w:t>为无效标</w:t>
      </w:r>
      <w:r>
        <w:rPr>
          <w:rFonts w:hint="eastAsia" w:asciiTheme="minorEastAsia" w:hAnsiTheme="minorEastAsia" w:eastAsiaTheme="minorEastAsia" w:cstheme="minorEastAsia"/>
          <w:b/>
          <w:bCs/>
          <w:color w:val="auto"/>
          <w:sz w:val="21"/>
          <w:szCs w:val="21"/>
          <w:highlight w:val="none"/>
          <w:u w:val="single"/>
          <w:shd w:val="pct10" w:color="auto" w:fill="FFFFFF"/>
          <w:lang w:eastAsia="zh-CN"/>
        </w:rPr>
        <w:t>。</w:t>
      </w:r>
    </w:p>
    <w:p w14:paraId="5F0FD796">
      <w:pPr>
        <w:numPr>
          <w:ilvl w:val="0"/>
          <w:numId w:val="0"/>
        </w:numPr>
        <w:spacing w:line="360" w:lineRule="auto"/>
        <w:ind w:left="435" w:leftChars="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本表为《开标一览表》的报价明细表，如有缺项、漏项，视为投标报价中已包含相关费用，采购人无需另外支付任何费用。</w:t>
      </w:r>
    </w:p>
    <w:p w14:paraId="1130F196">
      <w:pPr>
        <w:spacing w:line="360" w:lineRule="auto"/>
        <w:ind w:left="435"/>
        <w:rPr>
          <w:rFonts w:hint="eastAsia" w:ascii="宋体" w:hAnsi="宋体" w:eastAsia="宋体" w:cs="宋体"/>
          <w:color w:val="auto"/>
          <w:szCs w:val="21"/>
          <w:highlight w:val="none"/>
          <w:lang w:val="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“报价明细表”中的报价合计应与“开标一览表”中的投标总报价相一致，不一致时，以开标一览表为准。</w:t>
      </w:r>
    </w:p>
    <w:p w14:paraId="164A1D77">
      <w:pPr>
        <w:spacing w:line="360" w:lineRule="auto"/>
        <w:ind w:left="435"/>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投标报价明细表所填内容按招标文件要求为准。如有漏报的，视同已包含在投标总价内或已作优惠处理。有重大缺项的将作无效标处理。</w:t>
      </w:r>
    </w:p>
    <w:p w14:paraId="35AFF201">
      <w:pPr>
        <w:spacing w:line="360" w:lineRule="auto"/>
        <w:ind w:firstLine="420" w:firstLineChars="200"/>
        <w:rPr>
          <w:rFonts w:hint="eastAsia" w:ascii="宋体" w:hAnsi="宋体" w:eastAsia="宋体" w:cs="宋体"/>
          <w:color w:val="auto"/>
          <w:sz w:val="21"/>
          <w:szCs w:val="21"/>
          <w:highlight w:val="none"/>
        </w:rPr>
      </w:pPr>
    </w:p>
    <w:p w14:paraId="62255EB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14:paraId="3AB22A8D">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0022AA2C">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70FAEF97">
      <w:pPr>
        <w:tabs>
          <w:tab w:val="left" w:pos="5060"/>
        </w:tabs>
        <w:spacing w:line="400" w:lineRule="exact"/>
        <w:rPr>
          <w:rFonts w:hint="eastAsia" w:ascii="宋体" w:hAnsi="宋体" w:eastAsia="宋体" w:cs="宋体"/>
          <w:b/>
          <w:color w:val="auto"/>
          <w:sz w:val="28"/>
          <w:highlight w:val="none"/>
          <w:lang w:eastAsia="zh-CN"/>
        </w:rPr>
      </w:pPr>
      <w:r>
        <w:rPr>
          <w:rFonts w:hint="eastAsia" w:ascii="宋体" w:hAnsi="宋体" w:cs="宋体"/>
          <w:b/>
          <w:color w:val="auto"/>
          <w:sz w:val="28"/>
          <w:highlight w:val="none"/>
          <w:lang w:eastAsia="zh-CN"/>
        </w:rPr>
        <w:tab/>
      </w:r>
    </w:p>
    <w:p w14:paraId="51E5B4F3">
      <w:pPr>
        <w:pStyle w:val="6"/>
        <w:jc w:val="both"/>
        <w:rPr>
          <w:rFonts w:hint="eastAsia" w:ascii="宋体" w:hAnsi="宋体" w:eastAsia="宋体" w:cs="宋体"/>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4247C">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8C67E2">
                          <w:pPr>
                            <w:pStyle w:val="13"/>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2F8C67E2">
                    <w:pPr>
                      <w:pStyle w:val="13"/>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5CC4E">
    <w:pPr>
      <w:pStyle w:val="13"/>
      <w:framePr w:wrap="around" w:vAnchor="text" w:hAnchor="margin" w:xAlign="center" w:y="1"/>
      <w:rPr>
        <w:rStyle w:val="26"/>
      </w:rPr>
    </w:pPr>
    <w:r>
      <w:fldChar w:fldCharType="begin"/>
    </w:r>
    <w:r>
      <w:rPr>
        <w:rStyle w:val="26"/>
      </w:rPr>
      <w:instrText xml:space="preserve">PAGE  </w:instrText>
    </w:r>
    <w:r>
      <w:fldChar w:fldCharType="separate"/>
    </w:r>
    <w:r>
      <w:rPr>
        <w:rStyle w:val="26"/>
      </w:rPr>
      <w:t>21</w:t>
    </w:r>
    <w:r>
      <w:fldChar w:fldCharType="end"/>
    </w:r>
  </w:p>
  <w:p w14:paraId="586CAEDB">
    <w:pPr>
      <w:pStyle w:val="13"/>
      <w:ind w:right="720"/>
      <w:rPr>
        <w:rFonts w:hint="eastAsia" w:asci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EE3C3">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BD13B8">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6BD13B8">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DFFA4">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5F336">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115A7">
    <w:pPr>
      <w:rPr>
        <w:i w:val="0"/>
        <w:iCs/>
      </w:rPr>
    </w:pPr>
    <w:r>
      <w:rPr>
        <w:rFonts w:hint="eastAsia"/>
        <w:b/>
        <w:i w:val="0"/>
        <w:iCs/>
        <w:color w:val="000000"/>
        <w:kern w:val="0"/>
        <w:sz w:val="18"/>
        <w:u w:val="single"/>
      </w:rPr>
      <w:t>政府采购招标文件</w:t>
    </w:r>
    <w:r>
      <w:rPr>
        <w:b/>
        <w:i w:val="0"/>
        <w:iCs/>
        <w:color w:val="000000"/>
        <w:kern w:val="0"/>
        <w:sz w:val="18"/>
        <w:u w:val="single"/>
      </w:rPr>
      <w:t>--</w:t>
    </w:r>
    <w:r>
      <w:rPr>
        <w:rFonts w:hint="eastAsia"/>
        <w:b/>
        <w:i w:val="0"/>
        <w:iCs/>
        <w:color w:val="000000"/>
        <w:kern w:val="0"/>
        <w:sz w:val="18"/>
        <w:u w:val="single"/>
        <w:lang w:val="en-US" w:eastAsia="zh-CN"/>
      </w:rPr>
      <w:t>工业园区生态环境污染防治项目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0ACCE">
    <w:pPr>
      <w:pStyle w:val="14"/>
      <w:pBdr>
        <w:bottom w:val="none" w:color="auto" w:sz="0" w:space="0"/>
      </w:pBdr>
      <w:jc w:val="both"/>
      <w:rPr>
        <w:rFonts w:hint="eastAsia"/>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0E733">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3B0D1">
    <w:pPr>
      <w:pStyle w:val="14"/>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F3E7C">
    <w:pPr>
      <w:pStyle w:val="14"/>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ADBEB"/>
    <w:multiLevelType w:val="singleLevel"/>
    <w:tmpl w:val="84EADBEB"/>
    <w:lvl w:ilvl="0" w:tentative="0">
      <w:start w:val="1"/>
      <w:numFmt w:val="chineseCounting"/>
      <w:suff w:val="nothing"/>
      <w:lvlText w:val="%1、"/>
      <w:lvlJc w:val="left"/>
      <w:rPr>
        <w:rFonts w:hint="eastAsia"/>
      </w:rPr>
    </w:lvl>
  </w:abstractNum>
  <w:abstractNum w:abstractNumId="1">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A4D31"/>
    <w:rsid w:val="003C6577"/>
    <w:rsid w:val="004C298A"/>
    <w:rsid w:val="00532108"/>
    <w:rsid w:val="00564464"/>
    <w:rsid w:val="00632592"/>
    <w:rsid w:val="00863421"/>
    <w:rsid w:val="009C6908"/>
    <w:rsid w:val="009E7B9B"/>
    <w:rsid w:val="00BE3149"/>
    <w:rsid w:val="00D27694"/>
    <w:rsid w:val="00E04ED8"/>
    <w:rsid w:val="00FF74E6"/>
    <w:rsid w:val="016D4C32"/>
    <w:rsid w:val="017C3457"/>
    <w:rsid w:val="018207C5"/>
    <w:rsid w:val="019D70F9"/>
    <w:rsid w:val="01AF4BA2"/>
    <w:rsid w:val="01EE7055"/>
    <w:rsid w:val="02380D19"/>
    <w:rsid w:val="024B5F91"/>
    <w:rsid w:val="025C201D"/>
    <w:rsid w:val="0263032B"/>
    <w:rsid w:val="02640231"/>
    <w:rsid w:val="0397653D"/>
    <w:rsid w:val="041E4BAA"/>
    <w:rsid w:val="043F7FC4"/>
    <w:rsid w:val="05737123"/>
    <w:rsid w:val="0594228B"/>
    <w:rsid w:val="06236FFC"/>
    <w:rsid w:val="062F58C1"/>
    <w:rsid w:val="069D68EE"/>
    <w:rsid w:val="06C24DF7"/>
    <w:rsid w:val="072276D0"/>
    <w:rsid w:val="073A3E1D"/>
    <w:rsid w:val="075F5834"/>
    <w:rsid w:val="07B06BE3"/>
    <w:rsid w:val="07F6759D"/>
    <w:rsid w:val="08390248"/>
    <w:rsid w:val="084A3762"/>
    <w:rsid w:val="08822F00"/>
    <w:rsid w:val="09125675"/>
    <w:rsid w:val="09313FEA"/>
    <w:rsid w:val="094B2DCA"/>
    <w:rsid w:val="09B554AF"/>
    <w:rsid w:val="09E03F7D"/>
    <w:rsid w:val="09F33DD0"/>
    <w:rsid w:val="0AF64F0D"/>
    <w:rsid w:val="0BC63E04"/>
    <w:rsid w:val="0C9F0A06"/>
    <w:rsid w:val="0CA644D6"/>
    <w:rsid w:val="0D1F4CD0"/>
    <w:rsid w:val="0D434630"/>
    <w:rsid w:val="0DAB7598"/>
    <w:rsid w:val="0EDA2492"/>
    <w:rsid w:val="0F7E6199"/>
    <w:rsid w:val="0F915B7B"/>
    <w:rsid w:val="0FE74D1C"/>
    <w:rsid w:val="10452B67"/>
    <w:rsid w:val="10667FE4"/>
    <w:rsid w:val="10841250"/>
    <w:rsid w:val="109F2C30"/>
    <w:rsid w:val="11960877"/>
    <w:rsid w:val="11D67AA1"/>
    <w:rsid w:val="121665CB"/>
    <w:rsid w:val="1262442D"/>
    <w:rsid w:val="12C30DFF"/>
    <w:rsid w:val="12EC03CE"/>
    <w:rsid w:val="1337642E"/>
    <w:rsid w:val="140034B3"/>
    <w:rsid w:val="148836A9"/>
    <w:rsid w:val="153A0A52"/>
    <w:rsid w:val="15782F5D"/>
    <w:rsid w:val="15AE730C"/>
    <w:rsid w:val="15D11224"/>
    <w:rsid w:val="16403DB7"/>
    <w:rsid w:val="167C04F3"/>
    <w:rsid w:val="168339D9"/>
    <w:rsid w:val="16B802E7"/>
    <w:rsid w:val="16F7668B"/>
    <w:rsid w:val="171D6CDD"/>
    <w:rsid w:val="17401821"/>
    <w:rsid w:val="17461D47"/>
    <w:rsid w:val="17C97C68"/>
    <w:rsid w:val="17D2330C"/>
    <w:rsid w:val="17E753A7"/>
    <w:rsid w:val="18156985"/>
    <w:rsid w:val="184800F1"/>
    <w:rsid w:val="18C01026"/>
    <w:rsid w:val="18D623D6"/>
    <w:rsid w:val="19CE3838"/>
    <w:rsid w:val="19E91112"/>
    <w:rsid w:val="1AFF5DB1"/>
    <w:rsid w:val="1B4B6626"/>
    <w:rsid w:val="1B561DD8"/>
    <w:rsid w:val="1B6A434C"/>
    <w:rsid w:val="1B7F088E"/>
    <w:rsid w:val="1BEF13F3"/>
    <w:rsid w:val="1C6D212E"/>
    <w:rsid w:val="1C7E5C21"/>
    <w:rsid w:val="1C8B6390"/>
    <w:rsid w:val="1CB1108B"/>
    <w:rsid w:val="1CC61F19"/>
    <w:rsid w:val="1CCC7197"/>
    <w:rsid w:val="1CE74F29"/>
    <w:rsid w:val="1D465475"/>
    <w:rsid w:val="1E005108"/>
    <w:rsid w:val="1E692122"/>
    <w:rsid w:val="1EB63606"/>
    <w:rsid w:val="1EC72386"/>
    <w:rsid w:val="1EF1237E"/>
    <w:rsid w:val="1F162724"/>
    <w:rsid w:val="1FA354BF"/>
    <w:rsid w:val="1FF04E90"/>
    <w:rsid w:val="201C7B31"/>
    <w:rsid w:val="20812353"/>
    <w:rsid w:val="20914375"/>
    <w:rsid w:val="20B74641"/>
    <w:rsid w:val="20ED3C16"/>
    <w:rsid w:val="218642E0"/>
    <w:rsid w:val="21A32365"/>
    <w:rsid w:val="21ED46BF"/>
    <w:rsid w:val="224700DF"/>
    <w:rsid w:val="22500B0D"/>
    <w:rsid w:val="22573D81"/>
    <w:rsid w:val="22AD05A0"/>
    <w:rsid w:val="236A5A31"/>
    <w:rsid w:val="23CE2B3C"/>
    <w:rsid w:val="23D6517B"/>
    <w:rsid w:val="23D87A45"/>
    <w:rsid w:val="242B382A"/>
    <w:rsid w:val="244D0DE2"/>
    <w:rsid w:val="24966353"/>
    <w:rsid w:val="24D85283"/>
    <w:rsid w:val="2500655F"/>
    <w:rsid w:val="25145328"/>
    <w:rsid w:val="25C5310A"/>
    <w:rsid w:val="25F57137"/>
    <w:rsid w:val="26151D6C"/>
    <w:rsid w:val="261A3D66"/>
    <w:rsid w:val="266C3097"/>
    <w:rsid w:val="26A52995"/>
    <w:rsid w:val="27453C23"/>
    <w:rsid w:val="28013942"/>
    <w:rsid w:val="28AF6818"/>
    <w:rsid w:val="28DF5DEA"/>
    <w:rsid w:val="296917B4"/>
    <w:rsid w:val="29FA6793"/>
    <w:rsid w:val="2A5728D1"/>
    <w:rsid w:val="2BEE0681"/>
    <w:rsid w:val="2C0F2B2E"/>
    <w:rsid w:val="2C1D0FE7"/>
    <w:rsid w:val="2C3D2F50"/>
    <w:rsid w:val="2CB5119F"/>
    <w:rsid w:val="2CDD2C0B"/>
    <w:rsid w:val="2D580808"/>
    <w:rsid w:val="2E0D313D"/>
    <w:rsid w:val="2E122B58"/>
    <w:rsid w:val="2E437E3F"/>
    <w:rsid w:val="2E8E11D9"/>
    <w:rsid w:val="2EFA2366"/>
    <w:rsid w:val="2F7B1BB4"/>
    <w:rsid w:val="2F8E33C9"/>
    <w:rsid w:val="2FC35FE9"/>
    <w:rsid w:val="2FDA0C5F"/>
    <w:rsid w:val="306363EB"/>
    <w:rsid w:val="30EB3632"/>
    <w:rsid w:val="310538FC"/>
    <w:rsid w:val="31200E86"/>
    <w:rsid w:val="323740AF"/>
    <w:rsid w:val="323A056C"/>
    <w:rsid w:val="326C2300"/>
    <w:rsid w:val="32956769"/>
    <w:rsid w:val="32E75CE4"/>
    <w:rsid w:val="33413EC8"/>
    <w:rsid w:val="334C40D6"/>
    <w:rsid w:val="340075AA"/>
    <w:rsid w:val="346924F4"/>
    <w:rsid w:val="34772ADD"/>
    <w:rsid w:val="34A1504B"/>
    <w:rsid w:val="358E7406"/>
    <w:rsid w:val="36365E7F"/>
    <w:rsid w:val="36D706BD"/>
    <w:rsid w:val="374E6478"/>
    <w:rsid w:val="377D7E25"/>
    <w:rsid w:val="389654BC"/>
    <w:rsid w:val="389C3651"/>
    <w:rsid w:val="38E63FE7"/>
    <w:rsid w:val="390E5EBF"/>
    <w:rsid w:val="395522EA"/>
    <w:rsid w:val="3A316D41"/>
    <w:rsid w:val="3A666E97"/>
    <w:rsid w:val="3A7A6F1E"/>
    <w:rsid w:val="3AD008AC"/>
    <w:rsid w:val="3ADE5E41"/>
    <w:rsid w:val="3B376B4E"/>
    <w:rsid w:val="3BB430DA"/>
    <w:rsid w:val="3BFA019D"/>
    <w:rsid w:val="3E41042A"/>
    <w:rsid w:val="3E671D2D"/>
    <w:rsid w:val="3E6972FC"/>
    <w:rsid w:val="3E921340"/>
    <w:rsid w:val="3F3C0516"/>
    <w:rsid w:val="3F95513E"/>
    <w:rsid w:val="4033575D"/>
    <w:rsid w:val="40760E8C"/>
    <w:rsid w:val="40DE5915"/>
    <w:rsid w:val="4120702C"/>
    <w:rsid w:val="41D20F8F"/>
    <w:rsid w:val="41E33C60"/>
    <w:rsid w:val="420205BE"/>
    <w:rsid w:val="42F10307"/>
    <w:rsid w:val="431E5B9D"/>
    <w:rsid w:val="434C2833"/>
    <w:rsid w:val="435231A7"/>
    <w:rsid w:val="4364349F"/>
    <w:rsid w:val="43AE7E75"/>
    <w:rsid w:val="44157670"/>
    <w:rsid w:val="45EC06FA"/>
    <w:rsid w:val="463C21CB"/>
    <w:rsid w:val="46615B41"/>
    <w:rsid w:val="46AE3B6A"/>
    <w:rsid w:val="46D72652"/>
    <w:rsid w:val="46F30151"/>
    <w:rsid w:val="470202FB"/>
    <w:rsid w:val="47073E4A"/>
    <w:rsid w:val="47C11F07"/>
    <w:rsid w:val="47E6400B"/>
    <w:rsid w:val="480C3ADA"/>
    <w:rsid w:val="48C8305F"/>
    <w:rsid w:val="496F3A60"/>
    <w:rsid w:val="49C94A1A"/>
    <w:rsid w:val="4A4275CD"/>
    <w:rsid w:val="4B261513"/>
    <w:rsid w:val="4C5D0E54"/>
    <w:rsid w:val="4CB43A9C"/>
    <w:rsid w:val="4CF72E0A"/>
    <w:rsid w:val="4D8B58D8"/>
    <w:rsid w:val="4DFA74A7"/>
    <w:rsid w:val="4E164181"/>
    <w:rsid w:val="4E3623E0"/>
    <w:rsid w:val="4E7C16C5"/>
    <w:rsid w:val="4F751FDB"/>
    <w:rsid w:val="4FCF0F45"/>
    <w:rsid w:val="509A317A"/>
    <w:rsid w:val="51376036"/>
    <w:rsid w:val="51B42C71"/>
    <w:rsid w:val="51DF1D50"/>
    <w:rsid w:val="51F438E6"/>
    <w:rsid w:val="52103381"/>
    <w:rsid w:val="523A5B1F"/>
    <w:rsid w:val="52456BFF"/>
    <w:rsid w:val="528374C6"/>
    <w:rsid w:val="53192869"/>
    <w:rsid w:val="5338205E"/>
    <w:rsid w:val="539063B7"/>
    <w:rsid w:val="544468CB"/>
    <w:rsid w:val="54AF6F1C"/>
    <w:rsid w:val="54CF56D2"/>
    <w:rsid w:val="54F75F49"/>
    <w:rsid w:val="550C534A"/>
    <w:rsid w:val="55296622"/>
    <w:rsid w:val="5542113A"/>
    <w:rsid w:val="5597621A"/>
    <w:rsid w:val="55EE6990"/>
    <w:rsid w:val="55F47A7B"/>
    <w:rsid w:val="5647442E"/>
    <w:rsid w:val="566A1031"/>
    <w:rsid w:val="56B5444B"/>
    <w:rsid w:val="576854F7"/>
    <w:rsid w:val="5780494E"/>
    <w:rsid w:val="5801790F"/>
    <w:rsid w:val="580B08CE"/>
    <w:rsid w:val="58D25B75"/>
    <w:rsid w:val="58FB2E63"/>
    <w:rsid w:val="593C3C41"/>
    <w:rsid w:val="59501659"/>
    <w:rsid w:val="59A84D3B"/>
    <w:rsid w:val="59BD2FCE"/>
    <w:rsid w:val="59C00238"/>
    <w:rsid w:val="5ACC751B"/>
    <w:rsid w:val="5B5563F4"/>
    <w:rsid w:val="5C7750CA"/>
    <w:rsid w:val="5CC35C70"/>
    <w:rsid w:val="5D9869B0"/>
    <w:rsid w:val="5DFD637E"/>
    <w:rsid w:val="5E392399"/>
    <w:rsid w:val="5E802598"/>
    <w:rsid w:val="5EC83355"/>
    <w:rsid w:val="5F7134BE"/>
    <w:rsid w:val="5FC15D56"/>
    <w:rsid w:val="5FE071C5"/>
    <w:rsid w:val="601B6DA8"/>
    <w:rsid w:val="60306A6C"/>
    <w:rsid w:val="60651E4E"/>
    <w:rsid w:val="618F0215"/>
    <w:rsid w:val="61A43CB7"/>
    <w:rsid w:val="61CC6311"/>
    <w:rsid w:val="61D404E7"/>
    <w:rsid w:val="62902BCA"/>
    <w:rsid w:val="62F95E74"/>
    <w:rsid w:val="631075A2"/>
    <w:rsid w:val="636F21E6"/>
    <w:rsid w:val="63971026"/>
    <w:rsid w:val="639747A1"/>
    <w:rsid w:val="63A4729C"/>
    <w:rsid w:val="63F6066D"/>
    <w:rsid w:val="64922AC6"/>
    <w:rsid w:val="64A11290"/>
    <w:rsid w:val="651775B9"/>
    <w:rsid w:val="652B6918"/>
    <w:rsid w:val="65D25615"/>
    <w:rsid w:val="65EA56BD"/>
    <w:rsid w:val="66950943"/>
    <w:rsid w:val="66966875"/>
    <w:rsid w:val="66E62AEE"/>
    <w:rsid w:val="67CE326A"/>
    <w:rsid w:val="67FE2057"/>
    <w:rsid w:val="6831414F"/>
    <w:rsid w:val="69703D8E"/>
    <w:rsid w:val="6A0000E9"/>
    <w:rsid w:val="6A233CDE"/>
    <w:rsid w:val="6AD211AF"/>
    <w:rsid w:val="6AEE706A"/>
    <w:rsid w:val="6B0242A5"/>
    <w:rsid w:val="6C837317"/>
    <w:rsid w:val="6CC50123"/>
    <w:rsid w:val="6D643BB1"/>
    <w:rsid w:val="6D8E1F8E"/>
    <w:rsid w:val="6DA724FC"/>
    <w:rsid w:val="6DD4475F"/>
    <w:rsid w:val="6E0B1041"/>
    <w:rsid w:val="6ECA666D"/>
    <w:rsid w:val="6F52577A"/>
    <w:rsid w:val="6FB47993"/>
    <w:rsid w:val="70C3769A"/>
    <w:rsid w:val="71E573FD"/>
    <w:rsid w:val="72013F3D"/>
    <w:rsid w:val="720574F5"/>
    <w:rsid w:val="720C7DC2"/>
    <w:rsid w:val="7247475D"/>
    <w:rsid w:val="72C264DB"/>
    <w:rsid w:val="74076485"/>
    <w:rsid w:val="742D2858"/>
    <w:rsid w:val="744B29DF"/>
    <w:rsid w:val="748266FC"/>
    <w:rsid w:val="74BF5CE3"/>
    <w:rsid w:val="75024FB9"/>
    <w:rsid w:val="75233296"/>
    <w:rsid w:val="75984940"/>
    <w:rsid w:val="75D44605"/>
    <w:rsid w:val="75DC4673"/>
    <w:rsid w:val="762765F8"/>
    <w:rsid w:val="76545B7E"/>
    <w:rsid w:val="76567802"/>
    <w:rsid w:val="767D593D"/>
    <w:rsid w:val="76E605BF"/>
    <w:rsid w:val="76F357B7"/>
    <w:rsid w:val="770A7D21"/>
    <w:rsid w:val="77111884"/>
    <w:rsid w:val="7773283D"/>
    <w:rsid w:val="78E41C51"/>
    <w:rsid w:val="790E548B"/>
    <w:rsid w:val="791F3958"/>
    <w:rsid w:val="79845717"/>
    <w:rsid w:val="79B969C0"/>
    <w:rsid w:val="79C83E56"/>
    <w:rsid w:val="79E635AB"/>
    <w:rsid w:val="7B1D1782"/>
    <w:rsid w:val="7B376CA9"/>
    <w:rsid w:val="7B447CBA"/>
    <w:rsid w:val="7BEA0F4F"/>
    <w:rsid w:val="7BEB0099"/>
    <w:rsid w:val="7C12398C"/>
    <w:rsid w:val="7C372AD2"/>
    <w:rsid w:val="7C4F57E3"/>
    <w:rsid w:val="7C7F0665"/>
    <w:rsid w:val="7CEC7892"/>
    <w:rsid w:val="7DAC1D10"/>
    <w:rsid w:val="7DBD0412"/>
    <w:rsid w:val="7DF550E5"/>
    <w:rsid w:val="7E2131B9"/>
    <w:rsid w:val="7E45728C"/>
    <w:rsid w:val="7E4E7602"/>
    <w:rsid w:val="7EA22D54"/>
    <w:rsid w:val="7EB160F6"/>
    <w:rsid w:val="7F193D2D"/>
    <w:rsid w:val="7F24563E"/>
    <w:rsid w:val="7F401BED"/>
    <w:rsid w:val="7F484B27"/>
    <w:rsid w:val="7FCD74F5"/>
    <w:rsid w:val="7FEE4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qFormat="1" w:uiPriority="39" w:semiHidden="0"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2">
    <w:name w:val="heading 2"/>
    <w:basedOn w:val="1"/>
    <w:next w:val="1"/>
    <w:qFormat/>
    <w:uiPriority w:val="0"/>
    <w:pPr>
      <w:keepNext/>
      <w:keepLines/>
      <w:widowControl/>
      <w:spacing w:before="260" w:after="260" w:line="416" w:lineRule="auto"/>
      <w:jc w:val="left"/>
      <w:outlineLvl w:val="1"/>
    </w:pPr>
    <w:rPr>
      <w:rFonts w:ascii="Arial" w:hAnsi="Arial" w:eastAsia="黑体"/>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next w:val="7"/>
    <w:link w:val="32"/>
    <w:autoRedefine/>
    <w:semiHidden/>
    <w:unhideWhenUsed/>
    <w:qFormat/>
    <w:uiPriority w:val="99"/>
    <w:pPr>
      <w:spacing w:after="120"/>
    </w:pPr>
  </w:style>
  <w:style w:type="paragraph" w:styleId="7">
    <w:name w:val="toc 4"/>
    <w:basedOn w:val="1"/>
    <w:next w:val="1"/>
    <w:unhideWhenUsed/>
    <w:qFormat/>
    <w:uiPriority w:val="39"/>
    <w:pPr>
      <w:widowControl/>
      <w:ind w:left="1260" w:leftChars="600"/>
      <w:jc w:val="left"/>
    </w:pPr>
    <w:rPr>
      <w:rFonts w:ascii="宋体" w:hAnsi="宋体" w:cs="宋体"/>
      <w:kern w:val="0"/>
      <w:sz w:val="24"/>
    </w:rPr>
  </w:style>
  <w:style w:type="paragraph" w:styleId="8">
    <w:name w:val="Body Text Indent"/>
    <w:basedOn w:val="1"/>
    <w:next w:val="1"/>
    <w:link w:val="33"/>
    <w:autoRedefine/>
    <w:qFormat/>
    <w:uiPriority w:val="99"/>
    <w:pPr>
      <w:spacing w:after="120"/>
      <w:ind w:left="420" w:leftChars="200"/>
    </w:pPr>
  </w:style>
  <w:style w:type="paragraph" w:styleId="9">
    <w:name w:val="Block Text"/>
    <w:basedOn w:val="1"/>
    <w:autoRedefine/>
    <w:qFormat/>
    <w:uiPriority w:val="0"/>
    <w:pPr>
      <w:adjustRightInd w:val="0"/>
      <w:snapToGrid w:val="0"/>
      <w:spacing w:line="360" w:lineRule="auto"/>
      <w:ind w:left="567" w:leftChars="270" w:rightChars="-150" w:firstLine="480" w:firstLineChars="200"/>
    </w:pPr>
    <w:rPr>
      <w:rFonts w:ascii="宋体"/>
      <w:sz w:val="24"/>
    </w:rPr>
  </w:style>
  <w:style w:type="paragraph" w:styleId="10">
    <w:name w:val="Plain Text"/>
    <w:basedOn w:val="1"/>
    <w:autoRedefine/>
    <w:qFormat/>
    <w:uiPriority w:val="0"/>
    <w:rPr>
      <w:rFonts w:ascii="宋体" w:hAnsi="Courier New" w:cstheme="minorBidi"/>
    </w:rPr>
  </w:style>
  <w:style w:type="paragraph" w:styleId="11">
    <w:name w:val="Date"/>
    <w:basedOn w:val="1"/>
    <w:next w:val="1"/>
    <w:autoRedefine/>
    <w:qFormat/>
    <w:uiPriority w:val="99"/>
    <w:pPr>
      <w:ind w:left="2500" w:leftChars="2500"/>
    </w:pPr>
    <w:rPr>
      <w:rFonts w:ascii="Calibri" w:hAnsi="Calibri" w:eastAsia="楷体_GB2312"/>
      <w:sz w:val="32"/>
      <w:szCs w:val="22"/>
    </w:rPr>
  </w:style>
  <w:style w:type="paragraph" w:styleId="12">
    <w:name w:val="Balloon Text"/>
    <w:basedOn w:val="1"/>
    <w:link w:val="34"/>
    <w:autoRedefine/>
    <w:semiHidden/>
    <w:unhideWhenUsed/>
    <w:qFormat/>
    <w:uiPriority w:val="99"/>
    <w:rPr>
      <w:sz w:val="18"/>
      <w:szCs w:val="18"/>
    </w:rPr>
  </w:style>
  <w:style w:type="paragraph" w:styleId="13">
    <w:name w:val="footer"/>
    <w:basedOn w:val="1"/>
    <w:link w:val="31"/>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30"/>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autoRedefine/>
    <w:qFormat/>
    <w:uiPriority w:val="39"/>
    <w:pPr>
      <w:widowControl/>
      <w:tabs>
        <w:tab w:val="right" w:leader="dot" w:pos="9060"/>
      </w:tabs>
      <w:spacing w:before="120" w:after="120"/>
      <w:jc w:val="left"/>
    </w:pPr>
    <w:rPr>
      <w:b/>
      <w:bCs/>
      <w:caps/>
      <w:kern w:val="0"/>
      <w:sz w:val="24"/>
      <w:szCs w:val="24"/>
      <w:lang w:eastAsia="en-US" w:bidi="en-US"/>
    </w:rPr>
  </w:style>
  <w:style w:type="paragraph" w:styleId="16">
    <w:name w:val="toc 6"/>
    <w:basedOn w:val="1"/>
    <w:next w:val="1"/>
    <w:autoRedefine/>
    <w:qFormat/>
    <w:uiPriority w:val="0"/>
    <w:pPr>
      <w:autoSpaceDE w:val="0"/>
      <w:autoSpaceDN w:val="0"/>
      <w:adjustRightInd w:val="0"/>
      <w:ind w:left="2100" w:leftChars="1000"/>
      <w:jc w:val="left"/>
    </w:pPr>
    <w:rPr>
      <w:kern w:val="0"/>
      <w:sz w:val="20"/>
      <w:szCs w:val="20"/>
    </w:rPr>
  </w:style>
  <w:style w:type="paragraph" w:styleId="1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9">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0">
    <w:name w:val="Body Text First Indent"/>
    <w:basedOn w:val="6"/>
    <w:next w:val="16"/>
    <w:autoRedefine/>
    <w:qFormat/>
    <w:uiPriority w:val="0"/>
    <w:pPr>
      <w:ind w:firstLine="420" w:firstLineChars="100"/>
    </w:pPr>
  </w:style>
  <w:style w:type="paragraph" w:styleId="21">
    <w:name w:val="Body Text First Indent 2"/>
    <w:basedOn w:val="8"/>
    <w:next w:val="1"/>
    <w:autoRedefine/>
    <w:qFormat/>
    <w:uiPriority w:val="0"/>
    <w:pPr>
      <w:ind w:firstLine="42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0"/>
    <w:rPr>
      <w:rFonts w:ascii="Tahoma" w:hAnsi="Tahoma" w:cs="Tahoma"/>
      <w:b/>
      <w:sz w:val="24"/>
    </w:rPr>
  </w:style>
  <w:style w:type="character" w:styleId="26">
    <w:name w:val="page number"/>
    <w:basedOn w:val="24"/>
    <w:autoRedefine/>
    <w:qFormat/>
    <w:uiPriority w:val="0"/>
  </w:style>
  <w:style w:type="character" w:styleId="27">
    <w:name w:val="Hyperlink"/>
    <w:autoRedefine/>
    <w:unhideWhenUsed/>
    <w:qFormat/>
    <w:uiPriority w:val="0"/>
    <w:rPr>
      <w:color w:val="0000FF"/>
      <w:u w:val="single"/>
    </w:rPr>
  </w:style>
  <w:style w:type="paragraph" w:customStyle="1" w:styleId="28">
    <w:name w:val="[Normal]"/>
    <w:autoRedefine/>
    <w:qFormat/>
    <w:uiPriority w:val="0"/>
    <w:rPr>
      <w:rFonts w:ascii="宋体" w:hAnsi="宋体" w:eastAsia="宋体" w:cs="Times New Roman"/>
      <w:sz w:val="24"/>
      <w:szCs w:val="22"/>
      <w:lang w:val="zh-CN" w:eastAsia="zh-CN" w:bidi="ar-SA"/>
    </w:rPr>
  </w:style>
  <w:style w:type="paragraph" w:customStyle="1" w:styleId="29">
    <w:name w:val="正文首行缩进1"/>
    <w:basedOn w:val="6"/>
    <w:autoRedefine/>
    <w:qFormat/>
    <w:uiPriority w:val="0"/>
    <w:pPr>
      <w:ind w:firstLine="420" w:firstLineChars="100"/>
    </w:pPr>
  </w:style>
  <w:style w:type="character" w:customStyle="1" w:styleId="30">
    <w:name w:val="页眉 Char"/>
    <w:basedOn w:val="24"/>
    <w:link w:val="14"/>
    <w:autoRedefine/>
    <w:semiHidden/>
    <w:qFormat/>
    <w:uiPriority w:val="99"/>
    <w:rPr>
      <w:sz w:val="18"/>
      <w:szCs w:val="18"/>
    </w:rPr>
  </w:style>
  <w:style w:type="character" w:customStyle="1" w:styleId="31">
    <w:name w:val="页脚 Char"/>
    <w:basedOn w:val="24"/>
    <w:link w:val="13"/>
    <w:autoRedefine/>
    <w:semiHidden/>
    <w:qFormat/>
    <w:uiPriority w:val="99"/>
    <w:rPr>
      <w:sz w:val="18"/>
      <w:szCs w:val="18"/>
    </w:rPr>
  </w:style>
  <w:style w:type="character" w:customStyle="1" w:styleId="32">
    <w:name w:val="正文文本 Char"/>
    <w:basedOn w:val="24"/>
    <w:link w:val="6"/>
    <w:autoRedefine/>
    <w:semiHidden/>
    <w:qFormat/>
    <w:uiPriority w:val="99"/>
    <w:rPr>
      <w:rFonts w:ascii="Times New Roman" w:hAnsi="Times New Roman" w:eastAsia="宋体" w:cs="Times New Roman"/>
      <w:szCs w:val="24"/>
    </w:rPr>
  </w:style>
  <w:style w:type="character" w:customStyle="1" w:styleId="33">
    <w:name w:val="正文文本缩进 Char"/>
    <w:basedOn w:val="24"/>
    <w:link w:val="8"/>
    <w:autoRedefine/>
    <w:qFormat/>
    <w:uiPriority w:val="99"/>
    <w:rPr>
      <w:rFonts w:ascii="Times New Roman" w:hAnsi="Times New Roman" w:eastAsia="宋体" w:cs="Times New Roman"/>
      <w:szCs w:val="24"/>
    </w:rPr>
  </w:style>
  <w:style w:type="character" w:customStyle="1" w:styleId="34">
    <w:name w:val="批注框文本 Char"/>
    <w:basedOn w:val="24"/>
    <w:link w:val="12"/>
    <w:autoRedefine/>
    <w:semiHidden/>
    <w:qFormat/>
    <w:uiPriority w:val="99"/>
    <w:rPr>
      <w:rFonts w:ascii="Times New Roman" w:hAnsi="Times New Roman" w:eastAsia="宋体" w:cs="Times New Roman"/>
      <w:sz w:val="18"/>
      <w:szCs w:val="18"/>
    </w:rPr>
  </w:style>
  <w:style w:type="character" w:customStyle="1" w:styleId="35">
    <w:name w:val="无"/>
    <w:autoRedefine/>
    <w:qFormat/>
    <w:uiPriority w:val="99"/>
  </w:style>
  <w:style w:type="paragraph" w:customStyle="1" w:styleId="36">
    <w:name w:val="表格文字"/>
    <w:basedOn w:val="1"/>
    <w:next w:val="6"/>
    <w:autoRedefine/>
    <w:qFormat/>
    <w:uiPriority w:val="99"/>
    <w:pPr>
      <w:adjustRightInd w:val="0"/>
      <w:spacing w:line="420" w:lineRule="atLeast"/>
      <w:jc w:val="left"/>
      <w:textAlignment w:val="baseline"/>
    </w:pPr>
    <w:rPr>
      <w:kern w:val="0"/>
    </w:rPr>
  </w:style>
  <w:style w:type="paragraph" w:customStyle="1" w:styleId="37">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0">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14"/>
    <w:autoRedefine/>
    <w:qFormat/>
    <w:uiPriority w:val="99"/>
    <w:rPr>
      <w:rFonts w:ascii="Times New Roman" w:hAnsi="Times New Roman" w:eastAsia="宋体" w:cs="Times New Roman"/>
      <w:sz w:val="21"/>
      <w:szCs w:val="22"/>
      <w:lang w:val="en-US" w:eastAsia="zh-CN" w:bidi="ar-SA"/>
    </w:rPr>
  </w:style>
  <w:style w:type="paragraph" w:customStyle="1" w:styleId="42">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纯文本_3"/>
    <w:basedOn w:val="44"/>
    <w:autoRedefine/>
    <w:qFormat/>
    <w:uiPriority w:val="99"/>
    <w:pPr>
      <w:widowControl/>
      <w:jc w:val="left"/>
    </w:pPr>
    <w:rPr>
      <w:rFonts w:ascii="宋体" w:hAnsi="Courier New"/>
      <w:szCs w:val="21"/>
    </w:rPr>
  </w:style>
  <w:style w:type="paragraph" w:customStyle="1" w:styleId="46">
    <w:name w:val="纯文本_0_1"/>
    <w:basedOn w:val="1"/>
    <w:autoRedefine/>
    <w:qFormat/>
    <w:uiPriority w:val="99"/>
    <w:pPr>
      <w:widowControl/>
      <w:jc w:val="left"/>
    </w:pPr>
    <w:rPr>
      <w:rFonts w:ascii="宋体" w:hAnsi="Courier New"/>
      <w:szCs w:val="21"/>
    </w:rPr>
  </w:style>
  <w:style w:type="paragraph" w:customStyle="1" w:styleId="47">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2">
    <w:name w:val="p0"/>
    <w:basedOn w:val="1"/>
    <w:autoRedefine/>
    <w:qFormat/>
    <w:uiPriority w:val="0"/>
    <w:pPr>
      <w:widowControl/>
    </w:pPr>
    <w:rPr>
      <w:rFonts w:ascii="Calibri" w:hAnsi="Calibri" w:cs="宋体"/>
      <w:kern w:val="0"/>
      <w:szCs w:val="21"/>
    </w:rPr>
  </w:style>
  <w:style w:type="paragraph" w:styleId="53">
    <w:name w:val="List Paragraph"/>
    <w:basedOn w:val="1"/>
    <w:autoRedefine/>
    <w:qFormat/>
    <w:uiPriority w:val="0"/>
    <w:pPr>
      <w:ind w:firstLine="420" w:firstLineChars="200"/>
    </w:pPr>
    <w:rPr>
      <w:szCs w:val="24"/>
    </w:rPr>
  </w:style>
  <w:style w:type="paragraph" w:customStyle="1" w:styleId="54">
    <w:name w:val="纯文本1"/>
    <w:basedOn w:val="51"/>
    <w:autoRedefine/>
    <w:qFormat/>
    <w:uiPriority w:val="0"/>
    <w:pPr>
      <w:widowControl/>
      <w:jc w:val="left"/>
    </w:pPr>
    <w:rPr>
      <w:rFonts w:ascii="宋体" w:hAnsi="Courier New"/>
      <w:szCs w:val="20"/>
    </w:rPr>
  </w:style>
  <w:style w:type="paragraph" w:customStyle="1" w:styleId="55">
    <w:name w:val="正文（首行缩进2字符）"/>
    <w:basedOn w:val="1"/>
    <w:autoRedefine/>
    <w:qFormat/>
    <w:uiPriority w:val="0"/>
    <w:pPr>
      <w:ind w:firstLine="480" w:firstLineChars="200"/>
    </w:pPr>
    <w:rPr>
      <w:sz w:val="24"/>
      <w:szCs w:val="20"/>
    </w:rPr>
  </w:style>
  <w:style w:type="character" w:customStyle="1" w:styleId="56">
    <w:name w:val="NormalCharacter"/>
    <w:autoRedefine/>
    <w:semiHidden/>
    <w:qFormat/>
    <w:uiPriority w:val="0"/>
  </w:style>
  <w:style w:type="paragraph" w:customStyle="1" w:styleId="57">
    <w:name w:val="正文2"/>
    <w:basedOn w:val="1"/>
    <w:autoRedefine/>
    <w:qFormat/>
    <w:uiPriority w:val="0"/>
    <w:pPr>
      <w:spacing w:before="156" w:line="360" w:lineRule="auto"/>
      <w:ind w:firstLine="510" w:firstLineChars="200"/>
    </w:pPr>
    <w:rPr>
      <w:sz w:val="24"/>
      <w:szCs w:val="20"/>
    </w:rPr>
  </w:style>
  <w:style w:type="paragraph" w:customStyle="1" w:styleId="58">
    <w:name w:val="表格文本"/>
    <w:basedOn w:val="1"/>
    <w:qFormat/>
    <w:uiPriority w:val="0"/>
    <w:pPr>
      <w:spacing w:before="120" w:after="120"/>
    </w:pPr>
    <w:rPr>
      <w:rFonts w:cs="黑体"/>
      <w:szCs w:val="21"/>
    </w:rPr>
  </w:style>
  <w:style w:type="character" w:customStyle="1" w:styleId="59">
    <w:name w:val="font11"/>
    <w:basedOn w:val="24"/>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23881</Words>
  <Characters>25633</Characters>
  <Lines>1</Lines>
  <Paragraphs>1</Paragraphs>
  <TotalTime>7</TotalTime>
  <ScaleCrop>false</ScaleCrop>
  <LinksUpToDate>false</LinksUpToDate>
  <CharactersWithSpaces>25710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Samiha</cp:lastModifiedBy>
  <dcterms:modified xsi:type="dcterms:W3CDTF">2025-07-04T09:32:21Z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46F2CCAE9F844F4CA2078EFFBB12D4C5</vt:lpwstr>
  </property>
  <property fmtid="{D5CDD505-2E9C-101B-9397-08002B2CF9AE}" pid="4" name="commondata">
    <vt:lpwstr>eyJoZGlkIjoiNmNiNWQzMTIyZDkyNWQ5MzYxMmQ5MTE1ZmU3YjE0M2QifQ==</vt:lpwstr>
  </property>
  <property fmtid="{D5CDD505-2E9C-101B-9397-08002B2CF9AE}" pid="5" name="KSOTemplateDocerSaveRecord">
    <vt:lpwstr>eyJoZGlkIjoiOWJlZDQ2NmIwYjgzZjdjYWM1MjQ5OTk3YTcyYzMxMzIiLCJ1c2VySWQiOiIzMjE5MDY1OTEifQ==</vt:lpwstr>
  </property>
</Properties>
</file>