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1D12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00FB730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台州市政府采购</w:t>
      </w:r>
    </w:p>
    <w:p w14:paraId="612008EC">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竞争性磋商采购文件</w:t>
      </w:r>
    </w:p>
    <w:p w14:paraId="3B13598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宋体" w:eastAsia="宋体"/>
          <w:b/>
          <w:color w:val="auto"/>
          <w:kern w:val="0"/>
          <w:sz w:val="32"/>
          <w:highlight w:val="none"/>
          <w:lang w:val="en-US" w:eastAsia="zh-CN"/>
        </w:rPr>
      </w:pPr>
      <w:r>
        <w:rPr>
          <w:rFonts w:hint="eastAsia" w:ascii="宋体"/>
          <w:b/>
          <w:color w:val="auto"/>
          <w:kern w:val="0"/>
          <w:sz w:val="32"/>
          <w:highlight w:val="none"/>
          <w:lang w:val="en-US" w:eastAsia="zh-CN"/>
        </w:rPr>
        <w:t>台财采确[2025]1734号</w:t>
      </w:r>
    </w:p>
    <w:p w14:paraId="3CCC91E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591BDDBE">
      <w:pPr>
        <w:autoSpaceDE w:val="0"/>
        <w:autoSpaceDN w:val="0"/>
        <w:adjustRightInd w:val="0"/>
        <w:spacing w:line="360" w:lineRule="auto"/>
        <w:rPr>
          <w:rFonts w:ascii="宋体"/>
          <w:b/>
          <w:color w:val="auto"/>
          <w:kern w:val="0"/>
          <w:sz w:val="52"/>
          <w:szCs w:val="52"/>
          <w:highlight w:val="none"/>
        </w:rPr>
      </w:pPr>
    </w:p>
    <w:p w14:paraId="4D7C9EF0">
      <w:pPr>
        <w:autoSpaceDE w:val="0"/>
        <w:autoSpaceDN w:val="0"/>
        <w:adjustRightInd w:val="0"/>
        <w:spacing w:line="360" w:lineRule="auto"/>
        <w:ind w:firstLine="1797" w:firstLineChars="642"/>
        <w:jc w:val="center"/>
        <w:rPr>
          <w:rFonts w:ascii="宋体"/>
          <w:color w:val="auto"/>
          <w:kern w:val="0"/>
          <w:sz w:val="28"/>
          <w:highlight w:val="none"/>
        </w:rPr>
      </w:pPr>
    </w:p>
    <w:p w14:paraId="4AA26D7C">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ascii="宋体" w:hAnsi="宋体" w:cs="Calibri Light"/>
          <w:color w:val="auto"/>
          <w:kern w:val="0"/>
          <w:sz w:val="28"/>
          <w:szCs w:val="28"/>
          <w:highlight w:val="none"/>
          <w:lang w:eastAsia="zh-CN"/>
        </w:rPr>
        <w:t>和合文化专题等媒体传播项目</w:t>
      </w:r>
    </w:p>
    <w:p w14:paraId="1B3F0D83">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hAnsi="宋体" w:cs="Calibri Light"/>
          <w:color w:val="auto"/>
          <w:kern w:val="0"/>
          <w:sz w:val="28"/>
          <w:szCs w:val="28"/>
          <w:highlight w:val="none"/>
        </w:rPr>
        <w:t>中共台州市委宣传部（盖章）</w:t>
      </w:r>
    </w:p>
    <w:p w14:paraId="36F7915E">
      <w:pPr>
        <w:autoSpaceDE w:val="0"/>
        <w:autoSpaceDN w:val="0"/>
        <w:adjustRightInd w:val="0"/>
        <w:spacing w:line="360" w:lineRule="auto"/>
        <w:rPr>
          <w:rFonts w:ascii="宋体"/>
          <w:color w:val="auto"/>
          <w:kern w:val="0"/>
          <w:sz w:val="28"/>
          <w:highlight w:val="none"/>
        </w:rPr>
      </w:pPr>
    </w:p>
    <w:p w14:paraId="69B86B1A">
      <w:pPr>
        <w:autoSpaceDE w:val="0"/>
        <w:autoSpaceDN w:val="0"/>
        <w:adjustRightInd w:val="0"/>
        <w:spacing w:line="360" w:lineRule="auto"/>
        <w:rPr>
          <w:rFonts w:ascii="宋体"/>
          <w:color w:val="auto"/>
          <w:kern w:val="0"/>
          <w:sz w:val="28"/>
          <w:highlight w:val="none"/>
        </w:rPr>
      </w:pPr>
    </w:p>
    <w:p w14:paraId="6AA8911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44BE723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14:paraId="7275D12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6D5C94A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台州市建设咨询有限公司（盖章）</w:t>
      </w:r>
    </w:p>
    <w:p w14:paraId="70B72D5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color w:val="auto"/>
          <w:highlight w:val="none"/>
        </w:rPr>
      </w:pPr>
      <w:r>
        <w:rPr>
          <w:rFonts w:hint="eastAsia" w:ascii="宋体" w:hAnsi="宋体" w:cs="宋体"/>
          <w:color w:val="auto"/>
          <w:kern w:val="0"/>
          <w:sz w:val="28"/>
          <w:szCs w:val="28"/>
          <w:highlight w:val="none"/>
        </w:rPr>
        <w:t>202</w:t>
      </w:r>
      <w:r>
        <w:rPr>
          <w:rFonts w:hint="eastAsia" w:ascii="宋体" w:hAnsi="宋体" w:cs="宋体"/>
          <w:color w:val="auto"/>
          <w:kern w:val="0"/>
          <w:sz w:val="28"/>
          <w:szCs w:val="28"/>
          <w:highlight w:val="none"/>
          <w:lang w:val="en-US" w:eastAsia="zh-CN"/>
        </w:rPr>
        <w:t>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月</w:t>
      </w:r>
    </w:p>
    <w:p w14:paraId="06987183">
      <w:pPr>
        <w:spacing w:line="360" w:lineRule="auto"/>
        <w:rPr>
          <w:color w:val="auto"/>
          <w:highlight w:val="none"/>
        </w:rPr>
      </w:pPr>
    </w:p>
    <w:p w14:paraId="1EEDE00F">
      <w:pPr>
        <w:pStyle w:val="33"/>
        <w:spacing w:line="360" w:lineRule="auto"/>
        <w:rPr>
          <w:color w:val="auto"/>
          <w:highlight w:val="none"/>
        </w:rPr>
      </w:pPr>
    </w:p>
    <w:p w14:paraId="2277E1AD">
      <w:pPr>
        <w:spacing w:line="360" w:lineRule="auto"/>
        <w:rPr>
          <w:color w:val="auto"/>
          <w:highlight w:val="none"/>
        </w:rPr>
      </w:pPr>
    </w:p>
    <w:p w14:paraId="6AD49FBD">
      <w:pPr>
        <w:spacing w:line="360" w:lineRule="auto"/>
        <w:rPr>
          <w:rFonts w:ascii="宋体" w:hAnsi="宋体" w:cs="Arial"/>
          <w:b/>
          <w:bCs/>
          <w:color w:val="auto"/>
          <w:sz w:val="36"/>
          <w:szCs w:val="36"/>
          <w:highlight w:val="none"/>
        </w:rPr>
      </w:pPr>
      <w:r>
        <w:rPr>
          <w:rFonts w:hint="eastAsia" w:ascii="宋体" w:hAnsi="宋体" w:cs="Arial"/>
          <w:b/>
          <w:bCs/>
          <w:color w:val="auto"/>
          <w:sz w:val="36"/>
          <w:szCs w:val="36"/>
          <w:highlight w:val="none"/>
        </w:rPr>
        <w:br w:type="page"/>
      </w:r>
    </w:p>
    <w:sdt>
      <w:sdtPr>
        <w:rPr>
          <w:rFonts w:hint="eastAsia" w:ascii="宋体" w:hAnsi="宋体" w:cs="宋体"/>
          <w:color w:val="auto"/>
          <w:sz w:val="32"/>
          <w:szCs w:val="32"/>
          <w:highlight w:val="none"/>
        </w:rPr>
        <w:id w:val="147453465"/>
        <w:docPartObj>
          <w:docPartGallery w:val="Table of Contents"/>
          <w:docPartUnique/>
        </w:docPartObj>
      </w:sdtPr>
      <w:sdtEndPr>
        <w:rPr>
          <w:rFonts w:hint="eastAsia" w:ascii="Times New Roman" w:hAnsi="Times New Roman" w:cs="Times New Roman"/>
          <w:color w:val="auto"/>
          <w:sz w:val="21"/>
          <w:szCs w:val="28"/>
          <w:highlight w:val="none"/>
        </w:rPr>
      </w:sdtEndPr>
      <w:sdtContent>
        <w:p w14:paraId="6D89C52E">
          <w:pPr>
            <w:spacing w:line="360" w:lineRule="auto"/>
            <w:jc w:val="center"/>
            <w:rPr>
              <w:rFonts w:ascii="宋体" w:hAnsi="宋体" w:cs="宋体"/>
              <w:color w:val="auto"/>
              <w:sz w:val="32"/>
              <w:szCs w:val="32"/>
              <w:highlight w:val="none"/>
            </w:rPr>
          </w:pPr>
        </w:p>
        <w:p w14:paraId="479B3E41">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目  录</w:t>
          </w:r>
        </w:p>
        <w:p w14:paraId="7CD144B9">
          <w:pPr>
            <w:pStyle w:val="54"/>
            <w:tabs>
              <w:tab w:val="right" w:leader="dot" w:pos="9070"/>
            </w:tabs>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"_Toc32401" </w:instrText>
          </w:r>
          <w:r>
            <w:rPr>
              <w:color w:val="auto"/>
              <w:highlight w:val="none"/>
            </w:rPr>
            <w:fldChar w:fldCharType="separate"/>
          </w:r>
          <w:r>
            <w:rPr>
              <w:rFonts w:hint="eastAsia" w:ascii="宋体" w:hAnsi="宋体" w:cs="宋体"/>
              <w:color w:val="auto"/>
              <w:sz w:val="32"/>
              <w:szCs w:val="32"/>
              <w:highlight w:val="none"/>
            </w:rPr>
            <w:t>第一章 磋商邀请</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_Toc32401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2F046E1">
          <w:pPr>
            <w:pStyle w:val="54"/>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"_Toc6994" </w:instrText>
          </w:r>
          <w:r>
            <w:rPr>
              <w:color w:val="auto"/>
              <w:highlight w:val="none"/>
            </w:rPr>
            <w:fldChar w:fldCharType="separate"/>
          </w:r>
          <w:r>
            <w:rPr>
              <w:rFonts w:hint="eastAsia" w:ascii="宋体" w:hAnsi="宋体" w:cs="宋体"/>
              <w:color w:val="auto"/>
              <w:sz w:val="32"/>
              <w:szCs w:val="32"/>
              <w:highlight w:val="none"/>
            </w:rPr>
            <w:t>第二章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t>5</w:t>
          </w:r>
          <w:r>
            <w:rPr>
              <w:rFonts w:hint="eastAsia" w:ascii="宋体" w:hAnsi="宋体" w:cs="宋体"/>
              <w:color w:val="auto"/>
              <w:sz w:val="32"/>
              <w:szCs w:val="32"/>
              <w:highlight w:val="none"/>
            </w:rPr>
            <w:fldChar w:fldCharType="end"/>
          </w:r>
        </w:p>
        <w:p w14:paraId="077BA0F3">
          <w:pPr>
            <w:pStyle w:val="54"/>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"_Toc29935" </w:instrText>
          </w:r>
          <w:r>
            <w:rPr>
              <w:color w:val="auto"/>
              <w:highlight w:val="none"/>
            </w:rPr>
            <w:fldChar w:fldCharType="separate"/>
          </w:r>
          <w:r>
            <w:rPr>
              <w:rFonts w:hint="eastAsia" w:ascii="宋体" w:hAnsi="宋体" w:cs="宋体"/>
              <w:color w:val="auto"/>
              <w:sz w:val="32"/>
              <w:szCs w:val="32"/>
              <w:highlight w:val="none"/>
            </w:rPr>
            <w:t>第三章 项目需求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_Toc29935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EC6D321">
          <w:pPr>
            <w:pStyle w:val="54"/>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"_Toc19531" </w:instrText>
          </w:r>
          <w:r>
            <w:rPr>
              <w:color w:val="auto"/>
              <w:highlight w:val="none"/>
            </w:rPr>
            <w:fldChar w:fldCharType="separate"/>
          </w:r>
          <w:r>
            <w:rPr>
              <w:rFonts w:hint="eastAsia" w:ascii="宋体" w:hAnsi="宋体" w:cs="宋体"/>
              <w:color w:val="auto"/>
              <w:sz w:val="32"/>
              <w:szCs w:val="32"/>
              <w:highlight w:val="none"/>
            </w:rPr>
            <w:t>第四章 磋商</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_Toc19531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03888DA">
          <w:pPr>
            <w:pStyle w:val="54"/>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"_Toc21781" </w:instrText>
          </w:r>
          <w:r>
            <w:rPr>
              <w:color w:val="auto"/>
              <w:highlight w:val="none"/>
            </w:rPr>
            <w:fldChar w:fldCharType="separate"/>
          </w:r>
          <w:r>
            <w:rPr>
              <w:rFonts w:hint="eastAsia" w:ascii="宋体" w:hAnsi="宋体" w:cs="宋体"/>
              <w:color w:val="auto"/>
              <w:sz w:val="32"/>
              <w:szCs w:val="32"/>
              <w:highlight w:val="none"/>
            </w:rPr>
            <w:t>第五章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_Toc21781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E70C14C">
          <w:pPr>
            <w:pStyle w:val="54"/>
            <w:tabs>
              <w:tab w:val="right" w:leader="dot" w:pos="9070"/>
            </w:tabs>
            <w:spacing w:line="360" w:lineRule="auto"/>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"_Toc22166" </w:instrText>
          </w:r>
          <w:r>
            <w:rPr>
              <w:color w:val="auto"/>
              <w:highlight w:val="none"/>
            </w:rPr>
            <w:fldChar w:fldCharType="separate"/>
          </w:r>
          <w:r>
            <w:rPr>
              <w:rFonts w:hint="eastAsia" w:ascii="宋体" w:hAnsi="宋体" w:cs="宋体"/>
              <w:color w:val="auto"/>
              <w:sz w:val="32"/>
              <w:szCs w:val="32"/>
              <w:highlight w:val="none"/>
            </w:rPr>
            <w:t>第六章 响应文件格式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t>1</w:t>
          </w:r>
        </w:p>
        <w:p w14:paraId="042A39FF">
          <w:pPr>
            <w:spacing w:line="360" w:lineRule="auto"/>
            <w:rPr>
              <w:color w:val="auto"/>
              <w:sz w:val="28"/>
              <w:szCs w:val="28"/>
              <w:highlight w:val="none"/>
            </w:rPr>
          </w:pPr>
          <w:r>
            <w:rPr>
              <w:rFonts w:hint="eastAsia" w:ascii="宋体" w:hAnsi="宋体" w:cs="宋体"/>
              <w:color w:val="auto"/>
              <w:sz w:val="32"/>
              <w:szCs w:val="32"/>
              <w:highlight w:val="none"/>
            </w:rPr>
            <w:fldChar w:fldCharType="end"/>
          </w:r>
        </w:p>
      </w:sdtContent>
    </w:sdt>
    <w:p w14:paraId="0A1F69F1">
      <w:pPr>
        <w:spacing w:line="360" w:lineRule="auto"/>
        <w:rPr>
          <w:color w:val="auto"/>
          <w:highlight w:val="none"/>
        </w:rPr>
      </w:pPr>
    </w:p>
    <w:p w14:paraId="53AF9AA0">
      <w:pPr>
        <w:spacing w:line="360" w:lineRule="auto"/>
        <w:rPr>
          <w:color w:val="auto"/>
          <w:highlight w:val="none"/>
        </w:rPr>
      </w:pPr>
    </w:p>
    <w:p w14:paraId="05B31011">
      <w:pPr>
        <w:spacing w:line="360" w:lineRule="auto"/>
        <w:rPr>
          <w:color w:val="auto"/>
          <w:highlight w:val="none"/>
        </w:rPr>
      </w:pPr>
    </w:p>
    <w:p w14:paraId="3B7A3DAD">
      <w:pPr>
        <w:spacing w:line="360" w:lineRule="auto"/>
        <w:rPr>
          <w:color w:val="auto"/>
          <w:highlight w:val="none"/>
        </w:rPr>
      </w:pPr>
    </w:p>
    <w:p w14:paraId="4E405B1C">
      <w:pPr>
        <w:spacing w:line="360" w:lineRule="auto"/>
        <w:rPr>
          <w:color w:val="auto"/>
          <w:highlight w:val="none"/>
        </w:rPr>
      </w:pPr>
    </w:p>
    <w:p w14:paraId="38F88967">
      <w:pPr>
        <w:spacing w:line="360" w:lineRule="auto"/>
        <w:rPr>
          <w:color w:val="auto"/>
          <w:highlight w:val="none"/>
        </w:rPr>
      </w:pPr>
    </w:p>
    <w:p w14:paraId="445D5173">
      <w:pPr>
        <w:spacing w:line="360" w:lineRule="auto"/>
        <w:rPr>
          <w:color w:val="auto"/>
          <w:highlight w:val="none"/>
        </w:rPr>
      </w:pPr>
    </w:p>
    <w:p w14:paraId="099D028E">
      <w:pPr>
        <w:spacing w:line="360" w:lineRule="auto"/>
        <w:rPr>
          <w:color w:val="auto"/>
          <w:highlight w:val="none"/>
        </w:rPr>
      </w:pPr>
    </w:p>
    <w:p w14:paraId="36993B7E">
      <w:pPr>
        <w:spacing w:line="360" w:lineRule="auto"/>
        <w:rPr>
          <w:color w:val="auto"/>
          <w:highlight w:val="none"/>
        </w:rPr>
      </w:pPr>
    </w:p>
    <w:p w14:paraId="3ED2B59F">
      <w:pPr>
        <w:spacing w:line="360" w:lineRule="auto"/>
        <w:rPr>
          <w:color w:val="auto"/>
          <w:highlight w:val="none"/>
        </w:rPr>
      </w:pPr>
    </w:p>
    <w:p w14:paraId="033641EA">
      <w:pPr>
        <w:spacing w:line="360" w:lineRule="auto"/>
        <w:rPr>
          <w:color w:val="auto"/>
          <w:highlight w:val="none"/>
        </w:rPr>
      </w:pPr>
    </w:p>
    <w:p w14:paraId="70765B93">
      <w:pPr>
        <w:spacing w:line="360" w:lineRule="auto"/>
        <w:rPr>
          <w:color w:val="auto"/>
          <w:highlight w:val="none"/>
        </w:rPr>
      </w:pPr>
    </w:p>
    <w:p w14:paraId="06A47271">
      <w:pPr>
        <w:spacing w:line="360" w:lineRule="auto"/>
        <w:rPr>
          <w:color w:val="auto"/>
          <w:highlight w:val="none"/>
        </w:rPr>
      </w:pPr>
    </w:p>
    <w:p w14:paraId="0FE2DDC4">
      <w:pPr>
        <w:spacing w:line="360" w:lineRule="auto"/>
        <w:rPr>
          <w:color w:val="auto"/>
          <w:highlight w:val="none"/>
        </w:rPr>
      </w:pPr>
    </w:p>
    <w:p w14:paraId="19948731">
      <w:pPr>
        <w:spacing w:line="360" w:lineRule="auto"/>
        <w:rPr>
          <w:color w:val="auto"/>
          <w:highlight w:val="none"/>
        </w:rPr>
      </w:pPr>
    </w:p>
    <w:p w14:paraId="0BD30C6D">
      <w:pPr>
        <w:spacing w:line="360" w:lineRule="auto"/>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kern w:val="0"/>
          <w:sz w:val="36"/>
          <w:szCs w:val="36"/>
          <w:highlight w:val="none"/>
        </w:rPr>
        <w:br w:type="page"/>
      </w:r>
    </w:p>
    <w:p w14:paraId="2D3B1AAC">
      <w:pPr>
        <w:keepNext w:val="0"/>
        <w:keepLines w:val="0"/>
        <w:pageBreakBefore w:val="0"/>
        <w:numPr>
          <w:ilvl w:val="0"/>
          <w:numId w:val="3"/>
        </w:numPr>
        <w:tabs>
          <w:tab w:val="left" w:pos="180"/>
          <w:tab w:val="left" w:pos="360"/>
          <w:tab w:val="left" w:pos="540"/>
          <w:tab w:val="left" w:pos="8280"/>
        </w:tabs>
        <w:kinsoku/>
        <w:wordWrap/>
        <w:overflowPunct/>
        <w:topLinePunct w:val="0"/>
        <w:autoSpaceDE w:val="0"/>
        <w:autoSpaceDN w:val="0"/>
        <w:bidi w:val="0"/>
        <w:adjustRightInd w:val="0"/>
        <w:spacing w:line="360" w:lineRule="auto"/>
        <w:ind w:right="23"/>
        <w:jc w:val="center"/>
        <w:textAlignment w:val="auto"/>
        <w:outlineLvl w:val="0"/>
        <w:rPr>
          <w:rFonts w:asciiTheme="majorEastAsia" w:hAnsiTheme="majorEastAsia" w:eastAsiaTheme="majorEastAsia"/>
          <w:b/>
          <w:color w:val="auto"/>
          <w:sz w:val="36"/>
          <w:szCs w:val="36"/>
          <w:highlight w:val="none"/>
        </w:rPr>
      </w:pPr>
      <w:bookmarkStart w:id="0" w:name="_Toc32401"/>
      <w:r>
        <w:rPr>
          <w:rFonts w:hint="eastAsia" w:asciiTheme="majorEastAsia" w:hAnsiTheme="majorEastAsia" w:eastAsiaTheme="majorEastAsia"/>
          <w:b/>
          <w:color w:val="auto"/>
          <w:kern w:val="0"/>
          <w:sz w:val="36"/>
          <w:szCs w:val="36"/>
          <w:highlight w:val="none"/>
        </w:rPr>
        <w:t>磋商邀请</w:t>
      </w:r>
      <w:bookmarkEnd w:id="0"/>
    </w:p>
    <w:p w14:paraId="23ACA389">
      <w:pPr>
        <w:pStyle w:val="3"/>
        <w:keepNext w:val="0"/>
        <w:keepLines w:val="0"/>
        <w:pageBreakBefore w:val="0"/>
        <w:kinsoku/>
        <w:wordWrap/>
        <w:overflowPunct/>
        <w:topLinePunct w:val="0"/>
        <w:bidi w:val="0"/>
        <w:spacing w:line="360" w:lineRule="auto"/>
        <w:ind w:right="0" w:firstLine="480" w:firstLineChars="200"/>
        <w:textAlignment w:val="auto"/>
        <w:rPr>
          <w:rFonts w:asciiTheme="minorEastAsia" w:hAnsiTheme="minorEastAsia" w:eastAsiaTheme="minorEastAsia" w:cstheme="minorEastAsia"/>
          <w:b w:val="0"/>
          <w:color w:val="auto"/>
          <w:sz w:val="24"/>
          <w:szCs w:val="24"/>
          <w:highlight w:val="none"/>
        </w:rPr>
      </w:pPr>
      <w:bookmarkStart w:id="1" w:name="_Toc28359079"/>
      <w:bookmarkStart w:id="2" w:name="_Toc35393621"/>
      <w:bookmarkStart w:id="3" w:name="_Toc35393790"/>
      <w:bookmarkStart w:id="4" w:name="_Toc28359002"/>
      <w:bookmarkStart w:id="5" w:name="_Hlk24379207"/>
      <w:r>
        <w:rPr>
          <w:rFonts w:hint="eastAsia" w:asciiTheme="minorEastAsia" w:hAnsiTheme="minorEastAsia" w:eastAsiaTheme="minorEastAsia" w:cstheme="minorEastAsia"/>
          <w:b w:val="0"/>
          <w:color w:val="auto"/>
          <w:sz w:val="24"/>
          <w:szCs w:val="24"/>
          <w:highlight w:val="none"/>
          <w:u w:val="single"/>
        </w:rPr>
        <w:t>台州市建设咨询有限公司</w:t>
      </w:r>
      <w:r>
        <w:rPr>
          <w:rFonts w:hint="eastAsia" w:asciiTheme="minorEastAsia" w:hAnsiTheme="minorEastAsia" w:eastAsiaTheme="minorEastAsia" w:cstheme="minorEastAsia"/>
          <w:b w:val="0"/>
          <w:color w:val="auto"/>
          <w:sz w:val="24"/>
          <w:szCs w:val="24"/>
          <w:highlight w:val="none"/>
        </w:rPr>
        <w:t>受</w:t>
      </w:r>
      <w:r>
        <w:rPr>
          <w:rFonts w:hint="eastAsia" w:asciiTheme="minorEastAsia" w:hAnsiTheme="minorEastAsia" w:eastAsiaTheme="minorEastAsia" w:cstheme="minorEastAsia"/>
          <w:b w:val="0"/>
          <w:color w:val="auto"/>
          <w:sz w:val="24"/>
          <w:szCs w:val="24"/>
          <w:highlight w:val="none"/>
          <w:u w:val="single"/>
        </w:rPr>
        <w:t>中共台州市委宣传部</w:t>
      </w:r>
      <w:r>
        <w:rPr>
          <w:rFonts w:hint="eastAsia" w:asciiTheme="minorEastAsia" w:hAnsiTheme="minorEastAsia" w:eastAsiaTheme="minorEastAsia" w:cstheme="minorEastAsia"/>
          <w:b w:val="0"/>
          <w:color w:val="auto"/>
          <w:sz w:val="24"/>
          <w:szCs w:val="24"/>
          <w:highlight w:val="none"/>
        </w:rPr>
        <w:t>委托，就</w:t>
      </w:r>
      <w:r>
        <w:rPr>
          <w:rFonts w:hint="eastAsia" w:asciiTheme="minorEastAsia" w:hAnsiTheme="minorEastAsia" w:eastAsiaTheme="minorEastAsia" w:cstheme="minorEastAsia"/>
          <w:b w:val="0"/>
          <w:color w:val="auto"/>
          <w:sz w:val="24"/>
          <w:szCs w:val="24"/>
          <w:highlight w:val="none"/>
          <w:u w:val="single"/>
          <w:lang w:eastAsia="zh-CN"/>
        </w:rPr>
        <w:t>和合文化专题等媒体传播项目</w:t>
      </w:r>
      <w:r>
        <w:rPr>
          <w:rFonts w:hint="eastAsia" w:asciiTheme="minorEastAsia" w:hAnsiTheme="minorEastAsia" w:eastAsiaTheme="minorEastAsia" w:cstheme="minorEastAsia"/>
          <w:b w:val="0"/>
          <w:color w:val="auto"/>
          <w:sz w:val="24"/>
          <w:szCs w:val="24"/>
          <w:highlight w:val="none"/>
        </w:rPr>
        <w:t>进行竞争性磋商，欢迎符合资格条件的国内供应商前来磋商。</w:t>
      </w:r>
    </w:p>
    <w:p w14:paraId="0F0A5EED">
      <w:pPr>
        <w:pStyle w:val="3"/>
        <w:keepNext w:val="0"/>
        <w:keepLines w:val="0"/>
        <w:pageBreakBefore w:val="0"/>
        <w:kinsoku/>
        <w:wordWrap/>
        <w:overflowPunct/>
        <w:topLinePunct w:val="0"/>
        <w:bidi w:val="0"/>
        <w:spacing w:line="360" w:lineRule="auto"/>
        <w:ind w:right="0" w:firstLine="482" w:firstLineChars="200"/>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一、项目基本情况</w:t>
      </w:r>
      <w:bookmarkEnd w:id="1"/>
      <w:bookmarkEnd w:id="2"/>
      <w:bookmarkEnd w:id="3"/>
      <w:bookmarkEnd w:id="4"/>
    </w:p>
    <w:p w14:paraId="0C48F224">
      <w:pPr>
        <w:keepNext w:val="0"/>
        <w:keepLines w:val="0"/>
        <w:pageBreakBefore w:val="0"/>
        <w:kinsoku/>
        <w:wordWrap/>
        <w:overflowPunct/>
        <w:topLinePunct w:val="0"/>
        <w:bidi w:val="0"/>
        <w:spacing w:line="360" w:lineRule="auto"/>
        <w:ind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lang w:val="en-US" w:eastAsia="zh-CN"/>
        </w:rPr>
        <w:t>台财采确[2025]1734号</w:t>
      </w:r>
    </w:p>
    <w:bookmarkEnd w:id="5"/>
    <w:p w14:paraId="20539D46">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和合文化专题等媒体传播项目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912"/>
        <w:gridCol w:w="1584"/>
        <w:gridCol w:w="716"/>
        <w:gridCol w:w="700"/>
        <w:gridCol w:w="1067"/>
        <w:gridCol w:w="1275"/>
      </w:tblGrid>
      <w:tr w14:paraId="4F70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0" w:type="auto"/>
            <w:vAlign w:val="center"/>
          </w:tcPr>
          <w:p w14:paraId="096F5183">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标项号</w:t>
            </w:r>
          </w:p>
        </w:tc>
        <w:tc>
          <w:tcPr>
            <w:tcW w:w="1912" w:type="dxa"/>
            <w:vAlign w:val="center"/>
          </w:tcPr>
          <w:p w14:paraId="5BCB112E">
            <w:pPr>
              <w:keepNext w:val="0"/>
              <w:keepLines w:val="0"/>
              <w:pageBreakBefore w:val="0"/>
              <w:tabs>
                <w:tab w:val="left" w:pos="8280"/>
              </w:tabs>
              <w:kinsoku/>
              <w:wordWrap/>
              <w:overflowPunct/>
              <w:topLinePunct w:val="0"/>
              <w:autoSpaceDE w:val="0"/>
              <w:autoSpaceDN w:val="0"/>
              <w:bidi w:val="0"/>
              <w:adjustRightInd w:val="0"/>
              <w:spacing w:line="360" w:lineRule="auto"/>
              <w:ind w:firstLine="120" w:firstLineChars="50"/>
              <w:jc w:val="center"/>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标项名称</w:t>
            </w:r>
          </w:p>
        </w:tc>
        <w:tc>
          <w:tcPr>
            <w:tcW w:w="1584" w:type="dxa"/>
            <w:vAlign w:val="center"/>
          </w:tcPr>
          <w:p w14:paraId="4A2003E1">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color w:val="auto"/>
                <w:kern w:val="0"/>
                <w:sz w:val="24"/>
                <w:highlight w:val="none"/>
                <w:lang w:val="en-US" w:eastAsia="zh-CN"/>
              </w:rPr>
            </w:pPr>
            <w:r>
              <w:rPr>
                <w:rFonts w:hint="eastAsia" w:asciiTheme="minorEastAsia" w:hAnsiTheme="minorEastAsia" w:eastAsiaTheme="minorEastAsia" w:cstheme="minorEastAsia"/>
                <w:b/>
                <w:color w:val="auto"/>
                <w:kern w:val="0"/>
                <w:sz w:val="24"/>
                <w:highlight w:val="none"/>
                <w:lang w:val="en-US" w:eastAsia="zh-CN"/>
              </w:rPr>
              <w:t>服务内容</w:t>
            </w:r>
          </w:p>
        </w:tc>
        <w:tc>
          <w:tcPr>
            <w:tcW w:w="716" w:type="dxa"/>
            <w:vAlign w:val="center"/>
          </w:tcPr>
          <w:p w14:paraId="68F79384">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数量</w:t>
            </w:r>
          </w:p>
        </w:tc>
        <w:tc>
          <w:tcPr>
            <w:tcW w:w="700" w:type="dxa"/>
            <w:vAlign w:val="center"/>
          </w:tcPr>
          <w:p w14:paraId="0559B398">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单位</w:t>
            </w:r>
          </w:p>
        </w:tc>
        <w:tc>
          <w:tcPr>
            <w:tcW w:w="1067" w:type="dxa"/>
            <w:vAlign w:val="center"/>
          </w:tcPr>
          <w:p w14:paraId="05D52696">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预算</w:t>
            </w:r>
          </w:p>
          <w:p w14:paraId="646919D6">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（万元）</w:t>
            </w:r>
          </w:p>
        </w:tc>
        <w:tc>
          <w:tcPr>
            <w:tcW w:w="1275" w:type="dxa"/>
            <w:vAlign w:val="center"/>
          </w:tcPr>
          <w:p w14:paraId="29A50C22">
            <w:pPr>
              <w:keepNext w:val="0"/>
              <w:keepLines w:val="0"/>
              <w:pageBreakBefore w:val="0"/>
              <w:kinsoku/>
              <w:wordWrap/>
              <w:overflowPunct/>
              <w:topLinePunct w:val="0"/>
              <w:bidi w:val="0"/>
              <w:spacing w:line="360" w:lineRule="auto"/>
              <w:jc w:val="center"/>
              <w:textAlignment w:val="auto"/>
              <w:rPr>
                <w:rFonts w:ascii="宋体" w:hAnsi="宋体"/>
                <w:b/>
                <w:color w:val="auto"/>
                <w:sz w:val="24"/>
                <w:highlight w:val="none"/>
              </w:rPr>
            </w:pPr>
            <w:r>
              <w:rPr>
                <w:rFonts w:hint="eastAsia" w:ascii="宋体" w:hAnsi="宋体"/>
                <w:b/>
                <w:color w:val="auto"/>
                <w:sz w:val="24"/>
                <w:highlight w:val="none"/>
              </w:rPr>
              <w:t>最高</w:t>
            </w:r>
            <w:r>
              <w:rPr>
                <w:rFonts w:ascii="宋体" w:hAnsi="宋体"/>
                <w:b/>
                <w:color w:val="auto"/>
                <w:sz w:val="24"/>
                <w:highlight w:val="none"/>
              </w:rPr>
              <w:t>限</w:t>
            </w:r>
            <w:r>
              <w:rPr>
                <w:rFonts w:hint="eastAsia" w:ascii="宋体" w:hAnsi="宋体"/>
                <w:b/>
                <w:color w:val="auto"/>
                <w:sz w:val="24"/>
                <w:highlight w:val="none"/>
              </w:rPr>
              <w:t>价</w:t>
            </w:r>
          </w:p>
          <w:p w14:paraId="1D5B4860">
            <w:pPr>
              <w:keepNext w:val="0"/>
              <w:keepLines w:val="0"/>
              <w:pageBreakBefore w:val="0"/>
              <w:kinsoku/>
              <w:wordWrap/>
              <w:overflowPunct/>
              <w:topLinePunct w:val="0"/>
              <w:bidi w:val="0"/>
              <w:spacing w:line="360" w:lineRule="auto"/>
              <w:jc w:val="center"/>
              <w:textAlignment w:val="auto"/>
              <w:rPr>
                <w:rFonts w:asciiTheme="minorEastAsia" w:hAnsiTheme="minorEastAsia" w:cstheme="minorEastAsia"/>
                <w:b/>
                <w:color w:val="auto"/>
                <w:sz w:val="24"/>
                <w:highlight w:val="none"/>
              </w:rPr>
            </w:pPr>
            <w:r>
              <w:rPr>
                <w:rFonts w:hint="eastAsia" w:ascii="宋体" w:hAnsi="宋体"/>
                <w:b/>
                <w:color w:val="auto"/>
                <w:sz w:val="24"/>
                <w:highlight w:val="none"/>
              </w:rPr>
              <w:t>（万元）</w:t>
            </w:r>
          </w:p>
        </w:tc>
      </w:tr>
      <w:tr w14:paraId="3A99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0" w:type="auto"/>
            <w:vAlign w:val="center"/>
          </w:tcPr>
          <w:p w14:paraId="0E08F406">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1912" w:type="dxa"/>
            <w:vAlign w:val="center"/>
          </w:tcPr>
          <w:p w14:paraId="4CD7DA9E">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Cs/>
                <w:color w:val="auto"/>
                <w:sz w:val="24"/>
                <w:highlight w:val="none"/>
                <w:lang w:eastAsia="zh-CN"/>
              </w:rPr>
              <w:t>和合文化专题等媒体传播项目</w:t>
            </w:r>
          </w:p>
        </w:tc>
        <w:tc>
          <w:tcPr>
            <w:tcW w:w="1584" w:type="dxa"/>
            <w:vAlign w:val="center"/>
          </w:tcPr>
          <w:p w14:paraId="72C887FB">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bCs/>
                <w:color w:val="auto"/>
                <w:sz w:val="24"/>
                <w:highlight w:val="none"/>
              </w:rPr>
            </w:pPr>
            <w:r>
              <w:rPr>
                <w:rFonts w:hint="eastAsia" w:ascii="宋体" w:hAnsi="宋体" w:cs="宋体"/>
                <w:color w:val="auto"/>
                <w:kern w:val="0"/>
                <w:sz w:val="24"/>
                <w:highlight w:val="none"/>
                <w:lang w:val="en-US" w:eastAsia="zh-CN"/>
              </w:rPr>
              <w:t>详见第三章项目需求</w:t>
            </w:r>
          </w:p>
        </w:tc>
        <w:tc>
          <w:tcPr>
            <w:tcW w:w="716" w:type="dxa"/>
            <w:vAlign w:val="center"/>
          </w:tcPr>
          <w:p w14:paraId="00321B7E">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700" w:type="dxa"/>
            <w:vAlign w:val="center"/>
          </w:tcPr>
          <w:p w14:paraId="20D64D67">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w:t>
            </w:r>
          </w:p>
        </w:tc>
        <w:tc>
          <w:tcPr>
            <w:tcW w:w="1067" w:type="dxa"/>
            <w:vAlign w:val="center"/>
          </w:tcPr>
          <w:p w14:paraId="101A5E78">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200</w:t>
            </w:r>
          </w:p>
        </w:tc>
        <w:tc>
          <w:tcPr>
            <w:tcW w:w="1275" w:type="dxa"/>
            <w:vAlign w:val="center"/>
          </w:tcPr>
          <w:p w14:paraId="76BAE4EC">
            <w:pPr>
              <w:keepNext w:val="0"/>
              <w:keepLines w:val="0"/>
              <w:pageBreakBefore w:val="0"/>
              <w:tabs>
                <w:tab w:val="left" w:pos="8280"/>
              </w:tabs>
              <w:kinsoku/>
              <w:wordWrap/>
              <w:overflowPunct/>
              <w:topLinePunct w:val="0"/>
              <w:autoSpaceDE w:val="0"/>
              <w:autoSpaceDN w:val="0"/>
              <w:bidi w:val="0"/>
              <w:adjustRightInd w:val="0"/>
              <w:spacing w:line="360" w:lineRule="auto"/>
              <w:jc w:val="center"/>
              <w:textAlignment w:val="auto"/>
              <w:rPr>
                <w:rFonts w:hint="default"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200</w:t>
            </w:r>
          </w:p>
        </w:tc>
      </w:tr>
    </w:tbl>
    <w:p w14:paraId="6D14329B">
      <w:pPr>
        <w:pStyle w:val="3"/>
        <w:keepNext w:val="0"/>
        <w:keepLines w:val="0"/>
        <w:pageBreakBefore w:val="0"/>
        <w:kinsoku/>
        <w:wordWrap/>
        <w:overflowPunct/>
        <w:topLinePunct w:val="0"/>
        <w:bidi w:val="0"/>
        <w:spacing w:line="360" w:lineRule="auto"/>
        <w:ind w:right="0" w:firstLine="482" w:firstLineChars="200"/>
        <w:textAlignment w:val="auto"/>
        <w:rPr>
          <w:rFonts w:cs="宋体"/>
          <w:bCs/>
          <w:color w:val="auto"/>
          <w:sz w:val="24"/>
          <w:szCs w:val="24"/>
          <w:highlight w:val="none"/>
        </w:rPr>
      </w:pPr>
      <w:bookmarkStart w:id="6" w:name="_Toc28359003"/>
      <w:bookmarkStart w:id="7" w:name="_Toc35393622"/>
      <w:bookmarkStart w:id="8" w:name="_Toc28359080"/>
      <w:bookmarkStart w:id="9" w:name="_Toc35393791"/>
      <w:r>
        <w:rPr>
          <w:rFonts w:hint="eastAsia" w:cs="宋体"/>
          <w:bCs/>
          <w:color w:val="auto"/>
          <w:sz w:val="24"/>
          <w:szCs w:val="24"/>
          <w:highlight w:val="none"/>
        </w:rPr>
        <w:t>二、供应商的资格要求</w:t>
      </w:r>
      <w:bookmarkEnd w:id="6"/>
      <w:bookmarkEnd w:id="7"/>
      <w:bookmarkEnd w:id="8"/>
      <w:bookmarkEnd w:id="9"/>
    </w:p>
    <w:p w14:paraId="50870FC6">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bookmarkStart w:id="10" w:name="_Toc35393792"/>
      <w:bookmarkStart w:id="11" w:name="_Toc35393623"/>
      <w:bookmarkStart w:id="12" w:name="_Toc28359081"/>
      <w:bookmarkStart w:id="13" w:name="_Toc28359004"/>
      <w:r>
        <w:rPr>
          <w:rFonts w:hint="eastAsia" w:ascii="宋体" w:hAnsi="宋体" w:cs="宋体"/>
          <w:color w:val="auto"/>
          <w:sz w:val="24"/>
          <w:highlight w:val="none"/>
        </w:rPr>
        <w:t>（一）满足《中华人民共和国政府采购法》第二十二条规定</w:t>
      </w:r>
    </w:p>
    <w:p w14:paraId="78A52B63">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（二）本项目的特定资格要求：无。</w:t>
      </w:r>
    </w:p>
    <w:p w14:paraId="6EA650EE">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（三）本项目不接受联合体磋商。</w:t>
      </w:r>
    </w:p>
    <w:bookmarkEnd w:id="10"/>
    <w:bookmarkEnd w:id="11"/>
    <w:bookmarkEnd w:id="12"/>
    <w:bookmarkEnd w:id="13"/>
    <w:p w14:paraId="18FE885B">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（四）本项目非专门</w:t>
      </w:r>
      <w:r>
        <w:rPr>
          <w:rFonts w:hint="eastAsia" w:ascii="宋体" w:hAnsi="宋体" w:cs="宋体"/>
          <w:color w:val="auto"/>
          <w:sz w:val="24"/>
          <w:highlight w:val="none"/>
          <w:lang w:val="en-US" w:eastAsia="zh-CN"/>
        </w:rPr>
        <w:t>面向</w:t>
      </w:r>
      <w:r>
        <w:rPr>
          <w:rFonts w:hint="eastAsia" w:ascii="宋体" w:hAnsi="宋体" w:cs="宋体"/>
          <w:color w:val="auto"/>
          <w:sz w:val="24"/>
          <w:highlight w:val="none"/>
        </w:rPr>
        <w:t>中小企业采购项目。</w:t>
      </w:r>
    </w:p>
    <w:p w14:paraId="7388AFBB">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18D234C7">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2E6D9228">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244DEE21">
      <w:pPr>
        <w:pStyle w:val="3"/>
        <w:keepNext w:val="0"/>
        <w:keepLines w:val="0"/>
        <w:pageBreakBefore w:val="0"/>
        <w:kinsoku/>
        <w:wordWrap/>
        <w:overflowPunct/>
        <w:topLinePunct w:val="0"/>
        <w:bidi w:val="0"/>
        <w:spacing w:line="360" w:lineRule="auto"/>
        <w:ind w:right="0" w:firstLine="482" w:firstLineChars="200"/>
        <w:textAlignment w:val="auto"/>
        <w:rPr>
          <w:rFonts w:cs="宋体"/>
          <w:bCs/>
          <w:color w:val="auto"/>
          <w:sz w:val="24"/>
          <w:szCs w:val="24"/>
          <w:highlight w:val="none"/>
        </w:rPr>
      </w:pPr>
      <w:r>
        <w:rPr>
          <w:rFonts w:hint="eastAsia" w:cs="宋体"/>
          <w:bCs/>
          <w:color w:val="auto"/>
          <w:sz w:val="24"/>
          <w:szCs w:val="24"/>
          <w:highlight w:val="none"/>
        </w:rPr>
        <w:t>三、获取磋商文件</w:t>
      </w:r>
    </w:p>
    <w:p w14:paraId="798878AE">
      <w:pPr>
        <w:pStyle w:val="3"/>
        <w:keepNext w:val="0"/>
        <w:keepLines w:val="0"/>
        <w:pageBreakBefore w:val="0"/>
        <w:kinsoku/>
        <w:wordWrap/>
        <w:overflowPunct/>
        <w:topLinePunct w:val="0"/>
        <w:bidi w:val="0"/>
        <w:spacing w:line="360" w:lineRule="auto"/>
        <w:ind w:right="0" w:firstLine="482" w:firstLineChars="200"/>
        <w:textAlignment w:val="auto"/>
        <w:rPr>
          <w:rFonts w:cs="宋体"/>
          <w:color w:val="auto"/>
          <w:sz w:val="24"/>
          <w:highlight w:val="none"/>
        </w:rPr>
      </w:pPr>
      <w:r>
        <w:rPr>
          <w:rFonts w:hint="eastAsia" w:cs="宋体"/>
          <w:color w:val="auto"/>
          <w:sz w:val="24"/>
          <w:szCs w:val="24"/>
          <w:highlight w:val="none"/>
        </w:rPr>
        <w:t>（一）时间：公告发布时间至响应截止时间</w:t>
      </w:r>
    </w:p>
    <w:p w14:paraId="749EAF41">
      <w:pPr>
        <w:pStyle w:val="33"/>
        <w:keepNext w:val="0"/>
        <w:keepLines w:val="0"/>
        <w:pageBreakBefore w:val="0"/>
        <w:kinsoku/>
        <w:wordWrap/>
        <w:overflowPunct/>
        <w:topLinePunct w:val="0"/>
        <w:bidi w:val="0"/>
        <w:spacing w:line="360" w:lineRule="auto"/>
        <w:ind w:firstLine="480" w:firstLine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（二）方式：浙江政府采购网</w:t>
      </w:r>
      <w:r>
        <w:rPr>
          <w:rFonts w:hint="eastAsia" w:ascii="宋体" w:hAnsi="宋体" w:eastAsia="宋体" w:cs="宋体"/>
          <w:color w:val="auto"/>
          <w:kern w:val="2"/>
          <w:sz w:val="24"/>
          <w:szCs w:val="24"/>
          <w:highlight w:val="none"/>
        </w:rPr>
        <w:t>（https://zfcg.czt.zj.gov.cn）</w:t>
      </w:r>
      <w:r>
        <w:rPr>
          <w:rFonts w:hint="eastAsia" w:ascii="宋体" w:hAnsi="宋体" w:eastAsia="宋体" w:cs="宋体"/>
          <w:color w:val="auto"/>
          <w:sz w:val="24"/>
          <w:szCs w:val="24"/>
          <w:highlight w:val="none"/>
        </w:rPr>
        <w:t>免费下载</w:t>
      </w:r>
    </w:p>
    <w:p w14:paraId="26290FE8">
      <w:pPr>
        <w:pStyle w:val="3"/>
        <w:keepNext w:val="0"/>
        <w:keepLines w:val="0"/>
        <w:pageBreakBefore w:val="0"/>
        <w:kinsoku/>
        <w:wordWrap/>
        <w:overflowPunct/>
        <w:topLinePunct w:val="0"/>
        <w:bidi w:val="0"/>
        <w:spacing w:line="360" w:lineRule="auto"/>
        <w:ind w:right="0" w:firstLine="482" w:firstLineChars="200"/>
        <w:textAlignment w:val="auto"/>
        <w:rPr>
          <w:rFonts w:cs="宋体"/>
          <w:bCs/>
          <w:color w:val="auto"/>
          <w:sz w:val="24"/>
          <w:szCs w:val="24"/>
          <w:highlight w:val="none"/>
        </w:rPr>
      </w:pPr>
      <w:bookmarkStart w:id="14" w:name="_Toc35393624"/>
      <w:bookmarkStart w:id="15" w:name="_Toc28359005"/>
      <w:bookmarkStart w:id="16" w:name="_Toc35393793"/>
      <w:bookmarkStart w:id="17" w:name="_Toc28359082"/>
      <w:r>
        <w:rPr>
          <w:rFonts w:hint="eastAsia" w:cs="宋体"/>
          <w:bCs/>
          <w:color w:val="auto"/>
          <w:sz w:val="24"/>
          <w:szCs w:val="24"/>
          <w:highlight w:val="none"/>
        </w:rPr>
        <w:t>四、提交磋商响应文件</w:t>
      </w:r>
      <w:bookmarkEnd w:id="14"/>
      <w:bookmarkEnd w:id="15"/>
      <w:bookmarkEnd w:id="16"/>
      <w:bookmarkEnd w:id="17"/>
    </w:p>
    <w:p w14:paraId="4A29B677">
      <w:pPr>
        <w:keepNext w:val="0"/>
        <w:keepLines w:val="0"/>
        <w:pageBreakBefore w:val="0"/>
        <w:kinsoku/>
        <w:wordWrap/>
        <w:overflowPunct/>
        <w:topLinePunct w:val="0"/>
        <w:bidi w:val="0"/>
        <w:spacing w:line="360" w:lineRule="auto"/>
        <w:ind w:firstLine="480" w:firstLineChars="200"/>
        <w:textAlignment w:val="auto"/>
        <w:rPr>
          <w:rFonts w:ascii="宋体" w:hAnsi="宋体" w:cs="宋体"/>
          <w:iCs/>
          <w:color w:val="auto"/>
          <w:sz w:val="24"/>
          <w:highlight w:val="none"/>
          <w:u w:val="single"/>
        </w:rPr>
      </w:pPr>
      <w:bookmarkStart w:id="18" w:name="_Toc35393794"/>
      <w:bookmarkStart w:id="19" w:name="_Toc35393625"/>
      <w:bookmarkStart w:id="20" w:name="_Toc28359084"/>
      <w:bookmarkStart w:id="21" w:name="_Toc28359007"/>
      <w:r>
        <w:rPr>
          <w:rFonts w:hint="eastAsia" w:ascii="宋体" w:hAnsi="宋体" w:cs="宋体"/>
          <w:color w:val="auto"/>
          <w:sz w:val="24"/>
          <w:highlight w:val="none"/>
        </w:rPr>
        <w:t>（一）截止时间（磋商开始时间）：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01</w:t>
      </w:r>
      <w:r>
        <w:rPr>
          <w:rFonts w:hint="eastAsia" w:ascii="宋体" w:hAnsi="宋体" w:cs="宋体"/>
          <w:bCs/>
          <w:color w:val="auto"/>
          <w:sz w:val="24"/>
          <w:highlight w:val="none"/>
          <w:u w:val="single"/>
        </w:rPr>
        <w:t>日09点00分</w:t>
      </w:r>
      <w:r>
        <w:rPr>
          <w:rFonts w:hint="eastAsia" w:ascii="宋体" w:hAnsi="宋体" w:cs="宋体"/>
          <w:bCs/>
          <w:color w:val="auto"/>
          <w:sz w:val="24"/>
          <w:highlight w:val="none"/>
        </w:rPr>
        <w:t>（北京时间）</w:t>
      </w:r>
    </w:p>
    <w:p w14:paraId="6BA28045">
      <w:pPr>
        <w:pStyle w:val="6"/>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（二）提交网址：浙江政府采购云平台（http://www.zcygov.cn）</w:t>
      </w:r>
    </w:p>
    <w:bookmarkEnd w:id="18"/>
    <w:bookmarkEnd w:id="19"/>
    <w:bookmarkEnd w:id="20"/>
    <w:bookmarkEnd w:id="21"/>
    <w:p w14:paraId="3055E3D9">
      <w:pPr>
        <w:pStyle w:val="23"/>
        <w:keepNext w:val="0"/>
        <w:keepLines w:val="0"/>
        <w:pageBreakBefore w:val="0"/>
        <w:kinsoku/>
        <w:wordWrap/>
        <w:overflowPunct/>
        <w:topLinePunct w:val="0"/>
        <w:bidi w:val="0"/>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5C2B9C54">
      <w:pPr>
        <w:pStyle w:val="23"/>
        <w:keepNext w:val="0"/>
        <w:keepLines w:val="0"/>
        <w:pageBreakBefore w:val="0"/>
        <w:kinsoku/>
        <w:wordWrap/>
        <w:overflowPunct/>
        <w:topLinePunct w:val="0"/>
        <w:bidi w:val="0"/>
        <w:spacing w:after="0" w:line="360" w:lineRule="auto"/>
        <w:ind w:left="0" w:leftChars="0" w:firstLine="480" w:firstLineChars="200"/>
        <w:textAlignment w:val="auto"/>
        <w:rPr>
          <w:rFonts w:asciiTheme="minorEastAsia" w:hAnsiTheme="minorEastAsia" w:eastAsiaTheme="minorEastAsia" w:cstheme="minorEastAsia"/>
          <w:color w:val="auto"/>
          <w:kern w:val="0"/>
          <w:sz w:val="24"/>
          <w:highlight w:val="none"/>
        </w:rPr>
      </w:pPr>
      <w:bookmarkStart w:id="22" w:name="_Toc35393626"/>
      <w:bookmarkStart w:id="23" w:name="_Toc35393795"/>
      <w:r>
        <w:rPr>
          <w:rFonts w:hint="eastAsia" w:asciiTheme="minorEastAsia" w:hAnsiTheme="minorEastAsia" w:eastAsiaTheme="minorEastAsia" w:cstheme="minorEastAsia"/>
          <w:color w:val="auto"/>
          <w:kern w:val="0"/>
          <w:sz w:val="24"/>
          <w:highlight w:val="none"/>
        </w:rPr>
        <w:t>（一）公告网址：浙江政府采购网（</w:t>
      </w:r>
      <w:r>
        <w:rPr>
          <w:rFonts w:hint="eastAsia" w:asciiTheme="minorEastAsia" w:hAnsiTheme="minorEastAsia" w:eastAsiaTheme="minorEastAsia" w:cstheme="minorEastAsia"/>
          <w:color w:val="auto"/>
          <w:sz w:val="24"/>
          <w:highlight w:val="none"/>
        </w:rPr>
        <w:t>https://zfcg.czt.zj.gov.cn</w:t>
      </w:r>
      <w:r>
        <w:rPr>
          <w:rFonts w:hint="eastAsia" w:asciiTheme="minorEastAsia" w:hAnsiTheme="minorEastAsia" w:eastAsiaTheme="minorEastAsia" w:cstheme="minorEastAsia"/>
          <w:color w:val="auto"/>
          <w:kern w:val="0"/>
          <w:sz w:val="24"/>
          <w:highlight w:val="none"/>
        </w:rPr>
        <w:t>），台州市公共资源交易网（https://tzztb.zjtz.gov.cn）。</w:t>
      </w:r>
    </w:p>
    <w:p w14:paraId="74C42E13">
      <w:pPr>
        <w:pStyle w:val="23"/>
        <w:keepNext w:val="0"/>
        <w:keepLines w:val="0"/>
        <w:pageBreakBefore w:val="0"/>
        <w:kinsoku/>
        <w:wordWrap/>
        <w:overflowPunct/>
        <w:topLinePunct w:val="0"/>
        <w:bidi w:val="0"/>
        <w:spacing w:after="0" w:line="360" w:lineRule="auto"/>
        <w:ind w:left="0" w:leftChars="0" w:firstLine="480" w:firstLineChars="200"/>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（二）公告期限：本公告期限自发布之日起五个工作日</w:t>
      </w:r>
    </w:p>
    <w:bookmarkEnd w:id="22"/>
    <w:bookmarkEnd w:id="23"/>
    <w:p w14:paraId="052C0A8A">
      <w:pPr>
        <w:pStyle w:val="3"/>
        <w:keepNext w:val="0"/>
        <w:keepLines w:val="0"/>
        <w:pageBreakBefore w:val="0"/>
        <w:kinsoku/>
        <w:wordWrap/>
        <w:overflowPunct/>
        <w:topLinePunct w:val="0"/>
        <w:bidi w:val="0"/>
        <w:spacing w:line="360" w:lineRule="auto"/>
        <w:ind w:right="0" w:firstLine="482" w:firstLineChars="200"/>
        <w:textAlignment w:val="auto"/>
        <w:rPr>
          <w:rFonts w:asciiTheme="minorEastAsia" w:hAnsiTheme="minorEastAsia" w:eastAsiaTheme="minorEastAsia" w:cstheme="minorEastAsia"/>
          <w:bCs/>
          <w:color w:val="auto"/>
          <w:sz w:val="24"/>
          <w:szCs w:val="24"/>
          <w:highlight w:val="none"/>
        </w:rPr>
      </w:pPr>
      <w:bookmarkStart w:id="24" w:name="_Toc28359087"/>
      <w:bookmarkStart w:id="25" w:name="_Toc28359010"/>
      <w:r>
        <w:rPr>
          <w:rFonts w:hint="eastAsia" w:asciiTheme="minorEastAsia" w:hAnsiTheme="minorEastAsia" w:eastAsiaTheme="minorEastAsia" w:cstheme="minorEastAsia"/>
          <w:bCs/>
          <w:color w:val="auto"/>
          <w:sz w:val="24"/>
          <w:szCs w:val="24"/>
          <w:highlight w:val="none"/>
        </w:rPr>
        <w:t>六、注册报名</w:t>
      </w:r>
    </w:p>
    <w:p w14:paraId="7E43837D">
      <w:pPr>
        <w:keepNext w:val="0"/>
        <w:keepLines w:val="0"/>
        <w:pageBreakBefore w:val="0"/>
        <w:kinsoku/>
        <w:wordWrap/>
        <w:overflowPunct/>
        <w:topLinePunct w:val="0"/>
        <w:bidi w:val="0"/>
        <w:snapToGrid w:val="0"/>
        <w:spacing w:line="360" w:lineRule="auto"/>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参与政府采购项目的供应商，需登录浙江省政府采购网（https://zfcg.czt.zj.gov.cn/）进行注册后报名。</w:t>
      </w:r>
    </w:p>
    <w:p w14:paraId="0D0308E5">
      <w:pPr>
        <w:pStyle w:val="3"/>
        <w:keepNext w:val="0"/>
        <w:keepLines w:val="0"/>
        <w:pageBreakBefore w:val="0"/>
        <w:kinsoku/>
        <w:wordWrap/>
        <w:overflowPunct/>
        <w:topLinePunct w:val="0"/>
        <w:bidi w:val="0"/>
        <w:spacing w:line="360" w:lineRule="auto"/>
        <w:ind w:right="0" w:firstLine="482" w:firstLineChars="200"/>
        <w:textAlignment w:val="auto"/>
        <w:rPr>
          <w:rFonts w:asciiTheme="minorEastAsia" w:hAnsiTheme="minorEastAsia" w:eastAsiaTheme="minorEastAsia" w:cstheme="minorEastAsia"/>
          <w:bCs/>
          <w:color w:val="auto"/>
          <w:sz w:val="24"/>
          <w:szCs w:val="24"/>
          <w:highlight w:val="none"/>
        </w:rPr>
      </w:pPr>
      <w:bookmarkStart w:id="26" w:name="_Toc28359085"/>
      <w:bookmarkStart w:id="27" w:name="_Toc35393627"/>
      <w:bookmarkStart w:id="28" w:name="_Toc28359008"/>
      <w:bookmarkStart w:id="29" w:name="_Toc35393796"/>
      <w:r>
        <w:rPr>
          <w:rFonts w:hint="eastAsia" w:asciiTheme="minorEastAsia" w:hAnsiTheme="minorEastAsia" w:eastAsiaTheme="minorEastAsia" w:cstheme="minorEastAsia"/>
          <w:bCs/>
          <w:color w:val="auto"/>
          <w:sz w:val="24"/>
          <w:szCs w:val="24"/>
          <w:highlight w:val="none"/>
        </w:rPr>
        <w:t>七、联系</w:t>
      </w:r>
      <w:bookmarkEnd w:id="26"/>
      <w:bookmarkEnd w:id="27"/>
      <w:bookmarkEnd w:id="28"/>
      <w:bookmarkEnd w:id="29"/>
      <w:r>
        <w:rPr>
          <w:rFonts w:hint="eastAsia" w:asciiTheme="minorEastAsia" w:hAnsiTheme="minorEastAsia" w:eastAsiaTheme="minorEastAsia" w:cstheme="minorEastAsia"/>
          <w:bCs/>
          <w:color w:val="auto"/>
          <w:sz w:val="24"/>
          <w:szCs w:val="24"/>
          <w:highlight w:val="none"/>
        </w:rPr>
        <w:t>方式</w:t>
      </w:r>
    </w:p>
    <w:p w14:paraId="1F719977">
      <w:pPr>
        <w:keepNext w:val="0"/>
        <w:keepLines w:val="0"/>
        <w:pageBreakBefore w:val="0"/>
        <w:kinsoku/>
        <w:wordWrap/>
        <w:overflowPunct/>
        <w:topLinePunct w:val="0"/>
        <w:bidi w:val="0"/>
        <w:snapToGrid w:val="0"/>
        <w:spacing w:line="360" w:lineRule="auto"/>
        <w:ind w:firstLine="482" w:firstLineChars="200"/>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（一）采购人</w:t>
      </w:r>
    </w:p>
    <w:p w14:paraId="16EADE5D">
      <w:pPr>
        <w:keepNext w:val="0"/>
        <w:keepLines w:val="0"/>
        <w:pageBreakBefore w:val="0"/>
        <w:kinsoku/>
        <w:wordWrap/>
        <w:overflowPunct/>
        <w:topLinePunct w:val="0"/>
        <w:bidi w:val="0"/>
        <w:spacing w:line="360" w:lineRule="auto"/>
        <w:ind w:firstLine="480" w:firstLineChars="20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中共台州市委宣传部</w:t>
      </w:r>
    </w:p>
    <w:p w14:paraId="41C01871">
      <w:pPr>
        <w:keepNext w:val="0"/>
        <w:keepLines w:val="0"/>
        <w:pageBreakBefore w:val="0"/>
        <w:kinsoku/>
        <w:wordWrap/>
        <w:overflowPunct/>
        <w:topLinePunct w:val="0"/>
        <w:bidi w:val="0"/>
        <w:spacing w:line="360" w:lineRule="auto"/>
        <w:ind w:firstLine="480" w:firstLineChars="200"/>
        <w:textAlignment w:val="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浙江省台州市市府大楼十三楼</w:t>
      </w:r>
    </w:p>
    <w:p w14:paraId="348DEBEC">
      <w:pPr>
        <w:keepNext w:val="0"/>
        <w:keepLines w:val="0"/>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联系人：</w:t>
      </w:r>
      <w:bookmarkStart w:id="30" w:name="_Toc28359086"/>
      <w:bookmarkStart w:id="31" w:name="_Toc28359009"/>
      <w:r>
        <w:rPr>
          <w:rFonts w:hint="eastAsia" w:asciiTheme="minorEastAsia" w:hAnsiTheme="minorEastAsia" w:eastAsiaTheme="minorEastAsia" w:cstheme="minorEastAsia"/>
          <w:color w:val="auto"/>
          <w:sz w:val="24"/>
          <w:highlight w:val="none"/>
          <w:u w:val="single"/>
          <w:lang w:eastAsia="zh-CN"/>
        </w:rPr>
        <w:t>周先生</w:t>
      </w:r>
    </w:p>
    <w:p w14:paraId="2E687E62">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0576-88510329</w:t>
      </w:r>
    </w:p>
    <w:bookmarkEnd w:id="30"/>
    <w:bookmarkEnd w:id="31"/>
    <w:p w14:paraId="2764529E">
      <w:pPr>
        <w:keepNext w:val="0"/>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质疑受理联系人：</w:t>
      </w:r>
      <w:r>
        <w:rPr>
          <w:rFonts w:hint="eastAsia" w:ascii="宋体" w:hAnsi="宋体" w:cs="宋体"/>
          <w:color w:val="auto"/>
          <w:sz w:val="24"/>
          <w:highlight w:val="none"/>
          <w:u w:val="single"/>
          <w:lang w:val="en-US" w:eastAsia="zh-CN"/>
        </w:rPr>
        <w:t>姜女士</w:t>
      </w:r>
    </w:p>
    <w:p w14:paraId="6E038D0A">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w:t>
      </w:r>
      <w:r>
        <w:rPr>
          <w:rFonts w:hint="eastAsia" w:ascii="宋体" w:hAnsi="宋体" w:cs="宋体"/>
          <w:color w:val="auto"/>
          <w:sz w:val="24"/>
          <w:highlight w:val="none"/>
          <w:u w:val="single"/>
          <w:lang w:eastAsia="zh-CN"/>
        </w:rPr>
        <w:t>88510329</w:t>
      </w:r>
    </w:p>
    <w:p w14:paraId="6DE08924">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b/>
          <w:bCs/>
          <w:color w:val="auto"/>
          <w:sz w:val="24"/>
          <w:highlight w:val="none"/>
        </w:rPr>
        <w:t>采购组织机构</w:t>
      </w:r>
    </w:p>
    <w:p w14:paraId="4BF1FE8C">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0451DA2B">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台州市市府大道507号台州国际商务广场1幢</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楼</w:t>
      </w:r>
    </w:p>
    <w:p w14:paraId="138E7C8D">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rPr>
        <w:t>葛俊</w:t>
      </w:r>
    </w:p>
    <w:p w14:paraId="0F0B44D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w:t>
      </w:r>
      <w:r>
        <w:rPr>
          <w:rFonts w:hint="eastAsia" w:ascii="宋体" w:hAnsi="宋体" w:cs="宋体"/>
          <w:color w:val="auto"/>
          <w:sz w:val="24"/>
          <w:highlight w:val="none"/>
          <w:u w:val="single"/>
          <w:lang w:val="en-US" w:eastAsia="zh-CN"/>
        </w:rPr>
        <w:t>5</w:t>
      </w:r>
    </w:p>
    <w:p w14:paraId="01AFC220">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质疑受理联系人：</w:t>
      </w:r>
      <w:r>
        <w:rPr>
          <w:rFonts w:hint="eastAsia" w:ascii="宋体" w:hAnsi="宋体" w:cs="宋体"/>
          <w:color w:val="auto"/>
          <w:sz w:val="24"/>
          <w:highlight w:val="none"/>
          <w:u w:val="single"/>
        </w:rPr>
        <w:t>徐瑜</w:t>
      </w:r>
    </w:p>
    <w:p w14:paraId="69F264B1">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47192BD4">
      <w:pPr>
        <w:keepNext w:val="0"/>
        <w:keepLines w:val="0"/>
        <w:pageBreakBefore w:val="0"/>
        <w:kinsoku/>
        <w:wordWrap/>
        <w:overflowPunct/>
        <w:topLinePunct w:val="0"/>
        <w:bidi w:val="0"/>
        <w:spacing w:line="360" w:lineRule="auto"/>
        <w:ind w:firstLine="482" w:firstLineChars="200"/>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（三）同级政府采购监管机构</w:t>
      </w:r>
    </w:p>
    <w:p w14:paraId="605A3290">
      <w:pPr>
        <w:keepNext w:val="0"/>
        <w:keepLines w:val="0"/>
        <w:pageBreakBefore w:val="0"/>
        <w:kinsoku/>
        <w:wordWrap/>
        <w:overflowPunct/>
        <w:topLinePunct w:val="0"/>
        <w:bidi w:val="0"/>
        <w:spacing w:line="360" w:lineRule="auto"/>
        <w:ind w:firstLine="480" w:firstLineChars="200"/>
        <w:textAlignment w:val="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u w:val="single"/>
        </w:rPr>
        <w:t>台州市财政局政府采购监管处</w:t>
      </w:r>
    </w:p>
    <w:p w14:paraId="608CA477">
      <w:pPr>
        <w:keepNext w:val="0"/>
        <w:keepLines w:val="0"/>
        <w:pageBreakBefore w:val="0"/>
        <w:kinsoku/>
        <w:wordWrap/>
        <w:overflowPunct/>
        <w:topLinePunct w:val="0"/>
        <w:bidi w:val="0"/>
        <w:spacing w:line="360" w:lineRule="auto"/>
        <w:ind w:firstLine="480" w:firstLineChars="200"/>
        <w:textAlignment w:val="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台州经济开发区纬一路</w:t>
      </w:r>
    </w:p>
    <w:p w14:paraId="5F6ADE87">
      <w:pPr>
        <w:keepNext w:val="0"/>
        <w:keepLines w:val="0"/>
        <w:pageBreakBefore w:val="0"/>
        <w:kinsoku/>
        <w:wordWrap/>
        <w:overflowPunct/>
        <w:topLinePunct w:val="0"/>
        <w:bidi w:val="0"/>
        <w:spacing w:line="360" w:lineRule="auto"/>
        <w:ind w:firstLine="480" w:firstLineChars="200"/>
        <w:textAlignment w:val="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陈女士/李女士</w:t>
      </w:r>
    </w:p>
    <w:p w14:paraId="2A7F18BB">
      <w:pPr>
        <w:keepNext w:val="0"/>
        <w:keepLines w:val="0"/>
        <w:pageBreakBefore w:val="0"/>
        <w:kinsoku/>
        <w:wordWrap/>
        <w:overflowPunct/>
        <w:topLinePunct w:val="0"/>
        <w:bidi w:val="0"/>
        <w:spacing w:line="360" w:lineRule="auto"/>
        <w:ind w:firstLine="480" w:firstLineChars="200"/>
        <w:textAlignment w:val="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0576-88206705/0576-88206731</w:t>
      </w:r>
    </w:p>
    <w:p w14:paraId="1961F16B">
      <w:pPr>
        <w:keepNext w:val="0"/>
        <w:keepLines w:val="0"/>
        <w:pageBreakBefore w:val="0"/>
        <w:kinsoku/>
        <w:wordWrap/>
        <w:overflowPunct/>
        <w:topLinePunct w:val="0"/>
        <w:bidi w:val="0"/>
        <w:spacing w:line="360" w:lineRule="auto"/>
        <w:ind w:firstLine="482" w:firstLineChars="200"/>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（四）政采云平台</w:t>
      </w:r>
    </w:p>
    <w:p w14:paraId="15456974">
      <w:pPr>
        <w:keepNext w:val="0"/>
        <w:keepLines w:val="0"/>
        <w:pageBreakBefore w:val="0"/>
        <w:kinsoku/>
        <w:wordWrap/>
        <w:overflowPunct/>
        <w:topLinePunct w:val="0"/>
        <w:bidi w:val="0"/>
        <w:spacing w:line="360" w:lineRule="auto"/>
        <w:ind w:firstLine="480" w:firstLineChars="200"/>
        <w:textAlignment w:val="auto"/>
        <w:rPr>
          <w:rFonts w:eastAsiaTheme="minorEastAsia"/>
          <w:color w:val="auto"/>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single"/>
        </w:rPr>
        <w:t>95763</w:t>
      </w:r>
    </w:p>
    <w:p w14:paraId="3C34371C">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firstLine="539"/>
        <w:jc w:val="right"/>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shd w:val="clear" w:color="auto" w:fill="FFFFFF"/>
        </w:rPr>
        <w:t>台州市建设咨询有限公司</w:t>
      </w:r>
    </w:p>
    <w:p w14:paraId="2031A945">
      <w:pPr>
        <w:keepNext w:val="0"/>
        <w:keepLines w:val="0"/>
        <w:pageBreakBefore w:val="0"/>
        <w:widowControl/>
        <w:kinsoku/>
        <w:wordWrap/>
        <w:overflowPunct/>
        <w:topLinePunct w:val="0"/>
        <w:bidi w:val="0"/>
        <w:spacing w:line="360" w:lineRule="auto"/>
        <w:jc w:val="right"/>
        <w:textAlignment w:val="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202</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sz w:val="24"/>
          <w:highlight w:val="none"/>
          <w:lang w:val="en-US" w:eastAsia="zh-CN"/>
        </w:rPr>
        <w:t>06</w:t>
      </w:r>
      <w:r>
        <w:rPr>
          <w:rFonts w:hint="eastAsia" w:asciiTheme="minorEastAsia" w:hAnsiTheme="minorEastAsia" w:eastAsiaTheme="minorEastAsia" w:cstheme="minorEastAsia"/>
          <w:color w:val="auto"/>
          <w:kern w:val="0"/>
          <w:sz w:val="24"/>
          <w:highlight w:val="none"/>
        </w:rPr>
        <w:t>月</w:t>
      </w:r>
    </w:p>
    <w:p w14:paraId="60B9C911">
      <w:pPr>
        <w:pStyle w:val="32"/>
        <w:spacing w:before="120" w:line="360" w:lineRule="auto"/>
        <w:rPr>
          <w:color w:val="auto"/>
          <w:highlight w:val="none"/>
        </w:rPr>
      </w:pPr>
    </w:p>
    <w:p w14:paraId="5DE1ADCF">
      <w:pPr>
        <w:pStyle w:val="32"/>
        <w:spacing w:before="120" w:line="360" w:lineRule="auto"/>
        <w:rPr>
          <w:color w:val="auto"/>
          <w:highlight w:val="none"/>
        </w:rPr>
      </w:pPr>
    </w:p>
    <w:p w14:paraId="0F9495D4">
      <w:pPr>
        <w:pStyle w:val="32"/>
        <w:spacing w:before="120" w:line="360" w:lineRule="auto"/>
        <w:rPr>
          <w:color w:val="auto"/>
          <w:highlight w:val="none"/>
        </w:rPr>
      </w:pPr>
    </w:p>
    <w:p w14:paraId="11D939BD">
      <w:pPr>
        <w:pStyle w:val="32"/>
        <w:spacing w:before="120" w:line="360" w:lineRule="auto"/>
        <w:rPr>
          <w:color w:val="auto"/>
          <w:highlight w:val="none"/>
        </w:rPr>
      </w:pPr>
    </w:p>
    <w:p w14:paraId="2FB02D70">
      <w:pPr>
        <w:pStyle w:val="32"/>
        <w:spacing w:before="120" w:line="360" w:lineRule="auto"/>
        <w:rPr>
          <w:color w:val="auto"/>
          <w:highlight w:val="none"/>
        </w:rPr>
      </w:pPr>
    </w:p>
    <w:p w14:paraId="7FEB9290">
      <w:pPr>
        <w:pStyle w:val="32"/>
        <w:spacing w:before="120" w:line="360" w:lineRule="auto"/>
        <w:rPr>
          <w:color w:val="auto"/>
          <w:highlight w:val="none"/>
        </w:rPr>
      </w:pPr>
    </w:p>
    <w:p w14:paraId="68B0AB00">
      <w:pPr>
        <w:pStyle w:val="32"/>
        <w:spacing w:before="120" w:line="360" w:lineRule="auto"/>
        <w:rPr>
          <w:color w:val="auto"/>
          <w:highlight w:val="none"/>
        </w:rPr>
      </w:pPr>
    </w:p>
    <w:p w14:paraId="35CA5075">
      <w:pPr>
        <w:pStyle w:val="32"/>
        <w:spacing w:before="120" w:line="360" w:lineRule="auto"/>
        <w:rPr>
          <w:color w:val="auto"/>
          <w:highlight w:val="none"/>
        </w:rPr>
      </w:pPr>
    </w:p>
    <w:p w14:paraId="063CDC32">
      <w:pPr>
        <w:pStyle w:val="32"/>
        <w:spacing w:before="120" w:line="360" w:lineRule="auto"/>
        <w:rPr>
          <w:color w:val="auto"/>
          <w:highlight w:val="none"/>
        </w:rPr>
      </w:pPr>
    </w:p>
    <w:p w14:paraId="493B2B15">
      <w:pPr>
        <w:pStyle w:val="32"/>
        <w:spacing w:before="120" w:line="360" w:lineRule="auto"/>
        <w:rPr>
          <w:color w:val="auto"/>
          <w:highlight w:val="none"/>
        </w:rPr>
      </w:pPr>
    </w:p>
    <w:p w14:paraId="5D331DB7">
      <w:pPr>
        <w:pStyle w:val="32"/>
        <w:spacing w:before="120" w:line="360" w:lineRule="auto"/>
        <w:rPr>
          <w:color w:val="auto"/>
          <w:highlight w:val="none"/>
        </w:rPr>
      </w:pPr>
    </w:p>
    <w:p w14:paraId="63F8DD20">
      <w:pPr>
        <w:pStyle w:val="32"/>
        <w:spacing w:before="120" w:line="360" w:lineRule="auto"/>
        <w:rPr>
          <w:color w:val="auto"/>
          <w:highlight w:val="none"/>
        </w:rPr>
      </w:pPr>
    </w:p>
    <w:p w14:paraId="042D8EBC">
      <w:pPr>
        <w:pStyle w:val="32"/>
        <w:spacing w:before="120" w:line="360" w:lineRule="auto"/>
        <w:rPr>
          <w:color w:val="auto"/>
          <w:highlight w:val="none"/>
        </w:rPr>
      </w:pPr>
    </w:p>
    <w:p w14:paraId="55817D7A">
      <w:pPr>
        <w:pStyle w:val="32"/>
        <w:spacing w:before="120" w:line="360" w:lineRule="auto"/>
        <w:rPr>
          <w:color w:val="auto"/>
          <w:highlight w:val="none"/>
        </w:rPr>
      </w:pPr>
    </w:p>
    <w:p w14:paraId="497D60E8">
      <w:pPr>
        <w:pStyle w:val="32"/>
        <w:spacing w:before="120" w:line="360" w:lineRule="auto"/>
        <w:rPr>
          <w:color w:val="auto"/>
          <w:highlight w:val="none"/>
        </w:rPr>
      </w:pPr>
    </w:p>
    <w:p w14:paraId="216861EC">
      <w:pPr>
        <w:pStyle w:val="32"/>
        <w:spacing w:before="120" w:line="360" w:lineRule="auto"/>
        <w:rPr>
          <w:color w:val="auto"/>
          <w:highlight w:val="none"/>
        </w:rPr>
      </w:pPr>
    </w:p>
    <w:p w14:paraId="32AD2A0B">
      <w:pPr>
        <w:pStyle w:val="32"/>
        <w:spacing w:before="120" w:line="360" w:lineRule="auto"/>
        <w:rPr>
          <w:color w:val="auto"/>
          <w:highlight w:val="none"/>
        </w:rPr>
      </w:pPr>
    </w:p>
    <w:p w14:paraId="7755D857">
      <w:pPr>
        <w:pStyle w:val="32"/>
        <w:spacing w:before="120" w:line="360" w:lineRule="auto"/>
        <w:rPr>
          <w:color w:val="auto"/>
          <w:highlight w:val="none"/>
        </w:rPr>
      </w:pPr>
    </w:p>
    <w:p w14:paraId="0068EC00">
      <w:pPr>
        <w:pStyle w:val="32"/>
        <w:spacing w:before="120" w:line="360" w:lineRule="auto"/>
        <w:rPr>
          <w:color w:val="auto"/>
          <w:highlight w:val="none"/>
        </w:rPr>
      </w:pPr>
    </w:p>
    <w:p w14:paraId="5C582B11">
      <w:pPr>
        <w:pStyle w:val="32"/>
        <w:spacing w:before="120" w:line="360" w:lineRule="auto"/>
        <w:rPr>
          <w:color w:val="auto"/>
          <w:highlight w:val="none"/>
        </w:rPr>
      </w:pPr>
    </w:p>
    <w:p w14:paraId="5A9D4637">
      <w:pPr>
        <w:pStyle w:val="32"/>
        <w:spacing w:before="120" w:line="360" w:lineRule="auto"/>
        <w:rPr>
          <w:color w:val="auto"/>
          <w:highlight w:val="none"/>
        </w:rPr>
      </w:pPr>
    </w:p>
    <w:p w14:paraId="422C545A">
      <w:pPr>
        <w:pStyle w:val="32"/>
        <w:spacing w:before="120" w:line="360" w:lineRule="auto"/>
        <w:rPr>
          <w:color w:val="auto"/>
          <w:highlight w:val="none"/>
        </w:rPr>
      </w:pPr>
    </w:p>
    <w:p w14:paraId="0D06E9FD">
      <w:pPr>
        <w:pStyle w:val="32"/>
        <w:spacing w:before="120" w:line="360" w:lineRule="auto"/>
        <w:ind w:firstLine="0"/>
        <w:rPr>
          <w:color w:val="auto"/>
          <w:highlight w:val="none"/>
        </w:rPr>
      </w:pPr>
    </w:p>
    <w:bookmarkEnd w:id="24"/>
    <w:bookmarkEnd w:id="25"/>
    <w:p w14:paraId="7920DBD7">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32" w:name="_Toc6994"/>
      <w:r>
        <w:rPr>
          <w:rFonts w:hint="eastAsia" w:asciiTheme="minorEastAsia" w:hAnsiTheme="minorEastAsia" w:eastAsiaTheme="minorEastAsia"/>
          <w:b/>
          <w:color w:val="auto"/>
          <w:sz w:val="36"/>
          <w:szCs w:val="36"/>
          <w:highlight w:val="none"/>
        </w:rPr>
        <w:t>供应商须知</w:t>
      </w:r>
      <w:bookmarkEnd w:id="32"/>
    </w:p>
    <w:p w14:paraId="686A93E8">
      <w:pPr>
        <w:numPr>
          <w:ilvl w:val="0"/>
          <w:numId w:val="5"/>
        </w:num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052B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6624DEDD">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426348FA">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542E8725">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本项目的特别规定</w:t>
            </w:r>
          </w:p>
        </w:tc>
      </w:tr>
      <w:tr w14:paraId="3B06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03358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14:paraId="6A0CDC9C">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6F08FB7B">
            <w:pPr>
              <w:spacing w:line="360" w:lineRule="auto"/>
              <w:rPr>
                <w:rFonts w:ascii="宋体" w:hAnsi="宋体" w:cs="宋体"/>
                <w:color w:val="auto"/>
                <w:szCs w:val="21"/>
                <w:highlight w:val="none"/>
              </w:rPr>
            </w:pPr>
            <w:r>
              <w:rPr>
                <w:rFonts w:hint="eastAsia" w:ascii="宋体" w:hAnsi="宋体" w:cs="宋体"/>
                <w:color w:val="auto"/>
                <w:highlight w:val="none"/>
              </w:rPr>
              <w:t>□是/☑ 否</w:t>
            </w:r>
          </w:p>
        </w:tc>
      </w:tr>
      <w:tr w14:paraId="795B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2AB071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14:paraId="14AD8F6A">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271D3724">
            <w:pPr>
              <w:spacing w:line="360" w:lineRule="auto"/>
              <w:rPr>
                <w:rFonts w:ascii="宋体" w:hAnsi="宋体" w:cs="宋体"/>
                <w:color w:val="auto"/>
                <w:szCs w:val="21"/>
                <w:highlight w:val="none"/>
              </w:rPr>
            </w:pPr>
            <w:r>
              <w:rPr>
                <w:rFonts w:hint="eastAsia" w:ascii="宋体" w:hAnsi="宋体" w:cs="宋体"/>
                <w:color w:val="auto"/>
                <w:highlight w:val="none"/>
              </w:rPr>
              <w:t>□ 是（但主体部分不得分包，详见招标需求内容）/☑否</w:t>
            </w:r>
          </w:p>
        </w:tc>
      </w:tr>
      <w:tr w14:paraId="5A6D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5EA02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14:paraId="7D108561">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答疑会或</w:t>
            </w:r>
          </w:p>
          <w:p w14:paraId="23A41ECE">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4B0D4F96">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无</w:t>
            </w:r>
          </w:p>
        </w:tc>
      </w:tr>
      <w:tr w14:paraId="35A3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3A6D2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14:paraId="47166AC5">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14:paraId="77C9F8C9">
            <w:pPr>
              <w:spacing w:line="360" w:lineRule="auto"/>
              <w:ind w:firstLine="420" w:firstLineChars="200"/>
              <w:rPr>
                <w:color w:val="auto"/>
                <w:highlight w:val="none"/>
              </w:rPr>
            </w:pPr>
            <w:r>
              <w:rPr>
                <w:rFonts w:hint="eastAsia"/>
                <w:color w:val="auto"/>
                <w:highlight w:val="none"/>
              </w:rPr>
              <w:t>请供应商仔细阅读“政府采购项目电子交易操作指南”。</w:t>
            </w:r>
          </w:p>
          <w:p w14:paraId="6F38F034">
            <w:pPr>
              <w:spacing w:line="360" w:lineRule="auto"/>
              <w:ind w:firstLine="420" w:firstLineChars="200"/>
              <w:rPr>
                <w:color w:val="auto"/>
                <w:highlight w:val="none"/>
              </w:rPr>
            </w:pPr>
            <w:r>
              <w:rPr>
                <w:rFonts w:hint="eastAsia"/>
                <w:color w:val="auto"/>
                <w:highlight w:val="none"/>
              </w:rPr>
              <w:t>1.响应文件的制作：供应商按照本项目磋商文件和政采云平台的要求,通过政采云电子交易客户端编制、加密并递交响应文件（下载网址：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color w:val="auto"/>
                <w:highlight w:val="none"/>
              </w:rPr>
              <w:t>https://zfcg.czt.zj.gov.cn/download/index.html）。</w:t>
            </w:r>
            <w:r>
              <w:rPr>
                <w:rFonts w:hint="eastAsia"/>
                <w:color w:val="auto"/>
                <w:highlight w:val="none"/>
              </w:rPr>
              <w:fldChar w:fldCharType="end"/>
            </w:r>
          </w:p>
          <w:p w14:paraId="29A01689">
            <w:pPr>
              <w:spacing w:line="360" w:lineRule="auto"/>
              <w:ind w:firstLine="420" w:firstLineChars="200"/>
              <w:rPr>
                <w:color w:val="auto"/>
                <w:highlight w:val="none"/>
              </w:rPr>
            </w:pPr>
            <w:r>
              <w:rPr>
                <w:rFonts w:hint="eastAsia"/>
                <w:color w:val="auto"/>
                <w:highlight w:val="none"/>
              </w:rPr>
              <w:t>2.递交响应文件：供应商应当在响应截止时间前（磋商当天北京时间09:00）完成响应文件的递交，逾期递交的响应文件恕不接受。补充或者修改响应文件的，应当先行撤回原文件，补充、修改后重新递交。响应截止时间前未完成</w:t>
            </w:r>
            <w:r>
              <w:rPr>
                <w:rFonts w:hint="eastAsia" w:ascii="宋体" w:hAnsi="宋体" w:cs="宋体"/>
                <w:color w:val="auto"/>
                <w:szCs w:val="21"/>
                <w:highlight w:val="none"/>
              </w:rPr>
              <w:t>递交</w:t>
            </w:r>
            <w:r>
              <w:rPr>
                <w:rFonts w:hint="eastAsia"/>
                <w:color w:val="auto"/>
                <w:highlight w:val="none"/>
              </w:rPr>
              <w:t>的，视为撤回响应文件。</w:t>
            </w:r>
          </w:p>
          <w:p w14:paraId="2EB5D71A">
            <w:pPr>
              <w:spacing w:line="360" w:lineRule="auto"/>
              <w:ind w:firstLine="420" w:firstLineChars="200"/>
              <w:rPr>
                <w:rFonts w:ascii="宋体" w:hAnsi="宋体" w:cs="宋体"/>
                <w:color w:val="auto"/>
                <w:kern w:val="0"/>
                <w:szCs w:val="21"/>
                <w:highlight w:val="none"/>
              </w:rPr>
            </w:pPr>
            <w:r>
              <w:rPr>
                <w:rFonts w:hint="eastAsia"/>
                <w:color w:val="auto"/>
                <w:highlight w:val="none"/>
              </w:rPr>
              <w:t>3.响应文件解密：供应商应在响应文件开启解密后30分钟内完成解密。</w:t>
            </w:r>
          </w:p>
        </w:tc>
      </w:tr>
      <w:tr w14:paraId="4FD7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7AB2E0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14:paraId="7C3BDAB7">
            <w:pPr>
              <w:pStyle w:val="23"/>
              <w:spacing w:after="0" w:line="360" w:lineRule="auto"/>
              <w:ind w:left="0" w:leftChars="0" w:firstLine="0"/>
              <w:jc w:val="center"/>
              <w:rPr>
                <w:rFonts w:ascii="宋体" w:hAnsi="宋体" w:cs="宋体"/>
                <w:color w:val="auto"/>
                <w:kern w:val="0"/>
                <w:szCs w:val="21"/>
                <w:highlight w:val="none"/>
              </w:rPr>
            </w:pPr>
            <w:r>
              <w:rPr>
                <w:rFonts w:hint="eastAsia" w:ascii="宋体" w:hAnsi="宋体" w:cs="宋体"/>
                <w:color w:val="auto"/>
                <w:szCs w:val="21"/>
                <w:highlight w:val="none"/>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194D6AF0">
            <w:pPr>
              <w:pStyle w:val="23"/>
              <w:spacing w:after="0" w:line="360" w:lineRule="auto"/>
              <w:ind w:left="0" w:leftChars="0" w:firstLineChars="200"/>
              <w:rPr>
                <w:rFonts w:ascii="宋体" w:hAnsi="宋体" w:cs="宋体"/>
                <w:color w:val="auto"/>
                <w:szCs w:val="21"/>
                <w:highlight w:val="none"/>
              </w:rPr>
            </w:pPr>
            <w:r>
              <w:rPr>
                <w:rFonts w:hint="eastAsia" w:ascii="宋体" w:hAnsi="宋体" w:cs="宋体"/>
                <w:color w:val="auto"/>
                <w:szCs w:val="21"/>
                <w:highlight w:val="none"/>
              </w:rPr>
              <w:t>备份响应文件是通过</w:t>
            </w:r>
            <w:r>
              <w:rPr>
                <w:rFonts w:hint="eastAsia"/>
                <w:color w:val="auto"/>
                <w:highlight w:val="none"/>
              </w:rPr>
              <w:t>“政采云电子交易客户端”</w:t>
            </w:r>
            <w:r>
              <w:rPr>
                <w:rFonts w:hint="eastAsia" w:ascii="宋体" w:hAnsi="宋体" w:cs="宋体"/>
                <w:color w:val="auto"/>
                <w:szCs w:val="21"/>
                <w:highlight w:val="none"/>
              </w:rPr>
              <w:t>制做响应文件产生的备份文件，请供应商自行妥善保管。</w:t>
            </w:r>
          </w:p>
          <w:p w14:paraId="7D28E8CC">
            <w:pPr>
              <w:pStyle w:val="23"/>
              <w:spacing w:after="0" w:line="360" w:lineRule="auto"/>
              <w:ind w:left="0" w:leftChars="0" w:firstLineChars="200"/>
              <w:rPr>
                <w:rFonts w:ascii="宋体" w:hAnsi="宋体" w:cs="宋体"/>
                <w:color w:val="auto"/>
                <w:szCs w:val="21"/>
                <w:highlight w:val="none"/>
              </w:rPr>
            </w:pPr>
            <w:r>
              <w:rPr>
                <w:rFonts w:hint="eastAsia" w:ascii="宋体" w:hAnsi="宋体" w:cs="宋体"/>
                <w:color w:val="auto"/>
                <w:szCs w:val="21"/>
                <w:highlight w:val="none"/>
              </w:rPr>
              <w:t>1.使用前提：供应商自行在线解密操作失败无法按时寻求技术人员帮助解密，或者寻求技术人员帮助仍无法按时完成解密。</w:t>
            </w:r>
          </w:p>
          <w:p w14:paraId="76D200F1">
            <w:pPr>
              <w:pStyle w:val="23"/>
              <w:spacing w:after="0" w:line="360" w:lineRule="auto"/>
              <w:ind w:left="0" w:leftChars="0" w:firstLineChars="200"/>
              <w:rPr>
                <w:rFonts w:ascii="宋体" w:hAnsi="宋体" w:cs="宋体"/>
                <w:color w:val="auto"/>
                <w:szCs w:val="21"/>
                <w:highlight w:val="none"/>
              </w:rPr>
            </w:pPr>
            <w:r>
              <w:rPr>
                <w:rFonts w:hint="eastAsia" w:ascii="宋体" w:hAnsi="宋体" w:cs="宋体"/>
                <w:color w:val="auto"/>
                <w:szCs w:val="21"/>
                <w:highlight w:val="none"/>
              </w:rPr>
              <w:t>2.递交截止时间：磋商当天</w:t>
            </w:r>
            <w:r>
              <w:rPr>
                <w:rFonts w:hint="eastAsia" w:ascii="宋体" w:hAnsi="宋体" w:cs="宋体"/>
                <w:color w:val="auto"/>
                <w:szCs w:val="21"/>
                <w:highlight w:val="none"/>
                <w:u w:val="single"/>
              </w:rPr>
              <w:t>09:00</w:t>
            </w:r>
            <w:r>
              <w:rPr>
                <w:rFonts w:hint="eastAsia" w:ascii="宋体" w:hAnsi="宋体" w:cs="宋体"/>
                <w:color w:val="auto"/>
                <w:szCs w:val="21"/>
                <w:highlight w:val="none"/>
              </w:rPr>
              <w:t>（北京时间）。</w:t>
            </w:r>
          </w:p>
          <w:p w14:paraId="56A69272">
            <w:pPr>
              <w:pStyle w:val="23"/>
              <w:spacing w:after="0" w:line="360" w:lineRule="auto"/>
              <w:ind w:left="0" w:leftChars="0" w:firstLineChars="200"/>
              <w:rPr>
                <w:rFonts w:ascii="宋体" w:hAnsi="宋体" w:cs="宋体"/>
                <w:color w:val="auto"/>
                <w:szCs w:val="21"/>
                <w:highlight w:val="none"/>
              </w:rPr>
            </w:pPr>
            <w:r>
              <w:rPr>
                <w:rFonts w:hint="eastAsia" w:ascii="宋体" w:hAnsi="宋体" w:cs="宋体"/>
                <w:color w:val="auto"/>
                <w:szCs w:val="21"/>
                <w:highlight w:val="none"/>
              </w:rPr>
              <w:t>3.投递邮箱：64532337@qq.com。</w:t>
            </w:r>
          </w:p>
          <w:p w14:paraId="5B4BA01B">
            <w:pPr>
              <w:pStyle w:val="23"/>
              <w:spacing w:after="0" w:line="360" w:lineRule="auto"/>
              <w:ind w:left="0" w:leftChars="0" w:firstLineChars="200"/>
              <w:rPr>
                <w:rFonts w:ascii="宋体" w:hAnsi="宋体" w:cs="宋体"/>
                <w:color w:val="auto"/>
                <w:szCs w:val="21"/>
                <w:highlight w:val="none"/>
              </w:rPr>
            </w:pPr>
            <w:r>
              <w:rPr>
                <w:rFonts w:hint="eastAsia" w:ascii="宋体" w:hAnsi="宋体" w:cs="宋体"/>
                <w:color w:val="auto"/>
                <w:szCs w:val="21"/>
                <w:highlight w:val="none"/>
              </w:rPr>
              <w:t>4.未按上述要求递交备份响应文件或所提供的备份响应文件不符合要求的视同放弃本次磋商，仅提交备份响应文件的，投标无效。</w:t>
            </w:r>
          </w:p>
          <w:p w14:paraId="7797D934">
            <w:pPr>
              <w:pStyle w:val="23"/>
              <w:spacing w:after="0" w:line="360" w:lineRule="auto"/>
              <w:ind w:left="0" w:leftChars="0" w:firstLineChars="200"/>
              <w:rPr>
                <w:rFonts w:ascii="宋体" w:hAnsi="宋体" w:cs="宋体"/>
                <w:color w:val="auto"/>
                <w:kern w:val="0"/>
                <w:szCs w:val="21"/>
                <w:highlight w:val="none"/>
              </w:rPr>
            </w:pPr>
            <w:r>
              <w:rPr>
                <w:rFonts w:hint="eastAsia" w:ascii="宋体" w:hAnsi="宋体" w:cs="宋体"/>
                <w:color w:val="auto"/>
                <w:highlight w:val="none"/>
              </w:rPr>
              <w:t>5.供应商未按时完成解密的，并符合备份响应文件使用前提的，供应商应提供备份响应文件，否则视为放弃投标。</w:t>
            </w:r>
          </w:p>
        </w:tc>
      </w:tr>
      <w:tr w14:paraId="2995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791B99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14:paraId="72080A68">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1E5ED34F">
            <w:pPr>
              <w:pStyle w:val="13"/>
              <w:adjustRightInd w:val="0"/>
              <w:snapToGrid w:val="0"/>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1.本项目实行电子采购，采用电子响应文件。若供应商参与本项目，自行承担磋商活动一切费用。</w:t>
            </w:r>
          </w:p>
          <w:p w14:paraId="15FCFA52">
            <w:pPr>
              <w:pStyle w:val="13"/>
              <w:adjustRightInd w:val="0"/>
              <w:snapToGrid w:val="0"/>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5485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2A4F3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14:paraId="620F4E1F">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245AA3B7">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14:paraId="4AD0D177">
            <w:pPr>
              <w:snapToGrid w:val="0"/>
              <w:spacing w:line="360" w:lineRule="auto"/>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中国政府采购网（网址：</w:t>
            </w:r>
            <w:r>
              <w:rPr>
                <w:rFonts w:cs="Arial" w:asciiTheme="minorEastAsia" w:hAnsiTheme="minorEastAsia" w:eastAsiaTheme="minorEastAsia"/>
                <w:color w:val="auto"/>
                <w:szCs w:val="21"/>
                <w:highlight w:val="none"/>
              </w:rPr>
              <w:t>http://www.ccgp.gov.cn</w:t>
            </w:r>
            <w:r>
              <w:rPr>
                <w:rFonts w:hint="eastAsia" w:cs="Arial" w:asciiTheme="minorEastAsia" w:hAnsiTheme="minorEastAsia" w:eastAsiaTheme="minorEastAsia"/>
                <w:color w:val="auto"/>
                <w:szCs w:val="21"/>
                <w:highlight w:val="none"/>
              </w:rPr>
              <w:t>)</w:t>
            </w:r>
          </w:p>
        </w:tc>
      </w:tr>
      <w:tr w14:paraId="21E5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3D9BD2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14:paraId="20419C01">
            <w:pPr>
              <w:autoSpaceDE w:val="0"/>
              <w:autoSpaceDN w:val="0"/>
              <w:adjustRightInd w:val="0"/>
              <w:spacing w:line="360" w:lineRule="auto"/>
              <w:jc w:val="center"/>
              <w:rPr>
                <w:rFonts w:ascii="宋体" w:hAnsi="宋体" w:cs="宋体"/>
                <w:color w:val="auto"/>
                <w:szCs w:val="21"/>
                <w:highlight w:val="none"/>
              </w:rPr>
            </w:pPr>
            <w:r>
              <w:rPr>
                <w:rFonts w:hint="eastAsia"/>
                <w:color w:val="auto"/>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1F27BFE1">
            <w:pPr>
              <w:snapToGrid w:val="0"/>
              <w:spacing w:line="360" w:lineRule="auto"/>
              <w:rPr>
                <w:rFonts w:ascii="黑体" w:hAnsi="黑体" w:eastAsia="黑体" w:cs="黑体"/>
                <w:color w:val="auto"/>
                <w:szCs w:val="21"/>
                <w:highlight w:val="none"/>
                <w:shd w:val="clear" w:color="auto" w:fill="FFFFFF"/>
              </w:rPr>
            </w:pPr>
            <w:r>
              <w:rPr>
                <w:rFonts w:hint="eastAsia" w:cs="Arial" w:asciiTheme="minorEastAsia" w:hAnsiTheme="minorEastAsia" w:eastAsiaTheme="minorEastAsia"/>
                <w:color w:val="auto"/>
                <w:szCs w:val="21"/>
                <w:highlight w:val="none"/>
              </w:rPr>
              <w:t>根据《政府采购促进中小企业发展管理办法》财库〔2020〕46号文件的规定，本项目不属于专门面向中小企业采购的项目。</w:t>
            </w:r>
          </w:p>
        </w:tc>
      </w:tr>
      <w:tr w14:paraId="20E2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49B07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14:paraId="7F7C4ADB">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60ED7A93">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1.项目属性（服务类）</w:t>
            </w:r>
          </w:p>
          <w:p w14:paraId="3CF76DF2">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2.中小企业划分标准所属行业（具体根据《中小企业划型标准规定》执行）</w:t>
            </w:r>
          </w:p>
          <w:p w14:paraId="3C1606C2">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采购标的：</w:t>
            </w:r>
            <w:r>
              <w:rPr>
                <w:rFonts w:hint="eastAsia" w:cs="Arial" w:asciiTheme="minorEastAsia" w:hAnsiTheme="minorEastAsia" w:eastAsiaTheme="minorEastAsia"/>
                <w:color w:val="auto"/>
                <w:szCs w:val="21"/>
                <w:highlight w:val="none"/>
                <w:u w:val="single"/>
                <w:lang w:eastAsia="zh-CN"/>
              </w:rPr>
              <w:t>和合文化专题等媒体传播项目</w:t>
            </w:r>
            <w:r>
              <w:rPr>
                <w:rFonts w:hint="eastAsia" w:cs="Arial" w:asciiTheme="minorEastAsia" w:hAnsiTheme="minorEastAsia" w:eastAsiaTheme="minorEastAsia"/>
                <w:color w:val="auto"/>
                <w:szCs w:val="21"/>
                <w:highlight w:val="none"/>
              </w:rPr>
              <w:t>，</w:t>
            </w:r>
          </w:p>
          <w:p w14:paraId="6F987609">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所属行业：</w:t>
            </w:r>
            <w:r>
              <w:rPr>
                <w:rFonts w:hint="eastAsia" w:ascii="宋体" w:hAnsi="宋体" w:cs="宋体"/>
                <w:color w:val="auto"/>
                <w:szCs w:val="21"/>
                <w:highlight w:val="none"/>
                <w:u w:val="single"/>
              </w:rPr>
              <w:t>（十六）其他未列明行业</w:t>
            </w:r>
            <w:r>
              <w:rPr>
                <w:rFonts w:hint="eastAsia" w:cs="Arial" w:asciiTheme="minorEastAsia" w:hAnsiTheme="minorEastAsia" w:eastAsiaTheme="minorEastAsia"/>
                <w:color w:val="auto"/>
                <w:szCs w:val="21"/>
                <w:highlight w:val="none"/>
              </w:rPr>
              <w:t>。</w:t>
            </w:r>
          </w:p>
          <w:p w14:paraId="49CC86CD">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79C0FF09">
            <w:pPr>
              <w:snapToGrid w:val="0"/>
              <w:spacing w:line="360" w:lineRule="auto"/>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9A0A923">
            <w:pPr>
              <w:snapToGrid w:val="0"/>
              <w:spacing w:line="360" w:lineRule="auto"/>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(注：未提供以上材料的，均不给予价格扣除）。</w:t>
            </w:r>
          </w:p>
        </w:tc>
      </w:tr>
      <w:tr w14:paraId="6D10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02978F84">
            <w:pPr>
              <w:spacing w:line="360" w:lineRule="auto"/>
              <w:jc w:val="center"/>
              <w:rPr>
                <w:rFonts w:ascii="宋体" w:hAnsi="宋体" w:cs="宋体"/>
                <w:color w:val="auto"/>
                <w:highlight w:val="none"/>
              </w:rPr>
            </w:pPr>
            <w:r>
              <w:rPr>
                <w:rFonts w:hint="eastAsia" w:ascii="宋体" w:hAnsi="宋体" w:cs="宋体"/>
                <w:color w:val="auto"/>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14:paraId="23B63812">
            <w:pPr>
              <w:spacing w:line="360" w:lineRule="auto"/>
              <w:jc w:val="center"/>
              <w:rPr>
                <w:rFonts w:ascii="宋体" w:hAnsi="宋体" w:cs="宋体"/>
                <w:color w:val="auto"/>
                <w:highlight w:val="none"/>
              </w:rPr>
            </w:pPr>
            <w:r>
              <w:rPr>
                <w:rFonts w:hint="eastAsia" w:ascii="宋体" w:hAnsi="宋体" w:cs="宋体"/>
                <w:color w:val="auto"/>
                <w:highlight w:val="none"/>
              </w:rPr>
              <w:t>质疑渠道</w:t>
            </w:r>
          </w:p>
        </w:tc>
        <w:tc>
          <w:tcPr>
            <w:tcW w:w="6501" w:type="dxa"/>
            <w:tcBorders>
              <w:top w:val="single" w:color="auto" w:sz="4" w:space="0"/>
              <w:left w:val="single" w:color="auto" w:sz="4" w:space="0"/>
              <w:bottom w:val="single" w:color="auto" w:sz="4" w:space="0"/>
              <w:right w:val="single" w:color="auto" w:sz="4" w:space="0"/>
            </w:tcBorders>
            <w:vAlign w:val="center"/>
          </w:tcPr>
          <w:p w14:paraId="45F36BF0">
            <w:pPr>
              <w:spacing w:line="360" w:lineRule="auto"/>
              <w:rPr>
                <w:rFonts w:ascii="宋体" w:hAnsi="宋体" w:cs="宋体"/>
                <w:color w:val="auto"/>
                <w:highlight w:val="none"/>
              </w:rPr>
            </w:pPr>
            <w:r>
              <w:rPr>
                <w:rFonts w:hint="eastAsia" w:ascii="宋体" w:hAnsi="宋体" w:cs="宋体"/>
                <w:color w:val="auto"/>
                <w:highlight w:val="none"/>
              </w:rPr>
              <w:t>政采云平台网上质疑系统。</w:t>
            </w:r>
          </w:p>
        </w:tc>
      </w:tr>
      <w:tr w14:paraId="0B60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D710F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14:paraId="3091359C">
            <w:pPr>
              <w:autoSpaceDE w:val="0"/>
              <w:autoSpaceDN w:val="0"/>
              <w:adjustRightInd w:val="0"/>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404B6AA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本项目招标代理服务费</w:t>
            </w:r>
            <w:r>
              <w:rPr>
                <w:rFonts w:hint="eastAsia" w:ascii="宋体" w:hAnsi="宋体" w:cs="宋体"/>
                <w:color w:val="auto"/>
                <w:szCs w:val="21"/>
                <w:highlight w:val="none"/>
                <w:lang w:val="en-US" w:eastAsia="zh-CN"/>
              </w:rPr>
              <w:t>18400</w:t>
            </w:r>
            <w:r>
              <w:rPr>
                <w:rFonts w:hint="eastAsia" w:ascii="宋体" w:hAnsi="宋体" w:cs="宋体"/>
                <w:color w:val="auto"/>
                <w:szCs w:val="21"/>
                <w:highlight w:val="none"/>
              </w:rPr>
              <w:t>元，由中标单位支付，请各供应商报价时综合考虑。</w:t>
            </w:r>
          </w:p>
        </w:tc>
      </w:tr>
      <w:tr w14:paraId="10CC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43FC88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14:paraId="0AAF3E08">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14:paraId="12984646">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▲”的条款是实质性条款，投标文件须作出实质性响应，否则作无效投标处理。</w:t>
            </w:r>
          </w:p>
        </w:tc>
      </w:tr>
      <w:tr w14:paraId="12B4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E5183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14:paraId="65A36B8F">
            <w:pPr>
              <w:autoSpaceDE w:val="0"/>
              <w:autoSpaceDN w:val="0"/>
              <w:adjustRightInd w:val="0"/>
              <w:spacing w:line="360" w:lineRule="auto"/>
              <w:jc w:val="center"/>
              <w:rPr>
                <w:rFonts w:ascii="宋体" w:hAnsi="宋体" w:cs="宋体"/>
                <w:color w:val="auto"/>
                <w:szCs w:val="21"/>
                <w:highlight w:val="none"/>
              </w:rPr>
            </w:pPr>
            <w:r>
              <w:rPr>
                <w:rFonts w:asciiTheme="minorEastAsia" w:hAnsiTheme="minorEastAsia" w:eastAsiaTheme="minorEastAsia"/>
                <w:color w:val="auto"/>
                <w:highlight w:val="none"/>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14:paraId="49406F19">
            <w:pPr>
              <w:autoSpaceDE w:val="0"/>
              <w:autoSpaceDN w:val="0"/>
              <w:adjustRightInd w:val="0"/>
              <w:spacing w:line="360" w:lineRule="auto"/>
              <w:rPr>
                <w:rFonts w:cs="宋体"/>
                <w:color w:val="auto"/>
                <w:szCs w:val="21"/>
                <w:highlight w:val="none"/>
              </w:rPr>
            </w:pPr>
            <w:r>
              <w:rPr>
                <w:rFonts w:hint="eastAsia" w:ascii="宋体" w:hAnsi="宋体" w:cs="宋体"/>
                <w:color w:val="auto"/>
                <w:szCs w:val="21"/>
                <w:highlight w:val="none"/>
              </w:rPr>
              <w:t>带“★”的条款是</w:t>
            </w:r>
            <w:r>
              <w:rPr>
                <w:rFonts w:asciiTheme="minorEastAsia" w:hAnsiTheme="minorEastAsia" w:eastAsiaTheme="minorEastAsia"/>
                <w:color w:val="auto"/>
                <w:highlight w:val="none"/>
              </w:rPr>
              <w:t>主要性能参数</w:t>
            </w:r>
            <w:r>
              <w:rPr>
                <w:rFonts w:hint="eastAsia" w:asciiTheme="minorEastAsia" w:hAnsiTheme="minorEastAsia" w:eastAsiaTheme="minorEastAsia"/>
                <w:color w:val="auto"/>
                <w:highlight w:val="none"/>
              </w:rPr>
              <w:t>。</w:t>
            </w:r>
          </w:p>
        </w:tc>
      </w:tr>
      <w:tr w14:paraId="487B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196AE9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14:paraId="2C912273">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4D6814FB">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包括电子邮件、信函、传真。</w:t>
            </w:r>
          </w:p>
        </w:tc>
      </w:tr>
      <w:tr w14:paraId="574D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14:paraId="5033C63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14:paraId="2CAE9E43">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16A08D8C">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本采购文件解释权属于采购人和采购组织机构</w:t>
            </w:r>
          </w:p>
        </w:tc>
      </w:tr>
    </w:tbl>
    <w:p w14:paraId="5F7711F8">
      <w:pPr>
        <w:pStyle w:val="13"/>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其他：政采贷服务、合同履约保函服务、预付款保函服务</w:t>
      </w:r>
    </w:p>
    <w:p w14:paraId="0D8FA58C">
      <w:pPr>
        <w:pStyle w:val="13"/>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根据监管部门通知，中标人可根据项目情况及自身需求向以下银行申请政采贷服务:</w:t>
      </w:r>
    </w:p>
    <w:tbl>
      <w:tblPr>
        <w:tblStyle w:val="24"/>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1305"/>
        <w:gridCol w:w="1476"/>
        <w:gridCol w:w="2632"/>
      </w:tblGrid>
      <w:tr w14:paraId="1F9C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72D8B753">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银行</w:t>
            </w:r>
          </w:p>
        </w:tc>
        <w:tc>
          <w:tcPr>
            <w:tcW w:w="1417" w:type="dxa"/>
            <w:noWrap/>
            <w:vAlign w:val="center"/>
          </w:tcPr>
          <w:p w14:paraId="48E6E03D">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贷款年利率</w:t>
            </w:r>
          </w:p>
        </w:tc>
        <w:tc>
          <w:tcPr>
            <w:tcW w:w="1605" w:type="dxa"/>
            <w:noWrap/>
            <w:vAlign w:val="center"/>
          </w:tcPr>
          <w:p w14:paraId="58F22BBF">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2880" w:type="dxa"/>
            <w:noWrap/>
            <w:vAlign w:val="center"/>
          </w:tcPr>
          <w:p w14:paraId="48FF14F3">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14:paraId="2427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7021C46A">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中国工商银行</w:t>
            </w:r>
          </w:p>
        </w:tc>
        <w:tc>
          <w:tcPr>
            <w:tcW w:w="1417" w:type="dxa"/>
            <w:noWrap/>
            <w:vAlign w:val="center"/>
          </w:tcPr>
          <w:p w14:paraId="52D2D388">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5" w:type="dxa"/>
            <w:noWrap/>
            <w:vAlign w:val="center"/>
          </w:tcPr>
          <w:p w14:paraId="70041BF3">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王霖</w:t>
            </w:r>
          </w:p>
        </w:tc>
        <w:tc>
          <w:tcPr>
            <w:tcW w:w="2880" w:type="dxa"/>
            <w:noWrap/>
            <w:vAlign w:val="center"/>
          </w:tcPr>
          <w:p w14:paraId="3B22B532">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88588246  13857654562</w:t>
            </w:r>
          </w:p>
        </w:tc>
      </w:tr>
      <w:tr w14:paraId="292F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7AFF5BBF">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中国农业银行</w:t>
            </w:r>
          </w:p>
        </w:tc>
        <w:tc>
          <w:tcPr>
            <w:tcW w:w="1417" w:type="dxa"/>
            <w:noWrap/>
            <w:vAlign w:val="center"/>
          </w:tcPr>
          <w:p w14:paraId="4D8C0F36">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5" w:type="dxa"/>
            <w:noWrap/>
            <w:vAlign w:val="center"/>
          </w:tcPr>
          <w:p w14:paraId="7C29A55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龚盛</w:t>
            </w:r>
          </w:p>
        </w:tc>
        <w:tc>
          <w:tcPr>
            <w:tcW w:w="2880" w:type="dxa"/>
            <w:noWrap/>
            <w:vAlign w:val="center"/>
          </w:tcPr>
          <w:p w14:paraId="2E505E1B">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15858682216</w:t>
            </w:r>
          </w:p>
        </w:tc>
      </w:tr>
      <w:tr w14:paraId="3701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0367EB8C">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中国建设银行</w:t>
            </w:r>
          </w:p>
        </w:tc>
        <w:tc>
          <w:tcPr>
            <w:tcW w:w="1417" w:type="dxa"/>
            <w:noWrap/>
            <w:vAlign w:val="center"/>
          </w:tcPr>
          <w:p w14:paraId="2ED38988">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3.8%起</w:t>
            </w:r>
          </w:p>
        </w:tc>
        <w:tc>
          <w:tcPr>
            <w:tcW w:w="1605" w:type="dxa"/>
            <w:noWrap/>
            <w:vAlign w:val="center"/>
          </w:tcPr>
          <w:p w14:paraId="575DE46F">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梅晶晶</w:t>
            </w:r>
          </w:p>
        </w:tc>
        <w:tc>
          <w:tcPr>
            <w:tcW w:w="2880" w:type="dxa"/>
            <w:noWrap/>
            <w:vAlign w:val="center"/>
          </w:tcPr>
          <w:p w14:paraId="3CB4DD81">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8852533913736585303</w:t>
            </w:r>
          </w:p>
        </w:tc>
      </w:tr>
      <w:tr w14:paraId="2C48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794BA9E5">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中国银行</w:t>
            </w:r>
          </w:p>
        </w:tc>
        <w:tc>
          <w:tcPr>
            <w:tcW w:w="1417" w:type="dxa"/>
            <w:noWrap/>
            <w:vAlign w:val="center"/>
          </w:tcPr>
          <w:p w14:paraId="77AB430D">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3.75%起</w:t>
            </w:r>
          </w:p>
        </w:tc>
        <w:tc>
          <w:tcPr>
            <w:tcW w:w="1605" w:type="dxa"/>
            <w:noWrap/>
            <w:vAlign w:val="center"/>
          </w:tcPr>
          <w:p w14:paraId="55214958">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任茜</w:t>
            </w:r>
          </w:p>
        </w:tc>
        <w:tc>
          <w:tcPr>
            <w:tcW w:w="2880" w:type="dxa"/>
            <w:noWrap/>
            <w:vAlign w:val="center"/>
          </w:tcPr>
          <w:p w14:paraId="57427522">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13857695378</w:t>
            </w:r>
          </w:p>
        </w:tc>
      </w:tr>
      <w:tr w14:paraId="0DEA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2AC599B6">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浦发银行台州分行</w:t>
            </w:r>
          </w:p>
        </w:tc>
        <w:tc>
          <w:tcPr>
            <w:tcW w:w="1417" w:type="dxa"/>
            <w:noWrap/>
            <w:vAlign w:val="center"/>
          </w:tcPr>
          <w:p w14:paraId="050BC75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5" w:type="dxa"/>
            <w:noWrap/>
            <w:vAlign w:val="center"/>
          </w:tcPr>
          <w:p w14:paraId="3CACC21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王渊</w:t>
            </w:r>
          </w:p>
        </w:tc>
        <w:tc>
          <w:tcPr>
            <w:tcW w:w="2880" w:type="dxa"/>
            <w:noWrap/>
            <w:vAlign w:val="center"/>
          </w:tcPr>
          <w:p w14:paraId="1C2311D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13616676319</w:t>
            </w:r>
          </w:p>
        </w:tc>
      </w:tr>
      <w:tr w14:paraId="728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10114C22">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浦发银行椒江分行</w:t>
            </w:r>
          </w:p>
        </w:tc>
        <w:tc>
          <w:tcPr>
            <w:tcW w:w="1417" w:type="dxa"/>
            <w:noWrap/>
            <w:vAlign w:val="center"/>
          </w:tcPr>
          <w:p w14:paraId="6639501D">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5" w:type="dxa"/>
            <w:noWrap/>
            <w:vAlign w:val="center"/>
          </w:tcPr>
          <w:p w14:paraId="667603D2">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孙瑞华</w:t>
            </w:r>
          </w:p>
        </w:tc>
        <w:tc>
          <w:tcPr>
            <w:tcW w:w="2880" w:type="dxa"/>
            <w:noWrap/>
            <w:vAlign w:val="center"/>
          </w:tcPr>
          <w:p w14:paraId="02FB915D">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13857688081</w:t>
            </w:r>
          </w:p>
        </w:tc>
      </w:tr>
      <w:tr w14:paraId="7654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0CA0117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交通银行台州分行</w:t>
            </w:r>
          </w:p>
        </w:tc>
        <w:tc>
          <w:tcPr>
            <w:tcW w:w="1417" w:type="dxa"/>
            <w:noWrap/>
            <w:vAlign w:val="center"/>
          </w:tcPr>
          <w:p w14:paraId="3231544C">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3.75%起</w:t>
            </w:r>
          </w:p>
        </w:tc>
        <w:tc>
          <w:tcPr>
            <w:tcW w:w="1605" w:type="dxa"/>
            <w:noWrap/>
            <w:vAlign w:val="center"/>
          </w:tcPr>
          <w:p w14:paraId="5E1E5801">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周翔宇</w:t>
            </w:r>
          </w:p>
        </w:tc>
        <w:tc>
          <w:tcPr>
            <w:tcW w:w="2880" w:type="dxa"/>
            <w:noWrap/>
            <w:vAlign w:val="center"/>
          </w:tcPr>
          <w:p w14:paraId="047C5BEB">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13867697018</w:t>
            </w:r>
          </w:p>
        </w:tc>
      </w:tr>
      <w:tr w14:paraId="4E47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6CD78D3D">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招商银行台州分行</w:t>
            </w:r>
          </w:p>
        </w:tc>
        <w:tc>
          <w:tcPr>
            <w:tcW w:w="1417" w:type="dxa"/>
            <w:noWrap/>
            <w:vAlign w:val="center"/>
          </w:tcPr>
          <w:p w14:paraId="5DD5195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4.32%起</w:t>
            </w:r>
          </w:p>
        </w:tc>
        <w:tc>
          <w:tcPr>
            <w:tcW w:w="1605" w:type="dxa"/>
            <w:noWrap/>
            <w:vAlign w:val="center"/>
          </w:tcPr>
          <w:p w14:paraId="7BACBAF5">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王海玲</w:t>
            </w:r>
          </w:p>
        </w:tc>
        <w:tc>
          <w:tcPr>
            <w:tcW w:w="2880" w:type="dxa"/>
            <w:noWrap/>
            <w:vAlign w:val="center"/>
          </w:tcPr>
          <w:p w14:paraId="7ED51B6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13566413827</w:t>
            </w:r>
          </w:p>
        </w:tc>
      </w:tr>
      <w:tr w14:paraId="7D96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29E3ED4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浙商银行台州分行</w:t>
            </w:r>
          </w:p>
        </w:tc>
        <w:tc>
          <w:tcPr>
            <w:tcW w:w="1417" w:type="dxa"/>
            <w:noWrap/>
            <w:vAlign w:val="center"/>
          </w:tcPr>
          <w:p w14:paraId="11A4D22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5.01%起</w:t>
            </w:r>
          </w:p>
        </w:tc>
        <w:tc>
          <w:tcPr>
            <w:tcW w:w="1605" w:type="dxa"/>
            <w:noWrap/>
            <w:vAlign w:val="center"/>
          </w:tcPr>
          <w:p w14:paraId="0D78365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章涉漪</w:t>
            </w:r>
          </w:p>
        </w:tc>
        <w:tc>
          <w:tcPr>
            <w:tcW w:w="2880" w:type="dxa"/>
            <w:noWrap/>
            <w:vAlign w:val="center"/>
          </w:tcPr>
          <w:p w14:paraId="0EDC2F54">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8188018513606681262</w:t>
            </w:r>
          </w:p>
        </w:tc>
      </w:tr>
      <w:tr w14:paraId="1186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3743E484">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中信银行台州分行</w:t>
            </w:r>
          </w:p>
        </w:tc>
        <w:tc>
          <w:tcPr>
            <w:tcW w:w="1417" w:type="dxa"/>
            <w:noWrap/>
            <w:vAlign w:val="center"/>
          </w:tcPr>
          <w:p w14:paraId="0E9027E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4.15%起</w:t>
            </w:r>
          </w:p>
        </w:tc>
        <w:tc>
          <w:tcPr>
            <w:tcW w:w="1605" w:type="dxa"/>
            <w:noWrap/>
            <w:vAlign w:val="center"/>
          </w:tcPr>
          <w:p w14:paraId="32D546DB">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陈金园</w:t>
            </w:r>
          </w:p>
        </w:tc>
        <w:tc>
          <w:tcPr>
            <w:tcW w:w="2880" w:type="dxa"/>
            <w:noWrap/>
            <w:vAlign w:val="center"/>
          </w:tcPr>
          <w:p w14:paraId="3B0AB61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13586052161</w:t>
            </w:r>
          </w:p>
        </w:tc>
      </w:tr>
      <w:tr w14:paraId="6969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6317A18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华夏银行台州分行</w:t>
            </w:r>
          </w:p>
        </w:tc>
        <w:tc>
          <w:tcPr>
            <w:tcW w:w="1417" w:type="dxa"/>
            <w:noWrap/>
            <w:vAlign w:val="center"/>
          </w:tcPr>
          <w:p w14:paraId="3F24C49F">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4.5%起</w:t>
            </w:r>
          </w:p>
        </w:tc>
        <w:tc>
          <w:tcPr>
            <w:tcW w:w="1605" w:type="dxa"/>
            <w:noWrap/>
            <w:vAlign w:val="center"/>
          </w:tcPr>
          <w:p w14:paraId="6CEE21E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邱明达</w:t>
            </w:r>
          </w:p>
        </w:tc>
        <w:tc>
          <w:tcPr>
            <w:tcW w:w="2880" w:type="dxa"/>
            <w:noWrap/>
            <w:vAlign w:val="center"/>
          </w:tcPr>
          <w:p w14:paraId="69D8C9D1">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8187151813736252233</w:t>
            </w:r>
          </w:p>
        </w:tc>
      </w:tr>
      <w:tr w14:paraId="588C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0237C7E4">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泰隆银行开发区支行</w:t>
            </w:r>
          </w:p>
        </w:tc>
        <w:tc>
          <w:tcPr>
            <w:tcW w:w="1417" w:type="dxa"/>
            <w:noWrap/>
            <w:vAlign w:val="center"/>
          </w:tcPr>
          <w:p w14:paraId="6715E599">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5.6%起</w:t>
            </w:r>
          </w:p>
        </w:tc>
        <w:tc>
          <w:tcPr>
            <w:tcW w:w="1605" w:type="dxa"/>
            <w:noWrap/>
            <w:vAlign w:val="center"/>
          </w:tcPr>
          <w:p w14:paraId="0181C026">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梁宛莉</w:t>
            </w:r>
          </w:p>
        </w:tc>
        <w:tc>
          <w:tcPr>
            <w:tcW w:w="2880" w:type="dxa"/>
            <w:noWrap/>
            <w:vAlign w:val="center"/>
          </w:tcPr>
          <w:p w14:paraId="092C0EF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13306869100</w:t>
            </w:r>
          </w:p>
        </w:tc>
      </w:tr>
      <w:tr w14:paraId="1432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2A2A1CEC">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民泰银行椒江支行</w:t>
            </w:r>
          </w:p>
        </w:tc>
        <w:tc>
          <w:tcPr>
            <w:tcW w:w="1417" w:type="dxa"/>
            <w:noWrap/>
            <w:vAlign w:val="center"/>
          </w:tcPr>
          <w:p w14:paraId="2CABF8D6">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5.8%起</w:t>
            </w:r>
          </w:p>
        </w:tc>
        <w:tc>
          <w:tcPr>
            <w:tcW w:w="1605" w:type="dxa"/>
            <w:noWrap/>
            <w:vAlign w:val="center"/>
          </w:tcPr>
          <w:p w14:paraId="6D5DCEEC">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陈慧珠</w:t>
            </w:r>
          </w:p>
        </w:tc>
        <w:tc>
          <w:tcPr>
            <w:tcW w:w="2880" w:type="dxa"/>
            <w:noWrap/>
            <w:vAlign w:val="center"/>
          </w:tcPr>
          <w:p w14:paraId="6A1AC54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13857699669</w:t>
            </w:r>
          </w:p>
        </w:tc>
      </w:tr>
      <w:tr w14:paraId="2615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53F120C3">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绍兴银行台州分行</w:t>
            </w:r>
          </w:p>
        </w:tc>
        <w:tc>
          <w:tcPr>
            <w:tcW w:w="1417" w:type="dxa"/>
            <w:noWrap/>
            <w:vAlign w:val="center"/>
          </w:tcPr>
          <w:p w14:paraId="009C102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5.1%起</w:t>
            </w:r>
          </w:p>
        </w:tc>
        <w:tc>
          <w:tcPr>
            <w:tcW w:w="1605" w:type="dxa"/>
            <w:noWrap/>
            <w:vAlign w:val="center"/>
          </w:tcPr>
          <w:p w14:paraId="4A06ECF3">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郭庭斌</w:t>
            </w:r>
          </w:p>
        </w:tc>
        <w:tc>
          <w:tcPr>
            <w:tcW w:w="2880" w:type="dxa"/>
            <w:noWrap/>
            <w:vAlign w:val="center"/>
          </w:tcPr>
          <w:p w14:paraId="52A90BE1">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15958633119</w:t>
            </w:r>
          </w:p>
        </w:tc>
      </w:tr>
      <w:tr w14:paraId="7553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3B1E1D2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温州银行台州分行</w:t>
            </w:r>
          </w:p>
        </w:tc>
        <w:tc>
          <w:tcPr>
            <w:tcW w:w="1417" w:type="dxa"/>
            <w:noWrap/>
            <w:vAlign w:val="center"/>
          </w:tcPr>
          <w:p w14:paraId="20305C42">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4.55%起</w:t>
            </w:r>
          </w:p>
        </w:tc>
        <w:tc>
          <w:tcPr>
            <w:tcW w:w="1605" w:type="dxa"/>
            <w:noWrap/>
            <w:vAlign w:val="center"/>
          </w:tcPr>
          <w:p w14:paraId="775200A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王晓波</w:t>
            </w:r>
          </w:p>
        </w:tc>
        <w:tc>
          <w:tcPr>
            <w:tcW w:w="2880" w:type="dxa"/>
            <w:noWrap/>
            <w:vAlign w:val="center"/>
          </w:tcPr>
          <w:p w14:paraId="7D0EFF84">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15824005475</w:t>
            </w:r>
          </w:p>
        </w:tc>
      </w:tr>
      <w:tr w14:paraId="19E5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221BEE3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平安银行台州分行</w:t>
            </w:r>
          </w:p>
        </w:tc>
        <w:tc>
          <w:tcPr>
            <w:tcW w:w="1417" w:type="dxa"/>
            <w:noWrap/>
            <w:vAlign w:val="center"/>
          </w:tcPr>
          <w:p w14:paraId="00D44005">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6.53%起</w:t>
            </w:r>
          </w:p>
        </w:tc>
        <w:tc>
          <w:tcPr>
            <w:tcW w:w="1605" w:type="dxa"/>
            <w:noWrap/>
            <w:vAlign w:val="center"/>
          </w:tcPr>
          <w:p w14:paraId="42803053">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李俊丽</w:t>
            </w:r>
          </w:p>
        </w:tc>
        <w:tc>
          <w:tcPr>
            <w:tcW w:w="2880" w:type="dxa"/>
            <w:noWrap/>
            <w:vAlign w:val="center"/>
          </w:tcPr>
          <w:p w14:paraId="2B4299D5">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15906861025</w:t>
            </w:r>
          </w:p>
        </w:tc>
      </w:tr>
      <w:tr w14:paraId="0787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05AF289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宁波银行台州分行</w:t>
            </w:r>
          </w:p>
        </w:tc>
        <w:tc>
          <w:tcPr>
            <w:tcW w:w="1417" w:type="dxa"/>
            <w:noWrap/>
            <w:vAlign w:val="center"/>
          </w:tcPr>
          <w:p w14:paraId="26AD3B5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4.35%起</w:t>
            </w:r>
          </w:p>
        </w:tc>
        <w:tc>
          <w:tcPr>
            <w:tcW w:w="1605" w:type="dxa"/>
            <w:noWrap/>
            <w:vAlign w:val="center"/>
          </w:tcPr>
          <w:p w14:paraId="0CEBD93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戴莉丽</w:t>
            </w:r>
          </w:p>
        </w:tc>
        <w:tc>
          <w:tcPr>
            <w:tcW w:w="2880" w:type="dxa"/>
            <w:noWrap/>
            <w:vAlign w:val="center"/>
          </w:tcPr>
          <w:p w14:paraId="7977977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13566627207</w:t>
            </w:r>
          </w:p>
        </w:tc>
      </w:tr>
      <w:tr w14:paraId="3B92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0A3EFA01">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金华银行台州分行</w:t>
            </w:r>
          </w:p>
        </w:tc>
        <w:tc>
          <w:tcPr>
            <w:tcW w:w="1417" w:type="dxa"/>
            <w:noWrap/>
            <w:vAlign w:val="center"/>
          </w:tcPr>
          <w:p w14:paraId="7907BB45">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4.05%起</w:t>
            </w:r>
          </w:p>
        </w:tc>
        <w:tc>
          <w:tcPr>
            <w:tcW w:w="1605" w:type="dxa"/>
            <w:noWrap/>
            <w:vAlign w:val="center"/>
          </w:tcPr>
          <w:p w14:paraId="37082AC3">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金雪婷</w:t>
            </w:r>
          </w:p>
        </w:tc>
        <w:tc>
          <w:tcPr>
            <w:tcW w:w="2880" w:type="dxa"/>
            <w:noWrap/>
            <w:vAlign w:val="center"/>
          </w:tcPr>
          <w:p w14:paraId="5C3C3F7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8188667015968661569</w:t>
            </w:r>
          </w:p>
        </w:tc>
      </w:tr>
      <w:tr w14:paraId="488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52FCA1AC">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台州银行</w:t>
            </w:r>
          </w:p>
        </w:tc>
        <w:tc>
          <w:tcPr>
            <w:tcW w:w="1417" w:type="dxa"/>
            <w:noWrap/>
            <w:vAlign w:val="center"/>
          </w:tcPr>
          <w:p w14:paraId="50EE16E9">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5.6%起</w:t>
            </w:r>
          </w:p>
        </w:tc>
        <w:tc>
          <w:tcPr>
            <w:tcW w:w="1605" w:type="dxa"/>
            <w:noWrap/>
            <w:vAlign w:val="center"/>
          </w:tcPr>
          <w:p w14:paraId="32566806">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洪婷</w:t>
            </w:r>
          </w:p>
        </w:tc>
        <w:tc>
          <w:tcPr>
            <w:tcW w:w="2880" w:type="dxa"/>
            <w:noWrap/>
            <w:vAlign w:val="center"/>
          </w:tcPr>
          <w:p w14:paraId="6868BBA3">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15858624999</w:t>
            </w:r>
          </w:p>
        </w:tc>
      </w:tr>
      <w:tr w14:paraId="7665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3" w:type="dxa"/>
            <w:noWrap/>
            <w:vAlign w:val="center"/>
          </w:tcPr>
          <w:p w14:paraId="404C24E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邮储银行台州分行</w:t>
            </w:r>
          </w:p>
        </w:tc>
        <w:tc>
          <w:tcPr>
            <w:tcW w:w="1417" w:type="dxa"/>
            <w:noWrap/>
            <w:vAlign w:val="center"/>
          </w:tcPr>
          <w:p w14:paraId="28116B1D">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3.85%起</w:t>
            </w:r>
          </w:p>
        </w:tc>
        <w:tc>
          <w:tcPr>
            <w:tcW w:w="1605" w:type="dxa"/>
            <w:noWrap/>
            <w:vAlign w:val="center"/>
          </w:tcPr>
          <w:p w14:paraId="2F7A48BD">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董庆</w:t>
            </w:r>
          </w:p>
        </w:tc>
        <w:tc>
          <w:tcPr>
            <w:tcW w:w="2880" w:type="dxa"/>
            <w:noWrap/>
            <w:vAlign w:val="center"/>
          </w:tcPr>
          <w:p w14:paraId="2ED4C515">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8188898218957683735</w:t>
            </w:r>
          </w:p>
        </w:tc>
      </w:tr>
    </w:tbl>
    <w:p w14:paraId="493B8CD2">
      <w:pPr>
        <w:pStyle w:val="13"/>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合同履约保函联系方式</w:t>
      </w:r>
    </w:p>
    <w:tbl>
      <w:tblPr>
        <w:tblStyle w:val="24"/>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9"/>
        <w:gridCol w:w="1500"/>
        <w:gridCol w:w="1337"/>
        <w:gridCol w:w="1338"/>
      </w:tblGrid>
      <w:tr w14:paraId="33F5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50" w:type="dxa"/>
            <w:noWrap/>
            <w:vAlign w:val="center"/>
          </w:tcPr>
          <w:p w14:paraId="15F5B0A4">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保险公司名称</w:t>
            </w:r>
          </w:p>
        </w:tc>
        <w:tc>
          <w:tcPr>
            <w:tcW w:w="1635" w:type="dxa"/>
            <w:noWrap/>
            <w:vAlign w:val="center"/>
          </w:tcPr>
          <w:p w14:paraId="73CF2F4F">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保费率</w:t>
            </w:r>
          </w:p>
        </w:tc>
        <w:tc>
          <w:tcPr>
            <w:tcW w:w="1455" w:type="dxa"/>
            <w:noWrap/>
            <w:vAlign w:val="center"/>
          </w:tcPr>
          <w:p w14:paraId="23899A4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1455" w:type="dxa"/>
            <w:noWrap/>
            <w:vAlign w:val="center"/>
          </w:tcPr>
          <w:p w14:paraId="118E5796">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14:paraId="0BD5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14:paraId="1270F9EA">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中国人寿财产保险股份有限公司台州中心支公司</w:t>
            </w:r>
          </w:p>
        </w:tc>
        <w:tc>
          <w:tcPr>
            <w:tcW w:w="1635" w:type="dxa"/>
            <w:noWrap/>
            <w:vAlign w:val="center"/>
          </w:tcPr>
          <w:p w14:paraId="0978B0F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55" w:type="dxa"/>
            <w:noWrap/>
            <w:vAlign w:val="center"/>
          </w:tcPr>
          <w:p w14:paraId="4F4F32C1">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徐凌</w:t>
            </w:r>
          </w:p>
        </w:tc>
        <w:tc>
          <w:tcPr>
            <w:tcW w:w="1455" w:type="dxa"/>
            <w:noWrap/>
            <w:vAlign w:val="center"/>
          </w:tcPr>
          <w:p w14:paraId="4E50D998">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13905168070</w:t>
            </w:r>
          </w:p>
        </w:tc>
      </w:tr>
      <w:tr w14:paraId="3234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14:paraId="7436547A">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永诚财产保险股份有限公司台州分公司</w:t>
            </w:r>
          </w:p>
        </w:tc>
        <w:tc>
          <w:tcPr>
            <w:tcW w:w="1635" w:type="dxa"/>
            <w:noWrap/>
            <w:vAlign w:val="center"/>
          </w:tcPr>
          <w:p w14:paraId="490DFA82">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年费率1%，最低保费1000元</w:t>
            </w:r>
          </w:p>
        </w:tc>
        <w:tc>
          <w:tcPr>
            <w:tcW w:w="1455" w:type="dxa"/>
            <w:noWrap/>
            <w:vAlign w:val="center"/>
          </w:tcPr>
          <w:p w14:paraId="23B22171">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尹刚强</w:t>
            </w:r>
          </w:p>
        </w:tc>
        <w:tc>
          <w:tcPr>
            <w:tcW w:w="1455" w:type="dxa"/>
            <w:noWrap/>
            <w:vAlign w:val="center"/>
          </w:tcPr>
          <w:p w14:paraId="323B8EEA">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13750668184</w:t>
            </w:r>
          </w:p>
        </w:tc>
      </w:tr>
      <w:tr w14:paraId="27AE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14:paraId="34DFBE76">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华泰财产保险有限公司台州中心支公司</w:t>
            </w:r>
          </w:p>
        </w:tc>
        <w:tc>
          <w:tcPr>
            <w:tcW w:w="1635" w:type="dxa"/>
            <w:noWrap/>
            <w:vAlign w:val="center"/>
          </w:tcPr>
          <w:p w14:paraId="7258D9BC">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年费率0.5%，最低保费1000元</w:t>
            </w:r>
          </w:p>
        </w:tc>
        <w:tc>
          <w:tcPr>
            <w:tcW w:w="1455" w:type="dxa"/>
            <w:noWrap/>
            <w:vAlign w:val="center"/>
          </w:tcPr>
          <w:p w14:paraId="05572E88">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王灵芳</w:t>
            </w:r>
          </w:p>
        </w:tc>
        <w:tc>
          <w:tcPr>
            <w:tcW w:w="1455" w:type="dxa"/>
            <w:noWrap/>
            <w:vAlign w:val="center"/>
          </w:tcPr>
          <w:p w14:paraId="05737A99">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88869818 13586123199</w:t>
            </w:r>
          </w:p>
        </w:tc>
      </w:tr>
      <w:tr w14:paraId="7B8D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14:paraId="6C2B0E7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中国大地财产保险股份有限公司台州中心支公司</w:t>
            </w:r>
          </w:p>
        </w:tc>
        <w:tc>
          <w:tcPr>
            <w:tcW w:w="1635" w:type="dxa"/>
            <w:noWrap/>
            <w:vAlign w:val="center"/>
          </w:tcPr>
          <w:p w14:paraId="594766C8">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年费率1.5%，最低保费1000元</w:t>
            </w:r>
          </w:p>
        </w:tc>
        <w:tc>
          <w:tcPr>
            <w:tcW w:w="1455" w:type="dxa"/>
            <w:noWrap/>
            <w:vAlign w:val="center"/>
          </w:tcPr>
          <w:p w14:paraId="4F83645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徐小明</w:t>
            </w:r>
          </w:p>
        </w:tc>
        <w:tc>
          <w:tcPr>
            <w:tcW w:w="1455" w:type="dxa"/>
            <w:noWrap/>
            <w:vAlign w:val="center"/>
          </w:tcPr>
          <w:p w14:paraId="3E5D2AD2">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88552788      13968603112</w:t>
            </w:r>
          </w:p>
        </w:tc>
      </w:tr>
      <w:tr w14:paraId="0C37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14:paraId="47AE828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阳光保险台州中心支公司</w:t>
            </w:r>
          </w:p>
        </w:tc>
        <w:tc>
          <w:tcPr>
            <w:tcW w:w="1635" w:type="dxa"/>
            <w:noWrap/>
            <w:vAlign w:val="center"/>
          </w:tcPr>
          <w:p w14:paraId="63920E78">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55" w:type="dxa"/>
            <w:noWrap/>
            <w:vAlign w:val="center"/>
          </w:tcPr>
          <w:p w14:paraId="764A215C">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林高明</w:t>
            </w:r>
          </w:p>
        </w:tc>
        <w:tc>
          <w:tcPr>
            <w:tcW w:w="1455" w:type="dxa"/>
            <w:noWrap/>
            <w:vAlign w:val="center"/>
          </w:tcPr>
          <w:p w14:paraId="3DD3DF4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15888682693</w:t>
            </w:r>
          </w:p>
        </w:tc>
      </w:tr>
      <w:tr w14:paraId="333B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14:paraId="5FECEE56">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中华联合财产保险股份有限公司台州中心支公司</w:t>
            </w:r>
          </w:p>
        </w:tc>
        <w:tc>
          <w:tcPr>
            <w:tcW w:w="1635" w:type="dxa"/>
            <w:noWrap/>
            <w:vAlign w:val="center"/>
          </w:tcPr>
          <w:p w14:paraId="73A0324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年费率2%，最低保费500元</w:t>
            </w:r>
          </w:p>
        </w:tc>
        <w:tc>
          <w:tcPr>
            <w:tcW w:w="1455" w:type="dxa"/>
            <w:noWrap/>
            <w:vAlign w:val="center"/>
          </w:tcPr>
          <w:p w14:paraId="0A5DF218">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王仙高</w:t>
            </w:r>
          </w:p>
        </w:tc>
        <w:tc>
          <w:tcPr>
            <w:tcW w:w="1455" w:type="dxa"/>
            <w:noWrap/>
            <w:vAlign w:val="center"/>
          </w:tcPr>
          <w:p w14:paraId="649647C5">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13858600221</w:t>
            </w:r>
          </w:p>
        </w:tc>
      </w:tr>
      <w:tr w14:paraId="1A49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14:paraId="6CAFC43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中国人民财产保险股份有限公司台州中心支公司</w:t>
            </w:r>
          </w:p>
        </w:tc>
        <w:tc>
          <w:tcPr>
            <w:tcW w:w="1635" w:type="dxa"/>
            <w:noWrap/>
            <w:vAlign w:val="center"/>
          </w:tcPr>
          <w:p w14:paraId="15D16822">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年费率0.3%，最低保费1000元</w:t>
            </w:r>
          </w:p>
        </w:tc>
        <w:tc>
          <w:tcPr>
            <w:tcW w:w="1455" w:type="dxa"/>
            <w:noWrap/>
            <w:vAlign w:val="center"/>
          </w:tcPr>
          <w:p w14:paraId="33EF8EA7">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王仙春</w:t>
            </w:r>
          </w:p>
        </w:tc>
        <w:tc>
          <w:tcPr>
            <w:tcW w:w="1455" w:type="dxa"/>
            <w:noWrap/>
            <w:vAlign w:val="center"/>
          </w:tcPr>
          <w:p w14:paraId="415F95E4">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13515769179</w:t>
            </w:r>
          </w:p>
        </w:tc>
      </w:tr>
      <w:tr w14:paraId="1BEA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0" w:type="dxa"/>
            <w:noWrap/>
            <w:vAlign w:val="center"/>
          </w:tcPr>
          <w:p w14:paraId="2DA1C21D">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永安财产保险股份有限公司台州中心支公司</w:t>
            </w:r>
          </w:p>
        </w:tc>
        <w:tc>
          <w:tcPr>
            <w:tcW w:w="1635" w:type="dxa"/>
            <w:noWrap/>
            <w:vAlign w:val="center"/>
          </w:tcPr>
          <w:p w14:paraId="3E406C43">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年费率0.3%，最低保费1000元</w:t>
            </w:r>
          </w:p>
        </w:tc>
        <w:tc>
          <w:tcPr>
            <w:tcW w:w="1455" w:type="dxa"/>
            <w:noWrap/>
            <w:vAlign w:val="center"/>
          </w:tcPr>
          <w:p w14:paraId="5957CE90">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王春宇</w:t>
            </w:r>
          </w:p>
        </w:tc>
        <w:tc>
          <w:tcPr>
            <w:tcW w:w="1455" w:type="dxa"/>
            <w:noWrap/>
            <w:vAlign w:val="center"/>
          </w:tcPr>
          <w:p w14:paraId="7D8A0BDE">
            <w:pPr>
              <w:pStyle w:val="13"/>
              <w:snapToGrid w:val="0"/>
              <w:spacing w:line="360" w:lineRule="auto"/>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13676675331</w:t>
            </w:r>
          </w:p>
        </w:tc>
      </w:tr>
    </w:tbl>
    <w:p w14:paraId="39A7A320">
      <w:pPr>
        <w:pStyle w:val="13"/>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预付款保函联系方式</w:t>
      </w:r>
    </w:p>
    <w:tbl>
      <w:tblPr>
        <w:tblStyle w:val="2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1650"/>
        <w:gridCol w:w="1440"/>
        <w:gridCol w:w="1470"/>
      </w:tblGrid>
      <w:tr w14:paraId="6680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650" w:type="dxa"/>
            <w:noWrap/>
            <w:vAlign w:val="center"/>
          </w:tcPr>
          <w:p w14:paraId="746044FB">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保险公司名称</w:t>
            </w:r>
          </w:p>
        </w:tc>
        <w:tc>
          <w:tcPr>
            <w:tcW w:w="1650" w:type="dxa"/>
            <w:noWrap/>
            <w:vAlign w:val="center"/>
          </w:tcPr>
          <w:p w14:paraId="2610665D">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保费率</w:t>
            </w:r>
          </w:p>
        </w:tc>
        <w:tc>
          <w:tcPr>
            <w:tcW w:w="1440" w:type="dxa"/>
            <w:noWrap/>
            <w:vAlign w:val="center"/>
          </w:tcPr>
          <w:p w14:paraId="1C25C44E">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联系人</w:t>
            </w:r>
          </w:p>
        </w:tc>
        <w:tc>
          <w:tcPr>
            <w:tcW w:w="1470" w:type="dxa"/>
            <w:noWrap/>
            <w:vAlign w:val="center"/>
          </w:tcPr>
          <w:p w14:paraId="12DA6369">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联系电话</w:t>
            </w:r>
          </w:p>
        </w:tc>
      </w:tr>
      <w:tr w14:paraId="5113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jc w:val="center"/>
        </w:trPr>
        <w:tc>
          <w:tcPr>
            <w:tcW w:w="4650" w:type="dxa"/>
            <w:noWrap/>
          </w:tcPr>
          <w:p w14:paraId="2989780B">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中国人寿财产保险股份有限公司台州中心支公司</w:t>
            </w:r>
          </w:p>
        </w:tc>
        <w:tc>
          <w:tcPr>
            <w:tcW w:w="1650" w:type="dxa"/>
            <w:noWrap/>
          </w:tcPr>
          <w:p w14:paraId="0576CECB">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年费率3%，最低保费500元</w:t>
            </w:r>
          </w:p>
        </w:tc>
        <w:tc>
          <w:tcPr>
            <w:tcW w:w="1440" w:type="dxa"/>
            <w:noWrap/>
          </w:tcPr>
          <w:p w14:paraId="60354665">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徐凌</w:t>
            </w:r>
          </w:p>
        </w:tc>
        <w:tc>
          <w:tcPr>
            <w:tcW w:w="1470" w:type="dxa"/>
            <w:noWrap/>
          </w:tcPr>
          <w:p w14:paraId="50F933BD">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13905168070</w:t>
            </w:r>
          </w:p>
        </w:tc>
      </w:tr>
      <w:tr w14:paraId="4BF6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650" w:type="dxa"/>
            <w:noWrap/>
          </w:tcPr>
          <w:p w14:paraId="5299C7E3">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阳光保险台州中心支公司</w:t>
            </w:r>
          </w:p>
        </w:tc>
        <w:tc>
          <w:tcPr>
            <w:tcW w:w="1650" w:type="dxa"/>
            <w:noWrap/>
          </w:tcPr>
          <w:p w14:paraId="114C7537">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年费率1%，最低保费500元</w:t>
            </w:r>
          </w:p>
        </w:tc>
        <w:tc>
          <w:tcPr>
            <w:tcW w:w="1440" w:type="dxa"/>
            <w:noWrap/>
          </w:tcPr>
          <w:p w14:paraId="14AD65BA">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林高明</w:t>
            </w:r>
          </w:p>
        </w:tc>
        <w:tc>
          <w:tcPr>
            <w:tcW w:w="1470" w:type="dxa"/>
            <w:noWrap/>
          </w:tcPr>
          <w:p w14:paraId="5215EC5D">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15888682693</w:t>
            </w:r>
          </w:p>
        </w:tc>
      </w:tr>
      <w:tr w14:paraId="4B85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650" w:type="dxa"/>
            <w:noWrap/>
          </w:tcPr>
          <w:p w14:paraId="4588D945">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天安财产保险股份有限公司台州中心支公司</w:t>
            </w:r>
          </w:p>
        </w:tc>
        <w:tc>
          <w:tcPr>
            <w:tcW w:w="1650" w:type="dxa"/>
            <w:noWrap/>
          </w:tcPr>
          <w:p w14:paraId="0556871D">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年费率1%-2%，最低保费500元</w:t>
            </w:r>
          </w:p>
        </w:tc>
        <w:tc>
          <w:tcPr>
            <w:tcW w:w="1440" w:type="dxa"/>
            <w:noWrap/>
          </w:tcPr>
          <w:p w14:paraId="68BF8D59">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罗赛</w:t>
            </w:r>
          </w:p>
        </w:tc>
        <w:tc>
          <w:tcPr>
            <w:tcW w:w="1470" w:type="dxa"/>
            <w:noWrap/>
          </w:tcPr>
          <w:p w14:paraId="2005443C">
            <w:pPr>
              <w:pStyle w:val="13"/>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13736605643</w:t>
            </w:r>
          </w:p>
        </w:tc>
      </w:tr>
    </w:tbl>
    <w:p w14:paraId="18FD26AD">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14:paraId="7B7D3008">
      <w:pPr>
        <w:pStyle w:val="14"/>
        <w:numPr>
          <w:ilvl w:val="0"/>
          <w:numId w:val="6"/>
        </w:numPr>
        <w:spacing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总则</w:t>
      </w:r>
    </w:p>
    <w:p w14:paraId="77D09A9A">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6DA71B80">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投标供应商</w:t>
      </w:r>
      <w:r>
        <w:rPr>
          <w:rFonts w:hint="eastAsia"/>
          <w:color w:val="auto"/>
          <w:sz w:val="24"/>
          <w:highlight w:val="none"/>
        </w:rPr>
        <w:t>承担</w:t>
      </w:r>
      <w:r>
        <w:rPr>
          <w:rFonts w:asciiTheme="minorEastAsia" w:hAnsiTheme="minorEastAsia" w:eastAsiaTheme="minorEastAsia"/>
          <w:color w:val="auto"/>
          <w:sz w:val="24"/>
          <w:highlight w:val="none"/>
        </w:rPr>
        <w:t>。</w:t>
      </w:r>
    </w:p>
    <w:p w14:paraId="66BE834B">
      <w:pPr>
        <w:numPr>
          <w:ilvl w:val="0"/>
          <w:numId w:val="6"/>
        </w:numPr>
        <w:snapToGrid w:val="0"/>
        <w:spacing w:line="360" w:lineRule="auto"/>
        <w:ind w:firstLine="482" w:firstLineChars="200"/>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4D4319C4">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14:paraId="1791D26F">
      <w:pPr>
        <w:pStyle w:val="9"/>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14:paraId="721A7E29">
      <w:pPr>
        <w:snapToGrid w:val="0"/>
        <w:spacing w:line="360" w:lineRule="auto"/>
        <w:ind w:firstLine="482" w:firstLineChars="200"/>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176EFDBA">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采购人：是指依法进行政府采购的国家机关、事业单位和团体组织。</w:t>
      </w:r>
    </w:p>
    <w:p w14:paraId="4159CE10">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bCs w:val="0"/>
          <w:color w:val="auto"/>
          <w:sz w:val="24"/>
          <w:szCs w:val="24"/>
          <w:highlight w:val="none"/>
          <w:lang w:val="zh-CN"/>
        </w:rPr>
        <w:t>采购组织机构：</w:t>
      </w:r>
      <w:r>
        <w:rPr>
          <w:rFonts w:hint="eastAsia"/>
          <w:bCs w:val="0"/>
          <w:color w:val="auto"/>
          <w:sz w:val="24"/>
          <w:szCs w:val="24"/>
          <w:highlight w:val="none"/>
        </w:rPr>
        <w:t>是</w:t>
      </w:r>
      <w:r>
        <w:rPr>
          <w:rFonts w:hint="eastAsia"/>
          <w:bCs w:val="0"/>
          <w:color w:val="auto"/>
          <w:sz w:val="24"/>
          <w:szCs w:val="24"/>
          <w:highlight w:val="none"/>
          <w:lang w:val="zh-CN"/>
        </w:rPr>
        <w:t>指采购人委托组织</w:t>
      </w:r>
      <w:r>
        <w:rPr>
          <w:rFonts w:hint="eastAsia"/>
          <w:bCs w:val="0"/>
          <w:color w:val="auto"/>
          <w:sz w:val="24"/>
          <w:szCs w:val="24"/>
          <w:highlight w:val="none"/>
        </w:rPr>
        <w:t>磋商</w:t>
      </w:r>
      <w:r>
        <w:rPr>
          <w:rFonts w:hint="eastAsia"/>
          <w:bCs w:val="0"/>
          <w:color w:val="auto"/>
          <w:sz w:val="24"/>
          <w:szCs w:val="24"/>
          <w:highlight w:val="none"/>
          <w:lang w:val="zh-CN"/>
        </w:rPr>
        <w:t>的集中采购机构</w:t>
      </w:r>
      <w:r>
        <w:rPr>
          <w:rFonts w:hint="eastAsia" w:cs="Arial"/>
          <w:bCs w:val="0"/>
          <w:color w:val="auto"/>
          <w:sz w:val="24"/>
          <w:szCs w:val="24"/>
          <w:highlight w:val="none"/>
        </w:rPr>
        <w:t>/</w:t>
      </w:r>
      <w:r>
        <w:rPr>
          <w:rFonts w:hint="eastAsia"/>
          <w:bCs w:val="0"/>
          <w:color w:val="auto"/>
          <w:sz w:val="24"/>
          <w:szCs w:val="24"/>
          <w:highlight w:val="none"/>
          <w:lang w:val="zh-CN"/>
        </w:rPr>
        <w:t>采购代理机构。</w:t>
      </w:r>
    </w:p>
    <w:p w14:paraId="58E1603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3.供应商：是指向采购人提供货物、工程或者服务的法人、其他组织或者自然人</w:t>
      </w:r>
      <w:r>
        <w:rPr>
          <w:rFonts w:asciiTheme="minorEastAsia" w:hAnsiTheme="minorEastAsia" w:eastAsiaTheme="minorEastAsia"/>
          <w:color w:val="auto"/>
          <w:sz w:val="24"/>
          <w:highlight w:val="none"/>
        </w:rPr>
        <w:t>。</w:t>
      </w:r>
    </w:p>
    <w:p w14:paraId="62A4913C">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14:paraId="3C345DFD">
      <w:pPr>
        <w:pStyle w:val="23"/>
        <w:spacing w:after="0" w:line="360" w:lineRule="auto"/>
        <w:ind w:left="0" w:leftChars="0" w:firstLine="480" w:firstLineChars="200"/>
        <w:rPr>
          <w:color w:val="auto"/>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14:paraId="43751D51">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w:t>
      </w:r>
      <w:r>
        <w:rPr>
          <w:rFonts w:hint="eastAsia"/>
          <w:b/>
          <w:bCs/>
          <w:color w:val="auto"/>
          <w:sz w:val="24"/>
          <w:highlight w:val="none"/>
        </w:rPr>
        <w:t>磋商</w:t>
      </w:r>
      <w:r>
        <w:rPr>
          <w:b/>
          <w:bCs/>
          <w:color w:val="auto"/>
          <w:sz w:val="24"/>
          <w:highlight w:val="none"/>
        </w:rPr>
        <w:t>的，应符合以下规定：</w:t>
      </w:r>
    </w:p>
    <w:p w14:paraId="336A2D29">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w:t>
      </w:r>
      <w:r>
        <w:rPr>
          <w:rFonts w:hint="eastAsia"/>
          <w:color w:val="auto"/>
          <w:sz w:val="24"/>
          <w:highlight w:val="none"/>
        </w:rPr>
        <w:t>磋商响应</w:t>
      </w:r>
      <w:r>
        <w:rPr>
          <w:color w:val="auto"/>
          <w:sz w:val="24"/>
          <w:highlight w:val="none"/>
        </w:rPr>
        <w:t>文件组成分部分。</w:t>
      </w:r>
    </w:p>
    <w:p w14:paraId="745C47D9">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w:t>
      </w:r>
      <w:r>
        <w:rPr>
          <w:rFonts w:hint="eastAsia"/>
          <w:color w:val="auto"/>
          <w:sz w:val="24"/>
          <w:highlight w:val="none"/>
        </w:rPr>
        <w:t>响应</w:t>
      </w:r>
      <w:r>
        <w:rPr>
          <w:color w:val="auto"/>
          <w:sz w:val="24"/>
          <w:highlight w:val="none"/>
        </w:rPr>
        <w:t>文件中提供联合体各方的相关证明材料。</w:t>
      </w:r>
    </w:p>
    <w:p w14:paraId="49E6135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4C7DFB1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4.联合体各方中至少应当有一方符合采购人规定的资格要求。由同一资质条件的供应商组成的联合体，应当按照资质等级较低的供应商确定联合体资质等级。</w:t>
      </w:r>
    </w:p>
    <w:p w14:paraId="4DC72013">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5.联合体各方不得再以自己名义单独参加同一</w:t>
      </w:r>
      <w:r>
        <w:rPr>
          <w:rFonts w:hint="eastAsia" w:ascii="宋体" w:hAnsi="宋体" w:cs="宋体"/>
          <w:color w:val="auto"/>
          <w:sz w:val="24"/>
          <w:highlight w:val="none"/>
        </w:rPr>
        <w:t>合同项</w:t>
      </w:r>
      <w:r>
        <w:rPr>
          <w:rFonts w:hint="eastAsia" w:asciiTheme="minorEastAsia" w:hAnsiTheme="minorEastAsia" w:eastAsiaTheme="minorEastAsia"/>
          <w:color w:val="auto"/>
          <w:sz w:val="24"/>
          <w:highlight w:val="none"/>
        </w:rPr>
        <w:t>，也不得组成新的联合体参加同一项目。</w:t>
      </w:r>
    </w:p>
    <w:p w14:paraId="36AFF40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4C31606E">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7.磋商</w:t>
      </w:r>
      <w:r>
        <w:rPr>
          <w:color w:val="auto"/>
          <w:sz w:val="24"/>
          <w:highlight w:val="none"/>
        </w:rPr>
        <w:t>时，应以联合体协议中确定的主体方名义</w:t>
      </w:r>
      <w:r>
        <w:rPr>
          <w:rFonts w:hint="eastAsia" w:asciiTheme="minorEastAsia" w:hAnsiTheme="minorEastAsia" w:eastAsiaTheme="minorEastAsia"/>
          <w:color w:val="auto"/>
          <w:sz w:val="24"/>
          <w:highlight w:val="none"/>
        </w:rPr>
        <w:t>磋商</w:t>
      </w:r>
      <w:r>
        <w:rPr>
          <w:color w:val="auto"/>
          <w:sz w:val="24"/>
          <w:highlight w:val="none"/>
        </w:rPr>
        <w:t>，对联合体各方均具有约束力。</w:t>
      </w:r>
    </w:p>
    <w:p w14:paraId="328CC832">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335A0B99">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14:paraId="7936BAA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4AEBCDE0">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0F7A0DDF">
      <w:pPr>
        <w:pStyle w:val="34"/>
        <w:tabs>
          <w:tab w:val="left" w:pos="437"/>
        </w:tabs>
        <w:spacing w:line="360" w:lineRule="auto"/>
        <w:ind w:firstLine="482"/>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14:paraId="157C144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14:paraId="29B6A5C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2.供应商自行承担踏勘现场发生的责任、风险和自身费用。</w:t>
      </w:r>
    </w:p>
    <w:p w14:paraId="695613AE">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14:paraId="24A1B8DE">
      <w:pPr>
        <w:pStyle w:val="13"/>
        <w:snapToGrid w:val="0"/>
        <w:spacing w:line="360" w:lineRule="auto"/>
        <w:ind w:firstLine="482" w:firstLineChars="200"/>
        <w:rPr>
          <w:rFonts w:hAnsi="宋体"/>
          <w:b/>
          <w:color w:val="auto"/>
          <w:sz w:val="24"/>
          <w:highlight w:val="none"/>
        </w:rPr>
      </w:pPr>
      <w:r>
        <w:rPr>
          <w:rFonts w:hint="eastAsia" w:hAnsi="宋体"/>
          <w:b/>
          <w:color w:val="auto"/>
          <w:sz w:val="24"/>
          <w:highlight w:val="none"/>
        </w:rPr>
        <w:t>（七）特别说明</w:t>
      </w:r>
    </w:p>
    <w:p w14:paraId="74BE794E">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1.供应商磋商</w:t>
      </w:r>
      <w:r>
        <w:rPr>
          <w:rFonts w:asciiTheme="minorEastAsia" w:hAnsiTheme="minorEastAsia" w:eastAsiaTheme="minorEastAsia"/>
          <w:color w:val="auto"/>
          <w:sz w:val="24"/>
          <w:highlight w:val="none"/>
        </w:rPr>
        <w:t>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供应商磋商</w:t>
      </w:r>
      <w:r>
        <w:rPr>
          <w:rFonts w:asciiTheme="minorEastAsia" w:hAnsiTheme="minorEastAsia" w:eastAsiaTheme="minorEastAsia"/>
          <w:color w:val="auto"/>
          <w:sz w:val="24"/>
          <w:highlight w:val="none"/>
        </w:rPr>
        <w:t>所使用的采购项目实施人员必须为本法人员工。</w:t>
      </w:r>
    </w:p>
    <w:p w14:paraId="3296F94F">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14:paraId="4B48336F">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3.本磋商文件中关于电子磋商、响应内容、流程如与政采云系统中最新的内容、操作不一致的，以政采云系统中的要求为准。</w:t>
      </w:r>
    </w:p>
    <w:p w14:paraId="3A4E78C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二、磋商文件</w:t>
      </w:r>
    </w:p>
    <w:p w14:paraId="613D1C06">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14:paraId="1F4C363A">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14:paraId="61A564C6">
      <w:pPr>
        <w:pStyle w:val="34"/>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14:paraId="42F1B4D7">
      <w:pPr>
        <w:pStyle w:val="34"/>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72CDE288">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三、响应文件</w:t>
      </w:r>
    </w:p>
    <w:p w14:paraId="0180D5FA">
      <w:pPr>
        <w:pStyle w:val="6"/>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（一）响应文件的编制</w:t>
      </w:r>
    </w:p>
    <w:p w14:paraId="5357EEE5">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。【特别提示：如在磋商响应时有要求提供资料原件的，将原件扫描放入投标文件。】</w:t>
      </w:r>
      <w:r>
        <w:rPr>
          <w:rFonts w:hint="eastAsia" w:asciiTheme="minorEastAsia" w:hAnsiTheme="minorEastAsia" w:eastAsiaTheme="minorEastAsia"/>
          <w:bCs/>
          <w:color w:val="auto"/>
          <w:kern w:val="0"/>
          <w:sz w:val="24"/>
          <w:highlight w:val="none"/>
        </w:rPr>
        <w:t>本磋商文件中若有多标项的，若参与多标项投标的，则按每个标项分别独立编制磋商响应文件。</w:t>
      </w:r>
    </w:p>
    <w:p w14:paraId="4EAD18AF">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1、资格证明内容的组成：</w:t>
      </w:r>
    </w:p>
    <w:p w14:paraId="6C503C93">
      <w:pPr>
        <w:pStyle w:val="20"/>
        <w:spacing w:line="360" w:lineRule="auto"/>
        <w:ind w:left="0" w:leftChars="0" w:firstLine="470"/>
        <w:rPr>
          <w:rStyle w:val="28"/>
          <w:b w:val="0"/>
          <w:color w:val="auto"/>
          <w:highlight w:val="none"/>
          <w:u w:val="none"/>
        </w:rPr>
      </w:pPr>
      <w:r>
        <w:rPr>
          <w:rStyle w:val="28"/>
          <w:rFonts w:hint="eastAsia"/>
          <w:b w:val="0"/>
          <w:color w:val="auto"/>
          <w:highlight w:val="none"/>
          <w:u w:val="none"/>
        </w:rPr>
        <w:t>（1）磋商声明书（附件1）；</w:t>
      </w:r>
    </w:p>
    <w:p w14:paraId="29CFFDD4">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（2）授权委托书（法定代表人亲自办理磋商响应事宜的，则无需提交，附件2)；</w:t>
      </w:r>
    </w:p>
    <w:p w14:paraId="3B3F36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0E8C63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341488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09F6FC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0B8B19B3">
      <w:pPr>
        <w:widowControl/>
        <w:spacing w:line="360"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（7）需要说明的其他资料。</w:t>
      </w:r>
    </w:p>
    <w:p w14:paraId="5CB7FC6A">
      <w:pPr>
        <w:snapToGrid w:val="0"/>
        <w:spacing w:line="360" w:lineRule="auto"/>
        <w:ind w:firstLine="482" w:firstLineChars="200"/>
        <w:rPr>
          <w:rFonts w:ascii="宋体" w:hAnsi="宋体" w:cs="宋体"/>
          <w:color w:val="auto"/>
          <w:sz w:val="24"/>
          <w:highlight w:val="none"/>
          <w:u w:val="single"/>
        </w:rPr>
      </w:pPr>
      <w:r>
        <w:rPr>
          <w:rFonts w:hint="eastAsia" w:ascii="宋体" w:hAnsi="宋体"/>
          <w:b/>
          <w:color w:val="auto"/>
          <w:sz w:val="24"/>
          <w:highlight w:val="none"/>
        </w:rPr>
        <w:t>2、商务与技术内容的组成：</w:t>
      </w:r>
    </w:p>
    <w:p w14:paraId="5A59B55D">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供应商情况介绍(附件6）；</w:t>
      </w:r>
    </w:p>
    <w:p w14:paraId="73D11A8F">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（2）项目方案（由供应商根据采购文件和评标办法自行拟定；）</w:t>
      </w:r>
    </w:p>
    <w:p w14:paraId="0A19B1B4">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（3）项目负责人资格情况表（附件7）；</w:t>
      </w:r>
    </w:p>
    <w:p w14:paraId="44F993DE">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（4）项目实施人员一览表（附件8）；</w:t>
      </w:r>
    </w:p>
    <w:p w14:paraId="6DCBBA7A">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服务条款响应表（附件9）；</w:t>
      </w:r>
    </w:p>
    <w:p w14:paraId="2C6F5840">
      <w:pPr>
        <w:pStyle w:val="6"/>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（6）证书一览表（与本项目相关的认证证书或文件；附件10）；</w:t>
      </w:r>
    </w:p>
    <w:p w14:paraId="34D0B8FB">
      <w:pPr>
        <w:pStyle w:val="6"/>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（7）同类业绩证明（如有，需提供合同复印件；附件11）；</w:t>
      </w:r>
    </w:p>
    <w:p w14:paraId="565A0B55">
      <w:pPr>
        <w:pStyle w:val="6"/>
        <w:widowControl/>
        <w:numPr>
          <w:ilvl w:val="255"/>
          <w:numId w:val="0"/>
        </w:numPr>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（8）符合采购文件规定的其他证明文件及评分标准中涉及的其他材料</w:t>
      </w:r>
      <w:r>
        <w:rPr>
          <w:rFonts w:hint="eastAsia"/>
          <w:color w:val="auto"/>
          <w:sz w:val="24"/>
          <w:szCs w:val="24"/>
          <w:highlight w:val="none"/>
        </w:rPr>
        <w:t>。</w:t>
      </w:r>
    </w:p>
    <w:p w14:paraId="7903547A">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69B1108B">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（1）首次磋商一览表（附件12）；</w:t>
      </w:r>
    </w:p>
    <w:p w14:paraId="14A6DE73">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en-GB"/>
        </w:rPr>
      </w:pPr>
      <w:r>
        <w:rPr>
          <w:rFonts w:hint="eastAsia" w:asciiTheme="minorEastAsia" w:hAnsiTheme="minorEastAsia" w:eastAsiaTheme="minorEastAsia"/>
          <w:color w:val="auto"/>
          <w:kern w:val="0"/>
          <w:sz w:val="24"/>
          <w:highlight w:val="none"/>
        </w:rPr>
        <w:t>（2）中小企业、</w:t>
      </w:r>
      <w:r>
        <w:rPr>
          <w:rFonts w:hint="eastAsia" w:asciiTheme="minorEastAsia" w:hAnsiTheme="minorEastAsia" w:eastAsiaTheme="minorEastAsia"/>
          <w:color w:val="auto"/>
          <w:kern w:val="0"/>
          <w:sz w:val="24"/>
          <w:highlight w:val="none"/>
          <w:lang w:val="en-GB"/>
        </w:rPr>
        <w:t>残疾人福利性单位、监狱企业</w:t>
      </w:r>
      <w:r>
        <w:rPr>
          <w:rFonts w:hint="eastAsia" w:asciiTheme="minorEastAsia" w:hAnsiTheme="minorEastAsia" w:eastAsiaTheme="minorEastAsia"/>
          <w:color w:val="auto"/>
          <w:kern w:val="0"/>
          <w:sz w:val="24"/>
          <w:highlight w:val="none"/>
        </w:rPr>
        <w:t>等声明函（附件13）；</w:t>
      </w:r>
    </w:p>
    <w:p w14:paraId="060D3904">
      <w:pPr>
        <w:autoSpaceDE w:val="0"/>
        <w:autoSpaceDN w:val="0"/>
        <w:adjustRightIn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kern w:val="0"/>
          <w:sz w:val="24"/>
          <w:highlight w:val="none"/>
        </w:rPr>
        <w:t>（3）针对报价供应商认为其他需要说明的。</w:t>
      </w:r>
    </w:p>
    <w:p w14:paraId="15ED5AE7">
      <w:pPr>
        <w:pStyle w:val="6"/>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（二）报价</w:t>
      </w:r>
    </w:p>
    <w:p w14:paraId="2BFC638A">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1.供应商应按照采购需求内容、责任范围以及合同条款进行报价。并按“首次磋商一览表”规定的格式报出总价和分项价格。总价中不得包含磋商文件要求以外的内容，否则，在评审时不予核减。</w:t>
      </w:r>
    </w:p>
    <w:p w14:paraId="35882876">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2.磋商报价应包含</w:t>
      </w:r>
      <w:r>
        <w:rPr>
          <w:rFonts w:hint="eastAsia" w:asciiTheme="minorEastAsia" w:hAnsiTheme="minorEastAsia" w:eastAsiaTheme="minorEastAsia"/>
          <w:bCs/>
          <w:color w:val="auto"/>
          <w:kern w:val="0"/>
          <w:sz w:val="24"/>
          <w:highlight w:val="none"/>
          <w:lang w:eastAsia="zh-CN"/>
        </w:rPr>
        <w:t>本项目采购需求和投入使用的所有费用，包括但不限于设备费用、人员费用（含劳务、食宿、交通、保险等）、策划及摄制费用、宣传推广费用、审核费用、管理费用、招标代理费、</w:t>
      </w:r>
      <w:r>
        <w:rPr>
          <w:rFonts w:hint="eastAsia" w:asciiTheme="minorEastAsia" w:hAnsiTheme="minorEastAsia" w:eastAsiaTheme="minorEastAsia"/>
          <w:bCs/>
          <w:color w:val="auto"/>
          <w:kern w:val="0"/>
          <w:sz w:val="24"/>
          <w:highlight w:val="none"/>
          <w:lang w:val="en-US" w:eastAsia="zh-CN"/>
        </w:rPr>
        <w:t>税金</w:t>
      </w:r>
      <w:r>
        <w:rPr>
          <w:rFonts w:hint="eastAsia" w:asciiTheme="minorEastAsia" w:hAnsiTheme="minorEastAsia" w:eastAsiaTheme="minorEastAsia"/>
          <w:bCs/>
          <w:color w:val="auto"/>
          <w:kern w:val="0"/>
          <w:sz w:val="24"/>
          <w:highlight w:val="none"/>
          <w:lang w:eastAsia="zh-CN"/>
        </w:rPr>
        <w:t>以及其他费用等</w:t>
      </w:r>
      <w:r>
        <w:rPr>
          <w:rFonts w:hint="eastAsia" w:asciiTheme="minorEastAsia" w:hAnsiTheme="minorEastAsia" w:eastAsiaTheme="minorEastAsia"/>
          <w:bCs/>
          <w:color w:val="auto"/>
          <w:kern w:val="0"/>
          <w:sz w:val="24"/>
          <w:highlight w:val="none"/>
        </w:rPr>
        <w:t>。各供应商应根据采购人提供的服务内容，以及实际情况和自身的综合实力，竞报投标报价。总报价以人民币元计。知识产权等由供应商在投标报价时综合考虑，以后不作任何调整。</w:t>
      </w:r>
    </w:p>
    <w:p w14:paraId="2CEC24D9">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3.磋商报价不得为选择性报价和附有条件的报价。</w:t>
      </w:r>
    </w:p>
    <w:p w14:paraId="27F99E76">
      <w:pPr>
        <w:pStyle w:val="6"/>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（三）响应文件的有效期</w:t>
      </w:r>
    </w:p>
    <w:p w14:paraId="71E6D6A0">
      <w:pPr>
        <w:pStyle w:val="6"/>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1.响应文件有效期为磋商</w:t>
      </w:r>
      <w:r>
        <w:rPr>
          <w:rFonts w:hint="eastAsia" w:ascii="宋体" w:hAnsi="宋体"/>
          <w:color w:val="auto"/>
          <w:sz w:val="24"/>
          <w:highlight w:val="none"/>
          <w:lang w:val="en-GB"/>
        </w:rPr>
        <w:t>截止日起90天。</w:t>
      </w:r>
    </w:p>
    <w:p w14:paraId="2BC28DF6">
      <w:pPr>
        <w:pStyle w:val="6"/>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p>
    <w:p w14:paraId="2AC8C01C">
      <w:pPr>
        <w:snapToGrid w:val="0"/>
        <w:spacing w:line="360" w:lineRule="auto"/>
        <w:ind w:firstLine="480" w:firstLineChars="200"/>
        <w:outlineLvl w:val="0"/>
        <w:rPr>
          <w:rFonts w:asciiTheme="minorEastAsia" w:hAnsiTheme="minorEastAsia" w:eastAsiaTheme="minorEastAsia"/>
          <w:color w:val="auto"/>
          <w:sz w:val="24"/>
          <w:highlight w:val="none"/>
        </w:rPr>
      </w:pPr>
      <w:bookmarkStart w:id="33" w:name="_Toc8754"/>
      <w:r>
        <w:rPr>
          <w:rFonts w:hint="eastAsia" w:ascii="宋体" w:hAnsi="宋体"/>
          <w:color w:val="auto"/>
          <w:sz w:val="24"/>
          <w:highlight w:val="none"/>
        </w:rPr>
        <w:t>3.成交供应商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磋商响应文件</w:t>
      </w:r>
      <w:r>
        <w:rPr>
          <w:rFonts w:asciiTheme="minorEastAsia" w:hAnsiTheme="minorEastAsia" w:eastAsiaTheme="minorEastAsia"/>
          <w:color w:val="auto"/>
          <w:sz w:val="24"/>
          <w:highlight w:val="none"/>
        </w:rPr>
        <w:t>自开标之日起至合同履行完毕均应保持有效。</w:t>
      </w:r>
      <w:bookmarkEnd w:id="33"/>
    </w:p>
    <w:p w14:paraId="49E13E9F">
      <w:pPr>
        <w:snapToGrid w:val="0"/>
        <w:spacing w:line="360" w:lineRule="auto"/>
        <w:ind w:firstLine="482" w:firstLineChars="200"/>
        <w:outlineLvl w:val="0"/>
        <w:rPr>
          <w:rFonts w:asciiTheme="minorEastAsia" w:hAnsiTheme="minorEastAsia" w:eastAsiaTheme="minorEastAsia"/>
          <w:b/>
          <w:color w:val="auto"/>
          <w:kern w:val="0"/>
          <w:sz w:val="24"/>
          <w:highlight w:val="none"/>
        </w:rPr>
      </w:pPr>
      <w:bookmarkStart w:id="34" w:name="_Toc14235"/>
      <w:r>
        <w:rPr>
          <w:rFonts w:hint="eastAsia" w:asciiTheme="minorEastAsia" w:hAnsiTheme="minorEastAsia" w:eastAsiaTheme="minorEastAsia"/>
          <w:b/>
          <w:color w:val="auto"/>
          <w:kern w:val="0"/>
          <w:sz w:val="24"/>
          <w:highlight w:val="none"/>
        </w:rPr>
        <w:t>（四）响应文件的签署</w:t>
      </w:r>
      <w:bookmarkEnd w:id="34"/>
    </w:p>
    <w:p w14:paraId="574B88EC">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14:paraId="6A60B9B5">
      <w:pPr>
        <w:pStyle w:val="6"/>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2.响应文件中所有的插字、涂改和增删，必须由法定代表人或经其正式授权的代表在旁边签字或盖章才有效。</w:t>
      </w:r>
    </w:p>
    <w:p w14:paraId="59D4C67E">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color w:val="auto"/>
          <w:kern w:val="0"/>
          <w:sz w:val="24"/>
          <w:highlight w:val="none"/>
        </w:rPr>
        <w:t>响应</w:t>
      </w:r>
      <w:r>
        <w:rPr>
          <w:rFonts w:hint="eastAsia" w:asciiTheme="minorEastAsia" w:hAnsiTheme="minorEastAsia" w:eastAsiaTheme="minorEastAsia"/>
          <w:b/>
          <w:bCs/>
          <w:color w:val="auto"/>
          <w:sz w:val="24"/>
          <w:highlight w:val="none"/>
        </w:rPr>
        <w:t>文件</w:t>
      </w:r>
      <w:r>
        <w:rPr>
          <w:rFonts w:hint="eastAsia" w:asciiTheme="minorEastAsia" w:hAnsiTheme="minorEastAsia"/>
          <w:b/>
          <w:bCs/>
          <w:color w:val="auto"/>
          <w:sz w:val="24"/>
          <w:highlight w:val="none"/>
        </w:rPr>
        <w:t>的递交要求</w:t>
      </w:r>
    </w:p>
    <w:p w14:paraId="405A7E74">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如采购组织机构延长截止时间和开标时间，采购组织机构和供应商的权利和义务将受到新的截止时间和开标时间的约束。</w:t>
      </w:r>
    </w:p>
    <w:p w14:paraId="695ABAC6">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kern w:val="0"/>
          <w:sz w:val="24"/>
          <w:highlight w:val="none"/>
        </w:rPr>
        <w:t>四、</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14:paraId="349927AF">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（一）磋商开始时间到后，主持人准时组织磋商；</w:t>
      </w:r>
    </w:p>
    <w:p w14:paraId="4AC98916">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（二）宣布磋商纪律；</w:t>
      </w:r>
    </w:p>
    <w:p w14:paraId="61A668FB">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（三）宣布采购组织机构工作人员；</w:t>
      </w:r>
    </w:p>
    <w:p w14:paraId="05755A56">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（四）供应商登录政采云平台，用“项目采购-开标评标”功能对响应文件进行在线解密。在线解密</w:t>
      </w:r>
      <w:r>
        <w:rPr>
          <w:rFonts w:hint="eastAsia" w:ascii="宋体" w:hAnsi="宋体" w:cs="宋体"/>
          <w:bCs/>
          <w:color w:val="auto"/>
          <w:kern w:val="0"/>
          <w:sz w:val="24"/>
          <w:szCs w:val="24"/>
          <w:highlight w:val="none"/>
        </w:rPr>
        <w:t>响应文件</w:t>
      </w:r>
      <w:r>
        <w:rPr>
          <w:rFonts w:hint="eastAsia" w:ascii="宋体" w:hAnsi="宋体" w:cs="宋体"/>
          <w:color w:val="auto"/>
          <w:sz w:val="24"/>
          <w:szCs w:val="24"/>
          <w:highlight w:val="none"/>
        </w:rPr>
        <w:t>时间为磋商时间起半个小时内；</w:t>
      </w:r>
    </w:p>
    <w:p w14:paraId="428701F1">
      <w:pPr>
        <w:pStyle w:val="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（五）采购组织机构工作人员当众宣布磋商响应供应商名称和磋商文件规定的需要宣布的其他内容；</w:t>
      </w:r>
    </w:p>
    <w:p w14:paraId="75019233">
      <w:pPr>
        <w:pStyle w:val="13"/>
        <w:snapToGrid w:val="0"/>
        <w:spacing w:line="360" w:lineRule="auto"/>
        <w:ind w:firstLine="480" w:firstLineChars="200"/>
        <w:outlineLvl w:val="1"/>
        <w:rPr>
          <w:rFonts w:hAnsi="宋体" w:cs="宋体"/>
          <w:bCs/>
          <w:color w:val="auto"/>
          <w:sz w:val="24"/>
          <w:highlight w:val="none"/>
        </w:rPr>
      </w:pPr>
      <w:r>
        <w:rPr>
          <w:rFonts w:hint="eastAsia" w:hAnsi="宋体" w:cs="宋体"/>
          <w:bCs/>
          <w:color w:val="auto"/>
          <w:sz w:val="24"/>
          <w:highlight w:val="none"/>
        </w:rPr>
        <w:t>（六）磋商(详见第四章)；</w:t>
      </w:r>
    </w:p>
    <w:p w14:paraId="761F5FF1">
      <w:pPr>
        <w:pStyle w:val="13"/>
        <w:snapToGrid w:val="0"/>
        <w:spacing w:line="360" w:lineRule="auto"/>
        <w:ind w:firstLine="480" w:firstLineChars="200"/>
        <w:rPr>
          <w:rFonts w:hAnsi="宋体" w:cs="宋体"/>
          <w:color w:val="auto"/>
          <w:sz w:val="24"/>
          <w:highlight w:val="none"/>
        </w:rPr>
      </w:pPr>
      <w:r>
        <w:rPr>
          <w:rFonts w:hint="eastAsia" w:hAnsi="宋体" w:cs="宋体"/>
          <w:bCs/>
          <w:color w:val="auto"/>
          <w:sz w:val="24"/>
          <w:highlight w:val="none"/>
        </w:rPr>
        <w:t>（七）磋商结果公告。</w:t>
      </w:r>
    </w:p>
    <w:p w14:paraId="68E0E9CB">
      <w:pPr>
        <w:pStyle w:val="6"/>
        <w:spacing w:line="360" w:lineRule="auto"/>
        <w:ind w:firstLine="482" w:firstLineChars="200"/>
        <w:rPr>
          <w:b/>
          <w:bCs/>
          <w:color w:val="auto"/>
          <w:sz w:val="24"/>
          <w:szCs w:val="24"/>
          <w:highlight w:val="none"/>
        </w:rPr>
      </w:pPr>
      <w:r>
        <w:rPr>
          <w:rFonts w:hint="eastAsia"/>
          <w:b/>
          <w:bCs/>
          <w:color w:val="auto"/>
          <w:sz w:val="24"/>
          <w:szCs w:val="24"/>
          <w:highlight w:val="none"/>
        </w:rPr>
        <w:t>五、磋商异议</w:t>
      </w:r>
    </w:p>
    <w:p w14:paraId="0E101808">
      <w:pPr>
        <w:pStyle w:val="6"/>
        <w:spacing w:line="360" w:lineRule="auto"/>
        <w:ind w:firstLine="480" w:firstLineChars="200"/>
        <w:rPr>
          <w:color w:val="auto"/>
          <w:sz w:val="24"/>
          <w:szCs w:val="24"/>
          <w:highlight w:val="none"/>
        </w:rPr>
      </w:pPr>
      <w:r>
        <w:rPr>
          <w:rFonts w:hint="eastAsia"/>
          <w:color w:val="auto"/>
          <w:sz w:val="24"/>
          <w:szCs w:val="24"/>
          <w:highlight w:val="none"/>
        </w:rPr>
        <w:t>供应商代表对磋商过程和磋商记录有疑义，以及认为采购人、采购</w:t>
      </w:r>
      <w:r>
        <w:rPr>
          <w:rFonts w:hint="eastAsia" w:asciiTheme="minorEastAsia" w:hAnsiTheme="minorEastAsia" w:eastAsiaTheme="minorEastAsia" w:cstheme="minorBidi"/>
          <w:color w:val="auto"/>
          <w:sz w:val="24"/>
          <w:szCs w:val="24"/>
          <w:highlight w:val="none"/>
        </w:rPr>
        <w:t>组织</w:t>
      </w:r>
      <w:r>
        <w:rPr>
          <w:rFonts w:hint="eastAsia"/>
          <w:color w:val="auto"/>
          <w:sz w:val="24"/>
          <w:szCs w:val="24"/>
          <w:highlight w:val="none"/>
        </w:rPr>
        <w:t>机构相关工作人员有需要回避的情形的，应当场提出询问或者回避申请，磋商会议结束后不再接受相关询问、质疑或者回避申请。</w:t>
      </w:r>
    </w:p>
    <w:p w14:paraId="64E9C555">
      <w:pPr>
        <w:pStyle w:val="21"/>
        <w:spacing w:before="0" w:beforeAutospacing="0" w:after="0" w:afterAutospacing="0" w:line="360" w:lineRule="auto"/>
        <w:ind w:firstLine="482" w:firstLineChars="200"/>
        <w:jc w:val="both"/>
        <w:rPr>
          <w:rFonts w:hint="default" w:asciiTheme="minorEastAsia" w:hAnsiTheme="minorEastAsia"/>
          <w:b/>
          <w:color w:val="auto"/>
          <w:highlight w:val="none"/>
        </w:rPr>
      </w:pPr>
      <w:r>
        <w:rPr>
          <w:rFonts w:asciiTheme="minorEastAsia" w:hAnsiTheme="minorEastAsia" w:eastAsiaTheme="minorEastAsia"/>
          <w:b/>
          <w:color w:val="auto"/>
          <w:highlight w:val="none"/>
        </w:rPr>
        <w:t>六、</w:t>
      </w:r>
      <w:r>
        <w:rPr>
          <w:b/>
          <w:color w:val="auto"/>
          <w:highlight w:val="none"/>
        </w:rPr>
        <w:t>磋商结果确定</w:t>
      </w:r>
    </w:p>
    <w:p w14:paraId="770112AA">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确定成交供应商。</w:t>
      </w:r>
      <w:r>
        <w:rPr>
          <w:rFonts w:asciiTheme="minorEastAsia" w:hAnsiTheme="minorEastAsia" w:eastAsiaTheme="minorEastAsia"/>
          <w:color w:val="auto"/>
          <w:highlight w:val="none"/>
        </w:rPr>
        <w:t>磋商小组根据采购单位的</w:t>
      </w:r>
      <w:r>
        <w:rPr>
          <w:color w:val="auto"/>
          <w:highlight w:val="none"/>
        </w:rPr>
        <w:t>《授权意见确认书》</w:t>
      </w:r>
      <w:r>
        <w:rPr>
          <w:rFonts w:asciiTheme="minorEastAsia" w:hAnsiTheme="minorEastAsia" w:eastAsiaTheme="minorEastAsia"/>
          <w:color w:val="auto"/>
          <w:highlight w:val="none"/>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1CB61A51">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发布成交结果公告。采购组织机构自成交供应商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和台州市公共资源交易网上</w:t>
      </w:r>
      <w:r>
        <w:rPr>
          <w:rFonts w:ascii="宋体" w:hAnsi="宋体"/>
          <w:color w:val="auto"/>
          <w:kern w:val="0"/>
          <w:sz w:val="24"/>
          <w:highlight w:val="none"/>
        </w:rPr>
        <w:t>公告</w:t>
      </w:r>
      <w:r>
        <w:rPr>
          <w:rFonts w:hint="eastAsia" w:ascii="宋体" w:hAnsi="宋体"/>
          <w:color w:val="auto"/>
          <w:kern w:val="0"/>
          <w:sz w:val="24"/>
          <w:highlight w:val="none"/>
        </w:rPr>
        <w:t>成交结果，成交</w:t>
      </w:r>
      <w:r>
        <w:rPr>
          <w:color w:val="auto"/>
          <w:sz w:val="24"/>
          <w:highlight w:val="none"/>
        </w:rPr>
        <w:t>结果公告期为 1 个工作日</w:t>
      </w:r>
      <w:r>
        <w:rPr>
          <w:rFonts w:hint="eastAsia" w:ascii="宋体" w:hAnsi="宋体"/>
          <w:color w:val="auto"/>
          <w:kern w:val="0"/>
          <w:sz w:val="24"/>
          <w:highlight w:val="none"/>
        </w:rPr>
        <w:t>。</w:t>
      </w:r>
    </w:p>
    <w:p w14:paraId="085E2635">
      <w:pPr>
        <w:pStyle w:val="7"/>
        <w:spacing w:line="360" w:lineRule="auto"/>
        <w:ind w:firstLine="480" w:firstLineChars="200"/>
        <w:jc w:val="both"/>
        <w:rPr>
          <w:color w:val="auto"/>
          <w:highlight w:val="none"/>
        </w:rPr>
      </w:pPr>
      <w:r>
        <w:rPr>
          <w:rFonts w:hint="eastAsia" w:ascii="宋体" w:hAnsi="宋体"/>
          <w:color w:val="auto"/>
          <w:kern w:val="0"/>
          <w:sz w:val="24"/>
          <w:highlight w:val="none"/>
        </w:rPr>
        <w:t>（三）发放成交通知书。采购组织机构在发布成交结果公告的同时，</w:t>
      </w:r>
      <w:r>
        <w:rPr>
          <w:rFonts w:hint="eastAsia"/>
          <w:color w:val="auto"/>
          <w:sz w:val="24"/>
          <w:highlight w:val="none"/>
        </w:rPr>
        <w:t>通过政采云平台向成交供应商发放成交通知书</w:t>
      </w:r>
      <w:r>
        <w:rPr>
          <w:rFonts w:hint="eastAsia" w:ascii="宋体" w:hAnsi="宋体"/>
          <w:color w:val="auto"/>
          <w:kern w:val="0"/>
          <w:sz w:val="24"/>
          <w:highlight w:val="none"/>
        </w:rPr>
        <w:t>。</w:t>
      </w:r>
    </w:p>
    <w:p w14:paraId="6E4168C6">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66C59E50">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2211988B">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3F68A9DE">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2.采购人不得向成交供应商提出任何不合理的要求作为签订合同的条件。</w:t>
      </w:r>
    </w:p>
    <w:p w14:paraId="60711A23">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3.成交供应商无故拖延、拒签合同的,将取消成交资格。</w:t>
      </w:r>
    </w:p>
    <w:p w14:paraId="69BF993C">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06C2FD41">
      <w:pPr>
        <w:pStyle w:val="21"/>
        <w:spacing w:before="0" w:beforeAutospacing="0" w:after="0" w:afterAutospacing="0" w:line="360" w:lineRule="auto"/>
        <w:ind w:firstLine="480" w:firstLineChars="200"/>
        <w:jc w:val="both"/>
        <w:rPr>
          <w:rFonts w:hint="default"/>
          <w:color w:val="auto"/>
          <w:highlight w:val="none"/>
        </w:rPr>
      </w:pPr>
      <w:r>
        <w:rPr>
          <w:color w:val="auto"/>
          <w:highlight w:val="none"/>
        </w:rPr>
        <w:t>5.询问或者质疑事项可能影响成交结果的，采购人应当暂停签订合同，已经签订合同的，应当中止履行合同。</w:t>
      </w:r>
    </w:p>
    <w:p w14:paraId="4FAE0C2A">
      <w:pPr>
        <w:pStyle w:val="21"/>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164EFF16">
      <w:pPr>
        <w:pStyle w:val="12"/>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7CF4CF11">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2.采购人应当自政府采购合同签订之日起7个工作日内，</w:t>
      </w:r>
      <w:r>
        <w:rPr>
          <w:rFonts w:hint="eastAsia"/>
          <w:color w:val="auto"/>
          <w:sz w:val="24"/>
          <w:highlight w:val="none"/>
        </w:rPr>
        <w:t>将政府采购合同通过政采云平台提交至</w:t>
      </w:r>
      <w:r>
        <w:rPr>
          <w:rFonts w:hint="eastAsia" w:ascii="宋体" w:hAnsi="宋体"/>
          <w:color w:val="auto"/>
          <w:sz w:val="24"/>
          <w:highlight w:val="none"/>
        </w:rPr>
        <w:t>同级人民政府财政部门备案存档。</w:t>
      </w:r>
    </w:p>
    <w:p w14:paraId="26CC1A77">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343859FC">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0530CF16">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磋商供应商对政府采购活动事项（磋商文件、采购过程和成交结果）有疑问的，可以向采购人或采购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机构提出询问，采购人或采购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机构的名称、地址和联系方式”。</w:t>
      </w:r>
    </w:p>
    <w:p w14:paraId="7BC51596">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4AEE80B8">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1.报名本项目的供应商认为磋商文件、采购过程和成交结果使自己的权益受到损害的，以书面形式或政采云平台的质疑系统一次性向采购人或采购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机构书面提出质疑：</w:t>
      </w:r>
    </w:p>
    <w:p w14:paraId="472913D5">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（1）供应商认为磋商文件的内容损害其权益的，应当自获取之日起（获取截止日之后收到磋商文件的，以获取截止日为准）7个工作日内提出质疑；</w:t>
      </w:r>
    </w:p>
    <w:p w14:paraId="414310A7">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14:paraId="1BA4EF35">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（3）供应商对成交结果提出质疑的，应当在成交结果公告期限届满之日起7个工作日内提出质疑；</w:t>
      </w:r>
    </w:p>
    <w:p w14:paraId="1F8C96F7">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机构在收到磋商供应商的书面质疑后7个工作日内作出答复，并以书面形式通知质疑磋商供应商和其他有关磋商供应商，但答复内容不涉及商业秘密。</w:t>
      </w:r>
    </w:p>
    <w:p w14:paraId="345C38C3">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5F01B69">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7F7CB59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机构的质疑答复不满意或在规定时间内未得到答复的，可以在答复期满后15个工作日内，向同级政府采购监督管理机构投诉。</w:t>
      </w:r>
    </w:p>
    <w:p w14:paraId="5F9B3468">
      <w:pPr>
        <w:pStyle w:val="7"/>
        <w:spacing w:line="360" w:lineRule="auto"/>
        <w:ind w:firstLine="480" w:firstLineChars="200"/>
        <w:jc w:val="both"/>
        <w:rPr>
          <w:rFonts w:ascii="宋体" w:hAnsi="宋体"/>
          <w:color w:val="auto"/>
          <w:sz w:val="24"/>
          <w:highlight w:val="none"/>
        </w:rPr>
      </w:pPr>
    </w:p>
    <w:p w14:paraId="639163D4">
      <w:pPr>
        <w:pStyle w:val="7"/>
        <w:spacing w:line="360" w:lineRule="auto"/>
        <w:ind w:firstLine="480" w:firstLineChars="200"/>
        <w:jc w:val="both"/>
        <w:rPr>
          <w:rFonts w:ascii="宋体" w:hAnsi="宋体"/>
          <w:color w:val="auto"/>
          <w:sz w:val="24"/>
          <w:highlight w:val="none"/>
        </w:rPr>
      </w:pPr>
    </w:p>
    <w:p w14:paraId="63BFFEDA">
      <w:pPr>
        <w:pStyle w:val="7"/>
        <w:spacing w:line="360" w:lineRule="auto"/>
        <w:ind w:firstLine="480" w:firstLineChars="200"/>
        <w:jc w:val="both"/>
        <w:rPr>
          <w:rFonts w:ascii="宋体" w:hAnsi="宋体"/>
          <w:color w:val="auto"/>
          <w:sz w:val="24"/>
          <w:highlight w:val="none"/>
        </w:rPr>
      </w:pPr>
    </w:p>
    <w:p w14:paraId="6BF5D2BB">
      <w:pPr>
        <w:pStyle w:val="7"/>
        <w:spacing w:line="360" w:lineRule="auto"/>
        <w:ind w:firstLine="480" w:firstLineChars="200"/>
        <w:jc w:val="both"/>
        <w:rPr>
          <w:rFonts w:ascii="宋体" w:hAnsi="宋体"/>
          <w:color w:val="auto"/>
          <w:sz w:val="24"/>
          <w:highlight w:val="none"/>
        </w:rPr>
      </w:pPr>
    </w:p>
    <w:p w14:paraId="0B64BDD6">
      <w:pPr>
        <w:pStyle w:val="7"/>
        <w:spacing w:line="360" w:lineRule="auto"/>
        <w:ind w:firstLine="480" w:firstLineChars="200"/>
        <w:jc w:val="both"/>
        <w:rPr>
          <w:rFonts w:ascii="宋体" w:hAnsi="宋体"/>
          <w:color w:val="auto"/>
          <w:sz w:val="24"/>
          <w:highlight w:val="none"/>
        </w:rPr>
      </w:pPr>
    </w:p>
    <w:p w14:paraId="034D5455">
      <w:pPr>
        <w:pStyle w:val="7"/>
        <w:spacing w:line="360" w:lineRule="auto"/>
        <w:ind w:firstLine="480" w:firstLineChars="200"/>
        <w:jc w:val="both"/>
        <w:rPr>
          <w:rFonts w:ascii="宋体" w:hAnsi="宋体"/>
          <w:color w:val="auto"/>
          <w:sz w:val="24"/>
          <w:highlight w:val="none"/>
        </w:rPr>
      </w:pPr>
    </w:p>
    <w:p w14:paraId="7508EAE7">
      <w:pPr>
        <w:pStyle w:val="7"/>
        <w:spacing w:line="360" w:lineRule="auto"/>
        <w:ind w:firstLine="480" w:firstLineChars="200"/>
        <w:jc w:val="both"/>
        <w:rPr>
          <w:rFonts w:ascii="宋体" w:hAnsi="宋体"/>
          <w:color w:val="auto"/>
          <w:sz w:val="24"/>
          <w:highlight w:val="none"/>
        </w:rPr>
      </w:pPr>
    </w:p>
    <w:p w14:paraId="4412352C">
      <w:pPr>
        <w:pStyle w:val="7"/>
        <w:spacing w:line="360" w:lineRule="auto"/>
        <w:ind w:firstLine="480" w:firstLineChars="200"/>
        <w:jc w:val="both"/>
        <w:rPr>
          <w:rFonts w:ascii="宋体" w:hAnsi="宋体"/>
          <w:color w:val="auto"/>
          <w:sz w:val="24"/>
          <w:highlight w:val="none"/>
        </w:rPr>
      </w:pPr>
    </w:p>
    <w:p w14:paraId="70F37E03">
      <w:pPr>
        <w:pStyle w:val="7"/>
        <w:spacing w:line="360" w:lineRule="auto"/>
        <w:ind w:firstLine="480" w:firstLineChars="200"/>
        <w:jc w:val="both"/>
        <w:rPr>
          <w:rFonts w:ascii="宋体" w:hAnsi="宋体"/>
          <w:color w:val="auto"/>
          <w:sz w:val="24"/>
          <w:highlight w:val="none"/>
        </w:rPr>
      </w:pPr>
    </w:p>
    <w:p w14:paraId="6DE3CE82">
      <w:pPr>
        <w:pStyle w:val="7"/>
        <w:spacing w:line="360" w:lineRule="auto"/>
        <w:ind w:firstLine="480" w:firstLineChars="200"/>
        <w:jc w:val="both"/>
        <w:rPr>
          <w:rFonts w:ascii="宋体" w:hAnsi="宋体"/>
          <w:color w:val="auto"/>
          <w:sz w:val="24"/>
          <w:highlight w:val="none"/>
        </w:rPr>
      </w:pPr>
    </w:p>
    <w:p w14:paraId="7180749A">
      <w:pPr>
        <w:pStyle w:val="7"/>
        <w:spacing w:line="360" w:lineRule="auto"/>
        <w:ind w:firstLine="480" w:firstLineChars="200"/>
        <w:jc w:val="both"/>
        <w:rPr>
          <w:rFonts w:ascii="宋体" w:hAnsi="宋体"/>
          <w:color w:val="auto"/>
          <w:sz w:val="24"/>
          <w:highlight w:val="none"/>
        </w:rPr>
      </w:pPr>
    </w:p>
    <w:p w14:paraId="71E03F2F">
      <w:pPr>
        <w:pStyle w:val="7"/>
        <w:spacing w:line="360" w:lineRule="auto"/>
        <w:ind w:firstLine="480" w:firstLineChars="200"/>
        <w:jc w:val="both"/>
        <w:rPr>
          <w:rFonts w:ascii="宋体" w:hAnsi="宋体"/>
          <w:color w:val="auto"/>
          <w:sz w:val="24"/>
          <w:highlight w:val="none"/>
        </w:rPr>
      </w:pPr>
    </w:p>
    <w:p w14:paraId="04B41083">
      <w:pPr>
        <w:pStyle w:val="7"/>
        <w:spacing w:line="360" w:lineRule="auto"/>
        <w:ind w:firstLine="480" w:firstLineChars="200"/>
        <w:jc w:val="both"/>
        <w:rPr>
          <w:rFonts w:ascii="宋体" w:hAnsi="宋体"/>
          <w:color w:val="auto"/>
          <w:sz w:val="24"/>
          <w:highlight w:val="none"/>
        </w:rPr>
      </w:pPr>
    </w:p>
    <w:p w14:paraId="5C58F58B">
      <w:pPr>
        <w:pStyle w:val="7"/>
        <w:spacing w:line="360" w:lineRule="auto"/>
        <w:ind w:firstLine="480" w:firstLineChars="200"/>
        <w:jc w:val="both"/>
        <w:rPr>
          <w:rFonts w:ascii="宋体" w:hAnsi="宋体"/>
          <w:color w:val="auto"/>
          <w:sz w:val="24"/>
          <w:highlight w:val="none"/>
        </w:rPr>
      </w:pPr>
    </w:p>
    <w:p w14:paraId="7BA6F15B">
      <w:pPr>
        <w:pStyle w:val="7"/>
        <w:spacing w:line="360" w:lineRule="auto"/>
        <w:ind w:firstLine="480" w:firstLineChars="200"/>
        <w:jc w:val="both"/>
        <w:rPr>
          <w:rFonts w:ascii="宋体" w:hAnsi="宋体"/>
          <w:color w:val="auto"/>
          <w:sz w:val="24"/>
          <w:highlight w:val="none"/>
        </w:rPr>
      </w:pPr>
    </w:p>
    <w:p w14:paraId="7F37FE56">
      <w:pPr>
        <w:pStyle w:val="7"/>
        <w:spacing w:line="360" w:lineRule="auto"/>
        <w:ind w:firstLine="480" w:firstLineChars="200"/>
        <w:jc w:val="both"/>
        <w:rPr>
          <w:rFonts w:ascii="宋体" w:hAnsi="宋体"/>
          <w:color w:val="auto"/>
          <w:sz w:val="24"/>
          <w:highlight w:val="none"/>
        </w:rPr>
      </w:pPr>
    </w:p>
    <w:p w14:paraId="413E8BE5">
      <w:pPr>
        <w:pStyle w:val="7"/>
        <w:spacing w:line="360" w:lineRule="auto"/>
        <w:ind w:firstLine="480" w:firstLineChars="200"/>
        <w:jc w:val="both"/>
        <w:rPr>
          <w:rFonts w:ascii="宋体" w:hAnsi="宋体"/>
          <w:color w:val="auto"/>
          <w:sz w:val="24"/>
          <w:highlight w:val="none"/>
        </w:rPr>
      </w:pPr>
    </w:p>
    <w:p w14:paraId="57C4321D">
      <w:pPr>
        <w:pStyle w:val="7"/>
        <w:spacing w:line="360" w:lineRule="auto"/>
        <w:ind w:firstLine="480" w:firstLineChars="200"/>
        <w:jc w:val="both"/>
        <w:rPr>
          <w:rFonts w:ascii="宋体" w:hAnsi="宋体"/>
          <w:color w:val="auto"/>
          <w:sz w:val="24"/>
          <w:highlight w:val="none"/>
        </w:rPr>
      </w:pPr>
    </w:p>
    <w:p w14:paraId="67B3A90A">
      <w:pPr>
        <w:pStyle w:val="7"/>
        <w:spacing w:line="360" w:lineRule="auto"/>
        <w:ind w:firstLine="480" w:firstLineChars="200"/>
        <w:jc w:val="both"/>
        <w:rPr>
          <w:rFonts w:ascii="宋体" w:hAnsi="宋体"/>
          <w:color w:val="auto"/>
          <w:sz w:val="24"/>
          <w:highlight w:val="none"/>
        </w:rPr>
      </w:pPr>
    </w:p>
    <w:p w14:paraId="5643CB7E">
      <w:pPr>
        <w:pStyle w:val="7"/>
        <w:spacing w:line="360" w:lineRule="auto"/>
        <w:ind w:firstLine="480" w:firstLineChars="200"/>
        <w:jc w:val="both"/>
        <w:rPr>
          <w:rFonts w:ascii="宋体" w:hAnsi="宋体"/>
          <w:color w:val="auto"/>
          <w:sz w:val="24"/>
          <w:highlight w:val="none"/>
        </w:rPr>
      </w:pPr>
    </w:p>
    <w:p w14:paraId="3F709357">
      <w:pPr>
        <w:pStyle w:val="7"/>
        <w:spacing w:line="360" w:lineRule="auto"/>
        <w:ind w:firstLine="480" w:firstLineChars="200"/>
        <w:jc w:val="both"/>
        <w:rPr>
          <w:rFonts w:ascii="宋体" w:hAnsi="宋体"/>
          <w:color w:val="auto"/>
          <w:sz w:val="24"/>
          <w:highlight w:val="none"/>
        </w:rPr>
      </w:pPr>
    </w:p>
    <w:p w14:paraId="230C2C55">
      <w:pPr>
        <w:pStyle w:val="7"/>
        <w:spacing w:line="360" w:lineRule="auto"/>
        <w:ind w:firstLine="480" w:firstLineChars="200"/>
        <w:jc w:val="both"/>
        <w:rPr>
          <w:rFonts w:ascii="宋体" w:hAnsi="宋体"/>
          <w:color w:val="auto"/>
          <w:sz w:val="24"/>
          <w:highlight w:val="none"/>
        </w:rPr>
      </w:pPr>
    </w:p>
    <w:p w14:paraId="30DEFEC9">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35" w:name="_Toc29935"/>
      <w:r>
        <w:rPr>
          <w:rFonts w:hint="eastAsia" w:asciiTheme="minorEastAsia" w:hAnsiTheme="minorEastAsia" w:eastAsiaTheme="minorEastAsia"/>
          <w:b/>
          <w:color w:val="auto"/>
          <w:sz w:val="36"/>
          <w:szCs w:val="36"/>
          <w:highlight w:val="none"/>
        </w:rPr>
        <w:t>项目需求</w:t>
      </w:r>
      <w:bookmarkEnd w:id="35"/>
    </w:p>
    <w:p w14:paraId="0012A170">
      <w:pPr>
        <w:tabs>
          <w:tab w:val="left" w:pos="8280"/>
        </w:tabs>
        <w:autoSpaceDE w:val="0"/>
        <w:autoSpaceDN w:val="0"/>
        <w:adjustRightInd w:val="0"/>
        <w:spacing w:line="360" w:lineRule="auto"/>
        <w:ind w:right="25"/>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项目一览表</w:t>
      </w:r>
    </w:p>
    <w:p w14:paraId="4A1D8EAE">
      <w:pPr>
        <w:tabs>
          <w:tab w:val="left" w:pos="8280"/>
        </w:tabs>
        <w:autoSpaceDE w:val="0"/>
        <w:autoSpaceDN w:val="0"/>
        <w:adjustRightInd w:val="0"/>
        <w:spacing w:line="360" w:lineRule="auto"/>
        <w:ind w:right="25"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本次磋商共</w:t>
      </w:r>
      <w:r>
        <w:rPr>
          <w:rFonts w:hint="eastAsia" w:asciiTheme="minorEastAsia" w:hAnsiTheme="minorEastAsia" w:eastAsiaTheme="minorEastAsia"/>
          <w:color w:val="auto"/>
          <w:sz w:val="24"/>
          <w:highlight w:val="none"/>
          <w:u w:val="single"/>
        </w:rPr>
        <w:t>1</w:t>
      </w:r>
      <w:r>
        <w:rPr>
          <w:rFonts w:hint="eastAsia" w:asciiTheme="minorEastAsia" w:hAnsiTheme="minorEastAsia" w:eastAsiaTheme="minorEastAsia"/>
          <w:color w:val="auto"/>
          <w:sz w:val="24"/>
          <w:highlight w:val="none"/>
        </w:rPr>
        <w:t>个标项，具体内容如下表：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915"/>
        <w:gridCol w:w="1750"/>
        <w:gridCol w:w="783"/>
        <w:gridCol w:w="717"/>
        <w:gridCol w:w="1117"/>
        <w:gridCol w:w="1435"/>
      </w:tblGrid>
      <w:tr w14:paraId="55FA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0" w:type="auto"/>
            <w:vAlign w:val="center"/>
          </w:tcPr>
          <w:p w14:paraId="0BDE64E0">
            <w:pPr>
              <w:tabs>
                <w:tab w:val="left" w:pos="8280"/>
              </w:tabs>
              <w:autoSpaceDE w:val="0"/>
              <w:autoSpaceDN w:val="0"/>
              <w:adjustRightIn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标项号</w:t>
            </w:r>
          </w:p>
        </w:tc>
        <w:tc>
          <w:tcPr>
            <w:tcW w:w="1915" w:type="dxa"/>
            <w:vAlign w:val="center"/>
          </w:tcPr>
          <w:p w14:paraId="2D8D43AC">
            <w:pPr>
              <w:tabs>
                <w:tab w:val="left" w:pos="8280"/>
              </w:tabs>
              <w:autoSpaceDE w:val="0"/>
              <w:autoSpaceDN w:val="0"/>
              <w:adjustRightInd w:val="0"/>
              <w:spacing w:line="360" w:lineRule="auto"/>
              <w:ind w:firstLine="120" w:firstLineChars="5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标项名称</w:t>
            </w:r>
          </w:p>
        </w:tc>
        <w:tc>
          <w:tcPr>
            <w:tcW w:w="1750" w:type="dxa"/>
            <w:vAlign w:val="center"/>
          </w:tcPr>
          <w:p w14:paraId="5898F255">
            <w:pPr>
              <w:tabs>
                <w:tab w:val="left" w:pos="8280"/>
              </w:tabs>
              <w:autoSpaceDE w:val="0"/>
              <w:autoSpaceDN w:val="0"/>
              <w:adjustRightInd w:val="0"/>
              <w:spacing w:line="360" w:lineRule="auto"/>
              <w:jc w:val="center"/>
              <w:rPr>
                <w:rFonts w:hint="eastAsia" w:asciiTheme="minorEastAsia" w:hAnsiTheme="minorEastAsia" w:eastAsiaTheme="minorEastAsia" w:cstheme="minorEastAsia"/>
                <w:b/>
                <w:color w:val="auto"/>
                <w:kern w:val="0"/>
                <w:sz w:val="24"/>
                <w:highlight w:val="none"/>
                <w:lang w:val="en-US" w:eastAsia="zh-CN"/>
              </w:rPr>
            </w:pPr>
            <w:r>
              <w:rPr>
                <w:rFonts w:hint="eastAsia" w:asciiTheme="minorEastAsia" w:hAnsiTheme="minorEastAsia" w:eastAsiaTheme="minorEastAsia" w:cstheme="minorEastAsia"/>
                <w:b/>
                <w:color w:val="auto"/>
                <w:kern w:val="0"/>
                <w:sz w:val="24"/>
                <w:highlight w:val="none"/>
                <w:lang w:val="en-US" w:eastAsia="zh-CN"/>
              </w:rPr>
              <w:t>服务内容</w:t>
            </w:r>
          </w:p>
        </w:tc>
        <w:tc>
          <w:tcPr>
            <w:tcW w:w="783" w:type="dxa"/>
            <w:vAlign w:val="center"/>
          </w:tcPr>
          <w:p w14:paraId="03393C05">
            <w:pPr>
              <w:tabs>
                <w:tab w:val="left" w:pos="8280"/>
              </w:tabs>
              <w:autoSpaceDE w:val="0"/>
              <w:autoSpaceDN w:val="0"/>
              <w:adjustRightIn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数量</w:t>
            </w:r>
          </w:p>
        </w:tc>
        <w:tc>
          <w:tcPr>
            <w:tcW w:w="717" w:type="dxa"/>
            <w:vAlign w:val="center"/>
          </w:tcPr>
          <w:p w14:paraId="7DF29963">
            <w:pPr>
              <w:tabs>
                <w:tab w:val="left" w:pos="8280"/>
              </w:tabs>
              <w:autoSpaceDE w:val="0"/>
              <w:autoSpaceDN w:val="0"/>
              <w:adjustRightIn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单位</w:t>
            </w:r>
          </w:p>
        </w:tc>
        <w:tc>
          <w:tcPr>
            <w:tcW w:w="1117" w:type="dxa"/>
            <w:vAlign w:val="center"/>
          </w:tcPr>
          <w:p w14:paraId="52AE8792">
            <w:pPr>
              <w:tabs>
                <w:tab w:val="left" w:pos="8280"/>
              </w:tabs>
              <w:autoSpaceDE w:val="0"/>
              <w:autoSpaceDN w:val="0"/>
              <w:adjustRightIn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预算</w:t>
            </w:r>
          </w:p>
          <w:p w14:paraId="7ECBDC4C">
            <w:pPr>
              <w:tabs>
                <w:tab w:val="left" w:pos="8280"/>
              </w:tabs>
              <w:autoSpaceDE w:val="0"/>
              <w:autoSpaceDN w:val="0"/>
              <w:adjustRightIn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（万元）</w:t>
            </w:r>
          </w:p>
        </w:tc>
        <w:tc>
          <w:tcPr>
            <w:tcW w:w="1435" w:type="dxa"/>
            <w:vAlign w:val="center"/>
          </w:tcPr>
          <w:p w14:paraId="54FF39E0">
            <w:pPr>
              <w:spacing w:line="360" w:lineRule="auto"/>
              <w:jc w:val="center"/>
              <w:rPr>
                <w:rFonts w:ascii="宋体" w:hAnsi="宋体"/>
                <w:b/>
                <w:color w:val="auto"/>
                <w:sz w:val="24"/>
                <w:highlight w:val="none"/>
              </w:rPr>
            </w:pPr>
            <w:r>
              <w:rPr>
                <w:rFonts w:hint="eastAsia" w:ascii="宋体" w:hAnsi="宋体"/>
                <w:b/>
                <w:color w:val="auto"/>
                <w:sz w:val="24"/>
                <w:highlight w:val="none"/>
              </w:rPr>
              <w:t>最高</w:t>
            </w:r>
            <w:r>
              <w:rPr>
                <w:rFonts w:ascii="宋体" w:hAnsi="宋体"/>
                <w:b/>
                <w:color w:val="auto"/>
                <w:sz w:val="24"/>
                <w:highlight w:val="none"/>
              </w:rPr>
              <w:t>限</w:t>
            </w:r>
            <w:r>
              <w:rPr>
                <w:rFonts w:hint="eastAsia" w:ascii="宋体" w:hAnsi="宋体"/>
                <w:b/>
                <w:color w:val="auto"/>
                <w:sz w:val="24"/>
                <w:highlight w:val="none"/>
              </w:rPr>
              <w:t>价</w:t>
            </w:r>
          </w:p>
          <w:p w14:paraId="5E876D9A">
            <w:pPr>
              <w:spacing w:line="360" w:lineRule="auto"/>
              <w:jc w:val="center"/>
              <w:rPr>
                <w:rFonts w:asciiTheme="minorEastAsia" w:hAnsiTheme="minorEastAsia" w:cstheme="minorEastAsia"/>
                <w:b/>
                <w:color w:val="auto"/>
                <w:sz w:val="24"/>
                <w:highlight w:val="none"/>
              </w:rPr>
            </w:pPr>
            <w:r>
              <w:rPr>
                <w:rFonts w:hint="eastAsia" w:ascii="宋体" w:hAnsi="宋体"/>
                <w:b/>
                <w:color w:val="auto"/>
                <w:sz w:val="24"/>
                <w:highlight w:val="none"/>
              </w:rPr>
              <w:t>（万元）</w:t>
            </w:r>
          </w:p>
        </w:tc>
      </w:tr>
      <w:tr w14:paraId="074E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0" w:type="auto"/>
            <w:vAlign w:val="center"/>
          </w:tcPr>
          <w:p w14:paraId="0FA595B3">
            <w:pPr>
              <w:tabs>
                <w:tab w:val="left" w:pos="8280"/>
              </w:tabs>
              <w:autoSpaceDE w:val="0"/>
              <w:autoSpaceDN w:val="0"/>
              <w:adjustRightIn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1915" w:type="dxa"/>
            <w:vAlign w:val="center"/>
          </w:tcPr>
          <w:p w14:paraId="30D47ADD">
            <w:pPr>
              <w:tabs>
                <w:tab w:val="left" w:pos="8280"/>
              </w:tabs>
              <w:autoSpaceDE w:val="0"/>
              <w:autoSpaceDN w:val="0"/>
              <w:adjustRightInd w:val="0"/>
              <w:spacing w:line="360" w:lineRule="auto"/>
              <w:jc w:val="center"/>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Cs/>
                <w:color w:val="auto"/>
                <w:sz w:val="24"/>
                <w:highlight w:val="none"/>
                <w:lang w:eastAsia="zh-CN"/>
              </w:rPr>
              <w:t>和合文化专题等媒体传播项目</w:t>
            </w:r>
          </w:p>
        </w:tc>
        <w:tc>
          <w:tcPr>
            <w:tcW w:w="1750" w:type="dxa"/>
            <w:vAlign w:val="center"/>
          </w:tcPr>
          <w:p w14:paraId="19F3DEA8">
            <w:pPr>
              <w:tabs>
                <w:tab w:val="left" w:pos="8280"/>
              </w:tabs>
              <w:autoSpaceDE w:val="0"/>
              <w:autoSpaceDN w:val="0"/>
              <w:adjustRightInd w:val="0"/>
              <w:spacing w:line="360" w:lineRule="auto"/>
              <w:jc w:val="center"/>
              <w:rPr>
                <w:rFonts w:hint="eastAsia" w:asciiTheme="minorEastAsia" w:hAnsiTheme="minorEastAsia" w:eastAsiaTheme="minorEastAsia" w:cstheme="minorEastAsia"/>
                <w:bCs/>
                <w:color w:val="auto"/>
                <w:sz w:val="24"/>
                <w:highlight w:val="none"/>
              </w:rPr>
            </w:pPr>
            <w:r>
              <w:rPr>
                <w:rFonts w:hint="eastAsia" w:ascii="宋体" w:hAnsi="宋体" w:cs="宋体"/>
                <w:b w:val="0"/>
                <w:bCs w:val="0"/>
                <w:color w:val="auto"/>
                <w:kern w:val="0"/>
                <w:sz w:val="24"/>
                <w:highlight w:val="none"/>
                <w:lang w:val="en-US" w:eastAsia="zh-CN"/>
              </w:rPr>
              <w:t>详见</w:t>
            </w:r>
            <w:r>
              <w:rPr>
                <w:rFonts w:hint="eastAsia" w:ascii="宋体" w:hAnsi="宋体" w:eastAsia="宋体" w:cs="宋体"/>
                <w:b w:val="0"/>
                <w:bCs w:val="0"/>
                <w:color w:val="auto"/>
                <w:sz w:val="24"/>
                <w:szCs w:val="24"/>
                <w:highlight w:val="none"/>
              </w:rPr>
              <w:t>主要</w:t>
            </w:r>
            <w:r>
              <w:rPr>
                <w:rFonts w:hint="eastAsia" w:ascii="宋体" w:hAnsi="宋体" w:cs="宋体"/>
                <w:b w:val="0"/>
                <w:bCs w:val="0"/>
                <w:color w:val="auto"/>
                <w:sz w:val="24"/>
                <w:szCs w:val="24"/>
                <w:highlight w:val="none"/>
                <w:lang w:val="en-US" w:eastAsia="zh-CN"/>
              </w:rPr>
              <w:t>服务内容</w:t>
            </w:r>
            <w:r>
              <w:rPr>
                <w:rFonts w:hint="eastAsia" w:ascii="宋体" w:hAnsi="宋体" w:eastAsia="宋体" w:cs="宋体"/>
                <w:b w:val="0"/>
                <w:bCs w:val="0"/>
                <w:color w:val="auto"/>
                <w:sz w:val="24"/>
                <w:szCs w:val="24"/>
                <w:highlight w:val="none"/>
              </w:rPr>
              <w:t>及要求</w:t>
            </w:r>
          </w:p>
        </w:tc>
        <w:tc>
          <w:tcPr>
            <w:tcW w:w="783" w:type="dxa"/>
            <w:vAlign w:val="center"/>
          </w:tcPr>
          <w:p w14:paraId="34A6A812">
            <w:pPr>
              <w:tabs>
                <w:tab w:val="left" w:pos="8280"/>
              </w:tabs>
              <w:autoSpaceDE w:val="0"/>
              <w:autoSpaceDN w:val="0"/>
              <w:adjustRightIn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717" w:type="dxa"/>
            <w:vAlign w:val="center"/>
          </w:tcPr>
          <w:p w14:paraId="34C66702">
            <w:pPr>
              <w:tabs>
                <w:tab w:val="left" w:pos="8280"/>
              </w:tabs>
              <w:autoSpaceDE w:val="0"/>
              <w:autoSpaceDN w:val="0"/>
              <w:adjustRightIn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w:t>
            </w:r>
          </w:p>
        </w:tc>
        <w:tc>
          <w:tcPr>
            <w:tcW w:w="1117" w:type="dxa"/>
            <w:vAlign w:val="center"/>
          </w:tcPr>
          <w:p w14:paraId="56596045">
            <w:pPr>
              <w:tabs>
                <w:tab w:val="left" w:pos="8280"/>
              </w:tabs>
              <w:autoSpaceDE w:val="0"/>
              <w:autoSpaceDN w:val="0"/>
              <w:adjustRightInd w:val="0"/>
              <w:spacing w:line="360" w:lineRule="auto"/>
              <w:jc w:val="center"/>
              <w:rPr>
                <w:rFonts w:hint="default"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200</w:t>
            </w:r>
          </w:p>
        </w:tc>
        <w:tc>
          <w:tcPr>
            <w:tcW w:w="1435" w:type="dxa"/>
            <w:vAlign w:val="center"/>
          </w:tcPr>
          <w:p w14:paraId="1F2C77C8">
            <w:pPr>
              <w:tabs>
                <w:tab w:val="left" w:pos="8280"/>
              </w:tabs>
              <w:autoSpaceDE w:val="0"/>
              <w:autoSpaceDN w:val="0"/>
              <w:adjustRightInd w:val="0"/>
              <w:spacing w:line="360" w:lineRule="auto"/>
              <w:jc w:val="center"/>
              <w:rPr>
                <w:rFonts w:hint="default"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200</w:t>
            </w:r>
          </w:p>
        </w:tc>
      </w:tr>
    </w:tbl>
    <w:p w14:paraId="11247BFB">
      <w:pPr>
        <w:pStyle w:val="6"/>
        <w:spacing w:line="360" w:lineRule="auto"/>
        <w:rPr>
          <w:rFonts w:asciiTheme="minorEastAsia" w:hAnsiTheme="minorEastAsia" w:eastAsiaTheme="minorEastAsia"/>
          <w:color w:val="auto"/>
          <w:sz w:val="24"/>
          <w:szCs w:val="24"/>
          <w:highlight w:val="none"/>
        </w:rPr>
      </w:pPr>
    </w:p>
    <w:p w14:paraId="049532A8">
      <w:pPr>
        <w:pStyle w:val="23"/>
        <w:spacing w:after="0" w:line="36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内容</w:t>
      </w:r>
    </w:p>
    <w:p w14:paraId="2364DA16">
      <w:pPr>
        <w:pStyle w:val="23"/>
        <w:spacing w:after="0" w:line="360" w:lineRule="auto"/>
        <w:ind w:left="0" w:leftChars="0" w:firstLine="64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与中央级头部媒体合作，围绕台州市委市政府的重点工作成果，例如和合文化等主题，组织国家高端媒体型智库团队赴台州开展3次主题调研，3次调研成果在拥有国家新闻采集发布机构资质主办的平台推广、落地；</w:t>
      </w:r>
    </w:p>
    <w:p w14:paraId="03614D61">
      <w:pPr>
        <w:pStyle w:val="23"/>
        <w:spacing w:after="0" w:line="360" w:lineRule="auto"/>
        <w:ind w:left="0" w:leftChars="0" w:firstLine="64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结合台州的实际需求，双方共同建立和合文化国际传播战略合作机制，采用“央地联动、融通中外”的策略，在不低于2000万粉丝数的中央级头部媒体官方海外社交媒体平台账号不定期发布台州和合文化等主题推文，对外生动展示台州城市形象；</w:t>
      </w:r>
    </w:p>
    <w:p w14:paraId="58F27F8D">
      <w:pPr>
        <w:pStyle w:val="23"/>
        <w:spacing w:after="0" w:line="360" w:lineRule="auto"/>
        <w:ind w:left="0" w:leftChars="0" w:firstLine="64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3、在中央级媒体新媒体端平台不定期配合推送相关图文或短视频信息，常态化展示台州经济社会、和合文化等方面的发展成果经验；</w:t>
      </w:r>
    </w:p>
    <w:p w14:paraId="46C75EE6">
      <w:pPr>
        <w:pStyle w:val="23"/>
        <w:spacing w:after="0" w:line="360" w:lineRule="auto"/>
        <w:ind w:left="0" w:leftChars="0" w:firstLine="64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4、发挥中央级头部媒体优势、职能，加强日常沟通对接，在重大突发事件方面协助台州做好舆情指导</w:t>
      </w:r>
      <w:r>
        <w:rPr>
          <w:rFonts w:hint="eastAsia" w:ascii="宋体" w:hAnsi="宋体" w:eastAsia="宋体" w:cs="宋体"/>
          <w:color w:val="auto"/>
          <w:kern w:val="2"/>
          <w:sz w:val="24"/>
          <w:szCs w:val="24"/>
          <w:highlight w:val="none"/>
          <w:lang w:val="en-US" w:eastAsia="zh-CN" w:bidi="ar-SA"/>
        </w:rPr>
        <w:t>和引导</w:t>
      </w:r>
      <w:r>
        <w:rPr>
          <w:rFonts w:hint="default" w:ascii="宋体" w:hAnsi="宋体" w:eastAsia="宋体" w:cs="宋体"/>
          <w:color w:val="auto"/>
          <w:kern w:val="2"/>
          <w:sz w:val="24"/>
          <w:szCs w:val="24"/>
          <w:highlight w:val="none"/>
          <w:lang w:val="en-US" w:eastAsia="zh-CN" w:bidi="ar-SA"/>
        </w:rPr>
        <w:t>工作，共同打造政媒合作典范。</w:t>
      </w:r>
    </w:p>
    <w:p w14:paraId="7AA22AF4">
      <w:pPr>
        <w:pStyle w:val="23"/>
        <w:spacing w:after="0" w:line="360" w:lineRule="auto"/>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cs="宋体"/>
          <w:b/>
          <w:bCs/>
          <w:color w:val="auto"/>
          <w:sz w:val="24"/>
          <w:szCs w:val="24"/>
          <w:highlight w:val="none"/>
          <w:lang w:val="en-US" w:eastAsia="zh-CN"/>
        </w:rPr>
        <w:t>服务要求</w:t>
      </w:r>
    </w:p>
    <w:p w14:paraId="17DFE5F6">
      <w:pPr>
        <w:pStyle w:val="12"/>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1、供应商</w:t>
      </w:r>
      <w:r>
        <w:rPr>
          <w:rFonts w:hint="eastAsia" w:ascii="宋体" w:hAnsi="宋体" w:eastAsia="宋体" w:cs="宋体"/>
          <w:color w:val="auto"/>
          <w:sz w:val="24"/>
          <w:szCs w:val="24"/>
          <w:highlight w:val="none"/>
          <w:lang w:val="en-US" w:eastAsia="zh-CN"/>
        </w:rPr>
        <w:t>在履行合同义务期间，应遵守国家有关法律、法规，维护</w:t>
      </w:r>
      <w:r>
        <w:rPr>
          <w:rFonts w:hint="eastAsia"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的合法权益。</w:t>
      </w:r>
    </w:p>
    <w:p w14:paraId="737CA2BD">
      <w:pPr>
        <w:pStyle w:val="12"/>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2、供应商</w:t>
      </w:r>
      <w:r>
        <w:rPr>
          <w:rFonts w:hint="eastAsia" w:ascii="宋体" w:hAnsi="宋体" w:eastAsia="宋体" w:cs="宋体"/>
          <w:color w:val="auto"/>
          <w:sz w:val="24"/>
          <w:szCs w:val="24"/>
          <w:highlight w:val="none"/>
          <w:lang w:val="en-US" w:eastAsia="zh-CN"/>
        </w:rPr>
        <w:t>应按投标文件中的承诺组建能够满足本项目服务需要的项目小组，按照工作范围和内容完成策划</w:t>
      </w:r>
      <w:r>
        <w:rPr>
          <w:rFonts w:hint="eastAsia" w:eastAsia="宋体" w:cs="宋体"/>
          <w:color w:val="auto"/>
          <w:sz w:val="24"/>
          <w:szCs w:val="24"/>
          <w:highlight w:val="none"/>
          <w:lang w:val="en-US" w:eastAsia="zh-CN"/>
        </w:rPr>
        <w:t>编辑制作等</w:t>
      </w:r>
      <w:r>
        <w:rPr>
          <w:rFonts w:hint="eastAsia" w:ascii="宋体" w:hAnsi="宋体" w:eastAsia="宋体" w:cs="宋体"/>
          <w:color w:val="auto"/>
          <w:sz w:val="24"/>
          <w:szCs w:val="24"/>
          <w:highlight w:val="none"/>
          <w:lang w:val="en-US" w:eastAsia="zh-CN"/>
        </w:rPr>
        <w:t>工作，并按约定向</w:t>
      </w:r>
      <w:r>
        <w:rPr>
          <w:rFonts w:hint="eastAsia"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汇报工作进展。</w:t>
      </w:r>
    </w:p>
    <w:p w14:paraId="25E66987">
      <w:pPr>
        <w:pStyle w:val="12"/>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投标人应在投标文件中明确投入本项目服务的人员基本配备。</w:t>
      </w:r>
    </w:p>
    <w:p w14:paraId="00A8DD2E">
      <w:pPr>
        <w:pStyle w:val="12"/>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4、供应商</w:t>
      </w:r>
      <w:r>
        <w:rPr>
          <w:rFonts w:hint="eastAsia" w:ascii="宋体" w:hAnsi="宋体" w:eastAsia="宋体" w:cs="宋体"/>
          <w:color w:val="auto"/>
          <w:sz w:val="24"/>
          <w:szCs w:val="24"/>
          <w:highlight w:val="none"/>
          <w:lang w:val="en-US" w:eastAsia="zh-CN"/>
        </w:rPr>
        <w:t>应自行承担项目实施过程中所有安全生产责任，采购人任何情况下均不承担因此产生的任何法律责任和经济责任。</w:t>
      </w:r>
    </w:p>
    <w:p w14:paraId="5966E8C2">
      <w:pPr>
        <w:pStyle w:val="12"/>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成交供应商负有保密责任，未经采购人同意，关于本项目的任何情况均不得私自对外发布或散播，否则，自行承担所有责任。</w:t>
      </w:r>
    </w:p>
    <w:p w14:paraId="78E3DC70">
      <w:pPr>
        <w:pStyle w:val="12"/>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编制署名权归成交供应商所有，版权归采购人所有，采购人有权公开展示编制成果，并通过传播、媒介、专业杂志、书刊及其他形式介绍、展示、评价编制成果。</w:t>
      </w:r>
    </w:p>
    <w:p w14:paraId="0350319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、服务期及售后要求</w:t>
      </w:r>
    </w:p>
    <w:p w14:paraId="270158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合同签订之日起</w:t>
      </w:r>
      <w:r>
        <w:rPr>
          <w:rFonts w:hint="eastAsia" w:ascii="宋体" w:hAnsi="宋体" w:cs="宋体"/>
          <w:color w:val="auto"/>
          <w:sz w:val="24"/>
          <w:szCs w:val="24"/>
          <w:highlight w:val="none"/>
          <w:lang w:val="en-US" w:eastAsia="zh-CN"/>
        </w:rPr>
        <w:t>一年内</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根据采购人要求完成</w:t>
      </w:r>
      <w:r>
        <w:rPr>
          <w:rFonts w:hint="eastAsia" w:ascii="宋体" w:hAnsi="宋体" w:eastAsia="宋体" w:cs="宋体"/>
          <w:color w:val="auto"/>
          <w:sz w:val="24"/>
          <w:szCs w:val="24"/>
          <w:highlight w:val="none"/>
          <w:lang w:val="en-US" w:eastAsia="zh-CN"/>
        </w:rPr>
        <w:t>相关工作</w:t>
      </w:r>
      <w:r>
        <w:rPr>
          <w:rFonts w:hint="eastAsia" w:ascii="宋体" w:hAnsi="宋体" w:eastAsia="宋体" w:cs="宋体"/>
          <w:color w:val="auto"/>
          <w:sz w:val="24"/>
          <w:szCs w:val="24"/>
          <w:highlight w:val="none"/>
        </w:rPr>
        <w:t>。</w:t>
      </w:r>
    </w:p>
    <w:p w14:paraId="4B71B73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、其</w:t>
      </w:r>
      <w:r>
        <w:rPr>
          <w:rFonts w:hint="eastAsia" w:ascii="宋体" w:hAnsi="宋体" w:eastAsia="宋体" w:cs="宋体"/>
          <w:b/>
          <w:bCs/>
          <w:color w:val="auto"/>
          <w:sz w:val="24"/>
          <w:szCs w:val="24"/>
          <w:highlight w:val="none"/>
          <w:lang w:eastAsia="zh-CN"/>
        </w:rPr>
        <w:t>他</w:t>
      </w:r>
      <w:r>
        <w:rPr>
          <w:rFonts w:hint="eastAsia" w:ascii="宋体" w:hAnsi="宋体" w:eastAsia="宋体" w:cs="宋体"/>
          <w:b/>
          <w:bCs/>
          <w:color w:val="auto"/>
          <w:sz w:val="24"/>
          <w:szCs w:val="24"/>
          <w:highlight w:val="none"/>
        </w:rPr>
        <w:t>相关要求</w:t>
      </w:r>
    </w:p>
    <w:p w14:paraId="6D54A46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Cs/>
          <w:color w:val="auto"/>
          <w:sz w:val="24"/>
          <w:szCs w:val="24"/>
          <w:highlight w:val="none"/>
        </w:rPr>
        <w:t>1、受托方应尽职尽责为采购人提供服务，按时、按质、按量完成采购人委托的业务。</w:t>
      </w:r>
    </w:p>
    <w:p w14:paraId="217925C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2、中标单位需按照采购人的要求完成对项目的策划、撰写、</w:t>
      </w:r>
      <w:r>
        <w:rPr>
          <w:rFonts w:hint="eastAsia" w:ascii="宋体" w:hAnsi="宋体" w:eastAsia="宋体" w:cs="宋体"/>
          <w:b w:val="0"/>
          <w:bCs/>
          <w:color w:val="auto"/>
          <w:sz w:val="24"/>
          <w:szCs w:val="24"/>
          <w:highlight w:val="none"/>
          <w:lang w:eastAsia="zh-CN"/>
        </w:rPr>
        <w:t>拍摄、</w:t>
      </w:r>
      <w:r>
        <w:rPr>
          <w:rFonts w:hint="eastAsia" w:ascii="宋体" w:hAnsi="宋体" w:eastAsia="宋体" w:cs="宋体"/>
          <w:b w:val="0"/>
          <w:bCs/>
          <w:color w:val="auto"/>
          <w:sz w:val="24"/>
          <w:szCs w:val="24"/>
          <w:highlight w:val="none"/>
        </w:rPr>
        <w:t>编印等整个制作过程，采购人不承担其他任何费用。</w:t>
      </w:r>
    </w:p>
    <w:p w14:paraId="02F187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3、本采购需求未明示的相关需求及服务，按采购人要求执行。</w:t>
      </w:r>
    </w:p>
    <w:p w14:paraId="18D88D13">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六、支付方式 </w:t>
      </w:r>
    </w:p>
    <w:p w14:paraId="36516918">
      <w:pPr>
        <w:pStyle w:val="12"/>
        <w:numPr>
          <w:ilvl w:val="0"/>
          <w:numId w:val="0"/>
        </w:numPr>
        <w:spacing w:before="0" w:after="0"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sz w:val="24"/>
          <w:szCs w:val="24"/>
          <w:highlight w:val="none"/>
          <w:lang w:val="en-US" w:eastAsia="zh-CN"/>
        </w:rPr>
        <w:t>合同签订并具备实施条件后</w:t>
      </w:r>
      <w:r>
        <w:rPr>
          <w:rFonts w:hint="eastAsia" w:ascii="宋体" w:hAnsi="宋体" w:cs="宋体"/>
          <w:b w:val="0"/>
          <w:bCs w:val="0"/>
          <w:i w:val="0"/>
          <w:iCs w:val="0"/>
          <w:color w:val="auto"/>
          <w:sz w:val="24"/>
          <w:szCs w:val="24"/>
          <w:highlight w:val="none"/>
          <w:lang w:val="en-US" w:eastAsia="zh-CN"/>
        </w:rPr>
        <w:t>7</w:t>
      </w:r>
      <w:r>
        <w:rPr>
          <w:rFonts w:hint="eastAsia" w:ascii="宋体" w:hAnsi="宋体" w:eastAsia="宋体" w:cs="宋体"/>
          <w:b w:val="0"/>
          <w:bCs w:val="0"/>
          <w:i w:val="0"/>
          <w:iCs w:val="0"/>
          <w:color w:val="auto"/>
          <w:sz w:val="24"/>
          <w:szCs w:val="24"/>
          <w:highlight w:val="none"/>
          <w:lang w:val="en-US" w:eastAsia="zh-CN"/>
        </w:rPr>
        <w:t>个工作日内采购人支付至合同价的</w:t>
      </w:r>
      <w:r>
        <w:rPr>
          <w:rFonts w:hint="eastAsia" w:cs="宋体"/>
          <w:b w:val="0"/>
          <w:bCs w:val="0"/>
          <w:i w:val="0"/>
          <w:iCs w:val="0"/>
          <w:color w:val="auto"/>
          <w:sz w:val="24"/>
          <w:szCs w:val="24"/>
          <w:highlight w:val="none"/>
          <w:lang w:val="en-US" w:eastAsia="zh-CN"/>
        </w:rPr>
        <w:t>70</w:t>
      </w:r>
      <w:r>
        <w:rPr>
          <w:rFonts w:hint="eastAsia" w:ascii="宋体" w:hAnsi="宋体" w:eastAsia="宋体" w:cs="宋体"/>
          <w:b w:val="0"/>
          <w:bCs w:val="0"/>
          <w:i w:val="0"/>
          <w:iCs w:val="0"/>
          <w:color w:val="auto"/>
          <w:sz w:val="24"/>
          <w:szCs w:val="24"/>
          <w:highlight w:val="none"/>
          <w:lang w:val="en-US" w:eastAsia="zh-CN"/>
        </w:rPr>
        <w:t>%为预付款，项目完成并经采购人验收合格后支付至合同价的100%。</w:t>
      </w:r>
    </w:p>
    <w:p w14:paraId="402680F3">
      <w:pPr>
        <w:pStyle w:val="12"/>
        <w:numPr>
          <w:ilvl w:val="0"/>
          <w:numId w:val="0"/>
        </w:numPr>
        <w:spacing w:before="0" w:after="0"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七、保密要求</w:t>
      </w:r>
    </w:p>
    <w:p w14:paraId="57E721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须建立严格的保密制度，并加强对工作人员的保密管理及保密知识教育，须承担与此有关的技术情报和数据资料的保密责任。</w:t>
      </w:r>
    </w:p>
    <w:p w14:paraId="177A0D53">
      <w:pPr>
        <w:adjustRightInd/>
        <w:spacing w:line="360" w:lineRule="auto"/>
        <w:ind w:firstLine="482" w:firstLineChars="200"/>
        <w:rPr>
          <w:rFonts w:hint="eastAsia" w:ascii="宋体" w:hAnsi="宋体" w:eastAsia="宋体" w:cs="宋体"/>
          <w:b/>
          <w:bCs/>
          <w:i w:val="0"/>
          <w:iCs w:val="0"/>
          <w:color w:val="auto"/>
          <w:sz w:val="24"/>
          <w:szCs w:val="24"/>
          <w:highlight w:val="none"/>
          <w:lang w:eastAsia="zh-Hans"/>
        </w:rPr>
      </w:pPr>
      <w:r>
        <w:rPr>
          <w:rFonts w:hint="eastAsia" w:ascii="宋体" w:hAnsi="宋体" w:eastAsia="宋体" w:cs="宋体"/>
          <w:b/>
          <w:bCs/>
          <w:i w:val="0"/>
          <w:iCs w:val="0"/>
          <w:color w:val="auto"/>
          <w:sz w:val="24"/>
          <w:szCs w:val="24"/>
          <w:highlight w:val="none"/>
          <w:lang w:val="en-US" w:eastAsia="zh-CN"/>
        </w:rPr>
        <w:t>八、</w:t>
      </w:r>
      <w:r>
        <w:rPr>
          <w:rFonts w:hint="eastAsia" w:ascii="宋体" w:hAnsi="宋体" w:eastAsia="宋体" w:cs="宋体"/>
          <w:b/>
          <w:bCs/>
          <w:i w:val="0"/>
          <w:iCs w:val="0"/>
          <w:color w:val="auto"/>
          <w:sz w:val="24"/>
          <w:szCs w:val="24"/>
          <w:highlight w:val="none"/>
          <w:lang w:eastAsia="zh-Hans"/>
        </w:rPr>
        <w:t>知识产权</w:t>
      </w:r>
    </w:p>
    <w:p w14:paraId="383470F8">
      <w:pPr>
        <w:adjustRightInd/>
        <w:spacing w:line="360" w:lineRule="auto"/>
        <w:ind w:firstLine="480" w:firstLineChars="200"/>
        <w:rPr>
          <w:rFonts w:hint="eastAsia" w:ascii="宋体" w:hAnsi="宋体" w:eastAsia="宋体" w:cs="宋体"/>
          <w:b w:val="0"/>
          <w:bCs w:val="0"/>
          <w:i w:val="0"/>
          <w:iCs w:val="0"/>
          <w:color w:val="auto"/>
          <w:sz w:val="24"/>
          <w:szCs w:val="24"/>
          <w:highlight w:val="none"/>
          <w:lang w:eastAsia="zh-Hans"/>
        </w:rPr>
      </w:pPr>
      <w:r>
        <w:rPr>
          <w:rFonts w:hint="eastAsia" w:ascii="宋体" w:hAnsi="宋体" w:eastAsia="宋体" w:cs="宋体"/>
          <w:b w:val="0"/>
          <w:bCs w:val="0"/>
          <w:i w:val="0"/>
          <w:iCs w:val="0"/>
          <w:color w:val="auto"/>
          <w:sz w:val="24"/>
          <w:szCs w:val="24"/>
          <w:highlight w:val="none"/>
          <w:lang w:eastAsia="zh-Hans"/>
        </w:rPr>
        <w:t>1、履行本项目过程中所产生的图片、视频、音频等一切相关内容的知识产权由采购人享有。未经采购人授权，供应商不得用于本项以外的其他途径，供应商违反前述约定的，应承担相应的法律责任。</w:t>
      </w:r>
    </w:p>
    <w:p w14:paraId="75EFF8EB">
      <w:pPr>
        <w:pStyle w:val="30"/>
        <w:spacing w:line="360" w:lineRule="auto"/>
        <w:rPr>
          <w:color w:val="auto"/>
          <w:highlight w:val="none"/>
        </w:rPr>
      </w:pPr>
      <w:r>
        <w:rPr>
          <w:rFonts w:hint="eastAsia" w:ascii="宋体" w:hAnsi="宋体" w:eastAsia="宋体" w:cs="宋体"/>
          <w:b w:val="0"/>
          <w:bCs w:val="0"/>
          <w:i w:val="0"/>
          <w:iCs w:val="0"/>
          <w:color w:val="auto"/>
          <w:sz w:val="24"/>
          <w:szCs w:val="24"/>
          <w:highlight w:val="none"/>
          <w:lang w:eastAsia="zh-Hans"/>
        </w:rPr>
        <w:t>2、供应商须承诺在项目开展期间，未侵犯他人的商标权、专利权、肖像权、著作权等在先权利，否则因此产生的一切法律后果以及责任由供应商承担</w:t>
      </w:r>
      <w:r>
        <w:rPr>
          <w:rFonts w:hint="eastAsia" w:ascii="宋体" w:hAnsi="宋体" w:eastAsia="宋体" w:cs="宋体"/>
          <w:color w:val="auto"/>
          <w:sz w:val="22"/>
          <w:szCs w:val="22"/>
          <w:highlight w:val="none"/>
        </w:rPr>
        <w:t>。</w:t>
      </w:r>
      <w:r>
        <w:rPr>
          <w:rFonts w:hint="eastAsia" w:ascii="宋体" w:hAnsi="宋体" w:cs="宋体"/>
          <w:b/>
          <w:color w:val="auto"/>
          <w:sz w:val="36"/>
          <w:szCs w:val="36"/>
          <w:highlight w:val="none"/>
        </w:rPr>
        <w:br w:type="page"/>
      </w:r>
    </w:p>
    <w:p w14:paraId="1C6844C6">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36" w:name="_Toc19531"/>
      <w:r>
        <w:rPr>
          <w:rFonts w:hint="eastAsia" w:asciiTheme="minorEastAsia" w:hAnsiTheme="minorEastAsia" w:eastAsiaTheme="minorEastAsia"/>
          <w:b/>
          <w:color w:val="auto"/>
          <w:sz w:val="36"/>
          <w:szCs w:val="36"/>
          <w:highlight w:val="none"/>
        </w:rPr>
        <w:t>磋商</w:t>
      </w:r>
      <w:bookmarkEnd w:id="36"/>
    </w:p>
    <w:p w14:paraId="266826A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一、磋商原则</w:t>
      </w:r>
    </w:p>
    <w:p w14:paraId="37AADDBA">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095807F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二、评审方法</w:t>
      </w:r>
    </w:p>
    <w:p w14:paraId="0DFD07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综合评分法,是指响应文件满足磋商文件全部实质性要求且按照评审因素的量化指标评审得分最高的供应商为成交候选人的评标方法。</w:t>
      </w:r>
    </w:p>
    <w:p w14:paraId="2A3887FB">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三、磋商小组</w:t>
      </w:r>
    </w:p>
    <w:p w14:paraId="6BDDACC9">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w:t>
      </w: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rPr>
        <w:t>采购人代表和评审专家共3人以上单数</w:t>
      </w:r>
      <w:r>
        <w:rPr>
          <w:rFonts w:asciiTheme="minorEastAsia" w:hAnsiTheme="minorEastAsia" w:eastAsiaTheme="minorEastAsia"/>
          <w:color w:val="auto"/>
          <w:sz w:val="24"/>
          <w:highlight w:val="none"/>
        </w:rPr>
        <w:t>组成</w:t>
      </w:r>
      <w:r>
        <w:rPr>
          <w:rFonts w:hint="eastAsia" w:asciiTheme="minorEastAsia" w:hAnsiTheme="minorEastAsia" w:eastAsiaTheme="minorEastAsia"/>
          <w:color w:val="auto"/>
          <w:sz w:val="24"/>
          <w:highlight w:val="none"/>
        </w:rPr>
        <w:t>。</w:t>
      </w:r>
    </w:p>
    <w:p w14:paraId="00D88CEA">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成员</w:t>
      </w:r>
      <w:r>
        <w:rPr>
          <w:rFonts w:hint="eastAsia" w:ascii="宋体" w:hAnsi="宋体" w:cs="宋体"/>
          <w:color w:val="auto"/>
          <w:sz w:val="24"/>
          <w:szCs w:val="24"/>
          <w:highlight w:val="none"/>
        </w:rPr>
        <w:t>与参与磋商的供应商</w:t>
      </w:r>
      <w:r>
        <w:rPr>
          <w:rFonts w:hint="eastAsia" w:asciiTheme="minorEastAsia" w:hAnsiTheme="minorEastAsia" w:eastAsiaTheme="minorEastAsia"/>
          <w:color w:val="auto"/>
          <w:sz w:val="24"/>
          <w:highlight w:val="none"/>
        </w:rPr>
        <w:t>有下列情形之一的，应当回避：</w:t>
      </w:r>
    </w:p>
    <w:p w14:paraId="17B5CE1F">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1.参加采购活动前3年内与供应商存在劳动关系；</w:t>
      </w:r>
    </w:p>
    <w:p w14:paraId="25883409">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2.参加采购活动前3年内担任供应商的董事、监事；</w:t>
      </w:r>
    </w:p>
    <w:p w14:paraId="408A4496">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3.参加采购活动前3年内是供应商的控股股东或者实际控制人；</w:t>
      </w:r>
    </w:p>
    <w:p w14:paraId="7BD885B5">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4.与供应商的法定代表人或者负责人有夫妻、直系血亲、三代以内旁系血亲或者近姻亲关系；</w:t>
      </w:r>
    </w:p>
    <w:p w14:paraId="4BEB831D">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5.与供应商有其他可能影响政府采购活动公平、公正进行的关系。</w:t>
      </w:r>
    </w:p>
    <w:p w14:paraId="674F47E1">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负责具体评审事务，并独立履行下列职责：</w:t>
      </w:r>
    </w:p>
    <w:p w14:paraId="714CD688">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1.审查、评价响应文件是否符合磋商文件的商务、技术等实质性要求；</w:t>
      </w:r>
    </w:p>
    <w:p w14:paraId="4C47130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2.要求供应商对响应文件有关事项作出澄清或者说明；</w:t>
      </w:r>
    </w:p>
    <w:p w14:paraId="1C0D5556">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3.对响应文件进行比较和评价；</w:t>
      </w:r>
    </w:p>
    <w:p w14:paraId="02956DE7">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4.确定成交候选人名单，以及根据采购人委托直接确定成交供应商；</w:t>
      </w:r>
    </w:p>
    <w:p w14:paraId="0461817F">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5.向采购人、采购</w:t>
      </w:r>
      <w:r>
        <w:rPr>
          <w:rFonts w:hint="eastAsia" w:asciiTheme="minorEastAsia" w:hAnsiTheme="minorEastAsia" w:eastAsiaTheme="minorEastAsia" w:cstheme="minorBidi"/>
          <w:color w:val="auto"/>
          <w:sz w:val="24"/>
          <w:highlight w:val="none"/>
        </w:rPr>
        <w:t>组织</w:t>
      </w:r>
      <w:r>
        <w:rPr>
          <w:rFonts w:hint="eastAsia" w:asciiTheme="minorEastAsia" w:hAnsiTheme="minorEastAsia" w:eastAsiaTheme="minorEastAsia"/>
          <w:color w:val="auto"/>
          <w:sz w:val="24"/>
          <w:highlight w:val="none"/>
        </w:rPr>
        <w:t>机构或者有关部门报告评审中发现的违法行为；</w:t>
      </w:r>
    </w:p>
    <w:p w14:paraId="11694404">
      <w:pPr>
        <w:pStyle w:val="6"/>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6.法律法规规定的其他职责。</w:t>
      </w:r>
    </w:p>
    <w:p w14:paraId="7658CF9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四、磋商要求</w:t>
      </w:r>
    </w:p>
    <w:p w14:paraId="2A7DB84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（一）采购人、采购代理机构不得对磋商小组中的评审专家作倾向性、误导性的解释或者说明。</w:t>
      </w:r>
    </w:p>
    <w:p w14:paraId="70051F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（二）磋商小组所有成员应当集中与单一供应商分别进行磋商，并给予所有参加磋商的供应商平等的磋商机会。</w:t>
      </w:r>
    </w:p>
    <w:p w14:paraId="7BDB51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（三）在磋商过程中，磋商小组可以根据磋商文件和磋商情况实质性变动采购需求中的技术、服务要求以及合同草案条款，但不得变动磋商文件中的其他内容。实质性变动的内容，须经采购人代表确认。</w:t>
      </w:r>
    </w:p>
    <w:p w14:paraId="099295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（四）对磋商文件作出的实质性变动是磋商文件的有效组成部分，磋商小组应当及时以书面形式同时通知所有参加磋商的供应商。</w:t>
      </w:r>
    </w:p>
    <w:p w14:paraId="241310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（五）供应商应当按照磋商文件的变动情况和磋商小组的要求重新提交响应文件，并由其法定代表人或授权代表签字或者加盖公章。</w:t>
      </w:r>
    </w:p>
    <w:p w14:paraId="456B2496">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（六）已提交响应文件的供应商，在提交最后报价之前，可以根据磋商情况退出磋商。</w:t>
      </w:r>
    </w:p>
    <w:p w14:paraId="68CE95BB">
      <w:pPr>
        <w:pStyle w:val="21"/>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五、无效响应情形</w:t>
      </w:r>
    </w:p>
    <w:p w14:paraId="69660E49">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32"/>
          <w:highlight w:val="none"/>
        </w:rPr>
        <w:t>（一）</w:t>
      </w:r>
      <w:r>
        <w:rPr>
          <w:rFonts w:hint="eastAsia" w:asciiTheme="minorEastAsia" w:hAnsiTheme="minorEastAsia" w:eastAsiaTheme="minorEastAsia"/>
          <w:color w:val="auto"/>
          <w:kern w:val="0"/>
          <w:sz w:val="24"/>
          <w:highlight w:val="none"/>
        </w:rPr>
        <w:t>在资格证明文件或商务与技术文件中出现响应报价的，或者报价文件中报价的货物跟商务与技术文件中的供应货物出现重大偏差的；</w:t>
      </w:r>
    </w:p>
    <w:p w14:paraId="579AF13E">
      <w:pPr>
        <w:pStyle w:val="21"/>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（二）</w:t>
      </w:r>
      <w:r>
        <w:rPr>
          <w:rFonts w:asciiTheme="minorEastAsia" w:hAnsiTheme="minorEastAsia" w:eastAsiaTheme="minorEastAsia"/>
          <w:color w:val="auto"/>
          <w:highlight w:val="none"/>
        </w:rPr>
        <w:t>不具备磋商文件中规定的资格要求的；</w:t>
      </w:r>
      <w:r>
        <w:rPr>
          <w:rFonts w:hint="default" w:asciiTheme="minorEastAsia" w:hAnsiTheme="minorEastAsia" w:eastAsiaTheme="minorEastAsia"/>
          <w:color w:val="auto"/>
          <w:highlight w:val="none"/>
        </w:rPr>
        <w:tab/>
      </w:r>
    </w:p>
    <w:p w14:paraId="56369E6B">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（三）</w:t>
      </w:r>
      <w:r>
        <w:rPr>
          <w:rFonts w:asciiTheme="minorEastAsia" w:hAnsiTheme="minorEastAsia" w:eastAsiaTheme="minorEastAsia"/>
          <w:color w:val="auto"/>
          <w:highlight w:val="none"/>
        </w:rPr>
        <w:t>响应文件含有采购人不能接受的附加条件的；</w:t>
      </w:r>
    </w:p>
    <w:p w14:paraId="27F97623">
      <w:pPr>
        <w:pStyle w:val="7"/>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磋商小组认为供应商的报价明显低于其他通过符合性审查供应商的报价，有可能影响产品质量或者不能诚信履约的，供应商在限定的时间内不能证明其报价合理性的，磋商小组应当将其作为无效投标处理；</w:t>
      </w:r>
    </w:p>
    <w:p w14:paraId="442DF77E">
      <w:pPr>
        <w:pStyle w:val="21"/>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（五）</w:t>
      </w:r>
      <w:r>
        <w:rPr>
          <w:rFonts w:asciiTheme="minorEastAsia" w:hAnsiTheme="minorEastAsia" w:eastAsiaTheme="minorEastAsia"/>
          <w:color w:val="auto"/>
          <w:highlight w:val="none"/>
        </w:rPr>
        <w:t xml:space="preserve">报价超过磋商文件中规定的预算金额/最高限价； </w:t>
      </w:r>
    </w:p>
    <w:p w14:paraId="331A639B">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（六）</w:t>
      </w:r>
      <w:r>
        <w:rPr>
          <w:rFonts w:hint="eastAsia" w:asciiTheme="minorEastAsia" w:hAnsiTheme="minorEastAsia" w:eastAsiaTheme="minorEastAsia"/>
          <w:color w:val="auto"/>
          <w:kern w:val="0"/>
          <w:sz w:val="24"/>
          <w:highlight w:val="none"/>
        </w:rPr>
        <w:t>响应参数未如实填写；</w:t>
      </w:r>
    </w:p>
    <w:p w14:paraId="20CFD770">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（七）</w:t>
      </w:r>
      <w:r>
        <w:rPr>
          <w:rFonts w:hint="eastAsia" w:asciiTheme="minorEastAsia" w:hAnsiTheme="minorEastAsia" w:eastAsiaTheme="minorEastAsia"/>
          <w:color w:val="auto"/>
          <w:sz w:val="24"/>
          <w:highlight w:val="none"/>
        </w:rPr>
        <w:t>响应文件</w:t>
      </w:r>
      <w:r>
        <w:rPr>
          <w:rFonts w:hint="eastAsia" w:asciiTheme="minorEastAsia" w:hAnsiTheme="minorEastAsia" w:eastAsiaTheme="minorEastAsia"/>
          <w:color w:val="auto"/>
          <w:kern w:val="0"/>
          <w:sz w:val="24"/>
          <w:highlight w:val="none"/>
        </w:rPr>
        <w:t xml:space="preserve">存在虚假材料的； </w:t>
      </w:r>
    </w:p>
    <w:p w14:paraId="04CEF91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32"/>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14:paraId="0E478AEE">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九</w:t>
      </w:r>
      <w:r>
        <w:rPr>
          <w:rFonts w:asciiTheme="minorEastAsia" w:hAnsiTheme="minorEastAsia" w:eastAsiaTheme="minorEastAsia"/>
          <w:color w:val="auto"/>
          <w:sz w:val="24"/>
          <w:highlight w:val="none"/>
        </w:rPr>
        <w:t>）不同供应商委托同一单位或者个人办理磋商事宜；</w:t>
      </w:r>
    </w:p>
    <w:p w14:paraId="3D8CED09">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w:t>
      </w:r>
      <w:r>
        <w:rPr>
          <w:rFonts w:asciiTheme="minorEastAsia" w:hAnsiTheme="minorEastAsia" w:eastAsiaTheme="minorEastAsia"/>
          <w:color w:val="auto"/>
          <w:highlight w:val="none"/>
        </w:rPr>
        <w:t>不同供应商的响应文件载明的项目管理成员或者联系人员为同一人；</w:t>
      </w:r>
    </w:p>
    <w:p w14:paraId="7855C9F2">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（十一）</w:t>
      </w:r>
      <w:r>
        <w:rPr>
          <w:rFonts w:asciiTheme="minorEastAsia" w:hAnsiTheme="minorEastAsia" w:eastAsiaTheme="minorEastAsia"/>
          <w:color w:val="auto"/>
          <w:highlight w:val="none"/>
        </w:rPr>
        <w:t>不同供应商的响应文件异常一致或者磋商报价呈规律性差异；</w:t>
      </w:r>
    </w:p>
    <w:p w14:paraId="3A70CE57">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14:paraId="74E0E2A1">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（十三）</w:t>
      </w:r>
      <w:r>
        <w:rPr>
          <w:rFonts w:cs="宋体"/>
          <w:color w:val="auto"/>
          <w:highlight w:val="none"/>
        </w:rPr>
        <w:t>实质性要求（磋商文件中打“▲”内容）不响应的；</w:t>
      </w:r>
    </w:p>
    <w:p w14:paraId="2A016AE5">
      <w:pPr>
        <w:pStyle w:val="6"/>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（十四）</w:t>
      </w:r>
      <w:r>
        <w:rPr>
          <w:rFonts w:hint="eastAsia" w:asciiTheme="minorEastAsia" w:hAnsiTheme="minorEastAsia" w:eastAsiaTheme="minorEastAsia"/>
          <w:color w:val="auto"/>
          <w:kern w:val="0"/>
          <w:sz w:val="24"/>
          <w:szCs w:val="24"/>
          <w:highlight w:val="none"/>
        </w:rPr>
        <w:t>商务条款不响应；</w:t>
      </w:r>
    </w:p>
    <w:p w14:paraId="687D1838">
      <w:pPr>
        <w:pStyle w:val="6"/>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（十五）</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14:paraId="7F4AED8B">
      <w:pPr>
        <w:pStyle w:val="6"/>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（十六）</w:t>
      </w:r>
      <w:r>
        <w:rPr>
          <w:rFonts w:hint="eastAsia" w:asciiTheme="minorEastAsia" w:hAnsiTheme="minorEastAsia" w:eastAsiaTheme="minorEastAsia"/>
          <w:color w:val="auto"/>
          <w:kern w:val="0"/>
          <w:sz w:val="24"/>
          <w:szCs w:val="24"/>
          <w:highlight w:val="none"/>
        </w:rPr>
        <w:t>逾期或未按要求提交</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14:paraId="77C40F98">
      <w:pPr>
        <w:pStyle w:val="6"/>
        <w:spacing w:line="360" w:lineRule="auto"/>
        <w:ind w:firstLine="480" w:firstLineChars="200"/>
        <w:rPr>
          <w:rFonts w:asciiTheme="minorEastAsia" w:hAnsiTheme="minorEastAsia"/>
          <w:color w:val="auto"/>
          <w:kern w:val="0"/>
          <w:sz w:val="24"/>
          <w:szCs w:val="24"/>
          <w:highlight w:val="none"/>
        </w:rPr>
      </w:pPr>
      <w:r>
        <w:rPr>
          <w:rFonts w:hint="eastAsia" w:asciiTheme="minorEastAsia" w:hAnsiTheme="minorEastAsia" w:eastAsiaTheme="minorEastAsia"/>
          <w:color w:val="auto"/>
          <w:sz w:val="24"/>
          <w:szCs w:val="32"/>
          <w:highlight w:val="none"/>
        </w:rPr>
        <w:t>（十七）</w:t>
      </w:r>
      <w:r>
        <w:rPr>
          <w:rFonts w:hint="eastAsia" w:asciiTheme="minorEastAsia" w:hAnsiTheme="minorEastAsia" w:eastAsiaTheme="minorEastAsia"/>
          <w:color w:val="auto"/>
          <w:kern w:val="0"/>
          <w:sz w:val="24"/>
          <w:szCs w:val="24"/>
          <w:highlight w:val="none"/>
        </w:rPr>
        <w:t>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66431622">
      <w:pPr>
        <w:autoSpaceDE w:val="0"/>
        <w:autoSpaceDN w:val="0"/>
        <w:adjustRightIn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六、终止磋商情形</w:t>
      </w:r>
    </w:p>
    <w:p w14:paraId="3743DC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（一）出现影响采购公正的违法、违规行为的；</w:t>
      </w:r>
    </w:p>
    <w:p w14:paraId="19F3C6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（二）磋商小组发现磋商文件存在歧义、重大缺陷导致评审工作无法进行，或者磋商文件内容违反国家有关强制性规定的；</w:t>
      </w:r>
    </w:p>
    <w:p w14:paraId="19D1CD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（三）因重大变故，采购任务取消的；</w:t>
      </w:r>
    </w:p>
    <w:p w14:paraId="258032E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14:paraId="24D53D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（五）法律、法规和磋商文件规定的其他导致评审结果无效的。</w:t>
      </w:r>
    </w:p>
    <w:p w14:paraId="3314FA4B">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七、磋商</w:t>
      </w:r>
      <w:r>
        <w:rPr>
          <w:rFonts w:asciiTheme="minorEastAsia" w:hAnsiTheme="minorEastAsia" w:eastAsiaTheme="minorEastAsia"/>
          <w:b/>
          <w:color w:val="auto"/>
          <w:sz w:val="24"/>
          <w:highlight w:val="none"/>
        </w:rPr>
        <w:t>过程的监控</w:t>
      </w:r>
    </w:p>
    <w:p w14:paraId="183AE2F0">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p>
    <w:p w14:paraId="6781E170">
      <w:pPr>
        <w:pStyle w:val="21"/>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八、</w:t>
      </w:r>
      <w:r>
        <w:rPr>
          <w:b/>
          <w:bCs/>
          <w:color w:val="auto"/>
          <w:highlight w:val="none"/>
        </w:rPr>
        <w:t>政府采购政策落实</w:t>
      </w:r>
    </w:p>
    <w:p w14:paraId="0CCB97E3">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（一）</w:t>
      </w:r>
      <w:r>
        <w:rPr>
          <w:rFonts w:hint="eastAsia" w:ascii="宋体"/>
          <w:color w:val="auto"/>
          <w:sz w:val="24"/>
          <w:highlight w:val="none"/>
          <w:lang w:val="zh-CN"/>
        </w:rPr>
        <w:t>政府采购政策及优惠：</w:t>
      </w:r>
    </w:p>
    <w:p w14:paraId="35F01C74">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w:t>
      </w:r>
      <w:r>
        <w:rPr>
          <w:rFonts w:hint="eastAsia" w:ascii="宋体"/>
          <w:color w:val="auto"/>
          <w:sz w:val="24"/>
          <w:highlight w:val="none"/>
        </w:rPr>
        <w:t>参与磋商</w:t>
      </w:r>
      <w:r>
        <w:rPr>
          <w:rFonts w:hint="eastAsia" w:ascii="宋体"/>
          <w:color w:val="auto"/>
          <w:sz w:val="24"/>
          <w:highlight w:val="none"/>
          <w:lang w:val="zh-CN"/>
        </w:rPr>
        <w:t>：小微企业</w:t>
      </w:r>
      <w:r>
        <w:rPr>
          <w:rFonts w:hint="eastAsia" w:ascii="宋体"/>
          <w:color w:val="auto"/>
          <w:sz w:val="24"/>
          <w:highlight w:val="none"/>
        </w:rPr>
        <w:t>参与磋商</w:t>
      </w:r>
      <w:r>
        <w:rPr>
          <w:rFonts w:hint="eastAsia" w:ascii="宋体"/>
          <w:color w:val="auto"/>
          <w:sz w:val="24"/>
          <w:highlight w:val="none"/>
          <w:lang w:val="zh-CN"/>
        </w:rPr>
        <w:t>是指符合《中小企业划型标准规定》的</w:t>
      </w:r>
      <w:r>
        <w:rPr>
          <w:rFonts w:hint="eastAsia" w:ascii="宋体"/>
          <w:color w:val="auto"/>
          <w:sz w:val="24"/>
          <w:highlight w:val="none"/>
        </w:rPr>
        <w:t>供应商</w:t>
      </w:r>
      <w:r>
        <w:rPr>
          <w:rFonts w:hint="eastAsia" w:ascii="宋体"/>
          <w:color w:val="auto"/>
          <w:sz w:val="24"/>
          <w:highlight w:val="none"/>
          <w:lang w:val="zh-CN"/>
        </w:rPr>
        <w:t>，通过</w:t>
      </w:r>
      <w:r>
        <w:rPr>
          <w:rFonts w:hint="eastAsia" w:ascii="宋体"/>
          <w:color w:val="auto"/>
          <w:sz w:val="24"/>
          <w:highlight w:val="none"/>
        </w:rPr>
        <w:t>磋商</w:t>
      </w:r>
      <w:r>
        <w:rPr>
          <w:rFonts w:hint="eastAsia" w:ascii="宋体"/>
          <w:color w:val="auto"/>
          <w:sz w:val="24"/>
          <w:highlight w:val="none"/>
          <w:lang w:val="zh-CN"/>
        </w:rPr>
        <w:t>提供本企业制造的货物、承担的工程或者服务，或者提供其他小微企业制造的货物。本项所指货物不包括使用大、中型企业注册商标的货物。小微企业应提供《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见附件13</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Theme="minorEastAsia" w:hAnsiTheme="minorEastAsia" w:eastAsiaTheme="minorEastAsia" w:cstheme="minorBidi"/>
          <w:color w:val="auto"/>
          <w:sz w:val="24"/>
          <w:highlight w:val="none"/>
        </w:rPr>
        <w:t>磋商小组</w:t>
      </w:r>
      <w:r>
        <w:rPr>
          <w:rFonts w:hint="eastAsia" w:ascii="宋体"/>
          <w:color w:val="auto"/>
          <w:sz w:val="24"/>
          <w:highlight w:val="none"/>
          <w:lang w:val="zh-CN"/>
        </w:rPr>
        <w:t>核查不符的</w:t>
      </w:r>
      <w:r>
        <w:rPr>
          <w:rFonts w:hint="eastAsia" w:ascii="宋体"/>
          <w:color w:val="auto"/>
          <w:sz w:val="24"/>
          <w:highlight w:val="none"/>
        </w:rPr>
        <w:t>，将不能</w:t>
      </w:r>
      <w:r>
        <w:rPr>
          <w:rFonts w:hint="eastAsia" w:ascii="宋体" w:hAnsi="Times New Roman" w:eastAsia="宋体" w:cs="Times New Roman"/>
          <w:color w:val="auto"/>
          <w:sz w:val="24"/>
          <w:highlight w:val="none"/>
        </w:rPr>
        <w:t>享受相应的小微企</w:t>
      </w:r>
      <w:r>
        <w:rPr>
          <w:rFonts w:hint="eastAsia" w:ascii="宋体"/>
          <w:color w:val="auto"/>
          <w:sz w:val="24"/>
          <w:highlight w:val="none"/>
        </w:rPr>
        <w:t>业优惠政策。</w:t>
      </w:r>
    </w:p>
    <w:p w14:paraId="5774209F">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21BC7F85">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13</w:t>
      </w:r>
      <w:r>
        <w:rPr>
          <w:rFonts w:hint="eastAsia" w:ascii="宋体"/>
          <w:color w:val="auto"/>
          <w:sz w:val="24"/>
          <w:highlight w:val="none"/>
          <w:lang w:val="zh-CN"/>
        </w:rPr>
        <w:t>），视同小型、微型企业，享受小微企业政府采购优惠政策。</w:t>
      </w:r>
    </w:p>
    <w:p w14:paraId="473C918B">
      <w:pPr>
        <w:autoSpaceDE w:val="0"/>
        <w:autoSpaceDN w:val="0"/>
        <w:adjustRightInd w:val="0"/>
        <w:spacing w:line="360" w:lineRule="auto"/>
        <w:ind w:firstLine="480" w:firstLineChars="200"/>
        <w:rPr>
          <w:color w:val="auto"/>
          <w:highlight w:val="none"/>
          <w:lang w:val="zh-CN"/>
        </w:rPr>
      </w:pPr>
      <w:r>
        <w:rPr>
          <w:rFonts w:hint="eastAsia" w:ascii="宋体"/>
          <w:color w:val="auto"/>
          <w:sz w:val="24"/>
          <w:highlight w:val="none"/>
        </w:rPr>
        <w:t>（二）价格扣除相关要求</w:t>
      </w:r>
    </w:p>
    <w:p w14:paraId="23B11227">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rPr>
        <w:t>10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rPr>
        <w:t>10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rPr>
        <w:t>4%</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49B4ECD1">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九、评审</w:t>
      </w:r>
      <w:r>
        <w:rPr>
          <w:rFonts w:asciiTheme="minorEastAsia" w:hAnsiTheme="minorEastAsia" w:eastAsiaTheme="minorEastAsia"/>
          <w:b/>
          <w:bCs/>
          <w:color w:val="auto"/>
          <w:sz w:val="24"/>
          <w:highlight w:val="none"/>
        </w:rPr>
        <w:t>程序</w:t>
      </w:r>
    </w:p>
    <w:p w14:paraId="7831BBF0">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14:paraId="0CC8FB02">
      <w:pPr>
        <w:pStyle w:val="7"/>
        <w:spacing w:line="360" w:lineRule="auto"/>
        <w:ind w:firstLine="480" w:firstLineChars="200"/>
        <w:jc w:val="both"/>
        <w:rPr>
          <w:rFonts w:asciiTheme="minorEastAsia" w:hAnsiTheme="minorEastAsia" w:eastAsiaTheme="minorEastAsia"/>
          <w:color w:val="auto"/>
          <w:sz w:val="24"/>
          <w:highlight w:val="none"/>
        </w:rPr>
      </w:pPr>
      <w:r>
        <w:rPr>
          <w:rFonts w:hint="eastAsia" w:ascii="宋体" w:hAnsi="宋体" w:cs="宋体"/>
          <w:color w:val="auto"/>
          <w:sz w:val="24"/>
          <w:highlight w:val="none"/>
        </w:rPr>
        <w:t>响应文件解密后</w:t>
      </w:r>
      <w:r>
        <w:rPr>
          <w:rFonts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采购组织机构依法对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的资格进行审查，对审查发现无效的进行必要的询标，</w:t>
      </w:r>
      <w:r>
        <w:rPr>
          <w:rFonts w:hint="eastAsia"/>
          <w:color w:val="auto"/>
          <w:sz w:val="24"/>
          <w:highlight w:val="none"/>
        </w:rPr>
        <w:t>在政采云平台公布</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无效的原因。</w:t>
      </w:r>
    </w:p>
    <w:tbl>
      <w:tblPr>
        <w:tblStyle w:val="2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23"/>
      </w:tblGrid>
      <w:tr w14:paraId="3BBB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vAlign w:val="center"/>
          </w:tcPr>
          <w:p w14:paraId="54B1AD1C">
            <w:pPr>
              <w:pStyle w:val="53"/>
              <w:spacing w:before="1" w:line="360" w:lineRule="auto"/>
              <w:ind w:right="146"/>
              <w:jc w:val="center"/>
              <w:rPr>
                <w:color w:val="auto"/>
                <w:szCs w:val="21"/>
                <w:highlight w:val="none"/>
              </w:rPr>
            </w:pPr>
            <w:r>
              <w:rPr>
                <w:rFonts w:hint="eastAsia"/>
                <w:color w:val="auto"/>
                <w:szCs w:val="21"/>
                <w:highlight w:val="none"/>
              </w:rPr>
              <w:t>具有独立承担民事责任的能力</w:t>
            </w:r>
          </w:p>
        </w:tc>
        <w:tc>
          <w:tcPr>
            <w:tcW w:w="7423" w:type="dxa"/>
            <w:vAlign w:val="center"/>
          </w:tcPr>
          <w:p w14:paraId="063E4AB4">
            <w:pPr>
              <w:pStyle w:val="53"/>
              <w:spacing w:line="360" w:lineRule="auto"/>
              <w:ind w:left="64" w:right="63" w:firstLine="420" w:firstLineChars="200"/>
              <w:rPr>
                <w:color w:val="auto"/>
                <w:szCs w:val="21"/>
                <w:highlight w:val="none"/>
              </w:rPr>
            </w:pPr>
            <w:r>
              <w:rPr>
                <w:rFonts w:hint="eastAsia"/>
                <w:color w:val="auto"/>
                <w:szCs w:val="21"/>
                <w:highlight w:val="none"/>
              </w:rPr>
              <w:t>在中华人民共和国境内注册的法人或其他组织或自然人，磋商时提交有效的营业执照（或事业法人登记证或身份证等相关证明）副本扫描件。（以联合体形式参与磋商时，联合体各方均须满足该条款）</w:t>
            </w:r>
          </w:p>
        </w:tc>
      </w:tr>
      <w:tr w14:paraId="0927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F6F6F6"/>
            <w:vAlign w:val="center"/>
          </w:tcPr>
          <w:p w14:paraId="390E90DE">
            <w:pPr>
              <w:pStyle w:val="53"/>
              <w:spacing w:before="1" w:line="360" w:lineRule="auto"/>
              <w:ind w:right="146"/>
              <w:jc w:val="center"/>
              <w:rPr>
                <w:color w:val="auto"/>
                <w:szCs w:val="21"/>
                <w:highlight w:val="none"/>
              </w:rPr>
            </w:pPr>
            <w:r>
              <w:rPr>
                <w:rFonts w:hint="eastAsia"/>
                <w:color w:val="auto"/>
                <w:szCs w:val="21"/>
                <w:highlight w:val="none"/>
              </w:rPr>
              <w:t>有依法缴纳税收和社会保障资金的良好记录</w:t>
            </w:r>
          </w:p>
        </w:tc>
        <w:tc>
          <w:tcPr>
            <w:tcW w:w="7423" w:type="dxa"/>
            <w:shd w:val="clear" w:color="auto" w:fill="F6F6F6"/>
            <w:vAlign w:val="center"/>
          </w:tcPr>
          <w:p w14:paraId="3852228C">
            <w:pPr>
              <w:pStyle w:val="53"/>
              <w:spacing w:line="360" w:lineRule="auto"/>
              <w:ind w:left="64" w:right="63" w:firstLine="420" w:firstLineChars="200"/>
              <w:rPr>
                <w:color w:val="auto"/>
                <w:szCs w:val="21"/>
                <w:highlight w:val="none"/>
              </w:rPr>
            </w:pPr>
            <w:r>
              <w:rPr>
                <w:rFonts w:hint="eastAsia"/>
                <w:color w:val="auto"/>
                <w:szCs w:val="21"/>
                <w:highlight w:val="none"/>
              </w:rPr>
              <w:t>提供具有依法缴纳税收和</w:t>
            </w:r>
            <w:r>
              <w:rPr>
                <w:rFonts w:hint="eastAsia"/>
                <w:color w:val="auto"/>
                <w:sz w:val="24"/>
                <w:highlight w:val="none"/>
              </w:rPr>
              <w:t>社会保障资金证明</w:t>
            </w:r>
            <w:r>
              <w:rPr>
                <w:rFonts w:hint="eastAsia"/>
                <w:color w:val="auto"/>
                <w:szCs w:val="21"/>
                <w:highlight w:val="none"/>
              </w:rPr>
              <w:t>的承诺函。</w:t>
            </w:r>
          </w:p>
        </w:tc>
      </w:tr>
      <w:tr w14:paraId="7158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vAlign w:val="center"/>
          </w:tcPr>
          <w:p w14:paraId="779C2AC0">
            <w:pPr>
              <w:pStyle w:val="53"/>
              <w:spacing w:before="1" w:line="360" w:lineRule="auto"/>
              <w:ind w:right="146"/>
              <w:jc w:val="center"/>
              <w:rPr>
                <w:color w:val="auto"/>
                <w:szCs w:val="21"/>
                <w:highlight w:val="none"/>
              </w:rPr>
            </w:pPr>
            <w:r>
              <w:rPr>
                <w:rFonts w:hint="eastAsia"/>
                <w:color w:val="auto"/>
                <w:szCs w:val="21"/>
                <w:highlight w:val="none"/>
              </w:rPr>
              <w:t>具有良好的商业信誉和健全的财务会计制度</w:t>
            </w:r>
          </w:p>
        </w:tc>
        <w:tc>
          <w:tcPr>
            <w:tcW w:w="7423" w:type="dxa"/>
            <w:vAlign w:val="center"/>
          </w:tcPr>
          <w:p w14:paraId="24194BAA">
            <w:pPr>
              <w:pStyle w:val="53"/>
              <w:spacing w:before="117" w:line="360" w:lineRule="auto"/>
              <w:ind w:firstLine="420" w:firstLineChars="200"/>
              <w:rPr>
                <w:color w:val="auto"/>
                <w:szCs w:val="21"/>
                <w:highlight w:val="none"/>
              </w:rPr>
            </w:pPr>
            <w:r>
              <w:rPr>
                <w:rFonts w:hint="eastAsia"/>
                <w:color w:val="auto"/>
                <w:szCs w:val="21"/>
                <w:highlight w:val="none"/>
              </w:rPr>
              <w:t>提供具有良好的商业信誉和健全的财务会计制度的承诺函。</w:t>
            </w:r>
          </w:p>
        </w:tc>
      </w:tr>
      <w:tr w14:paraId="4A1B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F6F6F6"/>
            <w:vAlign w:val="center"/>
          </w:tcPr>
          <w:p w14:paraId="18E67209">
            <w:pPr>
              <w:pStyle w:val="53"/>
              <w:spacing w:before="1" w:line="360" w:lineRule="auto"/>
              <w:ind w:right="146"/>
              <w:jc w:val="center"/>
              <w:rPr>
                <w:color w:val="auto"/>
                <w:szCs w:val="21"/>
                <w:highlight w:val="none"/>
              </w:rPr>
            </w:pPr>
            <w:r>
              <w:rPr>
                <w:rFonts w:hint="eastAsia"/>
                <w:color w:val="auto"/>
                <w:szCs w:val="21"/>
                <w:highlight w:val="none"/>
              </w:rPr>
              <w:t>履行合同所必需的设备和专业技术能力</w:t>
            </w:r>
          </w:p>
        </w:tc>
        <w:tc>
          <w:tcPr>
            <w:tcW w:w="7423" w:type="dxa"/>
            <w:shd w:val="clear" w:color="auto" w:fill="F6F6F6"/>
            <w:vAlign w:val="center"/>
          </w:tcPr>
          <w:p w14:paraId="6D2F1D7A">
            <w:pPr>
              <w:pStyle w:val="53"/>
              <w:spacing w:before="1" w:line="360" w:lineRule="auto"/>
              <w:ind w:left="64" w:firstLine="420" w:firstLineChars="200"/>
              <w:rPr>
                <w:color w:val="auto"/>
                <w:szCs w:val="21"/>
                <w:highlight w:val="none"/>
              </w:rPr>
            </w:pPr>
            <w:r>
              <w:rPr>
                <w:rFonts w:hint="eastAsia"/>
                <w:color w:val="auto"/>
                <w:szCs w:val="21"/>
                <w:highlight w:val="none"/>
              </w:rPr>
              <w:t>提供具有履行合同所必须的设备和专业技术能力的承诺函。</w:t>
            </w:r>
          </w:p>
        </w:tc>
      </w:tr>
      <w:tr w14:paraId="58BD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1694" w:type="dxa"/>
            <w:vAlign w:val="center"/>
          </w:tcPr>
          <w:p w14:paraId="7F9B3E2D">
            <w:pPr>
              <w:pStyle w:val="53"/>
              <w:spacing w:line="360" w:lineRule="auto"/>
              <w:ind w:right="146"/>
              <w:jc w:val="center"/>
              <w:rPr>
                <w:color w:val="auto"/>
                <w:szCs w:val="21"/>
                <w:highlight w:val="none"/>
              </w:rPr>
            </w:pPr>
            <w:r>
              <w:rPr>
                <w:rFonts w:hint="eastAsia"/>
                <w:color w:val="auto"/>
                <w:szCs w:val="21"/>
                <w:highlight w:val="none"/>
              </w:rPr>
              <w:t>参加采购活动前</w:t>
            </w:r>
            <w:r>
              <w:rPr>
                <w:rFonts w:hint="eastAsia"/>
                <w:color w:val="auto"/>
                <w:w w:val="110"/>
                <w:szCs w:val="21"/>
                <w:highlight w:val="none"/>
              </w:rPr>
              <w:t>3</w:t>
            </w:r>
            <w:r>
              <w:rPr>
                <w:rFonts w:hint="eastAsia"/>
                <w:color w:val="auto"/>
                <w:szCs w:val="21"/>
                <w:highlight w:val="none"/>
              </w:rPr>
              <w:t>年内，在经营活动中没有重大违法记录</w:t>
            </w:r>
          </w:p>
        </w:tc>
        <w:tc>
          <w:tcPr>
            <w:tcW w:w="7423" w:type="dxa"/>
            <w:vAlign w:val="center"/>
          </w:tcPr>
          <w:p w14:paraId="4C441DE2">
            <w:pPr>
              <w:pStyle w:val="53"/>
              <w:spacing w:before="48" w:line="360" w:lineRule="auto"/>
              <w:ind w:left="64" w:right="63" w:firstLine="420" w:firstLineChars="200"/>
              <w:rPr>
                <w:color w:val="auto"/>
                <w:szCs w:val="21"/>
                <w:highlight w:val="none"/>
              </w:rPr>
            </w:pPr>
            <w:r>
              <w:rPr>
                <w:rFonts w:hint="eastAsia"/>
                <w:color w:val="auto"/>
                <w:szCs w:val="21"/>
                <w:highlight w:val="none"/>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参与磋商时，联合体各方均须满足该条款）</w:t>
            </w:r>
          </w:p>
        </w:tc>
      </w:tr>
      <w:tr w14:paraId="0A98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vAlign w:val="center"/>
          </w:tcPr>
          <w:p w14:paraId="7FE13AE1">
            <w:pPr>
              <w:pStyle w:val="53"/>
              <w:spacing w:line="360" w:lineRule="auto"/>
              <w:ind w:right="146"/>
              <w:jc w:val="center"/>
              <w:rPr>
                <w:color w:val="auto"/>
                <w:szCs w:val="21"/>
                <w:highlight w:val="none"/>
              </w:rPr>
            </w:pPr>
            <w:r>
              <w:rPr>
                <w:rFonts w:hint="eastAsia"/>
                <w:color w:val="auto"/>
                <w:szCs w:val="21"/>
                <w:highlight w:val="none"/>
              </w:rPr>
              <w:t>供应商必须符合法律、行政法规规定的其他条件</w:t>
            </w:r>
          </w:p>
        </w:tc>
        <w:tc>
          <w:tcPr>
            <w:tcW w:w="7423" w:type="dxa"/>
            <w:vAlign w:val="center"/>
          </w:tcPr>
          <w:p w14:paraId="2CAFE581">
            <w:pPr>
              <w:pStyle w:val="53"/>
              <w:spacing w:before="48" w:line="360" w:lineRule="auto"/>
              <w:ind w:right="63" w:firstLine="420" w:firstLineChars="200"/>
              <w:rPr>
                <w:color w:val="auto"/>
                <w:spacing w:val="-3"/>
                <w:szCs w:val="21"/>
                <w:highlight w:val="none"/>
              </w:rPr>
            </w:pPr>
            <w:r>
              <w:rPr>
                <w:rFonts w:hint="eastAsia"/>
                <w:color w:val="auto"/>
                <w:szCs w:val="21"/>
                <w:highlight w:val="none"/>
              </w:rPr>
              <w:t>1.单位负责人为同一人或者存在直接控股、管理关系的不同供应商，不得参加同一合同项下的政府采购活动</w:t>
            </w:r>
            <w:r>
              <w:rPr>
                <w:rFonts w:hint="eastAsia"/>
                <w:color w:val="auto"/>
                <w:spacing w:val="-3"/>
                <w:szCs w:val="21"/>
                <w:highlight w:val="none"/>
              </w:rPr>
              <w:t>。</w:t>
            </w:r>
          </w:p>
          <w:p w14:paraId="4D2EF99B">
            <w:pPr>
              <w:pStyle w:val="53"/>
              <w:spacing w:before="48" w:line="360" w:lineRule="auto"/>
              <w:ind w:right="63" w:firstLine="408" w:firstLineChars="200"/>
              <w:rPr>
                <w:color w:val="auto"/>
                <w:szCs w:val="21"/>
                <w:highlight w:val="none"/>
              </w:rPr>
            </w:pPr>
            <w:r>
              <w:rPr>
                <w:rFonts w:hint="eastAsia"/>
                <w:color w:val="auto"/>
                <w:spacing w:val="-3"/>
                <w:szCs w:val="21"/>
                <w:highlight w:val="none"/>
              </w:rPr>
              <w:t>2.为本项目提供整体设计、规范编制或者项目管理、监理、检测等服务的供应商</w:t>
            </w:r>
            <w:r>
              <w:rPr>
                <w:rFonts w:hint="eastAsia"/>
                <w:color w:val="auto"/>
                <w:spacing w:val="1"/>
                <w:szCs w:val="21"/>
                <w:highlight w:val="none"/>
              </w:rPr>
              <w:t>，不得再参与本项目磋商。</w:t>
            </w:r>
          </w:p>
          <w:p w14:paraId="328E6B3E">
            <w:pPr>
              <w:pStyle w:val="53"/>
              <w:spacing w:before="48" w:line="360" w:lineRule="auto"/>
              <w:ind w:left="64" w:right="63" w:firstLine="424" w:firstLineChars="200"/>
              <w:rPr>
                <w:color w:val="auto"/>
                <w:szCs w:val="21"/>
                <w:highlight w:val="none"/>
              </w:rPr>
            </w:pPr>
            <w:r>
              <w:rPr>
                <w:rFonts w:hint="eastAsia"/>
                <w:color w:val="auto"/>
                <w:spacing w:val="1"/>
                <w:szCs w:val="21"/>
                <w:highlight w:val="none"/>
              </w:rPr>
              <w:t>3.</w:t>
            </w:r>
            <w:r>
              <w:rPr>
                <w:rFonts w:hint="eastAsia"/>
                <w:color w:val="auto"/>
                <w:szCs w:val="21"/>
                <w:highlight w:val="none"/>
              </w:rPr>
              <w:t>相关承诺要求内容。（以联合体形式参与磋商时，联合体各方均须满足该条款）</w:t>
            </w:r>
          </w:p>
        </w:tc>
      </w:tr>
      <w:tr w14:paraId="0CF8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F6F6F6"/>
            <w:vAlign w:val="center"/>
          </w:tcPr>
          <w:p w14:paraId="5D3874FC">
            <w:pPr>
              <w:pStyle w:val="53"/>
              <w:spacing w:before="48" w:line="360" w:lineRule="auto"/>
              <w:ind w:left="64"/>
              <w:jc w:val="center"/>
              <w:rPr>
                <w:color w:val="auto"/>
                <w:szCs w:val="21"/>
                <w:highlight w:val="none"/>
              </w:rPr>
            </w:pPr>
            <w:r>
              <w:rPr>
                <w:rFonts w:hint="eastAsia"/>
                <w:color w:val="auto"/>
                <w:szCs w:val="21"/>
                <w:highlight w:val="none"/>
              </w:rPr>
              <w:t>联合体参与磋商</w:t>
            </w:r>
          </w:p>
        </w:tc>
        <w:tc>
          <w:tcPr>
            <w:tcW w:w="7423" w:type="dxa"/>
            <w:shd w:val="clear" w:color="auto" w:fill="F6F6F6"/>
            <w:vAlign w:val="center"/>
          </w:tcPr>
          <w:p w14:paraId="6658F1CC">
            <w:pPr>
              <w:pStyle w:val="53"/>
              <w:spacing w:before="48" w:line="360" w:lineRule="auto"/>
              <w:ind w:left="64" w:firstLine="420" w:firstLineChars="200"/>
              <w:rPr>
                <w:color w:val="auto"/>
                <w:szCs w:val="21"/>
                <w:highlight w:val="none"/>
              </w:rPr>
            </w:pPr>
            <w:r>
              <w:rPr>
                <w:rFonts w:hint="eastAsia"/>
                <w:color w:val="auto"/>
                <w:szCs w:val="21"/>
                <w:highlight w:val="none"/>
              </w:rPr>
              <w:t>本项目不接受联合体参与磋商。</w:t>
            </w:r>
          </w:p>
        </w:tc>
      </w:tr>
      <w:tr w14:paraId="4800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vAlign w:val="center"/>
          </w:tcPr>
          <w:p w14:paraId="11A507B1">
            <w:pPr>
              <w:pStyle w:val="53"/>
              <w:spacing w:line="360" w:lineRule="auto"/>
              <w:ind w:right="146"/>
              <w:jc w:val="center"/>
              <w:rPr>
                <w:color w:val="auto"/>
                <w:szCs w:val="21"/>
                <w:highlight w:val="none"/>
              </w:rPr>
            </w:pPr>
            <w:r>
              <w:rPr>
                <w:rFonts w:hint="eastAsia"/>
                <w:color w:val="auto"/>
                <w:szCs w:val="21"/>
                <w:highlight w:val="none"/>
              </w:rPr>
              <w:t>资质</w:t>
            </w:r>
          </w:p>
        </w:tc>
        <w:tc>
          <w:tcPr>
            <w:tcW w:w="7423" w:type="dxa"/>
            <w:vAlign w:val="center"/>
          </w:tcPr>
          <w:p w14:paraId="703C6D64">
            <w:pPr>
              <w:pStyle w:val="53"/>
              <w:spacing w:before="48" w:line="360" w:lineRule="auto"/>
              <w:ind w:firstLine="420" w:firstLineChars="200"/>
              <w:rPr>
                <w:color w:val="auto"/>
                <w:szCs w:val="21"/>
                <w:highlight w:val="none"/>
              </w:rPr>
            </w:pPr>
            <w:r>
              <w:rPr>
                <w:rFonts w:hint="eastAsia"/>
                <w:color w:val="auto"/>
                <w:szCs w:val="21"/>
                <w:highlight w:val="none"/>
              </w:rPr>
              <w:t>/</w:t>
            </w:r>
          </w:p>
        </w:tc>
      </w:tr>
      <w:tr w14:paraId="727C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F6F6F6"/>
            <w:vAlign w:val="center"/>
          </w:tcPr>
          <w:p w14:paraId="0193CEDA">
            <w:pPr>
              <w:pStyle w:val="53"/>
              <w:spacing w:line="360" w:lineRule="auto"/>
              <w:ind w:right="146"/>
              <w:jc w:val="center"/>
              <w:rPr>
                <w:color w:val="auto"/>
                <w:szCs w:val="21"/>
                <w:highlight w:val="none"/>
              </w:rPr>
            </w:pPr>
            <w:r>
              <w:rPr>
                <w:rFonts w:hint="eastAsia"/>
                <w:color w:val="auto"/>
                <w:szCs w:val="21"/>
                <w:highlight w:val="none"/>
              </w:rPr>
              <w:t>落实政府采购政策需满足的资格要求</w:t>
            </w:r>
          </w:p>
        </w:tc>
        <w:tc>
          <w:tcPr>
            <w:tcW w:w="7423" w:type="dxa"/>
            <w:shd w:val="clear" w:color="auto" w:fill="F6F6F6"/>
            <w:vAlign w:val="center"/>
          </w:tcPr>
          <w:p w14:paraId="3B38117F">
            <w:pPr>
              <w:pStyle w:val="53"/>
              <w:spacing w:before="1" w:line="360" w:lineRule="auto"/>
              <w:ind w:firstLine="420" w:firstLineChars="200"/>
              <w:rPr>
                <w:color w:val="auto"/>
                <w:szCs w:val="21"/>
                <w:highlight w:val="none"/>
              </w:rPr>
            </w:pPr>
            <w:r>
              <w:rPr>
                <w:rFonts w:hint="eastAsia"/>
                <w:color w:val="auto"/>
                <w:highlight w:val="none"/>
              </w:rPr>
              <w:t>/</w:t>
            </w:r>
          </w:p>
        </w:tc>
      </w:tr>
    </w:tbl>
    <w:p w14:paraId="7E0FF82A">
      <w:pPr>
        <w:pStyle w:val="7"/>
        <w:spacing w:line="360" w:lineRule="auto"/>
        <w:ind w:firstLine="422" w:firstLineChars="200"/>
        <w:jc w:val="both"/>
        <w:rPr>
          <w:rFonts w:asciiTheme="minorEastAsia" w:hAnsiTheme="minorEastAsia" w:eastAsiaTheme="minorEastAsia"/>
          <w:b/>
          <w:bCs/>
          <w:color w:val="auto"/>
          <w:highlight w:val="none"/>
        </w:rPr>
      </w:pPr>
    </w:p>
    <w:p w14:paraId="42F63AC7">
      <w:pPr>
        <w:pStyle w:val="7"/>
        <w:spacing w:line="360" w:lineRule="auto"/>
        <w:ind w:firstLine="422" w:firstLineChars="200"/>
        <w:jc w:val="both"/>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（二）</w:t>
      </w:r>
      <w:r>
        <w:rPr>
          <w:rFonts w:asciiTheme="minorEastAsia" w:hAnsiTheme="minorEastAsia" w:eastAsiaTheme="minorEastAsia"/>
          <w:b/>
          <w:bCs/>
          <w:color w:val="auto"/>
          <w:highlight w:val="none"/>
        </w:rPr>
        <w:t>符合性审查</w:t>
      </w:r>
    </w:p>
    <w:p w14:paraId="2BA47574">
      <w:pPr>
        <w:pStyle w:val="7"/>
        <w:spacing w:line="360" w:lineRule="auto"/>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p>
    <w:tbl>
      <w:tblPr>
        <w:tblStyle w:val="2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3D1B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14:paraId="732EE3C1">
            <w:pPr>
              <w:pStyle w:val="53"/>
              <w:spacing w:line="360" w:lineRule="auto"/>
              <w:ind w:right="146"/>
              <w:rPr>
                <w:color w:val="auto"/>
                <w:szCs w:val="21"/>
                <w:highlight w:val="none"/>
              </w:rPr>
            </w:pPr>
            <w:r>
              <w:rPr>
                <w:rFonts w:hint="eastAsia"/>
                <w:color w:val="auto"/>
                <w:szCs w:val="21"/>
                <w:highlight w:val="none"/>
              </w:rPr>
              <w:t>磋商响应文件</w:t>
            </w:r>
          </w:p>
        </w:tc>
        <w:tc>
          <w:tcPr>
            <w:tcW w:w="7476" w:type="dxa"/>
            <w:vAlign w:val="center"/>
          </w:tcPr>
          <w:p w14:paraId="255A2054">
            <w:pPr>
              <w:pStyle w:val="53"/>
              <w:spacing w:before="48" w:line="360" w:lineRule="auto"/>
              <w:rPr>
                <w:color w:val="auto"/>
                <w:szCs w:val="21"/>
                <w:highlight w:val="none"/>
              </w:rPr>
            </w:pPr>
            <w:r>
              <w:rPr>
                <w:rFonts w:hint="eastAsia"/>
                <w:color w:val="auto"/>
                <w:szCs w:val="21"/>
                <w:highlight w:val="none"/>
              </w:rPr>
              <w:t>磋商响应文件完整且编排有序，磋商内容基本完整，无重大错漏，并按要求签署、盖章。</w:t>
            </w:r>
          </w:p>
        </w:tc>
      </w:tr>
      <w:tr w14:paraId="7E45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vAlign w:val="center"/>
          </w:tcPr>
          <w:p w14:paraId="5896177F">
            <w:pPr>
              <w:pStyle w:val="53"/>
              <w:spacing w:line="360" w:lineRule="auto"/>
              <w:ind w:right="146"/>
              <w:rPr>
                <w:color w:val="auto"/>
                <w:szCs w:val="21"/>
                <w:highlight w:val="none"/>
              </w:rPr>
            </w:pPr>
            <w:r>
              <w:rPr>
                <w:rFonts w:hint="eastAsia"/>
                <w:color w:val="auto"/>
                <w:szCs w:val="21"/>
                <w:highlight w:val="none"/>
              </w:rPr>
              <w:t>法定代表人/负责人资格证明书及授权委托书</w:t>
            </w:r>
          </w:p>
        </w:tc>
        <w:tc>
          <w:tcPr>
            <w:tcW w:w="7476" w:type="dxa"/>
            <w:shd w:val="clear" w:color="auto" w:fill="F6F6F6"/>
            <w:vAlign w:val="center"/>
          </w:tcPr>
          <w:p w14:paraId="459B64BF">
            <w:pPr>
              <w:pStyle w:val="53"/>
              <w:spacing w:before="48" w:line="360" w:lineRule="auto"/>
              <w:rPr>
                <w:color w:val="auto"/>
                <w:szCs w:val="21"/>
                <w:highlight w:val="none"/>
              </w:rPr>
            </w:pPr>
            <w:r>
              <w:rPr>
                <w:rFonts w:hint="eastAsia"/>
                <w:color w:val="auto"/>
                <w:szCs w:val="21"/>
                <w:highlight w:val="none"/>
              </w:rPr>
              <w:t>法定代表人/负责人资格证明书及授权委托书，按对应格式文件签署、盖章。</w:t>
            </w:r>
          </w:p>
        </w:tc>
      </w:tr>
      <w:tr w14:paraId="2F32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11E2E1E6">
            <w:pPr>
              <w:pStyle w:val="53"/>
              <w:spacing w:line="360" w:lineRule="auto"/>
              <w:ind w:right="146"/>
              <w:rPr>
                <w:color w:val="auto"/>
                <w:szCs w:val="21"/>
                <w:highlight w:val="none"/>
              </w:rPr>
            </w:pPr>
            <w:r>
              <w:rPr>
                <w:rFonts w:hint="eastAsia"/>
                <w:color w:val="auto"/>
                <w:szCs w:val="21"/>
                <w:highlight w:val="none"/>
              </w:rPr>
              <w:t>“▲”实质性条款</w:t>
            </w:r>
          </w:p>
        </w:tc>
        <w:tc>
          <w:tcPr>
            <w:tcW w:w="7476" w:type="dxa"/>
            <w:vAlign w:val="center"/>
          </w:tcPr>
          <w:p w14:paraId="6A71DEFA">
            <w:pPr>
              <w:pStyle w:val="53"/>
              <w:spacing w:before="48" w:line="360" w:lineRule="auto"/>
              <w:rPr>
                <w:color w:val="auto"/>
                <w:szCs w:val="21"/>
                <w:highlight w:val="none"/>
              </w:rPr>
            </w:pPr>
            <w:r>
              <w:rPr>
                <w:rFonts w:hint="eastAsia"/>
                <w:color w:val="auto"/>
                <w:szCs w:val="21"/>
                <w:highlight w:val="none"/>
              </w:rPr>
              <w:t>“▲”实质性条款满足磋商文件要求。</w:t>
            </w:r>
          </w:p>
        </w:tc>
      </w:tr>
      <w:tr w14:paraId="63E7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14:paraId="69433CC7">
            <w:pPr>
              <w:pStyle w:val="53"/>
              <w:spacing w:line="360" w:lineRule="auto"/>
              <w:ind w:right="146"/>
              <w:rPr>
                <w:color w:val="auto"/>
                <w:szCs w:val="21"/>
                <w:highlight w:val="none"/>
              </w:rPr>
            </w:pPr>
            <w:r>
              <w:rPr>
                <w:rFonts w:hint="eastAsia"/>
                <w:color w:val="auto"/>
                <w:szCs w:val="21"/>
                <w:highlight w:val="none"/>
              </w:rPr>
              <w:t>磋商响应有效期</w:t>
            </w:r>
          </w:p>
        </w:tc>
        <w:tc>
          <w:tcPr>
            <w:tcW w:w="7476" w:type="dxa"/>
            <w:shd w:val="clear" w:color="auto" w:fill="F6F6F6"/>
            <w:vAlign w:val="center"/>
          </w:tcPr>
          <w:p w14:paraId="1294A0CF">
            <w:pPr>
              <w:pStyle w:val="53"/>
              <w:spacing w:before="48" w:line="360" w:lineRule="auto"/>
              <w:rPr>
                <w:color w:val="auto"/>
                <w:szCs w:val="21"/>
                <w:highlight w:val="none"/>
              </w:rPr>
            </w:pPr>
            <w:r>
              <w:rPr>
                <w:rFonts w:hint="eastAsia"/>
                <w:color w:val="auto"/>
                <w:szCs w:val="21"/>
                <w:highlight w:val="none"/>
              </w:rPr>
              <w:t>磋商有效期为磋商截止日起至少90天。</w:t>
            </w:r>
          </w:p>
        </w:tc>
      </w:tr>
      <w:tr w14:paraId="7FCA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14:paraId="3258DBF3">
            <w:pPr>
              <w:pStyle w:val="53"/>
              <w:spacing w:line="360" w:lineRule="auto"/>
              <w:ind w:right="146"/>
              <w:rPr>
                <w:color w:val="auto"/>
                <w:szCs w:val="21"/>
                <w:highlight w:val="none"/>
              </w:rPr>
            </w:pPr>
            <w:r>
              <w:rPr>
                <w:rFonts w:hint="eastAsia"/>
                <w:color w:val="auto"/>
                <w:szCs w:val="21"/>
                <w:highlight w:val="none"/>
              </w:rPr>
              <w:t>附加条件</w:t>
            </w:r>
          </w:p>
        </w:tc>
        <w:tc>
          <w:tcPr>
            <w:tcW w:w="7476" w:type="dxa"/>
            <w:vAlign w:val="center"/>
          </w:tcPr>
          <w:p w14:paraId="31EA27B9">
            <w:pPr>
              <w:pStyle w:val="53"/>
              <w:spacing w:before="48" w:line="360" w:lineRule="auto"/>
              <w:rPr>
                <w:color w:val="auto"/>
                <w:szCs w:val="21"/>
                <w:highlight w:val="none"/>
              </w:rPr>
            </w:pPr>
            <w:r>
              <w:rPr>
                <w:rFonts w:hint="eastAsia"/>
                <w:color w:val="auto"/>
                <w:szCs w:val="21"/>
                <w:highlight w:val="none"/>
              </w:rPr>
              <w:t>磋商响应文件未含有采购人不可接受的附加条件。</w:t>
            </w:r>
          </w:p>
        </w:tc>
      </w:tr>
    </w:tbl>
    <w:p w14:paraId="3337D535">
      <w:pPr>
        <w:autoSpaceDE w:val="0"/>
        <w:autoSpaceDN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（三）</w:t>
      </w:r>
      <w:r>
        <w:rPr>
          <w:rFonts w:hint="eastAsia" w:asciiTheme="minorEastAsia" w:hAnsiTheme="minorEastAsia" w:eastAsiaTheme="minorEastAsia"/>
          <w:b/>
          <w:bCs/>
          <w:color w:val="auto"/>
          <w:sz w:val="24"/>
          <w:highlight w:val="none"/>
        </w:rPr>
        <w:t>商务技术及价格评审</w:t>
      </w:r>
    </w:p>
    <w:p w14:paraId="7BC94979">
      <w:pPr>
        <w:pStyle w:val="21"/>
        <w:spacing w:before="0" w:beforeAutospacing="0" w:after="0" w:afterAutospacing="0" w:line="360" w:lineRule="auto"/>
        <w:ind w:firstLine="480" w:firstLineChars="200"/>
        <w:jc w:val="both"/>
        <w:rPr>
          <w:rFonts w:hint="eastAsia"/>
          <w:color w:val="auto"/>
          <w:highlight w:val="none"/>
        </w:rPr>
      </w:pPr>
      <w:r>
        <w:rPr>
          <w:color w:val="auto"/>
          <w:highlight w:val="none"/>
        </w:rPr>
        <w:t>项目评标方法为综合评分法，总计100分，</w:t>
      </w:r>
      <w:r>
        <w:rPr>
          <w:rFonts w:hint="eastAsia"/>
          <w:color w:val="auto"/>
          <w:highlight w:val="none"/>
        </w:rPr>
        <w:t>其中</w:t>
      </w:r>
      <w:r>
        <w:rPr>
          <w:rFonts w:hint="eastAsia"/>
          <w:color w:val="auto"/>
          <w:highlight w:val="none"/>
          <w:lang w:val="en-US" w:eastAsia="zh-CN"/>
        </w:rPr>
        <w:t>价格得分满分10</w:t>
      </w:r>
      <w:r>
        <w:rPr>
          <w:rFonts w:hint="eastAsia"/>
          <w:color w:val="auto"/>
          <w:highlight w:val="none"/>
        </w:rPr>
        <w:t>分、商务与技术</w:t>
      </w:r>
      <w:r>
        <w:rPr>
          <w:rFonts w:hint="eastAsia"/>
          <w:color w:val="auto"/>
          <w:highlight w:val="none"/>
          <w:lang w:val="en-US" w:eastAsia="zh-CN"/>
        </w:rPr>
        <w:t>得分满分90</w:t>
      </w:r>
      <w:r>
        <w:rPr>
          <w:rFonts w:hint="eastAsia"/>
          <w:color w:val="auto"/>
          <w:highlight w:val="none"/>
        </w:rPr>
        <w:t>分。投标人的总得分＝商务与技术文件得分+报价文件得分。</w:t>
      </w:r>
    </w:p>
    <w:p w14:paraId="30CF862F">
      <w:pPr>
        <w:pStyle w:val="21"/>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color w:val="auto"/>
          <w:highlight w:val="none"/>
        </w:rPr>
        <w:t>评标按以下标准及要求进行。</w:t>
      </w:r>
      <w:r>
        <w:rPr>
          <w:rFonts w:cs="宋体"/>
          <w:color w:val="auto"/>
          <w:highlight w:val="none"/>
        </w:rPr>
        <w:t>评标委员会成员按商务与技术文件的评分标准，在分值范围内各自打分。商务与技术文件分按照评标委员会成员的评分结果取平均值，为供应商的商务与技术文件得分。（评委评分结果每项保留1位小数，第2位四舍五入；平均值小数点后保留2位，第3位四舍五入）</w:t>
      </w:r>
      <w:r>
        <w:rPr>
          <w:rFonts w:asciiTheme="minorEastAsia" w:hAnsiTheme="minorEastAsia" w:eastAsiaTheme="minorEastAsia"/>
          <w:color w:val="auto"/>
          <w:highlight w:val="none"/>
        </w:rPr>
        <w:t>：</w:t>
      </w:r>
    </w:p>
    <w:p w14:paraId="3C560B87">
      <w:pPr>
        <w:pStyle w:val="34"/>
        <w:numPr>
          <w:ilvl w:val="0"/>
          <w:numId w:val="7"/>
        </w:numPr>
        <w:autoSpaceDE w:val="0"/>
        <w:autoSpaceDN w:val="0"/>
        <w:adjustRightInd w:val="0"/>
        <w:spacing w:line="360" w:lineRule="auto"/>
        <w:ind w:right="85" w:firstLineChars="0"/>
        <w:rPr>
          <w:rFonts w:hint="eastAsia" w:ascii="宋体"/>
          <w:b/>
          <w:bCs/>
          <w:color w:val="auto"/>
          <w:sz w:val="24"/>
          <w:highlight w:val="none"/>
        </w:rPr>
      </w:pPr>
      <w:r>
        <w:rPr>
          <w:rFonts w:hint="eastAsia" w:ascii="宋体"/>
          <w:b/>
          <w:bCs/>
          <w:color w:val="auto"/>
          <w:sz w:val="24"/>
          <w:highlight w:val="none"/>
        </w:rPr>
        <w:t>评分标准</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51"/>
        <w:gridCol w:w="6109"/>
        <w:gridCol w:w="756"/>
        <w:gridCol w:w="994"/>
      </w:tblGrid>
      <w:tr w14:paraId="2091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54" w:type="dxa"/>
            <w:noWrap w:val="0"/>
            <w:vAlign w:val="center"/>
          </w:tcPr>
          <w:p w14:paraId="6957D59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060" w:type="dxa"/>
            <w:gridSpan w:val="2"/>
            <w:noWrap w:val="0"/>
            <w:vAlign w:val="center"/>
          </w:tcPr>
          <w:p w14:paraId="2F16F6A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评分内容和标准</w:t>
            </w:r>
          </w:p>
        </w:tc>
        <w:tc>
          <w:tcPr>
            <w:tcW w:w="756" w:type="dxa"/>
            <w:noWrap w:val="0"/>
            <w:vAlign w:val="center"/>
          </w:tcPr>
          <w:p w14:paraId="434D9BD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994" w:type="dxa"/>
            <w:noWrap w:val="0"/>
            <w:vAlign w:val="center"/>
          </w:tcPr>
          <w:p w14:paraId="4AC18E8A">
            <w:pPr>
              <w:keepNext w:val="0"/>
              <w:keepLines w:val="0"/>
              <w:pageBreakBefore w:val="0"/>
              <w:kinsoku/>
              <w:wordWrap/>
              <w:overflowPunct/>
              <w:topLinePunct w:val="0"/>
              <w:bidi w:val="0"/>
              <w:spacing w:beforeAutospacing="0" w:afterAutospacing="0" w:line="360" w:lineRule="auto"/>
              <w:ind w:left="0" w:leftChars="0" w:right="0" w:rightChars="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highlight w:val="none"/>
              </w:rPr>
              <w:t>客观分/主观分</w:t>
            </w:r>
          </w:p>
        </w:tc>
      </w:tr>
      <w:tr w14:paraId="4899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54" w:type="dxa"/>
            <w:noWrap w:val="0"/>
            <w:vAlign w:val="center"/>
          </w:tcPr>
          <w:p w14:paraId="094A784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51" w:type="dxa"/>
            <w:noWrap w:val="0"/>
            <w:vAlign w:val="center"/>
          </w:tcPr>
          <w:p w14:paraId="04CD0A9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6109" w:type="dxa"/>
            <w:noWrap w:val="0"/>
            <w:vAlign w:val="center"/>
          </w:tcPr>
          <w:p w14:paraId="6BB7395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年1月1日起（以合同签订之日为准）供应商具有</w:t>
            </w:r>
            <w:r>
              <w:rPr>
                <w:rFonts w:hint="eastAsia" w:ascii="宋体" w:hAnsi="宋体" w:eastAsia="宋体" w:cs="宋体"/>
                <w:color w:val="auto"/>
                <w:sz w:val="24"/>
                <w:szCs w:val="24"/>
                <w:highlight w:val="none"/>
                <w:lang w:val="en-US" w:eastAsia="zh-CN"/>
              </w:rPr>
              <w:t>与采购需求相匹配的</w:t>
            </w:r>
            <w:r>
              <w:rPr>
                <w:rFonts w:hint="eastAsia" w:ascii="宋体" w:hAnsi="宋体" w:eastAsia="宋体" w:cs="宋体"/>
                <w:color w:val="auto"/>
                <w:sz w:val="24"/>
                <w:szCs w:val="24"/>
                <w:highlight w:val="none"/>
              </w:rPr>
              <w:t>项目业绩的，每提供一个合同得0.5分，最高得1分。</w:t>
            </w:r>
          </w:p>
          <w:p w14:paraId="2819AB5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提供合同</w:t>
            </w:r>
            <w:r>
              <w:rPr>
                <w:rFonts w:hint="eastAsia" w:ascii="宋体" w:hAnsi="宋体" w:eastAsia="宋体" w:cs="宋体"/>
                <w:b/>
                <w:bCs/>
                <w:color w:val="auto"/>
                <w:sz w:val="22"/>
                <w:szCs w:val="22"/>
                <w:highlight w:val="none"/>
                <w:lang w:val="en-US" w:eastAsia="zh-CN"/>
              </w:rPr>
              <w:t>清晰扫描件</w:t>
            </w:r>
            <w:r>
              <w:rPr>
                <w:rFonts w:hint="eastAsia" w:ascii="宋体" w:hAnsi="宋体" w:eastAsia="宋体" w:cs="宋体"/>
                <w:b/>
                <w:bCs/>
                <w:color w:val="auto"/>
                <w:sz w:val="22"/>
                <w:szCs w:val="22"/>
                <w:highlight w:val="none"/>
              </w:rPr>
              <w:t>，合同未能体现业绩特征指标的，另行提供能体现业绩特征指标的</w:t>
            </w:r>
            <w:r>
              <w:rPr>
                <w:rFonts w:hint="eastAsia" w:ascii="宋体" w:hAnsi="宋体" w:eastAsia="宋体" w:cs="宋体"/>
                <w:b/>
                <w:bCs/>
                <w:color w:val="auto"/>
                <w:sz w:val="22"/>
                <w:szCs w:val="22"/>
                <w:highlight w:val="none"/>
                <w:lang w:eastAsia="zh-CN"/>
              </w:rPr>
              <w:t>采购</w:t>
            </w:r>
            <w:r>
              <w:rPr>
                <w:rFonts w:hint="eastAsia" w:ascii="宋体" w:hAnsi="宋体" w:eastAsia="宋体" w:cs="宋体"/>
                <w:b/>
                <w:bCs/>
                <w:color w:val="auto"/>
                <w:sz w:val="22"/>
                <w:szCs w:val="22"/>
                <w:highlight w:val="none"/>
              </w:rPr>
              <w:t>方证明</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证明自拟</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w:t>
            </w:r>
          </w:p>
        </w:tc>
        <w:tc>
          <w:tcPr>
            <w:tcW w:w="756" w:type="dxa"/>
            <w:noWrap w:val="0"/>
            <w:vAlign w:val="center"/>
          </w:tcPr>
          <w:p w14:paraId="43D2147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w:t>
            </w:r>
          </w:p>
        </w:tc>
        <w:tc>
          <w:tcPr>
            <w:tcW w:w="994" w:type="dxa"/>
            <w:noWrap w:val="0"/>
            <w:vAlign w:val="center"/>
          </w:tcPr>
          <w:p w14:paraId="71EF2509">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highlight w:val="none"/>
                <w:lang w:val="en-US" w:eastAsia="zh-CN"/>
              </w:rPr>
              <w:t>客观分</w:t>
            </w:r>
          </w:p>
        </w:tc>
      </w:tr>
      <w:tr w14:paraId="2A20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14:paraId="7C84764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51" w:type="dxa"/>
            <w:noWrap w:val="0"/>
            <w:vAlign w:val="center"/>
          </w:tcPr>
          <w:p w14:paraId="7621FC7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新媒体宣传平台</w:t>
            </w:r>
          </w:p>
        </w:tc>
        <w:tc>
          <w:tcPr>
            <w:tcW w:w="6109" w:type="dxa"/>
            <w:noWrap w:val="0"/>
            <w:vAlign w:val="top"/>
          </w:tcPr>
          <w:p w14:paraId="1FFD6EDC">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供应商拥有自主的新媒体宣传平台，如微信公众号、微博、app等。每个得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bidi="ar"/>
              </w:rPr>
              <w:t>分，最多得</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分。</w:t>
            </w:r>
          </w:p>
          <w:p w14:paraId="034D47C8">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w:t>
            </w:r>
            <w:r>
              <w:rPr>
                <w:rFonts w:hint="eastAsia" w:ascii="宋体" w:hAnsi="宋体" w:eastAsia="宋体" w:cs="宋体"/>
                <w:b/>
                <w:bCs/>
                <w:color w:val="auto"/>
                <w:sz w:val="24"/>
                <w:szCs w:val="24"/>
                <w:highlight w:val="none"/>
                <w:lang w:bidi="ar"/>
              </w:rPr>
              <w:t>提供相关自主界面</w:t>
            </w:r>
            <w:r>
              <w:rPr>
                <w:rFonts w:hint="eastAsia" w:ascii="宋体" w:hAnsi="宋体" w:eastAsia="宋体" w:cs="宋体"/>
                <w:b/>
                <w:bCs/>
                <w:color w:val="auto"/>
                <w:sz w:val="24"/>
                <w:szCs w:val="24"/>
                <w:highlight w:val="none"/>
                <w:lang w:val="en-US" w:eastAsia="zh-CN" w:bidi="ar"/>
              </w:rPr>
              <w:t>截图</w:t>
            </w:r>
            <w:r>
              <w:rPr>
                <w:rFonts w:hint="eastAsia" w:ascii="宋体" w:hAnsi="宋体" w:eastAsia="宋体" w:cs="宋体"/>
                <w:b/>
                <w:bCs/>
                <w:color w:val="auto"/>
                <w:sz w:val="24"/>
                <w:szCs w:val="24"/>
                <w:highlight w:val="none"/>
                <w:lang w:bidi="ar"/>
              </w:rPr>
              <w:t>或其他证明</w:t>
            </w:r>
            <w:r>
              <w:rPr>
                <w:rFonts w:hint="eastAsia" w:ascii="宋体" w:hAnsi="宋体" w:eastAsia="宋体" w:cs="宋体"/>
                <w:b/>
                <w:bCs/>
                <w:color w:val="auto"/>
                <w:sz w:val="24"/>
                <w:szCs w:val="24"/>
                <w:highlight w:val="none"/>
                <w:lang w:val="en-US" w:eastAsia="zh-CN" w:bidi="ar"/>
              </w:rPr>
              <w:t>清晰扫描件</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eastAsia="zh-CN" w:bidi="ar"/>
              </w:rPr>
              <w:t>）</w:t>
            </w:r>
          </w:p>
        </w:tc>
        <w:tc>
          <w:tcPr>
            <w:tcW w:w="756" w:type="dxa"/>
            <w:noWrap w:val="0"/>
            <w:vAlign w:val="center"/>
          </w:tcPr>
          <w:p w14:paraId="4ACFF1E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94" w:type="dxa"/>
            <w:noWrap w:val="0"/>
            <w:vAlign w:val="center"/>
          </w:tcPr>
          <w:p w14:paraId="5F29C53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rPr>
              <w:t>客观分</w:t>
            </w:r>
          </w:p>
        </w:tc>
      </w:tr>
      <w:tr w14:paraId="1C23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54" w:type="dxa"/>
            <w:noWrap w:val="0"/>
            <w:vAlign w:val="center"/>
          </w:tcPr>
          <w:p w14:paraId="5CCEAD9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51" w:type="dxa"/>
            <w:noWrap w:val="0"/>
            <w:vAlign w:val="center"/>
          </w:tcPr>
          <w:p w14:paraId="332EEC7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项目理解</w:t>
            </w:r>
          </w:p>
        </w:tc>
        <w:tc>
          <w:tcPr>
            <w:tcW w:w="6109" w:type="dxa"/>
            <w:noWrap w:val="0"/>
            <w:vAlign w:val="top"/>
          </w:tcPr>
          <w:p w14:paraId="0109E2A5">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对本项目工作内容、工作目的、工作任务的理解正确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方案内容完整且与项目匹配度好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4A1107C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994" w:type="dxa"/>
            <w:noWrap w:val="0"/>
            <w:vAlign w:val="center"/>
          </w:tcPr>
          <w:p w14:paraId="2DEEB83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036E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Merge w:val="restart"/>
            <w:noWrap w:val="0"/>
            <w:vAlign w:val="center"/>
          </w:tcPr>
          <w:p w14:paraId="073184E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51" w:type="dxa"/>
            <w:vMerge w:val="restart"/>
            <w:noWrap w:val="0"/>
            <w:vAlign w:val="center"/>
          </w:tcPr>
          <w:p w14:paraId="46F526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服务实施</w:t>
            </w:r>
          </w:p>
          <w:p w14:paraId="2F7DEC0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w:t>
            </w:r>
          </w:p>
        </w:tc>
        <w:tc>
          <w:tcPr>
            <w:tcW w:w="6109" w:type="dxa"/>
            <w:noWrap w:val="0"/>
            <w:vAlign w:val="center"/>
          </w:tcPr>
          <w:p w14:paraId="6FCC402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实施组织方案内容完整且与项目匹配度好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3C045EB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994" w:type="dxa"/>
            <w:noWrap w:val="0"/>
            <w:vAlign w:val="center"/>
          </w:tcPr>
          <w:p w14:paraId="28F78F0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5C73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654" w:type="dxa"/>
            <w:vMerge w:val="continue"/>
            <w:noWrap w:val="0"/>
            <w:vAlign w:val="center"/>
          </w:tcPr>
          <w:p w14:paraId="0B18112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951" w:type="dxa"/>
            <w:vMerge w:val="continue"/>
            <w:noWrap w:val="0"/>
            <w:vAlign w:val="center"/>
          </w:tcPr>
          <w:p w14:paraId="6D6C3BC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6109" w:type="dxa"/>
            <w:noWrap w:val="0"/>
            <w:vAlign w:val="center"/>
          </w:tcPr>
          <w:p w14:paraId="43F21A3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工作计划安排</w:t>
            </w:r>
            <w:r>
              <w:rPr>
                <w:rFonts w:hint="eastAsia" w:ascii="宋体" w:hAnsi="宋体" w:eastAsia="宋体" w:cs="宋体"/>
                <w:color w:val="auto"/>
                <w:sz w:val="24"/>
                <w:szCs w:val="24"/>
                <w:highlight w:val="none"/>
              </w:rPr>
              <w:t>方案内容完整且与项目匹配度好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0476E1F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994" w:type="dxa"/>
            <w:noWrap w:val="0"/>
            <w:vAlign w:val="center"/>
          </w:tcPr>
          <w:p w14:paraId="2B89086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4847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54" w:type="dxa"/>
            <w:vMerge w:val="continue"/>
            <w:noWrap w:val="0"/>
            <w:vAlign w:val="center"/>
          </w:tcPr>
          <w:p w14:paraId="71F6B7A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951" w:type="dxa"/>
            <w:vMerge w:val="continue"/>
            <w:noWrap w:val="0"/>
            <w:vAlign w:val="center"/>
          </w:tcPr>
          <w:p w14:paraId="0C7C2CD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6109" w:type="dxa"/>
            <w:noWrap w:val="0"/>
            <w:vAlign w:val="center"/>
          </w:tcPr>
          <w:p w14:paraId="5D5702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质量保证措施方案</w:t>
            </w:r>
            <w:r>
              <w:rPr>
                <w:rFonts w:hint="eastAsia" w:ascii="宋体" w:hAnsi="宋体" w:eastAsia="宋体" w:cs="宋体"/>
                <w:color w:val="auto"/>
                <w:sz w:val="24"/>
                <w:szCs w:val="24"/>
                <w:highlight w:val="none"/>
              </w:rPr>
              <w:t>内容完整且与项目匹配度好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28395D6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994" w:type="dxa"/>
            <w:noWrap w:val="0"/>
            <w:vAlign w:val="center"/>
          </w:tcPr>
          <w:p w14:paraId="0D0CF74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1F1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54" w:type="dxa"/>
            <w:vMerge w:val="continue"/>
            <w:noWrap w:val="0"/>
            <w:vAlign w:val="center"/>
          </w:tcPr>
          <w:p w14:paraId="0098AB2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951" w:type="dxa"/>
            <w:vMerge w:val="continue"/>
            <w:noWrap w:val="0"/>
            <w:vAlign w:val="center"/>
          </w:tcPr>
          <w:p w14:paraId="16AD066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6109" w:type="dxa"/>
            <w:noWrap w:val="0"/>
            <w:vAlign w:val="center"/>
          </w:tcPr>
          <w:p w14:paraId="73C4B4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应急处理方案内容完整且与项目匹配度好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74EFE35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994" w:type="dxa"/>
            <w:noWrap w:val="0"/>
            <w:vAlign w:val="center"/>
          </w:tcPr>
          <w:p w14:paraId="5F3396E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156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54" w:type="dxa"/>
            <w:noWrap w:val="0"/>
            <w:vAlign w:val="center"/>
          </w:tcPr>
          <w:p w14:paraId="361C90C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51" w:type="dxa"/>
            <w:noWrap w:val="0"/>
            <w:vAlign w:val="center"/>
          </w:tcPr>
          <w:p w14:paraId="7DB3841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重点难点分析及合理化建议</w:t>
            </w:r>
          </w:p>
        </w:tc>
        <w:tc>
          <w:tcPr>
            <w:tcW w:w="6109" w:type="dxa"/>
            <w:noWrap w:val="0"/>
            <w:vAlign w:val="center"/>
          </w:tcPr>
          <w:p w14:paraId="79FAF79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对本项目服务过程中存在问题及难点的预见性、分析合理性、应对措施可行性</w:t>
            </w:r>
            <w:r>
              <w:rPr>
                <w:rFonts w:hint="eastAsia" w:ascii="宋体" w:hAnsi="宋体" w:eastAsia="宋体" w:cs="宋体"/>
                <w:color w:val="auto"/>
                <w:sz w:val="24"/>
                <w:szCs w:val="24"/>
                <w:highlight w:val="none"/>
                <w:lang w:val="en-US" w:eastAsia="zh-CN"/>
              </w:rPr>
              <w:t>提供方案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方案内容完整且与项目匹配度好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1A98439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94" w:type="dxa"/>
            <w:noWrap w:val="0"/>
            <w:vAlign w:val="center"/>
          </w:tcPr>
          <w:p w14:paraId="573AE60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3F1F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54" w:type="dxa"/>
            <w:vMerge w:val="restart"/>
            <w:noWrap w:val="0"/>
            <w:vAlign w:val="center"/>
          </w:tcPr>
          <w:p w14:paraId="7D3BBCB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51" w:type="dxa"/>
            <w:vMerge w:val="restart"/>
            <w:noWrap w:val="0"/>
            <w:vAlign w:val="center"/>
          </w:tcPr>
          <w:p w14:paraId="528FAD1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w:t>
            </w:r>
          </w:p>
        </w:tc>
        <w:tc>
          <w:tcPr>
            <w:tcW w:w="6109" w:type="dxa"/>
            <w:noWrap w:val="0"/>
            <w:vAlign w:val="center"/>
          </w:tcPr>
          <w:p w14:paraId="608DA8CE">
            <w:pPr>
              <w:snapToGrid w:val="0"/>
              <w:spacing w:line="360" w:lineRule="auto"/>
              <w:rPr>
                <w:rFonts w:hint="eastAsia" w:ascii="宋体" w:hAnsi="宋体" w:eastAsia="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项目团队专业能力强，成员具有多年类似工作经验，</w:t>
            </w:r>
            <w:r>
              <w:rPr>
                <w:rFonts w:hint="eastAsia" w:ascii="宋体" w:hAnsi="宋体" w:eastAsia="宋体" w:cs="宋体"/>
                <w:color w:val="auto"/>
                <w:sz w:val="24"/>
                <w:szCs w:val="24"/>
                <w:highlight w:val="none"/>
                <w:lang w:val="en-US" w:eastAsia="zh-CN"/>
              </w:rPr>
              <w:t>人员专业吻合度高、稳定性好。专家根据内容进行打分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72FA3828">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b/>
                <w:bCs/>
                <w:color w:val="auto"/>
                <w:sz w:val="24"/>
                <w:szCs w:val="24"/>
                <w:highlight w:val="none"/>
                <w:lang w:eastAsia="zh-CN"/>
              </w:rPr>
            </w:pPr>
            <w:r>
              <w:rPr>
                <w:rFonts w:hint="eastAsia" w:ascii="宋体" w:hAnsi="宋体" w:cs="宋体"/>
                <w:i w:val="0"/>
                <w:iCs w:val="0"/>
                <w:color w:val="auto"/>
                <w:kern w:val="0"/>
                <w:sz w:val="24"/>
                <w:szCs w:val="24"/>
                <w:highlight w:val="none"/>
                <w:u w:val="none"/>
                <w:lang w:val="en-US" w:eastAsia="zh-CN" w:bidi="ar"/>
              </w:rPr>
              <w:t>6</w:t>
            </w:r>
          </w:p>
        </w:tc>
        <w:tc>
          <w:tcPr>
            <w:tcW w:w="994" w:type="dxa"/>
            <w:noWrap w:val="0"/>
            <w:vAlign w:val="center"/>
          </w:tcPr>
          <w:p w14:paraId="20457B11">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主观分</w:t>
            </w:r>
          </w:p>
        </w:tc>
      </w:tr>
      <w:tr w14:paraId="3FAB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654" w:type="dxa"/>
            <w:vMerge w:val="continue"/>
            <w:noWrap w:val="0"/>
            <w:vAlign w:val="center"/>
          </w:tcPr>
          <w:p w14:paraId="6C82638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951" w:type="dxa"/>
            <w:vMerge w:val="continue"/>
            <w:noWrap w:val="0"/>
            <w:vAlign w:val="center"/>
          </w:tcPr>
          <w:p w14:paraId="6231723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p>
        </w:tc>
        <w:tc>
          <w:tcPr>
            <w:tcW w:w="6109" w:type="dxa"/>
            <w:noWrap w:val="0"/>
            <w:vAlign w:val="center"/>
          </w:tcPr>
          <w:p w14:paraId="65A53CF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kern w:val="0"/>
                <w:sz w:val="24"/>
                <w:highlight w:val="none"/>
                <w:lang w:bidi="ar"/>
              </w:rPr>
              <w:t>项目负责人具有本科学历及以上，且毕业工作满5年及以上的得2分。</w:t>
            </w:r>
          </w:p>
          <w:p w14:paraId="15BA07EF">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2"/>
                <w:szCs w:val="22"/>
                <w:highlight w:val="none"/>
              </w:rPr>
              <w:t>提供毕业证书</w:t>
            </w:r>
            <w:r>
              <w:rPr>
                <w:rFonts w:hint="eastAsia" w:ascii="宋体" w:hAnsi="宋体" w:eastAsia="宋体" w:cs="宋体"/>
                <w:b/>
                <w:bCs/>
                <w:color w:val="auto"/>
                <w:sz w:val="22"/>
                <w:szCs w:val="22"/>
                <w:highlight w:val="none"/>
                <w:lang w:val="en-US" w:eastAsia="zh-CN"/>
              </w:rPr>
              <w:t>清晰扫描件</w:t>
            </w:r>
            <w:r>
              <w:rPr>
                <w:rFonts w:hint="eastAsia" w:ascii="宋体" w:hAnsi="宋体" w:cs="宋体"/>
                <w:b/>
                <w:bCs/>
                <w:color w:val="auto"/>
                <w:sz w:val="22"/>
                <w:szCs w:val="22"/>
                <w:highlight w:val="none"/>
                <w:lang w:val="en-US" w:eastAsia="zh-CN"/>
              </w:rPr>
              <w:t>和</w:t>
            </w:r>
            <w:r>
              <w:rPr>
                <w:rFonts w:hint="eastAsia" w:ascii="宋体" w:hAnsi="宋体" w:eastAsia="宋体" w:cs="宋体"/>
                <w:b/>
                <w:bCs/>
                <w:color w:val="auto"/>
                <w:sz w:val="22"/>
                <w:szCs w:val="22"/>
                <w:highlight w:val="none"/>
                <w:lang w:eastAsia="zh-CN"/>
              </w:rPr>
              <w:t>近三个月</w:t>
            </w:r>
            <w:r>
              <w:rPr>
                <w:rFonts w:hint="eastAsia" w:ascii="宋体" w:hAnsi="宋体" w:eastAsia="宋体" w:cs="宋体"/>
                <w:b/>
                <w:bCs/>
                <w:color w:val="auto"/>
                <w:sz w:val="22"/>
                <w:szCs w:val="22"/>
                <w:highlight w:val="none"/>
                <w:lang w:val="en-US" w:eastAsia="zh-CN"/>
              </w:rPr>
              <w:t>其中一个月</w:t>
            </w:r>
            <w:r>
              <w:rPr>
                <w:rFonts w:hint="eastAsia" w:ascii="宋体" w:hAnsi="宋体" w:eastAsia="宋体" w:cs="宋体"/>
                <w:b/>
                <w:bCs/>
                <w:color w:val="auto"/>
                <w:sz w:val="22"/>
                <w:szCs w:val="22"/>
                <w:highlight w:val="none"/>
                <w:lang w:eastAsia="zh-CN"/>
              </w:rPr>
              <w:t>社保证明</w:t>
            </w:r>
            <w:r>
              <w:rPr>
                <w:rFonts w:hint="eastAsia" w:ascii="宋体" w:hAnsi="宋体" w:eastAsia="宋体" w:cs="宋体"/>
                <w:b/>
                <w:bCs/>
                <w:color w:val="auto"/>
                <w:sz w:val="22"/>
                <w:szCs w:val="22"/>
                <w:highlight w:val="none"/>
              </w:rPr>
              <w:t>。</w:t>
            </w:r>
          </w:p>
        </w:tc>
        <w:tc>
          <w:tcPr>
            <w:tcW w:w="756" w:type="dxa"/>
            <w:noWrap w:val="0"/>
            <w:vAlign w:val="center"/>
          </w:tcPr>
          <w:p w14:paraId="7F8A930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994" w:type="dxa"/>
            <w:noWrap w:val="0"/>
            <w:vAlign w:val="center"/>
          </w:tcPr>
          <w:p w14:paraId="1A636E89">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3BD1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4" w:type="dxa"/>
            <w:noWrap w:val="0"/>
            <w:vAlign w:val="center"/>
          </w:tcPr>
          <w:p w14:paraId="31DC5AB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51" w:type="dxa"/>
            <w:noWrap w:val="0"/>
            <w:vAlign w:val="center"/>
          </w:tcPr>
          <w:p w14:paraId="2080B87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宣传媒体</w:t>
            </w:r>
            <w:r>
              <w:rPr>
                <w:rFonts w:hint="eastAsia" w:ascii="宋体" w:hAnsi="宋体" w:eastAsia="宋体" w:cs="宋体"/>
                <w:color w:val="auto"/>
                <w:sz w:val="24"/>
                <w:szCs w:val="24"/>
                <w:highlight w:val="none"/>
                <w:lang w:eastAsia="zh-Hans"/>
              </w:rPr>
              <w:t>矩阵</w:t>
            </w:r>
          </w:p>
        </w:tc>
        <w:tc>
          <w:tcPr>
            <w:tcW w:w="6109" w:type="dxa"/>
            <w:noWrap w:val="0"/>
            <w:vAlign w:val="center"/>
          </w:tcPr>
          <w:p w14:paraId="77663DC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有</w:t>
            </w:r>
            <w:r>
              <w:rPr>
                <w:rFonts w:hint="eastAsia" w:ascii="宋体" w:hAnsi="宋体" w:eastAsia="宋体" w:cs="宋体"/>
                <w:b w:val="0"/>
                <w:bCs w:val="0"/>
                <w:color w:val="auto"/>
                <w:sz w:val="24"/>
                <w:szCs w:val="24"/>
                <w:highlight w:val="none"/>
                <w:lang w:val="en-US" w:eastAsia="zh-CN"/>
              </w:rPr>
              <w:t>海外社交媒体平台</w:t>
            </w:r>
            <w:r>
              <w:rPr>
                <w:rFonts w:hint="eastAsia" w:ascii="宋体" w:hAnsi="宋体" w:eastAsia="宋体" w:cs="宋体"/>
                <w:b w:val="0"/>
                <w:bCs w:val="0"/>
                <w:color w:val="auto"/>
                <w:sz w:val="24"/>
                <w:szCs w:val="24"/>
                <w:highlight w:val="none"/>
                <w:lang w:eastAsia="zh-CN"/>
              </w:rPr>
              <w:t>粉丝数500万以上的，每多</w:t>
            </w:r>
            <w:r>
              <w:rPr>
                <w:rFonts w:hint="eastAsia" w:ascii="宋体" w:hAnsi="宋体" w:eastAsia="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lang w:eastAsia="zh-CN"/>
              </w:rPr>
              <w:t>万得1分，</w:t>
            </w:r>
            <w:r>
              <w:rPr>
                <w:rFonts w:hint="eastAsia" w:ascii="宋体" w:hAnsi="宋体" w:cs="宋体"/>
                <w:b w:val="0"/>
                <w:bCs w:val="0"/>
                <w:color w:val="auto"/>
                <w:sz w:val="24"/>
                <w:szCs w:val="24"/>
                <w:highlight w:val="none"/>
                <w:lang w:val="en-US" w:eastAsia="zh-CN"/>
              </w:rPr>
              <w:t>有国外通讯社或海外主流媒体在中国的代理资格，每一家得1分</w:t>
            </w:r>
            <w:r>
              <w:rPr>
                <w:rFonts w:hint="eastAsia" w:ascii="宋体" w:hAnsi="宋体" w:eastAsia="宋体" w:cs="宋体"/>
                <w:b w:val="0"/>
                <w:bCs w:val="0"/>
                <w:color w:val="auto"/>
                <w:sz w:val="24"/>
                <w:szCs w:val="24"/>
                <w:highlight w:val="none"/>
                <w:lang w:eastAsia="zh-CN"/>
              </w:rPr>
              <w:t>，本小项最高得10分。</w:t>
            </w:r>
          </w:p>
          <w:p w14:paraId="422DDC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2"/>
                <w:szCs w:val="22"/>
                <w:highlight w:val="none"/>
                <w:lang w:val="en-US" w:eastAsia="zh-CN"/>
              </w:rPr>
              <w:t>提供相关证明材料</w:t>
            </w:r>
            <w:r>
              <w:rPr>
                <w:rFonts w:hint="eastAsia" w:ascii="宋体" w:hAnsi="宋体" w:eastAsia="宋体" w:cs="宋体"/>
                <w:b/>
                <w:bCs/>
                <w:color w:val="auto"/>
                <w:sz w:val="22"/>
                <w:szCs w:val="22"/>
                <w:highlight w:val="none"/>
                <w:lang w:eastAsia="zh-CN"/>
              </w:rPr>
              <w:t>。</w:t>
            </w:r>
          </w:p>
        </w:tc>
        <w:tc>
          <w:tcPr>
            <w:tcW w:w="756" w:type="dxa"/>
            <w:noWrap w:val="0"/>
            <w:vAlign w:val="center"/>
          </w:tcPr>
          <w:p w14:paraId="149DEC3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lang w:val="en-US" w:eastAsia="zh-CN"/>
              </w:rPr>
              <w:t>10</w:t>
            </w:r>
          </w:p>
        </w:tc>
        <w:tc>
          <w:tcPr>
            <w:tcW w:w="994" w:type="dxa"/>
            <w:noWrap w:val="0"/>
            <w:vAlign w:val="center"/>
          </w:tcPr>
          <w:p w14:paraId="5752B5C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14:paraId="31A1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54" w:type="dxa"/>
            <w:noWrap w:val="0"/>
            <w:vAlign w:val="center"/>
          </w:tcPr>
          <w:p w14:paraId="01CD3F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51" w:type="dxa"/>
            <w:noWrap w:val="0"/>
            <w:vAlign w:val="center"/>
          </w:tcPr>
          <w:p w14:paraId="470C98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服务承诺</w:t>
            </w:r>
          </w:p>
        </w:tc>
        <w:tc>
          <w:tcPr>
            <w:tcW w:w="6109" w:type="dxa"/>
            <w:noWrap w:val="0"/>
            <w:vAlign w:val="top"/>
          </w:tcPr>
          <w:p w14:paraId="7F389D4D">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仿宋"/>
                <w:color w:val="auto"/>
                <w:kern w:val="0"/>
                <w:sz w:val="24"/>
                <w:highlight w:val="none"/>
              </w:rPr>
              <w:t>后续服务保障体系健全，应对措施科学，与采购人配合能高效落实</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val="en-US" w:eastAsia="zh-CN"/>
              </w:rPr>
              <w:t>及时</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方案内容完整且与项目匹配度好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5CFCF71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994" w:type="dxa"/>
            <w:noWrap w:val="0"/>
            <w:vAlign w:val="center"/>
          </w:tcPr>
          <w:p w14:paraId="301C7023">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0124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54" w:type="dxa"/>
            <w:noWrap w:val="0"/>
            <w:vAlign w:val="center"/>
          </w:tcPr>
          <w:p w14:paraId="0ABB02C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951" w:type="dxa"/>
            <w:noWrap w:val="0"/>
            <w:vAlign w:val="center"/>
          </w:tcPr>
          <w:p w14:paraId="5701E08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安全保密制度</w:t>
            </w:r>
          </w:p>
        </w:tc>
        <w:tc>
          <w:tcPr>
            <w:tcW w:w="6109" w:type="dxa"/>
            <w:noWrap w:val="0"/>
            <w:vAlign w:val="center"/>
          </w:tcPr>
          <w:p w14:paraId="3B56C7BA">
            <w:p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供应商内部安全保密制度制定完善健全，实施内容科学合理，专家根据内容进行打分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3DF13788">
            <w:pPr>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94" w:type="dxa"/>
            <w:noWrap w:val="0"/>
            <w:vAlign w:val="center"/>
          </w:tcPr>
          <w:p w14:paraId="3E7E1C6A">
            <w:pPr>
              <w:snapToGrid w:val="0"/>
              <w:spacing w:before="0" w:beforeAutospacing="0" w:after="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6CFC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4" w:type="dxa"/>
            <w:noWrap w:val="0"/>
            <w:vAlign w:val="center"/>
          </w:tcPr>
          <w:p w14:paraId="69062E1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951" w:type="dxa"/>
            <w:noWrap w:val="0"/>
            <w:vAlign w:val="center"/>
          </w:tcPr>
          <w:p w14:paraId="2A5CF8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宣传方案</w:t>
            </w:r>
          </w:p>
        </w:tc>
        <w:tc>
          <w:tcPr>
            <w:tcW w:w="6109" w:type="dxa"/>
            <w:noWrap w:val="0"/>
            <w:vAlign w:val="top"/>
          </w:tcPr>
          <w:p w14:paraId="680F3B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宣传内容表现吻合性，方案内容完整且与项目匹配度好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1B54EF5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94" w:type="dxa"/>
            <w:noWrap w:val="0"/>
            <w:vAlign w:val="center"/>
          </w:tcPr>
          <w:p w14:paraId="3B32B0D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102B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4" w:type="dxa"/>
            <w:noWrap w:val="0"/>
            <w:vAlign w:val="center"/>
          </w:tcPr>
          <w:p w14:paraId="44AB6DE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951" w:type="dxa"/>
            <w:noWrap w:val="0"/>
            <w:vAlign w:val="center"/>
          </w:tcPr>
          <w:p w14:paraId="053EF053">
            <w:pPr>
              <w:pageBreakBefore w:val="0"/>
              <w:kinsoku/>
              <w:wordWrap/>
              <w:overflowPunct/>
              <w:topLinePunct w:val="0"/>
              <w:bidi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售后服务</w:t>
            </w:r>
          </w:p>
        </w:tc>
        <w:tc>
          <w:tcPr>
            <w:tcW w:w="6109" w:type="dxa"/>
            <w:noWrap w:val="0"/>
            <w:vAlign w:val="center"/>
          </w:tcPr>
          <w:p w14:paraId="12EF5859">
            <w:pPr>
              <w:pageBreakBefore w:val="0"/>
              <w:kinsoku/>
              <w:wordWrap/>
              <w:overflowPunct/>
              <w:topLinePunct w:val="0"/>
              <w:bidi w:val="0"/>
              <w:spacing w:line="360" w:lineRule="auto"/>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服务承诺的响应时间、范围和完善程度，拥有较强的专业技术队伍，承诺中标后提供相应的售后服务情况，方案完善可执行性强</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6,5,4,3,2,1,0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c>
          <w:tcPr>
            <w:tcW w:w="756" w:type="dxa"/>
            <w:noWrap w:val="0"/>
            <w:vAlign w:val="center"/>
          </w:tcPr>
          <w:p w14:paraId="568D9DAE">
            <w:pPr>
              <w:pageBreakBefore w:val="0"/>
              <w:kinsoku/>
              <w:wordWrap/>
              <w:overflowPunct/>
              <w:topLinePunct w:val="0"/>
              <w:bidi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94" w:type="dxa"/>
            <w:noWrap w:val="0"/>
            <w:vAlign w:val="center"/>
          </w:tcPr>
          <w:p w14:paraId="688C9B8D">
            <w:pPr>
              <w:pageBreakBefore w:val="0"/>
              <w:kinsoku/>
              <w:wordWrap/>
              <w:overflowPunct/>
              <w:topLinePunct w:val="0"/>
              <w:bidi w:val="0"/>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23D8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4" w:type="dxa"/>
            <w:noWrap w:val="0"/>
            <w:vAlign w:val="center"/>
          </w:tcPr>
          <w:p w14:paraId="1E71EA9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951" w:type="dxa"/>
            <w:noWrap w:val="0"/>
            <w:vAlign w:val="center"/>
          </w:tcPr>
          <w:p w14:paraId="50E53DA6">
            <w:pPr>
              <w:pageBreakBefore w:val="0"/>
              <w:kinsoku/>
              <w:wordWrap/>
              <w:overflowPunct/>
              <w:topLinePunct w:val="0"/>
              <w:bidi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val="zh-CN"/>
              </w:rPr>
              <w:t>增值服务</w:t>
            </w:r>
          </w:p>
        </w:tc>
        <w:tc>
          <w:tcPr>
            <w:tcW w:w="6109" w:type="dxa"/>
            <w:noWrap w:val="0"/>
            <w:vAlign w:val="center"/>
          </w:tcPr>
          <w:p w14:paraId="72AD767F">
            <w:pPr>
              <w:pStyle w:val="12"/>
              <w:snapToGrid w:val="0"/>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val="zh-CN"/>
              </w:rPr>
              <w:t>本项目的其他增值优惠服务，</w:t>
            </w:r>
            <w:r>
              <w:rPr>
                <w:rFonts w:hint="eastAsia" w:ascii="宋体" w:hAnsi="宋体" w:eastAsia="宋体" w:cs="宋体"/>
                <w:color w:val="auto"/>
                <w:kern w:val="0"/>
                <w:sz w:val="24"/>
                <w:szCs w:val="24"/>
                <w:highlight w:val="none"/>
                <w:lang w:val="en-US" w:eastAsia="zh-CN"/>
              </w:rPr>
              <w:t>方案科学合理、可操作可执行性强，内容贴合需求。</w:t>
            </w:r>
            <w:r>
              <w:rPr>
                <w:rFonts w:hint="eastAsia" w:ascii="宋体" w:hAnsi="宋体" w:eastAsia="宋体" w:cs="宋体"/>
                <w:color w:val="auto"/>
                <w:sz w:val="24"/>
                <w:szCs w:val="24"/>
                <w:highlight w:val="none"/>
                <w:lang w:val="en-US" w:eastAsia="zh-CN"/>
              </w:rPr>
              <w:t>专家根据内容进行打分</w:t>
            </w:r>
            <w:r>
              <w:rPr>
                <w:rFonts w:hint="eastAsia" w:ascii="宋体" w:hAnsi="宋体" w:cs="宋体"/>
                <w:color w:val="auto"/>
                <w:sz w:val="24"/>
                <w:szCs w:val="24"/>
                <w:highlight w:val="none"/>
                <w:lang w:eastAsia="zh-CN"/>
              </w:rPr>
              <w:t>（评分范围：</w:t>
            </w:r>
            <w:r>
              <w:rPr>
                <w:rFonts w:hint="eastAsia" w:ascii="宋体" w:hAnsi="宋体" w:cs="宋体"/>
                <w:color w:val="auto"/>
                <w:sz w:val="24"/>
                <w:szCs w:val="24"/>
                <w:highlight w:val="none"/>
                <w:lang w:val="en-US" w:eastAsia="zh-CN"/>
              </w:rPr>
              <w:t>5,4,3,2,1,0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bookmarkStart w:id="184" w:name="_GoBack"/>
            <w:bookmarkEnd w:id="184"/>
          </w:p>
        </w:tc>
        <w:tc>
          <w:tcPr>
            <w:tcW w:w="756" w:type="dxa"/>
            <w:noWrap w:val="0"/>
            <w:vAlign w:val="center"/>
          </w:tcPr>
          <w:p w14:paraId="3A2002AF">
            <w:pPr>
              <w:pStyle w:val="12"/>
              <w:snapToGrid w:val="0"/>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994" w:type="dxa"/>
            <w:noWrap w:val="0"/>
            <w:vAlign w:val="center"/>
          </w:tcPr>
          <w:p w14:paraId="669A43ED">
            <w:pPr>
              <w:pStyle w:val="12"/>
              <w:snapToGrid w:val="0"/>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主观分</w:t>
            </w:r>
          </w:p>
        </w:tc>
      </w:tr>
      <w:tr w14:paraId="515F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4" w:type="dxa"/>
            <w:noWrap w:val="0"/>
            <w:vAlign w:val="center"/>
          </w:tcPr>
          <w:p w14:paraId="55A887F1">
            <w:pPr>
              <w:wordWrap/>
              <w:spacing w:line="360" w:lineRule="auto"/>
              <w:ind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951" w:type="dxa"/>
            <w:noWrap w:val="0"/>
            <w:vAlign w:val="center"/>
          </w:tcPr>
          <w:p w14:paraId="217E45EA">
            <w:pPr>
              <w:wordWrap/>
              <w:spacing w:line="360" w:lineRule="auto"/>
              <w:ind w:firstLine="0" w:firstLineChars="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报价分</w:t>
            </w:r>
          </w:p>
        </w:tc>
        <w:tc>
          <w:tcPr>
            <w:tcW w:w="6109" w:type="dxa"/>
            <w:noWrap w:val="0"/>
            <w:vAlign w:val="top"/>
          </w:tcPr>
          <w:p w14:paraId="4EFE3272">
            <w:pPr>
              <w:wordWrap/>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以合格投标人有效投标总报价中的最低价为基准价，基准价为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分。投标报价得分＝（评标基准价/最终投标报价）×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%×100（小数点后保留2位小数）。</w:t>
            </w:r>
          </w:p>
          <w:p w14:paraId="7076CDA7">
            <w:pPr>
              <w:wordWrap/>
              <w:spacing w:line="360" w:lineRule="auto"/>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参与评审的价格=投标总价-小微企业价格扣除优惠值</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756" w:type="dxa"/>
            <w:noWrap w:val="0"/>
            <w:vAlign w:val="center"/>
          </w:tcPr>
          <w:p w14:paraId="19106DC7">
            <w:pPr>
              <w:wordWrap/>
              <w:spacing w:line="36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10分</w:t>
            </w:r>
          </w:p>
        </w:tc>
        <w:tc>
          <w:tcPr>
            <w:tcW w:w="994" w:type="dxa"/>
            <w:noWrap w:val="0"/>
            <w:vAlign w:val="center"/>
          </w:tcPr>
          <w:p w14:paraId="7EFAB6C9">
            <w:pPr>
              <w:pStyle w:val="12"/>
              <w:snapToGrid w:val="0"/>
              <w:spacing w:line="360" w:lineRule="auto"/>
              <w:ind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bl>
    <w:p w14:paraId="76C72102">
      <w:pPr>
        <w:spacing w:line="360" w:lineRule="auto"/>
        <w:rPr>
          <w:rFonts w:ascii="宋体" w:hAnsi="宋体" w:cs="宋体"/>
          <w:color w:val="auto"/>
          <w:sz w:val="24"/>
          <w:highlight w:val="none"/>
        </w:rPr>
      </w:pPr>
      <w:r>
        <w:rPr>
          <w:rFonts w:hint="eastAsia" w:ascii="宋体" w:hAnsi="宋体" w:cs="宋体"/>
          <w:b/>
          <w:bCs/>
          <w:color w:val="auto"/>
          <w:sz w:val="24"/>
          <w:highlight w:val="none"/>
        </w:rPr>
        <w:t>2.最后报价</w:t>
      </w:r>
    </w:p>
    <w:p w14:paraId="2274BA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（1）磋商文件能够详细列明采购标的的技术、服务要求的，磋商结束后，磋商小组将要求所有实质性响应的供应商在规定时间内提交最后报价，最后报价是供应商响应文件的有效组成部分。</w:t>
      </w:r>
    </w:p>
    <w:p w14:paraId="5BB5710F">
      <w:pPr>
        <w:pStyle w:val="33"/>
        <w:spacing w:line="360" w:lineRule="auto"/>
        <w:ind w:firstLine="480" w:firstLineChars="200"/>
        <w:jc w:val="both"/>
        <w:rPr>
          <w:color w:val="auto"/>
          <w:highlight w:val="none"/>
        </w:rPr>
      </w:pPr>
      <w:r>
        <w:rPr>
          <w:rFonts w:hint="eastAsia" w:ascii="宋体" w:hAnsi="宋体" w:eastAsia="宋体" w:cs="宋体"/>
          <w:color w:val="auto"/>
          <w:sz w:val="24"/>
          <w:szCs w:val="24"/>
          <w:highlight w:val="none"/>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2E06B682">
      <w:pPr>
        <w:pStyle w:val="13"/>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3.评审要求</w:t>
      </w:r>
    </w:p>
    <w:p w14:paraId="3E10EC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(1)磋商小组应当按照磋商文件中规定的评标方法和标准，对符合性审查合格的响应文件的商务部分和技术部分进行综合比较与评价，其中</w:t>
      </w:r>
      <w:r>
        <w:rPr>
          <w:rFonts w:hint="eastAsia" w:ascii="宋体"/>
          <w:bCs/>
          <w:color w:val="auto"/>
          <w:sz w:val="24"/>
          <w:highlight w:val="none"/>
          <w:lang w:val="zh-CN"/>
        </w:rPr>
        <w:t>客观</w:t>
      </w:r>
      <w:r>
        <w:rPr>
          <w:rFonts w:hint="eastAsia" w:ascii="宋体"/>
          <w:bCs/>
          <w:color w:val="auto"/>
          <w:sz w:val="24"/>
          <w:highlight w:val="none"/>
        </w:rPr>
        <w:t>评分项的分值</w:t>
      </w:r>
      <w:r>
        <w:rPr>
          <w:rFonts w:hint="eastAsia" w:ascii="宋体"/>
          <w:bCs/>
          <w:color w:val="auto"/>
          <w:sz w:val="24"/>
          <w:highlight w:val="none"/>
          <w:lang w:val="zh-CN"/>
        </w:rPr>
        <w:t>应当一致。</w:t>
      </w:r>
    </w:p>
    <w:p w14:paraId="2D8E66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（2）对于磋商响应文件中含义不明确、同类问题表述不一致或者有明显文字和计算错误的内容，磋商小组应当要求供应商作出必要的澄清、说明或者补正。</w:t>
      </w:r>
    </w:p>
    <w:p w14:paraId="6C73A8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（3）供应商的澄清（说明或者补正）采用书面形式，并加盖公章（电子印章）或者由法定代表人或授权代表签字，且不得超出磋商响应文件的范围或者改变磋商响应文件的实质性内容。</w:t>
      </w:r>
    </w:p>
    <w:p w14:paraId="6F98249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（四）结果汇总及排序</w:t>
      </w:r>
    </w:p>
    <w:p w14:paraId="7DD317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1.经磋商确定最终采购需求和提交最后报价的供应商后，由磋商小组采用综合评分法对提交最后报价的供应商的响应文件和最后报价进行综合比较与评价。根据综合评分情况，按评审得分由高到低顺序推荐</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名成交候选供应商。评审得分相同的，按照最后报价</w:t>
      </w:r>
      <w:r>
        <w:rPr>
          <w:rFonts w:hint="eastAsia" w:ascii="宋体" w:hAnsi="宋体" w:cs="宋体"/>
          <w:color w:val="auto"/>
          <w:sz w:val="24"/>
          <w:highlight w:val="none"/>
          <w:lang w:val="en-US" w:eastAsia="zh-CN"/>
        </w:rPr>
        <w:t>得分</w:t>
      </w:r>
      <w:r>
        <w:rPr>
          <w:rFonts w:hint="eastAsia" w:ascii="宋体" w:hAnsi="宋体" w:cs="宋体"/>
          <w:color w:val="auto"/>
          <w:sz w:val="24"/>
          <w:highlight w:val="none"/>
        </w:rPr>
        <w:t>由高到低的顺序推荐。评审得分且最后投标报价</w:t>
      </w:r>
      <w:r>
        <w:rPr>
          <w:rFonts w:hint="eastAsia" w:ascii="宋体" w:hAnsi="宋体" w:cs="宋体"/>
          <w:color w:val="auto"/>
          <w:sz w:val="24"/>
          <w:highlight w:val="none"/>
          <w:lang w:val="en-US" w:eastAsia="zh-CN"/>
        </w:rPr>
        <w:t>得分</w:t>
      </w:r>
      <w:r>
        <w:rPr>
          <w:rFonts w:hint="eastAsia" w:ascii="宋体" w:hAnsi="宋体" w:cs="宋体"/>
          <w:color w:val="auto"/>
          <w:sz w:val="24"/>
          <w:highlight w:val="none"/>
        </w:rPr>
        <w:t>相同的，按照技术指标优劣顺序推荐。</w:t>
      </w:r>
    </w:p>
    <w:p w14:paraId="60B4BD2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（五）编写评审报告</w:t>
      </w:r>
    </w:p>
    <w:p w14:paraId="0FAF9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磋商小组根据全体评审人员签字的原始记录和得分情况编写评审报告。</w:t>
      </w:r>
    </w:p>
    <w:p w14:paraId="0B8FD3CC">
      <w:pPr>
        <w:spacing w:line="360" w:lineRule="auto"/>
        <w:jc w:val="center"/>
        <w:outlineLvl w:val="0"/>
        <w:rPr>
          <w:rFonts w:asciiTheme="minorEastAsia" w:hAnsiTheme="minorEastAsia" w:eastAsiaTheme="minorEastAsia"/>
          <w:b/>
          <w:color w:val="auto"/>
          <w:sz w:val="36"/>
          <w:szCs w:val="36"/>
          <w:highlight w:val="none"/>
        </w:rPr>
      </w:pPr>
      <w:bookmarkStart w:id="37" w:name="_Toc21781"/>
    </w:p>
    <w:p w14:paraId="7ABDCAD6">
      <w:pPr>
        <w:spacing w:line="360" w:lineRule="auto"/>
        <w:jc w:val="center"/>
        <w:outlineLvl w:val="0"/>
        <w:rPr>
          <w:rFonts w:asciiTheme="minorEastAsia" w:hAnsiTheme="minorEastAsia" w:eastAsiaTheme="minorEastAsia"/>
          <w:b/>
          <w:color w:val="auto"/>
          <w:sz w:val="36"/>
          <w:szCs w:val="36"/>
          <w:highlight w:val="none"/>
        </w:rPr>
      </w:pPr>
    </w:p>
    <w:p w14:paraId="298F353A">
      <w:pPr>
        <w:pStyle w:val="29"/>
        <w:spacing w:line="360" w:lineRule="auto"/>
        <w:rPr>
          <w:rFonts w:asciiTheme="minorEastAsia" w:hAnsiTheme="minorEastAsia" w:eastAsiaTheme="minorEastAsia"/>
          <w:b/>
          <w:color w:val="auto"/>
          <w:sz w:val="36"/>
          <w:szCs w:val="36"/>
          <w:highlight w:val="none"/>
        </w:rPr>
      </w:pPr>
    </w:p>
    <w:p w14:paraId="4ABE1488">
      <w:p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37"/>
      <w:r>
        <w:rPr>
          <w:rFonts w:hint="eastAsia" w:asciiTheme="minorEastAsia" w:hAnsiTheme="minorEastAsia" w:eastAsiaTheme="minorEastAsia"/>
          <w:b/>
          <w:color w:val="auto"/>
          <w:sz w:val="36"/>
          <w:szCs w:val="36"/>
          <w:highlight w:val="none"/>
        </w:rPr>
        <w:t>拟签订的合同文本</w:t>
      </w:r>
    </w:p>
    <w:p w14:paraId="04FD0FC7">
      <w:pPr>
        <w:adjustRightInd w:val="0"/>
        <w:snapToGrid w:val="0"/>
        <w:spacing w:line="360" w:lineRule="auto"/>
        <w:jc w:val="center"/>
        <w:rPr>
          <w:rFonts w:hint="eastAsia" w:eastAsia="黑体"/>
          <w:b/>
          <w:color w:val="auto"/>
          <w:sz w:val="32"/>
          <w:szCs w:val="32"/>
          <w:highlight w:val="none"/>
        </w:rPr>
      </w:pPr>
    </w:p>
    <w:p w14:paraId="6AC0FE2B">
      <w:pPr>
        <w:spacing w:line="360" w:lineRule="auto"/>
        <w:rPr>
          <w:rFonts w:hint="eastAsia"/>
          <w:color w:val="auto"/>
          <w:sz w:val="24"/>
          <w:szCs w:val="24"/>
          <w:highlight w:val="none"/>
        </w:rPr>
      </w:pPr>
    </w:p>
    <w:p w14:paraId="09160E8D">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1D084F3">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532B157">
      <w:pPr>
        <w:pStyle w:val="62"/>
        <w:spacing w:line="360" w:lineRule="auto"/>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BA68D15">
      <w:pPr>
        <w:spacing w:before="120" w:line="360" w:lineRule="auto"/>
        <w:rPr>
          <w:rFonts w:ascii="宋体" w:hAnsi="宋体" w:cs="宋体"/>
          <w:color w:val="auto"/>
          <w:sz w:val="24"/>
          <w:highlight w:val="none"/>
        </w:rPr>
      </w:pPr>
    </w:p>
    <w:p w14:paraId="39E214BE">
      <w:pPr>
        <w:pStyle w:val="3"/>
        <w:tabs>
          <w:tab w:val="left" w:pos="432"/>
          <w:tab w:val="clear" w:pos="8280"/>
        </w:tabs>
        <w:spacing w:line="360" w:lineRule="auto"/>
        <w:rPr>
          <w:color w:val="auto"/>
          <w:highlight w:val="none"/>
        </w:rPr>
      </w:pPr>
    </w:p>
    <w:p w14:paraId="28E8E90F">
      <w:pPr>
        <w:spacing w:before="120" w:line="360" w:lineRule="auto"/>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6CDEF6F">
      <w:pPr>
        <w:pStyle w:val="63"/>
        <w:spacing w:before="120" w:line="360" w:lineRule="auto"/>
        <w:rPr>
          <w:rFonts w:ascii="宋体" w:hAnsi="宋体" w:eastAsia="宋体" w:cs="宋体"/>
          <w:color w:val="auto"/>
          <w:szCs w:val="24"/>
          <w:highlight w:val="none"/>
        </w:rPr>
      </w:pPr>
    </w:p>
    <w:p w14:paraId="73C6D0B6">
      <w:pPr>
        <w:pStyle w:val="63"/>
        <w:spacing w:before="120" w:line="360" w:lineRule="auto"/>
        <w:rPr>
          <w:rFonts w:ascii="宋体" w:hAnsi="宋体" w:eastAsia="宋体" w:cs="宋体"/>
          <w:color w:val="auto"/>
          <w:szCs w:val="24"/>
          <w:highlight w:val="none"/>
        </w:rPr>
      </w:pPr>
    </w:p>
    <w:p w14:paraId="3360E557">
      <w:pPr>
        <w:spacing w:line="360" w:lineRule="auto"/>
        <w:rPr>
          <w:rFonts w:ascii="宋体" w:hAnsi="宋体" w:cs="宋体"/>
          <w:color w:val="auto"/>
          <w:sz w:val="24"/>
          <w:highlight w:val="none"/>
        </w:rPr>
      </w:pPr>
    </w:p>
    <w:p w14:paraId="62EE55E5">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E32E730">
      <w:pPr>
        <w:spacing w:before="120" w:line="360" w:lineRule="auto"/>
        <w:rPr>
          <w:rFonts w:ascii="宋体" w:hAnsi="宋体" w:cs="宋体"/>
          <w:color w:val="auto"/>
          <w:sz w:val="24"/>
          <w:highlight w:val="none"/>
        </w:rPr>
      </w:pPr>
    </w:p>
    <w:p w14:paraId="2711C0FC">
      <w:pPr>
        <w:spacing w:before="120" w:line="360" w:lineRule="auto"/>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317E5C8">
      <w:pPr>
        <w:spacing w:before="120" w:line="360" w:lineRule="auto"/>
        <w:rPr>
          <w:rFonts w:ascii="宋体" w:hAnsi="宋体" w:cs="宋体"/>
          <w:color w:val="auto"/>
          <w:sz w:val="24"/>
          <w:highlight w:val="none"/>
        </w:rPr>
      </w:pPr>
    </w:p>
    <w:p w14:paraId="53622EDA">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59A472A">
      <w:pPr>
        <w:spacing w:before="120" w:line="360" w:lineRule="auto"/>
        <w:rPr>
          <w:rFonts w:ascii="宋体" w:hAnsi="宋体" w:cs="宋体"/>
          <w:color w:val="auto"/>
          <w:sz w:val="24"/>
          <w:highlight w:val="none"/>
        </w:rPr>
      </w:pPr>
    </w:p>
    <w:p w14:paraId="292CB4FB">
      <w:pPr>
        <w:spacing w:before="12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AB8719E">
      <w:pPr>
        <w:widowControl/>
        <w:spacing w:line="360" w:lineRule="auto"/>
        <w:jc w:val="left"/>
        <w:rPr>
          <w:rFonts w:ascii="宋体" w:hAnsi="宋体" w:cs="宋体"/>
          <w:color w:val="auto"/>
          <w:kern w:val="0"/>
          <w:sz w:val="24"/>
          <w:highlight w:val="none"/>
        </w:rPr>
        <w:sectPr>
          <w:footerReference r:id="rId3" w:type="default"/>
          <w:pgSz w:w="11907" w:h="16840"/>
          <w:pgMar w:top="1474" w:right="1814" w:bottom="1474" w:left="1814" w:header="851" w:footer="851" w:gutter="0"/>
          <w:pgNumType w:fmt="decimal"/>
          <w:cols w:space="720" w:num="1"/>
        </w:sectPr>
      </w:pPr>
    </w:p>
    <w:p w14:paraId="3DC0A9D8">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年</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（政府采购方式）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w:t>
      </w:r>
      <w:r>
        <w:rPr>
          <w:rFonts w:ascii="宋体" w:hAnsi="宋体" w:eastAsia="宋体"/>
          <w:color w:val="auto"/>
          <w:sz w:val="24"/>
          <w:highlight w:val="none"/>
          <w:u w:val="single"/>
        </w:rPr>
        <w:t xml:space="preserve">   （相关评定主体名称）   </w:t>
      </w:r>
      <w:r>
        <w:rPr>
          <w:rFonts w:hint="eastAsia" w:ascii="宋体" w:hAnsi="宋体" w:eastAsia="宋体"/>
          <w:color w:val="auto"/>
          <w:sz w:val="24"/>
          <w:highlight w:val="none"/>
        </w:rPr>
        <w:t>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w:t>
      </w:r>
      <w:r>
        <w:rPr>
          <w:rFonts w:hint="eastAsia" w:ascii="宋体" w:hAnsi="宋体" w:eastAsia="宋体"/>
          <w:color w:val="auto"/>
          <w:sz w:val="24"/>
          <w:highlight w:val="none"/>
          <w:lang w:val="en-US" w:eastAsia="zh-CN"/>
        </w:rPr>
        <w:t>30</w:t>
      </w:r>
      <w:r>
        <w:rPr>
          <w:rFonts w:hint="eastAsia" w:ascii="宋体" w:hAnsi="宋体" w:eastAsia="宋体"/>
          <w:color w:val="auto"/>
          <w:sz w:val="24"/>
          <w:highlight w:val="none"/>
        </w:rPr>
        <w:t>日内，按照采购文件确定的事项签订本合同。</w:t>
      </w:r>
    </w:p>
    <w:p w14:paraId="1801CE6D">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（采购人）   </w:t>
      </w:r>
      <w:r>
        <w:rPr>
          <w:rFonts w:hint="eastAsia" w:ascii="宋体" w:hAnsi="宋体"/>
          <w:color w:val="auto"/>
          <w:sz w:val="24"/>
          <w:highlight w:val="none"/>
          <w:u w:val="single"/>
          <w:lang w:eastAsia="zh-CN"/>
        </w:rPr>
        <w:t>（</w:t>
      </w:r>
      <w:r>
        <w:rPr>
          <w:rFonts w:ascii="宋体" w:hAnsi="宋体" w:eastAsia="宋体"/>
          <w:color w:val="auto"/>
          <w:sz w:val="24"/>
          <w:highlight w:val="none"/>
          <w:lang w:val="zh-CN"/>
        </w:rPr>
        <w:t>以下简称：甲方</w:t>
      </w:r>
      <w:r>
        <w:rPr>
          <w:rFonts w:hint="eastAsia" w:ascii="宋体" w:hAnsi="宋体"/>
          <w:color w:val="auto"/>
          <w:sz w:val="24"/>
          <w:highlight w:val="none"/>
          <w:lang w:val="zh-CN"/>
        </w:rPr>
        <w:t>）</w:t>
      </w:r>
      <w:r>
        <w:rPr>
          <w:rFonts w:ascii="宋体" w:hAnsi="宋体" w:eastAsia="宋体"/>
          <w:color w:val="auto"/>
          <w:sz w:val="24"/>
          <w:highlight w:val="none"/>
          <w:lang w:val="zh-CN"/>
        </w:rPr>
        <w:t>和</w:t>
      </w:r>
      <w:r>
        <w:rPr>
          <w:rFonts w:ascii="宋体" w:hAnsi="宋体" w:eastAsia="宋体"/>
          <w:color w:val="auto"/>
          <w:sz w:val="24"/>
          <w:highlight w:val="none"/>
          <w:u w:val="single"/>
        </w:rPr>
        <w:t xml:space="preserve">   （中标供应商名称）   </w:t>
      </w:r>
      <w:r>
        <w:rPr>
          <w:rFonts w:hint="eastAsia" w:ascii="宋体" w:hAnsi="宋体"/>
          <w:color w:val="auto"/>
          <w:sz w:val="24"/>
          <w:highlight w:val="none"/>
          <w:u w:val="single"/>
          <w:lang w:eastAsia="zh-CN"/>
        </w:rPr>
        <w:t>（</w:t>
      </w:r>
      <w:r>
        <w:rPr>
          <w:rFonts w:ascii="宋体" w:hAnsi="宋体" w:eastAsia="宋体"/>
          <w:color w:val="auto"/>
          <w:sz w:val="24"/>
          <w:highlight w:val="none"/>
          <w:lang w:val="zh-CN"/>
        </w:rPr>
        <w:t>以下简称：乙方</w:t>
      </w:r>
      <w:r>
        <w:rPr>
          <w:rFonts w:hint="eastAsia" w:ascii="宋体" w:hAnsi="宋体"/>
          <w:color w:val="auto"/>
          <w:sz w:val="24"/>
          <w:highlight w:val="none"/>
          <w:lang w:val="zh-CN"/>
        </w:rPr>
        <w:t>）</w:t>
      </w:r>
      <w:r>
        <w:rPr>
          <w:rFonts w:ascii="宋体" w:hAnsi="宋体" w:eastAsia="宋体"/>
          <w:color w:val="auto"/>
          <w:sz w:val="24"/>
          <w:highlight w:val="none"/>
          <w:lang w:val="zh-CN"/>
        </w:rPr>
        <w:t>协商一致，约定以下合同</w:t>
      </w:r>
      <w:r>
        <w:rPr>
          <w:rFonts w:hint="eastAsia" w:ascii="宋体" w:hAnsi="宋体" w:eastAsia="宋体"/>
          <w:color w:val="auto"/>
          <w:sz w:val="24"/>
          <w:highlight w:val="none"/>
        </w:rPr>
        <w:t>条款，以兹共同遵守、全面履行。</w:t>
      </w:r>
    </w:p>
    <w:p w14:paraId="4FA1B93E">
      <w:pPr>
        <w:spacing w:line="360" w:lineRule="auto"/>
        <w:ind w:firstLine="482" w:firstLineChars="200"/>
        <w:outlineLvl w:val="0"/>
        <w:rPr>
          <w:rFonts w:ascii="宋体" w:hAnsi="宋体" w:eastAsia="宋体"/>
          <w:color w:val="auto"/>
          <w:sz w:val="24"/>
          <w:highlight w:val="none"/>
        </w:rPr>
      </w:pPr>
      <w:bookmarkStart w:id="38" w:name="_Toc20421"/>
      <w:bookmarkStart w:id="39" w:name="_Toc22967"/>
      <w:bookmarkStart w:id="40" w:name="_Toc15367"/>
      <w:bookmarkStart w:id="41" w:name="_Toc28855"/>
      <w:bookmarkStart w:id="42" w:name="_Toc19273"/>
      <w:r>
        <w:rPr>
          <w:rFonts w:ascii="宋体" w:hAnsi="宋体" w:eastAsia="宋体"/>
          <w:b/>
          <w:color w:val="auto"/>
          <w:sz w:val="24"/>
          <w:highlight w:val="none"/>
        </w:rPr>
        <w:t xml:space="preserve">1.1 </w:t>
      </w:r>
      <w:r>
        <w:rPr>
          <w:rFonts w:hint="eastAsia" w:ascii="宋体" w:hAnsi="宋体" w:eastAsia="宋体"/>
          <w:b/>
          <w:color w:val="auto"/>
          <w:sz w:val="24"/>
          <w:highlight w:val="none"/>
        </w:rPr>
        <w:t>合同组成部分</w:t>
      </w:r>
      <w:bookmarkEnd w:id="38"/>
      <w:bookmarkEnd w:id="39"/>
      <w:bookmarkEnd w:id="40"/>
      <w:bookmarkEnd w:id="41"/>
      <w:bookmarkEnd w:id="42"/>
    </w:p>
    <w:p w14:paraId="127A3EC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444F2B">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本合同及其补充合同、变更协议；</w:t>
      </w:r>
    </w:p>
    <w:p w14:paraId="79DD8316">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1.1.2 </w:t>
      </w:r>
      <w:r>
        <w:rPr>
          <w:rFonts w:hint="eastAsia" w:ascii="宋体" w:hAnsi="宋体" w:eastAsia="宋体"/>
          <w:color w:val="auto"/>
          <w:sz w:val="24"/>
          <w:highlight w:val="none"/>
        </w:rPr>
        <w:t>中标通知书；</w:t>
      </w:r>
    </w:p>
    <w:p w14:paraId="38015A0E">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1.1.3 </w:t>
      </w:r>
      <w:r>
        <w:rPr>
          <w:rFonts w:hint="eastAsia" w:ascii="宋体" w:hAnsi="宋体" w:eastAsia="宋体"/>
          <w:color w:val="auto"/>
          <w:sz w:val="24"/>
          <w:highlight w:val="none"/>
        </w:rPr>
        <w:t>投标文件（含澄清或者说明文件）；</w:t>
      </w:r>
    </w:p>
    <w:p w14:paraId="236BE167">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1.1.4 </w:t>
      </w:r>
      <w:r>
        <w:rPr>
          <w:rFonts w:hint="eastAsia" w:ascii="宋体" w:hAnsi="宋体" w:eastAsia="宋体"/>
          <w:color w:val="auto"/>
          <w:sz w:val="24"/>
          <w:highlight w:val="none"/>
        </w:rPr>
        <w:t>招标文件（含澄清或者修改文件）；</w:t>
      </w:r>
    </w:p>
    <w:p w14:paraId="5B574876">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1.1.5 </w:t>
      </w:r>
      <w:r>
        <w:rPr>
          <w:rFonts w:hint="eastAsia" w:ascii="宋体" w:hAnsi="宋体" w:eastAsia="宋体"/>
          <w:color w:val="auto"/>
          <w:sz w:val="24"/>
          <w:highlight w:val="none"/>
        </w:rPr>
        <w:t>其他相关采购文件。</w:t>
      </w:r>
    </w:p>
    <w:p w14:paraId="053460B7">
      <w:pPr>
        <w:spacing w:line="360" w:lineRule="auto"/>
        <w:ind w:firstLine="482" w:firstLineChars="200"/>
        <w:outlineLvl w:val="0"/>
        <w:rPr>
          <w:rFonts w:ascii="宋体" w:hAnsi="宋体" w:eastAsia="宋体"/>
          <w:b/>
          <w:color w:val="auto"/>
          <w:sz w:val="24"/>
          <w:highlight w:val="none"/>
        </w:rPr>
      </w:pPr>
      <w:bookmarkStart w:id="43" w:name="_Toc22185"/>
      <w:bookmarkStart w:id="44" w:name="_Toc6311"/>
      <w:bookmarkStart w:id="45" w:name="_Toc18585"/>
      <w:bookmarkStart w:id="46" w:name="_Toc6773"/>
      <w:bookmarkStart w:id="47" w:name="_Toc2918"/>
      <w:r>
        <w:rPr>
          <w:rFonts w:ascii="宋体" w:hAnsi="宋体" w:eastAsia="宋体"/>
          <w:b/>
          <w:color w:val="auto"/>
          <w:sz w:val="24"/>
          <w:highlight w:val="none"/>
        </w:rPr>
        <w:t xml:space="preserve">1.2 </w:t>
      </w:r>
      <w:r>
        <w:rPr>
          <w:rFonts w:hint="eastAsia" w:ascii="宋体" w:hAnsi="宋体" w:eastAsia="宋体"/>
          <w:b/>
          <w:color w:val="auto"/>
          <w:sz w:val="24"/>
          <w:highlight w:val="none"/>
        </w:rPr>
        <w:t>标的</w:t>
      </w:r>
      <w:bookmarkEnd w:id="43"/>
      <w:bookmarkEnd w:id="44"/>
      <w:bookmarkEnd w:id="45"/>
      <w:bookmarkEnd w:id="46"/>
      <w:bookmarkEnd w:id="47"/>
    </w:p>
    <w:p w14:paraId="6D98AA35">
      <w:pPr>
        <w:spacing w:line="360" w:lineRule="auto"/>
        <w:ind w:firstLine="480" w:firstLineChars="200"/>
        <w:rPr>
          <w:rFonts w:hint="eastAsia" w:ascii="宋体" w:hAnsi="宋体" w:eastAsia="宋体" w:cs="宋体"/>
          <w:color w:val="auto"/>
          <w:sz w:val="24"/>
          <w:highlight w:val="none"/>
          <w:u w:val="single"/>
          <w:lang w:eastAsia="zh-CN"/>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w:t>
      </w:r>
    </w:p>
    <w:p w14:paraId="7A413A51">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03D7DCCB">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A564A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B6BF23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37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noWrap w:val="0"/>
            <w:vAlign w:val="center"/>
          </w:tcPr>
          <w:p w14:paraId="431B33D0">
            <w:pPr>
              <w:pStyle w:val="51"/>
              <w:keepNext w:val="0"/>
              <w:keepLines w:val="0"/>
              <w:suppressLineNumbers w:val="0"/>
              <w:spacing w:before="0" w:beforeAutospacing="0" w:after="0" w:afterAutospacing="0" w:line="360" w:lineRule="auto"/>
              <w:ind w:left="0" w:right="0"/>
              <w:jc w:val="center"/>
              <w:rPr>
                <w:rFonts w:hint="default" w:hAnsi="宋体"/>
                <w:color w:val="auto"/>
                <w:sz w:val="24"/>
                <w:szCs w:val="24"/>
                <w:highlight w:val="none"/>
              </w:rPr>
            </w:pPr>
            <w:r>
              <w:rPr>
                <w:rFonts w:hint="default" w:hAnsi="宋体"/>
                <w:color w:val="auto"/>
                <w:sz w:val="24"/>
                <w:szCs w:val="24"/>
                <w:highlight w:val="none"/>
              </w:rPr>
              <w:t>序号</w:t>
            </w:r>
          </w:p>
        </w:tc>
        <w:tc>
          <w:tcPr>
            <w:tcW w:w="3402" w:type="dxa"/>
            <w:noWrap w:val="0"/>
            <w:vAlign w:val="center"/>
          </w:tcPr>
          <w:p w14:paraId="3432125E">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55CF3D6D">
            <w:pPr>
              <w:pStyle w:val="51"/>
              <w:keepNext w:val="0"/>
              <w:keepLines w:val="0"/>
              <w:suppressLineNumbers w:val="0"/>
              <w:spacing w:before="0" w:beforeAutospacing="0" w:after="0" w:afterAutospacing="0" w:line="360" w:lineRule="auto"/>
              <w:ind w:left="0" w:right="0"/>
              <w:jc w:val="center"/>
              <w:rPr>
                <w:rFonts w:hint="default" w:hAnsi="宋体"/>
                <w:color w:val="auto"/>
                <w:sz w:val="24"/>
                <w:szCs w:val="24"/>
                <w:highlight w:val="none"/>
              </w:rPr>
            </w:pPr>
            <w:r>
              <w:rPr>
                <w:rFonts w:hint="default" w:hAnsi="宋体"/>
                <w:color w:val="auto"/>
                <w:sz w:val="24"/>
                <w:szCs w:val="24"/>
                <w:highlight w:val="none"/>
              </w:rPr>
              <w:t>分项价格</w:t>
            </w:r>
          </w:p>
        </w:tc>
      </w:tr>
      <w:tr w14:paraId="7DE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FFD0D8E">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c>
          <w:tcPr>
            <w:tcW w:w="3402" w:type="dxa"/>
            <w:noWrap w:val="0"/>
            <w:vAlign w:val="center"/>
          </w:tcPr>
          <w:p w14:paraId="156CF747">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c>
          <w:tcPr>
            <w:tcW w:w="2552" w:type="dxa"/>
            <w:noWrap w:val="0"/>
            <w:vAlign w:val="center"/>
          </w:tcPr>
          <w:p w14:paraId="5F61C614">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r>
      <w:tr w14:paraId="4E3E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1EF3FE">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c>
          <w:tcPr>
            <w:tcW w:w="3402" w:type="dxa"/>
            <w:noWrap w:val="0"/>
            <w:vAlign w:val="center"/>
          </w:tcPr>
          <w:p w14:paraId="4750A7F7">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c>
          <w:tcPr>
            <w:tcW w:w="2552" w:type="dxa"/>
            <w:noWrap w:val="0"/>
            <w:vAlign w:val="center"/>
          </w:tcPr>
          <w:p w14:paraId="289242DC">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r>
      <w:tr w14:paraId="06B9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2C9502B">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c>
          <w:tcPr>
            <w:tcW w:w="3402" w:type="dxa"/>
            <w:noWrap w:val="0"/>
            <w:vAlign w:val="center"/>
          </w:tcPr>
          <w:p w14:paraId="52944018">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c>
          <w:tcPr>
            <w:tcW w:w="2552" w:type="dxa"/>
            <w:noWrap w:val="0"/>
            <w:vAlign w:val="center"/>
          </w:tcPr>
          <w:p w14:paraId="4D1057E3">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r>
      <w:tr w14:paraId="2C23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6C7F8E2">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c>
          <w:tcPr>
            <w:tcW w:w="3402" w:type="dxa"/>
            <w:noWrap w:val="0"/>
            <w:vAlign w:val="center"/>
          </w:tcPr>
          <w:p w14:paraId="2242FB02">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c>
          <w:tcPr>
            <w:tcW w:w="2552" w:type="dxa"/>
            <w:noWrap w:val="0"/>
            <w:vAlign w:val="center"/>
          </w:tcPr>
          <w:p w14:paraId="3BF8AF4C">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r>
      <w:tr w14:paraId="60F9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34802A5">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748C7603">
            <w:pPr>
              <w:pStyle w:val="51"/>
              <w:keepNext w:val="0"/>
              <w:keepLines w:val="0"/>
              <w:suppressLineNumbers w:val="0"/>
              <w:spacing w:before="0" w:beforeAutospacing="0" w:after="0" w:afterAutospacing="0" w:line="360" w:lineRule="auto"/>
              <w:ind w:left="0" w:right="0" w:firstLine="200"/>
              <w:jc w:val="center"/>
              <w:rPr>
                <w:rFonts w:hint="default" w:hAnsi="宋体"/>
                <w:color w:val="auto"/>
                <w:sz w:val="24"/>
                <w:szCs w:val="24"/>
                <w:highlight w:val="none"/>
              </w:rPr>
            </w:pPr>
          </w:p>
        </w:tc>
      </w:tr>
    </w:tbl>
    <w:p w14:paraId="0ECC669F">
      <w:pPr>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0B04191">
      <w:pPr>
        <w:pStyle w:val="3"/>
        <w:tabs>
          <w:tab w:val="left" w:pos="432"/>
          <w:tab w:val="clear" w:pos="8280"/>
        </w:tabs>
        <w:spacing w:line="360" w:lineRule="auto"/>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207CBE89">
      <w:pPr>
        <w:spacing w:line="360" w:lineRule="auto"/>
        <w:ind w:firstLine="482" w:firstLineChars="200"/>
        <w:outlineLvl w:val="0"/>
        <w:rPr>
          <w:rFonts w:ascii="宋体" w:hAnsi="宋体" w:eastAsia="宋体"/>
          <w:b/>
          <w:color w:val="auto"/>
          <w:sz w:val="24"/>
          <w:highlight w:val="none"/>
        </w:rPr>
      </w:pPr>
      <w:bookmarkStart w:id="48" w:name="_Toc30506"/>
      <w:bookmarkStart w:id="49" w:name="_Toc26916"/>
      <w:bookmarkStart w:id="50" w:name="_Toc30158"/>
      <w:bookmarkStart w:id="51" w:name="_Toc3654"/>
      <w:bookmarkStart w:id="52" w:name="_Toc14993"/>
      <w:r>
        <w:rPr>
          <w:rFonts w:ascii="宋体" w:hAnsi="宋体" w:eastAsia="宋体"/>
          <w:b/>
          <w:color w:val="auto"/>
          <w:sz w:val="24"/>
          <w:highlight w:val="none"/>
        </w:rPr>
        <w:t>1.4 付款方式和发票开具方式</w:t>
      </w:r>
      <w:bookmarkEnd w:id="48"/>
      <w:bookmarkEnd w:id="49"/>
      <w:bookmarkEnd w:id="50"/>
      <w:bookmarkEnd w:id="51"/>
      <w:bookmarkEnd w:id="52"/>
    </w:p>
    <w:p w14:paraId="0A11D056">
      <w:pPr>
        <w:pStyle w:val="64"/>
        <w:spacing w:before="0" w:beforeAutospacing="0" w:after="0" w:afterAutospacing="0" w:line="360" w:lineRule="auto"/>
        <w:ind w:firstLine="480"/>
        <w:rPr>
          <w:rFonts w:ascii="宋体" w:hAnsi="宋体" w:eastAsia="宋体" w:cs="Times New Roman"/>
          <w:color w:val="auto"/>
          <w:highlight w:val="none"/>
        </w:rPr>
      </w:pPr>
      <w:r>
        <w:rPr>
          <w:rFonts w:ascii="宋体" w:hAnsi="宋体" w:eastAsia="宋体" w:cs="Times New Roman"/>
          <w:color w:val="auto"/>
          <w:highlight w:val="none"/>
        </w:rPr>
        <w:t>1.4.1</w:t>
      </w:r>
      <w:r>
        <w:rPr>
          <w:rFonts w:hint="eastAsia" w:ascii="宋体" w:hAnsi="宋体" w:eastAsia="宋体" w:cs="Times New Roman"/>
          <w:color w:val="auto"/>
          <w:highlight w:val="none"/>
        </w:rPr>
        <w:t>甲方应严格履行合同，及时组织验收，验收合格后及时将合同款支付完毕。对于满足合同约定支付条件的，甲方自收到发票后</w:t>
      </w:r>
      <w:r>
        <w:rPr>
          <w:rFonts w:hint="eastAsia" w:cs="Times New Roman"/>
          <w:color w:val="auto"/>
          <w:highlight w:val="none"/>
          <w:lang w:val="en-US" w:eastAsia="zh-CN"/>
        </w:rPr>
        <w:t>7</w:t>
      </w:r>
      <w:r>
        <w:rPr>
          <w:rFonts w:ascii="宋体" w:hAnsi="宋体" w:eastAsia="宋体" w:cs="Times New Roman"/>
          <w:color w:val="auto"/>
          <w:highlight w:val="none"/>
        </w:rPr>
        <w:t>个工作日内将资金支付到合同约定的乙方账户，有条件的甲方可以即时支付。甲方不得以机构变动、人员更替、政策调整、单位放假等为由延迟付款。</w:t>
      </w:r>
    </w:p>
    <w:p w14:paraId="68E22F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7E423E5F">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1.4.3</w:t>
      </w:r>
      <w:r>
        <w:rPr>
          <w:rFonts w:hint="eastAsia" w:ascii="宋体" w:hAnsi="宋体" w:eastAsia="宋体"/>
          <w:color w:val="auto"/>
          <w:sz w:val="24"/>
          <w:highlight w:val="none"/>
        </w:rPr>
        <w:t>甲方迟延支付乙方款项的，向乙方支付逾期利息。双方可以在合同专用条款中约定逾期利率，约定利率不得低于合同订立时</w:t>
      </w:r>
      <w:r>
        <w:rPr>
          <w:rFonts w:ascii="宋体" w:hAnsi="宋体" w:eastAsia="宋体"/>
          <w:color w:val="auto"/>
          <w:sz w:val="24"/>
          <w:highlight w:val="none"/>
        </w:rPr>
        <w:t>1年</w:t>
      </w:r>
      <w:r>
        <w:rPr>
          <w:rFonts w:hint="eastAsia" w:ascii="宋体" w:hAnsi="宋体" w:eastAsia="宋体"/>
          <w:color w:val="auto"/>
          <w:sz w:val="24"/>
          <w:highlight w:val="none"/>
        </w:rPr>
        <w:t>期贷款市场报价利率；未作约定的，按照每日利率万分之五支付逾期利息。</w:t>
      </w:r>
    </w:p>
    <w:p w14:paraId="6F0045D8">
      <w:pPr>
        <w:spacing w:line="360" w:lineRule="auto"/>
        <w:ind w:firstLine="480" w:firstLineChars="200"/>
        <w:outlineLvl w:val="0"/>
        <w:rPr>
          <w:rFonts w:ascii="宋体" w:hAnsi="宋体" w:eastAsia="宋体"/>
          <w:color w:val="auto"/>
          <w:sz w:val="24"/>
          <w:highlight w:val="none"/>
        </w:rPr>
      </w:pPr>
      <w:r>
        <w:rPr>
          <w:rFonts w:ascii="宋体" w:hAnsi="宋体" w:eastAsia="宋体"/>
          <w:color w:val="auto"/>
          <w:sz w:val="24"/>
          <w:highlight w:val="none"/>
        </w:rPr>
        <w:t>1.4.4资金支付的方式、时间和条件</w:t>
      </w:r>
    </w:p>
    <w:p w14:paraId="2C033D2D">
      <w:pPr>
        <w:spacing w:line="360" w:lineRule="auto"/>
        <w:ind w:firstLine="480" w:firstLineChars="200"/>
        <w:outlineLvl w:val="0"/>
        <w:rPr>
          <w:rFonts w:hint="eastAsia" w:ascii="宋体" w:hAnsi="宋体" w:eastAsia="宋体"/>
          <w:color w:val="auto"/>
          <w:sz w:val="24"/>
          <w:highlight w:val="none"/>
        </w:rPr>
      </w:pPr>
      <w:r>
        <w:rPr>
          <w:rFonts w:hint="eastAsia" w:ascii="宋体" w:hAnsi="宋体" w:eastAsia="宋体"/>
          <w:color w:val="auto"/>
          <w:sz w:val="24"/>
          <w:highlight w:val="none"/>
        </w:rPr>
        <w:t>甲方分为二期支付，具体支付方式如下：</w:t>
      </w:r>
    </w:p>
    <w:p w14:paraId="178EA369">
      <w:pPr>
        <w:spacing w:line="360" w:lineRule="auto"/>
        <w:ind w:firstLine="480" w:firstLineChars="200"/>
        <w:outlineLvl w:val="0"/>
        <w:rPr>
          <w:rFonts w:hint="eastAsia" w:ascii="宋体" w:hAnsi="宋体" w:eastAsia="宋体"/>
          <w:color w:val="auto"/>
          <w:sz w:val="24"/>
          <w:highlight w:val="none"/>
        </w:rPr>
      </w:pPr>
      <w:r>
        <w:rPr>
          <w:rFonts w:hint="eastAsia" w:ascii="宋体" w:hAnsi="宋体" w:eastAsia="宋体"/>
          <w:color w:val="auto"/>
          <w:sz w:val="24"/>
          <w:highlight w:val="none"/>
        </w:rPr>
        <w:t>第一期：为本项目经费的70%</w:t>
      </w:r>
      <w:r>
        <w:rPr>
          <w:rFonts w:hint="eastAsia" w:ascii="宋体" w:hAnsi="宋体"/>
          <w:color w:val="auto"/>
          <w:sz w:val="24"/>
          <w:highlight w:val="none"/>
          <w:lang w:eastAsia="zh-CN"/>
        </w:rPr>
        <w:t>，</w:t>
      </w:r>
      <w:r>
        <w:rPr>
          <w:rFonts w:hint="eastAsia" w:ascii="宋体" w:hAnsi="宋体" w:eastAsia="宋体"/>
          <w:color w:val="auto"/>
          <w:sz w:val="24"/>
          <w:highlight w:val="none"/>
        </w:rPr>
        <w:t>甲方于本合同签订生效后并收到乙方提供的第一期相应款项的合规发票后于7个工作日支付给乙方。</w:t>
      </w:r>
    </w:p>
    <w:p w14:paraId="151CD0B1">
      <w:pPr>
        <w:spacing w:line="360" w:lineRule="auto"/>
        <w:ind w:firstLine="480" w:firstLineChars="200"/>
        <w:outlineLvl w:val="0"/>
        <w:rPr>
          <w:rFonts w:hint="eastAsia" w:ascii="宋体" w:hAnsi="宋体" w:eastAsia="宋体"/>
          <w:color w:val="auto"/>
          <w:sz w:val="24"/>
          <w:highlight w:val="none"/>
        </w:rPr>
      </w:pPr>
      <w:r>
        <w:rPr>
          <w:rFonts w:hint="eastAsia" w:ascii="宋体" w:hAnsi="宋体" w:eastAsia="宋体"/>
          <w:color w:val="auto"/>
          <w:sz w:val="24"/>
          <w:highlight w:val="none"/>
        </w:rPr>
        <w:t>第二期：为本项目经费的30%</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甲方于本项目经甲方验收合格（以双方签订验收合格书面确认文件为准）且收到乙方提供的第二期相应款项的合规发票后于</w:t>
      </w:r>
      <w:r>
        <w:rPr>
          <w:rFonts w:hint="eastAsia" w:ascii="宋体" w:hAnsi="宋体"/>
          <w:color w:val="auto"/>
          <w:sz w:val="24"/>
          <w:highlight w:val="none"/>
          <w:lang w:val="en-US" w:eastAsia="zh-CN"/>
        </w:rPr>
        <w:t>15</w:t>
      </w:r>
      <w:r>
        <w:rPr>
          <w:rFonts w:hint="eastAsia" w:ascii="宋体" w:hAnsi="宋体" w:eastAsia="宋体"/>
          <w:color w:val="auto"/>
          <w:sz w:val="24"/>
          <w:highlight w:val="none"/>
        </w:rPr>
        <w:t>个工作日内支付给乙方。</w:t>
      </w:r>
    </w:p>
    <w:p w14:paraId="144CF4CF">
      <w:pPr>
        <w:spacing w:line="360" w:lineRule="auto"/>
        <w:ind w:firstLine="480" w:firstLineChars="200"/>
        <w:outlineLvl w:val="0"/>
        <w:rPr>
          <w:rFonts w:ascii="宋体" w:hAnsi="宋体" w:eastAsia="宋体"/>
          <w:color w:val="auto"/>
          <w:sz w:val="24"/>
          <w:highlight w:val="none"/>
        </w:rPr>
      </w:pPr>
      <w:r>
        <w:rPr>
          <w:rFonts w:hint="eastAsia" w:ascii="宋体" w:hAnsi="宋体" w:eastAsia="宋体"/>
          <w:color w:val="auto"/>
          <w:sz w:val="24"/>
          <w:highlight w:val="none"/>
        </w:rPr>
        <w:t>若甲方未在乙方提交验收后【7】日内完成验收的，视为验收合格。</w:t>
      </w:r>
    </w:p>
    <w:p w14:paraId="33867256">
      <w:pPr>
        <w:spacing w:line="360" w:lineRule="auto"/>
        <w:ind w:firstLine="482" w:firstLineChars="200"/>
        <w:outlineLvl w:val="0"/>
        <w:rPr>
          <w:rFonts w:ascii="宋体" w:hAnsi="宋体" w:eastAsia="宋体"/>
          <w:b/>
          <w:color w:val="auto"/>
          <w:sz w:val="24"/>
          <w:highlight w:val="none"/>
        </w:rPr>
      </w:pPr>
      <w:bookmarkStart w:id="53" w:name="_Toc31421"/>
      <w:bookmarkStart w:id="54" w:name="_Toc4760"/>
      <w:bookmarkStart w:id="55" w:name="_Toc8772"/>
      <w:bookmarkStart w:id="56" w:name="_Toc3625"/>
      <w:bookmarkStart w:id="57" w:name="_Toc11108"/>
      <w:r>
        <w:rPr>
          <w:rFonts w:ascii="宋体" w:hAnsi="宋体" w:eastAsia="宋体"/>
          <w:b/>
          <w:color w:val="auto"/>
          <w:sz w:val="24"/>
          <w:highlight w:val="none"/>
        </w:rPr>
        <w:t>1.5 履行期限</w:t>
      </w:r>
      <w:r>
        <w:rPr>
          <w:rFonts w:hint="eastAsia" w:ascii="宋体" w:hAnsi="宋体" w:eastAsia="宋体"/>
          <w:b/>
          <w:color w:val="auto"/>
          <w:sz w:val="24"/>
          <w:highlight w:val="none"/>
        </w:rPr>
        <w:t>、地点和方式</w:t>
      </w:r>
      <w:bookmarkEnd w:id="53"/>
      <w:bookmarkEnd w:id="54"/>
      <w:bookmarkEnd w:id="55"/>
      <w:bookmarkEnd w:id="56"/>
      <w:bookmarkEnd w:id="57"/>
    </w:p>
    <w:p w14:paraId="1EECCE61">
      <w:pPr>
        <w:spacing w:line="360" w:lineRule="auto"/>
        <w:ind w:firstLine="480" w:firstLineChars="200"/>
        <w:rPr>
          <w:rFonts w:ascii="宋体" w:hAnsi="宋体" w:eastAsia="宋体"/>
          <w:color w:val="auto"/>
          <w:sz w:val="24"/>
          <w:highlight w:val="none"/>
          <w:u w:val="single"/>
        </w:rPr>
      </w:pPr>
      <w:r>
        <w:rPr>
          <w:rFonts w:ascii="宋体" w:hAnsi="宋体" w:eastAsia="宋体"/>
          <w:color w:val="auto"/>
          <w:sz w:val="24"/>
          <w:highlight w:val="none"/>
        </w:rPr>
        <w:t xml:space="preserve">1.5.1 </w:t>
      </w:r>
      <w:r>
        <w:rPr>
          <w:rFonts w:hint="eastAsia" w:ascii="宋体" w:hAnsi="宋体" w:eastAsia="宋体"/>
          <w:color w:val="auto"/>
          <w:sz w:val="24"/>
          <w:highlight w:val="none"/>
        </w:rPr>
        <w:t>履行期限</w:t>
      </w:r>
      <w:r>
        <w:rPr>
          <w:rFonts w:ascii="宋体" w:hAnsi="宋体" w:eastAsia="宋体"/>
          <w:color w:val="auto"/>
          <w:sz w:val="24"/>
          <w:highlight w:val="none"/>
        </w:rPr>
        <w:t>：</w:t>
      </w:r>
      <w:r>
        <w:rPr>
          <w:rFonts w:hint="eastAsia" w:ascii="宋体" w:hAnsi="宋体"/>
          <w:b/>
          <w:bCs/>
          <w:color w:val="auto"/>
          <w:sz w:val="24"/>
          <w:highlight w:val="none"/>
          <w:lang w:eastAsia="zh-CN"/>
        </w:rPr>
        <w:t>招标文件第三部分</w:t>
      </w:r>
      <w:r>
        <w:rPr>
          <w:rFonts w:hint="eastAsia" w:ascii="宋体" w:hAnsi="宋体"/>
          <w:b/>
          <w:bCs/>
          <w:i w:val="0"/>
          <w:color w:val="auto"/>
          <w:sz w:val="24"/>
          <w:highlight w:val="none"/>
          <w:u w:val="none"/>
          <w:lang w:eastAsia="zh-CN"/>
        </w:rPr>
        <w:t>采购需求</w:t>
      </w:r>
      <w:r>
        <w:rPr>
          <w:rFonts w:hint="eastAsia" w:ascii="宋体" w:hAnsi="宋体" w:eastAsia="宋体"/>
          <w:color w:val="auto"/>
          <w:sz w:val="24"/>
          <w:highlight w:val="none"/>
        </w:rPr>
        <w:t>；</w:t>
      </w:r>
    </w:p>
    <w:p w14:paraId="1CBC14FA">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履行地点</w:t>
      </w:r>
      <w:r>
        <w:rPr>
          <w:rFonts w:ascii="宋体" w:hAnsi="宋体" w:eastAsia="宋体"/>
          <w:color w:val="auto"/>
          <w:sz w:val="24"/>
          <w:highlight w:val="none"/>
        </w:rPr>
        <w:t>：</w:t>
      </w:r>
      <w:r>
        <w:rPr>
          <w:rFonts w:hint="eastAsia" w:ascii="宋体" w:hAnsi="宋体"/>
          <w:b/>
          <w:bCs/>
          <w:color w:val="auto"/>
          <w:sz w:val="24"/>
          <w:highlight w:val="none"/>
          <w:lang w:eastAsia="zh-CN"/>
        </w:rPr>
        <w:t>招标文件第三部分</w:t>
      </w:r>
      <w:r>
        <w:rPr>
          <w:rFonts w:hint="eastAsia" w:ascii="宋体" w:hAnsi="宋体"/>
          <w:b/>
          <w:bCs/>
          <w:i w:val="0"/>
          <w:color w:val="auto"/>
          <w:sz w:val="24"/>
          <w:highlight w:val="none"/>
          <w:u w:val="none"/>
          <w:lang w:eastAsia="zh-CN"/>
        </w:rPr>
        <w:t>采购需求</w:t>
      </w:r>
      <w:r>
        <w:rPr>
          <w:rFonts w:hint="eastAsia" w:ascii="宋体" w:hAnsi="宋体" w:eastAsia="宋体"/>
          <w:color w:val="auto"/>
          <w:sz w:val="24"/>
          <w:highlight w:val="none"/>
        </w:rPr>
        <w:t>；</w:t>
      </w:r>
    </w:p>
    <w:p w14:paraId="6537CA94">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1.5.3 </w:t>
      </w:r>
      <w:r>
        <w:rPr>
          <w:rFonts w:hint="eastAsia" w:ascii="宋体" w:hAnsi="宋体" w:eastAsia="宋体"/>
          <w:color w:val="auto"/>
          <w:sz w:val="24"/>
          <w:highlight w:val="none"/>
        </w:rPr>
        <w:t>履行方式：</w:t>
      </w:r>
      <w:r>
        <w:rPr>
          <w:rFonts w:hint="eastAsia" w:ascii="宋体" w:hAnsi="宋体"/>
          <w:b/>
          <w:bCs/>
          <w:color w:val="auto"/>
          <w:sz w:val="24"/>
          <w:highlight w:val="none"/>
          <w:lang w:eastAsia="zh-CN"/>
        </w:rPr>
        <w:t>招标文件第三部分</w:t>
      </w:r>
      <w:r>
        <w:rPr>
          <w:rFonts w:hint="eastAsia" w:ascii="宋体" w:hAnsi="宋体"/>
          <w:b/>
          <w:bCs/>
          <w:i w:val="0"/>
          <w:color w:val="auto"/>
          <w:sz w:val="24"/>
          <w:highlight w:val="none"/>
          <w:u w:val="none"/>
          <w:lang w:eastAsia="zh-CN"/>
        </w:rPr>
        <w:t>采购需求</w:t>
      </w:r>
      <w:r>
        <w:rPr>
          <w:rFonts w:hint="eastAsia" w:ascii="宋体" w:hAnsi="宋体" w:eastAsia="宋体"/>
          <w:color w:val="auto"/>
          <w:sz w:val="24"/>
          <w:highlight w:val="none"/>
        </w:rPr>
        <w:t>。</w:t>
      </w:r>
    </w:p>
    <w:p w14:paraId="242DD830">
      <w:pPr>
        <w:spacing w:line="360" w:lineRule="auto"/>
        <w:ind w:firstLine="482" w:firstLineChars="200"/>
        <w:outlineLvl w:val="0"/>
        <w:rPr>
          <w:rFonts w:ascii="宋体" w:hAnsi="宋体" w:eastAsia="宋体"/>
          <w:color w:val="auto"/>
          <w:sz w:val="24"/>
          <w:highlight w:val="none"/>
          <w:u w:val="single"/>
        </w:rPr>
      </w:pPr>
      <w:bookmarkStart w:id="58" w:name="_Toc24662"/>
      <w:bookmarkStart w:id="59" w:name="_Toc5698"/>
      <w:bookmarkStart w:id="60" w:name="_Toc3079"/>
      <w:bookmarkStart w:id="61" w:name="_Toc8586"/>
      <w:bookmarkStart w:id="62" w:name="_Toc2375"/>
      <w:r>
        <w:rPr>
          <w:rFonts w:ascii="宋体" w:hAnsi="宋体" w:eastAsia="宋体"/>
          <w:b/>
          <w:color w:val="auto"/>
          <w:sz w:val="24"/>
          <w:highlight w:val="none"/>
        </w:rPr>
        <w:t xml:space="preserve">1.6 </w:t>
      </w:r>
      <w:r>
        <w:rPr>
          <w:rFonts w:hint="eastAsia" w:ascii="宋体" w:hAnsi="宋体" w:eastAsia="宋体"/>
          <w:b/>
          <w:color w:val="auto"/>
          <w:sz w:val="24"/>
          <w:highlight w:val="none"/>
        </w:rPr>
        <w:t>违约责任</w:t>
      </w:r>
      <w:bookmarkEnd w:id="58"/>
      <w:bookmarkEnd w:id="59"/>
      <w:bookmarkEnd w:id="60"/>
      <w:bookmarkEnd w:id="61"/>
      <w:bookmarkEnd w:id="62"/>
    </w:p>
    <w:p w14:paraId="573D2FEF">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1.6.1 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2CA00908">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1.6.2 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ascii="宋体" w:hAnsi="宋体" w:eastAsia="宋体"/>
          <w:color w:val="auto"/>
          <w:sz w:val="24"/>
          <w:highlight w:val="none"/>
          <w:u w:val="single"/>
        </w:rPr>
        <w:t xml:space="preserve"> 0.05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14:paraId="6E65806C">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1.6.3 </w:t>
      </w:r>
      <w:r>
        <w:rPr>
          <w:rFonts w:hint="eastAsia" w:ascii="宋体" w:hAnsi="宋体" w:eastAsia="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21E002A">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1.6.4 </w:t>
      </w:r>
      <w:r>
        <w:rPr>
          <w:rFonts w:hint="eastAsia" w:ascii="宋体" w:hAnsi="宋体" w:eastAsia="宋体"/>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F6A4C45">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1.6.5 </w:t>
      </w:r>
      <w:r>
        <w:rPr>
          <w:rFonts w:hint="eastAsia" w:ascii="宋体" w:hAnsi="宋体" w:eastAsia="宋体"/>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20FD19">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1.6.6 </w:t>
      </w:r>
      <w:r>
        <w:rPr>
          <w:rFonts w:hint="eastAsia" w:ascii="宋体" w:hAnsi="宋体" w:eastAsia="宋体"/>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31CE520">
      <w:pPr>
        <w:spacing w:line="360" w:lineRule="auto"/>
        <w:ind w:left="-420" w:leftChars="-200" w:right="-420" w:rightChars="-200" w:firstLine="720" w:firstLineChars="300"/>
        <w:rPr>
          <w:rFonts w:hint="eastAsia" w:ascii="宋体" w:hAnsi="宋体" w:eastAsia="宋体"/>
          <w:color w:val="auto"/>
          <w:sz w:val="24"/>
          <w:highlight w:val="none"/>
        </w:rPr>
      </w:pPr>
      <w:r>
        <w:rPr>
          <w:rFonts w:ascii="宋体" w:hAnsi="宋体" w:eastAsia="宋体"/>
          <w:color w:val="auto"/>
          <w:sz w:val="24"/>
          <w:highlight w:val="none"/>
        </w:rPr>
        <w:t>1.6.7违约责任</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另有约定的，从其约定。</w:t>
      </w:r>
      <w:bookmarkStart w:id="63" w:name="_Toc9497"/>
      <w:bookmarkStart w:id="64" w:name="_Toc26807"/>
      <w:bookmarkStart w:id="65" w:name="_Toc32454"/>
      <w:bookmarkStart w:id="66" w:name="_Toc18683"/>
      <w:bookmarkStart w:id="67" w:name="_Toc30329"/>
    </w:p>
    <w:p w14:paraId="34225DF2">
      <w:pPr>
        <w:spacing w:line="360" w:lineRule="auto"/>
        <w:ind w:left="-420" w:leftChars="-200" w:right="-420" w:rightChars="-200" w:firstLine="720" w:firstLineChars="300"/>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1.6.8 甲方对提供的内容的真实性和合法性负完全责任，保证上述内容符合国家法律、法规及有关政策的规定，不侵犯任何第三方的权利，若因甲方的原因所引起的纠纷、争议及所涉及的法律责任均由甲方承担，给乙方造成损失的，甲方应当赔偿。</w:t>
      </w:r>
    </w:p>
    <w:p w14:paraId="6DDB0A1B">
      <w:pPr>
        <w:spacing w:line="360" w:lineRule="auto"/>
        <w:ind w:firstLine="482" w:firstLineChars="200"/>
        <w:outlineLvl w:val="0"/>
        <w:rPr>
          <w:rFonts w:ascii="宋体" w:hAnsi="宋体" w:eastAsia="宋体"/>
          <w:b/>
          <w:color w:val="auto"/>
          <w:sz w:val="24"/>
          <w:highlight w:val="none"/>
        </w:rPr>
      </w:pPr>
      <w:r>
        <w:rPr>
          <w:rFonts w:ascii="宋体" w:hAnsi="宋体" w:eastAsia="宋体"/>
          <w:b/>
          <w:color w:val="auto"/>
          <w:sz w:val="24"/>
          <w:highlight w:val="none"/>
        </w:rPr>
        <w:t xml:space="preserve">1.7 </w:t>
      </w:r>
      <w:r>
        <w:rPr>
          <w:rFonts w:hint="eastAsia" w:ascii="宋体" w:hAnsi="宋体" w:eastAsia="宋体"/>
          <w:b/>
          <w:color w:val="auto"/>
          <w:sz w:val="24"/>
          <w:highlight w:val="none"/>
        </w:rPr>
        <w:t>合同</w:t>
      </w:r>
      <w:r>
        <w:rPr>
          <w:rFonts w:ascii="宋体" w:hAnsi="宋体" w:eastAsia="宋体"/>
          <w:b/>
          <w:color w:val="auto"/>
          <w:sz w:val="24"/>
          <w:highlight w:val="none"/>
        </w:rPr>
        <w:t>争议的解决</w:t>
      </w:r>
      <w:bookmarkEnd w:id="63"/>
      <w:bookmarkEnd w:id="64"/>
      <w:bookmarkEnd w:id="65"/>
      <w:bookmarkEnd w:id="66"/>
      <w:bookmarkEnd w:id="67"/>
    </w:p>
    <w:p w14:paraId="664B0FDA">
      <w:pPr>
        <w:spacing w:line="360" w:lineRule="auto"/>
        <w:ind w:left="-61" w:leftChars="-29" w:right="-420" w:rightChars="-200" w:firstLine="240" w:firstLineChars="100"/>
        <w:rPr>
          <w:rFonts w:ascii="宋体" w:hAnsi="宋体" w:eastAsia="宋体"/>
          <w:color w:val="auto"/>
          <w:sz w:val="24"/>
          <w:highlight w:val="none"/>
        </w:rPr>
      </w:pPr>
      <w:r>
        <w:rPr>
          <w:rFonts w:hint="eastAsia" w:ascii="宋体" w:hAnsi="宋体" w:eastAsia="宋体"/>
          <w:color w:val="auto"/>
          <w:sz w:val="24"/>
          <w:highlight w:val="none"/>
        </w:rPr>
        <w:t>本合同履行过程中发生的任何争议，双方当事人均可通过和解或者调解解决；不愿和解、调解或者和解、调解不成的，可以选择以下第</w:t>
      </w:r>
      <w:r>
        <w:rPr>
          <w:rFonts w:ascii="宋体" w:hAnsi="宋体" w:eastAsia="宋体"/>
          <w:b/>
          <w:i/>
          <w:color w:val="auto"/>
          <w:sz w:val="24"/>
          <w:highlight w:val="none"/>
          <w:u w:val="single"/>
        </w:rPr>
        <w:t xml:space="preserve"> 合同专用条款  </w:t>
      </w:r>
      <w:r>
        <w:rPr>
          <w:rFonts w:hint="eastAsia" w:ascii="宋体" w:hAnsi="宋体" w:eastAsia="宋体"/>
          <w:color w:val="auto"/>
          <w:sz w:val="24"/>
          <w:highlight w:val="none"/>
        </w:rPr>
        <w:t>条款规定的方式解决：</w:t>
      </w:r>
    </w:p>
    <w:p w14:paraId="4B7AA5DD">
      <w:pPr>
        <w:spacing w:line="360" w:lineRule="auto"/>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1.7.1 </w:t>
      </w:r>
      <w:r>
        <w:rPr>
          <w:rFonts w:hint="eastAsia" w:ascii="宋体" w:hAnsi="宋体" w:eastAsia="宋体"/>
          <w:color w:val="auto"/>
          <w:sz w:val="24"/>
          <w:highlight w:val="none"/>
        </w:rPr>
        <w:t>将争议提交</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仲裁委员会依申请仲裁时其现行有效的仲裁规则裁决；</w:t>
      </w:r>
    </w:p>
    <w:p w14:paraId="78384272">
      <w:pPr>
        <w:spacing w:line="360" w:lineRule="auto"/>
        <w:ind w:left="-420" w:leftChars="-200" w:right="-420" w:rightChars="-200" w:firstLine="600" w:firstLineChars="250"/>
        <w:rPr>
          <w:rFonts w:ascii="宋体" w:hAnsi="宋体" w:eastAsia="宋体"/>
          <w:color w:val="auto"/>
          <w:sz w:val="24"/>
          <w:highlight w:val="none"/>
        </w:rPr>
      </w:pPr>
      <w:r>
        <w:rPr>
          <w:rFonts w:ascii="宋体" w:hAnsi="宋体" w:eastAsia="宋体"/>
          <w:color w:val="auto"/>
          <w:sz w:val="24"/>
          <w:highlight w:val="none"/>
        </w:rPr>
        <w:t xml:space="preserve">1.7.2 </w:t>
      </w:r>
      <w:r>
        <w:rPr>
          <w:rFonts w:hint="eastAsia" w:ascii="宋体" w:hAnsi="宋体" w:eastAsia="宋体"/>
          <w:color w:val="auto"/>
          <w:sz w:val="24"/>
          <w:highlight w:val="none"/>
        </w:rPr>
        <w:t>向</w:t>
      </w:r>
      <w:r>
        <w:rPr>
          <w:rFonts w:hint="eastAsia" w:ascii="宋体" w:hAnsi="宋体" w:eastAsia="宋体"/>
          <w:b/>
          <w:i/>
          <w:color w:val="auto"/>
          <w:sz w:val="24"/>
          <w:highlight w:val="none"/>
          <w:u w:val="single"/>
        </w:rPr>
        <w:t>合同专用条款</w:t>
      </w:r>
      <w:r>
        <w:rPr>
          <w:rFonts w:hint="eastAsia" w:ascii="宋体" w:hAnsi="宋体" w:eastAsia="宋体"/>
          <w:color w:val="auto"/>
          <w:sz w:val="24"/>
          <w:highlight w:val="none"/>
        </w:rPr>
        <w:t>人民法院起诉。</w:t>
      </w:r>
    </w:p>
    <w:p w14:paraId="65C5BD2A">
      <w:pPr>
        <w:spacing w:line="360" w:lineRule="auto"/>
        <w:ind w:firstLine="241" w:firstLineChars="100"/>
        <w:outlineLvl w:val="0"/>
        <w:rPr>
          <w:rFonts w:ascii="宋体" w:hAnsi="宋体" w:eastAsia="宋体"/>
          <w:b/>
          <w:color w:val="auto"/>
          <w:sz w:val="24"/>
          <w:highlight w:val="none"/>
        </w:rPr>
      </w:pPr>
      <w:bookmarkStart w:id="68" w:name="_Toc16417"/>
      <w:bookmarkStart w:id="69" w:name="_Toc15827"/>
      <w:bookmarkStart w:id="70" w:name="_Toc12273"/>
      <w:bookmarkStart w:id="71" w:name="_Toc23784"/>
      <w:bookmarkStart w:id="72" w:name="_Toc26227"/>
      <w:r>
        <w:rPr>
          <w:rFonts w:ascii="宋体" w:hAnsi="宋体" w:eastAsia="宋体"/>
          <w:b/>
          <w:color w:val="auto"/>
          <w:sz w:val="24"/>
          <w:highlight w:val="none"/>
        </w:rPr>
        <w:t>1.8 合同生效</w:t>
      </w:r>
      <w:bookmarkEnd w:id="68"/>
      <w:bookmarkEnd w:id="69"/>
      <w:bookmarkEnd w:id="70"/>
      <w:bookmarkEnd w:id="71"/>
      <w:bookmarkEnd w:id="72"/>
    </w:p>
    <w:p w14:paraId="2BA3AC99">
      <w:pPr>
        <w:spacing w:line="360" w:lineRule="auto"/>
        <w:ind w:firstLine="480" w:firstLineChars="200"/>
        <w:rPr>
          <w:rFonts w:ascii="宋体" w:hAnsi="宋体" w:eastAsia="宋体"/>
          <w:b/>
          <w:color w:val="auto"/>
          <w:sz w:val="24"/>
          <w:highlight w:val="none"/>
        </w:rPr>
      </w:pPr>
      <w:r>
        <w:rPr>
          <w:rFonts w:hint="eastAsia" w:ascii="宋体" w:hAnsi="宋体" w:eastAsia="宋体"/>
          <w:color w:val="auto"/>
          <w:sz w:val="24"/>
          <w:highlight w:val="none"/>
        </w:rPr>
        <w:t>本合同自双方当事人盖章或者签字时生效至双方义务履行完毕时止。本合同一式【肆】份，甲方执【贰】份，乙方执【贰】份。本合同对甲乙双方具有同等法律效力</w:t>
      </w:r>
      <w:r>
        <w:rPr>
          <w:rFonts w:ascii="宋体" w:hAnsi="宋体" w:eastAsia="宋体"/>
          <w:color w:val="auto"/>
          <w:sz w:val="24"/>
          <w:highlight w:val="none"/>
        </w:rPr>
        <w:t>。</w:t>
      </w:r>
    </w:p>
    <w:p w14:paraId="76646397">
      <w:pPr>
        <w:autoSpaceDE w:val="0"/>
        <w:autoSpaceDN w:val="0"/>
        <w:spacing w:line="360" w:lineRule="auto"/>
        <w:rPr>
          <w:rFonts w:ascii="宋体" w:hAnsi="宋体" w:eastAsia="宋体"/>
          <w:color w:val="auto"/>
          <w:sz w:val="24"/>
          <w:highlight w:val="none"/>
          <w:lang w:val="zh-CN"/>
        </w:rPr>
      </w:pPr>
    </w:p>
    <w:p w14:paraId="59AC784E">
      <w:pPr>
        <w:autoSpaceDE w:val="0"/>
        <w:autoSpaceDN w:val="0"/>
        <w:spacing w:line="360" w:lineRule="auto"/>
        <w:rPr>
          <w:rFonts w:ascii="宋体" w:hAnsi="宋体" w:eastAsia="宋体"/>
          <w:color w:val="auto"/>
          <w:sz w:val="24"/>
          <w:highlight w:val="none"/>
          <w:lang w:val="zh-CN"/>
        </w:rPr>
      </w:pPr>
      <w:r>
        <w:rPr>
          <w:rFonts w:hint="eastAsia" w:ascii="宋体" w:hAnsi="宋体" w:eastAsia="宋体"/>
          <w:b/>
          <w:color w:val="auto"/>
          <w:sz w:val="24"/>
          <w:highlight w:val="none"/>
          <w:lang w:val="zh-CN"/>
        </w:rPr>
        <w:t>甲方</w:t>
      </w:r>
      <w:r>
        <w:rPr>
          <w:rFonts w:hint="eastAsia" w:ascii="宋体" w:hAnsi="宋体" w:eastAsia="宋体"/>
          <w:color w:val="auto"/>
          <w:sz w:val="24"/>
          <w:highlight w:val="none"/>
          <w:lang w:val="zh-CN"/>
        </w:rPr>
        <w:t>：</w:t>
      </w:r>
      <w:r>
        <w:rPr>
          <w:rFonts w:ascii="宋体" w:hAnsi="宋体" w:eastAsia="宋体"/>
          <w:color w:val="auto"/>
          <w:sz w:val="24"/>
          <w:highlight w:val="none"/>
          <w:lang w:val="zh-CN"/>
        </w:rPr>
        <w:t xml:space="preserve">                             </w:t>
      </w:r>
      <w:r>
        <w:rPr>
          <w:rFonts w:ascii="宋体" w:hAnsi="宋体" w:eastAsia="宋体"/>
          <w:b/>
          <w:color w:val="auto"/>
          <w:sz w:val="24"/>
          <w:highlight w:val="none"/>
          <w:lang w:val="zh-CN"/>
        </w:rPr>
        <w:t xml:space="preserve">      乙方</w:t>
      </w:r>
      <w:r>
        <w:rPr>
          <w:rFonts w:hint="eastAsia" w:ascii="宋体" w:hAnsi="宋体" w:eastAsia="宋体"/>
          <w:color w:val="auto"/>
          <w:sz w:val="24"/>
          <w:highlight w:val="none"/>
          <w:lang w:val="zh-CN"/>
        </w:rPr>
        <w:t>：</w:t>
      </w:r>
    </w:p>
    <w:p w14:paraId="6564D90D">
      <w:pPr>
        <w:autoSpaceDE w:val="0"/>
        <w:autoSpaceDN w:val="0"/>
        <w:spacing w:line="360" w:lineRule="auto"/>
        <w:rPr>
          <w:rFonts w:ascii="宋体" w:hAnsi="宋体" w:eastAsia="宋体"/>
          <w:color w:val="auto"/>
          <w:sz w:val="24"/>
          <w:highlight w:val="none"/>
          <w:lang w:val="zh-CN"/>
        </w:rPr>
      </w:pPr>
      <w:r>
        <w:rPr>
          <w:rFonts w:hint="eastAsia" w:ascii="宋体" w:hAnsi="宋体" w:eastAsia="宋体"/>
          <w:color w:val="auto"/>
          <w:sz w:val="24"/>
          <w:highlight w:val="none"/>
          <w:lang w:val="zh-CN"/>
        </w:rPr>
        <w:t>统一社会信用代码：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统一社会信用代码或身份证号码：</w:t>
      </w:r>
    </w:p>
    <w:p w14:paraId="44F382CC">
      <w:pPr>
        <w:autoSpaceDE w:val="0"/>
        <w:autoSpaceDN w:val="0"/>
        <w:spacing w:line="360" w:lineRule="auto"/>
        <w:rPr>
          <w:rFonts w:ascii="宋体" w:hAnsi="宋体" w:eastAsia="宋体"/>
          <w:color w:val="auto"/>
          <w:sz w:val="24"/>
          <w:highlight w:val="none"/>
          <w:lang w:val="zh-CN"/>
        </w:rPr>
      </w:pPr>
      <w:r>
        <w:rPr>
          <w:rFonts w:hint="eastAsia" w:ascii="宋体" w:hAnsi="宋体" w:eastAsia="宋体"/>
          <w:color w:val="auto"/>
          <w:sz w:val="24"/>
          <w:highlight w:val="none"/>
          <w:lang w:val="zh-CN"/>
        </w:rPr>
        <w:t>住所：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住所：</w:t>
      </w:r>
    </w:p>
    <w:p w14:paraId="2D338A22">
      <w:pPr>
        <w:autoSpaceDE w:val="0"/>
        <w:autoSpaceDN w:val="0"/>
        <w:spacing w:line="360" w:lineRule="auto"/>
        <w:rPr>
          <w:rFonts w:ascii="宋体" w:hAnsi="宋体" w:eastAsia="宋体"/>
          <w:color w:val="auto"/>
          <w:sz w:val="24"/>
          <w:highlight w:val="none"/>
          <w:lang w:val="zh-CN"/>
        </w:rPr>
      </w:pPr>
      <w:r>
        <w:rPr>
          <w:rFonts w:hint="eastAsia" w:ascii="宋体" w:hAnsi="宋体" w:eastAsia="宋体"/>
          <w:color w:val="auto"/>
          <w:sz w:val="24"/>
          <w:highlight w:val="none"/>
          <w:lang w:val="zh-CN"/>
        </w:rPr>
        <w:t>法定代表人或</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法定代表人或</w:t>
      </w:r>
    </w:p>
    <w:p w14:paraId="15788759">
      <w:pPr>
        <w:autoSpaceDE w:val="0"/>
        <w:autoSpaceDN w:val="0"/>
        <w:spacing w:line="360" w:lineRule="auto"/>
        <w:rPr>
          <w:rFonts w:ascii="宋体" w:hAnsi="宋体" w:eastAsia="宋体"/>
          <w:color w:val="auto"/>
          <w:sz w:val="24"/>
          <w:highlight w:val="none"/>
          <w:lang w:val="zh-CN"/>
        </w:rPr>
      </w:pPr>
      <w:r>
        <w:rPr>
          <w:rFonts w:hint="eastAsia" w:ascii="宋体" w:hAnsi="宋体" w:eastAsia="宋体"/>
          <w:color w:val="auto"/>
          <w:sz w:val="24"/>
          <w:highlight w:val="none"/>
          <w:lang w:val="zh-CN"/>
        </w:rPr>
        <w:t>授权代表（签字）：</w:t>
      </w:r>
      <w:r>
        <w:rPr>
          <w:rFonts w:ascii="宋体" w:hAnsi="宋体" w:eastAsia="宋体"/>
          <w:color w:val="auto"/>
          <w:sz w:val="24"/>
          <w:highlight w:val="none"/>
          <w:lang w:val="zh-CN"/>
        </w:rPr>
        <w:t xml:space="preserve">                       授权代表（签字）</w:t>
      </w:r>
      <w:r>
        <w:rPr>
          <w:rFonts w:hint="eastAsia" w:ascii="宋体" w:hAnsi="宋体"/>
          <w:color w:val="auto"/>
          <w:sz w:val="24"/>
          <w:highlight w:val="none"/>
          <w:lang w:val="zh-CN"/>
        </w:rPr>
        <w:t>：</w:t>
      </w:r>
      <w:r>
        <w:rPr>
          <w:rFonts w:ascii="宋体" w:hAnsi="宋体" w:eastAsia="宋体"/>
          <w:color w:val="auto"/>
          <w:sz w:val="24"/>
          <w:highlight w:val="none"/>
          <w:lang w:val="zh-CN"/>
        </w:rPr>
        <w:t xml:space="preserve"> </w:t>
      </w:r>
    </w:p>
    <w:p w14:paraId="762BEA47">
      <w:pPr>
        <w:autoSpaceDE w:val="0"/>
        <w:autoSpaceDN w:val="0"/>
        <w:spacing w:line="360" w:lineRule="auto"/>
        <w:rPr>
          <w:rFonts w:ascii="宋体" w:hAnsi="宋体" w:eastAsia="宋体"/>
          <w:color w:val="auto"/>
          <w:sz w:val="24"/>
          <w:highlight w:val="none"/>
          <w:lang w:val="zh-CN"/>
        </w:rPr>
      </w:pPr>
      <w:r>
        <w:rPr>
          <w:rFonts w:hint="eastAsia" w:ascii="宋体" w:hAnsi="宋体" w:eastAsia="宋体"/>
          <w:color w:val="auto"/>
          <w:sz w:val="24"/>
          <w:highlight w:val="none"/>
          <w:lang w:val="zh-CN"/>
        </w:rPr>
        <w:t>联系人：</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联系人：</w:t>
      </w:r>
    </w:p>
    <w:p w14:paraId="014D8E9B">
      <w:pPr>
        <w:autoSpaceDE w:val="0"/>
        <w:autoSpaceDN w:val="0"/>
        <w:spacing w:line="360" w:lineRule="auto"/>
        <w:rPr>
          <w:rFonts w:ascii="宋体" w:hAnsi="宋体" w:eastAsia="宋体"/>
          <w:color w:val="auto"/>
          <w:sz w:val="24"/>
          <w:highlight w:val="none"/>
          <w:lang w:val="zh-CN"/>
        </w:rPr>
      </w:pPr>
      <w:r>
        <w:rPr>
          <w:rFonts w:hint="eastAsia" w:ascii="宋体" w:hAnsi="宋体" w:eastAsia="宋体"/>
          <w:color w:val="auto"/>
          <w:sz w:val="24"/>
          <w:highlight w:val="none"/>
          <w:lang w:val="zh-CN"/>
        </w:rPr>
        <w:t>约定送达地址：</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约定送达地址：</w:t>
      </w:r>
    </w:p>
    <w:p w14:paraId="2311DEC8">
      <w:pPr>
        <w:autoSpaceDE w:val="0"/>
        <w:autoSpaceDN w:val="0"/>
        <w:spacing w:line="360" w:lineRule="auto"/>
        <w:rPr>
          <w:rFonts w:ascii="宋体" w:hAnsi="宋体" w:eastAsia="宋体"/>
          <w:color w:val="auto"/>
          <w:sz w:val="24"/>
          <w:highlight w:val="none"/>
          <w:lang w:val="zh-CN"/>
        </w:rPr>
      </w:pPr>
      <w:r>
        <w:rPr>
          <w:rFonts w:hint="eastAsia" w:ascii="宋体" w:hAnsi="宋体" w:eastAsia="宋体"/>
          <w:color w:val="auto"/>
          <w:sz w:val="24"/>
          <w:highlight w:val="none"/>
          <w:lang w:val="zh-CN"/>
        </w:rPr>
        <w:t>邮政编码：</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邮政编码：</w:t>
      </w:r>
    </w:p>
    <w:p w14:paraId="575D47B4">
      <w:pPr>
        <w:autoSpaceDE w:val="0"/>
        <w:autoSpaceDN w:val="0"/>
        <w:spacing w:line="360" w:lineRule="auto"/>
        <w:rPr>
          <w:rFonts w:ascii="宋体" w:hAnsi="宋体" w:eastAsia="宋体"/>
          <w:color w:val="auto"/>
          <w:sz w:val="24"/>
          <w:highlight w:val="none"/>
          <w:lang w:val="zh-CN"/>
        </w:rPr>
      </w:pPr>
      <w:r>
        <w:rPr>
          <w:rFonts w:hint="eastAsia" w:ascii="宋体" w:hAnsi="宋体" w:eastAsia="宋体"/>
          <w:color w:val="auto"/>
          <w:sz w:val="24"/>
          <w:highlight w:val="none"/>
          <w:lang w:val="zh-CN"/>
        </w:rPr>
        <w:t>电话</w:t>
      </w:r>
      <w:r>
        <w:rPr>
          <w:rFonts w:hint="eastAsia" w:ascii="宋体" w:hAnsi="宋体"/>
          <w:color w:val="auto"/>
          <w:sz w:val="24"/>
          <w:highlight w:val="none"/>
          <w:lang w:val="zh-CN"/>
        </w:rPr>
        <w:t>：</w:t>
      </w:r>
      <w:r>
        <w:rPr>
          <w:rFonts w:ascii="宋体" w:hAnsi="宋体" w:eastAsia="宋体"/>
          <w:color w:val="auto"/>
          <w:sz w:val="24"/>
          <w:highlight w:val="none"/>
          <w:lang w:val="zh-CN"/>
        </w:rPr>
        <w:t xml:space="preserve">                                    电话</w:t>
      </w:r>
      <w:r>
        <w:rPr>
          <w:rFonts w:hint="eastAsia" w:ascii="宋体" w:hAnsi="宋体"/>
          <w:color w:val="auto"/>
          <w:sz w:val="24"/>
          <w:highlight w:val="none"/>
          <w:lang w:val="zh-CN"/>
        </w:rPr>
        <w:t>：</w:t>
      </w:r>
      <w:r>
        <w:rPr>
          <w:rFonts w:ascii="宋体" w:hAnsi="宋体" w:eastAsia="宋体"/>
          <w:color w:val="auto"/>
          <w:sz w:val="24"/>
          <w:highlight w:val="none"/>
          <w:lang w:val="zh-CN"/>
        </w:rPr>
        <w:t xml:space="preserve"> </w:t>
      </w:r>
    </w:p>
    <w:p w14:paraId="52E87DAE">
      <w:pPr>
        <w:autoSpaceDE w:val="0"/>
        <w:autoSpaceDN w:val="0"/>
        <w:spacing w:line="360" w:lineRule="auto"/>
        <w:rPr>
          <w:rFonts w:ascii="宋体" w:hAnsi="宋体" w:eastAsia="宋体"/>
          <w:color w:val="auto"/>
          <w:sz w:val="24"/>
          <w:highlight w:val="none"/>
          <w:lang w:val="zh-CN"/>
        </w:rPr>
      </w:pPr>
      <w:r>
        <w:rPr>
          <w:rFonts w:hint="eastAsia" w:ascii="宋体" w:hAnsi="宋体" w:eastAsia="宋体"/>
          <w:color w:val="auto"/>
          <w:sz w:val="24"/>
          <w:highlight w:val="none"/>
          <w:lang w:val="zh-CN"/>
        </w:rPr>
        <w:t>传真</w:t>
      </w:r>
      <w:r>
        <w:rPr>
          <w:rFonts w:hint="eastAsia" w:ascii="宋体" w:hAnsi="宋体"/>
          <w:color w:val="auto"/>
          <w:sz w:val="24"/>
          <w:highlight w:val="none"/>
          <w:lang w:val="zh-CN"/>
        </w:rPr>
        <w:t>：</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传真</w:t>
      </w:r>
      <w:r>
        <w:rPr>
          <w:rFonts w:hint="eastAsia" w:ascii="宋体" w:hAnsi="宋体"/>
          <w:color w:val="auto"/>
          <w:sz w:val="24"/>
          <w:highlight w:val="none"/>
          <w:lang w:val="zh-CN"/>
        </w:rPr>
        <w:t>：</w:t>
      </w:r>
    </w:p>
    <w:p w14:paraId="4ACA03D7">
      <w:pPr>
        <w:autoSpaceDE w:val="0"/>
        <w:autoSpaceDN w:val="0"/>
        <w:spacing w:line="360" w:lineRule="auto"/>
        <w:rPr>
          <w:rFonts w:ascii="宋体" w:hAnsi="宋体" w:eastAsia="宋体"/>
          <w:color w:val="auto"/>
          <w:sz w:val="24"/>
          <w:highlight w:val="none"/>
        </w:rPr>
      </w:pPr>
      <w:r>
        <w:rPr>
          <w:rFonts w:hint="eastAsia" w:ascii="宋体" w:hAnsi="宋体" w:eastAsia="宋体"/>
          <w:color w:val="auto"/>
          <w:sz w:val="24"/>
          <w:highlight w:val="none"/>
          <w:lang w:val="zh-CN"/>
        </w:rPr>
        <w:t>电子邮箱：</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电子邮箱：</w:t>
      </w:r>
    </w:p>
    <w:p w14:paraId="4DDF11AD">
      <w:pPr>
        <w:autoSpaceDE w:val="0"/>
        <w:autoSpaceDN w:val="0"/>
        <w:spacing w:line="360" w:lineRule="auto"/>
        <w:rPr>
          <w:rFonts w:ascii="宋体" w:hAnsi="宋体" w:eastAsia="宋体"/>
          <w:color w:val="auto"/>
          <w:sz w:val="24"/>
          <w:highlight w:val="none"/>
        </w:rPr>
      </w:pPr>
      <w:r>
        <w:rPr>
          <w:rFonts w:hint="eastAsia" w:ascii="宋体" w:hAnsi="宋体" w:eastAsia="宋体"/>
          <w:color w:val="auto"/>
          <w:sz w:val="24"/>
          <w:highlight w:val="none"/>
        </w:rPr>
        <w:t>开户银行：</w:t>
      </w:r>
      <w:r>
        <w:rPr>
          <w:rFonts w:ascii="宋体" w:hAnsi="宋体" w:eastAsia="宋体"/>
          <w:color w:val="auto"/>
          <w:sz w:val="24"/>
          <w:highlight w:val="none"/>
        </w:rPr>
        <w:t xml:space="preserve">                               开户银行： </w:t>
      </w:r>
    </w:p>
    <w:p w14:paraId="686789F7">
      <w:pPr>
        <w:autoSpaceDE w:val="0"/>
        <w:autoSpaceDN w:val="0"/>
        <w:spacing w:line="360" w:lineRule="auto"/>
        <w:rPr>
          <w:rFonts w:ascii="宋体" w:hAnsi="宋体" w:eastAsia="宋体"/>
          <w:color w:val="auto"/>
          <w:sz w:val="24"/>
          <w:highlight w:val="none"/>
        </w:rPr>
      </w:pPr>
      <w:r>
        <w:rPr>
          <w:rFonts w:hint="eastAsia" w:ascii="宋体" w:hAnsi="宋体" w:eastAsia="宋体"/>
          <w:color w:val="auto"/>
          <w:sz w:val="24"/>
          <w:highlight w:val="none"/>
        </w:rPr>
        <w:t>开户名称：</w:t>
      </w:r>
      <w:r>
        <w:rPr>
          <w:rFonts w:ascii="宋体" w:hAnsi="宋体" w:eastAsia="宋体"/>
          <w:color w:val="auto"/>
          <w:sz w:val="24"/>
          <w:highlight w:val="none"/>
        </w:rPr>
        <w:t xml:space="preserve">                               开户名称： </w:t>
      </w:r>
    </w:p>
    <w:p w14:paraId="4856240A">
      <w:pPr>
        <w:autoSpaceDE w:val="0"/>
        <w:autoSpaceDN w:val="0"/>
        <w:spacing w:line="360" w:lineRule="auto"/>
        <w:rPr>
          <w:rFonts w:ascii="宋体" w:hAnsi="宋体" w:eastAsia="宋体"/>
          <w:color w:val="auto"/>
          <w:sz w:val="24"/>
          <w:highlight w:val="none"/>
        </w:rPr>
      </w:pPr>
      <w:r>
        <w:rPr>
          <w:rFonts w:hint="eastAsia" w:ascii="宋体" w:hAnsi="宋体" w:eastAsia="宋体"/>
          <w:color w:val="auto"/>
          <w:sz w:val="24"/>
          <w:highlight w:val="none"/>
        </w:rPr>
        <w:t>开户账号：</w:t>
      </w:r>
      <w:r>
        <w:rPr>
          <w:rFonts w:ascii="宋体" w:hAnsi="宋体" w:eastAsia="宋体"/>
          <w:color w:val="auto"/>
          <w:sz w:val="24"/>
          <w:highlight w:val="none"/>
          <w:lang w:val="zh-CN"/>
        </w:rPr>
        <w:t xml:space="preserve">                               </w:t>
      </w:r>
      <w:r>
        <w:rPr>
          <w:rFonts w:hint="eastAsia" w:ascii="宋体" w:hAnsi="宋体" w:eastAsia="宋体"/>
          <w:color w:val="auto"/>
          <w:sz w:val="24"/>
          <w:highlight w:val="none"/>
        </w:rPr>
        <w:t>开户账号：</w:t>
      </w:r>
    </w:p>
    <w:p w14:paraId="1F1F2168">
      <w:pPr>
        <w:pStyle w:val="62"/>
        <w:spacing w:line="360" w:lineRule="auto"/>
        <w:ind w:firstLine="482"/>
        <w:jc w:val="center"/>
        <w:rPr>
          <w:rFonts w:hint="eastAsia" w:ascii="宋体" w:hAnsi="宋体" w:eastAsia="宋体"/>
          <w:b/>
          <w:color w:val="auto"/>
          <w:szCs w:val="24"/>
          <w:highlight w:val="none"/>
        </w:rPr>
      </w:pPr>
    </w:p>
    <w:p w14:paraId="2AE88093">
      <w:pPr>
        <w:pStyle w:val="62"/>
        <w:spacing w:line="360" w:lineRule="auto"/>
        <w:ind w:firstLine="482"/>
        <w:jc w:val="center"/>
        <w:rPr>
          <w:rFonts w:hint="eastAsia" w:ascii="宋体" w:hAnsi="宋体" w:eastAsia="宋体"/>
          <w:b/>
          <w:color w:val="auto"/>
          <w:szCs w:val="24"/>
          <w:highlight w:val="none"/>
        </w:rPr>
      </w:pPr>
    </w:p>
    <w:p w14:paraId="2E8782FD">
      <w:pPr>
        <w:pStyle w:val="62"/>
        <w:spacing w:line="360" w:lineRule="auto"/>
        <w:ind w:firstLine="482"/>
        <w:jc w:val="center"/>
        <w:rPr>
          <w:rFonts w:hint="eastAsia" w:ascii="宋体" w:hAnsi="宋体" w:eastAsia="宋体"/>
          <w:b/>
          <w:color w:val="auto"/>
          <w:szCs w:val="24"/>
          <w:highlight w:val="none"/>
        </w:rPr>
      </w:pPr>
    </w:p>
    <w:p w14:paraId="7270C057">
      <w:pPr>
        <w:pStyle w:val="62"/>
        <w:spacing w:line="360" w:lineRule="auto"/>
        <w:ind w:firstLine="482"/>
        <w:jc w:val="center"/>
        <w:rPr>
          <w:rFonts w:ascii="宋体" w:hAnsi="宋体" w:eastAsia="宋体"/>
          <w:b/>
          <w:color w:val="auto"/>
          <w:szCs w:val="24"/>
          <w:highlight w:val="none"/>
        </w:rPr>
      </w:pPr>
      <w:r>
        <w:rPr>
          <w:rFonts w:hint="eastAsia" w:ascii="宋体" w:hAnsi="宋体" w:eastAsia="宋体"/>
          <w:b/>
          <w:color w:val="auto"/>
          <w:szCs w:val="24"/>
          <w:highlight w:val="none"/>
        </w:rPr>
        <w:t>第二部分</w:t>
      </w:r>
      <w:r>
        <w:rPr>
          <w:rFonts w:ascii="宋体" w:hAnsi="宋体" w:eastAsia="宋体"/>
          <w:b/>
          <w:color w:val="auto"/>
          <w:szCs w:val="24"/>
          <w:highlight w:val="none"/>
        </w:rPr>
        <w:t xml:space="preserve"> </w:t>
      </w:r>
      <w:r>
        <w:rPr>
          <w:rFonts w:hint="eastAsia" w:ascii="宋体" w:hAnsi="宋体" w:eastAsia="宋体"/>
          <w:b/>
          <w:color w:val="auto"/>
          <w:szCs w:val="24"/>
          <w:highlight w:val="none"/>
        </w:rPr>
        <w:t>合同一般条款</w:t>
      </w:r>
    </w:p>
    <w:p w14:paraId="2E8CE008">
      <w:pPr>
        <w:spacing w:line="360" w:lineRule="auto"/>
        <w:ind w:firstLine="482" w:firstLineChars="200"/>
        <w:outlineLvl w:val="0"/>
        <w:rPr>
          <w:rFonts w:ascii="宋体" w:hAnsi="宋体" w:eastAsia="宋体"/>
          <w:b/>
          <w:color w:val="auto"/>
          <w:sz w:val="24"/>
          <w:highlight w:val="none"/>
        </w:rPr>
      </w:pPr>
      <w:bookmarkStart w:id="73" w:name="_Toc31297"/>
      <w:bookmarkStart w:id="74" w:name="_Toc5228"/>
      <w:bookmarkStart w:id="75" w:name="_Toc14021"/>
      <w:bookmarkStart w:id="76" w:name="_Toc19680"/>
      <w:bookmarkStart w:id="77" w:name="_Toc25079"/>
      <w:r>
        <w:rPr>
          <w:rFonts w:ascii="宋体" w:hAnsi="宋体" w:eastAsia="宋体"/>
          <w:b/>
          <w:color w:val="auto"/>
          <w:sz w:val="24"/>
          <w:highlight w:val="none"/>
        </w:rPr>
        <w:t>2.1 定义</w:t>
      </w:r>
      <w:bookmarkEnd w:id="73"/>
      <w:bookmarkEnd w:id="74"/>
      <w:bookmarkEnd w:id="75"/>
      <w:bookmarkEnd w:id="76"/>
      <w:bookmarkEnd w:id="77"/>
    </w:p>
    <w:p w14:paraId="77DDA961">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本合同中的下列</w:t>
      </w:r>
      <w:r>
        <w:rPr>
          <w:rFonts w:hint="eastAsia" w:ascii="宋体" w:hAnsi="宋体" w:eastAsia="宋体"/>
          <w:color w:val="auto"/>
          <w:sz w:val="24"/>
          <w:highlight w:val="none"/>
        </w:rPr>
        <w:t>词</w:t>
      </w:r>
      <w:r>
        <w:rPr>
          <w:rFonts w:ascii="宋体" w:hAnsi="宋体" w:eastAsia="宋体"/>
          <w:color w:val="auto"/>
          <w:sz w:val="24"/>
          <w:highlight w:val="none"/>
        </w:rPr>
        <w:t>语应</w:t>
      </w:r>
      <w:r>
        <w:rPr>
          <w:rFonts w:hint="eastAsia" w:ascii="宋体" w:hAnsi="宋体" w:eastAsia="宋体"/>
          <w:color w:val="auto"/>
          <w:sz w:val="24"/>
          <w:highlight w:val="none"/>
        </w:rPr>
        <w:t>按以下内容进行</w:t>
      </w:r>
      <w:r>
        <w:rPr>
          <w:rFonts w:ascii="宋体" w:hAnsi="宋体" w:eastAsia="宋体"/>
          <w:color w:val="auto"/>
          <w:sz w:val="24"/>
          <w:highlight w:val="none"/>
        </w:rPr>
        <w:t>解释：</w:t>
      </w:r>
    </w:p>
    <w:p w14:paraId="11F703D5">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2.1.1 “合同”系指采购人和中标供应商签订的载明双方当事人所达成的协议，并包括所有的附件、附录和构成合同的其他文件。</w:t>
      </w:r>
    </w:p>
    <w:p w14:paraId="04F89FC0">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2.1.2 “合同价”系指根据合同约定，中标供应商在完全履行合同义务后</w:t>
      </w:r>
      <w:r>
        <w:rPr>
          <w:rFonts w:hint="eastAsia" w:ascii="宋体" w:hAnsi="宋体" w:eastAsia="宋体"/>
          <w:color w:val="auto"/>
          <w:sz w:val="24"/>
          <w:highlight w:val="none"/>
        </w:rPr>
        <w:t>，</w:t>
      </w:r>
      <w:r>
        <w:rPr>
          <w:rFonts w:ascii="宋体" w:hAnsi="宋体" w:eastAsia="宋体"/>
          <w:color w:val="auto"/>
          <w:sz w:val="24"/>
          <w:highlight w:val="none"/>
        </w:rPr>
        <w:t>采购人应支付给中标供应商的价格。</w:t>
      </w:r>
    </w:p>
    <w:p w14:paraId="3CE0B04E">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2.1.3 “</w:t>
      </w:r>
      <w:r>
        <w:rPr>
          <w:rFonts w:hint="eastAsia" w:ascii="宋体" w:hAnsi="宋体" w:eastAsia="宋体"/>
          <w:color w:val="auto"/>
          <w:sz w:val="24"/>
          <w:highlight w:val="none"/>
        </w:rPr>
        <w:t>服务</w:t>
      </w:r>
      <w:r>
        <w:rPr>
          <w:rFonts w:ascii="宋体" w:hAnsi="宋体" w:eastAsia="宋体"/>
          <w:color w:val="auto"/>
          <w:sz w:val="24"/>
          <w:highlight w:val="none"/>
        </w:rPr>
        <w:t>”系指</w:t>
      </w:r>
      <w:r>
        <w:rPr>
          <w:rFonts w:hint="eastAsia" w:ascii="宋体" w:hAnsi="宋体" w:eastAsia="宋体"/>
          <w:color w:val="auto"/>
          <w:sz w:val="24"/>
          <w:highlight w:val="none"/>
        </w:rPr>
        <w:t>中标供应商</w:t>
      </w:r>
      <w:r>
        <w:rPr>
          <w:rFonts w:ascii="宋体" w:hAnsi="宋体" w:eastAsia="宋体"/>
          <w:color w:val="auto"/>
          <w:sz w:val="24"/>
          <w:highlight w:val="none"/>
        </w:rPr>
        <w:t>根据合同约定应向采购人</w:t>
      </w:r>
      <w:r>
        <w:rPr>
          <w:rFonts w:hint="eastAsia" w:ascii="宋体" w:hAnsi="宋体" w:eastAsia="宋体"/>
          <w:color w:val="auto"/>
          <w:sz w:val="24"/>
          <w:highlight w:val="none"/>
        </w:rPr>
        <w:t>履行</w:t>
      </w:r>
      <w:r>
        <w:rPr>
          <w:rFonts w:ascii="宋体" w:hAnsi="宋体" w:eastAsia="宋体"/>
          <w:color w:val="auto"/>
          <w:sz w:val="24"/>
          <w:highlight w:val="none"/>
        </w:rPr>
        <w:t>的</w:t>
      </w:r>
      <w:r>
        <w:rPr>
          <w:rFonts w:hint="eastAsia" w:ascii="宋体" w:hAnsi="宋体" w:eastAsia="宋体"/>
          <w:color w:val="auto"/>
          <w:sz w:val="24"/>
          <w:highlight w:val="none"/>
        </w:rPr>
        <w:t>除货物和工程以外的其他政府采购对象，包括采购人自身需要的服务和向社会公众提供的公共服务。</w:t>
      </w:r>
    </w:p>
    <w:p w14:paraId="1D0F4158">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2.1.4 “</w:t>
      </w:r>
      <w:r>
        <w:rPr>
          <w:rFonts w:hint="eastAsia" w:ascii="宋体" w:hAnsi="宋体" w:eastAsia="宋体"/>
          <w:color w:val="auto"/>
          <w:sz w:val="24"/>
          <w:highlight w:val="none"/>
        </w:rPr>
        <w:t>甲方</w:t>
      </w:r>
      <w:r>
        <w:rPr>
          <w:rFonts w:ascii="宋体" w:hAnsi="宋体" w:eastAsia="宋体"/>
          <w:color w:val="auto"/>
          <w:sz w:val="24"/>
          <w:highlight w:val="none"/>
        </w:rPr>
        <w:t>”系指与</w:t>
      </w:r>
      <w:r>
        <w:rPr>
          <w:rFonts w:hint="eastAsia" w:ascii="宋体" w:hAnsi="宋体" w:eastAsia="宋体"/>
          <w:color w:val="auto"/>
          <w:sz w:val="24"/>
          <w:highlight w:val="none"/>
        </w:rPr>
        <w:t>中标供应商</w:t>
      </w:r>
      <w:r>
        <w:rPr>
          <w:rFonts w:ascii="宋体" w:hAnsi="宋体" w:eastAsia="宋体"/>
          <w:color w:val="auto"/>
          <w:sz w:val="24"/>
          <w:highlight w:val="none"/>
        </w:rPr>
        <w:t>签署合同的采购人</w:t>
      </w:r>
      <w:r>
        <w:rPr>
          <w:rFonts w:hint="eastAsia" w:ascii="宋体" w:hAnsi="宋体" w:eastAsia="宋体"/>
          <w:color w:val="auto"/>
          <w:sz w:val="24"/>
          <w:highlight w:val="none"/>
        </w:rPr>
        <w:t>；采购人委托采购代理机构代表其与乙方签订合同的，采购人的授权委托书作为合同附件。</w:t>
      </w:r>
    </w:p>
    <w:p w14:paraId="18BC7F63">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2.1.5 “乙方”系指根据合同约定提供服务的中标供应商</w:t>
      </w:r>
      <w:r>
        <w:rPr>
          <w:rFonts w:hint="eastAsia" w:ascii="宋体" w:hAnsi="宋体" w:eastAsia="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EF5434E">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2.1.6 “现场”系指合同约定提供服务的地点。</w:t>
      </w:r>
    </w:p>
    <w:p w14:paraId="4EEF412A">
      <w:pPr>
        <w:spacing w:line="360" w:lineRule="auto"/>
        <w:ind w:firstLine="482" w:firstLineChars="200"/>
        <w:outlineLvl w:val="0"/>
        <w:rPr>
          <w:rFonts w:ascii="宋体" w:hAnsi="宋体" w:eastAsia="宋体"/>
          <w:b/>
          <w:color w:val="auto"/>
          <w:sz w:val="24"/>
          <w:highlight w:val="none"/>
        </w:rPr>
      </w:pPr>
      <w:bookmarkStart w:id="78" w:name="_Toc3769"/>
      <w:bookmarkStart w:id="79" w:name="_Toc19539"/>
      <w:bookmarkStart w:id="80" w:name="_Toc16752"/>
      <w:bookmarkStart w:id="81" w:name="_Toc23289"/>
      <w:bookmarkStart w:id="82" w:name="_Toc31402"/>
      <w:r>
        <w:rPr>
          <w:rFonts w:ascii="宋体" w:hAnsi="宋体" w:eastAsia="宋体"/>
          <w:b/>
          <w:color w:val="auto"/>
          <w:sz w:val="24"/>
          <w:highlight w:val="none"/>
        </w:rPr>
        <w:t>2.2 技术规范</w:t>
      </w:r>
      <w:bookmarkEnd w:id="78"/>
      <w:bookmarkEnd w:id="79"/>
      <w:bookmarkEnd w:id="80"/>
      <w:bookmarkEnd w:id="81"/>
      <w:bookmarkEnd w:id="82"/>
    </w:p>
    <w:p w14:paraId="0F364A3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服务</w:t>
      </w:r>
      <w:r>
        <w:rPr>
          <w:rFonts w:ascii="宋体" w:hAnsi="宋体" w:eastAsia="宋体"/>
          <w:color w:val="auto"/>
          <w:sz w:val="24"/>
          <w:highlight w:val="none"/>
        </w:rPr>
        <w:t>所应遵守的技术规范应与采购文件规定的技术规范和技术规范附件</w:t>
      </w:r>
      <w:r>
        <w:rPr>
          <w:rFonts w:hint="eastAsia" w:ascii="宋体" w:hAnsi="宋体"/>
          <w:color w:val="auto"/>
          <w:sz w:val="24"/>
          <w:highlight w:val="none"/>
          <w:lang w:eastAsia="zh-CN"/>
        </w:rPr>
        <w:t>（</w:t>
      </w:r>
      <w:r>
        <w:rPr>
          <w:rFonts w:ascii="宋体" w:hAnsi="宋体" w:eastAsia="宋体"/>
          <w:color w:val="auto"/>
          <w:sz w:val="24"/>
          <w:highlight w:val="none"/>
        </w:rPr>
        <w:t>如果有的话</w:t>
      </w:r>
      <w:r>
        <w:rPr>
          <w:rFonts w:hint="eastAsia" w:ascii="宋体" w:hAnsi="宋体"/>
          <w:color w:val="auto"/>
          <w:sz w:val="24"/>
          <w:highlight w:val="none"/>
          <w:lang w:eastAsia="zh-CN"/>
        </w:rPr>
        <w:t>）</w:t>
      </w:r>
      <w:r>
        <w:rPr>
          <w:rFonts w:ascii="宋体" w:hAnsi="宋体" w:eastAsia="宋体"/>
          <w:color w:val="auto"/>
          <w:sz w:val="24"/>
          <w:highlight w:val="none"/>
        </w:rPr>
        <w:t>及其技术规范偏差表</w:t>
      </w:r>
      <w:r>
        <w:rPr>
          <w:rFonts w:hint="eastAsia" w:ascii="宋体" w:hAnsi="宋体"/>
          <w:color w:val="auto"/>
          <w:sz w:val="24"/>
          <w:highlight w:val="none"/>
          <w:lang w:eastAsia="zh-CN"/>
        </w:rPr>
        <w:t>（</w:t>
      </w:r>
      <w:r>
        <w:rPr>
          <w:rFonts w:ascii="宋体" w:hAnsi="宋体" w:eastAsia="宋体"/>
          <w:color w:val="auto"/>
          <w:sz w:val="24"/>
          <w:highlight w:val="none"/>
        </w:rPr>
        <w:t>如果被甲方接受的话</w:t>
      </w:r>
      <w:r>
        <w:rPr>
          <w:rFonts w:hint="eastAsia" w:ascii="宋体" w:hAnsi="宋体"/>
          <w:color w:val="auto"/>
          <w:sz w:val="24"/>
          <w:highlight w:val="none"/>
          <w:lang w:eastAsia="zh-CN"/>
        </w:rPr>
        <w:t>）</w:t>
      </w:r>
      <w:r>
        <w:rPr>
          <w:rFonts w:ascii="宋体" w:hAnsi="宋体" w:eastAsia="宋体"/>
          <w:color w:val="auto"/>
          <w:sz w:val="24"/>
          <w:highlight w:val="none"/>
        </w:rPr>
        <w:t>相一致</w:t>
      </w:r>
      <w:r>
        <w:rPr>
          <w:rFonts w:hint="eastAsia" w:ascii="宋体" w:hAnsi="宋体" w:eastAsia="宋体"/>
          <w:color w:val="auto"/>
          <w:sz w:val="24"/>
          <w:highlight w:val="none"/>
        </w:rPr>
        <w:t>；</w:t>
      </w:r>
      <w:r>
        <w:rPr>
          <w:rFonts w:ascii="宋体" w:hAnsi="宋体" w:eastAsia="宋体"/>
          <w:color w:val="auto"/>
          <w:sz w:val="24"/>
          <w:highlight w:val="none"/>
        </w:rPr>
        <w:t>如果采购文件中没有技术规范的相应说明，那么应以国家有关部门最新颁布的相应标准</w:t>
      </w:r>
      <w:r>
        <w:rPr>
          <w:rFonts w:hint="eastAsia" w:ascii="宋体" w:hAnsi="宋体" w:eastAsia="宋体"/>
          <w:color w:val="auto"/>
          <w:sz w:val="24"/>
          <w:highlight w:val="none"/>
        </w:rPr>
        <w:t>和</w:t>
      </w:r>
      <w:r>
        <w:rPr>
          <w:rFonts w:ascii="宋体" w:hAnsi="宋体" w:eastAsia="宋体"/>
          <w:color w:val="auto"/>
          <w:sz w:val="24"/>
          <w:highlight w:val="none"/>
        </w:rPr>
        <w:t>规范为准。</w:t>
      </w:r>
    </w:p>
    <w:p w14:paraId="6C394E27">
      <w:pPr>
        <w:spacing w:line="360" w:lineRule="auto"/>
        <w:ind w:firstLine="482" w:firstLineChars="200"/>
        <w:outlineLvl w:val="0"/>
        <w:rPr>
          <w:rFonts w:ascii="宋体" w:hAnsi="宋体" w:eastAsia="宋体"/>
          <w:b/>
          <w:color w:val="auto"/>
          <w:sz w:val="24"/>
          <w:highlight w:val="none"/>
        </w:rPr>
      </w:pPr>
      <w:bookmarkStart w:id="83" w:name="_Toc27945"/>
      <w:bookmarkStart w:id="84" w:name="_Toc9161"/>
      <w:bookmarkStart w:id="85" w:name="_Toc12412"/>
      <w:bookmarkStart w:id="86" w:name="_Toc4133"/>
      <w:bookmarkStart w:id="87" w:name="_Toc13673"/>
      <w:r>
        <w:rPr>
          <w:rFonts w:ascii="宋体" w:hAnsi="宋体" w:eastAsia="宋体"/>
          <w:b/>
          <w:color w:val="auto"/>
          <w:sz w:val="24"/>
          <w:highlight w:val="none"/>
        </w:rPr>
        <w:t>2.3 知识产权</w:t>
      </w:r>
      <w:bookmarkEnd w:id="83"/>
      <w:bookmarkEnd w:id="84"/>
      <w:bookmarkEnd w:id="85"/>
      <w:bookmarkEnd w:id="86"/>
      <w:bookmarkEnd w:id="87"/>
    </w:p>
    <w:p w14:paraId="1CF59F80">
      <w:pPr>
        <w:spacing w:line="360" w:lineRule="auto"/>
        <w:ind w:firstLine="480" w:firstLineChars="200"/>
        <w:rPr>
          <w:rFonts w:hint="eastAsia" w:ascii="宋体" w:hAnsi="宋体" w:eastAsia="宋体"/>
          <w:color w:val="auto"/>
          <w:sz w:val="24"/>
          <w:highlight w:val="none"/>
          <w:lang w:eastAsia="zh-CN"/>
        </w:rPr>
      </w:pPr>
      <w:r>
        <w:rPr>
          <w:rFonts w:ascii="宋体" w:hAnsi="宋体" w:eastAsia="宋体"/>
          <w:color w:val="auto"/>
          <w:sz w:val="24"/>
          <w:highlight w:val="none"/>
        </w:rPr>
        <w:t xml:space="preserve">2.3.1 </w:t>
      </w:r>
      <w:r>
        <w:rPr>
          <w:rFonts w:hint="eastAsia" w:ascii="宋体" w:hAnsi="宋体" w:eastAsia="宋体"/>
          <w:color w:val="auto"/>
          <w:sz w:val="24"/>
          <w:highlight w:val="none"/>
        </w:rPr>
        <w:t>乙</w:t>
      </w:r>
      <w:r>
        <w:rPr>
          <w:rFonts w:ascii="宋体" w:hAnsi="宋体" w:eastAsia="宋体"/>
          <w:color w:val="auto"/>
          <w:sz w:val="24"/>
          <w:highlight w:val="none"/>
        </w:rPr>
        <w:t>方应保证</w:t>
      </w:r>
      <w:r>
        <w:rPr>
          <w:rFonts w:hint="eastAsia" w:ascii="宋体" w:hAnsi="宋体" w:eastAsia="宋体"/>
          <w:color w:val="auto"/>
          <w:sz w:val="24"/>
          <w:highlight w:val="none"/>
        </w:rPr>
        <w:t>其提供的服务</w:t>
      </w:r>
      <w:r>
        <w:rPr>
          <w:rFonts w:ascii="宋体" w:hAnsi="宋体" w:eastAsia="宋体"/>
          <w:color w:val="auto"/>
          <w:sz w:val="24"/>
          <w:highlight w:val="none"/>
        </w:rPr>
        <w:t>不受任何第三方提出的侵犯其著作权、商标权、专利权等知识产权方面的起诉</w:t>
      </w:r>
      <w:r>
        <w:rPr>
          <w:rFonts w:hint="eastAsia" w:ascii="宋体" w:hAnsi="宋体" w:eastAsia="宋体"/>
          <w:color w:val="auto"/>
          <w:sz w:val="24"/>
          <w:highlight w:val="none"/>
        </w:rPr>
        <w:t>；</w:t>
      </w:r>
      <w:r>
        <w:rPr>
          <w:rFonts w:ascii="宋体" w:hAnsi="宋体" w:eastAsia="宋体"/>
          <w:color w:val="auto"/>
          <w:sz w:val="24"/>
          <w:highlight w:val="none"/>
        </w:rPr>
        <w:t>如果任何第三方提出侵权</w:t>
      </w:r>
      <w:r>
        <w:rPr>
          <w:rFonts w:hint="eastAsia" w:ascii="宋体" w:hAnsi="宋体" w:eastAsia="宋体"/>
          <w:color w:val="auto"/>
          <w:sz w:val="24"/>
          <w:highlight w:val="none"/>
        </w:rPr>
        <w:t>指控</w:t>
      </w:r>
      <w:r>
        <w:rPr>
          <w:rFonts w:ascii="宋体" w:hAnsi="宋体" w:eastAsia="宋体"/>
          <w:color w:val="auto"/>
          <w:sz w:val="24"/>
          <w:highlight w:val="none"/>
        </w:rPr>
        <w:t>，那么乙方须与该第三方交涉并承担由此发生的一切责任、费用和赔偿</w:t>
      </w:r>
      <w:r>
        <w:rPr>
          <w:rFonts w:hint="eastAsia" w:ascii="宋体" w:hAnsi="宋体" w:eastAsia="宋体"/>
          <w:color w:val="auto"/>
          <w:sz w:val="24"/>
          <w:highlight w:val="none"/>
        </w:rPr>
        <w:t>，但因甲方提供的内容导致的侵权除外</w:t>
      </w:r>
      <w:r>
        <w:rPr>
          <w:rFonts w:hint="eastAsia" w:ascii="宋体" w:hAnsi="宋体"/>
          <w:color w:val="auto"/>
          <w:sz w:val="24"/>
          <w:highlight w:val="none"/>
          <w:lang w:eastAsia="zh-CN"/>
        </w:rPr>
        <w:t>。</w:t>
      </w:r>
    </w:p>
    <w:p w14:paraId="212D2D8B">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2.3.2 </w:t>
      </w:r>
      <w:r>
        <w:rPr>
          <w:rFonts w:hint="eastAsia" w:ascii="宋体" w:hAnsi="宋体" w:eastAsia="宋体"/>
          <w:color w:val="auto"/>
          <w:sz w:val="24"/>
          <w:highlight w:val="none"/>
        </w:rPr>
        <w:t>合同涉及技术成果的归属和收益的分成办法的，</w:t>
      </w: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14:paraId="70135586">
      <w:pPr>
        <w:spacing w:line="360" w:lineRule="auto"/>
        <w:ind w:firstLine="482" w:firstLineChars="200"/>
        <w:rPr>
          <w:rFonts w:ascii="宋体" w:hAnsi="宋体" w:eastAsia="宋体"/>
          <w:b/>
          <w:color w:val="auto"/>
          <w:sz w:val="24"/>
          <w:highlight w:val="none"/>
        </w:rPr>
      </w:pPr>
      <w:r>
        <w:rPr>
          <w:rFonts w:ascii="宋体" w:hAnsi="宋体" w:eastAsia="宋体"/>
          <w:b/>
          <w:color w:val="auto"/>
          <w:sz w:val="24"/>
          <w:highlight w:val="none"/>
        </w:rPr>
        <w:t xml:space="preserve">2.4 </w:t>
      </w:r>
      <w:r>
        <w:rPr>
          <w:rFonts w:hint="eastAsia" w:ascii="宋体" w:hAnsi="宋体" w:eastAsia="宋体"/>
          <w:b/>
          <w:color w:val="auto"/>
          <w:sz w:val="24"/>
          <w:highlight w:val="none"/>
        </w:rPr>
        <w:t>履约检查和问题反馈</w:t>
      </w:r>
    </w:p>
    <w:p w14:paraId="4E74476C">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2.4.1甲方</w:t>
      </w:r>
      <w:r>
        <w:rPr>
          <w:rFonts w:hint="eastAsia" w:ascii="宋体" w:hAnsi="宋体" w:eastAsia="宋体"/>
          <w:color w:val="auto"/>
          <w:sz w:val="24"/>
          <w:highlight w:val="none"/>
        </w:rPr>
        <w:t>有权</w:t>
      </w:r>
      <w:r>
        <w:rPr>
          <w:rFonts w:ascii="宋体" w:hAnsi="宋体" w:eastAsia="宋体"/>
          <w:color w:val="auto"/>
          <w:sz w:val="24"/>
          <w:highlight w:val="none"/>
        </w:rPr>
        <w:t>在其认为必要时</w:t>
      </w:r>
      <w:r>
        <w:rPr>
          <w:rFonts w:hint="eastAsia" w:ascii="宋体" w:hAnsi="宋体" w:eastAsia="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5701777">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2.4.2 </w:t>
      </w:r>
      <w:r>
        <w:rPr>
          <w:rFonts w:hint="eastAsia" w:ascii="宋体" w:hAnsi="宋体" w:eastAsia="宋体"/>
          <w:color w:val="auto"/>
          <w:sz w:val="24"/>
          <w:highlight w:val="none"/>
        </w:rPr>
        <w:t>合同履行期间，甲方有权将履行过程中出现的问题反馈给乙方，双方当事人应以书面形式约定需要完善和改进的内容。</w:t>
      </w:r>
    </w:p>
    <w:p w14:paraId="364060F1">
      <w:pPr>
        <w:spacing w:line="360" w:lineRule="auto"/>
        <w:ind w:firstLine="482" w:firstLineChars="200"/>
        <w:outlineLvl w:val="0"/>
        <w:rPr>
          <w:rFonts w:ascii="宋体" w:hAnsi="宋体" w:eastAsia="宋体"/>
          <w:b/>
          <w:color w:val="auto"/>
          <w:sz w:val="24"/>
          <w:highlight w:val="none"/>
        </w:rPr>
      </w:pPr>
      <w:bookmarkStart w:id="88" w:name="_Toc26555"/>
      <w:bookmarkStart w:id="89" w:name="_Toc22011"/>
      <w:bookmarkStart w:id="90" w:name="_Toc32670"/>
      <w:bookmarkStart w:id="91" w:name="_Toc31233"/>
      <w:bookmarkStart w:id="92" w:name="_Toc15447"/>
      <w:r>
        <w:rPr>
          <w:rFonts w:ascii="宋体" w:hAnsi="宋体" w:eastAsia="宋体"/>
          <w:b/>
          <w:color w:val="auto"/>
          <w:sz w:val="24"/>
          <w:highlight w:val="none"/>
        </w:rPr>
        <w:t>2.5 结算方式和付款条件</w:t>
      </w:r>
      <w:bookmarkEnd w:id="88"/>
      <w:bookmarkEnd w:id="89"/>
      <w:bookmarkEnd w:id="90"/>
      <w:bookmarkEnd w:id="91"/>
      <w:bookmarkEnd w:id="92"/>
    </w:p>
    <w:p w14:paraId="21BC54BC">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详见</w:t>
      </w:r>
      <w:r>
        <w:rPr>
          <w:rFonts w:ascii="宋体" w:hAnsi="宋体" w:eastAsia="宋体"/>
          <w:b/>
          <w:i/>
          <w:color w:val="auto"/>
          <w:sz w:val="24"/>
          <w:highlight w:val="none"/>
          <w:u w:val="single"/>
        </w:rPr>
        <w:t>合同专用条款</w:t>
      </w:r>
      <w:r>
        <w:rPr>
          <w:rFonts w:ascii="宋体" w:hAnsi="宋体" w:eastAsia="宋体"/>
          <w:color w:val="auto"/>
          <w:sz w:val="24"/>
          <w:highlight w:val="none"/>
        </w:rPr>
        <w:t>。</w:t>
      </w:r>
    </w:p>
    <w:p w14:paraId="04A54806">
      <w:pPr>
        <w:spacing w:line="360" w:lineRule="auto"/>
        <w:ind w:firstLine="482" w:firstLineChars="200"/>
        <w:outlineLvl w:val="0"/>
        <w:rPr>
          <w:rFonts w:ascii="宋体" w:hAnsi="宋体" w:eastAsia="宋体"/>
          <w:b/>
          <w:color w:val="auto"/>
          <w:sz w:val="24"/>
          <w:highlight w:val="none"/>
        </w:rPr>
      </w:pPr>
      <w:bookmarkStart w:id="93" w:name="_Toc30507"/>
      <w:bookmarkStart w:id="94" w:name="_Toc13154"/>
      <w:bookmarkStart w:id="95" w:name="_Toc16163"/>
      <w:bookmarkStart w:id="96" w:name="_Toc13467"/>
      <w:bookmarkStart w:id="97" w:name="_Toc18990"/>
      <w:r>
        <w:rPr>
          <w:rFonts w:ascii="宋体" w:hAnsi="宋体" w:eastAsia="宋体"/>
          <w:b/>
          <w:color w:val="auto"/>
          <w:sz w:val="24"/>
          <w:highlight w:val="none"/>
        </w:rPr>
        <w:t>2.6 技术资料和保密义务</w:t>
      </w:r>
      <w:bookmarkEnd w:id="93"/>
      <w:bookmarkEnd w:id="94"/>
      <w:bookmarkEnd w:id="95"/>
      <w:bookmarkEnd w:id="96"/>
      <w:bookmarkEnd w:id="97"/>
    </w:p>
    <w:p w14:paraId="6CA10F2C">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2.6.1 乙方有权依据合同约定和项目需要，向甲方了解有关情况，调阅有关资料等，甲方应予积极配合；</w:t>
      </w:r>
    </w:p>
    <w:p w14:paraId="1A2F24A2">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2.6.2 </w:t>
      </w:r>
      <w:r>
        <w:rPr>
          <w:rFonts w:hint="eastAsia" w:ascii="宋体" w:hAnsi="宋体" w:eastAsia="宋体"/>
          <w:color w:val="auto"/>
          <w:sz w:val="24"/>
          <w:highlight w:val="none"/>
        </w:rPr>
        <w:t>乙方有义务妥善保管和保护由甲方提供的前款信息和资料等；</w:t>
      </w:r>
    </w:p>
    <w:p w14:paraId="0620C4FB">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2.6.3 </w:t>
      </w:r>
      <w:r>
        <w:rPr>
          <w:rFonts w:hint="eastAsia" w:ascii="宋体" w:hAnsi="宋体" w:eastAsia="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highlight w:val="none"/>
        </w:rPr>
        <w:t>技术情报</w:t>
      </w:r>
      <w:r>
        <w:rPr>
          <w:rFonts w:hint="eastAsia" w:ascii="宋体" w:hAnsi="宋体" w:eastAsia="宋体"/>
          <w:color w:val="auto"/>
          <w:sz w:val="24"/>
          <w:highlight w:val="none"/>
        </w:rPr>
        <w:t>、</w:t>
      </w:r>
      <w:r>
        <w:rPr>
          <w:rFonts w:ascii="宋体" w:hAnsi="宋体" w:eastAsia="宋体"/>
          <w:color w:val="auto"/>
          <w:sz w:val="24"/>
          <w:highlight w:val="none"/>
        </w:rPr>
        <w:t>技术资料</w:t>
      </w:r>
      <w:r>
        <w:rPr>
          <w:rFonts w:hint="eastAsia" w:ascii="宋体" w:hAnsi="宋体" w:eastAsia="宋体"/>
          <w:color w:val="auto"/>
          <w:sz w:val="24"/>
          <w:highlight w:val="none"/>
        </w:rPr>
        <w:t>、商业秘密和商业信息等，并采取一切合理和必要措施和方式防止任何第三方接触到对方当事人的上述保密信息和资料。</w:t>
      </w:r>
    </w:p>
    <w:p w14:paraId="7B829B03">
      <w:pPr>
        <w:spacing w:line="360" w:lineRule="auto"/>
        <w:ind w:firstLine="482" w:firstLineChars="200"/>
        <w:outlineLvl w:val="0"/>
        <w:rPr>
          <w:rFonts w:ascii="宋体" w:hAnsi="宋体" w:eastAsia="宋体"/>
          <w:b/>
          <w:color w:val="auto"/>
          <w:sz w:val="24"/>
          <w:highlight w:val="none"/>
        </w:rPr>
      </w:pPr>
      <w:bookmarkStart w:id="98" w:name="_Toc19069"/>
      <w:r>
        <w:rPr>
          <w:rFonts w:ascii="宋体" w:hAnsi="宋体" w:eastAsia="宋体"/>
          <w:b/>
          <w:color w:val="auto"/>
          <w:sz w:val="24"/>
          <w:highlight w:val="none"/>
        </w:rPr>
        <w:t xml:space="preserve">2.7 </w:t>
      </w:r>
      <w:r>
        <w:rPr>
          <w:rFonts w:hint="eastAsia" w:ascii="宋体" w:hAnsi="宋体" w:eastAsia="宋体"/>
          <w:b/>
          <w:color w:val="auto"/>
          <w:sz w:val="24"/>
          <w:highlight w:val="none"/>
        </w:rPr>
        <w:t>质量保证</w:t>
      </w:r>
      <w:bookmarkEnd w:id="98"/>
    </w:p>
    <w:p w14:paraId="4A4B43E6">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2.7.1 </w:t>
      </w:r>
      <w:r>
        <w:rPr>
          <w:rFonts w:hint="eastAsia" w:ascii="宋体" w:hAnsi="宋体" w:eastAsia="宋体"/>
          <w:color w:val="auto"/>
          <w:sz w:val="24"/>
          <w:highlight w:val="none"/>
        </w:rPr>
        <w:t>乙方应建立和完善履行合同的内部质量保证体系，并提供相关内部规章制度给甲方，以便甲方进行监督检查；</w:t>
      </w:r>
    </w:p>
    <w:p w14:paraId="1B0F1345">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2.7.2 </w:t>
      </w:r>
      <w:r>
        <w:rPr>
          <w:rFonts w:hint="eastAsia" w:ascii="宋体" w:hAnsi="宋体" w:eastAsia="宋体"/>
          <w:color w:val="auto"/>
          <w:sz w:val="24"/>
          <w:highlight w:val="none"/>
        </w:rPr>
        <w:t>乙方应保证履行合同的人员数量和素质、软件和硬件设备的配置、场地、环境和设施等满足全面履行合同的要求，并应接受甲方的监督检查。</w:t>
      </w:r>
    </w:p>
    <w:p w14:paraId="55E01D21">
      <w:pPr>
        <w:spacing w:line="360" w:lineRule="auto"/>
        <w:ind w:firstLine="482" w:firstLineChars="200"/>
        <w:outlineLvl w:val="0"/>
        <w:rPr>
          <w:rFonts w:ascii="宋体" w:hAnsi="宋体" w:eastAsia="宋体"/>
          <w:b/>
          <w:color w:val="auto"/>
          <w:sz w:val="24"/>
          <w:highlight w:val="none"/>
        </w:rPr>
      </w:pPr>
      <w:bookmarkStart w:id="99" w:name="_Toc22267"/>
      <w:r>
        <w:rPr>
          <w:rFonts w:ascii="宋体" w:hAnsi="宋体" w:eastAsia="宋体"/>
          <w:b/>
          <w:color w:val="auto"/>
          <w:sz w:val="24"/>
          <w:highlight w:val="none"/>
        </w:rPr>
        <w:t xml:space="preserve">2.8 </w:t>
      </w:r>
      <w:r>
        <w:rPr>
          <w:rFonts w:hint="eastAsia" w:ascii="宋体" w:hAnsi="宋体" w:eastAsia="宋体"/>
          <w:b/>
          <w:color w:val="auto"/>
          <w:sz w:val="24"/>
          <w:highlight w:val="none"/>
        </w:rPr>
        <w:t>延迟履行</w:t>
      </w:r>
      <w:bookmarkEnd w:id="99"/>
    </w:p>
    <w:p w14:paraId="4B9F6429">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在合同履行过程中，如果乙方遇到不能按时</w:t>
      </w:r>
      <w:r>
        <w:rPr>
          <w:rFonts w:hint="eastAsia" w:ascii="宋体" w:hAnsi="宋体" w:eastAsia="宋体"/>
          <w:color w:val="auto"/>
          <w:sz w:val="24"/>
          <w:highlight w:val="none"/>
        </w:rPr>
        <w:t>提供服务</w:t>
      </w:r>
      <w:r>
        <w:rPr>
          <w:rFonts w:ascii="宋体" w:hAnsi="宋体" w:eastAsia="宋体"/>
          <w:color w:val="auto"/>
          <w:sz w:val="24"/>
          <w:highlight w:val="none"/>
        </w:rPr>
        <w:t>的情况，应及时以书面形式将不能按时</w:t>
      </w:r>
      <w:r>
        <w:rPr>
          <w:rFonts w:hint="eastAsia" w:ascii="宋体" w:hAnsi="宋体" w:eastAsia="宋体"/>
          <w:color w:val="auto"/>
          <w:sz w:val="24"/>
          <w:highlight w:val="none"/>
        </w:rPr>
        <w:t>提供服务</w:t>
      </w:r>
      <w:r>
        <w:rPr>
          <w:rFonts w:ascii="宋体" w:hAnsi="宋体" w:eastAsia="宋体"/>
          <w:color w:val="auto"/>
          <w:sz w:val="24"/>
          <w:highlight w:val="none"/>
        </w:rPr>
        <w:t>的理由、预期延误时间通知甲方</w:t>
      </w:r>
      <w:r>
        <w:rPr>
          <w:rFonts w:hint="eastAsia" w:ascii="宋体" w:hAnsi="宋体" w:eastAsia="宋体"/>
          <w:color w:val="auto"/>
          <w:sz w:val="24"/>
          <w:highlight w:val="none"/>
        </w:rPr>
        <w:t>；甲</w:t>
      </w:r>
      <w:r>
        <w:rPr>
          <w:rFonts w:ascii="宋体" w:hAnsi="宋体" w:eastAsia="宋体"/>
          <w:color w:val="auto"/>
          <w:sz w:val="24"/>
          <w:highlight w:val="none"/>
        </w:rPr>
        <w:t>方收到乙方通知后，认为其理由正当的，可以书面形式酌情同意乙方可以延长</w:t>
      </w:r>
      <w:r>
        <w:rPr>
          <w:rFonts w:hint="eastAsia" w:ascii="宋体" w:hAnsi="宋体" w:eastAsia="宋体"/>
          <w:color w:val="auto"/>
          <w:sz w:val="24"/>
          <w:highlight w:val="none"/>
        </w:rPr>
        <w:t>履行</w:t>
      </w:r>
      <w:r>
        <w:rPr>
          <w:rFonts w:ascii="宋体" w:hAnsi="宋体" w:eastAsia="宋体"/>
          <w:color w:val="auto"/>
          <w:sz w:val="24"/>
          <w:highlight w:val="none"/>
        </w:rPr>
        <w:t>的具体时间。</w:t>
      </w:r>
    </w:p>
    <w:p w14:paraId="56978CF5">
      <w:pPr>
        <w:spacing w:line="360" w:lineRule="auto"/>
        <w:ind w:firstLine="482" w:firstLineChars="200"/>
        <w:outlineLvl w:val="0"/>
        <w:rPr>
          <w:rFonts w:ascii="宋体" w:hAnsi="宋体" w:eastAsia="宋体"/>
          <w:b/>
          <w:color w:val="auto"/>
          <w:sz w:val="24"/>
          <w:highlight w:val="none"/>
        </w:rPr>
      </w:pPr>
      <w:bookmarkStart w:id="100" w:name="_Toc10611"/>
      <w:r>
        <w:rPr>
          <w:rFonts w:ascii="宋体" w:hAnsi="宋体" w:eastAsia="宋体"/>
          <w:b/>
          <w:color w:val="auto"/>
          <w:sz w:val="24"/>
          <w:highlight w:val="none"/>
        </w:rPr>
        <w:t xml:space="preserve">2.9 </w:t>
      </w:r>
      <w:r>
        <w:rPr>
          <w:rFonts w:hint="eastAsia" w:ascii="宋体" w:hAnsi="宋体" w:eastAsia="宋体"/>
          <w:b/>
          <w:color w:val="auto"/>
          <w:sz w:val="24"/>
          <w:highlight w:val="none"/>
        </w:rPr>
        <w:t>合同变更</w:t>
      </w:r>
      <w:bookmarkEnd w:id="100"/>
    </w:p>
    <w:p w14:paraId="6E11DDE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2166D0C">
      <w:pPr>
        <w:spacing w:line="360" w:lineRule="auto"/>
        <w:ind w:firstLine="482" w:firstLineChars="200"/>
        <w:outlineLvl w:val="0"/>
        <w:rPr>
          <w:rFonts w:ascii="宋体" w:hAnsi="宋体" w:eastAsia="宋体"/>
          <w:b/>
          <w:color w:val="auto"/>
          <w:sz w:val="24"/>
          <w:highlight w:val="none"/>
        </w:rPr>
      </w:pPr>
      <w:bookmarkStart w:id="101" w:name="_Toc42"/>
      <w:bookmarkStart w:id="102" w:name="_Toc21830"/>
      <w:bookmarkStart w:id="103" w:name="_Toc10663"/>
      <w:bookmarkStart w:id="104" w:name="_Toc23368"/>
      <w:bookmarkStart w:id="105" w:name="_Toc26689"/>
      <w:r>
        <w:rPr>
          <w:rFonts w:ascii="宋体" w:hAnsi="宋体" w:eastAsia="宋体"/>
          <w:b/>
          <w:color w:val="auto"/>
          <w:sz w:val="24"/>
          <w:highlight w:val="none"/>
        </w:rPr>
        <w:t>2.10 合同转让和分包</w:t>
      </w:r>
      <w:bookmarkEnd w:id="101"/>
      <w:bookmarkEnd w:id="102"/>
      <w:bookmarkEnd w:id="103"/>
      <w:bookmarkEnd w:id="104"/>
      <w:bookmarkEnd w:id="105"/>
    </w:p>
    <w:p w14:paraId="67341FA8">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合同的权利义务依法不</w:t>
      </w:r>
      <w:r>
        <w:rPr>
          <w:rFonts w:hint="eastAsia" w:ascii="宋体" w:hAnsi="宋体" w:eastAsia="宋体"/>
          <w:color w:val="auto"/>
          <w:sz w:val="24"/>
          <w:highlight w:val="none"/>
        </w:rPr>
        <w:t>得</w:t>
      </w:r>
      <w:r>
        <w:rPr>
          <w:rFonts w:ascii="宋体" w:hAnsi="宋体" w:eastAsia="宋体"/>
          <w:color w:val="auto"/>
          <w:sz w:val="24"/>
          <w:highlight w:val="none"/>
        </w:rPr>
        <w:t>转让</w:t>
      </w:r>
      <w:r>
        <w:rPr>
          <w:rFonts w:hint="eastAsia" w:ascii="宋体" w:hAnsi="宋体" w:eastAsia="宋体"/>
          <w:color w:val="auto"/>
          <w:sz w:val="24"/>
          <w:highlight w:val="none"/>
        </w:rPr>
        <w:t>，</w:t>
      </w:r>
      <w:r>
        <w:rPr>
          <w:rFonts w:ascii="宋体" w:hAnsi="宋体" w:eastAsia="宋体"/>
          <w:color w:val="auto"/>
          <w:sz w:val="24"/>
          <w:highlight w:val="none"/>
        </w:rPr>
        <w:t>但经甲方</w:t>
      </w:r>
      <w:r>
        <w:rPr>
          <w:rFonts w:hint="eastAsia" w:ascii="宋体" w:hAnsi="宋体" w:eastAsia="宋体"/>
          <w:color w:val="auto"/>
          <w:sz w:val="24"/>
          <w:highlight w:val="none"/>
        </w:rPr>
        <w:t>同意，乙方可以依法采取分包方式履行合同，即：依法可以</w:t>
      </w:r>
      <w:r>
        <w:rPr>
          <w:rFonts w:ascii="宋体" w:hAnsi="宋体" w:eastAsia="宋体"/>
          <w:color w:val="auto"/>
          <w:sz w:val="24"/>
          <w:highlight w:val="none"/>
        </w:rPr>
        <w:t>将合同项下的部分非主体、非关键性工作分包给他人完成</w:t>
      </w:r>
      <w:r>
        <w:rPr>
          <w:rFonts w:hint="eastAsia" w:ascii="宋体" w:hAnsi="宋体" w:eastAsia="宋体"/>
          <w:color w:val="auto"/>
          <w:sz w:val="24"/>
          <w:highlight w:val="none"/>
        </w:rPr>
        <w:t>，</w:t>
      </w:r>
      <w:r>
        <w:rPr>
          <w:rFonts w:ascii="宋体" w:hAnsi="宋体" w:eastAsia="宋体"/>
          <w:color w:val="auto"/>
          <w:sz w:val="24"/>
          <w:highlight w:val="none"/>
        </w:rPr>
        <w:t>接受分包的人应当具备相应的资格条件，并不得再次分包</w:t>
      </w:r>
      <w:r>
        <w:rPr>
          <w:rFonts w:hint="eastAsia" w:ascii="宋体" w:hAnsi="宋体" w:eastAsia="宋体"/>
          <w:color w:val="auto"/>
          <w:sz w:val="24"/>
          <w:highlight w:val="none"/>
        </w:rPr>
        <w:t>，</w:t>
      </w:r>
      <w:r>
        <w:rPr>
          <w:rFonts w:ascii="宋体" w:hAnsi="宋体" w:eastAsia="宋体"/>
          <w:color w:val="auto"/>
          <w:sz w:val="24"/>
          <w:highlight w:val="none"/>
        </w:rPr>
        <w:t>且乙方应就分包项目向甲方负责</w:t>
      </w:r>
      <w:r>
        <w:rPr>
          <w:rFonts w:hint="eastAsia" w:ascii="宋体" w:hAnsi="宋体" w:eastAsia="宋体"/>
          <w:color w:val="auto"/>
          <w:sz w:val="24"/>
          <w:highlight w:val="none"/>
        </w:rPr>
        <w:t>，</w:t>
      </w:r>
      <w:r>
        <w:rPr>
          <w:rFonts w:ascii="宋体" w:hAnsi="宋体" w:eastAsia="宋体"/>
          <w:color w:val="auto"/>
          <w:sz w:val="24"/>
          <w:highlight w:val="none"/>
        </w:rPr>
        <w:t>并</w:t>
      </w:r>
      <w:r>
        <w:rPr>
          <w:rFonts w:hint="eastAsia" w:ascii="宋体" w:hAnsi="宋体" w:eastAsia="宋体"/>
          <w:color w:val="auto"/>
          <w:sz w:val="24"/>
          <w:highlight w:val="none"/>
        </w:rPr>
        <w:t>与分包供应商就分包项目向甲方承担连带责任。</w:t>
      </w:r>
    </w:p>
    <w:p w14:paraId="3705BBF9">
      <w:pPr>
        <w:spacing w:line="360" w:lineRule="auto"/>
        <w:ind w:firstLine="482" w:firstLineChars="200"/>
        <w:outlineLvl w:val="0"/>
        <w:rPr>
          <w:rFonts w:ascii="宋体" w:hAnsi="宋体" w:eastAsia="宋体"/>
          <w:b/>
          <w:color w:val="auto"/>
          <w:sz w:val="24"/>
          <w:highlight w:val="none"/>
        </w:rPr>
      </w:pPr>
      <w:bookmarkStart w:id="106" w:name="_Toc4720"/>
      <w:bookmarkStart w:id="107" w:name="_Toc25571"/>
      <w:bookmarkStart w:id="108" w:name="_Toc32494"/>
      <w:bookmarkStart w:id="109" w:name="_Toc26633"/>
      <w:bookmarkStart w:id="110" w:name="_Toc14371"/>
      <w:r>
        <w:rPr>
          <w:rFonts w:ascii="宋体" w:hAnsi="宋体" w:eastAsia="宋体"/>
          <w:b/>
          <w:color w:val="auto"/>
          <w:sz w:val="24"/>
          <w:highlight w:val="none"/>
        </w:rPr>
        <w:t>2.11 不可抗力</w:t>
      </w:r>
      <w:bookmarkEnd w:id="106"/>
      <w:bookmarkEnd w:id="107"/>
      <w:bookmarkEnd w:id="108"/>
      <w:bookmarkEnd w:id="109"/>
      <w:bookmarkEnd w:id="110"/>
    </w:p>
    <w:p w14:paraId="3C4F2974">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highlight w:val="none"/>
        </w:rPr>
        <w:t>；</w:t>
      </w:r>
    </w:p>
    <w:p w14:paraId="52F0C061">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2.11.2 </w:t>
      </w:r>
      <w:r>
        <w:rPr>
          <w:rFonts w:hint="eastAsia" w:ascii="宋体" w:hAnsi="宋体" w:eastAsia="宋体"/>
          <w:color w:val="auto"/>
          <w:sz w:val="24"/>
          <w:highlight w:val="none"/>
        </w:rPr>
        <w:t>因不可抗力致使不能实现合同目的的，当事人可以解除合同；</w:t>
      </w:r>
    </w:p>
    <w:p w14:paraId="6CEFB7E4">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2.11.3 </w:t>
      </w:r>
      <w:r>
        <w:rPr>
          <w:rFonts w:hint="eastAsia" w:ascii="宋体" w:hAnsi="宋体" w:eastAsia="宋体"/>
          <w:color w:val="auto"/>
          <w:sz w:val="24"/>
          <w:highlight w:val="none"/>
        </w:rPr>
        <w:t>因</w:t>
      </w:r>
      <w:r>
        <w:rPr>
          <w:rFonts w:ascii="宋体" w:hAnsi="宋体" w:eastAsia="宋体"/>
          <w:color w:val="auto"/>
          <w:sz w:val="24"/>
          <w:highlight w:val="none"/>
        </w:rPr>
        <w:t>不可抗力致使合同有变更必要的，双方当事人应在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约定时间内以书面形式变更合同</w:t>
      </w:r>
      <w:r>
        <w:rPr>
          <w:rFonts w:hint="eastAsia" w:ascii="宋体" w:hAnsi="宋体" w:eastAsia="宋体"/>
          <w:color w:val="auto"/>
          <w:sz w:val="24"/>
          <w:highlight w:val="none"/>
        </w:rPr>
        <w:t>；</w:t>
      </w:r>
    </w:p>
    <w:p w14:paraId="2EE36A4A">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2.11.4受</w:t>
      </w:r>
      <w:r>
        <w:rPr>
          <w:rFonts w:hint="eastAsia" w:ascii="宋体" w:hAnsi="宋体" w:eastAsia="宋体"/>
          <w:color w:val="auto"/>
          <w:sz w:val="24"/>
          <w:highlight w:val="none"/>
        </w:rPr>
        <w:t>不可抗力</w:t>
      </w:r>
      <w:r>
        <w:rPr>
          <w:rFonts w:ascii="宋体" w:hAnsi="宋体" w:eastAsia="宋体"/>
          <w:color w:val="auto"/>
          <w:sz w:val="24"/>
          <w:highlight w:val="none"/>
        </w:rPr>
        <w:t>影响的一方在不可抗力发生后</w:t>
      </w:r>
      <w:r>
        <w:rPr>
          <w:rFonts w:hint="eastAsia" w:ascii="宋体" w:hAnsi="宋体" w:eastAsia="宋体"/>
          <w:color w:val="auto"/>
          <w:sz w:val="24"/>
          <w:highlight w:val="none"/>
        </w:rPr>
        <w:t>，</w:t>
      </w:r>
      <w:r>
        <w:rPr>
          <w:rFonts w:ascii="宋体" w:hAnsi="宋体" w:eastAsia="宋体"/>
          <w:color w:val="auto"/>
          <w:sz w:val="24"/>
          <w:highlight w:val="none"/>
        </w:rPr>
        <w:t>应在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约定时间内以书面形式通知</w:t>
      </w:r>
      <w:r>
        <w:rPr>
          <w:rFonts w:hint="eastAsia" w:ascii="宋体" w:hAnsi="宋体" w:eastAsia="宋体"/>
          <w:color w:val="auto"/>
          <w:sz w:val="24"/>
          <w:highlight w:val="none"/>
        </w:rPr>
        <w:t>对</w:t>
      </w:r>
      <w:r>
        <w:rPr>
          <w:rFonts w:ascii="宋体" w:hAnsi="宋体" w:eastAsia="宋体"/>
          <w:color w:val="auto"/>
          <w:sz w:val="24"/>
          <w:highlight w:val="none"/>
        </w:rPr>
        <w:t>方当事人，并在</w:t>
      </w:r>
      <w:r>
        <w:rPr>
          <w:rFonts w:ascii="宋体" w:hAnsi="宋体" w:eastAsia="宋体"/>
          <w:b/>
          <w:i/>
          <w:color w:val="auto"/>
          <w:sz w:val="24"/>
          <w:highlight w:val="none"/>
          <w:u w:val="single"/>
        </w:rPr>
        <w:t>合同专用条款</w:t>
      </w:r>
      <w:r>
        <w:rPr>
          <w:rFonts w:ascii="宋体" w:hAnsi="宋体" w:eastAsia="宋体"/>
          <w:color w:val="auto"/>
          <w:sz w:val="24"/>
          <w:highlight w:val="none"/>
        </w:rPr>
        <w:t>约定时间内，将有关部门出具的证明文件送达</w:t>
      </w:r>
      <w:r>
        <w:rPr>
          <w:rFonts w:hint="eastAsia" w:ascii="宋体" w:hAnsi="宋体" w:eastAsia="宋体"/>
          <w:color w:val="auto"/>
          <w:sz w:val="24"/>
          <w:highlight w:val="none"/>
        </w:rPr>
        <w:t>对方当事人</w:t>
      </w:r>
      <w:r>
        <w:rPr>
          <w:rFonts w:ascii="宋体" w:hAnsi="宋体" w:eastAsia="宋体"/>
          <w:color w:val="auto"/>
          <w:sz w:val="24"/>
          <w:highlight w:val="none"/>
        </w:rPr>
        <w:t>。</w:t>
      </w:r>
    </w:p>
    <w:p w14:paraId="3035E333">
      <w:pPr>
        <w:spacing w:line="360" w:lineRule="auto"/>
        <w:ind w:firstLine="482" w:firstLineChars="200"/>
        <w:outlineLvl w:val="0"/>
        <w:rPr>
          <w:rFonts w:ascii="宋体" w:hAnsi="宋体" w:eastAsia="宋体"/>
          <w:b/>
          <w:color w:val="auto"/>
          <w:sz w:val="24"/>
          <w:highlight w:val="none"/>
        </w:rPr>
      </w:pPr>
      <w:bookmarkStart w:id="111" w:name="_Toc23854"/>
      <w:bookmarkStart w:id="112" w:name="_Toc24465"/>
      <w:bookmarkStart w:id="113" w:name="_Toc25783"/>
      <w:bookmarkStart w:id="114" w:name="_Toc3638"/>
      <w:bookmarkStart w:id="115" w:name="_Toc14115"/>
      <w:r>
        <w:rPr>
          <w:rFonts w:ascii="宋体" w:hAnsi="宋体" w:eastAsia="宋体"/>
          <w:b/>
          <w:color w:val="auto"/>
          <w:sz w:val="24"/>
          <w:highlight w:val="none"/>
        </w:rPr>
        <w:t>2.12 税费</w:t>
      </w:r>
      <w:bookmarkEnd w:id="111"/>
      <w:bookmarkEnd w:id="112"/>
      <w:bookmarkEnd w:id="113"/>
      <w:bookmarkEnd w:id="114"/>
      <w:bookmarkEnd w:id="115"/>
    </w:p>
    <w:p w14:paraId="2091B733">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与合同有关的一切税费</w:t>
      </w:r>
      <w:r>
        <w:rPr>
          <w:rFonts w:hint="eastAsia" w:ascii="宋体" w:hAnsi="宋体" w:eastAsia="宋体"/>
          <w:color w:val="auto"/>
          <w:sz w:val="24"/>
          <w:highlight w:val="none"/>
        </w:rPr>
        <w:t>，</w:t>
      </w:r>
      <w:r>
        <w:rPr>
          <w:rFonts w:ascii="宋体" w:hAnsi="宋体" w:eastAsia="宋体"/>
          <w:color w:val="auto"/>
          <w:sz w:val="24"/>
          <w:highlight w:val="none"/>
        </w:rPr>
        <w:t>均按照中华人民共和国法律的相关规定缴纳。</w:t>
      </w:r>
    </w:p>
    <w:p w14:paraId="6599BDF6">
      <w:pPr>
        <w:spacing w:line="360" w:lineRule="auto"/>
        <w:ind w:firstLine="482" w:firstLineChars="200"/>
        <w:outlineLvl w:val="0"/>
        <w:rPr>
          <w:rFonts w:ascii="宋体" w:hAnsi="宋体" w:eastAsia="宋体"/>
          <w:b/>
          <w:color w:val="auto"/>
          <w:sz w:val="24"/>
          <w:highlight w:val="none"/>
        </w:rPr>
      </w:pPr>
      <w:bookmarkStart w:id="116" w:name="_Toc7315"/>
      <w:bookmarkStart w:id="117" w:name="_Toc25525"/>
      <w:bookmarkStart w:id="118" w:name="_Toc14814"/>
      <w:bookmarkStart w:id="119" w:name="_Toc30105"/>
      <w:bookmarkStart w:id="120" w:name="_Toc26883"/>
      <w:r>
        <w:rPr>
          <w:rFonts w:ascii="宋体" w:hAnsi="宋体" w:eastAsia="宋体"/>
          <w:b/>
          <w:color w:val="auto"/>
          <w:sz w:val="24"/>
          <w:highlight w:val="none"/>
        </w:rPr>
        <w:t>2.13 乙方破产</w:t>
      </w:r>
      <w:bookmarkEnd w:id="116"/>
      <w:bookmarkEnd w:id="117"/>
      <w:bookmarkEnd w:id="118"/>
      <w:bookmarkEnd w:id="119"/>
      <w:bookmarkEnd w:id="120"/>
    </w:p>
    <w:p w14:paraId="06E9ED59">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如果乙方破产导致合同无法履行时，甲方可以书面形式通知乙方终止合同且不给予乙方任何补偿和赔偿</w:t>
      </w:r>
      <w:r>
        <w:rPr>
          <w:rFonts w:hint="eastAsia" w:ascii="宋体" w:hAnsi="宋体" w:eastAsia="宋体"/>
          <w:color w:val="auto"/>
          <w:sz w:val="24"/>
          <w:highlight w:val="none"/>
        </w:rPr>
        <w:t>，但合同的</w:t>
      </w:r>
      <w:r>
        <w:rPr>
          <w:rFonts w:ascii="宋体" w:hAnsi="宋体" w:eastAsia="宋体"/>
          <w:color w:val="auto"/>
          <w:sz w:val="24"/>
          <w:highlight w:val="none"/>
        </w:rPr>
        <w:t>终止不损害或不影响甲方已经采取或将要采取的任何要求乙方支付违约金</w:t>
      </w:r>
      <w:r>
        <w:rPr>
          <w:rFonts w:hint="eastAsia" w:ascii="宋体" w:hAnsi="宋体" w:eastAsia="宋体"/>
          <w:color w:val="auto"/>
          <w:sz w:val="24"/>
          <w:highlight w:val="none"/>
        </w:rPr>
        <w:t>、</w:t>
      </w:r>
      <w:r>
        <w:rPr>
          <w:rFonts w:ascii="宋体" w:hAnsi="宋体" w:eastAsia="宋体"/>
          <w:color w:val="auto"/>
          <w:sz w:val="24"/>
          <w:highlight w:val="none"/>
        </w:rPr>
        <w:t>赔偿损失等的行动或补救措施的权利</w:t>
      </w:r>
      <w:r>
        <w:rPr>
          <w:rFonts w:hint="eastAsia" w:ascii="宋体" w:hAnsi="宋体" w:eastAsia="宋体"/>
          <w:color w:val="auto"/>
          <w:sz w:val="24"/>
          <w:highlight w:val="none"/>
        </w:rPr>
        <w:t>。</w:t>
      </w:r>
    </w:p>
    <w:p w14:paraId="379C23BB">
      <w:pPr>
        <w:spacing w:line="360" w:lineRule="auto"/>
        <w:ind w:firstLine="482" w:firstLineChars="200"/>
        <w:outlineLvl w:val="0"/>
        <w:rPr>
          <w:rFonts w:ascii="宋体" w:hAnsi="宋体" w:eastAsia="宋体"/>
          <w:b/>
          <w:color w:val="auto"/>
          <w:sz w:val="24"/>
          <w:highlight w:val="none"/>
        </w:rPr>
      </w:pPr>
      <w:bookmarkStart w:id="121" w:name="_Toc23323"/>
      <w:bookmarkStart w:id="122" w:name="_Toc1123"/>
      <w:bookmarkStart w:id="123" w:name="_Toc2016"/>
      <w:r>
        <w:rPr>
          <w:rFonts w:ascii="宋体" w:hAnsi="宋体" w:eastAsia="宋体"/>
          <w:b/>
          <w:color w:val="auto"/>
          <w:sz w:val="24"/>
          <w:highlight w:val="none"/>
        </w:rPr>
        <w:t>2.14 合同中止、终止</w:t>
      </w:r>
      <w:bookmarkEnd w:id="121"/>
      <w:bookmarkEnd w:id="122"/>
      <w:bookmarkEnd w:id="123"/>
    </w:p>
    <w:p w14:paraId="65CFC5EF">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2.14.1 </w:t>
      </w:r>
      <w:r>
        <w:rPr>
          <w:rFonts w:hint="eastAsia" w:ascii="宋体" w:hAnsi="宋体" w:eastAsia="宋体"/>
          <w:color w:val="auto"/>
          <w:sz w:val="24"/>
          <w:highlight w:val="none"/>
        </w:rPr>
        <w:t>双方当事人不得擅自中止或者终止合同；</w:t>
      </w:r>
    </w:p>
    <w:p w14:paraId="4BCEA4F4">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1580FED">
      <w:pPr>
        <w:spacing w:line="360" w:lineRule="auto"/>
        <w:ind w:firstLine="482" w:firstLineChars="200"/>
        <w:outlineLvl w:val="0"/>
        <w:rPr>
          <w:rFonts w:ascii="宋体" w:hAnsi="宋体" w:eastAsia="宋体"/>
          <w:b/>
          <w:color w:val="auto"/>
          <w:sz w:val="24"/>
          <w:highlight w:val="none"/>
        </w:rPr>
      </w:pPr>
      <w:bookmarkStart w:id="124" w:name="_Toc1969"/>
      <w:bookmarkStart w:id="125" w:name="_Toc14525"/>
      <w:bookmarkStart w:id="126" w:name="_Toc17363"/>
      <w:r>
        <w:rPr>
          <w:rFonts w:ascii="宋体" w:hAnsi="宋体" w:eastAsia="宋体"/>
          <w:b/>
          <w:color w:val="auto"/>
          <w:sz w:val="24"/>
          <w:highlight w:val="none"/>
        </w:rPr>
        <w:t>2.15 检验和验收</w:t>
      </w:r>
      <w:bookmarkEnd w:id="124"/>
      <w:bookmarkEnd w:id="125"/>
      <w:bookmarkEnd w:id="126"/>
    </w:p>
    <w:p w14:paraId="5DF5187A">
      <w:pPr>
        <w:tabs>
          <w:tab w:val="left" w:pos="360"/>
          <w:tab w:val="left" w:pos="540"/>
          <w:tab w:val="left" w:pos="1080"/>
        </w:tabs>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2.15.1 </w:t>
      </w:r>
      <w:r>
        <w:rPr>
          <w:rFonts w:hint="eastAsia" w:ascii="宋体" w:hAnsi="宋体" w:eastAsia="宋体"/>
          <w:color w:val="auto"/>
          <w:sz w:val="24"/>
          <w:highlight w:val="none"/>
        </w:rPr>
        <w:t>乙方按照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w:t>
      </w:r>
      <w:r>
        <w:rPr>
          <w:rFonts w:hint="eastAsia" w:ascii="宋体" w:hAnsi="宋体" w:eastAsia="宋体"/>
          <w:color w:val="auto"/>
          <w:sz w:val="24"/>
          <w:highlight w:val="none"/>
        </w:rPr>
        <w:t>，</w:t>
      </w:r>
      <w:r>
        <w:rPr>
          <w:rFonts w:ascii="宋体" w:hAnsi="宋体" w:eastAsia="宋体"/>
          <w:color w:val="auto"/>
          <w:sz w:val="24"/>
          <w:highlight w:val="none"/>
        </w:rPr>
        <w:t>定期提交服务报告</w:t>
      </w:r>
      <w:r>
        <w:rPr>
          <w:rFonts w:hint="eastAsia" w:ascii="宋体" w:hAnsi="宋体" w:eastAsia="宋体"/>
          <w:color w:val="auto"/>
          <w:sz w:val="24"/>
          <w:highlight w:val="none"/>
        </w:rPr>
        <w:t>，甲方按照</w:t>
      </w:r>
      <w:r>
        <w:rPr>
          <w:rFonts w:ascii="宋体" w:hAnsi="宋体" w:eastAsia="宋体"/>
          <w:b/>
          <w:i/>
          <w:color w:val="auto"/>
          <w:sz w:val="24"/>
          <w:highlight w:val="none"/>
          <w:u w:val="single"/>
        </w:rPr>
        <w:t>合同专用条款</w:t>
      </w:r>
      <w:r>
        <w:rPr>
          <w:rFonts w:ascii="宋体" w:hAnsi="宋体" w:eastAsia="宋体"/>
          <w:color w:val="auto"/>
          <w:sz w:val="24"/>
          <w:highlight w:val="none"/>
        </w:rPr>
        <w:t>的约定进行定期验收</w:t>
      </w:r>
      <w:r>
        <w:rPr>
          <w:rFonts w:hint="eastAsia" w:ascii="宋体" w:hAnsi="宋体" w:eastAsia="宋体"/>
          <w:color w:val="auto"/>
          <w:sz w:val="24"/>
          <w:highlight w:val="none"/>
        </w:rPr>
        <w:t>；</w:t>
      </w:r>
    </w:p>
    <w:p w14:paraId="39411639">
      <w:pPr>
        <w:tabs>
          <w:tab w:val="left" w:pos="360"/>
          <w:tab w:val="left" w:pos="540"/>
          <w:tab w:val="left" w:pos="1080"/>
        </w:tabs>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2.15.2 </w:t>
      </w:r>
      <w:r>
        <w:rPr>
          <w:rFonts w:hint="eastAsia" w:ascii="宋体" w:hAnsi="宋体" w:eastAsia="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DFBB135">
      <w:pPr>
        <w:tabs>
          <w:tab w:val="left" w:pos="360"/>
          <w:tab w:val="left" w:pos="540"/>
          <w:tab w:val="left" w:pos="1080"/>
        </w:tabs>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2.15.3 </w:t>
      </w:r>
      <w:r>
        <w:rPr>
          <w:rFonts w:hint="eastAsia" w:ascii="宋体" w:hAnsi="宋体" w:eastAsia="宋体"/>
          <w:color w:val="auto"/>
          <w:sz w:val="24"/>
          <w:highlight w:val="none"/>
        </w:rPr>
        <w:t>检验和验收标准、程序等具体内容以及前述验收书的效力详见</w:t>
      </w:r>
      <w:r>
        <w:rPr>
          <w:rFonts w:ascii="宋体" w:hAnsi="宋体" w:eastAsia="宋体"/>
          <w:b/>
          <w:i/>
          <w:color w:val="auto"/>
          <w:sz w:val="24"/>
          <w:highlight w:val="none"/>
          <w:u w:val="single"/>
        </w:rPr>
        <w:t>合同专用条款</w:t>
      </w:r>
      <w:r>
        <w:rPr>
          <w:rFonts w:hint="eastAsia" w:ascii="宋体" w:hAnsi="宋体" w:eastAsia="宋体"/>
          <w:i/>
          <w:color w:val="auto"/>
          <w:sz w:val="24"/>
          <w:highlight w:val="none"/>
        </w:rPr>
        <w:t>。</w:t>
      </w:r>
    </w:p>
    <w:p w14:paraId="260BE5CA">
      <w:pPr>
        <w:spacing w:line="360" w:lineRule="auto"/>
        <w:ind w:firstLine="482" w:firstLineChars="200"/>
        <w:outlineLvl w:val="0"/>
        <w:rPr>
          <w:rFonts w:ascii="宋体" w:hAnsi="宋体" w:eastAsia="宋体"/>
          <w:b/>
          <w:color w:val="auto"/>
          <w:sz w:val="24"/>
          <w:highlight w:val="none"/>
        </w:rPr>
      </w:pPr>
      <w:bookmarkStart w:id="127" w:name="_Toc9808"/>
      <w:bookmarkStart w:id="128" w:name="_Toc31892"/>
      <w:bookmarkStart w:id="129" w:name="_Toc25198"/>
      <w:bookmarkStart w:id="130" w:name="_Toc2308"/>
      <w:bookmarkStart w:id="131" w:name="_Toc12666"/>
      <w:r>
        <w:rPr>
          <w:rFonts w:ascii="宋体" w:hAnsi="宋体" w:eastAsia="宋体"/>
          <w:b/>
          <w:color w:val="auto"/>
          <w:sz w:val="24"/>
          <w:highlight w:val="none"/>
        </w:rPr>
        <w:t>2.16 通知和送达</w:t>
      </w:r>
      <w:bookmarkEnd w:id="127"/>
      <w:bookmarkEnd w:id="128"/>
      <w:bookmarkEnd w:id="129"/>
      <w:bookmarkEnd w:id="130"/>
      <w:bookmarkEnd w:id="131"/>
    </w:p>
    <w:p w14:paraId="44ECE27C">
      <w:pPr>
        <w:spacing w:line="360" w:lineRule="auto"/>
        <w:ind w:firstLine="480" w:firstLineChars="200"/>
        <w:rPr>
          <w:rFonts w:ascii="宋体" w:hAnsi="宋体" w:eastAsia="宋体"/>
          <w:color w:val="auto"/>
          <w:sz w:val="24"/>
          <w:highlight w:val="none"/>
        </w:rPr>
      </w:pPr>
      <w:bookmarkStart w:id="132" w:name="_Toc27674"/>
      <w:bookmarkStart w:id="133" w:name="_Toc18401"/>
      <w:r>
        <w:rPr>
          <w:rFonts w:ascii="宋体" w:hAnsi="宋体" w:eastAsia="宋体"/>
          <w:color w:val="auto"/>
          <w:sz w:val="24"/>
          <w:highlight w:val="none"/>
        </w:rPr>
        <w:t>2.17.1</w:t>
      </w:r>
      <w:r>
        <w:rPr>
          <w:rFonts w:hint="eastAsia" w:ascii="宋体" w:hAnsi="宋体" w:eastAsia="宋体"/>
          <w:color w:val="auto"/>
          <w:sz w:val="24"/>
          <w:highlight w:val="none"/>
        </w:rPr>
        <w:t>任何一方因履行合同而以合同第一部分尾部所列明的传真或电子邮件</w:t>
      </w:r>
      <w:r>
        <w:rPr>
          <w:rFonts w:ascii="宋体" w:hAnsi="宋体" w:eastAsia="宋体"/>
          <w:color w:val="auto"/>
          <w:sz w:val="24"/>
          <w:highlight w:val="non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发出的所有通知、文件、材料，均视为已向对方当事人送达；任何一方变更上述送达方式或者地址的，应于</w:t>
      </w:r>
      <w:r>
        <w:rPr>
          <w:rFonts w:ascii="宋体" w:hAnsi="宋体" w:eastAsia="宋体"/>
          <w:color w:val="auto"/>
          <w:sz w:val="24"/>
          <w:highlight w:val="none"/>
          <w:u w:val="single"/>
        </w:rPr>
        <w:t>3</w:t>
      </w:r>
      <w:r>
        <w:rPr>
          <w:rFonts w:hint="eastAsia" w:ascii="宋体" w:hAnsi="宋体" w:eastAsia="宋体"/>
          <w:color w:val="auto"/>
          <w:sz w:val="24"/>
          <w:highlight w:val="none"/>
        </w:rPr>
        <w:t>个工作日内书面通知对方当事人，在对方当事人收到有关变更通知之前，变更前的约定送达方式或者地址仍视为有效。</w:t>
      </w:r>
    </w:p>
    <w:p w14:paraId="486EE47E">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highlight w:val="none"/>
        </w:rPr>
        <w:t>的，邮件挂号寄出或者交邮之日之次日视为送达。</w:t>
      </w:r>
      <w:bookmarkEnd w:id="132"/>
      <w:bookmarkEnd w:id="133"/>
    </w:p>
    <w:p w14:paraId="73CEE946">
      <w:pPr>
        <w:spacing w:line="360" w:lineRule="auto"/>
        <w:ind w:firstLine="482" w:firstLineChars="200"/>
        <w:outlineLvl w:val="0"/>
        <w:rPr>
          <w:rFonts w:ascii="宋体" w:hAnsi="宋体" w:eastAsia="宋体"/>
          <w:b/>
          <w:color w:val="auto"/>
          <w:sz w:val="24"/>
          <w:highlight w:val="none"/>
        </w:rPr>
      </w:pPr>
      <w:bookmarkStart w:id="134" w:name="_Toc28906"/>
      <w:bookmarkStart w:id="135" w:name="_Toc27644"/>
      <w:bookmarkStart w:id="136" w:name="_Toc20808"/>
      <w:bookmarkStart w:id="137" w:name="_Toc5063"/>
      <w:bookmarkStart w:id="138" w:name="_Toc12254"/>
      <w:r>
        <w:rPr>
          <w:rFonts w:ascii="宋体" w:hAnsi="宋体" w:eastAsia="宋体"/>
          <w:b/>
          <w:color w:val="auto"/>
          <w:sz w:val="24"/>
          <w:highlight w:val="none"/>
        </w:rPr>
        <w:t xml:space="preserve">2.17 </w:t>
      </w:r>
      <w:r>
        <w:rPr>
          <w:rFonts w:hint="eastAsia" w:ascii="宋体" w:hAnsi="宋体" w:eastAsia="宋体"/>
          <w:b/>
          <w:color w:val="auto"/>
          <w:sz w:val="24"/>
          <w:highlight w:val="none"/>
        </w:rPr>
        <w:t>合同使用的文字和</w:t>
      </w:r>
      <w:r>
        <w:rPr>
          <w:rFonts w:ascii="宋体" w:hAnsi="宋体" w:eastAsia="宋体"/>
          <w:b/>
          <w:color w:val="auto"/>
          <w:sz w:val="24"/>
          <w:highlight w:val="none"/>
        </w:rPr>
        <w:t>适用的法律</w:t>
      </w:r>
      <w:bookmarkEnd w:id="134"/>
      <w:bookmarkEnd w:id="135"/>
      <w:bookmarkEnd w:id="136"/>
      <w:bookmarkEnd w:id="137"/>
      <w:bookmarkEnd w:id="138"/>
    </w:p>
    <w:p w14:paraId="12B404F6">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2.17.1 合同使用汉语</w:t>
      </w:r>
      <w:r>
        <w:rPr>
          <w:rFonts w:hint="eastAsia" w:ascii="宋体" w:hAnsi="宋体"/>
          <w:color w:val="auto"/>
          <w:sz w:val="24"/>
          <w:highlight w:val="none"/>
          <w:lang w:eastAsia="zh-CN"/>
        </w:rPr>
        <w:t>书写</w:t>
      </w:r>
      <w:r>
        <w:rPr>
          <w:rFonts w:hint="eastAsia" w:ascii="宋体" w:hAnsi="宋体" w:eastAsia="宋体"/>
          <w:color w:val="auto"/>
          <w:sz w:val="24"/>
          <w:highlight w:val="none"/>
        </w:rPr>
        <w:t>、</w:t>
      </w:r>
      <w:r>
        <w:rPr>
          <w:rFonts w:ascii="宋体" w:hAnsi="宋体" w:eastAsia="宋体"/>
          <w:color w:val="auto"/>
          <w:sz w:val="24"/>
          <w:highlight w:val="none"/>
        </w:rPr>
        <w:t>变更和解释</w:t>
      </w:r>
      <w:r>
        <w:rPr>
          <w:rFonts w:hint="eastAsia" w:ascii="宋体" w:hAnsi="宋体" w:eastAsia="宋体"/>
          <w:color w:val="auto"/>
          <w:sz w:val="24"/>
          <w:highlight w:val="none"/>
        </w:rPr>
        <w:t>；</w:t>
      </w:r>
    </w:p>
    <w:p w14:paraId="3A2060A4">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2.17.2 </w:t>
      </w:r>
      <w:r>
        <w:rPr>
          <w:rFonts w:hint="eastAsia" w:ascii="宋体" w:hAnsi="宋体" w:eastAsia="宋体"/>
          <w:color w:val="auto"/>
          <w:sz w:val="24"/>
          <w:highlight w:val="none"/>
        </w:rPr>
        <w:t>合同适用</w:t>
      </w:r>
      <w:r>
        <w:rPr>
          <w:rFonts w:ascii="宋体" w:hAnsi="宋体" w:eastAsia="宋体"/>
          <w:color w:val="auto"/>
          <w:sz w:val="24"/>
          <w:highlight w:val="none"/>
        </w:rPr>
        <w:t>中华人民共和国法律。</w:t>
      </w:r>
    </w:p>
    <w:p w14:paraId="7AD04AB2">
      <w:pPr>
        <w:spacing w:line="360" w:lineRule="auto"/>
        <w:ind w:firstLine="482" w:firstLineChars="200"/>
        <w:outlineLvl w:val="0"/>
        <w:rPr>
          <w:rFonts w:ascii="宋体" w:hAnsi="宋体" w:eastAsia="宋体"/>
          <w:b/>
          <w:color w:val="auto"/>
          <w:sz w:val="24"/>
          <w:highlight w:val="none"/>
        </w:rPr>
      </w:pPr>
      <w:bookmarkStart w:id="139" w:name="_Toc22266"/>
      <w:bookmarkStart w:id="140" w:name="_Toc27403"/>
      <w:bookmarkStart w:id="141" w:name="_Toc1492"/>
      <w:bookmarkStart w:id="142" w:name="_Toc30096"/>
      <w:bookmarkStart w:id="143" w:name="_Toc27127"/>
      <w:r>
        <w:rPr>
          <w:rFonts w:ascii="宋体" w:hAnsi="宋体" w:eastAsia="宋体"/>
          <w:b/>
          <w:color w:val="auto"/>
          <w:sz w:val="24"/>
          <w:highlight w:val="none"/>
        </w:rPr>
        <w:t>2.18 履约保证金</w:t>
      </w:r>
      <w:bookmarkEnd w:id="139"/>
      <w:bookmarkEnd w:id="140"/>
      <w:bookmarkEnd w:id="141"/>
      <w:bookmarkEnd w:id="142"/>
      <w:bookmarkEnd w:id="143"/>
    </w:p>
    <w:p w14:paraId="21AC2DD3">
      <w:pPr>
        <w:spacing w:line="360" w:lineRule="auto"/>
        <w:ind w:firstLine="480" w:firstLineChars="200"/>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无</w:t>
      </w:r>
    </w:p>
    <w:p w14:paraId="3D3A09B9">
      <w:pPr>
        <w:spacing w:line="360" w:lineRule="auto"/>
        <w:ind w:firstLine="482" w:firstLineChars="200"/>
        <w:rPr>
          <w:rFonts w:ascii="宋体" w:hAnsi="宋体" w:eastAsia="宋体"/>
          <w:color w:val="auto"/>
          <w:sz w:val="24"/>
          <w:highlight w:val="none"/>
        </w:rPr>
      </w:pPr>
      <w:r>
        <w:rPr>
          <w:rFonts w:ascii="宋体" w:hAnsi="宋体" w:eastAsia="宋体"/>
          <w:b/>
          <w:bCs/>
          <w:color w:val="auto"/>
          <w:sz w:val="24"/>
          <w:highlight w:val="none"/>
        </w:rPr>
        <w:t>2.19</w:t>
      </w:r>
      <w:r>
        <w:rPr>
          <w:rFonts w:ascii="宋体" w:hAnsi="宋体" w:eastAsia="宋体"/>
          <w:color w:val="auto"/>
          <w:sz w:val="24"/>
          <w:highlight w:val="none"/>
        </w:rPr>
        <w:t>对于因甲方原因导致变更、中止或者终止政府采购合同的，甲方应当依照合同约定对供应商受到的损失予以赔偿或者补偿</w:t>
      </w:r>
      <w:r>
        <w:rPr>
          <w:rFonts w:hint="eastAsia" w:ascii="宋体" w:hAnsi="宋体" w:eastAsia="宋体"/>
          <w:color w:val="auto"/>
          <w:sz w:val="24"/>
          <w:highlight w:val="none"/>
        </w:rPr>
        <w:t>。</w:t>
      </w:r>
    </w:p>
    <w:p w14:paraId="5DE8408F">
      <w:pPr>
        <w:spacing w:line="360" w:lineRule="auto"/>
        <w:ind w:firstLine="482" w:firstLineChars="200"/>
        <w:rPr>
          <w:rFonts w:ascii="宋体" w:hAnsi="宋体" w:eastAsia="宋体"/>
          <w:b/>
          <w:color w:val="auto"/>
          <w:sz w:val="24"/>
          <w:highlight w:val="none"/>
        </w:rPr>
      </w:pPr>
      <w:r>
        <w:rPr>
          <w:rFonts w:ascii="宋体" w:hAnsi="宋体" w:eastAsia="宋体"/>
          <w:b/>
          <w:color w:val="auto"/>
          <w:sz w:val="24"/>
          <w:highlight w:val="none"/>
        </w:rPr>
        <w:t>2.20合同份数</w:t>
      </w:r>
    </w:p>
    <w:p w14:paraId="00DBF425">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合同份数按</w:t>
      </w:r>
      <w:r>
        <w:rPr>
          <w:rFonts w:ascii="宋体" w:hAnsi="宋体" w:eastAsia="宋体"/>
          <w:b/>
          <w:i/>
          <w:color w:val="auto"/>
          <w:sz w:val="24"/>
          <w:highlight w:val="none"/>
          <w:u w:val="single"/>
        </w:rPr>
        <w:t>合同专用条款</w:t>
      </w:r>
      <w:r>
        <w:rPr>
          <w:rFonts w:ascii="宋体" w:hAnsi="宋体" w:eastAsia="宋体"/>
          <w:color w:val="auto"/>
          <w:sz w:val="24"/>
          <w:highlight w:val="none"/>
        </w:rPr>
        <w:t>规定</w:t>
      </w:r>
      <w:r>
        <w:rPr>
          <w:rFonts w:hint="eastAsia" w:ascii="宋体" w:hAnsi="宋体" w:eastAsia="宋体"/>
          <w:color w:val="auto"/>
          <w:sz w:val="24"/>
          <w:highlight w:val="none"/>
        </w:rPr>
        <w:t>，</w:t>
      </w:r>
      <w:r>
        <w:rPr>
          <w:rFonts w:ascii="宋体" w:hAnsi="宋体" w:eastAsia="宋体"/>
          <w:color w:val="auto"/>
          <w:sz w:val="24"/>
          <w:highlight w:val="none"/>
        </w:rPr>
        <w:t>每份均具有同等法律效力</w:t>
      </w:r>
      <w:r>
        <w:rPr>
          <w:rFonts w:hint="eastAsia" w:ascii="宋体" w:hAnsi="宋体" w:eastAsia="宋体"/>
          <w:color w:val="auto"/>
          <w:sz w:val="24"/>
          <w:highlight w:val="none"/>
        </w:rPr>
        <w:t>。</w:t>
      </w:r>
    </w:p>
    <w:p w14:paraId="149C9DA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144" w:name="_Toc331685784"/>
      <w:r>
        <w:rPr>
          <w:rFonts w:hint="eastAsia" w:ascii="宋体" w:hAnsi="宋体" w:cs="宋体"/>
          <w:b/>
          <w:color w:val="auto"/>
          <w:sz w:val="24"/>
          <w:highlight w:val="none"/>
        </w:rPr>
        <w:t xml:space="preserve"> </w:t>
      </w:r>
      <w:bookmarkEnd w:id="144"/>
      <w:r>
        <w:rPr>
          <w:rFonts w:hint="eastAsia" w:ascii="宋体" w:hAnsi="宋体" w:cs="宋体"/>
          <w:b/>
          <w:color w:val="auto"/>
          <w:sz w:val="24"/>
          <w:highlight w:val="none"/>
        </w:rPr>
        <w:t>第三部分  合同专用条款</w:t>
      </w:r>
    </w:p>
    <w:p w14:paraId="010A5364">
      <w:pPr>
        <w:spacing w:line="360" w:lineRule="auto"/>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291B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noWrap w:val="0"/>
            <w:vAlign w:val="center"/>
          </w:tcPr>
          <w:p w14:paraId="1452BDBC">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条款号</w:t>
            </w:r>
          </w:p>
        </w:tc>
        <w:tc>
          <w:tcPr>
            <w:tcW w:w="8174" w:type="dxa"/>
            <w:noWrap w:val="0"/>
            <w:vAlign w:val="center"/>
          </w:tcPr>
          <w:p w14:paraId="494C45CB">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约定内容</w:t>
            </w:r>
          </w:p>
        </w:tc>
      </w:tr>
      <w:tr w14:paraId="65F1C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47BFF21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1.4.4</w:t>
            </w:r>
          </w:p>
        </w:tc>
        <w:tc>
          <w:tcPr>
            <w:tcW w:w="8174" w:type="dxa"/>
            <w:noWrap w:val="0"/>
            <w:vAlign w:val="center"/>
          </w:tcPr>
          <w:p w14:paraId="664B4B2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392E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13EAF6D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1.5.1 </w:t>
            </w:r>
          </w:p>
        </w:tc>
        <w:tc>
          <w:tcPr>
            <w:tcW w:w="8174" w:type="dxa"/>
            <w:noWrap w:val="0"/>
            <w:vAlign w:val="center"/>
          </w:tcPr>
          <w:p w14:paraId="53E34024">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EF72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68B4B18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1.5.2</w:t>
            </w:r>
          </w:p>
        </w:tc>
        <w:tc>
          <w:tcPr>
            <w:tcW w:w="8174" w:type="dxa"/>
            <w:noWrap w:val="0"/>
            <w:vAlign w:val="center"/>
          </w:tcPr>
          <w:p w14:paraId="07D9C76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40E80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149D6A5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 xml:space="preserve">1.5.3 </w:t>
            </w:r>
          </w:p>
        </w:tc>
        <w:tc>
          <w:tcPr>
            <w:tcW w:w="8174" w:type="dxa"/>
            <w:noWrap w:val="0"/>
            <w:vAlign w:val="center"/>
          </w:tcPr>
          <w:p w14:paraId="47A0B18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2002B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40B29F3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1.6.7</w:t>
            </w:r>
          </w:p>
        </w:tc>
        <w:tc>
          <w:tcPr>
            <w:tcW w:w="8174" w:type="dxa"/>
            <w:noWrap w:val="0"/>
            <w:vAlign w:val="center"/>
          </w:tcPr>
          <w:p w14:paraId="082B09A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32A83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0E88DE9D">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w:t>
            </w:r>
          </w:p>
        </w:tc>
        <w:tc>
          <w:tcPr>
            <w:tcW w:w="8174" w:type="dxa"/>
            <w:noWrap w:val="0"/>
            <w:vAlign w:val="center"/>
          </w:tcPr>
          <w:p w14:paraId="291FEFC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5B9EE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7569482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1.7.1</w:t>
            </w:r>
          </w:p>
        </w:tc>
        <w:tc>
          <w:tcPr>
            <w:tcW w:w="8174" w:type="dxa"/>
            <w:noWrap w:val="0"/>
            <w:vAlign w:val="center"/>
          </w:tcPr>
          <w:p w14:paraId="0D787AF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F340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081771C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1.7.2</w:t>
            </w:r>
          </w:p>
        </w:tc>
        <w:tc>
          <w:tcPr>
            <w:tcW w:w="8174" w:type="dxa"/>
            <w:noWrap w:val="0"/>
            <w:vAlign w:val="center"/>
          </w:tcPr>
          <w:p w14:paraId="13D081D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5038D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1038968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2.3.2</w:t>
            </w:r>
          </w:p>
        </w:tc>
        <w:tc>
          <w:tcPr>
            <w:tcW w:w="8174" w:type="dxa"/>
            <w:noWrap w:val="0"/>
            <w:vAlign w:val="center"/>
          </w:tcPr>
          <w:p w14:paraId="69DBA6DA">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color w:val="auto"/>
                <w:sz w:val="24"/>
                <w:highlight w:val="none"/>
              </w:rPr>
            </w:pPr>
          </w:p>
        </w:tc>
      </w:tr>
      <w:tr w14:paraId="1CB6A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5DFFD25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5</w:t>
            </w:r>
          </w:p>
        </w:tc>
        <w:tc>
          <w:tcPr>
            <w:tcW w:w="8174" w:type="dxa"/>
            <w:noWrap w:val="0"/>
            <w:vAlign w:val="center"/>
          </w:tcPr>
          <w:p w14:paraId="4EF3E2C7">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color w:val="auto"/>
                <w:sz w:val="24"/>
                <w:highlight w:val="none"/>
              </w:rPr>
            </w:pPr>
          </w:p>
        </w:tc>
      </w:tr>
      <w:tr w14:paraId="15E20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05A41FD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11</w:t>
            </w:r>
            <w:r>
              <w:rPr>
                <w:rFonts w:hint="eastAsia" w:ascii="宋体" w:hAnsi="宋体" w:cs="宋体"/>
                <w:color w:val="auto"/>
                <w:sz w:val="24"/>
                <w:highlight w:val="none"/>
              </w:rPr>
              <w:t>.</w:t>
            </w:r>
            <w:r>
              <w:rPr>
                <w:rFonts w:hint="default" w:ascii="宋体" w:hAnsi="宋体" w:cs="宋体"/>
                <w:color w:val="auto"/>
                <w:sz w:val="24"/>
                <w:highlight w:val="none"/>
              </w:rPr>
              <w:t>3</w:t>
            </w:r>
          </w:p>
        </w:tc>
        <w:tc>
          <w:tcPr>
            <w:tcW w:w="8174" w:type="dxa"/>
            <w:noWrap w:val="0"/>
            <w:vAlign w:val="center"/>
          </w:tcPr>
          <w:p w14:paraId="291AA8E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BF8C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top"/>
          </w:tcPr>
          <w:p w14:paraId="5E5EBE7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11.4</w:t>
            </w:r>
            <w:r>
              <w:rPr>
                <w:rFonts w:hint="eastAsia" w:ascii="宋体" w:hAnsi="宋体" w:cs="宋体"/>
                <w:color w:val="auto"/>
                <w:sz w:val="24"/>
                <w:highlight w:val="none"/>
              </w:rPr>
              <w:t xml:space="preserve"> </w:t>
            </w:r>
          </w:p>
        </w:tc>
        <w:tc>
          <w:tcPr>
            <w:tcW w:w="8174" w:type="dxa"/>
            <w:noWrap w:val="0"/>
            <w:vAlign w:val="top"/>
          </w:tcPr>
          <w:p w14:paraId="5B5C2B6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1A43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3745213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15</w:t>
            </w:r>
            <w:r>
              <w:rPr>
                <w:rFonts w:hint="eastAsia" w:ascii="宋体" w:hAnsi="宋体" w:cs="宋体"/>
                <w:color w:val="auto"/>
                <w:sz w:val="24"/>
                <w:highlight w:val="none"/>
              </w:rPr>
              <w:t>.</w:t>
            </w:r>
            <w:r>
              <w:rPr>
                <w:rFonts w:hint="default" w:ascii="宋体" w:hAnsi="宋体" w:cs="宋体"/>
                <w:color w:val="auto"/>
                <w:sz w:val="24"/>
                <w:highlight w:val="none"/>
              </w:rPr>
              <w:t>1</w:t>
            </w:r>
          </w:p>
        </w:tc>
        <w:tc>
          <w:tcPr>
            <w:tcW w:w="8174" w:type="dxa"/>
            <w:noWrap w:val="0"/>
            <w:vAlign w:val="center"/>
          </w:tcPr>
          <w:p w14:paraId="22E8797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21387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7B7DA170">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default" w:ascii="宋体" w:hAnsi="宋体" w:cs="宋体"/>
                <w:color w:val="auto"/>
                <w:sz w:val="24"/>
                <w:highlight w:val="none"/>
              </w:rPr>
              <w:t>15</w:t>
            </w:r>
            <w:r>
              <w:rPr>
                <w:rFonts w:hint="eastAsia" w:ascii="宋体" w:hAnsi="宋体" w:cs="宋体"/>
                <w:color w:val="auto"/>
                <w:sz w:val="24"/>
                <w:highlight w:val="none"/>
              </w:rPr>
              <w:t>.</w:t>
            </w:r>
            <w:r>
              <w:rPr>
                <w:rFonts w:hint="default" w:ascii="宋体" w:hAnsi="宋体" w:cs="宋体"/>
                <w:color w:val="auto"/>
                <w:sz w:val="24"/>
                <w:highlight w:val="none"/>
              </w:rPr>
              <w:t>3</w:t>
            </w:r>
          </w:p>
        </w:tc>
        <w:tc>
          <w:tcPr>
            <w:tcW w:w="8174" w:type="dxa"/>
            <w:noWrap w:val="0"/>
            <w:vAlign w:val="center"/>
          </w:tcPr>
          <w:p w14:paraId="6A3B6A09">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3EB7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noWrap w:val="0"/>
            <w:vAlign w:val="center"/>
          </w:tcPr>
          <w:p w14:paraId="15E9A2AF">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w:t>
            </w:r>
            <w:r>
              <w:rPr>
                <w:rFonts w:hint="default" w:ascii="宋体" w:hAnsi="宋体" w:cs="宋体"/>
                <w:color w:val="auto"/>
                <w:sz w:val="24"/>
                <w:highlight w:val="none"/>
              </w:rPr>
              <w:t>8</w:t>
            </w:r>
            <w:r>
              <w:rPr>
                <w:rFonts w:hint="eastAsia" w:ascii="宋体" w:hAnsi="宋体" w:cs="宋体"/>
                <w:color w:val="auto"/>
                <w:sz w:val="24"/>
                <w:highlight w:val="none"/>
              </w:rPr>
              <w:t>.1</w:t>
            </w:r>
          </w:p>
        </w:tc>
        <w:tc>
          <w:tcPr>
            <w:tcW w:w="8174" w:type="dxa"/>
            <w:noWrap w:val="0"/>
            <w:vAlign w:val="center"/>
          </w:tcPr>
          <w:p w14:paraId="6D48441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3BDE1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noWrap w:val="0"/>
            <w:vAlign w:val="center"/>
          </w:tcPr>
          <w:p w14:paraId="52303CB5">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2.1</w:t>
            </w:r>
            <w:r>
              <w:rPr>
                <w:rFonts w:hint="default" w:ascii="宋体" w:hAnsi="宋体" w:cs="宋体"/>
                <w:color w:val="auto"/>
                <w:sz w:val="24"/>
                <w:highlight w:val="none"/>
              </w:rPr>
              <w:t>8</w:t>
            </w:r>
            <w:r>
              <w:rPr>
                <w:rFonts w:hint="eastAsia" w:ascii="宋体" w:hAnsi="宋体" w:cs="宋体"/>
                <w:color w:val="auto"/>
                <w:sz w:val="24"/>
                <w:highlight w:val="none"/>
              </w:rPr>
              <w:t>.</w:t>
            </w:r>
            <w:r>
              <w:rPr>
                <w:rFonts w:hint="default" w:ascii="宋体" w:hAnsi="宋体" w:cs="宋体"/>
                <w:color w:val="auto"/>
                <w:sz w:val="24"/>
                <w:highlight w:val="none"/>
              </w:rPr>
              <w:t>2</w:t>
            </w:r>
          </w:p>
        </w:tc>
        <w:tc>
          <w:tcPr>
            <w:tcW w:w="8174" w:type="dxa"/>
            <w:noWrap w:val="0"/>
            <w:vAlign w:val="center"/>
          </w:tcPr>
          <w:p w14:paraId="30BC866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3F2B3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noWrap w:val="0"/>
            <w:vAlign w:val="top"/>
          </w:tcPr>
          <w:p w14:paraId="5AF3F31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2.20</w:t>
            </w:r>
          </w:p>
        </w:tc>
        <w:tc>
          <w:tcPr>
            <w:tcW w:w="8174" w:type="dxa"/>
            <w:noWrap w:val="0"/>
            <w:vAlign w:val="top"/>
          </w:tcPr>
          <w:p w14:paraId="03473CB8">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bl>
    <w:p w14:paraId="5CD34B02">
      <w:pPr>
        <w:spacing w:line="360" w:lineRule="auto"/>
        <w:ind w:left="-420" w:leftChars="-200" w:right="-420" w:rightChars="-200" w:firstLine="480" w:firstLineChars="200"/>
        <w:rPr>
          <w:rFonts w:ascii="宋体" w:hAnsi="宋体" w:cs="宋体"/>
          <w:color w:val="auto"/>
          <w:sz w:val="24"/>
          <w:highlight w:val="none"/>
        </w:rPr>
      </w:pPr>
    </w:p>
    <w:p w14:paraId="49B64841">
      <w:pPr>
        <w:spacing w:line="360" w:lineRule="auto"/>
        <w:ind w:firstLine="5280" w:firstLineChars="2200"/>
        <w:rPr>
          <w:rFonts w:ascii="宋体" w:hAnsi="宋体" w:cs="宋体"/>
          <w:color w:val="auto"/>
          <w:sz w:val="24"/>
          <w:szCs w:val="24"/>
          <w:highlight w:val="none"/>
        </w:rPr>
      </w:pPr>
    </w:p>
    <w:p w14:paraId="2D9A73D4">
      <w:pPr>
        <w:pStyle w:val="32"/>
        <w:pageBreakBefore w:val="0"/>
        <w:kinsoku/>
        <w:overflowPunct/>
        <w:topLinePunct w:val="0"/>
        <w:bidi w:val="0"/>
        <w:spacing w:before="120" w:line="312" w:lineRule="auto"/>
        <w:jc w:val="center"/>
        <w:textAlignment w:val="auto"/>
        <w:rPr>
          <w:rFonts w:asciiTheme="minorEastAsia" w:hAnsiTheme="minorEastAsia" w:eastAsiaTheme="minorEastAsia"/>
          <w:b/>
          <w:color w:val="auto"/>
          <w:sz w:val="36"/>
          <w:szCs w:val="36"/>
          <w:highlight w:val="none"/>
        </w:rPr>
      </w:pPr>
      <w:r>
        <w:rPr>
          <w:rFonts w:hint="eastAsia" w:ascii="宋体" w:hAnsi="宋体"/>
          <w:b/>
          <w:color w:val="auto"/>
          <w:sz w:val="36"/>
          <w:szCs w:val="36"/>
          <w:highlight w:val="none"/>
        </w:rPr>
        <w:br w:type="page"/>
      </w:r>
      <w:bookmarkStart w:id="145" w:name="_Toc5481_WPSOffice_Level1"/>
      <w:r>
        <w:rPr>
          <w:rFonts w:hint="eastAsia" w:asciiTheme="minorEastAsia" w:hAnsiTheme="minorEastAsia" w:eastAsiaTheme="minorEastAsia"/>
          <w:b/>
          <w:color w:val="auto"/>
          <w:sz w:val="36"/>
          <w:szCs w:val="36"/>
          <w:highlight w:val="none"/>
        </w:rPr>
        <w:t>第六章 投标文件格式</w:t>
      </w:r>
      <w:bookmarkEnd w:id="145"/>
    </w:p>
    <w:p w14:paraId="2C038C63">
      <w:pPr>
        <w:pageBreakBefore w:val="0"/>
        <w:kinsoku/>
        <w:overflowPunct/>
        <w:topLinePunct w:val="0"/>
        <w:bidi w:val="0"/>
        <w:spacing w:line="312" w:lineRule="auto"/>
        <w:textAlignment w:val="auto"/>
        <w:rPr>
          <w:rFonts w:ascii="宋体" w:hAnsi="宋体"/>
          <w:b/>
          <w:color w:val="auto"/>
          <w:kern w:val="0"/>
          <w:sz w:val="28"/>
          <w:szCs w:val="28"/>
          <w:highlight w:val="none"/>
        </w:rPr>
      </w:pPr>
      <w:r>
        <w:rPr>
          <w:rFonts w:hint="eastAsia" w:ascii="宋体" w:hAnsi="宋体"/>
          <w:color w:val="auto"/>
          <w:sz w:val="30"/>
          <w:szCs w:val="30"/>
          <w:highlight w:val="none"/>
        </w:rPr>
        <w:t xml:space="preserve"> 　　　</w:t>
      </w:r>
    </w:p>
    <w:p w14:paraId="04D2A743">
      <w:pPr>
        <w:pageBreakBefore w:val="0"/>
        <w:kinsoku/>
        <w:overflowPunct/>
        <w:topLinePunct w:val="0"/>
        <w:bidi w:val="0"/>
        <w:spacing w:line="312" w:lineRule="auto"/>
        <w:textAlignment w:val="auto"/>
        <w:rPr>
          <w:rFonts w:asciiTheme="minorEastAsia" w:hAnsiTheme="minorEastAsia" w:eastAsiaTheme="minorEastAsia"/>
          <w:b/>
          <w:color w:val="auto"/>
          <w:sz w:val="30"/>
          <w:szCs w:val="30"/>
          <w:highlight w:val="none"/>
        </w:rPr>
      </w:pPr>
    </w:p>
    <w:p w14:paraId="7AFCB0F0">
      <w:pPr>
        <w:pageBreakBefore w:val="0"/>
        <w:kinsoku/>
        <w:overflowPunct/>
        <w:topLinePunct w:val="0"/>
        <w:bidi w:val="0"/>
        <w:spacing w:line="312" w:lineRule="auto"/>
        <w:jc w:val="center"/>
        <w:textAlignment w:val="auto"/>
        <w:rPr>
          <w:color w:val="auto"/>
          <w:sz w:val="52"/>
          <w:szCs w:val="52"/>
          <w:highlight w:val="none"/>
        </w:rPr>
      </w:pPr>
      <w:bookmarkStart w:id="146" w:name="_Toc19093_WPSOffice_Level1"/>
      <w:bookmarkStart w:id="147" w:name="_Toc4956_WPSOffice_Level1"/>
      <w:bookmarkStart w:id="148" w:name="_Toc32372_WPSOffice_Level1"/>
      <w:r>
        <w:rPr>
          <w:rFonts w:hint="eastAsia"/>
          <w:color w:val="auto"/>
          <w:sz w:val="52"/>
          <w:szCs w:val="52"/>
          <w:highlight w:val="none"/>
        </w:rPr>
        <w:t>项目名称</w:t>
      </w:r>
      <w:bookmarkEnd w:id="146"/>
      <w:bookmarkEnd w:id="147"/>
      <w:bookmarkEnd w:id="148"/>
    </w:p>
    <w:p w14:paraId="6313DEC5">
      <w:pPr>
        <w:pageBreakBefore w:val="0"/>
        <w:kinsoku/>
        <w:overflowPunct/>
        <w:topLinePunct w:val="0"/>
        <w:bidi w:val="0"/>
        <w:spacing w:beforeLines="100" w:line="312" w:lineRule="auto"/>
        <w:ind w:right="-108"/>
        <w:jc w:val="center"/>
        <w:textAlignment w:val="auto"/>
        <w:rPr>
          <w:rFonts w:ascii="宋体" w:hAnsi="宋体"/>
          <w:color w:val="auto"/>
          <w:sz w:val="36"/>
          <w:szCs w:val="36"/>
          <w:highlight w:val="none"/>
        </w:rPr>
      </w:pPr>
      <w:r>
        <w:rPr>
          <w:rFonts w:hint="eastAsia" w:ascii="宋体" w:hAnsi="宋体"/>
          <w:color w:val="auto"/>
          <w:sz w:val="36"/>
          <w:szCs w:val="36"/>
          <w:highlight w:val="none"/>
        </w:rPr>
        <w:t>项目编号：（标项）</w:t>
      </w:r>
    </w:p>
    <w:p w14:paraId="34AC25C6">
      <w:pPr>
        <w:pStyle w:val="6"/>
        <w:pageBreakBefore w:val="0"/>
        <w:kinsoku/>
        <w:overflowPunct/>
        <w:topLinePunct w:val="0"/>
        <w:bidi w:val="0"/>
        <w:spacing w:line="312" w:lineRule="auto"/>
        <w:textAlignment w:val="auto"/>
        <w:rPr>
          <w:color w:val="auto"/>
          <w:highlight w:val="none"/>
        </w:rPr>
      </w:pPr>
    </w:p>
    <w:p w14:paraId="034AF06B">
      <w:pPr>
        <w:pageBreakBefore w:val="0"/>
        <w:kinsoku/>
        <w:overflowPunct/>
        <w:topLinePunct w:val="0"/>
        <w:bidi w:val="0"/>
        <w:spacing w:line="240" w:lineRule="auto"/>
        <w:jc w:val="center"/>
        <w:textAlignment w:val="auto"/>
        <w:rPr>
          <w:color w:val="auto"/>
          <w:sz w:val="84"/>
          <w:szCs w:val="84"/>
          <w:highlight w:val="none"/>
          <w:lang w:val="zh-CN"/>
        </w:rPr>
      </w:pPr>
      <w:r>
        <w:rPr>
          <w:rFonts w:hint="eastAsia"/>
          <w:color w:val="auto"/>
          <w:sz w:val="84"/>
          <w:szCs w:val="84"/>
          <w:highlight w:val="none"/>
          <w:lang w:val="zh-CN"/>
        </w:rPr>
        <w:t>磋</w:t>
      </w:r>
    </w:p>
    <w:p w14:paraId="28CC6F3F">
      <w:pPr>
        <w:pageBreakBefore w:val="0"/>
        <w:kinsoku/>
        <w:overflowPunct/>
        <w:topLinePunct w:val="0"/>
        <w:bidi w:val="0"/>
        <w:spacing w:line="240" w:lineRule="auto"/>
        <w:jc w:val="center"/>
        <w:textAlignment w:val="auto"/>
        <w:rPr>
          <w:color w:val="auto"/>
          <w:sz w:val="84"/>
          <w:szCs w:val="84"/>
          <w:highlight w:val="none"/>
          <w:lang w:val="zh-CN"/>
        </w:rPr>
      </w:pPr>
      <w:r>
        <w:rPr>
          <w:rFonts w:hint="eastAsia"/>
          <w:color w:val="auto"/>
          <w:sz w:val="84"/>
          <w:szCs w:val="84"/>
          <w:highlight w:val="none"/>
          <w:lang w:val="zh-CN"/>
        </w:rPr>
        <w:t>商</w:t>
      </w:r>
    </w:p>
    <w:p w14:paraId="0376D43A">
      <w:pPr>
        <w:pageBreakBefore w:val="0"/>
        <w:kinsoku/>
        <w:overflowPunct/>
        <w:topLinePunct w:val="0"/>
        <w:bidi w:val="0"/>
        <w:spacing w:line="240" w:lineRule="auto"/>
        <w:jc w:val="center"/>
        <w:textAlignment w:val="auto"/>
        <w:rPr>
          <w:color w:val="auto"/>
          <w:sz w:val="84"/>
          <w:szCs w:val="84"/>
          <w:highlight w:val="none"/>
          <w:lang w:val="zh-CN"/>
        </w:rPr>
      </w:pPr>
      <w:r>
        <w:rPr>
          <w:rFonts w:hint="eastAsia"/>
          <w:color w:val="auto"/>
          <w:sz w:val="84"/>
          <w:szCs w:val="84"/>
          <w:highlight w:val="none"/>
          <w:lang w:val="zh-CN"/>
        </w:rPr>
        <w:t>响</w:t>
      </w:r>
    </w:p>
    <w:p w14:paraId="36625DC1">
      <w:pPr>
        <w:pageBreakBefore w:val="0"/>
        <w:kinsoku/>
        <w:overflowPunct/>
        <w:topLinePunct w:val="0"/>
        <w:bidi w:val="0"/>
        <w:spacing w:line="240" w:lineRule="auto"/>
        <w:jc w:val="center"/>
        <w:textAlignment w:val="auto"/>
        <w:rPr>
          <w:color w:val="auto"/>
          <w:sz w:val="84"/>
          <w:szCs w:val="84"/>
          <w:highlight w:val="none"/>
          <w:lang w:val="zh-CN"/>
        </w:rPr>
      </w:pPr>
      <w:r>
        <w:rPr>
          <w:rFonts w:hint="eastAsia"/>
          <w:color w:val="auto"/>
          <w:sz w:val="84"/>
          <w:szCs w:val="84"/>
          <w:highlight w:val="none"/>
          <w:lang w:val="zh-CN"/>
        </w:rPr>
        <w:t>应</w:t>
      </w:r>
    </w:p>
    <w:p w14:paraId="6A6DC00B">
      <w:pPr>
        <w:pageBreakBefore w:val="0"/>
        <w:kinsoku/>
        <w:overflowPunct/>
        <w:topLinePunct w:val="0"/>
        <w:bidi w:val="0"/>
        <w:spacing w:line="240" w:lineRule="auto"/>
        <w:jc w:val="center"/>
        <w:textAlignment w:val="auto"/>
        <w:rPr>
          <w:color w:val="auto"/>
          <w:sz w:val="84"/>
          <w:szCs w:val="84"/>
          <w:highlight w:val="none"/>
        </w:rPr>
      </w:pPr>
      <w:r>
        <w:rPr>
          <w:rFonts w:hint="eastAsia"/>
          <w:color w:val="auto"/>
          <w:sz w:val="84"/>
          <w:szCs w:val="84"/>
          <w:highlight w:val="none"/>
          <w:lang w:val="zh-CN"/>
        </w:rPr>
        <w:t>文</w:t>
      </w:r>
    </w:p>
    <w:p w14:paraId="65702526">
      <w:pPr>
        <w:pageBreakBefore w:val="0"/>
        <w:kinsoku/>
        <w:overflowPunct/>
        <w:topLinePunct w:val="0"/>
        <w:bidi w:val="0"/>
        <w:spacing w:line="240" w:lineRule="auto"/>
        <w:jc w:val="center"/>
        <w:textAlignment w:val="auto"/>
        <w:rPr>
          <w:color w:val="auto"/>
          <w:sz w:val="84"/>
          <w:szCs w:val="84"/>
          <w:highlight w:val="none"/>
          <w:lang w:val="zh-CN"/>
        </w:rPr>
      </w:pPr>
      <w:r>
        <w:rPr>
          <w:rFonts w:hint="eastAsia"/>
          <w:color w:val="auto"/>
          <w:sz w:val="84"/>
          <w:szCs w:val="84"/>
          <w:highlight w:val="none"/>
          <w:lang w:val="zh-CN"/>
        </w:rPr>
        <w:t>件</w:t>
      </w:r>
    </w:p>
    <w:p w14:paraId="5A7D1C2B">
      <w:pPr>
        <w:pStyle w:val="6"/>
        <w:pageBreakBefore w:val="0"/>
        <w:kinsoku/>
        <w:overflowPunct/>
        <w:topLinePunct w:val="0"/>
        <w:bidi w:val="0"/>
        <w:spacing w:line="312" w:lineRule="auto"/>
        <w:textAlignment w:val="auto"/>
        <w:rPr>
          <w:rFonts w:ascii="宋体" w:hAnsi="宋体" w:cs="宋体"/>
          <w:color w:val="auto"/>
          <w:sz w:val="28"/>
          <w:szCs w:val="28"/>
          <w:highlight w:val="none"/>
        </w:rPr>
      </w:pPr>
    </w:p>
    <w:p w14:paraId="35A59E4E">
      <w:pPr>
        <w:pStyle w:val="6"/>
        <w:pageBreakBefore w:val="0"/>
        <w:kinsoku/>
        <w:overflowPunct/>
        <w:topLinePunct w:val="0"/>
        <w:bidi w:val="0"/>
        <w:spacing w:line="312" w:lineRule="auto"/>
        <w:textAlignment w:val="auto"/>
        <w:rPr>
          <w:rFonts w:ascii="宋体" w:hAnsi="宋体" w:cs="宋体"/>
          <w:color w:val="auto"/>
          <w:sz w:val="28"/>
          <w:szCs w:val="28"/>
          <w:highlight w:val="none"/>
        </w:rPr>
      </w:pPr>
    </w:p>
    <w:p w14:paraId="35F88C43">
      <w:pPr>
        <w:pageBreakBefore w:val="0"/>
        <w:kinsoku/>
        <w:overflowPunct/>
        <w:topLinePunct w:val="0"/>
        <w:bidi w:val="0"/>
        <w:spacing w:line="312" w:lineRule="auto"/>
        <w:ind w:right="532" w:firstLine="640" w:firstLineChars="200"/>
        <w:textAlignment w:val="auto"/>
        <w:rPr>
          <w:rFonts w:ascii="宋体" w:hAnsi="宋体"/>
          <w:color w:val="auto"/>
          <w:sz w:val="32"/>
          <w:szCs w:val="32"/>
          <w:highlight w:val="none"/>
        </w:rPr>
      </w:pPr>
      <w:r>
        <w:rPr>
          <w:rFonts w:hint="eastAsia" w:ascii="宋体" w:hAnsi="宋体"/>
          <w:color w:val="auto"/>
          <w:sz w:val="32"/>
          <w:szCs w:val="32"/>
          <w:highlight w:val="none"/>
        </w:rPr>
        <w:t>供应商全称（电子印章）：</w:t>
      </w:r>
    </w:p>
    <w:p w14:paraId="401203AD">
      <w:pPr>
        <w:pageBreakBefore w:val="0"/>
        <w:kinsoku/>
        <w:overflowPunct/>
        <w:topLinePunct w:val="0"/>
        <w:bidi w:val="0"/>
        <w:spacing w:line="312" w:lineRule="auto"/>
        <w:ind w:right="532" w:firstLine="640" w:firstLineChars="200"/>
        <w:textAlignment w:val="auto"/>
        <w:rPr>
          <w:rFonts w:ascii="宋体" w:hAnsi="宋体"/>
          <w:color w:val="auto"/>
          <w:sz w:val="32"/>
          <w:szCs w:val="32"/>
          <w:highlight w:val="none"/>
        </w:rPr>
      </w:pPr>
      <w:r>
        <w:rPr>
          <w:rFonts w:hint="eastAsia" w:ascii="宋体" w:hAnsi="宋体"/>
          <w:color w:val="auto"/>
          <w:sz w:val="32"/>
          <w:szCs w:val="32"/>
          <w:highlight w:val="none"/>
        </w:rPr>
        <w:t>地    址：</w:t>
      </w:r>
    </w:p>
    <w:p w14:paraId="2999A2A2">
      <w:pPr>
        <w:pageBreakBefore w:val="0"/>
        <w:kinsoku/>
        <w:overflowPunct/>
        <w:topLinePunct w:val="0"/>
        <w:bidi w:val="0"/>
        <w:spacing w:line="312" w:lineRule="auto"/>
        <w:ind w:right="532" w:firstLine="640" w:firstLineChars="200"/>
        <w:textAlignment w:val="auto"/>
        <w:rPr>
          <w:rFonts w:ascii="宋体" w:hAnsi="宋体"/>
          <w:color w:val="auto"/>
          <w:sz w:val="32"/>
          <w:szCs w:val="32"/>
          <w:highlight w:val="none"/>
        </w:rPr>
      </w:pPr>
      <w:r>
        <w:rPr>
          <w:rFonts w:hint="eastAsia" w:ascii="宋体" w:hAnsi="宋体"/>
          <w:color w:val="auto"/>
          <w:sz w:val="32"/>
          <w:szCs w:val="32"/>
          <w:highlight w:val="none"/>
        </w:rPr>
        <w:t>时    间：</w:t>
      </w:r>
    </w:p>
    <w:p w14:paraId="3E27BD7E">
      <w:pPr>
        <w:pageBreakBefore w:val="0"/>
        <w:kinsoku/>
        <w:overflowPunct/>
        <w:topLinePunct w:val="0"/>
        <w:bidi w:val="0"/>
        <w:snapToGrid w:val="0"/>
        <w:spacing w:before="50" w:after="50" w:line="312" w:lineRule="auto"/>
        <w:textAlignment w:val="auto"/>
        <w:rPr>
          <w:rFonts w:ascii="仿宋_GB2312" w:hAnsi="宋体" w:eastAsia="仿宋_GB2312"/>
          <w:b/>
          <w:color w:val="auto"/>
          <w:sz w:val="36"/>
          <w:szCs w:val="36"/>
          <w:highlight w:val="none"/>
        </w:rPr>
      </w:pPr>
    </w:p>
    <w:p w14:paraId="0E8DC136">
      <w:pPr>
        <w:pageBreakBefore w:val="0"/>
        <w:kinsoku/>
        <w:overflowPunct/>
        <w:topLinePunct w:val="0"/>
        <w:bidi w:val="0"/>
        <w:spacing w:line="312" w:lineRule="auto"/>
        <w:jc w:val="center"/>
        <w:textAlignment w:val="auto"/>
        <w:rPr>
          <w:b/>
          <w:bCs/>
          <w:color w:val="auto"/>
          <w:sz w:val="32"/>
          <w:szCs w:val="40"/>
          <w:highlight w:val="none"/>
        </w:rPr>
      </w:pPr>
    </w:p>
    <w:p w14:paraId="75135A27">
      <w:pPr>
        <w:pageBreakBefore w:val="0"/>
        <w:kinsoku/>
        <w:overflowPunct/>
        <w:topLinePunct w:val="0"/>
        <w:bidi w:val="0"/>
        <w:spacing w:line="312" w:lineRule="auto"/>
        <w:jc w:val="center"/>
        <w:textAlignment w:val="auto"/>
        <w:rPr>
          <w:b/>
          <w:bCs/>
          <w:color w:val="auto"/>
          <w:sz w:val="32"/>
          <w:szCs w:val="40"/>
          <w:highlight w:val="none"/>
        </w:rPr>
      </w:pPr>
      <w:r>
        <w:rPr>
          <w:rFonts w:hint="eastAsia"/>
          <w:b/>
          <w:bCs/>
          <w:color w:val="auto"/>
          <w:sz w:val="32"/>
          <w:szCs w:val="40"/>
          <w:highlight w:val="none"/>
        </w:rPr>
        <w:t>资格证明内容目录</w:t>
      </w:r>
    </w:p>
    <w:p w14:paraId="38DCCF98">
      <w:pPr>
        <w:pageBreakBefore w:val="0"/>
        <w:kinsoku/>
        <w:overflowPunct/>
        <w:topLinePunct w:val="0"/>
        <w:bidi w:val="0"/>
        <w:spacing w:line="312" w:lineRule="auto"/>
        <w:textAlignment w:val="auto"/>
        <w:rPr>
          <w:color w:val="auto"/>
          <w:highlight w:val="none"/>
        </w:rPr>
      </w:pPr>
    </w:p>
    <w:p w14:paraId="20FFCCA2">
      <w:pPr>
        <w:pStyle w:val="20"/>
        <w:pageBreakBefore w:val="0"/>
        <w:kinsoku/>
        <w:overflowPunct/>
        <w:topLinePunct w:val="0"/>
        <w:bidi w:val="0"/>
        <w:spacing w:line="312" w:lineRule="auto"/>
        <w:ind w:left="0" w:leftChars="0" w:firstLine="470"/>
        <w:textAlignment w:val="auto"/>
        <w:rPr>
          <w:rStyle w:val="28"/>
          <w:b w:val="0"/>
          <w:color w:val="auto"/>
          <w:highlight w:val="none"/>
          <w:u w:val="none"/>
        </w:rPr>
      </w:pPr>
      <w:r>
        <w:rPr>
          <w:rStyle w:val="28"/>
          <w:rFonts w:hint="eastAsia"/>
          <w:b w:val="0"/>
          <w:color w:val="auto"/>
          <w:highlight w:val="none"/>
          <w:u w:val="none"/>
        </w:rPr>
        <w:t>（1）磋商声明书（附件1）；</w:t>
      </w:r>
    </w:p>
    <w:p w14:paraId="1E6A4FD8">
      <w:pPr>
        <w:pageBreakBefore w:val="0"/>
        <w:widowControl/>
        <w:kinsoku/>
        <w:overflowPunct/>
        <w:topLinePunct w:val="0"/>
        <w:bidi w:val="0"/>
        <w:spacing w:line="312" w:lineRule="auto"/>
        <w:ind w:right="60" w:firstLine="480" w:firstLineChars="200"/>
        <w:jc w:val="left"/>
        <w:textAlignment w:val="auto"/>
        <w:outlineLvl w:val="0"/>
        <w:rPr>
          <w:rFonts w:ascii="宋体" w:hAnsi="宋体" w:cs="宋体"/>
          <w:color w:val="auto"/>
          <w:sz w:val="24"/>
          <w:highlight w:val="none"/>
        </w:rPr>
      </w:pPr>
      <w:r>
        <w:rPr>
          <w:rFonts w:hint="eastAsia" w:ascii="宋体" w:hAnsi="宋体" w:cs="宋体"/>
          <w:color w:val="auto"/>
          <w:sz w:val="24"/>
          <w:highlight w:val="none"/>
        </w:rPr>
        <w:t>（2）授权委托书（法定代表人亲自办理磋商响应事宜的，则无需提交，附件2)；</w:t>
      </w:r>
    </w:p>
    <w:p w14:paraId="47BEBA89">
      <w:pPr>
        <w:pageBreakBefore w:val="0"/>
        <w:kinsoku/>
        <w:overflowPunct/>
        <w:topLinePunct w:val="0"/>
        <w:bidi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17EDAFB6">
      <w:pPr>
        <w:pageBreakBefore w:val="0"/>
        <w:kinsoku/>
        <w:overflowPunct/>
        <w:topLinePunct w:val="0"/>
        <w:bidi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4D9842B3">
      <w:pPr>
        <w:pageBreakBefore w:val="0"/>
        <w:kinsoku/>
        <w:overflowPunct/>
        <w:topLinePunct w:val="0"/>
        <w:bidi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4B713C25">
      <w:pPr>
        <w:pageBreakBefore w:val="0"/>
        <w:kinsoku/>
        <w:overflowPunct/>
        <w:topLinePunct w:val="0"/>
        <w:bidi w:val="0"/>
        <w:snapToGrid w:val="0"/>
        <w:spacing w:line="312"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41057EBD">
      <w:pPr>
        <w:pageBreakBefore w:val="0"/>
        <w:widowControl/>
        <w:kinsoku/>
        <w:overflowPunct/>
        <w:topLinePunct w:val="0"/>
        <w:bidi w:val="0"/>
        <w:spacing w:line="312" w:lineRule="auto"/>
        <w:ind w:right="60" w:firstLine="480" w:firstLineChars="200"/>
        <w:jc w:val="left"/>
        <w:textAlignment w:val="auto"/>
        <w:outlineLvl w:val="0"/>
        <w:rPr>
          <w:rFonts w:ascii="宋体" w:hAnsi="宋体" w:cs="宋体"/>
          <w:color w:val="auto"/>
          <w:sz w:val="24"/>
          <w:highlight w:val="none"/>
        </w:rPr>
      </w:pPr>
      <w:r>
        <w:rPr>
          <w:rFonts w:hint="eastAsia" w:ascii="宋体" w:hAnsi="宋体" w:cs="宋体"/>
          <w:color w:val="auto"/>
          <w:sz w:val="24"/>
          <w:highlight w:val="none"/>
        </w:rPr>
        <w:t>（7）需要说明的其他资料。</w:t>
      </w:r>
    </w:p>
    <w:p w14:paraId="491D6321">
      <w:pPr>
        <w:pageBreakBefore w:val="0"/>
        <w:kinsoku/>
        <w:overflowPunct/>
        <w:topLinePunct w:val="0"/>
        <w:bidi w:val="0"/>
        <w:spacing w:line="312" w:lineRule="auto"/>
        <w:textAlignment w:val="auto"/>
        <w:rPr>
          <w:rFonts w:ascii="宋体" w:hAnsi="宋体"/>
          <w:b/>
          <w:color w:val="auto"/>
          <w:sz w:val="28"/>
          <w:highlight w:val="none"/>
        </w:rPr>
      </w:pPr>
    </w:p>
    <w:p w14:paraId="1E03E061">
      <w:pPr>
        <w:pageBreakBefore w:val="0"/>
        <w:kinsoku/>
        <w:overflowPunct/>
        <w:topLinePunct w:val="0"/>
        <w:bidi w:val="0"/>
        <w:spacing w:line="312" w:lineRule="auto"/>
        <w:ind w:left="420"/>
        <w:textAlignment w:val="auto"/>
        <w:rPr>
          <w:rFonts w:ascii="宋体" w:hAnsi="宋体"/>
          <w:b/>
          <w:color w:val="auto"/>
          <w:sz w:val="28"/>
          <w:highlight w:val="none"/>
        </w:rPr>
      </w:pPr>
    </w:p>
    <w:p w14:paraId="195F7B6A">
      <w:pPr>
        <w:pStyle w:val="33"/>
        <w:pageBreakBefore w:val="0"/>
        <w:kinsoku/>
        <w:overflowPunct/>
        <w:topLinePunct w:val="0"/>
        <w:bidi w:val="0"/>
        <w:spacing w:line="312" w:lineRule="auto"/>
        <w:textAlignment w:val="auto"/>
        <w:rPr>
          <w:rFonts w:ascii="宋体" w:hAnsi="宋体"/>
          <w:b/>
          <w:color w:val="auto"/>
          <w:sz w:val="28"/>
          <w:highlight w:val="none"/>
        </w:rPr>
      </w:pPr>
    </w:p>
    <w:p w14:paraId="564DB33D">
      <w:pPr>
        <w:pStyle w:val="33"/>
        <w:pageBreakBefore w:val="0"/>
        <w:kinsoku/>
        <w:overflowPunct/>
        <w:topLinePunct w:val="0"/>
        <w:bidi w:val="0"/>
        <w:spacing w:line="312" w:lineRule="auto"/>
        <w:textAlignment w:val="auto"/>
        <w:rPr>
          <w:rFonts w:ascii="宋体" w:hAnsi="宋体"/>
          <w:b/>
          <w:color w:val="auto"/>
          <w:sz w:val="28"/>
          <w:highlight w:val="none"/>
        </w:rPr>
      </w:pPr>
    </w:p>
    <w:p w14:paraId="2D5F217A">
      <w:pPr>
        <w:pStyle w:val="33"/>
        <w:pageBreakBefore w:val="0"/>
        <w:kinsoku/>
        <w:overflowPunct/>
        <w:topLinePunct w:val="0"/>
        <w:bidi w:val="0"/>
        <w:spacing w:line="312" w:lineRule="auto"/>
        <w:textAlignment w:val="auto"/>
        <w:rPr>
          <w:rFonts w:ascii="宋体" w:hAnsi="宋体"/>
          <w:b/>
          <w:color w:val="auto"/>
          <w:sz w:val="28"/>
          <w:highlight w:val="none"/>
        </w:rPr>
      </w:pPr>
    </w:p>
    <w:p w14:paraId="2D09558D">
      <w:pPr>
        <w:pStyle w:val="33"/>
        <w:pageBreakBefore w:val="0"/>
        <w:kinsoku/>
        <w:overflowPunct/>
        <w:topLinePunct w:val="0"/>
        <w:bidi w:val="0"/>
        <w:spacing w:line="312" w:lineRule="auto"/>
        <w:textAlignment w:val="auto"/>
        <w:rPr>
          <w:rFonts w:ascii="宋体" w:hAnsi="宋体"/>
          <w:b/>
          <w:color w:val="auto"/>
          <w:sz w:val="28"/>
          <w:highlight w:val="none"/>
        </w:rPr>
      </w:pPr>
    </w:p>
    <w:p w14:paraId="1F23A984">
      <w:pPr>
        <w:pStyle w:val="33"/>
        <w:pageBreakBefore w:val="0"/>
        <w:kinsoku/>
        <w:overflowPunct/>
        <w:topLinePunct w:val="0"/>
        <w:bidi w:val="0"/>
        <w:spacing w:line="312" w:lineRule="auto"/>
        <w:textAlignment w:val="auto"/>
        <w:rPr>
          <w:rFonts w:ascii="宋体" w:hAnsi="宋体"/>
          <w:b/>
          <w:color w:val="auto"/>
          <w:sz w:val="28"/>
          <w:highlight w:val="none"/>
        </w:rPr>
      </w:pPr>
    </w:p>
    <w:p w14:paraId="6C6BFE74">
      <w:pPr>
        <w:pStyle w:val="33"/>
        <w:pageBreakBefore w:val="0"/>
        <w:kinsoku/>
        <w:overflowPunct/>
        <w:topLinePunct w:val="0"/>
        <w:bidi w:val="0"/>
        <w:spacing w:line="312" w:lineRule="auto"/>
        <w:textAlignment w:val="auto"/>
        <w:rPr>
          <w:rFonts w:ascii="宋体" w:hAnsi="宋体"/>
          <w:b/>
          <w:color w:val="auto"/>
          <w:sz w:val="28"/>
          <w:highlight w:val="none"/>
        </w:rPr>
      </w:pPr>
    </w:p>
    <w:p w14:paraId="0E1CB394">
      <w:pPr>
        <w:pStyle w:val="33"/>
        <w:pageBreakBefore w:val="0"/>
        <w:kinsoku/>
        <w:overflowPunct/>
        <w:topLinePunct w:val="0"/>
        <w:bidi w:val="0"/>
        <w:spacing w:line="312" w:lineRule="auto"/>
        <w:textAlignment w:val="auto"/>
        <w:rPr>
          <w:rFonts w:ascii="宋体" w:hAnsi="宋体"/>
          <w:b/>
          <w:color w:val="auto"/>
          <w:sz w:val="28"/>
          <w:highlight w:val="none"/>
        </w:rPr>
      </w:pPr>
    </w:p>
    <w:p w14:paraId="121ACE08">
      <w:pPr>
        <w:pStyle w:val="33"/>
        <w:pageBreakBefore w:val="0"/>
        <w:kinsoku/>
        <w:overflowPunct/>
        <w:topLinePunct w:val="0"/>
        <w:bidi w:val="0"/>
        <w:spacing w:line="312" w:lineRule="auto"/>
        <w:textAlignment w:val="auto"/>
        <w:rPr>
          <w:rFonts w:ascii="宋体" w:hAnsi="宋体"/>
          <w:b/>
          <w:color w:val="auto"/>
          <w:sz w:val="28"/>
          <w:highlight w:val="none"/>
        </w:rPr>
      </w:pPr>
    </w:p>
    <w:p w14:paraId="736B93A1">
      <w:pPr>
        <w:pStyle w:val="33"/>
        <w:pageBreakBefore w:val="0"/>
        <w:kinsoku/>
        <w:overflowPunct/>
        <w:topLinePunct w:val="0"/>
        <w:bidi w:val="0"/>
        <w:spacing w:line="312" w:lineRule="auto"/>
        <w:textAlignment w:val="auto"/>
        <w:rPr>
          <w:rFonts w:ascii="宋体" w:hAnsi="宋体"/>
          <w:b/>
          <w:color w:val="auto"/>
          <w:sz w:val="28"/>
          <w:highlight w:val="none"/>
        </w:rPr>
      </w:pPr>
    </w:p>
    <w:p w14:paraId="56A55FE9">
      <w:pPr>
        <w:pStyle w:val="33"/>
        <w:pageBreakBefore w:val="0"/>
        <w:kinsoku/>
        <w:overflowPunct/>
        <w:topLinePunct w:val="0"/>
        <w:bidi w:val="0"/>
        <w:spacing w:line="312" w:lineRule="auto"/>
        <w:textAlignment w:val="auto"/>
        <w:rPr>
          <w:rFonts w:ascii="宋体" w:hAnsi="宋体"/>
          <w:b/>
          <w:color w:val="auto"/>
          <w:sz w:val="28"/>
          <w:highlight w:val="none"/>
        </w:rPr>
      </w:pPr>
    </w:p>
    <w:p w14:paraId="3B14B4E6">
      <w:pPr>
        <w:pStyle w:val="33"/>
        <w:pageBreakBefore w:val="0"/>
        <w:kinsoku/>
        <w:overflowPunct/>
        <w:topLinePunct w:val="0"/>
        <w:bidi w:val="0"/>
        <w:spacing w:line="312" w:lineRule="auto"/>
        <w:textAlignment w:val="auto"/>
        <w:rPr>
          <w:rFonts w:ascii="宋体" w:hAnsi="宋体"/>
          <w:b/>
          <w:color w:val="auto"/>
          <w:sz w:val="28"/>
          <w:highlight w:val="none"/>
        </w:rPr>
      </w:pPr>
    </w:p>
    <w:p w14:paraId="3BD579BE">
      <w:pPr>
        <w:pStyle w:val="33"/>
        <w:pageBreakBefore w:val="0"/>
        <w:kinsoku/>
        <w:overflowPunct/>
        <w:topLinePunct w:val="0"/>
        <w:bidi w:val="0"/>
        <w:spacing w:line="312" w:lineRule="auto"/>
        <w:textAlignment w:val="auto"/>
        <w:rPr>
          <w:rFonts w:ascii="宋体" w:hAnsi="宋体"/>
          <w:b/>
          <w:color w:val="auto"/>
          <w:sz w:val="28"/>
          <w:highlight w:val="none"/>
        </w:rPr>
      </w:pPr>
    </w:p>
    <w:p w14:paraId="467B563A">
      <w:pPr>
        <w:pStyle w:val="33"/>
        <w:pageBreakBefore w:val="0"/>
        <w:kinsoku/>
        <w:overflowPunct/>
        <w:topLinePunct w:val="0"/>
        <w:bidi w:val="0"/>
        <w:spacing w:line="312" w:lineRule="auto"/>
        <w:textAlignment w:val="auto"/>
        <w:rPr>
          <w:rFonts w:ascii="宋体" w:hAnsi="宋体"/>
          <w:b/>
          <w:color w:val="auto"/>
          <w:sz w:val="28"/>
          <w:highlight w:val="none"/>
        </w:rPr>
      </w:pPr>
    </w:p>
    <w:p w14:paraId="3A2F464A">
      <w:pPr>
        <w:pageBreakBefore w:val="0"/>
        <w:kinsoku/>
        <w:overflowPunct/>
        <w:topLinePunct w:val="0"/>
        <w:bidi w:val="0"/>
        <w:spacing w:line="312" w:lineRule="auto"/>
        <w:ind w:left="420"/>
        <w:textAlignment w:val="auto"/>
        <w:rPr>
          <w:rFonts w:ascii="宋体" w:hAnsi="宋体"/>
          <w:b/>
          <w:color w:val="auto"/>
          <w:sz w:val="28"/>
          <w:highlight w:val="none"/>
        </w:rPr>
      </w:pPr>
    </w:p>
    <w:p w14:paraId="5203E150">
      <w:pPr>
        <w:pageBreakBefore w:val="0"/>
        <w:kinsoku/>
        <w:overflowPunct/>
        <w:topLinePunct w:val="0"/>
        <w:bidi w:val="0"/>
        <w:spacing w:line="312" w:lineRule="auto"/>
        <w:ind w:left="420"/>
        <w:textAlignment w:val="auto"/>
        <w:rPr>
          <w:rFonts w:ascii="宋体" w:hAnsi="宋体"/>
          <w:b/>
          <w:color w:val="auto"/>
          <w:sz w:val="28"/>
          <w:highlight w:val="none"/>
        </w:rPr>
      </w:pPr>
    </w:p>
    <w:p w14:paraId="4FA69531">
      <w:pPr>
        <w:pageBreakBefore w:val="0"/>
        <w:kinsoku/>
        <w:overflowPunct/>
        <w:topLinePunct w:val="0"/>
        <w:bidi w:val="0"/>
        <w:spacing w:line="312" w:lineRule="auto"/>
        <w:ind w:left="420"/>
        <w:textAlignment w:val="auto"/>
        <w:rPr>
          <w:rFonts w:ascii="宋体" w:hAnsi="宋体"/>
          <w:b/>
          <w:color w:val="auto"/>
          <w:sz w:val="28"/>
          <w:highlight w:val="none"/>
        </w:rPr>
      </w:pPr>
    </w:p>
    <w:p w14:paraId="1D87978E">
      <w:pPr>
        <w:pageBreakBefore w:val="0"/>
        <w:kinsoku/>
        <w:overflowPunct/>
        <w:topLinePunct w:val="0"/>
        <w:bidi w:val="0"/>
        <w:spacing w:line="312" w:lineRule="auto"/>
        <w:ind w:left="420"/>
        <w:textAlignment w:val="auto"/>
        <w:rPr>
          <w:rFonts w:ascii="宋体" w:hAnsi="宋体"/>
          <w:b/>
          <w:color w:val="auto"/>
          <w:sz w:val="28"/>
          <w:highlight w:val="none"/>
        </w:rPr>
      </w:pPr>
    </w:p>
    <w:p w14:paraId="487FFF76">
      <w:pPr>
        <w:pageBreakBefore w:val="0"/>
        <w:kinsoku/>
        <w:overflowPunct/>
        <w:topLinePunct w:val="0"/>
        <w:bidi w:val="0"/>
        <w:spacing w:line="312" w:lineRule="auto"/>
        <w:textAlignment w:val="auto"/>
        <w:rPr>
          <w:rFonts w:ascii="宋体" w:hAnsi="宋体"/>
          <w:b/>
          <w:color w:val="auto"/>
          <w:sz w:val="28"/>
          <w:highlight w:val="none"/>
        </w:rPr>
      </w:pPr>
    </w:p>
    <w:p w14:paraId="7EC21319">
      <w:pPr>
        <w:pStyle w:val="6"/>
        <w:pageBreakBefore w:val="0"/>
        <w:kinsoku/>
        <w:overflowPunct/>
        <w:topLinePunct w:val="0"/>
        <w:bidi w:val="0"/>
        <w:spacing w:line="312" w:lineRule="auto"/>
        <w:textAlignment w:val="auto"/>
        <w:rPr>
          <w:color w:val="auto"/>
          <w:highlight w:val="none"/>
        </w:rPr>
      </w:pPr>
    </w:p>
    <w:p w14:paraId="3B7CECCE">
      <w:pPr>
        <w:pageBreakBefore w:val="0"/>
        <w:kinsoku/>
        <w:overflowPunct/>
        <w:topLinePunct w:val="0"/>
        <w:bidi w:val="0"/>
        <w:spacing w:line="312" w:lineRule="auto"/>
        <w:textAlignment w:val="auto"/>
        <w:rPr>
          <w:rFonts w:ascii="宋体" w:hAnsi="宋体"/>
          <w:b/>
          <w:color w:val="auto"/>
          <w:sz w:val="28"/>
          <w:highlight w:val="none"/>
        </w:rPr>
      </w:pPr>
      <w:r>
        <w:rPr>
          <w:rFonts w:hint="eastAsia" w:ascii="宋体" w:hAnsi="宋体"/>
          <w:b/>
          <w:color w:val="auto"/>
          <w:sz w:val="28"/>
          <w:highlight w:val="none"/>
        </w:rPr>
        <w:t>附件1</w:t>
      </w:r>
    </w:p>
    <w:p w14:paraId="4DDD6AAF">
      <w:pPr>
        <w:pageBreakBefore w:val="0"/>
        <w:kinsoku/>
        <w:overflowPunct/>
        <w:topLinePunct w:val="0"/>
        <w:bidi w:val="0"/>
        <w:adjustRightInd w:val="0"/>
        <w:snapToGrid w:val="0"/>
        <w:spacing w:line="312" w:lineRule="auto"/>
        <w:ind w:right="480"/>
        <w:jc w:val="center"/>
        <w:textAlignment w:val="auto"/>
        <w:rPr>
          <w:rFonts w:ascii="宋体" w:hAnsi="宋体"/>
          <w:b/>
          <w:color w:val="auto"/>
          <w:kern w:val="0"/>
          <w:sz w:val="32"/>
          <w:szCs w:val="32"/>
          <w:highlight w:val="none"/>
          <w:lang w:val="zh-CN"/>
        </w:rPr>
      </w:pPr>
      <w:bookmarkStart w:id="149" w:name="_Toc31708_WPSOffice_Level1"/>
      <w:bookmarkStart w:id="150" w:name="_Toc30723_WPSOffice_Level1"/>
      <w:r>
        <w:rPr>
          <w:rFonts w:hint="eastAsia" w:ascii="宋体" w:hAnsi="宋体"/>
          <w:b/>
          <w:color w:val="auto"/>
          <w:kern w:val="0"/>
          <w:sz w:val="32"/>
          <w:szCs w:val="32"/>
          <w:highlight w:val="none"/>
        </w:rPr>
        <w:t>磋商</w:t>
      </w:r>
      <w:r>
        <w:rPr>
          <w:rFonts w:hint="eastAsia" w:ascii="宋体" w:hAnsi="宋体"/>
          <w:b/>
          <w:color w:val="auto"/>
          <w:kern w:val="0"/>
          <w:sz w:val="32"/>
          <w:szCs w:val="32"/>
          <w:highlight w:val="none"/>
          <w:lang w:val="zh-CN"/>
        </w:rPr>
        <w:t>声明书</w:t>
      </w:r>
      <w:bookmarkEnd w:id="149"/>
      <w:bookmarkEnd w:id="150"/>
    </w:p>
    <w:p w14:paraId="3B960D87">
      <w:pPr>
        <w:pageBreakBefore w:val="0"/>
        <w:kinsoku/>
        <w:overflowPunct/>
        <w:topLinePunct w:val="0"/>
        <w:bidi w:val="0"/>
        <w:snapToGrid w:val="0"/>
        <w:spacing w:beforeLines="50" w:after="50" w:line="312" w:lineRule="auto"/>
        <w:textAlignment w:val="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采购代理机构名称</w:t>
      </w:r>
      <w:r>
        <w:rPr>
          <w:rFonts w:hint="eastAsia" w:ascii="宋体" w:hAnsi="宋体" w:cs="宋体"/>
          <w:color w:val="auto"/>
          <w:kern w:val="0"/>
          <w:sz w:val="24"/>
          <w:highlight w:val="none"/>
        </w:rPr>
        <w:t>）：</w:t>
      </w:r>
    </w:p>
    <w:p w14:paraId="6363D5A2">
      <w:pPr>
        <w:pageBreakBefore w:val="0"/>
        <w:kinsoku/>
        <w:overflowPunct/>
        <w:topLinePunct w:val="0"/>
        <w:bidi w:val="0"/>
        <w:snapToGrid w:val="0"/>
        <w:spacing w:line="312"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（供应商名称）系中华人民共和国合法企业，经营地址。</w:t>
      </w:r>
    </w:p>
    <w:p w14:paraId="1A1C923D">
      <w:pPr>
        <w:pageBreakBefore w:val="0"/>
        <w:kinsoku/>
        <w:overflowPunct/>
        <w:topLinePunct w:val="0"/>
        <w:bidi w:val="0"/>
        <w:snapToGrid w:val="0"/>
        <w:spacing w:line="312"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3037739F">
      <w:pPr>
        <w:pageBreakBefore w:val="0"/>
        <w:numPr>
          <w:ilvl w:val="0"/>
          <w:numId w:val="8"/>
        </w:numPr>
        <w:kinsoku/>
        <w:overflowPunct/>
        <w:topLinePunct w:val="0"/>
        <w:bidi w:val="0"/>
        <w:snapToGrid w:val="0"/>
        <w:spacing w:line="312"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供应商在截止投标时间近三年以来，如有上述所列情形，但限制期届满的，可按实陈述，并提供相应证明文件。】</w:t>
      </w:r>
    </w:p>
    <w:p w14:paraId="0386532D">
      <w:pPr>
        <w:pageBreakBefore w:val="0"/>
        <w:numPr>
          <w:ilvl w:val="0"/>
          <w:numId w:val="8"/>
        </w:numPr>
        <w:kinsoku/>
        <w:overflowPunct/>
        <w:topLinePunct w:val="0"/>
        <w:bidi w:val="0"/>
        <w:snapToGrid w:val="0"/>
        <w:spacing w:line="312"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我公司在参与投标前已详细审查了采购文件和所有相关资料，我方完全知悉并认为此采购文件没有倾向性，也没有存在排斥潜在供应商的内容，我方对采购文件的所有内容没有任何异议，不申请澄清和质疑。</w:t>
      </w:r>
    </w:p>
    <w:p w14:paraId="4D7F4C50">
      <w:pPr>
        <w:pageBreakBefore w:val="0"/>
        <w:numPr>
          <w:ilvl w:val="0"/>
          <w:numId w:val="8"/>
        </w:numPr>
        <w:kinsoku/>
        <w:overflowPunct/>
        <w:topLinePunct w:val="0"/>
        <w:bidi w:val="0"/>
        <w:snapToGrid w:val="0"/>
        <w:spacing w:line="312" w:lineRule="auto"/>
        <w:ind w:firstLine="480" w:firstLineChars="200"/>
        <w:textAlignment w:val="auto"/>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54565B72">
      <w:pPr>
        <w:pageBreakBefore w:val="0"/>
        <w:kinsoku/>
        <w:overflowPunct/>
        <w:topLinePunct w:val="0"/>
        <w:bidi w:val="0"/>
        <w:snapToGrid w:val="0"/>
        <w:spacing w:line="312" w:lineRule="auto"/>
        <w:ind w:firstLine="480" w:firstLineChars="200"/>
        <w:textAlignment w:val="auto"/>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3E9D97F1">
      <w:pPr>
        <w:pageBreakBefore w:val="0"/>
        <w:kinsoku/>
        <w:overflowPunct/>
        <w:topLinePunct w:val="0"/>
        <w:bidi w:val="0"/>
        <w:snapToGrid w:val="0"/>
        <w:spacing w:line="312" w:lineRule="auto"/>
        <w:ind w:firstLine="480" w:firstLineChars="200"/>
        <w:textAlignment w:val="auto"/>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66D01D56">
      <w:pPr>
        <w:pageBreakBefore w:val="0"/>
        <w:kinsoku/>
        <w:overflowPunct/>
        <w:topLinePunct w:val="0"/>
        <w:bidi w:val="0"/>
        <w:snapToGrid w:val="0"/>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2F6DA3C9">
      <w:pPr>
        <w:pageBreakBefore w:val="0"/>
        <w:kinsoku/>
        <w:overflowPunct/>
        <w:topLinePunct w:val="0"/>
        <w:bidi w:val="0"/>
        <w:adjustRightInd w:val="0"/>
        <w:snapToGrid w:val="0"/>
        <w:spacing w:line="312" w:lineRule="auto"/>
        <w:ind w:firstLine="200"/>
        <w:textAlignment w:val="auto"/>
        <w:rPr>
          <w:rFonts w:ascii="宋体" w:hAnsi="宋体" w:cs="仿宋_GB2312"/>
          <w:color w:val="auto"/>
          <w:kern w:val="0"/>
          <w:sz w:val="24"/>
          <w:highlight w:val="none"/>
        </w:rPr>
      </w:pPr>
    </w:p>
    <w:p w14:paraId="01D7833E">
      <w:pPr>
        <w:pageBreakBefore w:val="0"/>
        <w:kinsoku/>
        <w:overflowPunct/>
        <w:topLinePunct w:val="0"/>
        <w:bidi w:val="0"/>
        <w:adjustRightInd w:val="0"/>
        <w:snapToGrid w:val="0"/>
        <w:spacing w:line="312" w:lineRule="auto"/>
        <w:ind w:firstLine="4680" w:firstLineChars="195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r>
        <w:rPr>
          <w:rFonts w:hint="eastAsia" w:ascii="宋体"/>
          <w:color w:val="auto"/>
          <w:sz w:val="24"/>
          <w:highlight w:val="none"/>
        </w:rPr>
        <w:t>供应商全称（电子印章）</w:t>
      </w:r>
      <w:r>
        <w:rPr>
          <w:rFonts w:hint="eastAsia" w:ascii="宋体" w:hAnsi="宋体" w:cs="仿宋_GB2312"/>
          <w:color w:val="auto"/>
          <w:kern w:val="0"/>
          <w:sz w:val="24"/>
          <w:highlight w:val="none"/>
          <w:lang w:val="zh-CN"/>
        </w:rPr>
        <w:t>：</w:t>
      </w:r>
    </w:p>
    <w:p w14:paraId="754504A1">
      <w:pPr>
        <w:pageBreakBefore w:val="0"/>
        <w:kinsoku/>
        <w:overflowPunct/>
        <w:topLinePunct w:val="0"/>
        <w:bidi w:val="0"/>
        <w:adjustRightInd w:val="0"/>
        <w:snapToGrid w:val="0"/>
        <w:spacing w:line="312" w:lineRule="auto"/>
        <w:ind w:left="5281" w:leftChars="114" w:hanging="5042" w:hangingChars="2101"/>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1C1A31C1">
      <w:pPr>
        <w:pageBreakBefore w:val="0"/>
        <w:kinsoku/>
        <w:overflowPunct/>
        <w:topLinePunct w:val="0"/>
        <w:bidi w:val="0"/>
        <w:adjustRightInd w:val="0"/>
        <w:snapToGrid w:val="0"/>
        <w:spacing w:line="312" w:lineRule="auto"/>
        <w:ind w:right="480"/>
        <w:textAlignment w:val="auto"/>
        <w:rPr>
          <w:rFonts w:ascii="宋体" w:hAnsi="宋体"/>
          <w:b/>
          <w:color w:val="auto"/>
          <w:sz w:val="28"/>
          <w:highlight w:val="none"/>
        </w:rPr>
      </w:pPr>
    </w:p>
    <w:p w14:paraId="3EC52F5D">
      <w:pPr>
        <w:pageBreakBefore w:val="0"/>
        <w:kinsoku/>
        <w:overflowPunct/>
        <w:topLinePunct w:val="0"/>
        <w:bidi w:val="0"/>
        <w:adjustRightInd w:val="0"/>
        <w:snapToGrid w:val="0"/>
        <w:spacing w:line="312" w:lineRule="auto"/>
        <w:ind w:right="480"/>
        <w:textAlignment w:val="auto"/>
        <w:rPr>
          <w:rFonts w:ascii="宋体" w:hAnsi="宋体"/>
          <w:b/>
          <w:color w:val="auto"/>
          <w:sz w:val="28"/>
          <w:highlight w:val="none"/>
        </w:rPr>
      </w:pPr>
    </w:p>
    <w:p w14:paraId="25BBB35D">
      <w:pPr>
        <w:pageBreakBefore w:val="0"/>
        <w:kinsoku/>
        <w:overflowPunct/>
        <w:topLinePunct w:val="0"/>
        <w:bidi w:val="0"/>
        <w:adjustRightInd w:val="0"/>
        <w:snapToGrid w:val="0"/>
        <w:spacing w:line="312" w:lineRule="auto"/>
        <w:ind w:right="480"/>
        <w:textAlignment w:val="auto"/>
        <w:rPr>
          <w:rFonts w:ascii="宋体" w:hAnsi="宋体"/>
          <w:b/>
          <w:color w:val="auto"/>
          <w:sz w:val="28"/>
          <w:highlight w:val="none"/>
        </w:rPr>
      </w:pPr>
    </w:p>
    <w:p w14:paraId="65472329">
      <w:pPr>
        <w:pageBreakBefore w:val="0"/>
        <w:kinsoku/>
        <w:overflowPunct/>
        <w:topLinePunct w:val="0"/>
        <w:bidi w:val="0"/>
        <w:adjustRightInd w:val="0"/>
        <w:snapToGrid w:val="0"/>
        <w:spacing w:line="312" w:lineRule="auto"/>
        <w:ind w:right="480"/>
        <w:textAlignment w:val="auto"/>
        <w:rPr>
          <w:rFonts w:ascii="宋体" w:hAnsi="宋体"/>
          <w:b/>
          <w:color w:val="auto"/>
          <w:sz w:val="28"/>
          <w:highlight w:val="none"/>
        </w:rPr>
      </w:pPr>
    </w:p>
    <w:p w14:paraId="00F2F8A6">
      <w:pPr>
        <w:pStyle w:val="6"/>
        <w:pageBreakBefore w:val="0"/>
        <w:kinsoku/>
        <w:overflowPunct/>
        <w:topLinePunct w:val="0"/>
        <w:bidi w:val="0"/>
        <w:spacing w:line="312" w:lineRule="auto"/>
        <w:textAlignment w:val="auto"/>
        <w:rPr>
          <w:rFonts w:ascii="宋体" w:hAnsi="宋体"/>
          <w:b/>
          <w:color w:val="auto"/>
          <w:sz w:val="28"/>
          <w:highlight w:val="none"/>
        </w:rPr>
      </w:pPr>
    </w:p>
    <w:p w14:paraId="7C1CAB52">
      <w:pPr>
        <w:pageBreakBefore w:val="0"/>
        <w:kinsoku/>
        <w:overflowPunct/>
        <w:topLinePunct w:val="0"/>
        <w:bidi w:val="0"/>
        <w:adjustRightInd w:val="0"/>
        <w:snapToGrid w:val="0"/>
        <w:spacing w:line="312" w:lineRule="auto"/>
        <w:ind w:right="480"/>
        <w:textAlignment w:val="auto"/>
        <w:rPr>
          <w:rFonts w:ascii="宋体"/>
          <w:b/>
          <w:color w:val="auto"/>
          <w:sz w:val="30"/>
          <w:szCs w:val="30"/>
          <w:highlight w:val="none"/>
        </w:rPr>
      </w:pPr>
      <w:r>
        <w:rPr>
          <w:rFonts w:hint="eastAsia" w:ascii="宋体" w:hAnsi="宋体"/>
          <w:b/>
          <w:color w:val="auto"/>
          <w:sz w:val="28"/>
          <w:highlight w:val="none"/>
        </w:rPr>
        <w:t>附件2</w:t>
      </w:r>
    </w:p>
    <w:p w14:paraId="1DECFD92">
      <w:pPr>
        <w:pageBreakBefore w:val="0"/>
        <w:kinsoku/>
        <w:overflowPunct/>
        <w:topLinePunct w:val="0"/>
        <w:bidi w:val="0"/>
        <w:spacing w:line="312" w:lineRule="auto"/>
        <w:ind w:firstLine="321" w:firstLineChars="100"/>
        <w:jc w:val="center"/>
        <w:textAlignment w:val="auto"/>
        <w:rPr>
          <w:rFonts w:hAnsi="宋体"/>
          <w:b/>
          <w:color w:val="auto"/>
          <w:sz w:val="32"/>
          <w:szCs w:val="32"/>
          <w:highlight w:val="none"/>
          <w:u w:val="single"/>
        </w:rPr>
      </w:pPr>
      <w:bookmarkStart w:id="151" w:name="_Toc6870_WPSOffice_Level1"/>
      <w:bookmarkStart w:id="152"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151"/>
      <w:bookmarkEnd w:id="152"/>
    </w:p>
    <w:p w14:paraId="7634AC97">
      <w:pPr>
        <w:pageBreakBefore w:val="0"/>
        <w:kinsoku/>
        <w:overflowPunct/>
        <w:topLinePunct w:val="0"/>
        <w:bidi w:val="0"/>
        <w:snapToGrid w:val="0"/>
        <w:spacing w:beforeLines="50" w:after="50" w:line="312" w:lineRule="auto"/>
        <w:textAlignment w:val="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（采购代理机构名称）：</w:t>
      </w:r>
    </w:p>
    <w:p w14:paraId="1732F1E1">
      <w:pPr>
        <w:pStyle w:val="13"/>
        <w:pageBreakBefore w:val="0"/>
        <w:kinsoku/>
        <w:overflowPunct/>
        <w:topLinePunct w:val="0"/>
        <w:bidi w:val="0"/>
        <w:spacing w:line="312" w:lineRule="auto"/>
        <w:ind w:firstLine="480" w:firstLineChars="200"/>
        <w:textAlignment w:val="auto"/>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rPr>
        <w:t>项目的采购活动，并代表我方全权办理针对上述项目的</w:t>
      </w:r>
      <w:r>
        <w:rPr>
          <w:rFonts w:hint="eastAsia" w:hAnsi="宋体"/>
          <w:color w:val="auto"/>
          <w:sz w:val="24"/>
          <w:highlight w:val="none"/>
        </w:rPr>
        <w:t>磋商</w:t>
      </w:r>
      <w:r>
        <w:rPr>
          <w:rFonts w:hAnsi="宋体"/>
          <w:color w:val="auto"/>
          <w:sz w:val="24"/>
          <w:highlight w:val="none"/>
        </w:rPr>
        <w:t>、签约等具体事务和签署相关文件。</w:t>
      </w:r>
      <w:r>
        <w:rPr>
          <w:rFonts w:hint="eastAsia" w:hAnsi="宋体"/>
          <w:color w:val="auto"/>
          <w:sz w:val="24"/>
          <w:highlight w:val="none"/>
        </w:rPr>
        <w:t>我方对全权代表的签字事项负全部责任。</w:t>
      </w:r>
    </w:p>
    <w:p w14:paraId="145AA03D">
      <w:pPr>
        <w:pStyle w:val="13"/>
        <w:pageBreakBefore w:val="0"/>
        <w:kinsoku/>
        <w:overflowPunct/>
        <w:topLinePunct w:val="0"/>
        <w:bidi w:val="0"/>
        <w:spacing w:line="312" w:lineRule="auto"/>
        <w:ind w:firstLine="480" w:firstLineChars="200"/>
        <w:textAlignment w:val="auto"/>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7BAFEA92">
      <w:pPr>
        <w:pStyle w:val="13"/>
        <w:pageBreakBefore w:val="0"/>
        <w:kinsoku/>
        <w:overflowPunct/>
        <w:topLinePunct w:val="0"/>
        <w:bidi w:val="0"/>
        <w:spacing w:line="312" w:lineRule="auto"/>
        <w:ind w:firstLine="480" w:firstLineChars="200"/>
        <w:textAlignment w:val="auto"/>
        <w:rPr>
          <w:rFonts w:hAnsi="宋体"/>
          <w:color w:val="auto"/>
          <w:sz w:val="24"/>
          <w:highlight w:val="none"/>
        </w:rPr>
      </w:pPr>
      <w:r>
        <w:rPr>
          <w:rFonts w:hint="eastAsia" w:hAnsi="宋体"/>
          <w:color w:val="auto"/>
          <w:sz w:val="24"/>
          <w:highlight w:val="none"/>
        </w:rPr>
        <w:t>全权代表无转委托权，特此委托。</w:t>
      </w:r>
    </w:p>
    <w:p w14:paraId="3E4A439A">
      <w:pPr>
        <w:pageBreakBefore w:val="0"/>
        <w:kinsoku/>
        <w:overflowPunct/>
        <w:topLinePunct w:val="0"/>
        <w:bidi w:val="0"/>
        <w:spacing w:line="312" w:lineRule="auto"/>
        <w:textAlignment w:val="auto"/>
        <w:rPr>
          <w:rFonts w:ascii="宋体" w:hAnsi="宋体" w:cs="仿宋_GB2312"/>
          <w:color w:val="auto"/>
          <w:kern w:val="0"/>
          <w:sz w:val="24"/>
          <w:highlight w:val="none"/>
          <w:lang w:val="zh-CN"/>
        </w:rPr>
      </w:pPr>
    </w:p>
    <w:p w14:paraId="2F75387D">
      <w:pPr>
        <w:pageBreakBefore w:val="0"/>
        <w:kinsoku/>
        <w:overflowPunct/>
        <w:topLinePunct w:val="0"/>
        <w:bidi w:val="0"/>
        <w:spacing w:line="312" w:lineRule="auto"/>
        <w:textAlignment w:val="auto"/>
        <w:rPr>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color w:val="auto"/>
          <w:sz w:val="24"/>
          <w:highlight w:val="none"/>
        </w:rPr>
        <w:t>：</w:t>
      </w:r>
    </w:p>
    <w:p w14:paraId="00D42DF9">
      <w:pPr>
        <w:pageBreakBefore w:val="0"/>
        <w:kinsoku/>
        <w:overflowPunct/>
        <w:topLinePunct w:val="0"/>
        <w:bidi w:val="0"/>
        <w:spacing w:line="312" w:lineRule="auto"/>
        <w:textAlignment w:val="auto"/>
        <w:rPr>
          <w:color w:val="auto"/>
          <w:sz w:val="24"/>
          <w:highlight w:val="none"/>
        </w:rPr>
      </w:pPr>
      <w:r>
        <w:rPr>
          <w:rFonts w:hint="eastAsia" w:ascii="宋体"/>
          <w:color w:val="auto"/>
          <w:sz w:val="24"/>
          <w:highlight w:val="none"/>
        </w:rPr>
        <w:t>供应商全称（电子印章）：                              日期：</w:t>
      </w:r>
    </w:p>
    <w:p w14:paraId="17D2E0CD">
      <w:pPr>
        <w:pageBreakBefore w:val="0"/>
        <w:kinsoku/>
        <w:overflowPunct/>
        <w:topLinePunct w:val="0"/>
        <w:bidi w:val="0"/>
        <w:spacing w:line="312" w:lineRule="auto"/>
        <w:textAlignment w:val="auto"/>
        <w:rPr>
          <w:color w:val="auto"/>
          <w:sz w:val="24"/>
          <w:highlight w:val="none"/>
        </w:rPr>
      </w:pPr>
    </w:p>
    <w:p w14:paraId="2F88BEDD">
      <w:pPr>
        <w:pageBreakBefore w:val="0"/>
        <w:kinsoku/>
        <w:overflowPunct/>
        <w:topLinePunct w:val="0"/>
        <w:bidi w:val="0"/>
        <w:spacing w:line="312" w:lineRule="auto"/>
        <w:textAlignment w:val="auto"/>
        <w:rPr>
          <w:b/>
          <w:color w:val="auto"/>
          <w:sz w:val="24"/>
          <w:highlight w:val="none"/>
        </w:rPr>
      </w:pPr>
      <w:r>
        <w:rPr>
          <w:rFonts w:hint="eastAsia" w:ascii="宋体"/>
          <w:b/>
          <w:color w:val="auto"/>
          <w:sz w:val="24"/>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ABD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A296449">
            <w:pPr>
              <w:pageBreakBefore w:val="0"/>
              <w:kinsoku/>
              <w:overflowPunct/>
              <w:topLinePunct w:val="0"/>
              <w:bidi w:val="0"/>
              <w:spacing w:line="312" w:lineRule="auto"/>
              <w:textAlignment w:val="auto"/>
              <w:rPr>
                <w:rFonts w:ascii="宋体"/>
                <w:b/>
                <w:color w:val="auto"/>
                <w:sz w:val="24"/>
                <w:highlight w:val="none"/>
              </w:rPr>
            </w:pPr>
          </w:p>
          <w:p w14:paraId="005B2FF6">
            <w:pPr>
              <w:pageBreakBefore w:val="0"/>
              <w:kinsoku/>
              <w:overflowPunct/>
              <w:topLinePunct w:val="0"/>
              <w:bidi w:val="0"/>
              <w:spacing w:line="312" w:lineRule="auto"/>
              <w:ind w:firstLine="361" w:firstLineChars="150"/>
              <w:textAlignment w:val="auto"/>
              <w:rPr>
                <w:rFonts w:ascii="宋体"/>
                <w:b/>
                <w:color w:val="auto"/>
                <w:sz w:val="24"/>
                <w:highlight w:val="none"/>
              </w:rPr>
            </w:pPr>
            <w:r>
              <w:rPr>
                <w:rFonts w:hint="eastAsia" w:ascii="宋体"/>
                <w:b/>
                <w:color w:val="auto"/>
                <w:sz w:val="24"/>
                <w:highlight w:val="none"/>
              </w:rPr>
              <w:t>法定代表身份证复印件粘贴处</w:t>
            </w:r>
          </w:p>
        </w:tc>
      </w:tr>
    </w:tbl>
    <w:p w14:paraId="4BDD20DE">
      <w:pPr>
        <w:pageBreakBefore w:val="0"/>
        <w:kinsoku/>
        <w:overflowPunct/>
        <w:topLinePunct w:val="0"/>
        <w:bidi w:val="0"/>
        <w:spacing w:line="312" w:lineRule="auto"/>
        <w:textAlignment w:val="auto"/>
        <w:rPr>
          <w:color w:val="auto"/>
          <w:sz w:val="24"/>
          <w:highlight w:val="none"/>
        </w:rPr>
      </w:pPr>
      <w:r>
        <w:rPr>
          <w:rFonts w:hint="eastAsia" w:ascii="宋体"/>
          <w:color w:val="auto"/>
          <w:sz w:val="24"/>
          <w:highlight w:val="none"/>
        </w:rPr>
        <w:t xml:space="preserve">法定代表人姓名：                                 </w:t>
      </w:r>
    </w:p>
    <w:p w14:paraId="527E62AE">
      <w:pPr>
        <w:pageBreakBefore w:val="0"/>
        <w:kinsoku/>
        <w:overflowPunct/>
        <w:topLinePunct w:val="0"/>
        <w:bidi w:val="0"/>
        <w:spacing w:line="312" w:lineRule="auto"/>
        <w:textAlignment w:val="auto"/>
        <w:rPr>
          <w:color w:val="auto"/>
          <w:sz w:val="24"/>
          <w:highlight w:val="none"/>
        </w:rPr>
      </w:pPr>
      <w:r>
        <w:rPr>
          <w:rFonts w:hint="eastAsia" w:ascii="宋体"/>
          <w:color w:val="auto"/>
          <w:sz w:val="24"/>
          <w:highlight w:val="none"/>
        </w:rPr>
        <w:t>传真：</w:t>
      </w:r>
    </w:p>
    <w:p w14:paraId="4170BC4E">
      <w:pPr>
        <w:pageBreakBefore w:val="0"/>
        <w:kinsoku/>
        <w:overflowPunct/>
        <w:topLinePunct w:val="0"/>
        <w:bidi w:val="0"/>
        <w:spacing w:line="312" w:lineRule="auto"/>
        <w:textAlignment w:val="auto"/>
        <w:rPr>
          <w:rFonts w:ascii="宋体"/>
          <w:color w:val="auto"/>
          <w:sz w:val="24"/>
          <w:highlight w:val="none"/>
        </w:rPr>
      </w:pPr>
      <w:r>
        <w:rPr>
          <w:rFonts w:hint="eastAsia" w:ascii="宋体"/>
          <w:color w:val="auto"/>
          <w:sz w:val="24"/>
          <w:highlight w:val="none"/>
        </w:rPr>
        <w:t>电话：</w:t>
      </w:r>
    </w:p>
    <w:p w14:paraId="02D1C7EE">
      <w:pPr>
        <w:pageBreakBefore w:val="0"/>
        <w:kinsoku/>
        <w:overflowPunct/>
        <w:topLinePunct w:val="0"/>
        <w:bidi w:val="0"/>
        <w:spacing w:line="312" w:lineRule="auto"/>
        <w:textAlignment w:val="auto"/>
        <w:rPr>
          <w:color w:val="auto"/>
          <w:sz w:val="24"/>
          <w:highlight w:val="none"/>
        </w:rPr>
      </w:pPr>
      <w:r>
        <w:rPr>
          <w:rFonts w:hint="eastAsia" w:ascii="宋体"/>
          <w:color w:val="auto"/>
          <w:sz w:val="24"/>
          <w:highlight w:val="none"/>
        </w:rPr>
        <w:t>详细通讯地址：</w:t>
      </w:r>
    </w:p>
    <w:p w14:paraId="75ABEC81">
      <w:pPr>
        <w:pageBreakBefore w:val="0"/>
        <w:kinsoku/>
        <w:overflowPunct/>
        <w:topLinePunct w:val="0"/>
        <w:bidi w:val="0"/>
        <w:spacing w:line="312" w:lineRule="auto"/>
        <w:textAlignment w:val="auto"/>
        <w:rPr>
          <w:rFonts w:ascii="宋体"/>
          <w:color w:val="auto"/>
          <w:sz w:val="24"/>
          <w:highlight w:val="none"/>
        </w:rPr>
      </w:pPr>
      <w:r>
        <w:rPr>
          <w:rFonts w:hint="eastAsia" w:ascii="宋体"/>
          <w:color w:val="auto"/>
          <w:sz w:val="24"/>
          <w:highlight w:val="none"/>
        </w:rPr>
        <w:t>邮政编码：</w:t>
      </w:r>
    </w:p>
    <w:p w14:paraId="7B0C5DCD">
      <w:pPr>
        <w:pageBreakBefore w:val="0"/>
        <w:kinsoku/>
        <w:overflowPunct/>
        <w:topLinePunct w:val="0"/>
        <w:bidi w:val="0"/>
        <w:spacing w:line="312" w:lineRule="auto"/>
        <w:textAlignment w:val="auto"/>
        <w:rPr>
          <w:b/>
          <w:color w:val="auto"/>
          <w:sz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99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4DD44D5">
            <w:pPr>
              <w:pageBreakBefore w:val="0"/>
              <w:kinsoku/>
              <w:overflowPunct/>
              <w:topLinePunct w:val="0"/>
              <w:bidi w:val="0"/>
              <w:spacing w:line="312" w:lineRule="auto"/>
              <w:textAlignment w:val="auto"/>
              <w:rPr>
                <w:rFonts w:ascii="宋体"/>
                <w:b/>
                <w:color w:val="auto"/>
                <w:sz w:val="24"/>
                <w:highlight w:val="none"/>
              </w:rPr>
            </w:pPr>
          </w:p>
          <w:p w14:paraId="49E93EAE">
            <w:pPr>
              <w:pageBreakBefore w:val="0"/>
              <w:kinsoku/>
              <w:overflowPunct/>
              <w:topLinePunct w:val="0"/>
              <w:bidi w:val="0"/>
              <w:spacing w:line="312" w:lineRule="auto"/>
              <w:ind w:firstLine="361" w:firstLineChars="150"/>
              <w:textAlignment w:val="auto"/>
              <w:rPr>
                <w:rFonts w:ascii="宋体"/>
                <w:b/>
                <w:color w:val="auto"/>
                <w:sz w:val="24"/>
                <w:highlight w:val="none"/>
              </w:rPr>
            </w:pPr>
            <w:r>
              <w:rPr>
                <w:rFonts w:hint="eastAsia" w:ascii="宋体"/>
                <w:b/>
                <w:color w:val="auto"/>
                <w:sz w:val="24"/>
                <w:highlight w:val="none"/>
              </w:rPr>
              <w:t>全权代表身份证复印件粘贴处</w:t>
            </w:r>
          </w:p>
        </w:tc>
      </w:tr>
    </w:tbl>
    <w:p w14:paraId="3592DCA6">
      <w:pPr>
        <w:pageBreakBefore w:val="0"/>
        <w:kinsoku/>
        <w:overflowPunct/>
        <w:topLinePunct w:val="0"/>
        <w:bidi w:val="0"/>
        <w:spacing w:line="312" w:lineRule="auto"/>
        <w:textAlignment w:val="auto"/>
        <w:rPr>
          <w:rFonts w:ascii="宋体"/>
          <w:color w:val="auto"/>
          <w:sz w:val="24"/>
          <w:highlight w:val="none"/>
        </w:rPr>
      </w:pPr>
      <w:r>
        <w:rPr>
          <w:rFonts w:hint="eastAsia" w:ascii="宋体"/>
          <w:color w:val="auto"/>
          <w:sz w:val="24"/>
          <w:highlight w:val="none"/>
        </w:rPr>
        <w:t xml:space="preserve">全权代表姓名：       </w:t>
      </w:r>
    </w:p>
    <w:p w14:paraId="4E567E2F">
      <w:pPr>
        <w:pageBreakBefore w:val="0"/>
        <w:kinsoku/>
        <w:overflowPunct/>
        <w:topLinePunct w:val="0"/>
        <w:bidi w:val="0"/>
        <w:spacing w:line="312" w:lineRule="auto"/>
        <w:textAlignment w:val="auto"/>
        <w:rPr>
          <w:color w:val="auto"/>
          <w:sz w:val="24"/>
          <w:highlight w:val="none"/>
        </w:rPr>
      </w:pPr>
      <w:r>
        <w:rPr>
          <w:rFonts w:hint="eastAsia" w:ascii="宋体"/>
          <w:color w:val="auto"/>
          <w:sz w:val="24"/>
          <w:highlight w:val="none"/>
        </w:rPr>
        <w:t xml:space="preserve">职务：                           </w:t>
      </w:r>
    </w:p>
    <w:p w14:paraId="14B5F0B2">
      <w:pPr>
        <w:pageBreakBefore w:val="0"/>
        <w:kinsoku/>
        <w:overflowPunct/>
        <w:topLinePunct w:val="0"/>
        <w:bidi w:val="0"/>
        <w:spacing w:line="312" w:lineRule="auto"/>
        <w:textAlignment w:val="auto"/>
        <w:rPr>
          <w:color w:val="auto"/>
          <w:sz w:val="24"/>
          <w:highlight w:val="none"/>
        </w:rPr>
      </w:pPr>
      <w:r>
        <w:rPr>
          <w:rFonts w:hint="eastAsia" w:ascii="宋体"/>
          <w:color w:val="auto"/>
          <w:sz w:val="24"/>
          <w:highlight w:val="none"/>
        </w:rPr>
        <w:t>传真：</w:t>
      </w:r>
    </w:p>
    <w:p w14:paraId="1AB61DF5">
      <w:pPr>
        <w:pageBreakBefore w:val="0"/>
        <w:kinsoku/>
        <w:overflowPunct/>
        <w:topLinePunct w:val="0"/>
        <w:bidi w:val="0"/>
        <w:spacing w:line="312" w:lineRule="auto"/>
        <w:textAlignment w:val="auto"/>
        <w:rPr>
          <w:rFonts w:ascii="宋体"/>
          <w:color w:val="auto"/>
          <w:sz w:val="24"/>
          <w:highlight w:val="none"/>
        </w:rPr>
      </w:pPr>
      <w:r>
        <w:rPr>
          <w:rFonts w:hint="eastAsia" w:ascii="宋体"/>
          <w:color w:val="auto"/>
          <w:sz w:val="24"/>
          <w:highlight w:val="none"/>
        </w:rPr>
        <w:t>电话：</w:t>
      </w:r>
    </w:p>
    <w:p w14:paraId="27382B4C">
      <w:pPr>
        <w:pageBreakBefore w:val="0"/>
        <w:kinsoku/>
        <w:overflowPunct/>
        <w:topLinePunct w:val="0"/>
        <w:bidi w:val="0"/>
        <w:spacing w:line="312" w:lineRule="auto"/>
        <w:textAlignment w:val="auto"/>
        <w:rPr>
          <w:color w:val="auto"/>
          <w:sz w:val="24"/>
          <w:highlight w:val="none"/>
        </w:rPr>
      </w:pPr>
      <w:r>
        <w:rPr>
          <w:rFonts w:hint="eastAsia" w:ascii="宋体"/>
          <w:color w:val="auto"/>
          <w:sz w:val="24"/>
          <w:highlight w:val="none"/>
        </w:rPr>
        <w:t>详细通讯地址：</w:t>
      </w:r>
    </w:p>
    <w:p w14:paraId="709D7A37">
      <w:pPr>
        <w:pageBreakBefore w:val="0"/>
        <w:kinsoku/>
        <w:overflowPunct/>
        <w:topLinePunct w:val="0"/>
        <w:bidi w:val="0"/>
        <w:spacing w:line="312" w:lineRule="auto"/>
        <w:textAlignment w:val="auto"/>
        <w:rPr>
          <w:rFonts w:ascii="宋体"/>
          <w:color w:val="auto"/>
          <w:sz w:val="24"/>
          <w:highlight w:val="none"/>
        </w:rPr>
      </w:pPr>
      <w:r>
        <w:rPr>
          <w:rFonts w:hint="eastAsia" w:ascii="宋体"/>
          <w:color w:val="auto"/>
          <w:sz w:val="24"/>
          <w:highlight w:val="none"/>
        </w:rPr>
        <w:t>邮政编码：</w:t>
      </w:r>
    </w:p>
    <w:p w14:paraId="6227EE09">
      <w:pPr>
        <w:pageBreakBefore w:val="0"/>
        <w:kinsoku/>
        <w:overflowPunct/>
        <w:topLinePunct w:val="0"/>
        <w:bidi w:val="0"/>
        <w:spacing w:line="312" w:lineRule="auto"/>
        <w:textAlignment w:val="auto"/>
        <w:rPr>
          <w:rFonts w:ascii="宋体" w:hAnsi="宋体"/>
          <w:b/>
          <w:color w:val="auto"/>
          <w:sz w:val="28"/>
          <w:highlight w:val="none"/>
        </w:rPr>
      </w:pPr>
    </w:p>
    <w:p w14:paraId="28E3F68D">
      <w:pPr>
        <w:pageBreakBefore w:val="0"/>
        <w:kinsoku/>
        <w:overflowPunct/>
        <w:topLinePunct w:val="0"/>
        <w:bidi w:val="0"/>
        <w:spacing w:line="312" w:lineRule="auto"/>
        <w:textAlignment w:val="auto"/>
        <w:rPr>
          <w:rFonts w:ascii="宋体" w:hAnsi="宋体"/>
          <w:b/>
          <w:color w:val="auto"/>
          <w:sz w:val="28"/>
          <w:highlight w:val="none"/>
        </w:rPr>
      </w:pPr>
    </w:p>
    <w:p w14:paraId="723B1B41">
      <w:pPr>
        <w:pageBreakBefore w:val="0"/>
        <w:kinsoku/>
        <w:overflowPunct/>
        <w:topLinePunct w:val="0"/>
        <w:bidi w:val="0"/>
        <w:spacing w:line="312" w:lineRule="auto"/>
        <w:textAlignment w:val="auto"/>
        <w:rPr>
          <w:rFonts w:ascii="宋体" w:hAnsi="宋体"/>
          <w:b/>
          <w:color w:val="auto"/>
          <w:sz w:val="28"/>
          <w:highlight w:val="none"/>
        </w:rPr>
      </w:pPr>
    </w:p>
    <w:p w14:paraId="5E2EF894">
      <w:pPr>
        <w:pageBreakBefore w:val="0"/>
        <w:kinsoku/>
        <w:overflowPunct/>
        <w:topLinePunct w:val="0"/>
        <w:bidi w:val="0"/>
        <w:spacing w:line="312" w:lineRule="auto"/>
        <w:textAlignment w:val="auto"/>
        <w:rPr>
          <w:rFonts w:ascii="宋体" w:hAnsi="宋体"/>
          <w:b/>
          <w:color w:val="auto"/>
          <w:sz w:val="28"/>
          <w:highlight w:val="none"/>
        </w:rPr>
      </w:pPr>
    </w:p>
    <w:p w14:paraId="04BCC7FE">
      <w:pPr>
        <w:pageBreakBefore w:val="0"/>
        <w:kinsoku/>
        <w:overflowPunct/>
        <w:topLinePunct w:val="0"/>
        <w:bidi w:val="0"/>
        <w:spacing w:line="312" w:lineRule="auto"/>
        <w:textAlignment w:val="auto"/>
        <w:rPr>
          <w:rFonts w:ascii="宋体" w:hAnsi="宋体"/>
          <w:b/>
          <w:color w:val="auto"/>
          <w:sz w:val="28"/>
          <w:highlight w:val="none"/>
        </w:rPr>
      </w:pPr>
    </w:p>
    <w:p w14:paraId="68A621F4">
      <w:pPr>
        <w:pageBreakBefore w:val="0"/>
        <w:kinsoku/>
        <w:overflowPunct/>
        <w:topLinePunct w:val="0"/>
        <w:bidi w:val="0"/>
        <w:spacing w:line="312" w:lineRule="auto"/>
        <w:textAlignment w:val="auto"/>
        <w:rPr>
          <w:rFonts w:ascii="宋体" w:hAnsi="宋体"/>
          <w:b/>
          <w:color w:val="auto"/>
          <w:sz w:val="28"/>
          <w:highlight w:val="none"/>
        </w:rPr>
      </w:pPr>
    </w:p>
    <w:p w14:paraId="329BC434">
      <w:pPr>
        <w:pageBreakBefore w:val="0"/>
        <w:kinsoku/>
        <w:overflowPunct/>
        <w:topLinePunct w:val="0"/>
        <w:bidi w:val="0"/>
        <w:spacing w:line="312" w:lineRule="auto"/>
        <w:textAlignment w:val="auto"/>
        <w:rPr>
          <w:rFonts w:ascii="宋体" w:hAnsi="宋体"/>
          <w:b/>
          <w:color w:val="auto"/>
          <w:sz w:val="28"/>
          <w:highlight w:val="none"/>
        </w:rPr>
      </w:pPr>
      <w:bookmarkStart w:id="153" w:name="_Toc26389_WPSOffice_Level1"/>
      <w:bookmarkStart w:id="154" w:name="_Toc12331_WPSOffice_Level1"/>
      <w:bookmarkStart w:id="155" w:name="_Toc16825_WPSOffice_Level1"/>
      <w:r>
        <w:rPr>
          <w:rFonts w:hint="eastAsia" w:ascii="宋体" w:hAnsi="宋体"/>
          <w:b/>
          <w:color w:val="auto"/>
          <w:sz w:val="28"/>
          <w:highlight w:val="none"/>
        </w:rPr>
        <w:t>附件3</w:t>
      </w:r>
    </w:p>
    <w:p w14:paraId="53840A32">
      <w:pPr>
        <w:pageBreakBefore w:val="0"/>
        <w:widowControl/>
        <w:kinsoku/>
        <w:overflowPunct/>
        <w:topLinePunct w:val="0"/>
        <w:bidi w:val="0"/>
        <w:adjustRightInd w:val="0"/>
        <w:snapToGrid w:val="0"/>
        <w:spacing w:line="312" w:lineRule="auto"/>
        <w:jc w:val="center"/>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3E4EC96F">
      <w:pPr>
        <w:pageBreakBefore w:val="0"/>
        <w:widowControl/>
        <w:kinsoku/>
        <w:overflowPunct/>
        <w:topLinePunct w:val="0"/>
        <w:bidi w:val="0"/>
        <w:adjustRightInd w:val="0"/>
        <w:snapToGrid w:val="0"/>
        <w:spacing w:line="312" w:lineRule="auto"/>
        <w:jc w:val="center"/>
        <w:textAlignment w:val="auto"/>
        <w:rPr>
          <w:rFonts w:ascii="宋体" w:hAnsi="宋体"/>
          <w:b/>
          <w:color w:val="auto"/>
          <w:kern w:val="0"/>
          <w:sz w:val="32"/>
          <w:szCs w:val="32"/>
          <w:highlight w:val="none"/>
        </w:rPr>
      </w:pPr>
    </w:p>
    <w:p w14:paraId="3CE9D133">
      <w:pPr>
        <w:pageBreakBefore w:val="0"/>
        <w:widowControl/>
        <w:kinsoku/>
        <w:overflowPunct/>
        <w:topLinePunct w:val="0"/>
        <w:bidi w:val="0"/>
        <w:adjustRightInd w:val="0"/>
        <w:snapToGrid w:val="0"/>
        <w:spacing w:line="312" w:lineRule="auto"/>
        <w:jc w:val="left"/>
        <w:textAlignment w:val="auto"/>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6DB912B6">
      <w:pPr>
        <w:pageBreakBefore w:val="0"/>
        <w:kinsoku/>
        <w:overflowPunct/>
        <w:topLinePunct w:val="0"/>
        <w:bidi w:val="0"/>
        <w:adjustRightInd w:val="0"/>
        <w:snapToGrid w:val="0"/>
        <w:spacing w:line="312" w:lineRule="auto"/>
        <w:jc w:val="left"/>
        <w:textAlignment w:val="auto"/>
        <w:rPr>
          <w:rFonts w:ascii="宋体" w:hAnsi="宋体"/>
          <w:b/>
          <w:color w:val="auto"/>
          <w:kern w:val="0"/>
          <w:sz w:val="32"/>
          <w:szCs w:val="32"/>
          <w:highlight w:val="none"/>
        </w:rPr>
      </w:pPr>
    </w:p>
    <w:p w14:paraId="30F7869E">
      <w:pPr>
        <w:pageBreakBefore w:val="0"/>
        <w:widowControl/>
        <w:shd w:val="clear" w:color="auto" w:fill="FFFFFF"/>
        <w:kinsoku/>
        <w:overflowPunct/>
        <w:topLinePunct w:val="0"/>
        <w:bidi w:val="0"/>
        <w:spacing w:before="100" w:beforeAutospacing="1" w:after="100" w:afterAutospacing="1" w:line="312" w:lineRule="auto"/>
        <w:jc w:val="left"/>
        <w:textAlignment w:val="auto"/>
        <w:rPr>
          <w:rFonts w:ascii="宋体" w:hAnsi="宋体"/>
          <w:color w:val="auto"/>
          <w:kern w:val="0"/>
          <w:sz w:val="24"/>
          <w:highlight w:val="none"/>
        </w:rPr>
      </w:pPr>
      <w:r>
        <w:rPr>
          <w:rFonts w:hint="eastAsia" w:ascii="宋体" w:hAnsi="宋体"/>
          <w:color w:val="auto"/>
          <w:kern w:val="0"/>
          <w:sz w:val="24"/>
          <w:highlight w:val="none"/>
          <w:u w:val="single"/>
        </w:rPr>
        <w:t>中共台州市委宣传部</w:t>
      </w:r>
      <w:r>
        <w:rPr>
          <w:rFonts w:ascii="宋体" w:hAnsi="宋体"/>
          <w:color w:val="auto"/>
          <w:kern w:val="0"/>
          <w:sz w:val="24"/>
          <w:highlight w:val="none"/>
        </w:rPr>
        <w:t>：</w:t>
      </w:r>
    </w:p>
    <w:p w14:paraId="3E7D2B82">
      <w:pPr>
        <w:pageBreakBefore w:val="0"/>
        <w:widowControl/>
        <w:shd w:val="clear" w:color="auto" w:fill="FFFFFF"/>
        <w:kinsoku/>
        <w:overflowPunct/>
        <w:topLinePunct w:val="0"/>
        <w:bidi w:val="0"/>
        <w:spacing w:before="100" w:beforeAutospacing="1" w:after="100" w:afterAutospacing="1" w:line="312" w:lineRule="auto"/>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37DC79B8">
      <w:pPr>
        <w:pageBreakBefore w:val="0"/>
        <w:widowControl/>
        <w:shd w:val="clear" w:color="auto" w:fill="FFFFFF"/>
        <w:kinsoku/>
        <w:overflowPunct/>
        <w:topLinePunct w:val="0"/>
        <w:bidi w:val="0"/>
        <w:spacing w:before="100" w:beforeAutospacing="1" w:after="100" w:afterAutospacing="1" w:line="312" w:lineRule="auto"/>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744962D">
      <w:pPr>
        <w:pageBreakBefore w:val="0"/>
        <w:kinsoku/>
        <w:overflowPunct/>
        <w:topLinePunct w:val="0"/>
        <w:bidi w:val="0"/>
        <w:adjustRightInd w:val="0"/>
        <w:snapToGrid w:val="0"/>
        <w:spacing w:line="312" w:lineRule="auto"/>
        <w:ind w:firstLine="4838" w:firstLineChars="2016"/>
        <w:textAlignment w:val="auto"/>
        <w:rPr>
          <w:rFonts w:ascii="宋体" w:hAnsi="宋体" w:cs="仿宋_GB2312"/>
          <w:color w:val="auto"/>
          <w:kern w:val="0"/>
          <w:sz w:val="24"/>
          <w:highlight w:val="none"/>
          <w:lang w:val="zh-CN"/>
        </w:rPr>
      </w:pPr>
      <w:r>
        <w:rPr>
          <w:rFonts w:hint="eastAsia" w:ascii="宋体"/>
          <w:color w:val="auto"/>
          <w:sz w:val="24"/>
          <w:highlight w:val="none"/>
        </w:rPr>
        <w:t>供应商全称（电子印章）</w:t>
      </w:r>
      <w:r>
        <w:rPr>
          <w:rFonts w:hint="eastAsia" w:ascii="宋体" w:hAnsi="宋体" w:cs="仿宋_GB2312"/>
          <w:color w:val="auto"/>
          <w:kern w:val="0"/>
          <w:sz w:val="24"/>
          <w:highlight w:val="none"/>
          <w:lang w:val="zh-CN"/>
        </w:rPr>
        <w:t>：</w:t>
      </w:r>
    </w:p>
    <w:p w14:paraId="3FC76C65">
      <w:pPr>
        <w:pageBreakBefore w:val="0"/>
        <w:kinsoku/>
        <w:overflowPunct/>
        <w:topLinePunct w:val="0"/>
        <w:bidi w:val="0"/>
        <w:adjustRightInd w:val="0"/>
        <w:snapToGrid w:val="0"/>
        <w:spacing w:line="312" w:lineRule="auto"/>
        <w:ind w:firstLine="4838" w:firstLineChars="2016"/>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65181BFD">
      <w:pPr>
        <w:pageBreakBefore w:val="0"/>
        <w:kinsoku/>
        <w:overflowPunct/>
        <w:topLinePunct w:val="0"/>
        <w:bidi w:val="0"/>
        <w:adjustRightInd w:val="0"/>
        <w:snapToGrid w:val="0"/>
        <w:spacing w:line="312" w:lineRule="auto"/>
        <w:ind w:firstLine="4838" w:firstLineChars="2016"/>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07224867">
      <w:pPr>
        <w:pageBreakBefore w:val="0"/>
        <w:kinsoku/>
        <w:overflowPunct/>
        <w:topLinePunct w:val="0"/>
        <w:bidi w:val="0"/>
        <w:spacing w:line="312" w:lineRule="auto"/>
        <w:textAlignment w:val="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1030FA71">
      <w:pPr>
        <w:pageBreakBefore w:val="0"/>
        <w:kinsoku/>
        <w:overflowPunct/>
        <w:topLinePunct w:val="0"/>
        <w:bidi w:val="0"/>
        <w:spacing w:line="312" w:lineRule="auto"/>
        <w:jc w:val="center"/>
        <w:textAlignment w:val="auto"/>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16946B35">
      <w:pPr>
        <w:pageBreakBefore w:val="0"/>
        <w:kinsoku/>
        <w:overflowPunct/>
        <w:topLinePunct w:val="0"/>
        <w:bidi w:val="0"/>
        <w:spacing w:line="312" w:lineRule="auto"/>
        <w:jc w:val="center"/>
        <w:textAlignment w:val="auto"/>
        <w:rPr>
          <w:rFonts w:ascii="宋体" w:hAnsi="宋体"/>
          <w:b/>
          <w:color w:val="auto"/>
          <w:kern w:val="0"/>
          <w:sz w:val="32"/>
          <w:szCs w:val="32"/>
          <w:highlight w:val="none"/>
        </w:rPr>
      </w:pPr>
    </w:p>
    <w:p w14:paraId="512600D7">
      <w:pPr>
        <w:pageBreakBefore w:val="0"/>
        <w:widowControl/>
        <w:shd w:val="clear" w:color="auto" w:fill="FFFFFF"/>
        <w:kinsoku/>
        <w:overflowPunct/>
        <w:topLinePunct w:val="0"/>
        <w:bidi w:val="0"/>
        <w:spacing w:before="100" w:beforeAutospacing="1" w:after="100" w:afterAutospacing="1" w:line="312" w:lineRule="auto"/>
        <w:jc w:val="left"/>
        <w:textAlignment w:val="auto"/>
        <w:rPr>
          <w:rFonts w:ascii="宋体" w:hAnsi="宋体"/>
          <w:color w:val="auto"/>
          <w:kern w:val="0"/>
          <w:sz w:val="24"/>
          <w:highlight w:val="none"/>
        </w:rPr>
      </w:pPr>
      <w:r>
        <w:rPr>
          <w:rFonts w:hint="eastAsia" w:ascii="宋体" w:hAnsi="宋体"/>
          <w:color w:val="auto"/>
          <w:kern w:val="0"/>
          <w:sz w:val="24"/>
          <w:highlight w:val="none"/>
          <w:u w:val="single"/>
        </w:rPr>
        <w:t>中共台州市委宣传部</w:t>
      </w:r>
      <w:r>
        <w:rPr>
          <w:rFonts w:ascii="宋体" w:hAnsi="宋体"/>
          <w:color w:val="auto"/>
          <w:kern w:val="0"/>
          <w:sz w:val="24"/>
          <w:highlight w:val="none"/>
        </w:rPr>
        <w:t>：</w:t>
      </w:r>
    </w:p>
    <w:p w14:paraId="3904674F">
      <w:pPr>
        <w:pageBreakBefore w:val="0"/>
        <w:widowControl/>
        <w:shd w:val="clear" w:color="auto" w:fill="FFFFFF"/>
        <w:kinsoku/>
        <w:overflowPunct/>
        <w:topLinePunct w:val="0"/>
        <w:bidi w:val="0"/>
        <w:spacing w:before="100" w:beforeAutospacing="1" w:after="100" w:afterAutospacing="1" w:line="312" w:lineRule="auto"/>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468CC1FD">
      <w:pPr>
        <w:pageBreakBefore w:val="0"/>
        <w:widowControl/>
        <w:shd w:val="clear" w:color="auto" w:fill="FFFFFF"/>
        <w:kinsoku/>
        <w:overflowPunct/>
        <w:topLinePunct w:val="0"/>
        <w:bidi w:val="0"/>
        <w:spacing w:before="100" w:beforeAutospacing="1" w:after="100" w:afterAutospacing="1" w:line="312" w:lineRule="auto"/>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6731C535">
      <w:pPr>
        <w:pageBreakBefore w:val="0"/>
        <w:kinsoku/>
        <w:overflowPunct/>
        <w:topLinePunct w:val="0"/>
        <w:bidi w:val="0"/>
        <w:adjustRightInd w:val="0"/>
        <w:snapToGrid w:val="0"/>
        <w:spacing w:line="312" w:lineRule="auto"/>
        <w:ind w:firstLine="4838" w:firstLineChars="2016"/>
        <w:textAlignment w:val="auto"/>
        <w:rPr>
          <w:rFonts w:ascii="宋体" w:hAnsi="宋体" w:cs="仿宋_GB2312"/>
          <w:color w:val="auto"/>
          <w:kern w:val="0"/>
          <w:sz w:val="24"/>
          <w:highlight w:val="none"/>
          <w:lang w:val="zh-CN"/>
        </w:rPr>
      </w:pPr>
      <w:r>
        <w:rPr>
          <w:rFonts w:hint="eastAsia" w:ascii="宋体"/>
          <w:color w:val="auto"/>
          <w:sz w:val="24"/>
          <w:highlight w:val="none"/>
        </w:rPr>
        <w:t>供应商全称（电子印章）</w:t>
      </w:r>
      <w:r>
        <w:rPr>
          <w:rFonts w:hint="eastAsia" w:ascii="宋体" w:hAnsi="宋体" w:cs="仿宋_GB2312"/>
          <w:color w:val="auto"/>
          <w:kern w:val="0"/>
          <w:sz w:val="24"/>
          <w:highlight w:val="none"/>
          <w:lang w:val="zh-CN"/>
        </w:rPr>
        <w:t>：</w:t>
      </w:r>
    </w:p>
    <w:p w14:paraId="19BE53A2">
      <w:pPr>
        <w:pageBreakBefore w:val="0"/>
        <w:kinsoku/>
        <w:overflowPunct/>
        <w:topLinePunct w:val="0"/>
        <w:bidi w:val="0"/>
        <w:adjustRightInd w:val="0"/>
        <w:snapToGrid w:val="0"/>
        <w:spacing w:line="312" w:lineRule="auto"/>
        <w:ind w:firstLine="4838" w:firstLineChars="2016"/>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0F520624">
      <w:pPr>
        <w:pageBreakBefore w:val="0"/>
        <w:kinsoku/>
        <w:overflowPunct/>
        <w:topLinePunct w:val="0"/>
        <w:bidi w:val="0"/>
        <w:adjustRightInd w:val="0"/>
        <w:snapToGrid w:val="0"/>
        <w:spacing w:line="312" w:lineRule="auto"/>
        <w:ind w:firstLine="4838" w:firstLineChars="2016"/>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7A35D8C3">
      <w:pPr>
        <w:pageBreakBefore w:val="0"/>
        <w:kinsoku/>
        <w:overflowPunct/>
        <w:topLinePunct w:val="0"/>
        <w:bidi w:val="0"/>
        <w:spacing w:line="312" w:lineRule="auto"/>
        <w:jc w:val="center"/>
        <w:textAlignment w:val="auto"/>
        <w:rPr>
          <w:rFonts w:ascii="宋体" w:hAnsi="宋体"/>
          <w:b/>
          <w:color w:val="auto"/>
          <w:kern w:val="0"/>
          <w:sz w:val="32"/>
          <w:szCs w:val="32"/>
          <w:highlight w:val="none"/>
        </w:rPr>
      </w:pPr>
    </w:p>
    <w:p w14:paraId="4BD4A0A1">
      <w:pPr>
        <w:pageBreakBefore w:val="0"/>
        <w:kinsoku/>
        <w:overflowPunct/>
        <w:topLinePunct w:val="0"/>
        <w:bidi w:val="0"/>
        <w:spacing w:line="312" w:lineRule="auto"/>
        <w:jc w:val="center"/>
        <w:textAlignment w:val="auto"/>
        <w:rPr>
          <w:rFonts w:ascii="宋体" w:hAnsi="宋体"/>
          <w:b/>
          <w:color w:val="auto"/>
          <w:kern w:val="0"/>
          <w:sz w:val="32"/>
          <w:szCs w:val="32"/>
          <w:highlight w:val="none"/>
        </w:rPr>
      </w:pPr>
    </w:p>
    <w:p w14:paraId="217BBBBB">
      <w:pPr>
        <w:pageBreakBefore w:val="0"/>
        <w:kinsoku/>
        <w:overflowPunct/>
        <w:topLinePunct w:val="0"/>
        <w:bidi w:val="0"/>
        <w:spacing w:line="312" w:lineRule="auto"/>
        <w:textAlignment w:val="auto"/>
        <w:rPr>
          <w:rFonts w:ascii="宋体" w:hAnsi="宋体"/>
          <w:b/>
          <w:color w:val="auto"/>
          <w:kern w:val="0"/>
          <w:sz w:val="32"/>
          <w:szCs w:val="32"/>
          <w:highlight w:val="none"/>
        </w:rPr>
      </w:pPr>
      <w:r>
        <w:rPr>
          <w:rFonts w:ascii="宋体" w:hAnsi="宋体"/>
          <w:b/>
          <w:color w:val="auto"/>
          <w:kern w:val="0"/>
          <w:sz w:val="32"/>
          <w:szCs w:val="32"/>
          <w:highlight w:val="none"/>
        </w:rPr>
        <w:br w:type="page"/>
      </w:r>
    </w:p>
    <w:p w14:paraId="7F7042D6">
      <w:pPr>
        <w:pageBreakBefore w:val="0"/>
        <w:kinsoku/>
        <w:overflowPunct/>
        <w:topLinePunct w:val="0"/>
        <w:bidi w:val="0"/>
        <w:spacing w:line="312" w:lineRule="auto"/>
        <w:jc w:val="left"/>
        <w:textAlignment w:val="auto"/>
        <w:rPr>
          <w:rFonts w:ascii="宋体" w:hAnsi="宋体"/>
          <w:b/>
          <w:color w:val="auto"/>
          <w:kern w:val="0"/>
          <w:sz w:val="32"/>
          <w:szCs w:val="32"/>
          <w:highlight w:val="none"/>
        </w:rPr>
      </w:pPr>
      <w:r>
        <w:rPr>
          <w:rFonts w:hint="eastAsia" w:ascii="宋体" w:hAnsi="宋体"/>
          <w:b/>
          <w:color w:val="auto"/>
          <w:kern w:val="0"/>
          <w:sz w:val="32"/>
          <w:szCs w:val="32"/>
          <w:highlight w:val="none"/>
        </w:rPr>
        <w:t>附件5</w:t>
      </w:r>
    </w:p>
    <w:p w14:paraId="50B3DCEE">
      <w:pPr>
        <w:pageBreakBefore w:val="0"/>
        <w:kinsoku/>
        <w:overflowPunct/>
        <w:topLinePunct w:val="0"/>
        <w:bidi w:val="0"/>
        <w:spacing w:line="312" w:lineRule="auto"/>
        <w:jc w:val="center"/>
        <w:textAlignment w:val="auto"/>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6DF11FE2">
      <w:pPr>
        <w:pageBreakBefore w:val="0"/>
        <w:kinsoku/>
        <w:overflowPunct/>
        <w:topLinePunct w:val="0"/>
        <w:bidi w:val="0"/>
        <w:spacing w:line="312" w:lineRule="auto"/>
        <w:jc w:val="center"/>
        <w:textAlignment w:val="auto"/>
        <w:rPr>
          <w:rFonts w:ascii="宋体" w:hAnsi="宋体"/>
          <w:b/>
          <w:color w:val="auto"/>
          <w:sz w:val="28"/>
          <w:highlight w:val="none"/>
        </w:rPr>
      </w:pPr>
    </w:p>
    <w:p w14:paraId="229E3A30">
      <w:pPr>
        <w:pageBreakBefore w:val="0"/>
        <w:widowControl/>
        <w:shd w:val="clear" w:color="auto" w:fill="FFFFFF"/>
        <w:kinsoku/>
        <w:overflowPunct/>
        <w:topLinePunct w:val="0"/>
        <w:bidi w:val="0"/>
        <w:snapToGrid w:val="0"/>
        <w:spacing w:after="50" w:line="312" w:lineRule="auto"/>
        <w:jc w:val="left"/>
        <w:textAlignment w:val="auto"/>
        <w:rPr>
          <w:rFonts w:ascii="宋体" w:hAnsi="宋体"/>
          <w:color w:val="auto"/>
          <w:kern w:val="0"/>
          <w:sz w:val="24"/>
          <w:highlight w:val="none"/>
        </w:rPr>
      </w:pPr>
      <w:r>
        <w:rPr>
          <w:rFonts w:hint="eastAsia" w:ascii="宋体" w:hAnsi="宋体"/>
          <w:color w:val="auto"/>
          <w:kern w:val="0"/>
          <w:sz w:val="24"/>
          <w:highlight w:val="none"/>
          <w:u w:val="single"/>
        </w:rPr>
        <w:t>中共台州市委宣传部</w:t>
      </w:r>
      <w:r>
        <w:rPr>
          <w:rFonts w:ascii="宋体" w:hAnsi="宋体"/>
          <w:color w:val="auto"/>
          <w:kern w:val="0"/>
          <w:sz w:val="24"/>
          <w:highlight w:val="none"/>
        </w:rPr>
        <w:t>：</w:t>
      </w:r>
    </w:p>
    <w:p w14:paraId="3C8942DC">
      <w:pPr>
        <w:pageBreakBefore w:val="0"/>
        <w:widowControl/>
        <w:shd w:val="clear" w:color="auto" w:fill="FFFFFF"/>
        <w:kinsoku/>
        <w:overflowPunct/>
        <w:topLinePunct w:val="0"/>
        <w:bidi w:val="0"/>
        <w:spacing w:before="100" w:beforeAutospacing="1" w:after="100" w:afterAutospacing="1" w:line="312" w:lineRule="auto"/>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sz w:val="24"/>
          <w:highlight w:val="none"/>
          <w:u w:val="single"/>
          <w:lang w:eastAsia="zh-CN"/>
        </w:rPr>
        <w:t>和合文化专题等媒体传播项目</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lang w:val="en-US" w:eastAsia="zh-CN"/>
        </w:rPr>
        <w:t>台财采确[2025]1734号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377BC1B7">
      <w:pPr>
        <w:pageBreakBefore w:val="0"/>
        <w:widowControl/>
        <w:shd w:val="clear" w:color="auto" w:fill="FFFFFF"/>
        <w:kinsoku/>
        <w:overflowPunct/>
        <w:topLinePunct w:val="0"/>
        <w:bidi w:val="0"/>
        <w:spacing w:before="100" w:beforeAutospacing="1" w:after="100" w:afterAutospacing="1" w:line="312" w:lineRule="auto"/>
        <w:ind w:firstLine="480" w:firstLineChars="200"/>
        <w:jc w:val="left"/>
        <w:textAlignment w:val="auto"/>
        <w:rPr>
          <w:rFonts w:ascii="宋体" w:hAnsi="宋体"/>
          <w:color w:val="auto"/>
          <w:kern w:val="0"/>
          <w:sz w:val="24"/>
          <w:highlight w:val="none"/>
        </w:rPr>
      </w:pPr>
    </w:p>
    <w:p w14:paraId="0A9240BE">
      <w:pPr>
        <w:pageBreakBefore w:val="0"/>
        <w:widowControl/>
        <w:shd w:val="clear" w:color="auto" w:fill="FFFFFF"/>
        <w:kinsoku/>
        <w:overflowPunct/>
        <w:topLinePunct w:val="0"/>
        <w:bidi w:val="0"/>
        <w:spacing w:before="100" w:beforeAutospacing="1" w:after="100" w:afterAutospacing="1" w:line="312" w:lineRule="auto"/>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4C6E2FC0">
      <w:pPr>
        <w:pageBreakBefore w:val="0"/>
        <w:kinsoku/>
        <w:overflowPunct/>
        <w:topLinePunct w:val="0"/>
        <w:bidi w:val="0"/>
        <w:adjustRightInd w:val="0"/>
        <w:snapToGrid w:val="0"/>
        <w:spacing w:line="312" w:lineRule="auto"/>
        <w:ind w:firstLine="4838" w:firstLineChars="2016"/>
        <w:textAlignment w:val="auto"/>
        <w:rPr>
          <w:rFonts w:ascii="宋体" w:hAnsi="宋体" w:cs="仿宋_GB2312"/>
          <w:color w:val="auto"/>
          <w:kern w:val="0"/>
          <w:sz w:val="24"/>
          <w:highlight w:val="none"/>
          <w:lang w:val="zh-CN"/>
        </w:rPr>
      </w:pPr>
      <w:r>
        <w:rPr>
          <w:rFonts w:hint="eastAsia" w:ascii="宋体"/>
          <w:color w:val="auto"/>
          <w:sz w:val="24"/>
          <w:highlight w:val="none"/>
        </w:rPr>
        <w:t>供应商全称（电子印章）</w:t>
      </w:r>
      <w:r>
        <w:rPr>
          <w:rFonts w:hint="eastAsia" w:ascii="宋体" w:hAnsi="宋体" w:cs="仿宋_GB2312"/>
          <w:color w:val="auto"/>
          <w:kern w:val="0"/>
          <w:sz w:val="24"/>
          <w:highlight w:val="none"/>
          <w:lang w:val="zh-CN"/>
        </w:rPr>
        <w:t>：</w:t>
      </w:r>
    </w:p>
    <w:p w14:paraId="57C52335">
      <w:pPr>
        <w:pageBreakBefore w:val="0"/>
        <w:kinsoku/>
        <w:overflowPunct/>
        <w:topLinePunct w:val="0"/>
        <w:bidi w:val="0"/>
        <w:adjustRightInd w:val="0"/>
        <w:snapToGrid w:val="0"/>
        <w:spacing w:line="312" w:lineRule="auto"/>
        <w:ind w:firstLine="4838" w:firstLineChars="2016"/>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hAnsi="宋体" w:cs="仿宋_GB2312"/>
          <w:color w:val="auto"/>
          <w:kern w:val="0"/>
          <w:sz w:val="24"/>
          <w:highlight w:val="none"/>
          <w:lang w:val="zh-CN"/>
        </w:rPr>
        <w:t>：</w:t>
      </w:r>
    </w:p>
    <w:p w14:paraId="5F17382A">
      <w:pPr>
        <w:pageBreakBefore w:val="0"/>
        <w:kinsoku/>
        <w:overflowPunct/>
        <w:topLinePunct w:val="0"/>
        <w:bidi w:val="0"/>
        <w:adjustRightInd w:val="0"/>
        <w:snapToGrid w:val="0"/>
        <w:spacing w:line="312" w:lineRule="auto"/>
        <w:ind w:firstLine="4838" w:firstLineChars="2016"/>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03A35D32">
      <w:pPr>
        <w:pageBreakBefore w:val="0"/>
        <w:kinsoku/>
        <w:overflowPunct/>
        <w:topLinePunct w:val="0"/>
        <w:bidi w:val="0"/>
        <w:spacing w:line="312" w:lineRule="auto"/>
        <w:jc w:val="center"/>
        <w:textAlignment w:val="auto"/>
        <w:rPr>
          <w:color w:val="auto"/>
          <w:sz w:val="52"/>
          <w:szCs w:val="52"/>
          <w:highlight w:val="none"/>
        </w:rPr>
      </w:pPr>
    </w:p>
    <w:p w14:paraId="7BFA7217">
      <w:pPr>
        <w:pageBreakBefore w:val="0"/>
        <w:kinsoku/>
        <w:overflowPunct/>
        <w:topLinePunct w:val="0"/>
        <w:bidi w:val="0"/>
        <w:spacing w:line="312" w:lineRule="auto"/>
        <w:jc w:val="center"/>
        <w:textAlignment w:val="auto"/>
        <w:rPr>
          <w:color w:val="auto"/>
          <w:sz w:val="52"/>
          <w:szCs w:val="52"/>
          <w:highlight w:val="none"/>
        </w:rPr>
      </w:pPr>
    </w:p>
    <w:p w14:paraId="300BFA5E">
      <w:pPr>
        <w:pageBreakBefore w:val="0"/>
        <w:kinsoku/>
        <w:overflowPunct/>
        <w:topLinePunct w:val="0"/>
        <w:bidi w:val="0"/>
        <w:spacing w:line="312" w:lineRule="auto"/>
        <w:jc w:val="center"/>
        <w:textAlignment w:val="auto"/>
        <w:rPr>
          <w:color w:val="auto"/>
          <w:sz w:val="52"/>
          <w:szCs w:val="52"/>
          <w:highlight w:val="none"/>
        </w:rPr>
      </w:pPr>
    </w:p>
    <w:p w14:paraId="28839F02">
      <w:pPr>
        <w:pageBreakBefore w:val="0"/>
        <w:kinsoku/>
        <w:overflowPunct/>
        <w:topLinePunct w:val="0"/>
        <w:bidi w:val="0"/>
        <w:spacing w:line="312" w:lineRule="auto"/>
        <w:textAlignment w:val="auto"/>
        <w:rPr>
          <w:color w:val="auto"/>
          <w:sz w:val="52"/>
          <w:szCs w:val="52"/>
          <w:highlight w:val="none"/>
        </w:rPr>
      </w:pPr>
    </w:p>
    <w:p w14:paraId="2A9823EF">
      <w:pPr>
        <w:pStyle w:val="2"/>
        <w:pageBreakBefore w:val="0"/>
        <w:numPr>
          <w:ilvl w:val="0"/>
          <w:numId w:val="0"/>
        </w:numPr>
        <w:kinsoku/>
        <w:overflowPunct/>
        <w:topLinePunct w:val="0"/>
        <w:bidi w:val="0"/>
        <w:spacing w:line="312" w:lineRule="auto"/>
        <w:jc w:val="both"/>
        <w:textAlignment w:val="auto"/>
        <w:rPr>
          <w:color w:val="auto"/>
          <w:highlight w:val="none"/>
        </w:rPr>
      </w:pPr>
    </w:p>
    <w:p w14:paraId="5AFFBC4A">
      <w:pPr>
        <w:pageBreakBefore w:val="0"/>
        <w:kinsoku/>
        <w:overflowPunct/>
        <w:topLinePunct w:val="0"/>
        <w:bidi w:val="0"/>
        <w:spacing w:line="312" w:lineRule="auto"/>
        <w:jc w:val="center"/>
        <w:textAlignment w:val="auto"/>
        <w:rPr>
          <w:color w:val="auto"/>
          <w:sz w:val="52"/>
          <w:szCs w:val="52"/>
          <w:highlight w:val="none"/>
        </w:rPr>
      </w:pPr>
    </w:p>
    <w:p w14:paraId="427AB04D">
      <w:pPr>
        <w:pageBreakBefore w:val="0"/>
        <w:kinsoku/>
        <w:overflowPunct/>
        <w:topLinePunct w:val="0"/>
        <w:bidi w:val="0"/>
        <w:spacing w:line="312" w:lineRule="auto"/>
        <w:jc w:val="center"/>
        <w:textAlignment w:val="auto"/>
        <w:rPr>
          <w:color w:val="auto"/>
          <w:sz w:val="52"/>
          <w:szCs w:val="52"/>
          <w:highlight w:val="none"/>
        </w:rPr>
      </w:pPr>
    </w:p>
    <w:p w14:paraId="219293CB">
      <w:pPr>
        <w:pageBreakBefore w:val="0"/>
        <w:kinsoku/>
        <w:overflowPunct/>
        <w:topLinePunct w:val="0"/>
        <w:bidi w:val="0"/>
        <w:spacing w:line="312" w:lineRule="auto"/>
        <w:jc w:val="center"/>
        <w:textAlignment w:val="auto"/>
        <w:rPr>
          <w:color w:val="auto"/>
          <w:sz w:val="52"/>
          <w:szCs w:val="52"/>
          <w:highlight w:val="none"/>
        </w:rPr>
      </w:pPr>
    </w:p>
    <w:p w14:paraId="4B58FD88">
      <w:pPr>
        <w:pStyle w:val="2"/>
        <w:pageBreakBefore w:val="0"/>
        <w:numPr>
          <w:ilvl w:val="0"/>
          <w:numId w:val="0"/>
        </w:numPr>
        <w:kinsoku/>
        <w:overflowPunct/>
        <w:topLinePunct w:val="0"/>
        <w:bidi w:val="0"/>
        <w:spacing w:line="312" w:lineRule="auto"/>
        <w:ind w:left="425"/>
        <w:jc w:val="both"/>
        <w:textAlignment w:val="auto"/>
        <w:rPr>
          <w:color w:val="auto"/>
          <w:highlight w:val="none"/>
        </w:rPr>
      </w:pPr>
    </w:p>
    <w:p w14:paraId="56205AFF">
      <w:pPr>
        <w:pageBreakBefore w:val="0"/>
        <w:kinsoku/>
        <w:overflowPunct/>
        <w:topLinePunct w:val="0"/>
        <w:bidi w:val="0"/>
        <w:spacing w:line="312" w:lineRule="auto"/>
        <w:textAlignment w:val="auto"/>
        <w:rPr>
          <w:color w:val="auto"/>
          <w:highlight w:val="none"/>
        </w:rPr>
      </w:pPr>
    </w:p>
    <w:bookmarkEnd w:id="153"/>
    <w:bookmarkEnd w:id="154"/>
    <w:bookmarkEnd w:id="155"/>
    <w:p w14:paraId="2224E37F">
      <w:pPr>
        <w:pageBreakBefore w:val="0"/>
        <w:kinsoku/>
        <w:overflowPunct/>
        <w:topLinePunct w:val="0"/>
        <w:bidi w:val="0"/>
        <w:spacing w:line="312" w:lineRule="auto"/>
        <w:jc w:val="center"/>
        <w:textAlignment w:val="auto"/>
        <w:rPr>
          <w:b/>
          <w:bCs/>
          <w:color w:val="auto"/>
          <w:sz w:val="32"/>
          <w:szCs w:val="32"/>
          <w:highlight w:val="none"/>
        </w:rPr>
      </w:pPr>
      <w:bookmarkStart w:id="156" w:name="_Toc5889_WPSOffice_Level1"/>
      <w:bookmarkStart w:id="157" w:name="_Toc11308_WPSOffice_Level1"/>
      <w:r>
        <w:rPr>
          <w:rFonts w:hint="eastAsia"/>
          <w:b/>
          <w:bCs/>
          <w:color w:val="auto"/>
          <w:sz w:val="32"/>
          <w:szCs w:val="32"/>
          <w:highlight w:val="none"/>
          <w:lang w:val="zh-CN"/>
        </w:rPr>
        <w:t>商务与技术文件</w:t>
      </w:r>
      <w:r>
        <w:rPr>
          <w:rFonts w:hint="eastAsia"/>
          <w:b/>
          <w:bCs/>
          <w:color w:val="auto"/>
          <w:sz w:val="32"/>
          <w:szCs w:val="32"/>
          <w:highlight w:val="none"/>
        </w:rPr>
        <w:t>目录</w:t>
      </w:r>
      <w:bookmarkEnd w:id="156"/>
      <w:bookmarkEnd w:id="157"/>
    </w:p>
    <w:p w14:paraId="4BDF04A1">
      <w:pPr>
        <w:pStyle w:val="6"/>
        <w:pageBreakBefore w:val="0"/>
        <w:kinsoku/>
        <w:overflowPunct/>
        <w:topLinePunct w:val="0"/>
        <w:bidi w:val="0"/>
        <w:spacing w:line="312" w:lineRule="auto"/>
        <w:ind w:firstLine="480" w:firstLineChars="200"/>
        <w:textAlignment w:val="auto"/>
        <w:rPr>
          <w:color w:val="auto"/>
          <w:sz w:val="24"/>
          <w:szCs w:val="24"/>
          <w:highlight w:val="none"/>
        </w:rPr>
      </w:pPr>
    </w:p>
    <w:p w14:paraId="6B49BBF6">
      <w:pPr>
        <w:pageBreakBefore w:val="0"/>
        <w:kinsoku/>
        <w:overflowPunct/>
        <w:topLinePunct w:val="0"/>
        <w:bidi w:val="0"/>
        <w:snapToGrid w:val="0"/>
        <w:spacing w:line="312"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rPr>
        <w:t>供应商情况介绍(附件6）；</w:t>
      </w:r>
    </w:p>
    <w:p w14:paraId="49B7A7B6">
      <w:pPr>
        <w:pageBreakBefore w:val="0"/>
        <w:kinsoku/>
        <w:overflowPunct/>
        <w:topLinePunct w:val="0"/>
        <w:bidi w:val="0"/>
        <w:snapToGrid w:val="0"/>
        <w:spacing w:line="312"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（2）项目方案（由供应商根据采购文件和评标办法自行拟定）；</w:t>
      </w:r>
    </w:p>
    <w:p w14:paraId="26DA2253">
      <w:pPr>
        <w:pageBreakBefore w:val="0"/>
        <w:kinsoku/>
        <w:overflowPunct/>
        <w:topLinePunct w:val="0"/>
        <w:bidi w:val="0"/>
        <w:snapToGrid w:val="0"/>
        <w:spacing w:line="312"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（3）项目负责人资格情况表（附件7）；</w:t>
      </w:r>
    </w:p>
    <w:p w14:paraId="774ABE2C">
      <w:pPr>
        <w:pageBreakBefore w:val="0"/>
        <w:kinsoku/>
        <w:overflowPunct/>
        <w:topLinePunct w:val="0"/>
        <w:bidi w:val="0"/>
        <w:snapToGrid w:val="0"/>
        <w:spacing w:line="312"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（4）项目实施人员一览表（附件8）；</w:t>
      </w:r>
    </w:p>
    <w:p w14:paraId="313C5729">
      <w:pPr>
        <w:pageBreakBefore w:val="0"/>
        <w:kinsoku/>
        <w:overflowPunct/>
        <w:topLinePunct w:val="0"/>
        <w:bidi w:val="0"/>
        <w:snapToGrid w:val="0"/>
        <w:spacing w:line="312" w:lineRule="auto"/>
        <w:ind w:firstLine="480" w:firstLineChars="200"/>
        <w:textAlignment w:val="auto"/>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服务条款响应表（附件9）；</w:t>
      </w:r>
    </w:p>
    <w:p w14:paraId="4A7B4E7D">
      <w:pPr>
        <w:pStyle w:val="6"/>
        <w:pageBreakBefore w:val="0"/>
        <w:widowControl/>
        <w:numPr>
          <w:ilvl w:val="255"/>
          <w:numId w:val="0"/>
        </w:numPr>
        <w:kinsoku/>
        <w:overflowPunct/>
        <w:topLinePunct w:val="0"/>
        <w:bidi w:val="0"/>
        <w:adjustRightInd w:val="0"/>
        <w:snapToGrid w:val="0"/>
        <w:spacing w:line="312"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（6）证书一览表（与本项目相关的认证证书或文件；附件10）；</w:t>
      </w:r>
    </w:p>
    <w:p w14:paraId="7FDD866C">
      <w:pPr>
        <w:pStyle w:val="6"/>
        <w:pageBreakBefore w:val="0"/>
        <w:widowControl/>
        <w:numPr>
          <w:ilvl w:val="255"/>
          <w:numId w:val="0"/>
        </w:numPr>
        <w:kinsoku/>
        <w:overflowPunct/>
        <w:topLinePunct w:val="0"/>
        <w:bidi w:val="0"/>
        <w:snapToGrid w:val="0"/>
        <w:spacing w:line="312"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（7）同类业绩证明（如有，需提供合同复印件；附件11）；</w:t>
      </w:r>
    </w:p>
    <w:p w14:paraId="71B22337">
      <w:pPr>
        <w:pStyle w:val="6"/>
        <w:pageBreakBefore w:val="0"/>
        <w:widowControl/>
        <w:numPr>
          <w:ilvl w:val="255"/>
          <w:numId w:val="0"/>
        </w:numPr>
        <w:kinsoku/>
        <w:overflowPunct/>
        <w:topLinePunct w:val="0"/>
        <w:bidi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bCs/>
          <w:color w:val="auto"/>
          <w:sz w:val="24"/>
          <w:highlight w:val="none"/>
        </w:rPr>
        <w:t>（8）符合采购文件规定的其他证明文件及评分标准中涉及的其他材料</w:t>
      </w:r>
      <w:r>
        <w:rPr>
          <w:rFonts w:hint="eastAsia"/>
          <w:color w:val="auto"/>
          <w:sz w:val="24"/>
          <w:szCs w:val="24"/>
          <w:highlight w:val="none"/>
        </w:rPr>
        <w:t>。</w:t>
      </w:r>
    </w:p>
    <w:p w14:paraId="25E5F7F6">
      <w:pPr>
        <w:pStyle w:val="6"/>
        <w:pageBreakBefore w:val="0"/>
        <w:kinsoku/>
        <w:overflowPunct/>
        <w:topLinePunct w:val="0"/>
        <w:bidi w:val="0"/>
        <w:spacing w:line="312" w:lineRule="auto"/>
        <w:ind w:firstLine="480" w:firstLineChars="200"/>
        <w:textAlignment w:val="auto"/>
        <w:rPr>
          <w:color w:val="auto"/>
          <w:sz w:val="24"/>
          <w:szCs w:val="24"/>
          <w:highlight w:val="none"/>
        </w:rPr>
      </w:pPr>
    </w:p>
    <w:p w14:paraId="1B71D1FF">
      <w:pPr>
        <w:pStyle w:val="6"/>
        <w:pageBreakBefore w:val="0"/>
        <w:kinsoku/>
        <w:overflowPunct/>
        <w:topLinePunct w:val="0"/>
        <w:bidi w:val="0"/>
        <w:spacing w:line="312" w:lineRule="auto"/>
        <w:textAlignment w:val="auto"/>
        <w:rPr>
          <w:color w:val="auto"/>
          <w:sz w:val="28"/>
          <w:szCs w:val="28"/>
          <w:highlight w:val="none"/>
        </w:rPr>
      </w:pPr>
    </w:p>
    <w:p w14:paraId="1F932EE5">
      <w:pPr>
        <w:pStyle w:val="6"/>
        <w:pageBreakBefore w:val="0"/>
        <w:kinsoku/>
        <w:overflowPunct/>
        <w:topLinePunct w:val="0"/>
        <w:bidi w:val="0"/>
        <w:spacing w:line="312" w:lineRule="auto"/>
        <w:textAlignment w:val="auto"/>
        <w:rPr>
          <w:color w:val="auto"/>
          <w:sz w:val="28"/>
          <w:szCs w:val="28"/>
          <w:highlight w:val="none"/>
        </w:rPr>
      </w:pPr>
    </w:p>
    <w:p w14:paraId="4038DD4D">
      <w:pPr>
        <w:pStyle w:val="6"/>
        <w:pageBreakBefore w:val="0"/>
        <w:kinsoku/>
        <w:overflowPunct/>
        <w:topLinePunct w:val="0"/>
        <w:bidi w:val="0"/>
        <w:spacing w:line="312" w:lineRule="auto"/>
        <w:textAlignment w:val="auto"/>
        <w:rPr>
          <w:color w:val="auto"/>
          <w:sz w:val="28"/>
          <w:szCs w:val="28"/>
          <w:highlight w:val="none"/>
        </w:rPr>
      </w:pPr>
    </w:p>
    <w:p w14:paraId="20DB4CDB">
      <w:pPr>
        <w:pStyle w:val="6"/>
        <w:pageBreakBefore w:val="0"/>
        <w:kinsoku/>
        <w:overflowPunct/>
        <w:topLinePunct w:val="0"/>
        <w:bidi w:val="0"/>
        <w:spacing w:line="312" w:lineRule="auto"/>
        <w:textAlignment w:val="auto"/>
        <w:rPr>
          <w:color w:val="auto"/>
          <w:sz w:val="28"/>
          <w:szCs w:val="28"/>
          <w:highlight w:val="none"/>
        </w:rPr>
      </w:pPr>
    </w:p>
    <w:p w14:paraId="7189CCC1">
      <w:pPr>
        <w:pStyle w:val="6"/>
        <w:pageBreakBefore w:val="0"/>
        <w:kinsoku/>
        <w:overflowPunct/>
        <w:topLinePunct w:val="0"/>
        <w:bidi w:val="0"/>
        <w:spacing w:line="312" w:lineRule="auto"/>
        <w:textAlignment w:val="auto"/>
        <w:rPr>
          <w:color w:val="auto"/>
          <w:sz w:val="28"/>
          <w:szCs w:val="28"/>
          <w:highlight w:val="none"/>
        </w:rPr>
      </w:pPr>
    </w:p>
    <w:p w14:paraId="4E4AD511">
      <w:pPr>
        <w:pStyle w:val="6"/>
        <w:pageBreakBefore w:val="0"/>
        <w:kinsoku/>
        <w:overflowPunct/>
        <w:topLinePunct w:val="0"/>
        <w:bidi w:val="0"/>
        <w:spacing w:line="312" w:lineRule="auto"/>
        <w:textAlignment w:val="auto"/>
        <w:rPr>
          <w:color w:val="auto"/>
          <w:sz w:val="28"/>
          <w:szCs w:val="28"/>
          <w:highlight w:val="none"/>
        </w:rPr>
      </w:pPr>
    </w:p>
    <w:p w14:paraId="36D4209A">
      <w:pPr>
        <w:pStyle w:val="6"/>
        <w:pageBreakBefore w:val="0"/>
        <w:kinsoku/>
        <w:overflowPunct/>
        <w:topLinePunct w:val="0"/>
        <w:bidi w:val="0"/>
        <w:spacing w:line="312" w:lineRule="auto"/>
        <w:textAlignment w:val="auto"/>
        <w:rPr>
          <w:color w:val="auto"/>
          <w:sz w:val="28"/>
          <w:szCs w:val="28"/>
          <w:highlight w:val="none"/>
        </w:rPr>
      </w:pPr>
    </w:p>
    <w:p w14:paraId="01493E0C">
      <w:pPr>
        <w:pStyle w:val="6"/>
        <w:pageBreakBefore w:val="0"/>
        <w:kinsoku/>
        <w:overflowPunct/>
        <w:topLinePunct w:val="0"/>
        <w:bidi w:val="0"/>
        <w:spacing w:line="312" w:lineRule="auto"/>
        <w:textAlignment w:val="auto"/>
        <w:rPr>
          <w:color w:val="auto"/>
          <w:sz w:val="28"/>
          <w:szCs w:val="28"/>
          <w:highlight w:val="none"/>
        </w:rPr>
      </w:pPr>
    </w:p>
    <w:p w14:paraId="60F82CC2">
      <w:pPr>
        <w:pStyle w:val="6"/>
        <w:pageBreakBefore w:val="0"/>
        <w:kinsoku/>
        <w:overflowPunct/>
        <w:topLinePunct w:val="0"/>
        <w:bidi w:val="0"/>
        <w:spacing w:line="312" w:lineRule="auto"/>
        <w:textAlignment w:val="auto"/>
        <w:rPr>
          <w:color w:val="auto"/>
          <w:sz w:val="28"/>
          <w:szCs w:val="28"/>
          <w:highlight w:val="none"/>
        </w:rPr>
      </w:pPr>
    </w:p>
    <w:p w14:paraId="396EDF7B">
      <w:pPr>
        <w:pStyle w:val="6"/>
        <w:pageBreakBefore w:val="0"/>
        <w:kinsoku/>
        <w:overflowPunct/>
        <w:topLinePunct w:val="0"/>
        <w:bidi w:val="0"/>
        <w:spacing w:line="312" w:lineRule="auto"/>
        <w:textAlignment w:val="auto"/>
        <w:rPr>
          <w:color w:val="auto"/>
          <w:sz w:val="28"/>
          <w:szCs w:val="28"/>
          <w:highlight w:val="none"/>
        </w:rPr>
      </w:pPr>
    </w:p>
    <w:p w14:paraId="578AF961">
      <w:pPr>
        <w:pStyle w:val="6"/>
        <w:pageBreakBefore w:val="0"/>
        <w:kinsoku/>
        <w:overflowPunct/>
        <w:topLinePunct w:val="0"/>
        <w:bidi w:val="0"/>
        <w:spacing w:line="312" w:lineRule="auto"/>
        <w:textAlignment w:val="auto"/>
        <w:rPr>
          <w:color w:val="auto"/>
          <w:sz w:val="28"/>
          <w:szCs w:val="28"/>
          <w:highlight w:val="none"/>
        </w:rPr>
      </w:pPr>
    </w:p>
    <w:p w14:paraId="45D97BA8">
      <w:pPr>
        <w:pStyle w:val="6"/>
        <w:pageBreakBefore w:val="0"/>
        <w:kinsoku/>
        <w:overflowPunct/>
        <w:topLinePunct w:val="0"/>
        <w:bidi w:val="0"/>
        <w:spacing w:line="312" w:lineRule="auto"/>
        <w:textAlignment w:val="auto"/>
        <w:rPr>
          <w:color w:val="auto"/>
          <w:sz w:val="28"/>
          <w:szCs w:val="28"/>
          <w:highlight w:val="none"/>
        </w:rPr>
      </w:pPr>
    </w:p>
    <w:p w14:paraId="2805802C">
      <w:pPr>
        <w:pStyle w:val="6"/>
        <w:pageBreakBefore w:val="0"/>
        <w:kinsoku/>
        <w:overflowPunct/>
        <w:topLinePunct w:val="0"/>
        <w:bidi w:val="0"/>
        <w:spacing w:line="312" w:lineRule="auto"/>
        <w:textAlignment w:val="auto"/>
        <w:rPr>
          <w:color w:val="auto"/>
          <w:sz w:val="28"/>
          <w:szCs w:val="28"/>
          <w:highlight w:val="none"/>
        </w:rPr>
      </w:pPr>
    </w:p>
    <w:p w14:paraId="5AF2761A">
      <w:pPr>
        <w:pStyle w:val="6"/>
        <w:pageBreakBefore w:val="0"/>
        <w:kinsoku/>
        <w:overflowPunct/>
        <w:topLinePunct w:val="0"/>
        <w:bidi w:val="0"/>
        <w:spacing w:line="312" w:lineRule="auto"/>
        <w:textAlignment w:val="auto"/>
        <w:rPr>
          <w:color w:val="auto"/>
          <w:sz w:val="28"/>
          <w:szCs w:val="28"/>
          <w:highlight w:val="none"/>
        </w:rPr>
      </w:pPr>
    </w:p>
    <w:p w14:paraId="6D11B576">
      <w:pPr>
        <w:pStyle w:val="6"/>
        <w:pageBreakBefore w:val="0"/>
        <w:kinsoku/>
        <w:overflowPunct/>
        <w:topLinePunct w:val="0"/>
        <w:bidi w:val="0"/>
        <w:spacing w:line="312" w:lineRule="auto"/>
        <w:textAlignment w:val="auto"/>
        <w:rPr>
          <w:color w:val="auto"/>
          <w:sz w:val="28"/>
          <w:szCs w:val="28"/>
          <w:highlight w:val="none"/>
        </w:rPr>
      </w:pPr>
    </w:p>
    <w:p w14:paraId="0BD9CC4B">
      <w:pPr>
        <w:rPr>
          <w:color w:val="auto"/>
          <w:sz w:val="28"/>
          <w:szCs w:val="28"/>
          <w:highlight w:val="none"/>
        </w:rPr>
      </w:pPr>
    </w:p>
    <w:p w14:paraId="390977FA">
      <w:pPr>
        <w:rPr>
          <w:color w:val="auto"/>
          <w:sz w:val="28"/>
          <w:szCs w:val="28"/>
          <w:highlight w:val="none"/>
        </w:rPr>
      </w:pPr>
    </w:p>
    <w:p w14:paraId="4A15BC91">
      <w:pPr>
        <w:rPr>
          <w:color w:val="auto"/>
          <w:sz w:val="28"/>
          <w:szCs w:val="28"/>
          <w:highlight w:val="none"/>
        </w:rPr>
      </w:pPr>
    </w:p>
    <w:p w14:paraId="6A42D374">
      <w:pPr>
        <w:rPr>
          <w:color w:val="auto"/>
          <w:sz w:val="28"/>
          <w:szCs w:val="28"/>
          <w:highlight w:val="none"/>
        </w:rPr>
      </w:pPr>
    </w:p>
    <w:p w14:paraId="3CDB0BEE">
      <w:pPr>
        <w:rPr>
          <w:color w:val="auto"/>
          <w:sz w:val="28"/>
          <w:szCs w:val="28"/>
          <w:highlight w:val="none"/>
        </w:rPr>
      </w:pPr>
    </w:p>
    <w:p w14:paraId="4B83CA77">
      <w:pPr>
        <w:pStyle w:val="6"/>
        <w:pageBreakBefore w:val="0"/>
        <w:kinsoku/>
        <w:overflowPunct/>
        <w:topLinePunct w:val="0"/>
        <w:bidi w:val="0"/>
        <w:spacing w:line="312" w:lineRule="auto"/>
        <w:textAlignment w:val="auto"/>
        <w:rPr>
          <w:color w:val="auto"/>
          <w:sz w:val="28"/>
          <w:szCs w:val="28"/>
          <w:highlight w:val="none"/>
        </w:rPr>
      </w:pPr>
    </w:p>
    <w:p w14:paraId="6790CE92">
      <w:pPr>
        <w:pStyle w:val="6"/>
        <w:pageBreakBefore w:val="0"/>
        <w:kinsoku/>
        <w:overflowPunct/>
        <w:topLinePunct w:val="0"/>
        <w:bidi w:val="0"/>
        <w:spacing w:line="312" w:lineRule="auto"/>
        <w:textAlignment w:val="auto"/>
        <w:rPr>
          <w:color w:val="auto"/>
          <w:sz w:val="28"/>
          <w:szCs w:val="28"/>
          <w:highlight w:val="none"/>
        </w:rPr>
      </w:pPr>
    </w:p>
    <w:p w14:paraId="5C5623F8">
      <w:pPr>
        <w:pStyle w:val="6"/>
        <w:pageBreakBefore w:val="0"/>
        <w:kinsoku/>
        <w:overflowPunct/>
        <w:topLinePunct w:val="0"/>
        <w:bidi w:val="0"/>
        <w:spacing w:line="312" w:lineRule="auto"/>
        <w:textAlignment w:val="auto"/>
        <w:rPr>
          <w:color w:val="auto"/>
          <w:sz w:val="28"/>
          <w:szCs w:val="28"/>
          <w:highlight w:val="none"/>
        </w:rPr>
      </w:pPr>
    </w:p>
    <w:p w14:paraId="35181689">
      <w:pPr>
        <w:pStyle w:val="37"/>
        <w:pageBreakBefore w:val="0"/>
        <w:shd w:val="clear" w:color="auto" w:fill="FFFFFF"/>
        <w:kinsoku/>
        <w:overflowPunct/>
        <w:topLinePunct w:val="0"/>
        <w:bidi w:val="0"/>
        <w:spacing w:before="0" w:beforeAutospacing="0" w:after="0" w:afterAutospacing="0" w:line="312" w:lineRule="auto"/>
        <w:textAlignment w:val="auto"/>
        <w:rPr>
          <w:b/>
          <w:color w:val="auto"/>
          <w:sz w:val="28"/>
          <w:highlight w:val="none"/>
        </w:rPr>
      </w:pPr>
      <w:r>
        <w:rPr>
          <w:rFonts w:hint="eastAsia"/>
          <w:b/>
          <w:color w:val="auto"/>
          <w:sz w:val="28"/>
          <w:highlight w:val="none"/>
        </w:rPr>
        <w:t>附件6</w:t>
      </w:r>
    </w:p>
    <w:p w14:paraId="38996076">
      <w:pPr>
        <w:pStyle w:val="37"/>
        <w:pageBreakBefore w:val="0"/>
        <w:shd w:val="clear" w:color="auto" w:fill="FFFFFF"/>
        <w:kinsoku/>
        <w:overflowPunct/>
        <w:topLinePunct w:val="0"/>
        <w:bidi w:val="0"/>
        <w:spacing w:before="0" w:beforeAutospacing="0" w:after="0" w:afterAutospacing="0" w:line="312" w:lineRule="auto"/>
        <w:jc w:val="center"/>
        <w:textAlignment w:val="auto"/>
        <w:rPr>
          <w:rFonts w:eastAsia="微软雅黑"/>
          <w:color w:val="auto"/>
          <w:sz w:val="36"/>
          <w:szCs w:val="36"/>
          <w:highlight w:val="none"/>
        </w:rPr>
      </w:pPr>
      <w:bookmarkStart w:id="158" w:name="_Toc13307_WPSOffice_Level1"/>
      <w:bookmarkStart w:id="159" w:name="_Toc14261_WPSOffice_Level1"/>
      <w:r>
        <w:rPr>
          <w:rFonts w:hint="eastAsia"/>
          <w:b/>
          <w:color w:val="auto"/>
          <w:sz w:val="32"/>
          <w:szCs w:val="32"/>
          <w:highlight w:val="none"/>
        </w:rPr>
        <w:t>供应商</w:t>
      </w:r>
      <w:bookmarkEnd w:id="158"/>
      <w:bookmarkEnd w:id="159"/>
      <w:r>
        <w:rPr>
          <w:rFonts w:hint="eastAsia"/>
          <w:b/>
          <w:color w:val="auto"/>
          <w:sz w:val="32"/>
          <w:szCs w:val="32"/>
          <w:highlight w:val="none"/>
        </w:rPr>
        <w:t>情况介绍</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266"/>
        <w:gridCol w:w="1723"/>
        <w:gridCol w:w="1154"/>
        <w:gridCol w:w="971"/>
        <w:gridCol w:w="1482"/>
        <w:gridCol w:w="864"/>
        <w:gridCol w:w="554"/>
      </w:tblGrid>
      <w:tr w14:paraId="265B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Pr>
          <w:p w14:paraId="61DFE190">
            <w:pPr>
              <w:pStyle w:val="37"/>
              <w:pageBreakBefore w:val="0"/>
              <w:shd w:val="clear" w:color="auto" w:fill="FFFFFF"/>
              <w:kinsoku/>
              <w:overflowPunct/>
              <w:topLinePunct w:val="0"/>
              <w:bidi w:val="0"/>
              <w:spacing w:line="240" w:lineRule="auto"/>
              <w:textAlignment w:val="auto"/>
              <w:rPr>
                <w:bCs/>
                <w:color w:val="auto"/>
                <w:sz w:val="21"/>
                <w:szCs w:val="21"/>
                <w:highlight w:val="none"/>
              </w:rPr>
            </w:pPr>
            <w:r>
              <w:rPr>
                <w:rFonts w:hint="eastAsia"/>
                <w:bCs/>
                <w:color w:val="auto"/>
                <w:spacing w:val="27"/>
                <w:sz w:val="21"/>
                <w:szCs w:val="21"/>
                <w:highlight w:val="none"/>
              </w:rPr>
              <w:t>企业名称</w:t>
            </w:r>
          </w:p>
        </w:tc>
        <w:tc>
          <w:tcPr>
            <w:tcW w:w="0" w:type="auto"/>
            <w:gridSpan w:val="4"/>
          </w:tcPr>
          <w:p w14:paraId="0BE63159">
            <w:pPr>
              <w:pStyle w:val="37"/>
              <w:pageBreakBefore w:val="0"/>
              <w:shd w:val="clear" w:color="auto" w:fill="FFFFFF"/>
              <w:kinsoku/>
              <w:overflowPunct/>
              <w:topLinePunct w:val="0"/>
              <w:bidi w:val="0"/>
              <w:spacing w:line="240" w:lineRule="auto"/>
              <w:textAlignment w:val="auto"/>
              <w:rPr>
                <w:bCs/>
                <w:color w:val="auto"/>
                <w:sz w:val="21"/>
                <w:szCs w:val="21"/>
                <w:highlight w:val="none"/>
              </w:rPr>
            </w:pPr>
          </w:p>
        </w:tc>
        <w:tc>
          <w:tcPr>
            <w:tcW w:w="0" w:type="auto"/>
          </w:tcPr>
          <w:p w14:paraId="359DAD0F">
            <w:pPr>
              <w:pStyle w:val="37"/>
              <w:pageBreakBefore w:val="0"/>
              <w:shd w:val="clear" w:color="auto" w:fill="FFFFFF"/>
              <w:kinsoku/>
              <w:overflowPunct/>
              <w:topLinePunct w:val="0"/>
              <w:bidi w:val="0"/>
              <w:spacing w:line="240" w:lineRule="auto"/>
              <w:textAlignment w:val="auto"/>
              <w:rPr>
                <w:bCs/>
                <w:color w:val="auto"/>
                <w:sz w:val="21"/>
                <w:szCs w:val="21"/>
                <w:highlight w:val="none"/>
              </w:rPr>
            </w:pPr>
            <w:r>
              <w:rPr>
                <w:rFonts w:hint="eastAsia"/>
                <w:bCs/>
                <w:color w:val="auto"/>
                <w:spacing w:val="16"/>
                <w:sz w:val="21"/>
                <w:szCs w:val="21"/>
                <w:highlight w:val="none"/>
              </w:rPr>
              <w:t>法定代表人</w:t>
            </w:r>
          </w:p>
        </w:tc>
        <w:tc>
          <w:tcPr>
            <w:tcW w:w="0" w:type="auto"/>
            <w:gridSpan w:val="2"/>
          </w:tcPr>
          <w:p w14:paraId="655B96DC">
            <w:pPr>
              <w:pStyle w:val="37"/>
              <w:pageBreakBefore w:val="0"/>
              <w:shd w:val="clear" w:color="auto" w:fill="FFFFFF"/>
              <w:kinsoku/>
              <w:overflowPunct/>
              <w:topLinePunct w:val="0"/>
              <w:bidi w:val="0"/>
              <w:spacing w:line="240" w:lineRule="auto"/>
              <w:textAlignment w:val="auto"/>
              <w:rPr>
                <w:bCs/>
                <w:color w:val="auto"/>
                <w:sz w:val="21"/>
                <w:szCs w:val="21"/>
                <w:highlight w:val="none"/>
              </w:rPr>
            </w:pPr>
          </w:p>
        </w:tc>
      </w:tr>
      <w:tr w14:paraId="1E1B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tcPr>
          <w:p w14:paraId="28A631FD">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r>
              <w:rPr>
                <w:rFonts w:hint="eastAsia"/>
                <w:bCs/>
                <w:color w:val="auto"/>
                <w:spacing w:val="27"/>
                <w:sz w:val="21"/>
                <w:szCs w:val="21"/>
                <w:highlight w:val="none"/>
              </w:rPr>
              <w:t>地址</w:t>
            </w:r>
          </w:p>
        </w:tc>
        <w:tc>
          <w:tcPr>
            <w:tcW w:w="0" w:type="auto"/>
            <w:gridSpan w:val="4"/>
          </w:tcPr>
          <w:p w14:paraId="65A3360E">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c>
          <w:tcPr>
            <w:tcW w:w="0" w:type="auto"/>
          </w:tcPr>
          <w:p w14:paraId="22AF8335">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r>
              <w:rPr>
                <w:rFonts w:hint="eastAsia"/>
                <w:bCs/>
                <w:color w:val="auto"/>
                <w:spacing w:val="16"/>
                <w:sz w:val="21"/>
                <w:szCs w:val="21"/>
                <w:highlight w:val="none"/>
              </w:rPr>
              <w:t>企业性质</w:t>
            </w:r>
          </w:p>
        </w:tc>
        <w:tc>
          <w:tcPr>
            <w:tcW w:w="0" w:type="auto"/>
            <w:gridSpan w:val="2"/>
          </w:tcPr>
          <w:p w14:paraId="6551D670">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r>
      <w:tr w14:paraId="3F51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tcPr>
          <w:p w14:paraId="04DC6797">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r>
              <w:rPr>
                <w:rFonts w:hint="eastAsia"/>
                <w:bCs/>
                <w:color w:val="auto"/>
                <w:spacing w:val="27"/>
                <w:sz w:val="21"/>
                <w:szCs w:val="21"/>
                <w:highlight w:val="none"/>
              </w:rPr>
              <w:t>股东姓名</w:t>
            </w:r>
          </w:p>
        </w:tc>
        <w:tc>
          <w:tcPr>
            <w:tcW w:w="0" w:type="auto"/>
          </w:tcPr>
          <w:p w14:paraId="38080DA8">
            <w:pPr>
              <w:pStyle w:val="37"/>
              <w:pageBreakBefore w:val="0"/>
              <w:shd w:val="clear" w:color="auto" w:fill="FFFFFF"/>
              <w:kinsoku/>
              <w:overflowPunct/>
              <w:topLinePunct w:val="0"/>
              <w:bidi w:val="0"/>
              <w:spacing w:before="0" w:beforeAutospacing="0" w:after="0" w:afterAutospacing="0" w:line="240" w:lineRule="auto"/>
              <w:textAlignment w:val="auto"/>
              <w:rPr>
                <w:bCs/>
                <w:color w:val="auto"/>
                <w:spacing w:val="16"/>
                <w:sz w:val="21"/>
                <w:szCs w:val="21"/>
                <w:highlight w:val="none"/>
              </w:rPr>
            </w:pPr>
          </w:p>
        </w:tc>
        <w:tc>
          <w:tcPr>
            <w:tcW w:w="0" w:type="auto"/>
          </w:tcPr>
          <w:p w14:paraId="325403A9">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r>
              <w:rPr>
                <w:rFonts w:hint="eastAsia"/>
                <w:bCs/>
                <w:color w:val="auto"/>
                <w:spacing w:val="16"/>
                <w:sz w:val="21"/>
                <w:szCs w:val="21"/>
                <w:highlight w:val="none"/>
              </w:rPr>
              <w:t>股权结构（</w:t>
            </w:r>
            <w:r>
              <w:rPr>
                <w:bCs/>
                <w:color w:val="auto"/>
                <w:spacing w:val="16"/>
                <w:sz w:val="21"/>
                <w:szCs w:val="21"/>
                <w:highlight w:val="none"/>
              </w:rPr>
              <w:t>%</w:t>
            </w:r>
            <w:r>
              <w:rPr>
                <w:rFonts w:hint="eastAsia"/>
                <w:bCs/>
                <w:color w:val="auto"/>
                <w:spacing w:val="16"/>
                <w:sz w:val="21"/>
                <w:szCs w:val="21"/>
                <w:highlight w:val="none"/>
              </w:rPr>
              <w:t>）</w:t>
            </w:r>
          </w:p>
        </w:tc>
        <w:tc>
          <w:tcPr>
            <w:tcW w:w="0" w:type="auto"/>
            <w:gridSpan w:val="2"/>
          </w:tcPr>
          <w:p w14:paraId="7B0037A7">
            <w:pPr>
              <w:pageBreakBefore w:val="0"/>
              <w:widowControl/>
              <w:kinsoku/>
              <w:overflowPunct/>
              <w:topLinePunct w:val="0"/>
              <w:bidi w:val="0"/>
              <w:spacing w:line="240" w:lineRule="auto"/>
              <w:jc w:val="left"/>
              <w:textAlignment w:val="auto"/>
              <w:rPr>
                <w:rFonts w:ascii="宋体" w:cs="宋体"/>
                <w:bCs/>
                <w:color w:val="auto"/>
                <w:spacing w:val="16"/>
                <w:kern w:val="0"/>
                <w:szCs w:val="21"/>
                <w:highlight w:val="none"/>
              </w:rPr>
            </w:pPr>
          </w:p>
          <w:p w14:paraId="261A3EBE">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c>
          <w:tcPr>
            <w:tcW w:w="0" w:type="auto"/>
          </w:tcPr>
          <w:p w14:paraId="55FA3586">
            <w:pPr>
              <w:pStyle w:val="37"/>
              <w:pageBreakBefore w:val="0"/>
              <w:shd w:val="clear" w:color="auto" w:fill="FFFFFF"/>
              <w:kinsoku/>
              <w:overflowPunct/>
              <w:topLinePunct w:val="0"/>
              <w:bidi w:val="0"/>
              <w:spacing w:line="240" w:lineRule="auto"/>
              <w:ind w:left="107"/>
              <w:textAlignment w:val="auto"/>
              <w:rPr>
                <w:bCs/>
                <w:color w:val="auto"/>
                <w:spacing w:val="16"/>
                <w:sz w:val="21"/>
                <w:szCs w:val="21"/>
                <w:highlight w:val="none"/>
              </w:rPr>
            </w:pPr>
            <w:r>
              <w:rPr>
                <w:rFonts w:hint="eastAsia"/>
                <w:bCs/>
                <w:color w:val="auto"/>
                <w:spacing w:val="16"/>
                <w:sz w:val="21"/>
                <w:szCs w:val="21"/>
                <w:highlight w:val="none"/>
              </w:rPr>
              <w:t>股东关系</w:t>
            </w:r>
          </w:p>
        </w:tc>
        <w:tc>
          <w:tcPr>
            <w:tcW w:w="0" w:type="auto"/>
            <w:gridSpan w:val="2"/>
          </w:tcPr>
          <w:p w14:paraId="7CDBA7FB">
            <w:pPr>
              <w:pStyle w:val="37"/>
              <w:pageBreakBefore w:val="0"/>
              <w:shd w:val="clear" w:color="auto" w:fill="FFFFFF"/>
              <w:kinsoku/>
              <w:overflowPunct/>
              <w:topLinePunct w:val="0"/>
              <w:bidi w:val="0"/>
              <w:spacing w:line="240" w:lineRule="auto"/>
              <w:ind w:left="107"/>
              <w:textAlignment w:val="auto"/>
              <w:rPr>
                <w:bCs/>
                <w:color w:val="auto"/>
                <w:spacing w:val="16"/>
                <w:sz w:val="21"/>
                <w:szCs w:val="21"/>
                <w:highlight w:val="none"/>
              </w:rPr>
            </w:pPr>
          </w:p>
        </w:tc>
      </w:tr>
      <w:tr w14:paraId="2E4C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Merge w:val="restart"/>
          </w:tcPr>
          <w:p w14:paraId="1987A4E8">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0" w:type="auto"/>
            <w:vMerge w:val="restart"/>
            <w:tcBorders>
              <w:top w:val="nil"/>
            </w:tcBorders>
          </w:tcPr>
          <w:p w14:paraId="1106B5F8">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c>
          <w:tcPr>
            <w:tcW w:w="0" w:type="auto"/>
            <w:tcBorders>
              <w:top w:val="nil"/>
            </w:tcBorders>
          </w:tcPr>
          <w:p w14:paraId="05D5E54D">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r>
              <w:rPr>
                <w:rFonts w:hint="eastAsia"/>
                <w:bCs/>
                <w:color w:val="auto"/>
                <w:spacing w:val="16"/>
                <w:sz w:val="21"/>
                <w:szCs w:val="21"/>
                <w:highlight w:val="none"/>
              </w:rPr>
              <w:t>固定电话</w:t>
            </w:r>
          </w:p>
        </w:tc>
        <w:tc>
          <w:tcPr>
            <w:tcW w:w="0" w:type="auto"/>
            <w:gridSpan w:val="2"/>
            <w:tcBorders>
              <w:top w:val="nil"/>
            </w:tcBorders>
          </w:tcPr>
          <w:p w14:paraId="2A6B0DA5">
            <w:pPr>
              <w:pageBreakBefore w:val="0"/>
              <w:widowControl/>
              <w:kinsoku/>
              <w:overflowPunct/>
              <w:topLinePunct w:val="0"/>
              <w:bidi w:val="0"/>
              <w:spacing w:line="240" w:lineRule="auto"/>
              <w:jc w:val="left"/>
              <w:textAlignment w:val="auto"/>
              <w:rPr>
                <w:rFonts w:ascii="宋体" w:cs="宋体"/>
                <w:bCs/>
                <w:color w:val="auto"/>
                <w:spacing w:val="16"/>
                <w:kern w:val="0"/>
                <w:szCs w:val="21"/>
                <w:highlight w:val="none"/>
              </w:rPr>
            </w:pPr>
          </w:p>
          <w:p w14:paraId="3DBE5F64">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c>
          <w:tcPr>
            <w:tcW w:w="0" w:type="auto"/>
            <w:vMerge w:val="restart"/>
          </w:tcPr>
          <w:p w14:paraId="4FBEBCFB">
            <w:pPr>
              <w:pStyle w:val="37"/>
              <w:pageBreakBefore w:val="0"/>
              <w:shd w:val="clear" w:color="auto" w:fill="FFFFFF"/>
              <w:kinsoku/>
              <w:overflowPunct/>
              <w:topLinePunct w:val="0"/>
              <w:bidi w:val="0"/>
              <w:spacing w:before="0" w:beforeAutospacing="0" w:after="0" w:afterAutospacing="0" w:line="240" w:lineRule="auto"/>
              <w:textAlignment w:val="auto"/>
              <w:rPr>
                <w:bCs/>
                <w:color w:val="auto"/>
                <w:spacing w:val="16"/>
                <w:sz w:val="21"/>
                <w:szCs w:val="21"/>
                <w:highlight w:val="none"/>
              </w:rPr>
            </w:pPr>
            <w:r>
              <w:rPr>
                <w:rFonts w:hint="eastAsia"/>
                <w:bCs/>
                <w:color w:val="auto"/>
                <w:spacing w:val="16"/>
                <w:sz w:val="21"/>
                <w:szCs w:val="21"/>
                <w:highlight w:val="none"/>
              </w:rPr>
              <w:t>传真</w:t>
            </w:r>
          </w:p>
        </w:tc>
        <w:tc>
          <w:tcPr>
            <w:tcW w:w="0" w:type="auto"/>
            <w:gridSpan w:val="2"/>
            <w:vMerge w:val="restart"/>
          </w:tcPr>
          <w:p w14:paraId="69EEAA56">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r>
      <w:tr w14:paraId="011F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0" w:type="auto"/>
            <w:vMerge w:val="continue"/>
          </w:tcPr>
          <w:p w14:paraId="7A1FD4F0">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p>
        </w:tc>
        <w:tc>
          <w:tcPr>
            <w:tcW w:w="0" w:type="auto"/>
            <w:vMerge w:val="continue"/>
          </w:tcPr>
          <w:p w14:paraId="2451EFA8">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c>
          <w:tcPr>
            <w:tcW w:w="0" w:type="auto"/>
          </w:tcPr>
          <w:p w14:paraId="661A95F6">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r>
              <w:rPr>
                <w:rFonts w:hint="eastAsia"/>
                <w:bCs/>
                <w:color w:val="auto"/>
                <w:spacing w:val="27"/>
                <w:sz w:val="21"/>
                <w:szCs w:val="21"/>
                <w:highlight w:val="none"/>
              </w:rPr>
              <w:t>手机</w:t>
            </w:r>
          </w:p>
        </w:tc>
        <w:tc>
          <w:tcPr>
            <w:tcW w:w="0" w:type="auto"/>
            <w:gridSpan w:val="2"/>
          </w:tcPr>
          <w:p w14:paraId="60C37E7A">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c>
          <w:tcPr>
            <w:tcW w:w="0" w:type="auto"/>
            <w:vMerge w:val="continue"/>
          </w:tcPr>
          <w:p w14:paraId="43A29FAD">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c>
          <w:tcPr>
            <w:tcW w:w="0" w:type="auto"/>
            <w:gridSpan w:val="2"/>
            <w:vMerge w:val="continue"/>
          </w:tcPr>
          <w:p w14:paraId="7179776A">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r>
      <w:tr w14:paraId="1B8A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0" w:type="auto"/>
            <w:vMerge w:val="restart"/>
          </w:tcPr>
          <w:p w14:paraId="3AEEB400">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r>
              <w:rPr>
                <w:rFonts w:hint="eastAsia"/>
                <w:bCs/>
                <w:color w:val="auto"/>
                <w:sz w:val="21"/>
                <w:szCs w:val="21"/>
                <w:highlight w:val="none"/>
              </w:rPr>
              <w:t>一、</w:t>
            </w:r>
          </w:p>
          <w:p w14:paraId="5E3F460F">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r>
              <w:rPr>
                <w:rFonts w:hint="eastAsia"/>
                <w:bCs/>
                <w:color w:val="auto"/>
                <w:sz w:val="21"/>
                <w:szCs w:val="21"/>
                <w:highlight w:val="none"/>
              </w:rPr>
              <w:t>企</w:t>
            </w:r>
          </w:p>
          <w:p w14:paraId="50E45E2A">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r>
              <w:rPr>
                <w:rFonts w:hint="eastAsia"/>
                <w:bCs/>
                <w:color w:val="auto"/>
                <w:sz w:val="21"/>
                <w:szCs w:val="21"/>
                <w:highlight w:val="none"/>
              </w:rPr>
              <w:t>业</w:t>
            </w:r>
          </w:p>
          <w:p w14:paraId="603B287F">
            <w:pPr>
              <w:pStyle w:val="37"/>
              <w:pageBreakBefore w:val="0"/>
              <w:shd w:val="clear" w:color="auto" w:fill="FFFFFF"/>
              <w:kinsoku/>
              <w:overflowPunct/>
              <w:topLinePunct w:val="0"/>
              <w:bidi w:val="0"/>
              <w:spacing w:line="240" w:lineRule="auto"/>
              <w:ind w:left="107"/>
              <w:textAlignment w:val="auto"/>
              <w:rPr>
                <w:bCs/>
                <w:color w:val="auto"/>
                <w:spacing w:val="27"/>
                <w:sz w:val="21"/>
                <w:szCs w:val="21"/>
                <w:highlight w:val="none"/>
              </w:rPr>
            </w:pPr>
            <w:r>
              <w:rPr>
                <w:rFonts w:hint="eastAsia"/>
                <w:bCs/>
                <w:color w:val="auto"/>
                <w:spacing w:val="27"/>
                <w:sz w:val="21"/>
                <w:szCs w:val="21"/>
                <w:highlight w:val="none"/>
              </w:rPr>
              <w:t>概</w:t>
            </w:r>
          </w:p>
          <w:p w14:paraId="2AF47168">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r>
              <w:rPr>
                <w:rFonts w:hint="eastAsia"/>
                <w:bCs/>
                <w:color w:val="auto"/>
                <w:spacing w:val="27"/>
                <w:sz w:val="21"/>
                <w:szCs w:val="21"/>
                <w:highlight w:val="none"/>
              </w:rPr>
              <w:t>况</w:t>
            </w:r>
          </w:p>
        </w:tc>
        <w:tc>
          <w:tcPr>
            <w:tcW w:w="0" w:type="auto"/>
            <w:tcBorders>
              <w:top w:val="nil"/>
            </w:tcBorders>
          </w:tcPr>
          <w:p w14:paraId="57019E94">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r>
              <w:rPr>
                <w:rFonts w:hint="eastAsia"/>
                <w:bCs/>
                <w:color w:val="auto"/>
                <w:spacing w:val="16"/>
                <w:sz w:val="21"/>
                <w:szCs w:val="21"/>
                <w:highlight w:val="none"/>
              </w:rPr>
              <w:t>职工人数</w:t>
            </w:r>
          </w:p>
        </w:tc>
        <w:tc>
          <w:tcPr>
            <w:tcW w:w="0" w:type="auto"/>
            <w:tcBorders>
              <w:top w:val="nil"/>
            </w:tcBorders>
          </w:tcPr>
          <w:p w14:paraId="24E7B472">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c>
          <w:tcPr>
            <w:tcW w:w="0" w:type="auto"/>
            <w:tcBorders>
              <w:top w:val="nil"/>
            </w:tcBorders>
          </w:tcPr>
          <w:p w14:paraId="4CC8EF54">
            <w:pPr>
              <w:pStyle w:val="37"/>
              <w:pageBreakBefore w:val="0"/>
              <w:shd w:val="clear" w:color="auto" w:fill="FFFFFF"/>
              <w:kinsoku/>
              <w:overflowPunct/>
              <w:topLinePunct w:val="0"/>
              <w:bidi w:val="0"/>
              <w:spacing w:before="0" w:beforeAutospacing="0" w:after="0" w:afterAutospacing="0" w:line="240" w:lineRule="auto"/>
              <w:textAlignment w:val="auto"/>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0" w:type="auto"/>
            <w:tcBorders>
              <w:top w:val="nil"/>
            </w:tcBorders>
          </w:tcPr>
          <w:p w14:paraId="73A0C377">
            <w:pPr>
              <w:pageBreakBefore w:val="0"/>
              <w:widowControl/>
              <w:kinsoku/>
              <w:overflowPunct/>
              <w:topLinePunct w:val="0"/>
              <w:bidi w:val="0"/>
              <w:spacing w:line="240" w:lineRule="auto"/>
              <w:jc w:val="left"/>
              <w:textAlignment w:val="auto"/>
              <w:rPr>
                <w:rFonts w:ascii="宋体" w:cs="宋体"/>
                <w:bCs/>
                <w:color w:val="auto"/>
                <w:spacing w:val="16"/>
                <w:kern w:val="0"/>
                <w:szCs w:val="21"/>
                <w:highlight w:val="none"/>
              </w:rPr>
            </w:pPr>
          </w:p>
          <w:p w14:paraId="06AE97A7">
            <w:pPr>
              <w:pageBreakBefore w:val="0"/>
              <w:widowControl/>
              <w:kinsoku/>
              <w:overflowPunct/>
              <w:topLinePunct w:val="0"/>
              <w:bidi w:val="0"/>
              <w:spacing w:line="240" w:lineRule="auto"/>
              <w:jc w:val="left"/>
              <w:textAlignment w:val="auto"/>
              <w:rPr>
                <w:rFonts w:ascii="宋体" w:cs="宋体"/>
                <w:bCs/>
                <w:color w:val="auto"/>
                <w:spacing w:val="16"/>
                <w:kern w:val="0"/>
                <w:szCs w:val="21"/>
                <w:highlight w:val="none"/>
              </w:rPr>
            </w:pPr>
          </w:p>
          <w:p w14:paraId="32CD2D39">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c>
          <w:tcPr>
            <w:tcW w:w="0" w:type="auto"/>
          </w:tcPr>
          <w:p w14:paraId="59A963D6">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0" w:type="auto"/>
            <w:gridSpan w:val="2"/>
          </w:tcPr>
          <w:p w14:paraId="540A6C1C">
            <w:pPr>
              <w:pageBreakBefore w:val="0"/>
              <w:widowControl/>
              <w:kinsoku/>
              <w:overflowPunct/>
              <w:topLinePunct w:val="0"/>
              <w:bidi w:val="0"/>
              <w:spacing w:line="240" w:lineRule="auto"/>
              <w:jc w:val="left"/>
              <w:textAlignment w:val="auto"/>
              <w:rPr>
                <w:rFonts w:ascii="宋体" w:cs="宋体"/>
                <w:bCs/>
                <w:color w:val="auto"/>
                <w:spacing w:val="16"/>
                <w:kern w:val="0"/>
                <w:szCs w:val="21"/>
                <w:highlight w:val="none"/>
              </w:rPr>
            </w:pPr>
          </w:p>
          <w:p w14:paraId="434FC938">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r>
      <w:tr w14:paraId="7C27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0" w:type="auto"/>
            <w:vMerge w:val="continue"/>
          </w:tcPr>
          <w:p w14:paraId="6AC1CE47">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p>
        </w:tc>
        <w:tc>
          <w:tcPr>
            <w:tcW w:w="0" w:type="auto"/>
          </w:tcPr>
          <w:p w14:paraId="411CADC1">
            <w:pPr>
              <w:pStyle w:val="37"/>
              <w:pageBreakBefore w:val="0"/>
              <w:shd w:val="clear" w:color="auto" w:fill="FFFFFF"/>
              <w:kinsoku/>
              <w:overflowPunct/>
              <w:topLinePunct w:val="0"/>
              <w:bidi w:val="0"/>
              <w:spacing w:line="240" w:lineRule="auto"/>
              <w:textAlignment w:val="auto"/>
              <w:rPr>
                <w:bCs/>
                <w:color w:val="auto"/>
                <w:sz w:val="21"/>
                <w:szCs w:val="21"/>
                <w:highlight w:val="none"/>
              </w:rPr>
            </w:pPr>
            <w:r>
              <w:rPr>
                <w:rFonts w:hint="eastAsia"/>
                <w:bCs/>
                <w:color w:val="auto"/>
                <w:spacing w:val="16"/>
                <w:sz w:val="21"/>
                <w:szCs w:val="21"/>
                <w:highlight w:val="none"/>
              </w:rPr>
              <w:t>占地面积</w:t>
            </w:r>
          </w:p>
        </w:tc>
        <w:tc>
          <w:tcPr>
            <w:tcW w:w="0" w:type="auto"/>
          </w:tcPr>
          <w:p w14:paraId="4EA7428E">
            <w:pPr>
              <w:pStyle w:val="37"/>
              <w:pageBreakBefore w:val="0"/>
              <w:shd w:val="clear" w:color="auto" w:fill="FFFFFF"/>
              <w:kinsoku/>
              <w:overflowPunct/>
              <w:topLinePunct w:val="0"/>
              <w:bidi w:val="0"/>
              <w:spacing w:line="240" w:lineRule="auto"/>
              <w:textAlignment w:val="auto"/>
              <w:rPr>
                <w:bCs/>
                <w:color w:val="auto"/>
                <w:sz w:val="21"/>
                <w:szCs w:val="21"/>
                <w:highlight w:val="none"/>
              </w:rPr>
            </w:pPr>
          </w:p>
        </w:tc>
        <w:tc>
          <w:tcPr>
            <w:tcW w:w="0" w:type="auto"/>
          </w:tcPr>
          <w:p w14:paraId="293E4C6E">
            <w:pPr>
              <w:pStyle w:val="37"/>
              <w:pageBreakBefore w:val="0"/>
              <w:shd w:val="clear" w:color="auto" w:fill="FFFFFF"/>
              <w:kinsoku/>
              <w:overflowPunct/>
              <w:topLinePunct w:val="0"/>
              <w:bidi w:val="0"/>
              <w:spacing w:line="240" w:lineRule="auto"/>
              <w:textAlignment w:val="auto"/>
              <w:rPr>
                <w:bCs/>
                <w:color w:val="auto"/>
                <w:sz w:val="21"/>
                <w:szCs w:val="21"/>
                <w:highlight w:val="none"/>
              </w:rPr>
            </w:pPr>
            <w:r>
              <w:rPr>
                <w:rFonts w:hint="eastAsia"/>
                <w:bCs/>
                <w:color w:val="auto"/>
                <w:spacing w:val="16"/>
                <w:sz w:val="21"/>
                <w:szCs w:val="21"/>
                <w:highlight w:val="none"/>
              </w:rPr>
              <w:t>建筑面积</w:t>
            </w:r>
          </w:p>
        </w:tc>
        <w:tc>
          <w:tcPr>
            <w:tcW w:w="0" w:type="auto"/>
          </w:tcPr>
          <w:p w14:paraId="0D306D05">
            <w:pPr>
              <w:pStyle w:val="37"/>
              <w:pageBreakBefore w:val="0"/>
              <w:shd w:val="clear" w:color="auto" w:fill="FFFFFF"/>
              <w:kinsoku/>
              <w:overflowPunct/>
              <w:topLinePunct w:val="0"/>
              <w:bidi w:val="0"/>
              <w:spacing w:line="240" w:lineRule="auto"/>
              <w:textAlignment w:val="auto"/>
              <w:rPr>
                <w:bCs/>
                <w:color w:val="auto"/>
                <w:sz w:val="21"/>
                <w:szCs w:val="21"/>
                <w:highlight w:val="none"/>
              </w:rPr>
            </w:pPr>
            <w:r>
              <w:rPr>
                <w:rFonts w:hint="eastAsia"/>
                <w:bCs/>
                <w:color w:val="auto"/>
                <w:sz w:val="21"/>
                <w:szCs w:val="21"/>
                <w:highlight w:val="none"/>
              </w:rPr>
              <w:t>平方米</w:t>
            </w:r>
          </w:p>
          <w:p w14:paraId="46B325E3">
            <w:pPr>
              <w:pStyle w:val="37"/>
              <w:pageBreakBefore w:val="0"/>
              <w:shd w:val="clear" w:color="auto" w:fill="FFFFFF"/>
              <w:kinsoku/>
              <w:overflowPunct/>
              <w:topLinePunct w:val="0"/>
              <w:bidi w:val="0"/>
              <w:spacing w:line="240" w:lineRule="auto"/>
              <w:textAlignment w:val="auto"/>
              <w:rPr>
                <w:bCs/>
                <w:color w:val="auto"/>
                <w:sz w:val="21"/>
                <w:szCs w:val="21"/>
                <w:highlight w:val="none"/>
              </w:rPr>
            </w:pPr>
            <w:r>
              <w:rPr>
                <w:rFonts w:hint="eastAsia"/>
                <w:bCs/>
                <w:color w:val="auto"/>
                <w:spacing w:val="16"/>
                <w:sz w:val="21"/>
                <w:szCs w:val="21"/>
                <w:highlight w:val="none"/>
              </w:rPr>
              <w:t>□自有□租賃</w:t>
            </w:r>
          </w:p>
        </w:tc>
        <w:tc>
          <w:tcPr>
            <w:tcW w:w="0" w:type="auto"/>
          </w:tcPr>
          <w:p w14:paraId="051F0B7B">
            <w:pPr>
              <w:pStyle w:val="37"/>
              <w:pageBreakBefore w:val="0"/>
              <w:shd w:val="clear" w:color="auto" w:fill="FFFFFF"/>
              <w:kinsoku/>
              <w:overflowPunct/>
              <w:topLinePunct w:val="0"/>
              <w:bidi w:val="0"/>
              <w:spacing w:line="240" w:lineRule="auto"/>
              <w:textAlignment w:val="auto"/>
              <w:rPr>
                <w:bCs/>
                <w:color w:val="auto"/>
                <w:sz w:val="21"/>
                <w:szCs w:val="21"/>
                <w:highlight w:val="none"/>
              </w:rPr>
            </w:pPr>
            <w:r>
              <w:rPr>
                <w:rFonts w:hint="eastAsia"/>
                <w:bCs/>
                <w:color w:val="auto"/>
                <w:spacing w:val="16"/>
                <w:sz w:val="21"/>
                <w:szCs w:val="21"/>
                <w:highlight w:val="none"/>
              </w:rPr>
              <w:t>生产经营场所及场所的设施与设备</w:t>
            </w:r>
          </w:p>
        </w:tc>
        <w:tc>
          <w:tcPr>
            <w:tcW w:w="0" w:type="auto"/>
            <w:gridSpan w:val="2"/>
          </w:tcPr>
          <w:p w14:paraId="79631C50">
            <w:pPr>
              <w:pStyle w:val="37"/>
              <w:pageBreakBefore w:val="0"/>
              <w:shd w:val="clear" w:color="auto" w:fill="FFFFFF"/>
              <w:kinsoku/>
              <w:overflowPunct/>
              <w:topLinePunct w:val="0"/>
              <w:bidi w:val="0"/>
              <w:spacing w:before="0" w:beforeAutospacing="0" w:after="0" w:afterAutospacing="0" w:line="240" w:lineRule="auto"/>
              <w:textAlignment w:val="auto"/>
              <w:rPr>
                <w:bCs/>
                <w:color w:val="auto"/>
                <w:spacing w:val="16"/>
                <w:sz w:val="21"/>
                <w:szCs w:val="21"/>
                <w:highlight w:val="none"/>
              </w:rPr>
            </w:pPr>
          </w:p>
        </w:tc>
      </w:tr>
      <w:tr w14:paraId="1C6D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0" w:type="auto"/>
            <w:vMerge w:val="continue"/>
          </w:tcPr>
          <w:p w14:paraId="1FC6B51F">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p>
        </w:tc>
        <w:tc>
          <w:tcPr>
            <w:tcW w:w="0" w:type="auto"/>
          </w:tcPr>
          <w:p w14:paraId="694047FB">
            <w:pPr>
              <w:pStyle w:val="37"/>
              <w:pageBreakBefore w:val="0"/>
              <w:shd w:val="clear" w:color="auto" w:fill="FFFFFF"/>
              <w:kinsoku/>
              <w:overflowPunct/>
              <w:topLinePunct w:val="0"/>
              <w:bidi w:val="0"/>
              <w:spacing w:line="240" w:lineRule="auto"/>
              <w:ind w:left="2"/>
              <w:textAlignment w:val="auto"/>
              <w:rPr>
                <w:bCs/>
                <w:color w:val="auto"/>
                <w:spacing w:val="16"/>
                <w:sz w:val="21"/>
                <w:szCs w:val="21"/>
                <w:highlight w:val="none"/>
              </w:rPr>
            </w:pPr>
            <w:r>
              <w:rPr>
                <w:rFonts w:hint="eastAsia"/>
                <w:bCs/>
                <w:color w:val="auto"/>
                <w:spacing w:val="16"/>
                <w:sz w:val="21"/>
                <w:szCs w:val="21"/>
                <w:highlight w:val="none"/>
              </w:rPr>
              <w:t>注册资金</w:t>
            </w:r>
          </w:p>
        </w:tc>
        <w:tc>
          <w:tcPr>
            <w:tcW w:w="0" w:type="auto"/>
          </w:tcPr>
          <w:p w14:paraId="3FB3CDB2">
            <w:pPr>
              <w:pStyle w:val="37"/>
              <w:pageBreakBefore w:val="0"/>
              <w:shd w:val="clear" w:color="auto" w:fill="FFFFFF"/>
              <w:kinsoku/>
              <w:overflowPunct/>
              <w:topLinePunct w:val="0"/>
              <w:bidi w:val="0"/>
              <w:spacing w:line="240" w:lineRule="auto"/>
              <w:ind w:left="2"/>
              <w:textAlignment w:val="auto"/>
              <w:rPr>
                <w:bCs/>
                <w:color w:val="auto"/>
                <w:sz w:val="21"/>
                <w:szCs w:val="21"/>
                <w:highlight w:val="none"/>
              </w:rPr>
            </w:pPr>
          </w:p>
        </w:tc>
        <w:tc>
          <w:tcPr>
            <w:tcW w:w="0" w:type="auto"/>
          </w:tcPr>
          <w:p w14:paraId="3AE381E0">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0" w:type="auto"/>
            <w:gridSpan w:val="2"/>
          </w:tcPr>
          <w:p w14:paraId="236C5D76">
            <w:pPr>
              <w:pageBreakBefore w:val="0"/>
              <w:widowControl/>
              <w:kinsoku/>
              <w:overflowPunct/>
              <w:topLinePunct w:val="0"/>
              <w:bidi w:val="0"/>
              <w:spacing w:line="240" w:lineRule="auto"/>
              <w:jc w:val="left"/>
              <w:textAlignment w:val="auto"/>
              <w:rPr>
                <w:rFonts w:ascii="宋体" w:cs="宋体"/>
                <w:bCs/>
                <w:color w:val="auto"/>
                <w:kern w:val="0"/>
                <w:szCs w:val="21"/>
                <w:highlight w:val="none"/>
              </w:rPr>
            </w:pPr>
          </w:p>
          <w:p w14:paraId="29724048">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p>
        </w:tc>
        <w:tc>
          <w:tcPr>
            <w:tcW w:w="0" w:type="auto"/>
          </w:tcPr>
          <w:p w14:paraId="3F02AC9F">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0" w:type="auto"/>
          </w:tcPr>
          <w:p w14:paraId="2D3069D3">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p>
        </w:tc>
      </w:tr>
      <w:tr w14:paraId="7CF5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0" w:type="auto"/>
            <w:vMerge w:val="continue"/>
          </w:tcPr>
          <w:p w14:paraId="567B288F">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p>
        </w:tc>
        <w:tc>
          <w:tcPr>
            <w:tcW w:w="0" w:type="auto"/>
          </w:tcPr>
          <w:p w14:paraId="4BE973A8">
            <w:pPr>
              <w:pStyle w:val="37"/>
              <w:pageBreakBefore w:val="0"/>
              <w:shd w:val="clear" w:color="auto" w:fill="FFFFFF"/>
              <w:kinsoku/>
              <w:overflowPunct/>
              <w:topLinePunct w:val="0"/>
              <w:bidi w:val="0"/>
              <w:spacing w:line="240" w:lineRule="auto"/>
              <w:ind w:left="2"/>
              <w:textAlignment w:val="auto"/>
              <w:rPr>
                <w:bCs/>
                <w:color w:val="auto"/>
                <w:sz w:val="21"/>
                <w:szCs w:val="21"/>
                <w:highlight w:val="none"/>
              </w:rPr>
            </w:pPr>
            <w:r>
              <w:rPr>
                <w:rFonts w:hint="eastAsia"/>
                <w:bCs/>
                <w:color w:val="auto"/>
                <w:sz w:val="21"/>
                <w:szCs w:val="21"/>
                <w:highlight w:val="none"/>
              </w:rPr>
              <w:t>核准经营范围</w:t>
            </w:r>
          </w:p>
        </w:tc>
        <w:tc>
          <w:tcPr>
            <w:tcW w:w="0" w:type="auto"/>
            <w:gridSpan w:val="6"/>
          </w:tcPr>
          <w:p w14:paraId="367C6A80">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p>
        </w:tc>
      </w:tr>
      <w:tr w14:paraId="6789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Merge w:val="continue"/>
          </w:tcPr>
          <w:p w14:paraId="17642BDA">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p>
        </w:tc>
        <w:tc>
          <w:tcPr>
            <w:tcW w:w="0" w:type="auto"/>
            <w:gridSpan w:val="7"/>
          </w:tcPr>
          <w:p w14:paraId="288D4ACF">
            <w:pPr>
              <w:pStyle w:val="37"/>
              <w:pageBreakBefore w:val="0"/>
              <w:shd w:val="clear" w:color="auto" w:fill="FFFFFF"/>
              <w:kinsoku/>
              <w:overflowPunct/>
              <w:topLinePunct w:val="0"/>
              <w:bidi w:val="0"/>
              <w:spacing w:line="240" w:lineRule="auto"/>
              <w:textAlignment w:val="auto"/>
              <w:rPr>
                <w:bCs/>
                <w:color w:val="auto"/>
                <w:spacing w:val="13"/>
                <w:sz w:val="21"/>
                <w:szCs w:val="21"/>
                <w:highlight w:val="none"/>
              </w:rPr>
            </w:pPr>
            <w:r>
              <w:rPr>
                <w:rFonts w:hint="eastAsia"/>
                <w:bCs/>
                <w:color w:val="auto"/>
                <w:spacing w:val="13"/>
                <w:sz w:val="21"/>
                <w:szCs w:val="21"/>
                <w:highlight w:val="none"/>
              </w:rPr>
              <w:t>发展历程及主要荣誉：</w:t>
            </w:r>
          </w:p>
        </w:tc>
      </w:tr>
      <w:tr w14:paraId="0F41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vMerge w:val="restart"/>
          </w:tcPr>
          <w:p w14:paraId="47384387">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r>
              <w:rPr>
                <w:rFonts w:hint="eastAsia"/>
                <w:bCs/>
                <w:color w:val="auto"/>
                <w:sz w:val="21"/>
                <w:szCs w:val="21"/>
                <w:highlight w:val="none"/>
              </w:rPr>
              <w:t>二、</w:t>
            </w:r>
          </w:p>
          <w:p w14:paraId="34D4A9CE">
            <w:pPr>
              <w:pStyle w:val="37"/>
              <w:pageBreakBefore w:val="0"/>
              <w:shd w:val="clear" w:color="auto" w:fill="FFFFFF"/>
              <w:kinsoku/>
              <w:overflowPunct/>
              <w:topLinePunct w:val="0"/>
              <w:bidi w:val="0"/>
              <w:spacing w:line="240" w:lineRule="auto"/>
              <w:ind w:left="107"/>
              <w:textAlignment w:val="auto"/>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0" w:type="auto"/>
            <w:gridSpan w:val="2"/>
            <w:vMerge w:val="restart"/>
          </w:tcPr>
          <w:p w14:paraId="4DB0D6CD">
            <w:pPr>
              <w:pStyle w:val="37"/>
              <w:pageBreakBefore w:val="0"/>
              <w:shd w:val="clear" w:color="auto" w:fill="FFFFFF"/>
              <w:kinsoku/>
              <w:overflowPunct/>
              <w:topLinePunct w:val="0"/>
              <w:bidi w:val="0"/>
              <w:spacing w:before="0" w:beforeAutospacing="0" w:after="0" w:afterAutospacing="0" w:line="240" w:lineRule="auto"/>
              <w:textAlignment w:val="auto"/>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0" w:type="auto"/>
          </w:tcPr>
          <w:p w14:paraId="12C34DF8">
            <w:pPr>
              <w:pStyle w:val="37"/>
              <w:pageBreakBefore w:val="0"/>
              <w:shd w:val="clear" w:color="auto" w:fill="FFFFFF"/>
              <w:kinsoku/>
              <w:overflowPunct/>
              <w:topLinePunct w:val="0"/>
              <w:bidi w:val="0"/>
              <w:spacing w:line="240" w:lineRule="auto"/>
              <w:ind w:right="-78" w:rightChars="-37"/>
              <w:textAlignment w:val="auto"/>
              <w:rPr>
                <w:bCs/>
                <w:color w:val="auto"/>
                <w:spacing w:val="16"/>
                <w:sz w:val="21"/>
                <w:szCs w:val="21"/>
                <w:highlight w:val="none"/>
              </w:rPr>
            </w:pPr>
            <w:r>
              <w:rPr>
                <w:rFonts w:hint="eastAsia"/>
                <w:bCs/>
                <w:color w:val="auto"/>
                <w:spacing w:val="16"/>
                <w:sz w:val="21"/>
                <w:szCs w:val="21"/>
                <w:highlight w:val="none"/>
              </w:rPr>
              <w:t>产品名称</w:t>
            </w:r>
          </w:p>
        </w:tc>
        <w:tc>
          <w:tcPr>
            <w:tcW w:w="0" w:type="auto"/>
          </w:tcPr>
          <w:p w14:paraId="6F15AFBF">
            <w:pPr>
              <w:pStyle w:val="37"/>
              <w:pageBreakBefore w:val="0"/>
              <w:shd w:val="clear" w:color="auto" w:fill="FFFFFF"/>
              <w:kinsoku/>
              <w:overflowPunct/>
              <w:topLinePunct w:val="0"/>
              <w:bidi w:val="0"/>
              <w:spacing w:before="0" w:beforeAutospacing="0" w:after="0" w:afterAutospacing="0" w:line="240" w:lineRule="auto"/>
              <w:textAlignment w:val="auto"/>
              <w:rPr>
                <w:bCs/>
                <w:color w:val="auto"/>
                <w:sz w:val="21"/>
                <w:szCs w:val="21"/>
                <w:highlight w:val="none"/>
              </w:rPr>
            </w:pPr>
            <w:r>
              <w:rPr>
                <w:rFonts w:hint="eastAsia"/>
                <w:bCs/>
                <w:color w:val="auto"/>
                <w:spacing w:val="16"/>
                <w:sz w:val="21"/>
                <w:szCs w:val="21"/>
                <w:highlight w:val="none"/>
              </w:rPr>
              <w:t>发证机关</w:t>
            </w:r>
          </w:p>
        </w:tc>
        <w:tc>
          <w:tcPr>
            <w:tcW w:w="0" w:type="auto"/>
          </w:tcPr>
          <w:p w14:paraId="06D9A14D">
            <w:pPr>
              <w:pStyle w:val="37"/>
              <w:pageBreakBefore w:val="0"/>
              <w:shd w:val="clear" w:color="auto" w:fill="FFFFFF"/>
              <w:kinsoku/>
              <w:overflowPunct/>
              <w:topLinePunct w:val="0"/>
              <w:bidi w:val="0"/>
              <w:spacing w:line="240" w:lineRule="auto"/>
              <w:jc w:val="center"/>
              <w:textAlignment w:val="auto"/>
              <w:rPr>
                <w:bCs/>
                <w:color w:val="auto"/>
                <w:sz w:val="21"/>
                <w:szCs w:val="21"/>
                <w:highlight w:val="none"/>
              </w:rPr>
            </w:pPr>
            <w:r>
              <w:rPr>
                <w:rFonts w:hint="eastAsia"/>
                <w:bCs/>
                <w:color w:val="auto"/>
                <w:spacing w:val="27"/>
                <w:sz w:val="21"/>
                <w:szCs w:val="21"/>
                <w:highlight w:val="none"/>
              </w:rPr>
              <w:t>编号</w:t>
            </w:r>
          </w:p>
        </w:tc>
        <w:tc>
          <w:tcPr>
            <w:tcW w:w="0" w:type="auto"/>
          </w:tcPr>
          <w:p w14:paraId="5ABFE839">
            <w:pPr>
              <w:pStyle w:val="37"/>
              <w:pageBreakBefore w:val="0"/>
              <w:shd w:val="clear" w:color="auto" w:fill="FFFFFF"/>
              <w:kinsoku/>
              <w:overflowPunct/>
              <w:topLinePunct w:val="0"/>
              <w:bidi w:val="0"/>
              <w:spacing w:line="240" w:lineRule="auto"/>
              <w:jc w:val="center"/>
              <w:textAlignment w:val="auto"/>
              <w:rPr>
                <w:bCs/>
                <w:color w:val="auto"/>
                <w:sz w:val="21"/>
                <w:szCs w:val="21"/>
                <w:highlight w:val="none"/>
              </w:rPr>
            </w:pPr>
            <w:r>
              <w:rPr>
                <w:rFonts w:hint="eastAsia"/>
                <w:bCs/>
                <w:color w:val="auto"/>
                <w:spacing w:val="16"/>
                <w:sz w:val="21"/>
                <w:szCs w:val="21"/>
                <w:highlight w:val="none"/>
              </w:rPr>
              <w:t>发证时间</w:t>
            </w:r>
          </w:p>
        </w:tc>
        <w:tc>
          <w:tcPr>
            <w:tcW w:w="0" w:type="auto"/>
          </w:tcPr>
          <w:p w14:paraId="5DF8FE0C">
            <w:pPr>
              <w:pStyle w:val="37"/>
              <w:pageBreakBefore w:val="0"/>
              <w:shd w:val="clear" w:color="auto" w:fill="FFFFFF"/>
              <w:kinsoku/>
              <w:overflowPunct/>
              <w:topLinePunct w:val="0"/>
              <w:bidi w:val="0"/>
              <w:spacing w:before="0" w:beforeAutospacing="0" w:after="0" w:afterAutospacing="0" w:line="240" w:lineRule="auto"/>
              <w:jc w:val="center"/>
              <w:textAlignment w:val="auto"/>
              <w:rPr>
                <w:bCs/>
                <w:color w:val="auto"/>
                <w:sz w:val="21"/>
                <w:szCs w:val="21"/>
                <w:highlight w:val="none"/>
              </w:rPr>
            </w:pPr>
            <w:r>
              <w:rPr>
                <w:rFonts w:hint="eastAsia"/>
                <w:bCs/>
                <w:color w:val="auto"/>
                <w:spacing w:val="27"/>
                <w:sz w:val="21"/>
                <w:szCs w:val="21"/>
                <w:highlight w:val="none"/>
              </w:rPr>
              <w:t>期限</w:t>
            </w:r>
          </w:p>
        </w:tc>
      </w:tr>
      <w:tr w14:paraId="5C4F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0" w:type="auto"/>
            <w:vMerge w:val="continue"/>
          </w:tcPr>
          <w:p w14:paraId="081323AF">
            <w:pPr>
              <w:pStyle w:val="37"/>
              <w:pageBreakBefore w:val="0"/>
              <w:shd w:val="clear" w:color="auto" w:fill="FFFFFF"/>
              <w:kinsoku/>
              <w:overflowPunct/>
              <w:topLinePunct w:val="0"/>
              <w:bidi w:val="0"/>
              <w:spacing w:line="240" w:lineRule="auto"/>
              <w:ind w:left="107"/>
              <w:textAlignment w:val="auto"/>
              <w:rPr>
                <w:bCs/>
                <w:color w:val="auto"/>
                <w:sz w:val="21"/>
                <w:szCs w:val="21"/>
                <w:highlight w:val="none"/>
              </w:rPr>
            </w:pPr>
          </w:p>
        </w:tc>
        <w:tc>
          <w:tcPr>
            <w:tcW w:w="0" w:type="auto"/>
            <w:gridSpan w:val="2"/>
            <w:vMerge w:val="continue"/>
          </w:tcPr>
          <w:p w14:paraId="11DD543F">
            <w:pPr>
              <w:pStyle w:val="37"/>
              <w:pageBreakBefore w:val="0"/>
              <w:shd w:val="clear" w:color="auto" w:fill="FFFFFF"/>
              <w:kinsoku/>
              <w:overflowPunct/>
              <w:topLinePunct w:val="0"/>
              <w:bidi w:val="0"/>
              <w:spacing w:line="240" w:lineRule="auto"/>
              <w:textAlignment w:val="auto"/>
              <w:rPr>
                <w:bCs/>
                <w:color w:val="auto"/>
                <w:sz w:val="21"/>
                <w:szCs w:val="21"/>
                <w:highlight w:val="none"/>
              </w:rPr>
            </w:pPr>
          </w:p>
        </w:tc>
        <w:tc>
          <w:tcPr>
            <w:tcW w:w="0" w:type="auto"/>
          </w:tcPr>
          <w:p w14:paraId="6666A2BB">
            <w:pPr>
              <w:pStyle w:val="37"/>
              <w:pageBreakBefore w:val="0"/>
              <w:shd w:val="clear" w:color="auto" w:fill="FFFFFF"/>
              <w:kinsoku/>
              <w:overflowPunct/>
              <w:topLinePunct w:val="0"/>
              <w:bidi w:val="0"/>
              <w:spacing w:line="240" w:lineRule="auto"/>
              <w:textAlignment w:val="auto"/>
              <w:rPr>
                <w:bCs/>
                <w:color w:val="auto"/>
                <w:sz w:val="21"/>
                <w:szCs w:val="21"/>
                <w:highlight w:val="none"/>
              </w:rPr>
            </w:pPr>
          </w:p>
        </w:tc>
        <w:tc>
          <w:tcPr>
            <w:tcW w:w="0" w:type="auto"/>
          </w:tcPr>
          <w:p w14:paraId="27D0FFC8">
            <w:pPr>
              <w:pStyle w:val="37"/>
              <w:pageBreakBefore w:val="0"/>
              <w:shd w:val="clear" w:color="auto" w:fill="FFFFFF"/>
              <w:kinsoku/>
              <w:overflowPunct/>
              <w:topLinePunct w:val="0"/>
              <w:bidi w:val="0"/>
              <w:spacing w:line="240" w:lineRule="auto"/>
              <w:textAlignment w:val="auto"/>
              <w:rPr>
                <w:bCs/>
                <w:color w:val="auto"/>
                <w:sz w:val="21"/>
                <w:szCs w:val="21"/>
                <w:highlight w:val="none"/>
              </w:rPr>
            </w:pPr>
          </w:p>
        </w:tc>
        <w:tc>
          <w:tcPr>
            <w:tcW w:w="0" w:type="auto"/>
          </w:tcPr>
          <w:p w14:paraId="6226812C">
            <w:pPr>
              <w:pStyle w:val="37"/>
              <w:pageBreakBefore w:val="0"/>
              <w:shd w:val="clear" w:color="auto" w:fill="FFFFFF"/>
              <w:kinsoku/>
              <w:overflowPunct/>
              <w:topLinePunct w:val="0"/>
              <w:bidi w:val="0"/>
              <w:spacing w:line="240" w:lineRule="auto"/>
              <w:textAlignment w:val="auto"/>
              <w:rPr>
                <w:bCs/>
                <w:color w:val="auto"/>
                <w:sz w:val="21"/>
                <w:szCs w:val="21"/>
                <w:highlight w:val="none"/>
              </w:rPr>
            </w:pPr>
          </w:p>
        </w:tc>
        <w:tc>
          <w:tcPr>
            <w:tcW w:w="0" w:type="auto"/>
            <w:gridSpan w:val="2"/>
          </w:tcPr>
          <w:p w14:paraId="787FBF60">
            <w:pPr>
              <w:pStyle w:val="37"/>
              <w:pageBreakBefore w:val="0"/>
              <w:shd w:val="clear" w:color="auto" w:fill="FFFFFF"/>
              <w:kinsoku/>
              <w:overflowPunct/>
              <w:topLinePunct w:val="0"/>
              <w:bidi w:val="0"/>
              <w:spacing w:line="240" w:lineRule="auto"/>
              <w:textAlignment w:val="auto"/>
              <w:rPr>
                <w:bCs/>
                <w:color w:val="auto"/>
                <w:sz w:val="21"/>
                <w:szCs w:val="21"/>
                <w:highlight w:val="none"/>
              </w:rPr>
            </w:pPr>
          </w:p>
        </w:tc>
      </w:tr>
      <w:tr w14:paraId="554B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0" w:type="auto"/>
            <w:vMerge w:val="continue"/>
          </w:tcPr>
          <w:p w14:paraId="13C7F389">
            <w:pPr>
              <w:pStyle w:val="37"/>
              <w:pageBreakBefore w:val="0"/>
              <w:shd w:val="clear" w:color="auto" w:fill="FFFFFF"/>
              <w:kinsoku/>
              <w:overflowPunct/>
              <w:topLinePunct w:val="0"/>
              <w:bidi w:val="0"/>
              <w:spacing w:line="240" w:lineRule="auto"/>
              <w:ind w:left="107"/>
              <w:textAlignment w:val="auto"/>
              <w:rPr>
                <w:bCs/>
                <w:color w:val="auto"/>
                <w:spacing w:val="16"/>
                <w:sz w:val="21"/>
                <w:szCs w:val="21"/>
                <w:highlight w:val="none"/>
              </w:rPr>
            </w:pPr>
          </w:p>
        </w:tc>
        <w:tc>
          <w:tcPr>
            <w:tcW w:w="0" w:type="auto"/>
            <w:gridSpan w:val="2"/>
          </w:tcPr>
          <w:p w14:paraId="2FBAA907">
            <w:pPr>
              <w:pStyle w:val="37"/>
              <w:pageBreakBefore w:val="0"/>
              <w:shd w:val="clear" w:color="auto" w:fill="FFFFFF"/>
              <w:kinsoku/>
              <w:overflowPunct/>
              <w:topLinePunct w:val="0"/>
              <w:bidi w:val="0"/>
              <w:spacing w:before="0" w:beforeAutospacing="0" w:after="0" w:afterAutospacing="0" w:line="240" w:lineRule="auto"/>
              <w:ind w:right="-107" w:rightChars="-51"/>
              <w:textAlignment w:val="auto"/>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0" w:type="auto"/>
            <w:gridSpan w:val="5"/>
          </w:tcPr>
          <w:p w14:paraId="79AA6312">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r>
      <w:tr w14:paraId="482E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0" w:type="auto"/>
            <w:vMerge w:val="continue"/>
          </w:tcPr>
          <w:p w14:paraId="47E1CE79">
            <w:pPr>
              <w:pStyle w:val="37"/>
              <w:pageBreakBefore w:val="0"/>
              <w:shd w:val="clear" w:color="auto" w:fill="FFFFFF"/>
              <w:kinsoku/>
              <w:overflowPunct/>
              <w:topLinePunct w:val="0"/>
              <w:bidi w:val="0"/>
              <w:spacing w:line="240" w:lineRule="auto"/>
              <w:ind w:left="107"/>
              <w:textAlignment w:val="auto"/>
              <w:rPr>
                <w:bCs/>
                <w:color w:val="auto"/>
                <w:spacing w:val="27"/>
                <w:sz w:val="21"/>
                <w:szCs w:val="21"/>
                <w:highlight w:val="none"/>
              </w:rPr>
            </w:pPr>
          </w:p>
        </w:tc>
        <w:tc>
          <w:tcPr>
            <w:tcW w:w="0" w:type="auto"/>
            <w:gridSpan w:val="2"/>
          </w:tcPr>
          <w:p w14:paraId="0876BDA1">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r>
              <w:rPr>
                <w:rFonts w:hint="eastAsia"/>
                <w:bCs/>
                <w:color w:val="auto"/>
                <w:spacing w:val="10"/>
                <w:sz w:val="21"/>
                <w:szCs w:val="21"/>
                <w:highlight w:val="none"/>
              </w:rPr>
              <w:t>企业获得专利情况</w:t>
            </w:r>
          </w:p>
        </w:tc>
        <w:tc>
          <w:tcPr>
            <w:tcW w:w="0" w:type="auto"/>
            <w:gridSpan w:val="5"/>
          </w:tcPr>
          <w:p w14:paraId="2DDECBA2">
            <w:pPr>
              <w:pStyle w:val="37"/>
              <w:pageBreakBefore w:val="0"/>
              <w:shd w:val="clear" w:color="auto" w:fill="FFFFFF"/>
              <w:kinsoku/>
              <w:overflowPunct/>
              <w:topLinePunct w:val="0"/>
              <w:bidi w:val="0"/>
              <w:spacing w:line="240" w:lineRule="auto"/>
              <w:textAlignment w:val="auto"/>
              <w:rPr>
                <w:bCs/>
                <w:color w:val="auto"/>
                <w:spacing w:val="16"/>
                <w:sz w:val="21"/>
                <w:szCs w:val="21"/>
                <w:highlight w:val="none"/>
              </w:rPr>
            </w:pPr>
          </w:p>
        </w:tc>
      </w:tr>
    </w:tbl>
    <w:p w14:paraId="3E929EC4">
      <w:pPr>
        <w:pageBreakBefore w:val="0"/>
        <w:kinsoku/>
        <w:overflowPunct/>
        <w:topLinePunct w:val="0"/>
        <w:bidi w:val="0"/>
        <w:spacing w:line="312" w:lineRule="auto"/>
        <w:ind w:firstLine="424" w:firstLineChars="177"/>
        <w:textAlignment w:val="auto"/>
        <w:rPr>
          <w:rFonts w:hint="eastAsia" w:ascii="宋体"/>
          <w:color w:val="auto"/>
          <w:sz w:val="24"/>
          <w:highlight w:val="none"/>
        </w:rPr>
      </w:pPr>
    </w:p>
    <w:p w14:paraId="2F7B9126">
      <w:pPr>
        <w:pageBreakBefore w:val="0"/>
        <w:kinsoku/>
        <w:overflowPunct/>
        <w:topLinePunct w:val="0"/>
        <w:bidi w:val="0"/>
        <w:spacing w:line="312" w:lineRule="auto"/>
        <w:ind w:firstLine="424" w:firstLineChars="177"/>
        <w:textAlignment w:val="auto"/>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14:paraId="32FE88B9">
      <w:pPr>
        <w:pageBreakBefore w:val="0"/>
        <w:kinsoku/>
        <w:overflowPunct/>
        <w:topLinePunct w:val="0"/>
        <w:bidi w:val="0"/>
        <w:spacing w:line="312" w:lineRule="auto"/>
        <w:ind w:firstLine="424" w:firstLineChars="177"/>
        <w:textAlignment w:val="auto"/>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hAnsi="宋体"/>
          <w:color w:val="auto"/>
          <w:sz w:val="24"/>
          <w:highlight w:val="none"/>
        </w:rPr>
        <w:t>：</w:t>
      </w:r>
    </w:p>
    <w:p w14:paraId="6BCA0976">
      <w:pPr>
        <w:pageBreakBefore w:val="0"/>
        <w:kinsoku/>
        <w:overflowPunct/>
        <w:topLinePunct w:val="0"/>
        <w:bidi w:val="0"/>
        <w:spacing w:line="312" w:lineRule="auto"/>
        <w:ind w:firstLine="424" w:firstLineChars="177"/>
        <w:textAlignment w:val="auto"/>
        <w:rPr>
          <w:rFonts w:ascii="宋体" w:hAnsi="宋体"/>
          <w:color w:val="auto"/>
          <w:sz w:val="24"/>
          <w:highlight w:val="none"/>
        </w:rPr>
      </w:pPr>
      <w:r>
        <w:rPr>
          <w:rFonts w:hint="eastAsia" w:ascii="宋体" w:hAnsi="宋体"/>
          <w:color w:val="auto"/>
          <w:sz w:val="24"/>
          <w:highlight w:val="none"/>
        </w:rPr>
        <w:t>职        务：</w:t>
      </w:r>
    </w:p>
    <w:p w14:paraId="33C79E97">
      <w:pPr>
        <w:pStyle w:val="37"/>
        <w:pageBreakBefore w:val="0"/>
        <w:shd w:val="clear" w:color="auto" w:fill="FFFFFF"/>
        <w:kinsoku/>
        <w:overflowPunct/>
        <w:topLinePunct w:val="0"/>
        <w:bidi w:val="0"/>
        <w:spacing w:before="0" w:beforeAutospacing="0" w:after="0" w:afterAutospacing="0" w:line="312" w:lineRule="auto"/>
        <w:ind w:firstLine="424" w:firstLineChars="177"/>
        <w:textAlignment w:val="auto"/>
        <w:rPr>
          <w:b/>
          <w:bCs/>
          <w:color w:val="auto"/>
          <w:spacing w:val="11"/>
          <w:highlight w:val="none"/>
        </w:rPr>
      </w:pPr>
      <w:r>
        <w:rPr>
          <w:rFonts w:hint="eastAsia"/>
          <w:color w:val="auto"/>
          <w:highlight w:val="none"/>
        </w:rPr>
        <w:t>日        期：</w:t>
      </w:r>
    </w:p>
    <w:p w14:paraId="68463919">
      <w:pPr>
        <w:pageBreakBefore w:val="0"/>
        <w:kinsoku/>
        <w:overflowPunct/>
        <w:topLinePunct w:val="0"/>
        <w:bidi w:val="0"/>
        <w:spacing w:line="312" w:lineRule="auto"/>
        <w:textAlignment w:val="auto"/>
        <w:rPr>
          <w:rFonts w:ascii="宋体" w:hAnsi="宋体"/>
          <w:b/>
          <w:color w:val="auto"/>
          <w:sz w:val="28"/>
          <w:highlight w:val="none"/>
        </w:rPr>
      </w:pPr>
    </w:p>
    <w:p w14:paraId="516D9526">
      <w:pPr>
        <w:pageBreakBefore w:val="0"/>
        <w:kinsoku/>
        <w:overflowPunct/>
        <w:topLinePunct w:val="0"/>
        <w:bidi w:val="0"/>
        <w:spacing w:line="312" w:lineRule="auto"/>
        <w:textAlignment w:val="auto"/>
        <w:rPr>
          <w:rFonts w:ascii="宋体" w:hAnsi="宋体"/>
          <w:b/>
          <w:color w:val="auto"/>
          <w:sz w:val="28"/>
          <w:highlight w:val="none"/>
        </w:rPr>
      </w:pPr>
    </w:p>
    <w:p w14:paraId="283865D8">
      <w:pPr>
        <w:pageBreakBefore w:val="0"/>
        <w:kinsoku/>
        <w:overflowPunct/>
        <w:topLinePunct w:val="0"/>
        <w:bidi w:val="0"/>
        <w:spacing w:line="312" w:lineRule="auto"/>
        <w:textAlignment w:val="auto"/>
        <w:rPr>
          <w:rFonts w:ascii="宋体" w:hAnsi="宋体"/>
          <w:b/>
          <w:color w:val="auto"/>
          <w:sz w:val="28"/>
          <w:highlight w:val="none"/>
        </w:rPr>
      </w:pPr>
      <w:r>
        <w:rPr>
          <w:rFonts w:hint="eastAsia" w:ascii="宋体" w:hAnsi="宋体"/>
          <w:b/>
          <w:color w:val="auto"/>
          <w:sz w:val="28"/>
          <w:highlight w:val="none"/>
        </w:rPr>
        <w:t>附件7</w:t>
      </w:r>
    </w:p>
    <w:p w14:paraId="08E79555">
      <w:pPr>
        <w:pageBreakBefore w:val="0"/>
        <w:kinsoku/>
        <w:overflowPunct/>
        <w:topLinePunct w:val="0"/>
        <w:bidi w:val="0"/>
        <w:spacing w:beforeLines="50" w:afterLines="50" w:line="312" w:lineRule="auto"/>
        <w:ind w:right="-10"/>
        <w:jc w:val="center"/>
        <w:textAlignment w:val="auto"/>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33A2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F557627">
            <w:pPr>
              <w:pageBreakBefore w:val="0"/>
              <w:kinsoku/>
              <w:overflowPunct/>
              <w:topLinePunct w:val="0"/>
              <w:autoSpaceDE w:val="0"/>
              <w:autoSpaceDN w:val="0"/>
              <w:bidi w:val="0"/>
              <w:adjustRightInd w:val="0"/>
              <w:snapToGrid w:val="0"/>
              <w:spacing w:line="312" w:lineRule="auto"/>
              <w:jc w:val="center"/>
              <w:textAlignment w:val="auto"/>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E81913">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F53BB2">
            <w:pPr>
              <w:pageBreakBefore w:val="0"/>
              <w:kinsoku/>
              <w:overflowPunct/>
              <w:topLinePunct w:val="0"/>
              <w:autoSpaceDE w:val="0"/>
              <w:autoSpaceDN w:val="0"/>
              <w:bidi w:val="0"/>
              <w:adjustRightInd w:val="0"/>
              <w:snapToGrid w:val="0"/>
              <w:spacing w:line="312" w:lineRule="auto"/>
              <w:jc w:val="center"/>
              <w:textAlignment w:val="auto"/>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18B9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612A3E9">
            <w:pPr>
              <w:pageBreakBefore w:val="0"/>
              <w:kinsoku/>
              <w:overflowPunct/>
              <w:topLinePunct w:val="0"/>
              <w:autoSpaceDE w:val="0"/>
              <w:autoSpaceDN w:val="0"/>
              <w:bidi w:val="0"/>
              <w:adjustRightInd w:val="0"/>
              <w:snapToGrid w:val="0"/>
              <w:spacing w:line="312" w:lineRule="auto"/>
              <w:jc w:val="center"/>
              <w:textAlignment w:val="auto"/>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80E448">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9E72504">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rPr>
            </w:pPr>
            <w:r>
              <w:rPr>
                <w:rFonts w:hint="eastAsia" w:ascii="宋体" w:hAnsi="宋体"/>
                <w:color w:val="auto"/>
                <w:highlight w:val="none"/>
              </w:rPr>
              <w:t>注：业绩证明应提供旁证材料</w:t>
            </w:r>
          </w:p>
          <w:p w14:paraId="4E582421">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r>
              <w:rPr>
                <w:rFonts w:hint="eastAsia" w:ascii="宋体" w:hAnsi="宋体"/>
                <w:color w:val="auto"/>
                <w:highlight w:val="none"/>
              </w:rPr>
              <w:t>（供货合同或中标通知书）。</w:t>
            </w:r>
          </w:p>
        </w:tc>
      </w:tr>
      <w:tr w14:paraId="594A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90D4EE">
            <w:pPr>
              <w:pageBreakBefore w:val="0"/>
              <w:kinsoku/>
              <w:overflowPunct/>
              <w:topLinePunct w:val="0"/>
              <w:autoSpaceDE w:val="0"/>
              <w:autoSpaceDN w:val="0"/>
              <w:bidi w:val="0"/>
              <w:adjustRightInd w:val="0"/>
              <w:snapToGrid w:val="0"/>
              <w:spacing w:line="312" w:lineRule="auto"/>
              <w:jc w:val="center"/>
              <w:textAlignment w:val="auto"/>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E34964">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A1227D2">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r>
      <w:tr w14:paraId="371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9775D88">
            <w:pPr>
              <w:pageBreakBefore w:val="0"/>
              <w:kinsoku/>
              <w:overflowPunct/>
              <w:topLinePunct w:val="0"/>
              <w:autoSpaceDE w:val="0"/>
              <w:autoSpaceDN w:val="0"/>
              <w:bidi w:val="0"/>
              <w:adjustRightInd w:val="0"/>
              <w:snapToGrid w:val="0"/>
              <w:spacing w:line="312" w:lineRule="auto"/>
              <w:jc w:val="center"/>
              <w:textAlignment w:val="auto"/>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FEA734">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1ABEDBA">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r>
      <w:tr w14:paraId="5CA1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2E78973">
            <w:pPr>
              <w:pageBreakBefore w:val="0"/>
              <w:kinsoku/>
              <w:overflowPunct/>
              <w:topLinePunct w:val="0"/>
              <w:autoSpaceDE w:val="0"/>
              <w:autoSpaceDN w:val="0"/>
              <w:bidi w:val="0"/>
              <w:adjustRightInd w:val="0"/>
              <w:snapToGrid w:val="0"/>
              <w:spacing w:line="312" w:lineRule="auto"/>
              <w:jc w:val="center"/>
              <w:textAlignment w:val="auto"/>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8A3E3E">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B3074CD">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r>
      <w:tr w14:paraId="740F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4A707DA">
            <w:pPr>
              <w:pageBreakBefore w:val="0"/>
              <w:kinsoku/>
              <w:overflowPunct/>
              <w:topLinePunct w:val="0"/>
              <w:autoSpaceDE w:val="0"/>
              <w:autoSpaceDN w:val="0"/>
              <w:bidi w:val="0"/>
              <w:adjustRightInd w:val="0"/>
              <w:snapToGrid w:val="0"/>
              <w:spacing w:line="312" w:lineRule="auto"/>
              <w:jc w:val="center"/>
              <w:textAlignment w:val="auto"/>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EDAC29">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E9961B1">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r>
      <w:tr w14:paraId="11B5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589E9BF">
            <w:pPr>
              <w:pageBreakBefore w:val="0"/>
              <w:kinsoku/>
              <w:overflowPunct/>
              <w:topLinePunct w:val="0"/>
              <w:autoSpaceDE w:val="0"/>
              <w:autoSpaceDN w:val="0"/>
              <w:bidi w:val="0"/>
              <w:adjustRightInd w:val="0"/>
              <w:snapToGrid w:val="0"/>
              <w:spacing w:line="312" w:lineRule="auto"/>
              <w:jc w:val="center"/>
              <w:textAlignment w:val="auto"/>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F3BD1C">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D58A898">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r>
      <w:tr w14:paraId="2812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1030FFEB">
            <w:pPr>
              <w:pageBreakBefore w:val="0"/>
              <w:kinsoku/>
              <w:overflowPunct/>
              <w:topLinePunct w:val="0"/>
              <w:autoSpaceDE w:val="0"/>
              <w:autoSpaceDN w:val="0"/>
              <w:bidi w:val="0"/>
              <w:adjustRightInd w:val="0"/>
              <w:snapToGrid w:val="0"/>
              <w:spacing w:line="312" w:lineRule="auto"/>
              <w:jc w:val="center"/>
              <w:textAlignment w:val="auto"/>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B60B3C">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471D90E">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r>
      <w:tr w14:paraId="0748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38D33EF1">
            <w:pPr>
              <w:pageBreakBefore w:val="0"/>
              <w:kinsoku/>
              <w:overflowPunct/>
              <w:topLinePunct w:val="0"/>
              <w:autoSpaceDE w:val="0"/>
              <w:autoSpaceDN w:val="0"/>
              <w:bidi w:val="0"/>
              <w:adjustRightInd w:val="0"/>
              <w:snapToGrid w:val="0"/>
              <w:spacing w:line="312" w:lineRule="auto"/>
              <w:jc w:val="center"/>
              <w:textAlignment w:val="auto"/>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4B34C4CD">
            <w:pPr>
              <w:pageBreakBefore w:val="0"/>
              <w:kinsoku/>
              <w:overflowPunct/>
              <w:topLinePunct w:val="0"/>
              <w:autoSpaceDE w:val="0"/>
              <w:autoSpaceDN w:val="0"/>
              <w:bidi w:val="0"/>
              <w:adjustRightInd w:val="0"/>
              <w:snapToGrid w:val="0"/>
              <w:spacing w:line="312" w:lineRule="auto"/>
              <w:jc w:val="center"/>
              <w:textAlignment w:val="auto"/>
              <w:rPr>
                <w:rFonts w:ascii="宋体" w:hAnsi="宋体"/>
                <w:color w:val="auto"/>
                <w:highlight w:val="none"/>
                <w:lang w:val="zh-CN"/>
              </w:rPr>
            </w:pPr>
          </w:p>
        </w:tc>
      </w:tr>
    </w:tbl>
    <w:p w14:paraId="179CF2FE">
      <w:pPr>
        <w:pageBreakBefore w:val="0"/>
        <w:kinsoku/>
        <w:overflowPunct/>
        <w:topLinePunct w:val="0"/>
        <w:bidi w:val="0"/>
        <w:spacing w:line="312" w:lineRule="auto"/>
        <w:ind w:left="420"/>
        <w:textAlignment w:val="auto"/>
        <w:rPr>
          <w:rFonts w:ascii="宋体" w:hAnsi="宋体"/>
          <w:color w:val="auto"/>
          <w:sz w:val="24"/>
          <w:highlight w:val="none"/>
        </w:rPr>
      </w:pPr>
    </w:p>
    <w:p w14:paraId="0DAC889B">
      <w:pPr>
        <w:pageBreakBefore w:val="0"/>
        <w:kinsoku/>
        <w:overflowPunct/>
        <w:topLinePunct w:val="0"/>
        <w:bidi w:val="0"/>
        <w:spacing w:line="312" w:lineRule="auto"/>
        <w:ind w:firstLine="480" w:firstLineChars="200"/>
        <w:textAlignment w:val="auto"/>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14:paraId="7DA4DCE0">
      <w:pPr>
        <w:pageBreakBefore w:val="0"/>
        <w:kinsoku/>
        <w:overflowPunct/>
        <w:topLinePunct w:val="0"/>
        <w:bidi w:val="0"/>
        <w:spacing w:line="312" w:lineRule="auto"/>
        <w:ind w:left="420"/>
        <w:textAlignment w:val="auto"/>
        <w:rPr>
          <w:rFonts w:ascii="宋体" w:hAnsi="宋体"/>
          <w:color w:val="auto"/>
          <w:sz w:val="24"/>
          <w:highlight w:val="none"/>
        </w:rPr>
      </w:pPr>
    </w:p>
    <w:p w14:paraId="45E08A80">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hAnsi="宋体"/>
          <w:color w:val="auto"/>
          <w:sz w:val="24"/>
          <w:highlight w:val="none"/>
        </w:rPr>
        <w:t>：</w:t>
      </w:r>
    </w:p>
    <w:p w14:paraId="40BAD4E3">
      <w:pPr>
        <w:pageBreakBefore w:val="0"/>
        <w:kinsoku/>
        <w:overflowPunct/>
        <w:topLinePunct w:val="0"/>
        <w:bidi w:val="0"/>
        <w:spacing w:line="312" w:lineRule="auto"/>
        <w:ind w:firstLine="435"/>
        <w:textAlignment w:val="auto"/>
        <w:rPr>
          <w:rFonts w:ascii="宋体" w:hAnsi="宋体"/>
          <w:color w:val="auto"/>
          <w:sz w:val="24"/>
          <w:highlight w:val="none"/>
        </w:rPr>
      </w:pPr>
    </w:p>
    <w:p w14:paraId="34A8808B">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olor w:val="auto"/>
          <w:sz w:val="24"/>
          <w:highlight w:val="none"/>
        </w:rPr>
        <w:t>职        务：</w:t>
      </w:r>
    </w:p>
    <w:p w14:paraId="6D461D02">
      <w:pPr>
        <w:pageBreakBefore w:val="0"/>
        <w:kinsoku/>
        <w:overflowPunct/>
        <w:topLinePunct w:val="0"/>
        <w:bidi w:val="0"/>
        <w:spacing w:line="312" w:lineRule="auto"/>
        <w:ind w:firstLine="435"/>
        <w:textAlignment w:val="auto"/>
        <w:rPr>
          <w:rFonts w:ascii="宋体" w:hAnsi="宋体"/>
          <w:color w:val="auto"/>
          <w:sz w:val="24"/>
          <w:highlight w:val="none"/>
        </w:rPr>
      </w:pPr>
    </w:p>
    <w:p w14:paraId="1F7C8820">
      <w:pPr>
        <w:pStyle w:val="6"/>
        <w:pageBreakBefore w:val="0"/>
        <w:kinsoku/>
        <w:overflowPunct/>
        <w:topLinePunct w:val="0"/>
        <w:bidi w:val="0"/>
        <w:spacing w:line="312" w:lineRule="auto"/>
        <w:textAlignment w:val="auto"/>
        <w:rPr>
          <w:rFonts w:ascii="宋体" w:hAnsi="宋体"/>
          <w:color w:val="auto"/>
          <w:sz w:val="24"/>
          <w:highlight w:val="none"/>
        </w:rPr>
      </w:pPr>
      <w:r>
        <w:rPr>
          <w:rFonts w:hint="eastAsia" w:ascii="宋体" w:hAnsi="宋体"/>
          <w:color w:val="auto"/>
          <w:sz w:val="24"/>
          <w:highlight w:val="none"/>
        </w:rPr>
        <w:t>日        期：</w:t>
      </w:r>
    </w:p>
    <w:p w14:paraId="4F4F6A06">
      <w:pPr>
        <w:pStyle w:val="6"/>
        <w:pageBreakBefore w:val="0"/>
        <w:kinsoku/>
        <w:overflowPunct/>
        <w:topLinePunct w:val="0"/>
        <w:bidi w:val="0"/>
        <w:spacing w:line="312" w:lineRule="auto"/>
        <w:textAlignment w:val="auto"/>
        <w:rPr>
          <w:rFonts w:ascii="宋体" w:hAnsi="宋体"/>
          <w:color w:val="auto"/>
          <w:sz w:val="24"/>
          <w:highlight w:val="none"/>
        </w:rPr>
      </w:pPr>
    </w:p>
    <w:p w14:paraId="55351D71">
      <w:pPr>
        <w:rPr>
          <w:rFonts w:ascii="宋体" w:hAnsi="宋体"/>
          <w:color w:val="auto"/>
          <w:sz w:val="24"/>
          <w:highlight w:val="none"/>
        </w:rPr>
      </w:pPr>
    </w:p>
    <w:p w14:paraId="7C48CA2D">
      <w:pPr>
        <w:rPr>
          <w:rFonts w:ascii="宋体" w:hAnsi="宋体"/>
          <w:color w:val="auto"/>
          <w:sz w:val="24"/>
          <w:highlight w:val="none"/>
        </w:rPr>
      </w:pPr>
    </w:p>
    <w:p w14:paraId="49D6B9FA">
      <w:pPr>
        <w:pageBreakBefore w:val="0"/>
        <w:kinsoku/>
        <w:overflowPunct/>
        <w:topLinePunct w:val="0"/>
        <w:bidi w:val="0"/>
        <w:spacing w:line="312" w:lineRule="auto"/>
        <w:textAlignment w:val="auto"/>
        <w:rPr>
          <w:rFonts w:ascii="宋体" w:hAnsi="宋体"/>
          <w:b/>
          <w:color w:val="auto"/>
          <w:sz w:val="28"/>
          <w:highlight w:val="none"/>
        </w:rPr>
      </w:pPr>
    </w:p>
    <w:p w14:paraId="287CECDE">
      <w:pPr>
        <w:pageBreakBefore w:val="0"/>
        <w:kinsoku/>
        <w:overflowPunct/>
        <w:topLinePunct w:val="0"/>
        <w:bidi w:val="0"/>
        <w:spacing w:line="312" w:lineRule="auto"/>
        <w:textAlignment w:val="auto"/>
        <w:rPr>
          <w:rFonts w:ascii="宋体" w:hAnsi="宋体"/>
          <w:color w:val="auto"/>
          <w:sz w:val="24"/>
          <w:highlight w:val="none"/>
        </w:rPr>
      </w:pPr>
      <w:r>
        <w:rPr>
          <w:rFonts w:hint="eastAsia" w:ascii="宋体" w:hAnsi="宋体"/>
          <w:b/>
          <w:color w:val="auto"/>
          <w:sz w:val="28"/>
          <w:highlight w:val="none"/>
        </w:rPr>
        <w:t>附件8</w:t>
      </w:r>
    </w:p>
    <w:p w14:paraId="62CB9485">
      <w:pPr>
        <w:pageBreakBefore w:val="0"/>
        <w:kinsoku/>
        <w:overflowPunct/>
        <w:topLinePunct w:val="0"/>
        <w:bidi w:val="0"/>
        <w:snapToGrid w:val="0"/>
        <w:spacing w:beforeLines="50" w:after="50" w:line="312" w:lineRule="auto"/>
        <w:jc w:val="center"/>
        <w:textAlignment w:val="auto"/>
        <w:rPr>
          <w:rFonts w:ascii="宋体" w:hAnsi="宋体"/>
          <w:b/>
          <w:color w:val="auto"/>
          <w:sz w:val="36"/>
          <w:szCs w:val="36"/>
          <w:highlight w:val="none"/>
        </w:rPr>
      </w:pPr>
      <w:bookmarkStart w:id="160" w:name="_Toc23671_WPSOffice_Level1"/>
      <w:bookmarkStart w:id="161" w:name="_Toc20569_WPSOffice_Level1"/>
      <w:r>
        <w:rPr>
          <w:rFonts w:hint="eastAsia" w:ascii="宋体" w:hAnsi="宋体"/>
          <w:b/>
          <w:color w:val="auto"/>
          <w:sz w:val="32"/>
          <w:szCs w:val="32"/>
          <w:highlight w:val="none"/>
        </w:rPr>
        <w:t>项目实施人员一览表（第 标）</w:t>
      </w:r>
      <w:bookmarkEnd w:id="160"/>
      <w:bookmarkEnd w:id="161"/>
    </w:p>
    <w:p w14:paraId="6CECF697">
      <w:pPr>
        <w:pageBreakBefore w:val="0"/>
        <w:kinsoku/>
        <w:overflowPunct/>
        <w:topLinePunct w:val="0"/>
        <w:bidi w:val="0"/>
        <w:snapToGrid w:val="0"/>
        <w:spacing w:beforeLines="50" w:after="50" w:line="312" w:lineRule="auto"/>
        <w:ind w:firstLine="2400" w:firstLineChars="1000"/>
        <w:textAlignment w:val="auto"/>
        <w:rPr>
          <w:rFonts w:ascii="宋体" w:hAnsi="宋体"/>
          <w:color w:val="auto"/>
          <w:sz w:val="24"/>
          <w:highlight w:val="none"/>
        </w:rPr>
      </w:pPr>
      <w:r>
        <w:rPr>
          <w:rFonts w:hint="eastAsia" w:ascii="宋体" w:hAnsi="宋体"/>
          <w:color w:val="auto"/>
          <w:sz w:val="24"/>
          <w:highlight w:val="none"/>
        </w:rPr>
        <w:t>（主要从业人员及其技术资格）</w:t>
      </w:r>
    </w:p>
    <w:tbl>
      <w:tblPr>
        <w:tblStyle w:val="2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808"/>
        <w:gridCol w:w="808"/>
        <w:gridCol w:w="808"/>
        <w:gridCol w:w="1924"/>
        <w:gridCol w:w="1365"/>
        <w:gridCol w:w="2762"/>
      </w:tblGrid>
      <w:tr w14:paraId="784B9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5" w:type="pct"/>
            <w:tcBorders>
              <w:top w:val="single" w:color="auto" w:sz="4" w:space="0"/>
              <w:left w:val="single" w:color="auto" w:sz="4" w:space="0"/>
              <w:bottom w:val="single" w:color="auto" w:sz="4" w:space="0"/>
              <w:right w:val="single" w:color="auto" w:sz="4" w:space="0"/>
            </w:tcBorders>
            <w:vAlign w:val="center"/>
          </w:tcPr>
          <w:p w14:paraId="364C7397">
            <w:pPr>
              <w:pageBreakBefore w:val="0"/>
              <w:kinsoku/>
              <w:overflowPunct/>
              <w:topLinePunct w:val="0"/>
              <w:bidi w:val="0"/>
              <w:snapToGrid w:val="0"/>
              <w:spacing w:beforeLines="50" w:after="50" w:line="312" w:lineRule="auto"/>
              <w:jc w:val="center"/>
              <w:textAlignment w:val="auto"/>
              <w:rPr>
                <w:rFonts w:ascii="宋体" w:hAnsi="宋体"/>
                <w:b/>
                <w:color w:val="auto"/>
                <w:sz w:val="24"/>
                <w:szCs w:val="20"/>
                <w:highlight w:val="none"/>
              </w:rPr>
            </w:pPr>
            <w:r>
              <w:rPr>
                <w:rFonts w:hint="eastAsia" w:ascii="宋体" w:hAnsi="宋体"/>
                <w:b/>
                <w:color w:val="auto"/>
                <w:sz w:val="24"/>
                <w:szCs w:val="20"/>
                <w:highlight w:val="none"/>
              </w:rPr>
              <w:t>序号</w:t>
            </w:r>
          </w:p>
        </w:tc>
        <w:tc>
          <w:tcPr>
            <w:tcW w:w="435" w:type="pct"/>
            <w:tcBorders>
              <w:top w:val="single" w:color="auto" w:sz="4" w:space="0"/>
              <w:left w:val="single" w:color="auto" w:sz="4" w:space="0"/>
              <w:bottom w:val="single" w:color="auto" w:sz="4" w:space="0"/>
              <w:right w:val="single" w:color="auto" w:sz="4" w:space="0"/>
            </w:tcBorders>
            <w:vAlign w:val="center"/>
          </w:tcPr>
          <w:p w14:paraId="34AEF9C8">
            <w:pPr>
              <w:pageBreakBefore w:val="0"/>
              <w:kinsoku/>
              <w:overflowPunct/>
              <w:topLinePunct w:val="0"/>
              <w:bidi w:val="0"/>
              <w:snapToGrid w:val="0"/>
              <w:spacing w:beforeLines="50" w:after="50" w:line="312" w:lineRule="auto"/>
              <w:jc w:val="center"/>
              <w:textAlignment w:val="auto"/>
              <w:rPr>
                <w:rFonts w:ascii="宋体" w:hAnsi="宋体"/>
                <w:b/>
                <w:color w:val="auto"/>
                <w:sz w:val="24"/>
                <w:szCs w:val="20"/>
                <w:highlight w:val="none"/>
              </w:rPr>
            </w:pPr>
            <w:r>
              <w:rPr>
                <w:rFonts w:hint="eastAsia" w:ascii="宋体" w:hAnsi="宋体"/>
                <w:b/>
                <w:color w:val="auto"/>
                <w:sz w:val="24"/>
                <w:highlight w:val="none"/>
              </w:rPr>
              <w:t>姓名</w:t>
            </w:r>
          </w:p>
        </w:tc>
        <w:tc>
          <w:tcPr>
            <w:tcW w:w="435" w:type="pct"/>
            <w:tcBorders>
              <w:top w:val="single" w:color="auto" w:sz="4" w:space="0"/>
              <w:left w:val="single" w:color="auto" w:sz="4" w:space="0"/>
              <w:bottom w:val="single" w:color="auto" w:sz="4" w:space="0"/>
              <w:right w:val="single" w:color="auto" w:sz="4" w:space="0"/>
            </w:tcBorders>
            <w:vAlign w:val="center"/>
          </w:tcPr>
          <w:p w14:paraId="3EDF155F">
            <w:pPr>
              <w:pageBreakBefore w:val="0"/>
              <w:kinsoku/>
              <w:overflowPunct/>
              <w:topLinePunct w:val="0"/>
              <w:bidi w:val="0"/>
              <w:snapToGrid w:val="0"/>
              <w:spacing w:beforeLines="50" w:after="50" w:line="312" w:lineRule="auto"/>
              <w:jc w:val="center"/>
              <w:textAlignment w:val="auto"/>
              <w:rPr>
                <w:rFonts w:ascii="宋体" w:hAnsi="宋体"/>
                <w:b/>
                <w:color w:val="auto"/>
                <w:sz w:val="24"/>
                <w:szCs w:val="20"/>
                <w:highlight w:val="none"/>
              </w:rPr>
            </w:pPr>
            <w:r>
              <w:rPr>
                <w:rFonts w:hint="eastAsia" w:ascii="宋体" w:hAnsi="宋体"/>
                <w:b/>
                <w:color w:val="auto"/>
                <w:sz w:val="24"/>
                <w:highlight w:val="none"/>
              </w:rPr>
              <w:t>职务</w:t>
            </w:r>
          </w:p>
        </w:tc>
        <w:tc>
          <w:tcPr>
            <w:tcW w:w="435" w:type="pct"/>
            <w:tcBorders>
              <w:top w:val="single" w:color="auto" w:sz="4" w:space="0"/>
              <w:left w:val="single" w:color="auto" w:sz="4" w:space="0"/>
              <w:bottom w:val="single" w:color="auto" w:sz="4" w:space="0"/>
              <w:right w:val="single" w:color="auto" w:sz="4" w:space="0"/>
            </w:tcBorders>
            <w:vAlign w:val="center"/>
          </w:tcPr>
          <w:p w14:paraId="0068A2F0">
            <w:pPr>
              <w:pageBreakBefore w:val="0"/>
              <w:kinsoku/>
              <w:overflowPunct/>
              <w:topLinePunct w:val="0"/>
              <w:bidi w:val="0"/>
              <w:snapToGrid w:val="0"/>
              <w:spacing w:beforeLines="50" w:after="50" w:line="312" w:lineRule="auto"/>
              <w:jc w:val="center"/>
              <w:textAlignment w:val="auto"/>
              <w:rPr>
                <w:rFonts w:ascii="宋体" w:hAnsi="宋体"/>
                <w:b/>
                <w:color w:val="auto"/>
                <w:sz w:val="24"/>
                <w:szCs w:val="20"/>
                <w:highlight w:val="none"/>
              </w:rPr>
            </w:pPr>
            <w:r>
              <w:rPr>
                <w:rFonts w:hint="eastAsia" w:ascii="宋体" w:hAnsi="宋体"/>
                <w:b/>
                <w:color w:val="auto"/>
                <w:sz w:val="24"/>
                <w:szCs w:val="20"/>
                <w:highlight w:val="none"/>
              </w:rPr>
              <w:t>职责</w:t>
            </w:r>
          </w:p>
        </w:tc>
        <w:tc>
          <w:tcPr>
            <w:tcW w:w="1036" w:type="pct"/>
            <w:tcBorders>
              <w:top w:val="single" w:color="auto" w:sz="4" w:space="0"/>
              <w:left w:val="single" w:color="auto" w:sz="4" w:space="0"/>
              <w:bottom w:val="single" w:color="auto" w:sz="4" w:space="0"/>
              <w:right w:val="single" w:color="auto" w:sz="4" w:space="0"/>
            </w:tcBorders>
            <w:vAlign w:val="center"/>
          </w:tcPr>
          <w:p w14:paraId="5AE2793B">
            <w:pPr>
              <w:pageBreakBefore w:val="0"/>
              <w:kinsoku/>
              <w:overflowPunct/>
              <w:topLinePunct w:val="0"/>
              <w:bidi w:val="0"/>
              <w:snapToGrid w:val="0"/>
              <w:spacing w:beforeLines="50" w:after="50" w:line="312" w:lineRule="auto"/>
              <w:jc w:val="center"/>
              <w:textAlignment w:val="auto"/>
              <w:rPr>
                <w:rFonts w:ascii="宋体" w:hAnsi="宋体"/>
                <w:b/>
                <w:color w:val="auto"/>
                <w:sz w:val="24"/>
                <w:szCs w:val="20"/>
                <w:highlight w:val="none"/>
              </w:rPr>
            </w:pPr>
            <w:r>
              <w:rPr>
                <w:rFonts w:hint="eastAsia" w:ascii="宋体" w:hAnsi="宋体"/>
                <w:b/>
                <w:color w:val="auto"/>
                <w:sz w:val="24"/>
                <w:highlight w:val="none"/>
              </w:rPr>
              <w:t>专业技术资格</w:t>
            </w:r>
          </w:p>
        </w:tc>
        <w:tc>
          <w:tcPr>
            <w:tcW w:w="735" w:type="pct"/>
            <w:tcBorders>
              <w:top w:val="single" w:color="auto" w:sz="4" w:space="0"/>
              <w:left w:val="single" w:color="auto" w:sz="4" w:space="0"/>
              <w:bottom w:val="single" w:color="auto" w:sz="4" w:space="0"/>
              <w:right w:val="single" w:color="auto" w:sz="4" w:space="0"/>
            </w:tcBorders>
            <w:vAlign w:val="center"/>
          </w:tcPr>
          <w:p w14:paraId="7807A178">
            <w:pPr>
              <w:pageBreakBefore w:val="0"/>
              <w:kinsoku/>
              <w:overflowPunct/>
              <w:topLinePunct w:val="0"/>
              <w:bidi w:val="0"/>
              <w:snapToGrid w:val="0"/>
              <w:spacing w:beforeLines="50" w:after="50" w:line="312" w:lineRule="auto"/>
              <w:jc w:val="center"/>
              <w:textAlignment w:val="auto"/>
              <w:rPr>
                <w:rFonts w:ascii="宋体" w:hAnsi="宋体"/>
                <w:b/>
                <w:color w:val="auto"/>
                <w:sz w:val="24"/>
                <w:szCs w:val="20"/>
                <w:highlight w:val="none"/>
              </w:rPr>
            </w:pPr>
            <w:r>
              <w:rPr>
                <w:rFonts w:hint="eastAsia" w:ascii="宋体" w:hAnsi="宋体"/>
                <w:b/>
                <w:color w:val="auto"/>
                <w:sz w:val="24"/>
                <w:highlight w:val="none"/>
              </w:rPr>
              <w:t>证书编号</w:t>
            </w:r>
          </w:p>
        </w:tc>
        <w:tc>
          <w:tcPr>
            <w:tcW w:w="1487" w:type="pct"/>
            <w:tcBorders>
              <w:top w:val="single" w:color="auto" w:sz="4" w:space="0"/>
              <w:left w:val="single" w:color="auto" w:sz="4" w:space="0"/>
              <w:bottom w:val="single" w:color="auto" w:sz="4" w:space="0"/>
              <w:right w:val="single" w:color="auto" w:sz="4" w:space="0"/>
            </w:tcBorders>
            <w:vAlign w:val="center"/>
          </w:tcPr>
          <w:p w14:paraId="437A4EF2">
            <w:pPr>
              <w:pageBreakBefore w:val="0"/>
              <w:kinsoku/>
              <w:overflowPunct/>
              <w:topLinePunct w:val="0"/>
              <w:bidi w:val="0"/>
              <w:snapToGrid w:val="0"/>
              <w:spacing w:beforeLines="50" w:after="50" w:line="312" w:lineRule="auto"/>
              <w:jc w:val="center"/>
              <w:textAlignment w:val="auto"/>
              <w:rPr>
                <w:rFonts w:ascii="宋体" w:hAnsi="宋体"/>
                <w:b/>
                <w:bCs/>
                <w:color w:val="auto"/>
                <w:sz w:val="24"/>
                <w:szCs w:val="20"/>
                <w:highlight w:val="none"/>
              </w:rPr>
            </w:pPr>
            <w:r>
              <w:rPr>
                <w:rFonts w:hint="eastAsia" w:ascii="宋体" w:hAnsi="宋体"/>
                <w:b/>
                <w:bCs/>
                <w:color w:val="auto"/>
                <w:sz w:val="24"/>
                <w:highlight w:val="none"/>
              </w:rPr>
              <w:t>参加本单位工作时间</w:t>
            </w:r>
          </w:p>
        </w:tc>
      </w:tr>
      <w:tr w14:paraId="46CF0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5" w:type="pct"/>
            <w:tcBorders>
              <w:top w:val="single" w:color="auto" w:sz="4" w:space="0"/>
              <w:left w:val="single" w:color="auto" w:sz="4" w:space="0"/>
              <w:bottom w:val="single" w:color="auto" w:sz="4" w:space="0"/>
              <w:right w:val="single" w:color="auto" w:sz="4" w:space="0"/>
            </w:tcBorders>
          </w:tcPr>
          <w:p w14:paraId="5D4105A8">
            <w:pPr>
              <w:pageBreakBefore w:val="0"/>
              <w:kinsoku/>
              <w:overflowPunct/>
              <w:topLinePunct w:val="0"/>
              <w:bidi w:val="0"/>
              <w:snapToGrid w:val="0"/>
              <w:spacing w:beforeLines="50" w:after="50" w:line="312" w:lineRule="auto"/>
              <w:textAlignment w:val="auto"/>
              <w:rPr>
                <w:rFonts w:ascii="宋体" w:hAnsi="宋体"/>
                <w:color w:val="auto"/>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2064CA29">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11AE0F31">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210401C5">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1036" w:type="pct"/>
            <w:tcBorders>
              <w:top w:val="single" w:color="auto" w:sz="4" w:space="0"/>
              <w:left w:val="single" w:color="auto" w:sz="4" w:space="0"/>
              <w:bottom w:val="single" w:color="auto" w:sz="4" w:space="0"/>
              <w:right w:val="single" w:color="auto" w:sz="4" w:space="0"/>
            </w:tcBorders>
          </w:tcPr>
          <w:p w14:paraId="796D0DFC">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735" w:type="pct"/>
            <w:tcBorders>
              <w:top w:val="single" w:color="auto" w:sz="4" w:space="0"/>
              <w:left w:val="single" w:color="auto" w:sz="4" w:space="0"/>
              <w:bottom w:val="single" w:color="auto" w:sz="4" w:space="0"/>
              <w:right w:val="single" w:color="auto" w:sz="4" w:space="0"/>
            </w:tcBorders>
          </w:tcPr>
          <w:p w14:paraId="1D3C8938">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1487" w:type="pct"/>
            <w:tcBorders>
              <w:top w:val="single" w:color="auto" w:sz="4" w:space="0"/>
              <w:left w:val="single" w:color="auto" w:sz="4" w:space="0"/>
              <w:bottom w:val="single" w:color="auto" w:sz="4" w:space="0"/>
              <w:right w:val="single" w:color="auto" w:sz="4" w:space="0"/>
            </w:tcBorders>
          </w:tcPr>
          <w:p w14:paraId="2E2DBB4F">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r>
      <w:tr w14:paraId="07247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5" w:type="pct"/>
            <w:tcBorders>
              <w:top w:val="single" w:color="auto" w:sz="4" w:space="0"/>
              <w:left w:val="single" w:color="auto" w:sz="4" w:space="0"/>
              <w:bottom w:val="single" w:color="auto" w:sz="4" w:space="0"/>
              <w:right w:val="single" w:color="auto" w:sz="4" w:space="0"/>
            </w:tcBorders>
          </w:tcPr>
          <w:p w14:paraId="326E2EE4">
            <w:pPr>
              <w:pageBreakBefore w:val="0"/>
              <w:kinsoku/>
              <w:overflowPunct/>
              <w:topLinePunct w:val="0"/>
              <w:bidi w:val="0"/>
              <w:snapToGrid w:val="0"/>
              <w:spacing w:beforeLines="50" w:after="50" w:line="312" w:lineRule="auto"/>
              <w:textAlignment w:val="auto"/>
              <w:rPr>
                <w:rFonts w:ascii="宋体" w:hAnsi="宋体"/>
                <w:color w:val="auto"/>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54FA69BB">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7EC8F42E">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2A3AF047">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1036" w:type="pct"/>
            <w:tcBorders>
              <w:top w:val="single" w:color="auto" w:sz="4" w:space="0"/>
              <w:left w:val="single" w:color="auto" w:sz="4" w:space="0"/>
              <w:bottom w:val="single" w:color="auto" w:sz="4" w:space="0"/>
              <w:right w:val="single" w:color="auto" w:sz="4" w:space="0"/>
            </w:tcBorders>
          </w:tcPr>
          <w:p w14:paraId="2AF44161">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735" w:type="pct"/>
            <w:tcBorders>
              <w:top w:val="single" w:color="auto" w:sz="4" w:space="0"/>
              <w:left w:val="single" w:color="auto" w:sz="4" w:space="0"/>
              <w:bottom w:val="single" w:color="auto" w:sz="4" w:space="0"/>
              <w:right w:val="single" w:color="auto" w:sz="4" w:space="0"/>
            </w:tcBorders>
          </w:tcPr>
          <w:p w14:paraId="689DCDF1">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1487" w:type="pct"/>
            <w:tcBorders>
              <w:top w:val="single" w:color="auto" w:sz="4" w:space="0"/>
              <w:left w:val="single" w:color="auto" w:sz="4" w:space="0"/>
              <w:bottom w:val="single" w:color="auto" w:sz="4" w:space="0"/>
              <w:right w:val="single" w:color="auto" w:sz="4" w:space="0"/>
            </w:tcBorders>
          </w:tcPr>
          <w:p w14:paraId="2B19733E">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r>
      <w:tr w14:paraId="6A2C7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5" w:type="pct"/>
            <w:tcBorders>
              <w:top w:val="single" w:color="auto" w:sz="4" w:space="0"/>
              <w:left w:val="single" w:color="auto" w:sz="4" w:space="0"/>
              <w:bottom w:val="single" w:color="auto" w:sz="4" w:space="0"/>
              <w:right w:val="single" w:color="auto" w:sz="4" w:space="0"/>
            </w:tcBorders>
          </w:tcPr>
          <w:p w14:paraId="12BB645E">
            <w:pPr>
              <w:pageBreakBefore w:val="0"/>
              <w:kinsoku/>
              <w:overflowPunct/>
              <w:topLinePunct w:val="0"/>
              <w:bidi w:val="0"/>
              <w:snapToGrid w:val="0"/>
              <w:spacing w:beforeLines="50" w:after="50" w:line="312" w:lineRule="auto"/>
              <w:textAlignment w:val="auto"/>
              <w:rPr>
                <w:rFonts w:ascii="宋体" w:hAnsi="宋体"/>
                <w:color w:val="auto"/>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79C8908E">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4D1FFECA">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2EE3D27C">
            <w:pPr>
              <w:pStyle w:val="14"/>
              <w:pageBreakBefore w:val="0"/>
              <w:kinsoku/>
              <w:overflowPunct/>
              <w:topLinePunct w:val="0"/>
              <w:bidi w:val="0"/>
              <w:snapToGrid w:val="0"/>
              <w:spacing w:beforeLines="50" w:after="50" w:line="312" w:lineRule="auto"/>
              <w:ind w:left="5250"/>
              <w:textAlignment w:val="auto"/>
              <w:rPr>
                <w:rFonts w:ascii="宋体" w:hAnsi="宋体" w:eastAsia="宋体"/>
                <w:b/>
                <w:color w:val="auto"/>
                <w:kern w:val="44"/>
                <w:sz w:val="24"/>
                <w:szCs w:val="24"/>
                <w:highlight w:val="none"/>
              </w:rPr>
            </w:pPr>
          </w:p>
        </w:tc>
        <w:tc>
          <w:tcPr>
            <w:tcW w:w="1036" w:type="pct"/>
            <w:tcBorders>
              <w:top w:val="single" w:color="auto" w:sz="4" w:space="0"/>
              <w:left w:val="single" w:color="auto" w:sz="4" w:space="0"/>
              <w:bottom w:val="single" w:color="auto" w:sz="4" w:space="0"/>
              <w:right w:val="single" w:color="auto" w:sz="4" w:space="0"/>
            </w:tcBorders>
          </w:tcPr>
          <w:p w14:paraId="20FC1BFA">
            <w:pPr>
              <w:pStyle w:val="14"/>
              <w:pageBreakBefore w:val="0"/>
              <w:kinsoku/>
              <w:overflowPunct/>
              <w:topLinePunct w:val="0"/>
              <w:bidi w:val="0"/>
              <w:snapToGrid w:val="0"/>
              <w:spacing w:beforeLines="50" w:after="50" w:line="312" w:lineRule="auto"/>
              <w:ind w:left="5250"/>
              <w:textAlignment w:val="auto"/>
              <w:rPr>
                <w:rFonts w:ascii="宋体" w:hAnsi="宋体" w:eastAsia="宋体"/>
                <w:b/>
                <w:color w:val="auto"/>
                <w:kern w:val="44"/>
                <w:sz w:val="24"/>
                <w:szCs w:val="24"/>
                <w:highlight w:val="none"/>
              </w:rPr>
            </w:pPr>
          </w:p>
        </w:tc>
        <w:tc>
          <w:tcPr>
            <w:tcW w:w="735" w:type="pct"/>
            <w:tcBorders>
              <w:top w:val="single" w:color="auto" w:sz="4" w:space="0"/>
              <w:left w:val="single" w:color="auto" w:sz="4" w:space="0"/>
              <w:bottom w:val="single" w:color="auto" w:sz="4" w:space="0"/>
              <w:right w:val="single" w:color="auto" w:sz="4" w:space="0"/>
            </w:tcBorders>
          </w:tcPr>
          <w:p w14:paraId="33DF4EE7">
            <w:pPr>
              <w:pStyle w:val="14"/>
              <w:pageBreakBefore w:val="0"/>
              <w:kinsoku/>
              <w:overflowPunct/>
              <w:topLinePunct w:val="0"/>
              <w:bidi w:val="0"/>
              <w:spacing w:line="312" w:lineRule="auto"/>
              <w:ind w:left="5250"/>
              <w:textAlignment w:val="auto"/>
              <w:rPr>
                <w:rFonts w:ascii="宋体" w:hAnsi="宋体"/>
                <w:color w:val="auto"/>
                <w:sz w:val="24"/>
                <w:highlight w:val="none"/>
              </w:rPr>
            </w:pPr>
          </w:p>
        </w:tc>
        <w:tc>
          <w:tcPr>
            <w:tcW w:w="1487" w:type="pct"/>
            <w:tcBorders>
              <w:top w:val="single" w:color="auto" w:sz="4" w:space="0"/>
              <w:left w:val="single" w:color="auto" w:sz="4" w:space="0"/>
              <w:bottom w:val="single" w:color="auto" w:sz="4" w:space="0"/>
              <w:right w:val="single" w:color="auto" w:sz="4" w:space="0"/>
            </w:tcBorders>
          </w:tcPr>
          <w:p w14:paraId="34344F2A">
            <w:pPr>
              <w:pageBreakBefore w:val="0"/>
              <w:kinsoku/>
              <w:overflowPunct/>
              <w:topLinePunct w:val="0"/>
              <w:bidi w:val="0"/>
              <w:snapToGrid w:val="0"/>
              <w:spacing w:beforeLines="50" w:after="50" w:line="312" w:lineRule="auto"/>
              <w:textAlignment w:val="auto"/>
              <w:rPr>
                <w:rFonts w:ascii="宋体" w:hAnsi="宋体"/>
                <w:color w:val="auto"/>
                <w:sz w:val="24"/>
                <w:szCs w:val="20"/>
                <w:highlight w:val="none"/>
              </w:rPr>
            </w:pPr>
          </w:p>
        </w:tc>
      </w:tr>
      <w:tr w14:paraId="153B5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5" w:type="pct"/>
            <w:tcBorders>
              <w:top w:val="single" w:color="auto" w:sz="4" w:space="0"/>
              <w:left w:val="single" w:color="auto" w:sz="4" w:space="0"/>
              <w:bottom w:val="single" w:color="auto" w:sz="4" w:space="0"/>
              <w:right w:val="single" w:color="auto" w:sz="4" w:space="0"/>
            </w:tcBorders>
          </w:tcPr>
          <w:p w14:paraId="370DB3EA">
            <w:pPr>
              <w:pageBreakBefore w:val="0"/>
              <w:kinsoku/>
              <w:overflowPunct/>
              <w:topLinePunct w:val="0"/>
              <w:bidi w:val="0"/>
              <w:snapToGrid w:val="0"/>
              <w:spacing w:beforeLines="50" w:after="50" w:line="312" w:lineRule="auto"/>
              <w:textAlignment w:val="auto"/>
              <w:rPr>
                <w:rFonts w:ascii="宋体" w:hAnsi="宋体"/>
                <w:color w:val="auto"/>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3BDA7166">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66C70A43">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03E2F900">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1036" w:type="pct"/>
            <w:tcBorders>
              <w:top w:val="single" w:color="auto" w:sz="4" w:space="0"/>
              <w:left w:val="single" w:color="auto" w:sz="4" w:space="0"/>
              <w:bottom w:val="single" w:color="auto" w:sz="4" w:space="0"/>
              <w:right w:val="single" w:color="auto" w:sz="4" w:space="0"/>
            </w:tcBorders>
          </w:tcPr>
          <w:p w14:paraId="0DE492E9">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735" w:type="pct"/>
            <w:tcBorders>
              <w:top w:val="single" w:color="auto" w:sz="4" w:space="0"/>
              <w:left w:val="single" w:color="auto" w:sz="4" w:space="0"/>
              <w:bottom w:val="single" w:color="auto" w:sz="4" w:space="0"/>
              <w:right w:val="single" w:color="auto" w:sz="4" w:space="0"/>
            </w:tcBorders>
          </w:tcPr>
          <w:p w14:paraId="09FC1B0E">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1487" w:type="pct"/>
            <w:tcBorders>
              <w:top w:val="single" w:color="auto" w:sz="4" w:space="0"/>
              <w:left w:val="single" w:color="auto" w:sz="4" w:space="0"/>
              <w:bottom w:val="single" w:color="auto" w:sz="4" w:space="0"/>
              <w:right w:val="single" w:color="auto" w:sz="4" w:space="0"/>
            </w:tcBorders>
          </w:tcPr>
          <w:p w14:paraId="3CE04C86">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r>
      <w:tr w14:paraId="4B5DF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5" w:type="pct"/>
            <w:tcBorders>
              <w:top w:val="single" w:color="auto" w:sz="4" w:space="0"/>
              <w:left w:val="single" w:color="auto" w:sz="4" w:space="0"/>
              <w:bottom w:val="single" w:color="auto" w:sz="4" w:space="0"/>
              <w:right w:val="single" w:color="auto" w:sz="4" w:space="0"/>
            </w:tcBorders>
          </w:tcPr>
          <w:p w14:paraId="6797F4F9">
            <w:pPr>
              <w:pageBreakBefore w:val="0"/>
              <w:kinsoku/>
              <w:overflowPunct/>
              <w:topLinePunct w:val="0"/>
              <w:bidi w:val="0"/>
              <w:snapToGrid w:val="0"/>
              <w:spacing w:beforeLines="50" w:after="50" w:line="312" w:lineRule="auto"/>
              <w:textAlignment w:val="auto"/>
              <w:rPr>
                <w:rFonts w:ascii="宋体" w:hAnsi="宋体"/>
                <w:color w:val="auto"/>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5C026A77">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03D3761B">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435" w:type="pct"/>
            <w:tcBorders>
              <w:top w:val="single" w:color="auto" w:sz="4" w:space="0"/>
              <w:left w:val="single" w:color="auto" w:sz="4" w:space="0"/>
              <w:bottom w:val="single" w:color="auto" w:sz="4" w:space="0"/>
              <w:right w:val="single" w:color="auto" w:sz="4" w:space="0"/>
            </w:tcBorders>
          </w:tcPr>
          <w:p w14:paraId="23E28AC4">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1036" w:type="pct"/>
            <w:tcBorders>
              <w:top w:val="single" w:color="auto" w:sz="4" w:space="0"/>
              <w:left w:val="single" w:color="auto" w:sz="4" w:space="0"/>
              <w:bottom w:val="single" w:color="auto" w:sz="4" w:space="0"/>
              <w:right w:val="single" w:color="auto" w:sz="4" w:space="0"/>
            </w:tcBorders>
          </w:tcPr>
          <w:p w14:paraId="1E73E2AB">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735" w:type="pct"/>
            <w:tcBorders>
              <w:top w:val="single" w:color="auto" w:sz="4" w:space="0"/>
              <w:left w:val="single" w:color="auto" w:sz="4" w:space="0"/>
              <w:bottom w:val="single" w:color="auto" w:sz="4" w:space="0"/>
              <w:right w:val="single" w:color="auto" w:sz="4" w:space="0"/>
            </w:tcBorders>
          </w:tcPr>
          <w:p w14:paraId="1FD4AEBC">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c>
          <w:tcPr>
            <w:tcW w:w="1487" w:type="pct"/>
            <w:tcBorders>
              <w:top w:val="single" w:color="auto" w:sz="4" w:space="0"/>
              <w:left w:val="single" w:color="auto" w:sz="4" w:space="0"/>
              <w:bottom w:val="single" w:color="auto" w:sz="4" w:space="0"/>
              <w:right w:val="single" w:color="auto" w:sz="4" w:space="0"/>
            </w:tcBorders>
          </w:tcPr>
          <w:p w14:paraId="45764D7B">
            <w:pPr>
              <w:pageBreakBefore w:val="0"/>
              <w:kinsoku/>
              <w:overflowPunct/>
              <w:topLinePunct w:val="0"/>
              <w:bidi w:val="0"/>
              <w:snapToGrid w:val="0"/>
              <w:spacing w:beforeLines="50" w:after="50" w:line="312" w:lineRule="auto"/>
              <w:textAlignment w:val="auto"/>
              <w:rPr>
                <w:rFonts w:ascii="宋体" w:hAnsi="宋体"/>
                <w:b/>
                <w:color w:val="auto"/>
                <w:kern w:val="44"/>
                <w:sz w:val="24"/>
                <w:szCs w:val="20"/>
                <w:highlight w:val="none"/>
              </w:rPr>
            </w:pPr>
          </w:p>
        </w:tc>
      </w:tr>
    </w:tbl>
    <w:p w14:paraId="52EBFF30">
      <w:pPr>
        <w:pageBreakBefore w:val="0"/>
        <w:kinsoku/>
        <w:overflowPunct/>
        <w:topLinePunct w:val="0"/>
        <w:bidi w:val="0"/>
        <w:spacing w:line="312" w:lineRule="auto"/>
        <w:textAlignment w:val="auto"/>
        <w:rPr>
          <w:rFonts w:ascii="宋体" w:hAnsi="宋体"/>
          <w:b/>
          <w:color w:val="auto"/>
          <w:szCs w:val="21"/>
          <w:highlight w:val="none"/>
        </w:rPr>
      </w:pPr>
      <w:r>
        <w:rPr>
          <w:rFonts w:hint="eastAsia" w:ascii="宋体" w:hAnsi="宋体"/>
          <w:b/>
          <w:color w:val="auto"/>
          <w:szCs w:val="21"/>
          <w:highlight w:val="none"/>
        </w:rPr>
        <w:t>要求：</w:t>
      </w:r>
    </w:p>
    <w:p w14:paraId="7860CB51">
      <w:pPr>
        <w:pageBreakBefore w:val="0"/>
        <w:kinsoku/>
        <w:overflowPunct/>
        <w:topLinePunct w:val="0"/>
        <w:bidi w:val="0"/>
        <w:spacing w:line="312" w:lineRule="auto"/>
        <w:ind w:left="437"/>
        <w:textAlignment w:val="auto"/>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14:paraId="0F587134">
      <w:pPr>
        <w:pStyle w:val="38"/>
        <w:pageBreakBefore w:val="0"/>
        <w:kinsoku/>
        <w:overflowPunct/>
        <w:topLinePunct w:val="0"/>
        <w:bidi w:val="0"/>
        <w:spacing w:line="312" w:lineRule="auto"/>
        <w:ind w:left="424" w:leftChars="202"/>
        <w:textAlignment w:val="auto"/>
        <w:rPr>
          <w:rFonts w:ascii="宋体" w:hAnsi="宋体"/>
          <w:color w:val="auto"/>
          <w:szCs w:val="21"/>
          <w:highlight w:val="none"/>
        </w:rPr>
      </w:pPr>
      <w:r>
        <w:rPr>
          <w:rFonts w:hint="eastAsia" w:ascii="宋体" w:hAnsi="宋体"/>
          <w:color w:val="auto"/>
          <w:szCs w:val="21"/>
          <w:highlight w:val="none"/>
        </w:rPr>
        <w:t>2.附人员证书复印件。</w:t>
      </w:r>
    </w:p>
    <w:p w14:paraId="56E4894C">
      <w:pPr>
        <w:pageBreakBefore w:val="0"/>
        <w:kinsoku/>
        <w:overflowPunct/>
        <w:topLinePunct w:val="0"/>
        <w:bidi w:val="0"/>
        <w:snapToGrid w:val="0"/>
        <w:spacing w:before="50" w:afterLines="50" w:line="312" w:lineRule="auto"/>
        <w:jc w:val="left"/>
        <w:textAlignment w:val="auto"/>
        <w:rPr>
          <w:rFonts w:ascii="宋体" w:hAnsi="宋体"/>
          <w:color w:val="auto"/>
          <w:sz w:val="24"/>
          <w:szCs w:val="20"/>
          <w:highlight w:val="none"/>
        </w:rPr>
      </w:pPr>
    </w:p>
    <w:p w14:paraId="0CE4FF4F">
      <w:pPr>
        <w:pageBreakBefore w:val="0"/>
        <w:kinsoku/>
        <w:overflowPunct/>
        <w:topLinePunct w:val="0"/>
        <w:bidi w:val="0"/>
        <w:snapToGrid w:val="0"/>
        <w:spacing w:before="50" w:afterLines="50" w:line="312" w:lineRule="auto"/>
        <w:jc w:val="left"/>
        <w:textAlignment w:val="auto"/>
        <w:rPr>
          <w:rFonts w:ascii="宋体" w:hAnsi="宋体"/>
          <w:color w:val="auto"/>
          <w:sz w:val="24"/>
          <w:szCs w:val="20"/>
          <w:highlight w:val="none"/>
        </w:rPr>
      </w:pPr>
    </w:p>
    <w:p w14:paraId="150148D7">
      <w:pPr>
        <w:pageBreakBefore w:val="0"/>
        <w:kinsoku/>
        <w:overflowPunct/>
        <w:topLinePunct w:val="0"/>
        <w:bidi w:val="0"/>
        <w:spacing w:line="312" w:lineRule="auto"/>
        <w:ind w:left="420"/>
        <w:textAlignment w:val="auto"/>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14:paraId="5287DA9A">
      <w:pPr>
        <w:pageBreakBefore w:val="0"/>
        <w:kinsoku/>
        <w:overflowPunct/>
        <w:topLinePunct w:val="0"/>
        <w:bidi w:val="0"/>
        <w:spacing w:line="312" w:lineRule="auto"/>
        <w:ind w:left="420"/>
        <w:textAlignment w:val="auto"/>
        <w:rPr>
          <w:rFonts w:ascii="宋体" w:hAnsi="宋体"/>
          <w:color w:val="auto"/>
          <w:sz w:val="24"/>
          <w:highlight w:val="none"/>
        </w:rPr>
      </w:pPr>
    </w:p>
    <w:p w14:paraId="695BD221">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hAnsi="宋体"/>
          <w:color w:val="auto"/>
          <w:sz w:val="24"/>
          <w:highlight w:val="none"/>
        </w:rPr>
        <w:t>：</w:t>
      </w:r>
    </w:p>
    <w:p w14:paraId="32DA1596">
      <w:pPr>
        <w:pageBreakBefore w:val="0"/>
        <w:kinsoku/>
        <w:overflowPunct/>
        <w:topLinePunct w:val="0"/>
        <w:bidi w:val="0"/>
        <w:spacing w:line="312" w:lineRule="auto"/>
        <w:ind w:firstLine="435"/>
        <w:textAlignment w:val="auto"/>
        <w:rPr>
          <w:rFonts w:ascii="宋体" w:hAnsi="宋体"/>
          <w:color w:val="auto"/>
          <w:sz w:val="24"/>
          <w:highlight w:val="none"/>
        </w:rPr>
      </w:pPr>
    </w:p>
    <w:p w14:paraId="3AB89714">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olor w:val="auto"/>
          <w:sz w:val="24"/>
          <w:highlight w:val="none"/>
        </w:rPr>
        <w:t>职        务：</w:t>
      </w:r>
    </w:p>
    <w:p w14:paraId="57F68283">
      <w:pPr>
        <w:pageBreakBefore w:val="0"/>
        <w:kinsoku/>
        <w:overflowPunct/>
        <w:topLinePunct w:val="0"/>
        <w:bidi w:val="0"/>
        <w:spacing w:line="312" w:lineRule="auto"/>
        <w:ind w:firstLine="435"/>
        <w:textAlignment w:val="auto"/>
        <w:rPr>
          <w:rFonts w:ascii="宋体" w:hAnsi="宋体"/>
          <w:color w:val="auto"/>
          <w:sz w:val="24"/>
          <w:highlight w:val="none"/>
        </w:rPr>
      </w:pPr>
    </w:p>
    <w:p w14:paraId="08FCDEF1">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olor w:val="auto"/>
          <w:sz w:val="24"/>
          <w:highlight w:val="none"/>
        </w:rPr>
        <w:t>日        期：</w:t>
      </w:r>
    </w:p>
    <w:p w14:paraId="6C0646AE">
      <w:pPr>
        <w:pageBreakBefore w:val="0"/>
        <w:kinsoku/>
        <w:overflowPunct/>
        <w:topLinePunct w:val="0"/>
        <w:bidi w:val="0"/>
        <w:spacing w:line="312" w:lineRule="auto"/>
        <w:textAlignment w:val="auto"/>
        <w:rPr>
          <w:rFonts w:ascii="宋体" w:hAnsi="宋体"/>
          <w:b/>
          <w:color w:val="auto"/>
          <w:sz w:val="28"/>
          <w:highlight w:val="none"/>
        </w:rPr>
      </w:pPr>
    </w:p>
    <w:p w14:paraId="32C0B2F4">
      <w:pPr>
        <w:pageBreakBefore w:val="0"/>
        <w:kinsoku/>
        <w:overflowPunct/>
        <w:topLinePunct w:val="0"/>
        <w:bidi w:val="0"/>
        <w:spacing w:line="312" w:lineRule="auto"/>
        <w:textAlignment w:val="auto"/>
        <w:rPr>
          <w:rFonts w:ascii="宋体" w:hAnsi="宋体"/>
          <w:b/>
          <w:color w:val="auto"/>
          <w:sz w:val="28"/>
          <w:highlight w:val="none"/>
        </w:rPr>
      </w:pPr>
    </w:p>
    <w:p w14:paraId="37D2106E">
      <w:pPr>
        <w:pageBreakBefore w:val="0"/>
        <w:kinsoku/>
        <w:overflowPunct/>
        <w:topLinePunct w:val="0"/>
        <w:bidi w:val="0"/>
        <w:spacing w:line="312" w:lineRule="auto"/>
        <w:textAlignment w:val="auto"/>
        <w:rPr>
          <w:rFonts w:ascii="宋体" w:hAnsi="宋体"/>
          <w:b/>
          <w:color w:val="auto"/>
          <w:sz w:val="28"/>
          <w:highlight w:val="none"/>
        </w:rPr>
      </w:pPr>
    </w:p>
    <w:p w14:paraId="4E226180">
      <w:pPr>
        <w:pageBreakBefore w:val="0"/>
        <w:kinsoku/>
        <w:overflowPunct/>
        <w:topLinePunct w:val="0"/>
        <w:bidi w:val="0"/>
        <w:spacing w:line="312" w:lineRule="auto"/>
        <w:textAlignment w:val="auto"/>
        <w:rPr>
          <w:rFonts w:ascii="宋体" w:hAnsi="宋体"/>
          <w:b/>
          <w:color w:val="auto"/>
          <w:sz w:val="28"/>
          <w:highlight w:val="none"/>
        </w:rPr>
      </w:pPr>
    </w:p>
    <w:p w14:paraId="7DB04106">
      <w:pPr>
        <w:pageBreakBefore w:val="0"/>
        <w:kinsoku/>
        <w:overflowPunct/>
        <w:topLinePunct w:val="0"/>
        <w:bidi w:val="0"/>
        <w:spacing w:line="312" w:lineRule="auto"/>
        <w:textAlignment w:val="auto"/>
        <w:rPr>
          <w:rFonts w:ascii="宋体" w:hAnsi="宋体"/>
          <w:b/>
          <w:color w:val="auto"/>
          <w:sz w:val="28"/>
          <w:highlight w:val="none"/>
        </w:rPr>
      </w:pPr>
    </w:p>
    <w:p w14:paraId="74DE636E">
      <w:pPr>
        <w:pageBreakBefore w:val="0"/>
        <w:kinsoku/>
        <w:overflowPunct/>
        <w:topLinePunct w:val="0"/>
        <w:bidi w:val="0"/>
        <w:spacing w:line="312" w:lineRule="auto"/>
        <w:jc w:val="left"/>
        <w:textAlignment w:val="auto"/>
        <w:rPr>
          <w:rFonts w:ascii="宋体" w:hAnsi="宋体"/>
          <w:b/>
          <w:bCs/>
          <w:color w:val="auto"/>
          <w:kern w:val="0"/>
          <w:sz w:val="32"/>
          <w:szCs w:val="32"/>
          <w:highlight w:val="none"/>
        </w:rPr>
      </w:pPr>
      <w:r>
        <w:rPr>
          <w:rFonts w:hint="eastAsia" w:ascii="宋体" w:hAnsi="宋体"/>
          <w:b/>
          <w:bCs/>
          <w:color w:val="auto"/>
          <w:kern w:val="0"/>
          <w:sz w:val="32"/>
          <w:szCs w:val="32"/>
          <w:highlight w:val="none"/>
        </w:rPr>
        <w:t>附件9</w:t>
      </w:r>
    </w:p>
    <w:p w14:paraId="44BBB2F9">
      <w:pPr>
        <w:pageBreakBefore w:val="0"/>
        <w:kinsoku/>
        <w:overflowPunct/>
        <w:topLinePunct w:val="0"/>
        <w:bidi w:val="0"/>
        <w:adjustRightInd w:val="0"/>
        <w:snapToGrid w:val="0"/>
        <w:spacing w:line="312" w:lineRule="auto"/>
        <w:ind w:firstLine="1205" w:firstLineChars="375"/>
        <w:jc w:val="center"/>
        <w:textAlignment w:val="auto"/>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238C09DC">
      <w:pPr>
        <w:pageBreakBefore w:val="0"/>
        <w:kinsoku/>
        <w:overflowPunct/>
        <w:topLinePunct w:val="0"/>
        <w:bidi w:val="0"/>
        <w:adjustRightInd w:val="0"/>
        <w:snapToGrid w:val="0"/>
        <w:spacing w:line="312" w:lineRule="auto"/>
        <w:ind w:firstLine="1205" w:firstLineChars="375"/>
        <w:jc w:val="center"/>
        <w:textAlignment w:val="auto"/>
        <w:rPr>
          <w:rFonts w:ascii="宋体" w:hAnsi="宋体"/>
          <w:b/>
          <w:color w:val="auto"/>
          <w:kern w:val="0"/>
          <w:sz w:val="32"/>
          <w:szCs w:val="32"/>
          <w:highlight w:val="none"/>
        </w:rPr>
      </w:pPr>
    </w:p>
    <w:tbl>
      <w:tblPr>
        <w:tblStyle w:val="24"/>
        <w:tblW w:w="5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3882"/>
        <w:gridCol w:w="2715"/>
        <w:gridCol w:w="1353"/>
        <w:gridCol w:w="774"/>
      </w:tblGrid>
      <w:tr w14:paraId="5F78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499" w:type="pct"/>
            <w:vAlign w:val="center"/>
          </w:tcPr>
          <w:p w14:paraId="7A0EA31A">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序号</w:t>
            </w:r>
          </w:p>
        </w:tc>
        <w:tc>
          <w:tcPr>
            <w:tcW w:w="2003" w:type="pct"/>
            <w:vAlign w:val="center"/>
          </w:tcPr>
          <w:p w14:paraId="703030DC">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hint="eastAsia" w:ascii="宋体" w:hAnsi="宋体"/>
                <w:color w:val="auto"/>
                <w:sz w:val="24"/>
                <w:highlight w:val="none"/>
                <w:u w:val="thick" w:color="FFFFFF"/>
              </w:rPr>
              <w:t>采购文件</w:t>
            </w:r>
            <w:r>
              <w:rPr>
                <w:rFonts w:ascii="宋体" w:hAnsi="宋体"/>
                <w:color w:val="auto"/>
                <w:sz w:val="24"/>
                <w:highlight w:val="none"/>
              </w:rPr>
              <w:t>要求</w:t>
            </w:r>
          </w:p>
        </w:tc>
        <w:tc>
          <w:tcPr>
            <w:tcW w:w="1401" w:type="pct"/>
            <w:vAlign w:val="center"/>
          </w:tcPr>
          <w:p w14:paraId="683E090E">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投标响应内容</w:t>
            </w:r>
          </w:p>
        </w:tc>
        <w:tc>
          <w:tcPr>
            <w:tcW w:w="698" w:type="pct"/>
            <w:vAlign w:val="center"/>
          </w:tcPr>
          <w:p w14:paraId="1CA0907E">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响应情况</w:t>
            </w:r>
          </w:p>
        </w:tc>
        <w:tc>
          <w:tcPr>
            <w:tcW w:w="400" w:type="pct"/>
            <w:vAlign w:val="center"/>
          </w:tcPr>
          <w:p w14:paraId="30979BC7">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备注</w:t>
            </w:r>
          </w:p>
        </w:tc>
      </w:tr>
      <w:tr w14:paraId="320A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9" w:type="pct"/>
            <w:vAlign w:val="center"/>
          </w:tcPr>
          <w:p w14:paraId="12FD854A">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1</w:t>
            </w:r>
          </w:p>
        </w:tc>
        <w:tc>
          <w:tcPr>
            <w:tcW w:w="2003" w:type="pct"/>
            <w:vAlign w:val="center"/>
          </w:tcPr>
          <w:p w14:paraId="3D51A3C9">
            <w:pPr>
              <w:pageBreakBefore w:val="0"/>
              <w:kinsoku/>
              <w:overflowPunct/>
              <w:topLinePunct w:val="0"/>
              <w:bidi w:val="0"/>
              <w:adjustRightInd w:val="0"/>
              <w:snapToGrid w:val="0"/>
              <w:spacing w:before="100" w:beforeAutospacing="1" w:after="100" w:afterAutospacing="1" w:line="312" w:lineRule="auto"/>
              <w:jc w:val="both"/>
              <w:textAlignment w:val="auto"/>
              <w:rPr>
                <w:rFonts w:ascii="宋体" w:hAnsi="宋体"/>
                <w:color w:val="auto"/>
                <w:sz w:val="24"/>
                <w:highlight w:val="none"/>
              </w:rPr>
            </w:pPr>
          </w:p>
        </w:tc>
        <w:tc>
          <w:tcPr>
            <w:tcW w:w="1401" w:type="pct"/>
            <w:vAlign w:val="center"/>
          </w:tcPr>
          <w:p w14:paraId="26BCDADD">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698" w:type="pct"/>
            <w:vAlign w:val="center"/>
          </w:tcPr>
          <w:p w14:paraId="4C1A3CA3">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p>
        </w:tc>
        <w:tc>
          <w:tcPr>
            <w:tcW w:w="400" w:type="pct"/>
            <w:vAlign w:val="center"/>
          </w:tcPr>
          <w:p w14:paraId="35298B10">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r>
      <w:tr w14:paraId="21DC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9" w:type="pct"/>
            <w:vAlign w:val="center"/>
          </w:tcPr>
          <w:p w14:paraId="2E64A294">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2</w:t>
            </w:r>
          </w:p>
        </w:tc>
        <w:tc>
          <w:tcPr>
            <w:tcW w:w="2003" w:type="pct"/>
            <w:vAlign w:val="center"/>
          </w:tcPr>
          <w:p w14:paraId="4132458E">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p>
        </w:tc>
        <w:tc>
          <w:tcPr>
            <w:tcW w:w="1401" w:type="pct"/>
            <w:vAlign w:val="center"/>
          </w:tcPr>
          <w:p w14:paraId="4FE54416">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698" w:type="pct"/>
            <w:vAlign w:val="center"/>
          </w:tcPr>
          <w:p w14:paraId="208BB7B5">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p>
        </w:tc>
        <w:tc>
          <w:tcPr>
            <w:tcW w:w="400" w:type="pct"/>
            <w:vAlign w:val="center"/>
          </w:tcPr>
          <w:p w14:paraId="26DF2F18">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r>
      <w:tr w14:paraId="5502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9" w:type="pct"/>
            <w:vAlign w:val="center"/>
          </w:tcPr>
          <w:p w14:paraId="49DD5402">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3</w:t>
            </w:r>
          </w:p>
        </w:tc>
        <w:tc>
          <w:tcPr>
            <w:tcW w:w="2003" w:type="pct"/>
            <w:vAlign w:val="center"/>
          </w:tcPr>
          <w:p w14:paraId="1BBD448A">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p>
        </w:tc>
        <w:tc>
          <w:tcPr>
            <w:tcW w:w="1401" w:type="pct"/>
            <w:vAlign w:val="center"/>
          </w:tcPr>
          <w:p w14:paraId="2FDEEC57">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698" w:type="pct"/>
            <w:vAlign w:val="center"/>
          </w:tcPr>
          <w:p w14:paraId="7E7D946D">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400" w:type="pct"/>
            <w:vAlign w:val="center"/>
          </w:tcPr>
          <w:p w14:paraId="4DDF4A8B">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r>
      <w:tr w14:paraId="2ED5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9" w:type="pct"/>
            <w:vAlign w:val="center"/>
          </w:tcPr>
          <w:p w14:paraId="313D9894">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4</w:t>
            </w:r>
          </w:p>
        </w:tc>
        <w:tc>
          <w:tcPr>
            <w:tcW w:w="2003" w:type="pct"/>
            <w:vAlign w:val="center"/>
          </w:tcPr>
          <w:p w14:paraId="0E5BD0BB">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p>
        </w:tc>
        <w:tc>
          <w:tcPr>
            <w:tcW w:w="1401" w:type="pct"/>
            <w:vAlign w:val="center"/>
          </w:tcPr>
          <w:p w14:paraId="0A8E8276">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698" w:type="pct"/>
            <w:vAlign w:val="center"/>
          </w:tcPr>
          <w:p w14:paraId="6306A029">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400" w:type="pct"/>
            <w:vAlign w:val="center"/>
          </w:tcPr>
          <w:p w14:paraId="4212D189">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r>
      <w:tr w14:paraId="66C5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9" w:type="pct"/>
            <w:vAlign w:val="center"/>
          </w:tcPr>
          <w:p w14:paraId="3B3A0F8A">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5</w:t>
            </w:r>
          </w:p>
        </w:tc>
        <w:tc>
          <w:tcPr>
            <w:tcW w:w="2003" w:type="pct"/>
            <w:vAlign w:val="center"/>
          </w:tcPr>
          <w:p w14:paraId="723D6793">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p>
        </w:tc>
        <w:tc>
          <w:tcPr>
            <w:tcW w:w="1401" w:type="pct"/>
            <w:vAlign w:val="center"/>
          </w:tcPr>
          <w:p w14:paraId="74C7A963">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698" w:type="pct"/>
            <w:vAlign w:val="center"/>
          </w:tcPr>
          <w:p w14:paraId="36798445">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400" w:type="pct"/>
            <w:vAlign w:val="center"/>
          </w:tcPr>
          <w:p w14:paraId="72160877">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r>
      <w:tr w14:paraId="3BA6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9" w:type="pct"/>
            <w:vAlign w:val="center"/>
          </w:tcPr>
          <w:p w14:paraId="4E784413">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6</w:t>
            </w:r>
          </w:p>
        </w:tc>
        <w:tc>
          <w:tcPr>
            <w:tcW w:w="2003" w:type="pct"/>
            <w:vAlign w:val="center"/>
          </w:tcPr>
          <w:p w14:paraId="397F89C4">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p>
        </w:tc>
        <w:tc>
          <w:tcPr>
            <w:tcW w:w="1401" w:type="pct"/>
            <w:vAlign w:val="center"/>
          </w:tcPr>
          <w:p w14:paraId="1EE5250E">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698" w:type="pct"/>
            <w:vAlign w:val="center"/>
          </w:tcPr>
          <w:p w14:paraId="13252CE2">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400" w:type="pct"/>
            <w:vAlign w:val="center"/>
          </w:tcPr>
          <w:p w14:paraId="34780091">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r>
      <w:tr w14:paraId="1DF9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9" w:type="pct"/>
            <w:vAlign w:val="center"/>
          </w:tcPr>
          <w:p w14:paraId="690BF673">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7</w:t>
            </w:r>
          </w:p>
        </w:tc>
        <w:tc>
          <w:tcPr>
            <w:tcW w:w="2003" w:type="pct"/>
            <w:vAlign w:val="center"/>
          </w:tcPr>
          <w:p w14:paraId="3B19E127">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p>
        </w:tc>
        <w:tc>
          <w:tcPr>
            <w:tcW w:w="1401" w:type="pct"/>
            <w:vAlign w:val="center"/>
          </w:tcPr>
          <w:p w14:paraId="3C4F2B14">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698" w:type="pct"/>
            <w:vAlign w:val="center"/>
          </w:tcPr>
          <w:p w14:paraId="084FDDAB">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400" w:type="pct"/>
            <w:vAlign w:val="center"/>
          </w:tcPr>
          <w:p w14:paraId="6F284910">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r>
      <w:tr w14:paraId="65BE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9" w:type="pct"/>
            <w:vAlign w:val="center"/>
          </w:tcPr>
          <w:p w14:paraId="1E45A581">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p>
        </w:tc>
        <w:tc>
          <w:tcPr>
            <w:tcW w:w="2003" w:type="pct"/>
            <w:vAlign w:val="center"/>
          </w:tcPr>
          <w:p w14:paraId="4E7D4D14">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r>
              <w:rPr>
                <w:rFonts w:ascii="宋体" w:hAnsi="宋体"/>
                <w:color w:val="auto"/>
                <w:sz w:val="24"/>
                <w:highlight w:val="none"/>
              </w:rPr>
              <w:t>……</w:t>
            </w:r>
          </w:p>
        </w:tc>
        <w:tc>
          <w:tcPr>
            <w:tcW w:w="1401" w:type="pct"/>
            <w:vAlign w:val="center"/>
          </w:tcPr>
          <w:p w14:paraId="1D417A6A">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698" w:type="pct"/>
            <w:vAlign w:val="center"/>
          </w:tcPr>
          <w:p w14:paraId="329DA5FE">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400" w:type="pct"/>
            <w:vAlign w:val="center"/>
          </w:tcPr>
          <w:p w14:paraId="2F404902">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r>
      <w:tr w14:paraId="0E54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9" w:type="pct"/>
            <w:vAlign w:val="center"/>
          </w:tcPr>
          <w:p w14:paraId="41707A27">
            <w:pPr>
              <w:pageBreakBefore w:val="0"/>
              <w:kinsoku/>
              <w:overflowPunct/>
              <w:topLinePunct w:val="0"/>
              <w:bidi w:val="0"/>
              <w:adjustRightInd w:val="0"/>
              <w:snapToGrid w:val="0"/>
              <w:spacing w:before="100" w:beforeAutospacing="1" w:after="100" w:afterAutospacing="1" w:line="312" w:lineRule="auto"/>
              <w:jc w:val="center"/>
              <w:textAlignment w:val="auto"/>
              <w:rPr>
                <w:rFonts w:ascii="宋体" w:hAnsi="宋体"/>
                <w:color w:val="auto"/>
                <w:sz w:val="24"/>
                <w:highlight w:val="none"/>
              </w:rPr>
            </w:pPr>
          </w:p>
        </w:tc>
        <w:tc>
          <w:tcPr>
            <w:tcW w:w="2003" w:type="pct"/>
            <w:vAlign w:val="center"/>
          </w:tcPr>
          <w:p w14:paraId="5FEF2133">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1401" w:type="pct"/>
            <w:vAlign w:val="center"/>
          </w:tcPr>
          <w:p w14:paraId="0A0CE3D7">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698" w:type="pct"/>
            <w:vAlign w:val="center"/>
          </w:tcPr>
          <w:p w14:paraId="6BB3E9BD">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c>
          <w:tcPr>
            <w:tcW w:w="400" w:type="pct"/>
            <w:vAlign w:val="center"/>
          </w:tcPr>
          <w:p w14:paraId="72C69FF5">
            <w:pPr>
              <w:pageBreakBefore w:val="0"/>
              <w:kinsoku/>
              <w:overflowPunct/>
              <w:topLinePunct w:val="0"/>
              <w:bidi w:val="0"/>
              <w:adjustRightInd w:val="0"/>
              <w:snapToGrid w:val="0"/>
              <w:spacing w:before="100" w:beforeAutospacing="1" w:after="100" w:afterAutospacing="1" w:line="312" w:lineRule="auto"/>
              <w:textAlignment w:val="auto"/>
              <w:rPr>
                <w:rFonts w:ascii="宋体" w:hAnsi="宋体"/>
                <w:color w:val="auto"/>
                <w:sz w:val="24"/>
                <w:highlight w:val="none"/>
              </w:rPr>
            </w:pPr>
          </w:p>
        </w:tc>
      </w:tr>
    </w:tbl>
    <w:p w14:paraId="6E45B940">
      <w:pPr>
        <w:pStyle w:val="13"/>
        <w:pageBreakBefore w:val="0"/>
        <w:kinsoku/>
        <w:overflowPunct/>
        <w:topLinePunct w:val="0"/>
        <w:bidi w:val="0"/>
        <w:adjustRightInd w:val="0"/>
        <w:snapToGrid w:val="0"/>
        <w:spacing w:line="312" w:lineRule="auto"/>
        <w:textAlignment w:val="auto"/>
        <w:rPr>
          <w:rFonts w:hAnsi="宋体"/>
          <w:b/>
          <w:color w:val="auto"/>
          <w:szCs w:val="21"/>
          <w:highlight w:val="none"/>
        </w:rPr>
      </w:pPr>
    </w:p>
    <w:p w14:paraId="28234C27">
      <w:pPr>
        <w:pStyle w:val="13"/>
        <w:pageBreakBefore w:val="0"/>
        <w:kinsoku/>
        <w:overflowPunct/>
        <w:topLinePunct w:val="0"/>
        <w:bidi w:val="0"/>
        <w:adjustRightInd w:val="0"/>
        <w:snapToGrid w:val="0"/>
        <w:spacing w:line="312" w:lineRule="auto"/>
        <w:textAlignment w:val="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w:t>
      </w:r>
      <w:r>
        <w:rPr>
          <w:rFonts w:hint="eastAsia" w:hAnsi="宋体"/>
          <w:b/>
          <w:color w:val="auto"/>
          <w:szCs w:val="21"/>
          <w:highlight w:val="none"/>
          <w:lang w:val="en-US" w:eastAsia="zh-CN"/>
        </w:rPr>
        <w:t>不</w:t>
      </w:r>
      <w:r>
        <w:rPr>
          <w:rFonts w:hAnsi="宋体"/>
          <w:b/>
          <w:color w:val="auto"/>
          <w:szCs w:val="21"/>
          <w:highlight w:val="none"/>
        </w:rPr>
        <w:t>响应</w:t>
      </w:r>
      <w:r>
        <w:rPr>
          <w:rFonts w:hint="eastAsia" w:hAnsi="宋体"/>
          <w:b/>
          <w:color w:val="auto"/>
          <w:szCs w:val="21"/>
          <w:highlight w:val="none"/>
        </w:rPr>
        <w:t>采购文件要求。</w:t>
      </w:r>
    </w:p>
    <w:p w14:paraId="2DE63BA5">
      <w:pPr>
        <w:pStyle w:val="13"/>
        <w:pageBreakBefore w:val="0"/>
        <w:kinsoku/>
        <w:overflowPunct/>
        <w:topLinePunct w:val="0"/>
        <w:bidi w:val="0"/>
        <w:adjustRightInd w:val="0"/>
        <w:snapToGrid w:val="0"/>
        <w:spacing w:line="312" w:lineRule="auto"/>
        <w:textAlignment w:val="auto"/>
        <w:rPr>
          <w:rFonts w:hAnsi="宋体"/>
          <w:b/>
          <w:color w:val="auto"/>
          <w:szCs w:val="21"/>
          <w:highlight w:val="none"/>
        </w:rPr>
      </w:pPr>
      <w:r>
        <w:rPr>
          <w:rFonts w:hint="eastAsia" w:hAnsi="宋体"/>
          <w:b/>
          <w:color w:val="auto"/>
          <w:szCs w:val="21"/>
          <w:highlight w:val="none"/>
        </w:rPr>
        <w:t xml:space="preserve">       2、供应商</w:t>
      </w:r>
      <w:r>
        <w:rPr>
          <w:rFonts w:hAnsi="宋体"/>
          <w:b/>
          <w:color w:val="auto"/>
          <w:szCs w:val="21"/>
          <w:highlight w:val="none"/>
        </w:rPr>
        <w:t>拟提供的服务承诺与</w:t>
      </w:r>
      <w:r>
        <w:rPr>
          <w:rFonts w:hint="eastAsia" w:hAnsi="宋体"/>
          <w:b/>
          <w:color w:val="auto"/>
          <w:szCs w:val="21"/>
          <w:highlight w:val="none"/>
        </w:rPr>
        <w:t>采购文件</w:t>
      </w:r>
      <w:r>
        <w:rPr>
          <w:rFonts w:hAnsi="宋体"/>
          <w:b/>
          <w:color w:val="auto"/>
          <w:szCs w:val="21"/>
          <w:highlight w:val="none"/>
        </w:rPr>
        <w:t>中的要求不一致时，则必须在</w:t>
      </w:r>
      <w:r>
        <w:rPr>
          <w:rFonts w:hint="eastAsia" w:hAnsi="宋体"/>
          <w:b/>
          <w:color w:val="auto"/>
          <w:szCs w:val="21"/>
          <w:highlight w:val="none"/>
          <w:lang w:val="en-US" w:eastAsia="zh-CN"/>
        </w:rPr>
        <w:t>商务与</w:t>
      </w:r>
      <w:r>
        <w:rPr>
          <w:rFonts w:hAnsi="宋体"/>
          <w:b/>
          <w:color w:val="auto"/>
          <w:szCs w:val="21"/>
          <w:highlight w:val="none"/>
        </w:rPr>
        <w:t>技术</w:t>
      </w:r>
      <w:r>
        <w:rPr>
          <w:rFonts w:hint="eastAsia" w:hAnsi="宋体"/>
          <w:b/>
          <w:color w:val="auto"/>
          <w:szCs w:val="21"/>
          <w:highlight w:val="none"/>
          <w:lang w:val="en-US" w:eastAsia="zh-CN"/>
        </w:rPr>
        <w:t>文件</w:t>
      </w:r>
      <w:r>
        <w:rPr>
          <w:rFonts w:hAnsi="宋体"/>
          <w:b/>
          <w:color w:val="auto"/>
          <w:szCs w:val="21"/>
          <w:highlight w:val="none"/>
        </w:rPr>
        <w:t xml:space="preserve">《服务条款响应表》中予以明确。 </w:t>
      </w:r>
    </w:p>
    <w:p w14:paraId="3F8F1D55">
      <w:pPr>
        <w:pageBreakBefore w:val="0"/>
        <w:kinsoku/>
        <w:overflowPunct/>
        <w:topLinePunct w:val="0"/>
        <w:bidi w:val="0"/>
        <w:adjustRightInd w:val="0"/>
        <w:snapToGrid w:val="0"/>
        <w:spacing w:line="312" w:lineRule="auto"/>
        <w:jc w:val="left"/>
        <w:textAlignment w:val="auto"/>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rPr>
        <w:t>供应商</w:t>
      </w:r>
      <w:r>
        <w:rPr>
          <w:rFonts w:ascii="宋体" w:hAnsi="宋体"/>
          <w:b/>
          <w:color w:val="auto"/>
          <w:szCs w:val="21"/>
          <w:highlight w:val="none"/>
        </w:rPr>
        <w:t>可在备注栏内就偏离原因进行简要说明。</w:t>
      </w:r>
    </w:p>
    <w:p w14:paraId="3C4F8E69">
      <w:pPr>
        <w:pageBreakBefore w:val="0"/>
        <w:kinsoku/>
        <w:overflowPunct/>
        <w:topLinePunct w:val="0"/>
        <w:bidi w:val="0"/>
        <w:spacing w:line="312" w:lineRule="auto"/>
        <w:textAlignment w:val="auto"/>
        <w:rPr>
          <w:rFonts w:ascii="宋体" w:hAnsi="宋体"/>
          <w:color w:val="auto"/>
          <w:sz w:val="24"/>
          <w:highlight w:val="none"/>
        </w:rPr>
      </w:pPr>
    </w:p>
    <w:p w14:paraId="03859A0D">
      <w:pPr>
        <w:pStyle w:val="23"/>
        <w:pageBreakBefore w:val="0"/>
        <w:kinsoku/>
        <w:overflowPunct/>
        <w:topLinePunct w:val="0"/>
        <w:bidi w:val="0"/>
        <w:spacing w:line="312" w:lineRule="auto"/>
        <w:textAlignment w:val="auto"/>
        <w:rPr>
          <w:color w:val="auto"/>
          <w:highlight w:val="none"/>
        </w:rPr>
      </w:pPr>
    </w:p>
    <w:p w14:paraId="26ADE315">
      <w:pPr>
        <w:pageBreakBefore w:val="0"/>
        <w:kinsoku/>
        <w:overflowPunct/>
        <w:topLinePunct w:val="0"/>
        <w:bidi w:val="0"/>
        <w:spacing w:line="312" w:lineRule="auto"/>
        <w:ind w:left="420"/>
        <w:textAlignment w:val="auto"/>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14:paraId="4B084563">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hAnsi="宋体"/>
          <w:color w:val="auto"/>
          <w:sz w:val="24"/>
          <w:highlight w:val="none"/>
        </w:rPr>
        <w:t>：</w:t>
      </w:r>
    </w:p>
    <w:p w14:paraId="153450BD">
      <w:pPr>
        <w:pageBreakBefore w:val="0"/>
        <w:kinsoku/>
        <w:overflowPunct/>
        <w:topLinePunct w:val="0"/>
        <w:bidi w:val="0"/>
        <w:spacing w:line="312" w:lineRule="auto"/>
        <w:ind w:firstLine="435"/>
        <w:textAlignment w:val="auto"/>
        <w:rPr>
          <w:rFonts w:ascii="宋体" w:hAnsi="宋体"/>
          <w:color w:val="auto"/>
          <w:sz w:val="24"/>
          <w:highlight w:val="none"/>
          <w:u w:val="single"/>
        </w:rPr>
      </w:pPr>
      <w:r>
        <w:rPr>
          <w:rFonts w:hint="eastAsia" w:ascii="宋体" w:hAnsi="宋体"/>
          <w:color w:val="auto"/>
          <w:sz w:val="24"/>
          <w:highlight w:val="none"/>
        </w:rPr>
        <w:t>职        务：</w:t>
      </w:r>
    </w:p>
    <w:p w14:paraId="52F4AA1B">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olor w:val="auto"/>
          <w:sz w:val="24"/>
          <w:highlight w:val="none"/>
        </w:rPr>
        <w:t>日        期：</w:t>
      </w:r>
    </w:p>
    <w:p w14:paraId="247271CC">
      <w:pPr>
        <w:pageBreakBefore w:val="0"/>
        <w:kinsoku/>
        <w:overflowPunct/>
        <w:topLinePunct w:val="0"/>
        <w:bidi w:val="0"/>
        <w:snapToGrid w:val="0"/>
        <w:spacing w:before="50" w:after="50" w:line="312" w:lineRule="auto"/>
        <w:textAlignment w:val="auto"/>
        <w:rPr>
          <w:rFonts w:ascii="宋体" w:hAnsi="宋体"/>
          <w:b/>
          <w:color w:val="auto"/>
          <w:sz w:val="28"/>
          <w:highlight w:val="none"/>
        </w:rPr>
      </w:pPr>
    </w:p>
    <w:p w14:paraId="07516992">
      <w:pPr>
        <w:pageBreakBefore w:val="0"/>
        <w:kinsoku/>
        <w:overflowPunct/>
        <w:topLinePunct w:val="0"/>
        <w:bidi w:val="0"/>
        <w:snapToGrid w:val="0"/>
        <w:spacing w:before="50" w:after="50" w:line="312" w:lineRule="auto"/>
        <w:textAlignment w:val="auto"/>
        <w:rPr>
          <w:rFonts w:ascii="宋体" w:hAnsi="宋体"/>
          <w:b/>
          <w:color w:val="auto"/>
          <w:sz w:val="28"/>
          <w:highlight w:val="none"/>
        </w:rPr>
      </w:pPr>
    </w:p>
    <w:p w14:paraId="51EE1954">
      <w:pPr>
        <w:pageBreakBefore w:val="0"/>
        <w:kinsoku/>
        <w:overflowPunct/>
        <w:topLinePunct w:val="0"/>
        <w:bidi w:val="0"/>
        <w:snapToGrid w:val="0"/>
        <w:spacing w:before="50" w:after="50" w:line="312" w:lineRule="auto"/>
        <w:textAlignment w:val="auto"/>
        <w:rPr>
          <w:rFonts w:ascii="宋体" w:hAnsi="宋体"/>
          <w:b/>
          <w:color w:val="auto"/>
          <w:sz w:val="28"/>
          <w:highlight w:val="none"/>
        </w:rPr>
      </w:pPr>
    </w:p>
    <w:p w14:paraId="440642F2">
      <w:pPr>
        <w:pStyle w:val="12"/>
        <w:pageBreakBefore w:val="0"/>
        <w:kinsoku/>
        <w:overflowPunct/>
        <w:topLinePunct w:val="0"/>
        <w:bidi w:val="0"/>
        <w:spacing w:line="312" w:lineRule="auto"/>
        <w:textAlignment w:val="auto"/>
        <w:rPr>
          <w:color w:val="auto"/>
          <w:highlight w:val="none"/>
        </w:rPr>
      </w:pPr>
    </w:p>
    <w:p w14:paraId="4B38BC3D">
      <w:pPr>
        <w:pStyle w:val="40"/>
        <w:pageBreakBefore w:val="0"/>
        <w:kinsoku/>
        <w:overflowPunct/>
        <w:topLinePunct w:val="0"/>
        <w:bidi w:val="0"/>
        <w:spacing w:line="312" w:lineRule="auto"/>
        <w:jc w:val="left"/>
        <w:textAlignment w:val="auto"/>
        <w:rPr>
          <w:rFonts w:ascii="宋体" w:hAnsi="宋体"/>
          <w:b/>
          <w:color w:val="auto"/>
          <w:sz w:val="28"/>
          <w:highlight w:val="none"/>
        </w:rPr>
      </w:pPr>
      <w:r>
        <w:rPr>
          <w:rFonts w:hint="eastAsia" w:ascii="宋体" w:hAnsi="宋体"/>
          <w:b/>
          <w:color w:val="auto"/>
          <w:sz w:val="28"/>
          <w:highlight w:val="none"/>
        </w:rPr>
        <w:t>附件10</w:t>
      </w:r>
    </w:p>
    <w:p w14:paraId="56568AA0">
      <w:pPr>
        <w:pStyle w:val="41"/>
        <w:pageBreakBefore w:val="0"/>
        <w:kinsoku/>
        <w:overflowPunct/>
        <w:topLinePunct w:val="0"/>
        <w:bidi w:val="0"/>
        <w:spacing w:line="312" w:lineRule="auto"/>
        <w:jc w:val="center"/>
        <w:textAlignment w:val="auto"/>
        <w:rPr>
          <w:rFonts w:ascii="宋体" w:hAnsi="宋体" w:cs="Arial"/>
          <w:color w:val="auto"/>
          <w:sz w:val="28"/>
          <w:szCs w:val="28"/>
          <w:highlight w:val="none"/>
        </w:rPr>
      </w:pPr>
      <w:r>
        <w:rPr>
          <w:rFonts w:hint="eastAsia" w:ascii="宋体" w:hAnsi="宋体"/>
          <w:b/>
          <w:color w:val="auto"/>
          <w:sz w:val="32"/>
          <w:szCs w:val="32"/>
          <w:highlight w:val="none"/>
        </w:rPr>
        <w:t>证书一览表</w:t>
      </w:r>
    </w:p>
    <w:tbl>
      <w:tblPr>
        <w:tblStyle w:val="24"/>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7DA74C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0DE01A13">
            <w:pPr>
              <w:pStyle w:val="41"/>
              <w:pageBreakBefore w:val="0"/>
              <w:kinsoku/>
              <w:overflowPunct/>
              <w:topLinePunct w:val="0"/>
              <w:bidi w:val="0"/>
              <w:spacing w:line="312" w:lineRule="auto"/>
              <w:jc w:val="center"/>
              <w:textAlignment w:val="auto"/>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6EC241EA">
            <w:pPr>
              <w:pStyle w:val="41"/>
              <w:pageBreakBefore w:val="0"/>
              <w:kinsoku/>
              <w:overflowPunct/>
              <w:topLinePunct w:val="0"/>
              <w:bidi w:val="0"/>
              <w:spacing w:line="312" w:lineRule="auto"/>
              <w:jc w:val="center"/>
              <w:textAlignment w:val="auto"/>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333A8DA7">
            <w:pPr>
              <w:pStyle w:val="41"/>
              <w:pageBreakBefore w:val="0"/>
              <w:kinsoku/>
              <w:overflowPunct/>
              <w:topLinePunct w:val="0"/>
              <w:bidi w:val="0"/>
              <w:spacing w:line="312" w:lineRule="auto"/>
              <w:jc w:val="center"/>
              <w:textAlignment w:val="auto"/>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088D3609">
            <w:pPr>
              <w:pStyle w:val="41"/>
              <w:pageBreakBefore w:val="0"/>
              <w:kinsoku/>
              <w:overflowPunct/>
              <w:topLinePunct w:val="0"/>
              <w:bidi w:val="0"/>
              <w:spacing w:line="312" w:lineRule="auto"/>
              <w:jc w:val="center"/>
              <w:textAlignment w:val="auto"/>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1A1342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6C961A90">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28F15534">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7541DE95">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2E3CF800">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r>
      <w:tr w14:paraId="4575D9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E9AAD47">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58" w:type="dxa"/>
            <w:tcMar>
              <w:top w:w="57" w:type="dxa"/>
              <w:left w:w="85" w:type="dxa"/>
              <w:bottom w:w="0" w:type="dxa"/>
              <w:right w:w="85" w:type="dxa"/>
            </w:tcMar>
          </w:tcPr>
          <w:p w14:paraId="7CF6A6E5">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60" w:type="dxa"/>
            <w:tcMar>
              <w:top w:w="57" w:type="dxa"/>
              <w:left w:w="85" w:type="dxa"/>
              <w:bottom w:w="0" w:type="dxa"/>
              <w:right w:w="85" w:type="dxa"/>
            </w:tcMar>
          </w:tcPr>
          <w:p w14:paraId="6B1D5954">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73D53692">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r>
      <w:tr w14:paraId="38D6C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5F42EF2F">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58" w:type="dxa"/>
            <w:tcMar>
              <w:top w:w="57" w:type="dxa"/>
              <w:left w:w="85" w:type="dxa"/>
              <w:bottom w:w="0" w:type="dxa"/>
              <w:right w:w="85" w:type="dxa"/>
            </w:tcMar>
          </w:tcPr>
          <w:p w14:paraId="04317380">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60" w:type="dxa"/>
            <w:tcMar>
              <w:top w:w="57" w:type="dxa"/>
              <w:left w:w="85" w:type="dxa"/>
              <w:bottom w:w="0" w:type="dxa"/>
              <w:right w:w="85" w:type="dxa"/>
            </w:tcMar>
          </w:tcPr>
          <w:p w14:paraId="741AD02C">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33B2A497">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r>
      <w:tr w14:paraId="4C3CCB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3A6D2FFE">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58" w:type="dxa"/>
            <w:tcMar>
              <w:top w:w="57" w:type="dxa"/>
              <w:left w:w="85" w:type="dxa"/>
              <w:bottom w:w="0" w:type="dxa"/>
              <w:right w:w="85" w:type="dxa"/>
            </w:tcMar>
          </w:tcPr>
          <w:p w14:paraId="7A14847E">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60" w:type="dxa"/>
            <w:tcMar>
              <w:top w:w="57" w:type="dxa"/>
              <w:left w:w="85" w:type="dxa"/>
              <w:bottom w:w="0" w:type="dxa"/>
              <w:right w:w="85" w:type="dxa"/>
            </w:tcMar>
          </w:tcPr>
          <w:p w14:paraId="28220AE6">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5C8C91AD">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r>
      <w:tr w14:paraId="1FA6DD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7C3EE6D9">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58" w:type="dxa"/>
            <w:tcMar>
              <w:top w:w="57" w:type="dxa"/>
              <w:left w:w="85" w:type="dxa"/>
              <w:bottom w:w="0" w:type="dxa"/>
              <w:right w:w="85" w:type="dxa"/>
            </w:tcMar>
          </w:tcPr>
          <w:p w14:paraId="523FB9BF">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60" w:type="dxa"/>
            <w:tcMar>
              <w:top w:w="57" w:type="dxa"/>
              <w:left w:w="85" w:type="dxa"/>
              <w:bottom w:w="0" w:type="dxa"/>
              <w:right w:w="85" w:type="dxa"/>
            </w:tcMar>
          </w:tcPr>
          <w:p w14:paraId="522CB835">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51D771E">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r>
      <w:tr w14:paraId="244B43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9616CA5">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58" w:type="dxa"/>
            <w:tcMar>
              <w:top w:w="57" w:type="dxa"/>
              <w:left w:w="85" w:type="dxa"/>
              <w:bottom w:w="0" w:type="dxa"/>
              <w:right w:w="85" w:type="dxa"/>
            </w:tcMar>
          </w:tcPr>
          <w:p w14:paraId="3CD6B669">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60" w:type="dxa"/>
            <w:tcMar>
              <w:top w:w="57" w:type="dxa"/>
              <w:left w:w="85" w:type="dxa"/>
              <w:bottom w:w="0" w:type="dxa"/>
              <w:right w:w="85" w:type="dxa"/>
            </w:tcMar>
          </w:tcPr>
          <w:p w14:paraId="1341B551">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0CBF893">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r>
      <w:tr w14:paraId="5B7442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6594567A">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41B78414">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588981E3">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036009AB">
            <w:pPr>
              <w:pStyle w:val="41"/>
              <w:pageBreakBefore w:val="0"/>
              <w:kinsoku/>
              <w:overflowPunct/>
              <w:topLinePunct w:val="0"/>
              <w:bidi w:val="0"/>
              <w:spacing w:line="312" w:lineRule="auto"/>
              <w:jc w:val="center"/>
              <w:textAlignment w:val="auto"/>
              <w:rPr>
                <w:rFonts w:ascii="宋体" w:hAnsi="宋体" w:cs="Arial"/>
                <w:color w:val="auto"/>
                <w:szCs w:val="21"/>
                <w:highlight w:val="none"/>
              </w:rPr>
            </w:pPr>
          </w:p>
        </w:tc>
      </w:tr>
    </w:tbl>
    <w:p w14:paraId="140BACDA">
      <w:pPr>
        <w:pStyle w:val="41"/>
        <w:pageBreakBefore w:val="0"/>
        <w:tabs>
          <w:tab w:val="left" w:pos="1050"/>
        </w:tabs>
        <w:kinsoku/>
        <w:overflowPunct/>
        <w:topLinePunct w:val="0"/>
        <w:bidi w:val="0"/>
        <w:spacing w:line="312" w:lineRule="auto"/>
        <w:textAlignment w:val="auto"/>
        <w:rPr>
          <w:rFonts w:ascii="宋体" w:hAnsi="宋体"/>
          <w:color w:val="auto"/>
          <w:szCs w:val="21"/>
          <w:highlight w:val="none"/>
        </w:rPr>
      </w:pPr>
      <w:r>
        <w:rPr>
          <w:rFonts w:hint="eastAsia" w:ascii="宋体" w:hAnsi="宋体"/>
          <w:b/>
          <w:color w:val="auto"/>
          <w:szCs w:val="21"/>
          <w:highlight w:val="none"/>
        </w:rPr>
        <w:t>要求：</w:t>
      </w:r>
    </w:p>
    <w:p w14:paraId="046F2525">
      <w:pPr>
        <w:pStyle w:val="41"/>
        <w:pageBreakBefore w:val="0"/>
        <w:tabs>
          <w:tab w:val="left" w:pos="1050"/>
        </w:tabs>
        <w:kinsoku/>
        <w:overflowPunct/>
        <w:topLinePunct w:val="0"/>
        <w:bidi w:val="0"/>
        <w:spacing w:line="312" w:lineRule="auto"/>
        <w:ind w:firstLine="424" w:firstLineChars="202"/>
        <w:textAlignment w:val="auto"/>
        <w:rPr>
          <w:rFonts w:ascii="宋体" w:hAnsi="宋体"/>
          <w:color w:val="auto"/>
          <w:szCs w:val="21"/>
          <w:highlight w:val="none"/>
        </w:rPr>
      </w:pPr>
      <w:r>
        <w:rPr>
          <w:rFonts w:hint="eastAsia" w:ascii="宋体" w:hAnsi="宋体"/>
          <w:color w:val="auto"/>
          <w:szCs w:val="21"/>
          <w:highlight w:val="none"/>
        </w:rPr>
        <w:t>1.填写供应商获得资质、认证或企业信誉证书。</w:t>
      </w:r>
    </w:p>
    <w:p w14:paraId="7407BDF3">
      <w:pPr>
        <w:pStyle w:val="41"/>
        <w:pageBreakBefore w:val="0"/>
        <w:tabs>
          <w:tab w:val="left" w:pos="1050"/>
        </w:tabs>
        <w:kinsoku/>
        <w:overflowPunct/>
        <w:topLinePunct w:val="0"/>
        <w:bidi w:val="0"/>
        <w:spacing w:line="312" w:lineRule="auto"/>
        <w:ind w:firstLine="424" w:firstLineChars="202"/>
        <w:textAlignment w:val="auto"/>
        <w:rPr>
          <w:rFonts w:ascii="宋体" w:hAnsi="宋体"/>
          <w:color w:val="auto"/>
          <w:szCs w:val="21"/>
          <w:highlight w:val="none"/>
        </w:rPr>
      </w:pPr>
      <w:r>
        <w:rPr>
          <w:rFonts w:hint="eastAsia" w:ascii="宋体" w:hAnsi="宋体"/>
          <w:color w:val="auto"/>
          <w:szCs w:val="21"/>
          <w:highlight w:val="none"/>
        </w:rPr>
        <w:t>2.附所列证书或其他证明材料。</w:t>
      </w:r>
    </w:p>
    <w:p w14:paraId="753D37F5">
      <w:pPr>
        <w:pStyle w:val="41"/>
        <w:pageBreakBefore w:val="0"/>
        <w:tabs>
          <w:tab w:val="left" w:pos="1050"/>
        </w:tabs>
        <w:kinsoku/>
        <w:overflowPunct/>
        <w:topLinePunct w:val="0"/>
        <w:bidi w:val="0"/>
        <w:spacing w:line="312" w:lineRule="auto"/>
        <w:textAlignment w:val="auto"/>
        <w:rPr>
          <w:rFonts w:ascii="仿宋_GB2312" w:hAnsi="宋体" w:eastAsia="仿宋_GB2312"/>
          <w:color w:val="auto"/>
          <w:sz w:val="24"/>
          <w:highlight w:val="none"/>
        </w:rPr>
      </w:pPr>
    </w:p>
    <w:p w14:paraId="4778B408">
      <w:pPr>
        <w:pStyle w:val="41"/>
        <w:pageBreakBefore w:val="0"/>
        <w:tabs>
          <w:tab w:val="left" w:pos="1050"/>
        </w:tabs>
        <w:kinsoku/>
        <w:overflowPunct/>
        <w:topLinePunct w:val="0"/>
        <w:bidi w:val="0"/>
        <w:spacing w:line="312" w:lineRule="auto"/>
        <w:ind w:firstLine="720" w:firstLineChars="300"/>
        <w:textAlignment w:val="auto"/>
        <w:rPr>
          <w:rFonts w:ascii="仿宋_GB2312" w:hAnsi="宋体" w:eastAsia="仿宋_GB2312"/>
          <w:color w:val="auto"/>
          <w:sz w:val="24"/>
          <w:highlight w:val="none"/>
        </w:rPr>
      </w:pPr>
    </w:p>
    <w:p w14:paraId="4B2753DA">
      <w:pPr>
        <w:pageBreakBefore w:val="0"/>
        <w:kinsoku/>
        <w:overflowPunct/>
        <w:topLinePunct w:val="0"/>
        <w:bidi w:val="0"/>
        <w:spacing w:line="312" w:lineRule="auto"/>
        <w:ind w:firstLine="424" w:firstLineChars="177"/>
        <w:textAlignment w:val="auto"/>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14:paraId="5F3D1DF6">
      <w:pPr>
        <w:pageBreakBefore w:val="0"/>
        <w:kinsoku/>
        <w:overflowPunct/>
        <w:topLinePunct w:val="0"/>
        <w:bidi w:val="0"/>
        <w:spacing w:line="312" w:lineRule="auto"/>
        <w:ind w:left="420"/>
        <w:textAlignment w:val="auto"/>
        <w:rPr>
          <w:rFonts w:ascii="宋体" w:hAnsi="宋体"/>
          <w:color w:val="auto"/>
          <w:sz w:val="24"/>
          <w:highlight w:val="none"/>
        </w:rPr>
      </w:pPr>
    </w:p>
    <w:p w14:paraId="78C85769">
      <w:pPr>
        <w:pageBreakBefore w:val="0"/>
        <w:kinsoku/>
        <w:overflowPunct/>
        <w:topLinePunct w:val="0"/>
        <w:bidi w:val="0"/>
        <w:spacing w:line="312" w:lineRule="auto"/>
        <w:ind w:firstLine="424" w:firstLineChars="177"/>
        <w:textAlignment w:val="auto"/>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hAnsi="宋体"/>
          <w:color w:val="auto"/>
          <w:sz w:val="24"/>
          <w:highlight w:val="none"/>
        </w:rPr>
        <w:t>：</w:t>
      </w:r>
    </w:p>
    <w:p w14:paraId="15D56E98">
      <w:pPr>
        <w:pageBreakBefore w:val="0"/>
        <w:kinsoku/>
        <w:overflowPunct/>
        <w:topLinePunct w:val="0"/>
        <w:bidi w:val="0"/>
        <w:spacing w:line="312" w:lineRule="auto"/>
        <w:ind w:firstLine="435"/>
        <w:textAlignment w:val="auto"/>
        <w:rPr>
          <w:rFonts w:ascii="宋体" w:hAnsi="宋体"/>
          <w:color w:val="auto"/>
          <w:sz w:val="24"/>
          <w:highlight w:val="none"/>
        </w:rPr>
      </w:pPr>
    </w:p>
    <w:p w14:paraId="74915112">
      <w:pPr>
        <w:pageBreakBefore w:val="0"/>
        <w:kinsoku/>
        <w:overflowPunct/>
        <w:topLinePunct w:val="0"/>
        <w:bidi w:val="0"/>
        <w:spacing w:line="312" w:lineRule="auto"/>
        <w:ind w:firstLine="424" w:firstLineChars="177"/>
        <w:textAlignment w:val="auto"/>
        <w:rPr>
          <w:rFonts w:ascii="宋体" w:hAnsi="宋体"/>
          <w:color w:val="auto"/>
          <w:sz w:val="24"/>
          <w:highlight w:val="none"/>
          <w:u w:val="single"/>
        </w:rPr>
      </w:pPr>
      <w:r>
        <w:rPr>
          <w:rFonts w:hint="eastAsia" w:ascii="宋体" w:hAnsi="宋体"/>
          <w:color w:val="auto"/>
          <w:sz w:val="24"/>
          <w:highlight w:val="none"/>
        </w:rPr>
        <w:t>职        务：</w:t>
      </w:r>
    </w:p>
    <w:p w14:paraId="2DA713A9">
      <w:pPr>
        <w:pageBreakBefore w:val="0"/>
        <w:kinsoku/>
        <w:overflowPunct/>
        <w:topLinePunct w:val="0"/>
        <w:bidi w:val="0"/>
        <w:spacing w:line="312" w:lineRule="auto"/>
        <w:textAlignment w:val="auto"/>
        <w:rPr>
          <w:rFonts w:ascii="宋体" w:hAnsi="宋体"/>
          <w:color w:val="auto"/>
          <w:sz w:val="24"/>
          <w:highlight w:val="none"/>
        </w:rPr>
      </w:pPr>
    </w:p>
    <w:p w14:paraId="47A166DD">
      <w:pPr>
        <w:pStyle w:val="37"/>
        <w:pageBreakBefore w:val="0"/>
        <w:shd w:val="clear" w:color="auto" w:fill="FFFFFF"/>
        <w:kinsoku/>
        <w:overflowPunct/>
        <w:topLinePunct w:val="0"/>
        <w:bidi w:val="0"/>
        <w:spacing w:before="0" w:beforeAutospacing="0" w:after="0" w:afterAutospacing="0" w:line="312" w:lineRule="auto"/>
        <w:ind w:firstLine="424" w:firstLineChars="177"/>
        <w:textAlignment w:val="auto"/>
        <w:rPr>
          <w:b/>
          <w:bCs/>
          <w:color w:val="auto"/>
          <w:highlight w:val="none"/>
        </w:rPr>
      </w:pPr>
      <w:r>
        <w:rPr>
          <w:rFonts w:hint="eastAsia"/>
          <w:color w:val="auto"/>
          <w:highlight w:val="none"/>
        </w:rPr>
        <w:t>日        期：</w:t>
      </w:r>
    </w:p>
    <w:p w14:paraId="4A5D89BA">
      <w:pPr>
        <w:pageBreakBefore w:val="0"/>
        <w:kinsoku/>
        <w:overflowPunct/>
        <w:topLinePunct w:val="0"/>
        <w:bidi w:val="0"/>
        <w:spacing w:line="312" w:lineRule="auto"/>
        <w:ind w:firstLine="435"/>
        <w:textAlignment w:val="auto"/>
        <w:rPr>
          <w:rFonts w:ascii="宋体" w:hAnsi="宋体"/>
          <w:b/>
          <w:color w:val="auto"/>
          <w:sz w:val="28"/>
          <w:highlight w:val="none"/>
        </w:rPr>
      </w:pPr>
    </w:p>
    <w:p w14:paraId="47E064BE">
      <w:pPr>
        <w:pStyle w:val="40"/>
        <w:pageBreakBefore w:val="0"/>
        <w:kinsoku/>
        <w:overflowPunct/>
        <w:topLinePunct w:val="0"/>
        <w:bidi w:val="0"/>
        <w:spacing w:line="312" w:lineRule="auto"/>
        <w:jc w:val="left"/>
        <w:textAlignment w:val="auto"/>
        <w:rPr>
          <w:rFonts w:ascii="宋体" w:hAnsi="宋体"/>
          <w:b/>
          <w:color w:val="auto"/>
          <w:sz w:val="28"/>
          <w:highlight w:val="none"/>
        </w:rPr>
      </w:pPr>
    </w:p>
    <w:p w14:paraId="1337259C">
      <w:pPr>
        <w:pStyle w:val="40"/>
        <w:pageBreakBefore w:val="0"/>
        <w:kinsoku/>
        <w:overflowPunct/>
        <w:topLinePunct w:val="0"/>
        <w:bidi w:val="0"/>
        <w:spacing w:line="312" w:lineRule="auto"/>
        <w:jc w:val="left"/>
        <w:textAlignment w:val="auto"/>
        <w:rPr>
          <w:rFonts w:ascii="宋体" w:hAnsi="宋体"/>
          <w:b/>
          <w:color w:val="auto"/>
          <w:sz w:val="28"/>
          <w:highlight w:val="none"/>
        </w:rPr>
      </w:pPr>
    </w:p>
    <w:p w14:paraId="6E7F0C09">
      <w:pPr>
        <w:pStyle w:val="40"/>
        <w:pageBreakBefore w:val="0"/>
        <w:kinsoku/>
        <w:overflowPunct/>
        <w:topLinePunct w:val="0"/>
        <w:bidi w:val="0"/>
        <w:spacing w:line="312" w:lineRule="auto"/>
        <w:jc w:val="left"/>
        <w:textAlignment w:val="auto"/>
        <w:rPr>
          <w:rFonts w:ascii="宋体" w:hAnsi="宋体"/>
          <w:b/>
          <w:color w:val="auto"/>
          <w:sz w:val="28"/>
          <w:highlight w:val="none"/>
        </w:rPr>
      </w:pPr>
    </w:p>
    <w:p w14:paraId="24326694">
      <w:pPr>
        <w:pStyle w:val="40"/>
        <w:pageBreakBefore w:val="0"/>
        <w:kinsoku/>
        <w:overflowPunct/>
        <w:topLinePunct w:val="0"/>
        <w:bidi w:val="0"/>
        <w:spacing w:line="312" w:lineRule="auto"/>
        <w:jc w:val="left"/>
        <w:textAlignment w:val="auto"/>
        <w:rPr>
          <w:rFonts w:ascii="宋体" w:hAnsi="宋体"/>
          <w:b/>
          <w:color w:val="auto"/>
          <w:sz w:val="28"/>
          <w:highlight w:val="none"/>
        </w:rPr>
      </w:pPr>
    </w:p>
    <w:p w14:paraId="2046DF86">
      <w:pPr>
        <w:pStyle w:val="40"/>
        <w:pageBreakBefore w:val="0"/>
        <w:kinsoku/>
        <w:overflowPunct/>
        <w:topLinePunct w:val="0"/>
        <w:bidi w:val="0"/>
        <w:spacing w:line="312" w:lineRule="auto"/>
        <w:jc w:val="left"/>
        <w:textAlignment w:val="auto"/>
        <w:rPr>
          <w:rFonts w:ascii="宋体" w:hAnsi="宋体"/>
          <w:b/>
          <w:color w:val="auto"/>
          <w:sz w:val="28"/>
          <w:highlight w:val="none"/>
        </w:rPr>
      </w:pPr>
    </w:p>
    <w:p w14:paraId="59FF3A70">
      <w:pPr>
        <w:pStyle w:val="40"/>
        <w:pageBreakBefore w:val="0"/>
        <w:kinsoku/>
        <w:overflowPunct/>
        <w:topLinePunct w:val="0"/>
        <w:bidi w:val="0"/>
        <w:spacing w:line="312" w:lineRule="auto"/>
        <w:jc w:val="left"/>
        <w:textAlignment w:val="auto"/>
        <w:rPr>
          <w:rFonts w:ascii="宋体" w:hAnsi="宋体"/>
          <w:b/>
          <w:color w:val="auto"/>
          <w:sz w:val="28"/>
          <w:highlight w:val="none"/>
        </w:rPr>
      </w:pPr>
    </w:p>
    <w:p w14:paraId="2A6FAE2C">
      <w:pPr>
        <w:pStyle w:val="40"/>
        <w:pageBreakBefore w:val="0"/>
        <w:kinsoku/>
        <w:overflowPunct/>
        <w:topLinePunct w:val="0"/>
        <w:bidi w:val="0"/>
        <w:spacing w:line="312" w:lineRule="auto"/>
        <w:jc w:val="left"/>
        <w:textAlignment w:val="auto"/>
        <w:rPr>
          <w:rFonts w:ascii="宋体" w:hAnsi="宋体"/>
          <w:b/>
          <w:color w:val="auto"/>
          <w:sz w:val="28"/>
          <w:highlight w:val="none"/>
        </w:rPr>
      </w:pPr>
    </w:p>
    <w:p w14:paraId="32F1DB12">
      <w:pPr>
        <w:pStyle w:val="40"/>
        <w:pageBreakBefore w:val="0"/>
        <w:kinsoku/>
        <w:overflowPunct/>
        <w:topLinePunct w:val="0"/>
        <w:bidi w:val="0"/>
        <w:spacing w:line="312" w:lineRule="auto"/>
        <w:jc w:val="left"/>
        <w:textAlignment w:val="auto"/>
        <w:rPr>
          <w:rFonts w:ascii="宋体" w:hAnsi="宋体"/>
          <w:b/>
          <w:color w:val="auto"/>
          <w:sz w:val="28"/>
          <w:highlight w:val="none"/>
        </w:rPr>
      </w:pPr>
    </w:p>
    <w:p w14:paraId="3E4D2721">
      <w:pPr>
        <w:pStyle w:val="40"/>
        <w:pageBreakBefore w:val="0"/>
        <w:kinsoku/>
        <w:overflowPunct/>
        <w:topLinePunct w:val="0"/>
        <w:bidi w:val="0"/>
        <w:spacing w:line="312" w:lineRule="auto"/>
        <w:jc w:val="left"/>
        <w:textAlignment w:val="auto"/>
        <w:rPr>
          <w:rFonts w:ascii="宋体" w:hAnsi="宋体"/>
          <w:b/>
          <w:color w:val="auto"/>
          <w:sz w:val="28"/>
          <w:highlight w:val="none"/>
        </w:rPr>
      </w:pPr>
    </w:p>
    <w:p w14:paraId="1BEF4374">
      <w:pPr>
        <w:pageBreakBefore w:val="0"/>
        <w:kinsoku/>
        <w:overflowPunct/>
        <w:topLinePunct w:val="0"/>
        <w:bidi w:val="0"/>
        <w:spacing w:line="312" w:lineRule="auto"/>
        <w:textAlignment w:val="auto"/>
        <w:rPr>
          <w:rFonts w:ascii="宋体" w:hAnsi="宋体"/>
          <w:b/>
          <w:color w:val="auto"/>
          <w:sz w:val="28"/>
          <w:highlight w:val="none"/>
        </w:rPr>
      </w:pPr>
      <w:r>
        <w:rPr>
          <w:rFonts w:hint="eastAsia" w:ascii="宋体" w:hAnsi="宋体"/>
          <w:b/>
          <w:color w:val="auto"/>
          <w:sz w:val="28"/>
          <w:highlight w:val="none"/>
        </w:rPr>
        <w:t>附件11</w:t>
      </w:r>
    </w:p>
    <w:p w14:paraId="38BD769E">
      <w:pPr>
        <w:pageBreakBefore w:val="0"/>
        <w:kinsoku/>
        <w:overflowPunct/>
        <w:topLinePunct w:val="0"/>
        <w:bidi w:val="0"/>
        <w:spacing w:line="312" w:lineRule="auto"/>
        <w:jc w:val="center"/>
        <w:textAlignment w:val="auto"/>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4"/>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163"/>
        <w:gridCol w:w="1423"/>
        <w:gridCol w:w="1836"/>
      </w:tblGrid>
      <w:tr w14:paraId="790D7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59A637F">
            <w:pPr>
              <w:pStyle w:val="40"/>
              <w:pageBreakBefore w:val="0"/>
              <w:kinsoku/>
              <w:overflowPunct/>
              <w:topLinePunct w:val="0"/>
              <w:bidi w:val="0"/>
              <w:spacing w:line="312" w:lineRule="auto"/>
              <w:jc w:val="center"/>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8BCAECA">
            <w:pPr>
              <w:pStyle w:val="40"/>
              <w:pageBreakBefore w:val="0"/>
              <w:kinsoku/>
              <w:overflowPunct/>
              <w:topLinePunct w:val="0"/>
              <w:bidi w:val="0"/>
              <w:spacing w:line="312" w:lineRule="auto"/>
              <w:jc w:val="center"/>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397FDCD">
            <w:pPr>
              <w:pStyle w:val="40"/>
              <w:pageBreakBefore w:val="0"/>
              <w:kinsoku/>
              <w:overflowPunct/>
              <w:topLinePunct w:val="0"/>
              <w:bidi w:val="0"/>
              <w:spacing w:line="312" w:lineRule="auto"/>
              <w:jc w:val="center"/>
              <w:textAlignment w:val="auto"/>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rPr>
              <w:t>项目</w:t>
            </w:r>
            <w:r>
              <w:rPr>
                <w:rFonts w:hint="eastAsia" w:asciiTheme="minorEastAsia" w:hAnsiTheme="minorEastAsia" w:eastAsiaTheme="minorEastAsia" w:cstheme="minorEastAsia"/>
                <w:b/>
                <w:bCs/>
                <w:color w:val="auto"/>
                <w:szCs w:val="21"/>
                <w:highlight w:val="none"/>
                <w:lang w:val="en-US" w:eastAsia="zh-CN"/>
              </w:rPr>
              <w:t>类型</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D9D1A9C">
            <w:pPr>
              <w:pStyle w:val="40"/>
              <w:pageBreakBefore w:val="0"/>
              <w:kinsoku/>
              <w:overflowPunct/>
              <w:topLinePunct w:val="0"/>
              <w:bidi w:val="0"/>
              <w:spacing w:line="312" w:lineRule="auto"/>
              <w:jc w:val="center"/>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16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C237D7A">
            <w:pPr>
              <w:pStyle w:val="40"/>
              <w:pageBreakBefore w:val="0"/>
              <w:kinsoku/>
              <w:overflowPunct/>
              <w:topLinePunct w:val="0"/>
              <w:bidi w:val="0"/>
              <w:spacing w:line="312" w:lineRule="auto"/>
              <w:jc w:val="center"/>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合同签订</w:t>
            </w:r>
            <w:r>
              <w:rPr>
                <w:rFonts w:hint="eastAsia" w:asciiTheme="minorEastAsia" w:hAnsiTheme="minorEastAsia" w:eastAsiaTheme="minorEastAsia" w:cstheme="minorEastAsia"/>
                <w:b/>
                <w:bCs/>
                <w:color w:val="auto"/>
                <w:szCs w:val="21"/>
                <w:highlight w:val="none"/>
              </w:rPr>
              <w:t>时间</w:t>
            </w:r>
          </w:p>
        </w:tc>
        <w:tc>
          <w:tcPr>
            <w:tcW w:w="142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A69BE80">
            <w:pPr>
              <w:pStyle w:val="40"/>
              <w:pageBreakBefore w:val="0"/>
              <w:kinsoku/>
              <w:overflowPunct/>
              <w:topLinePunct w:val="0"/>
              <w:bidi w:val="0"/>
              <w:spacing w:line="312" w:lineRule="auto"/>
              <w:jc w:val="center"/>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CAC34E">
            <w:pPr>
              <w:pStyle w:val="40"/>
              <w:pageBreakBefore w:val="0"/>
              <w:kinsoku/>
              <w:overflowPunct/>
              <w:topLinePunct w:val="0"/>
              <w:bidi w:val="0"/>
              <w:spacing w:line="312" w:lineRule="auto"/>
              <w:jc w:val="center"/>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52236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25D5B7">
            <w:pPr>
              <w:pStyle w:val="40"/>
              <w:pageBreakBefore w:val="0"/>
              <w:kinsoku/>
              <w:overflowPunct/>
              <w:topLinePunct w:val="0"/>
              <w:bidi w:val="0"/>
              <w:spacing w:line="312" w:lineRule="auto"/>
              <w:jc w:val="center"/>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F9C9FD">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7810A8">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DBADEE">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16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B7FC2F">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42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CDE0A9">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4758FF">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r>
      <w:tr w14:paraId="54221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E1D5A0A">
            <w:pPr>
              <w:pStyle w:val="40"/>
              <w:pageBreakBefore w:val="0"/>
              <w:kinsoku/>
              <w:overflowPunct/>
              <w:topLinePunct w:val="0"/>
              <w:bidi w:val="0"/>
              <w:spacing w:line="312" w:lineRule="auto"/>
              <w:jc w:val="center"/>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269E90">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9A1EC4">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B42DE9">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16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EEB0B4">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42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CE0EFD9">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C3D1CA">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r>
      <w:tr w14:paraId="21D6E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A8E159">
            <w:pPr>
              <w:pStyle w:val="40"/>
              <w:pageBreakBefore w:val="0"/>
              <w:kinsoku/>
              <w:overflowPunct/>
              <w:topLinePunct w:val="0"/>
              <w:bidi w:val="0"/>
              <w:spacing w:line="312" w:lineRule="auto"/>
              <w:jc w:val="center"/>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809103">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16F977">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B1D3A3">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16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D647C3">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42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C7868A">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931697">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r>
      <w:tr w14:paraId="2E92D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38A6A1">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9BED19">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F2059A">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1E1FB2">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16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FD0AAC">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42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791B09">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8749E3">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r>
      <w:tr w14:paraId="0E72D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A3997D">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DEA282">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437975">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A9F86A">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16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28D56D">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42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DC2555">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96A8F9">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r>
      <w:tr w14:paraId="6683B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94E85D">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47FF7D8">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A15226">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C9AD93">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16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2F878B">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42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75E692">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37C68D">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r>
      <w:tr w14:paraId="2B8EB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F10024">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C24757">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4D59CB">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5BEAE3">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16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FED835">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42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014B7F">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634088">
            <w:pPr>
              <w:pStyle w:val="40"/>
              <w:pageBreakBefore w:val="0"/>
              <w:kinsoku/>
              <w:overflowPunct/>
              <w:topLinePunct w:val="0"/>
              <w:bidi w:val="0"/>
              <w:spacing w:line="312" w:lineRule="auto"/>
              <w:textAlignment w:val="auto"/>
              <w:rPr>
                <w:rFonts w:asciiTheme="minorEastAsia" w:hAnsiTheme="minorEastAsia" w:eastAsiaTheme="minorEastAsia" w:cstheme="minorEastAsia"/>
                <w:color w:val="auto"/>
                <w:szCs w:val="21"/>
                <w:highlight w:val="none"/>
              </w:rPr>
            </w:pPr>
          </w:p>
        </w:tc>
      </w:tr>
    </w:tbl>
    <w:p w14:paraId="676908B3">
      <w:pPr>
        <w:pageBreakBefore w:val="0"/>
        <w:kinsoku/>
        <w:overflowPunct/>
        <w:topLinePunct w:val="0"/>
        <w:autoSpaceDE w:val="0"/>
        <w:autoSpaceDN w:val="0"/>
        <w:bidi w:val="0"/>
        <w:adjustRightInd w:val="0"/>
        <w:spacing w:beforeLines="50" w:line="312" w:lineRule="auto"/>
        <w:textAlignment w:val="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4B13C156">
      <w:pPr>
        <w:pageBreakBefore w:val="0"/>
        <w:kinsoku/>
        <w:overflowPunct/>
        <w:topLinePunct w:val="0"/>
        <w:autoSpaceDE w:val="0"/>
        <w:autoSpaceDN w:val="0"/>
        <w:bidi w:val="0"/>
        <w:adjustRightInd w:val="0"/>
        <w:spacing w:beforeLines="50" w:line="312" w:lineRule="auto"/>
        <w:ind w:firstLine="420" w:firstLineChars="200"/>
        <w:textAlignment w:val="auto"/>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可只提供首页、含金额页、盖章页并加盖供应商公章</w:t>
      </w:r>
      <w:r>
        <w:rPr>
          <w:rFonts w:ascii="宋体" w:hAnsi="宋体" w:cs="Arial"/>
          <w:color w:val="auto"/>
          <w:szCs w:val="21"/>
          <w:highlight w:val="none"/>
        </w:rPr>
        <w:t>）</w:t>
      </w:r>
      <w:r>
        <w:rPr>
          <w:rFonts w:hint="eastAsia" w:ascii="宋体" w:hAnsi="宋体" w:cs="Arial"/>
          <w:color w:val="auto"/>
          <w:szCs w:val="21"/>
          <w:highlight w:val="none"/>
        </w:rPr>
        <w:t>。</w:t>
      </w:r>
    </w:p>
    <w:p w14:paraId="41216D8B">
      <w:pPr>
        <w:pageBreakBefore w:val="0"/>
        <w:kinsoku/>
        <w:overflowPunct/>
        <w:topLinePunct w:val="0"/>
        <w:bidi w:val="0"/>
        <w:spacing w:line="312" w:lineRule="auto"/>
        <w:ind w:firstLine="424" w:firstLineChars="202"/>
        <w:jc w:val="left"/>
        <w:textAlignment w:val="auto"/>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7A05EF1F">
      <w:pPr>
        <w:pageBreakBefore w:val="0"/>
        <w:kinsoku/>
        <w:overflowPunct/>
        <w:topLinePunct w:val="0"/>
        <w:bidi w:val="0"/>
        <w:spacing w:line="312" w:lineRule="auto"/>
        <w:textAlignment w:val="auto"/>
        <w:rPr>
          <w:rFonts w:ascii="宋体" w:hAnsi="宋体"/>
          <w:color w:val="auto"/>
          <w:sz w:val="22"/>
          <w:szCs w:val="22"/>
          <w:highlight w:val="none"/>
        </w:rPr>
      </w:pPr>
    </w:p>
    <w:p w14:paraId="2CB0B3EB">
      <w:pPr>
        <w:pStyle w:val="23"/>
        <w:pageBreakBefore w:val="0"/>
        <w:kinsoku/>
        <w:overflowPunct/>
        <w:topLinePunct w:val="0"/>
        <w:bidi w:val="0"/>
        <w:spacing w:line="312" w:lineRule="auto"/>
        <w:textAlignment w:val="auto"/>
        <w:rPr>
          <w:color w:val="auto"/>
          <w:highlight w:val="none"/>
        </w:rPr>
      </w:pPr>
    </w:p>
    <w:p w14:paraId="322C322D">
      <w:pPr>
        <w:pageBreakBefore w:val="0"/>
        <w:kinsoku/>
        <w:overflowPunct/>
        <w:topLinePunct w:val="0"/>
        <w:bidi w:val="0"/>
        <w:spacing w:line="312" w:lineRule="auto"/>
        <w:ind w:left="420"/>
        <w:textAlignment w:val="auto"/>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14:paraId="46DAE901">
      <w:pPr>
        <w:pageBreakBefore w:val="0"/>
        <w:kinsoku/>
        <w:overflowPunct/>
        <w:topLinePunct w:val="0"/>
        <w:bidi w:val="0"/>
        <w:spacing w:line="312" w:lineRule="auto"/>
        <w:ind w:left="420"/>
        <w:textAlignment w:val="auto"/>
        <w:rPr>
          <w:rFonts w:ascii="宋体" w:hAnsi="宋体"/>
          <w:color w:val="auto"/>
          <w:sz w:val="24"/>
          <w:highlight w:val="none"/>
        </w:rPr>
      </w:pPr>
    </w:p>
    <w:p w14:paraId="322B7F98">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hAnsi="宋体"/>
          <w:color w:val="auto"/>
          <w:sz w:val="24"/>
          <w:highlight w:val="none"/>
        </w:rPr>
        <w:t>：</w:t>
      </w:r>
    </w:p>
    <w:p w14:paraId="1ACDADCA">
      <w:pPr>
        <w:pageBreakBefore w:val="0"/>
        <w:kinsoku/>
        <w:overflowPunct/>
        <w:topLinePunct w:val="0"/>
        <w:bidi w:val="0"/>
        <w:spacing w:line="312" w:lineRule="auto"/>
        <w:ind w:firstLine="435"/>
        <w:textAlignment w:val="auto"/>
        <w:rPr>
          <w:rFonts w:ascii="宋体" w:hAnsi="宋体"/>
          <w:color w:val="auto"/>
          <w:sz w:val="24"/>
          <w:highlight w:val="none"/>
        </w:rPr>
      </w:pPr>
    </w:p>
    <w:p w14:paraId="7E43CCB3">
      <w:pPr>
        <w:pageBreakBefore w:val="0"/>
        <w:kinsoku/>
        <w:overflowPunct/>
        <w:topLinePunct w:val="0"/>
        <w:bidi w:val="0"/>
        <w:spacing w:line="312" w:lineRule="auto"/>
        <w:ind w:firstLine="435"/>
        <w:textAlignment w:val="auto"/>
        <w:rPr>
          <w:rFonts w:ascii="宋体" w:hAnsi="宋体"/>
          <w:color w:val="auto"/>
          <w:sz w:val="24"/>
          <w:highlight w:val="none"/>
          <w:u w:val="single"/>
        </w:rPr>
      </w:pPr>
      <w:r>
        <w:rPr>
          <w:rFonts w:hint="eastAsia" w:ascii="宋体" w:hAnsi="宋体"/>
          <w:color w:val="auto"/>
          <w:sz w:val="24"/>
          <w:highlight w:val="none"/>
        </w:rPr>
        <w:t>职        务：</w:t>
      </w:r>
    </w:p>
    <w:p w14:paraId="61C4CC46">
      <w:pPr>
        <w:pageBreakBefore w:val="0"/>
        <w:kinsoku/>
        <w:overflowPunct/>
        <w:topLinePunct w:val="0"/>
        <w:bidi w:val="0"/>
        <w:spacing w:line="312" w:lineRule="auto"/>
        <w:textAlignment w:val="auto"/>
        <w:rPr>
          <w:rFonts w:ascii="宋体" w:hAnsi="宋体"/>
          <w:color w:val="auto"/>
          <w:sz w:val="24"/>
          <w:highlight w:val="none"/>
        </w:rPr>
      </w:pPr>
    </w:p>
    <w:p w14:paraId="7B0F5ACF">
      <w:pPr>
        <w:pStyle w:val="37"/>
        <w:pageBreakBefore w:val="0"/>
        <w:shd w:val="clear" w:color="auto" w:fill="FFFFFF"/>
        <w:kinsoku/>
        <w:overflowPunct/>
        <w:topLinePunct w:val="0"/>
        <w:bidi w:val="0"/>
        <w:spacing w:before="0" w:beforeAutospacing="0" w:after="0" w:afterAutospacing="0" w:line="312" w:lineRule="auto"/>
        <w:ind w:firstLine="424" w:firstLineChars="177"/>
        <w:textAlignment w:val="auto"/>
        <w:rPr>
          <w:b/>
          <w:bCs/>
          <w:color w:val="auto"/>
          <w:spacing w:val="11"/>
          <w:highlight w:val="none"/>
        </w:rPr>
      </w:pPr>
      <w:r>
        <w:rPr>
          <w:rFonts w:hint="eastAsia"/>
          <w:color w:val="auto"/>
          <w:highlight w:val="none"/>
        </w:rPr>
        <w:t>日        期：</w:t>
      </w:r>
    </w:p>
    <w:p w14:paraId="7CE752E5">
      <w:pPr>
        <w:pageBreakBefore w:val="0"/>
        <w:kinsoku/>
        <w:overflowPunct/>
        <w:topLinePunct w:val="0"/>
        <w:bidi w:val="0"/>
        <w:spacing w:line="312" w:lineRule="auto"/>
        <w:textAlignment w:val="auto"/>
        <w:rPr>
          <w:rFonts w:ascii="宋体" w:hAnsi="宋体"/>
          <w:b/>
          <w:color w:val="auto"/>
          <w:sz w:val="28"/>
          <w:highlight w:val="none"/>
        </w:rPr>
      </w:pPr>
    </w:p>
    <w:p w14:paraId="2BBA10D4">
      <w:pPr>
        <w:pageBreakBefore w:val="0"/>
        <w:kinsoku/>
        <w:overflowPunct/>
        <w:topLinePunct w:val="0"/>
        <w:bidi w:val="0"/>
        <w:spacing w:line="312" w:lineRule="auto"/>
        <w:textAlignment w:val="auto"/>
        <w:rPr>
          <w:rFonts w:ascii="宋体" w:hAnsi="宋体"/>
          <w:b/>
          <w:color w:val="auto"/>
          <w:sz w:val="28"/>
          <w:highlight w:val="none"/>
        </w:rPr>
      </w:pPr>
    </w:p>
    <w:p w14:paraId="3BEFC631">
      <w:pPr>
        <w:pageBreakBefore w:val="0"/>
        <w:kinsoku/>
        <w:overflowPunct/>
        <w:topLinePunct w:val="0"/>
        <w:bidi w:val="0"/>
        <w:spacing w:line="312" w:lineRule="auto"/>
        <w:textAlignment w:val="auto"/>
        <w:rPr>
          <w:rFonts w:ascii="宋体" w:hAnsi="宋体"/>
          <w:b/>
          <w:color w:val="auto"/>
          <w:sz w:val="28"/>
          <w:highlight w:val="none"/>
        </w:rPr>
      </w:pPr>
    </w:p>
    <w:p w14:paraId="2B33DA19">
      <w:pPr>
        <w:pageBreakBefore w:val="0"/>
        <w:kinsoku/>
        <w:overflowPunct/>
        <w:topLinePunct w:val="0"/>
        <w:bidi w:val="0"/>
        <w:spacing w:line="312" w:lineRule="auto"/>
        <w:textAlignment w:val="auto"/>
        <w:rPr>
          <w:rFonts w:ascii="宋体" w:hAnsi="宋体"/>
          <w:b/>
          <w:color w:val="auto"/>
          <w:sz w:val="28"/>
          <w:highlight w:val="none"/>
        </w:rPr>
      </w:pPr>
    </w:p>
    <w:p w14:paraId="546CA34A">
      <w:pPr>
        <w:pageBreakBefore w:val="0"/>
        <w:kinsoku/>
        <w:overflowPunct/>
        <w:topLinePunct w:val="0"/>
        <w:bidi w:val="0"/>
        <w:spacing w:line="312" w:lineRule="auto"/>
        <w:textAlignment w:val="auto"/>
        <w:rPr>
          <w:rFonts w:ascii="宋体" w:hAnsi="宋体"/>
          <w:b/>
          <w:color w:val="auto"/>
          <w:sz w:val="28"/>
          <w:highlight w:val="none"/>
        </w:rPr>
      </w:pPr>
    </w:p>
    <w:p w14:paraId="2C46FBE8">
      <w:pPr>
        <w:pageBreakBefore w:val="0"/>
        <w:kinsoku/>
        <w:overflowPunct/>
        <w:topLinePunct w:val="0"/>
        <w:bidi w:val="0"/>
        <w:spacing w:line="312" w:lineRule="auto"/>
        <w:jc w:val="center"/>
        <w:textAlignment w:val="auto"/>
        <w:rPr>
          <w:color w:val="auto"/>
          <w:sz w:val="52"/>
          <w:szCs w:val="52"/>
          <w:highlight w:val="none"/>
        </w:rPr>
      </w:pPr>
      <w:r>
        <w:rPr>
          <w:rFonts w:hint="eastAsia"/>
          <w:color w:val="auto"/>
          <w:sz w:val="52"/>
          <w:szCs w:val="52"/>
          <w:highlight w:val="none"/>
        </w:rPr>
        <w:t>项目名称</w:t>
      </w:r>
    </w:p>
    <w:p w14:paraId="146EC83B">
      <w:pPr>
        <w:pageBreakBefore w:val="0"/>
        <w:kinsoku/>
        <w:overflowPunct/>
        <w:topLinePunct w:val="0"/>
        <w:bidi w:val="0"/>
        <w:spacing w:beforeLines="100" w:line="312" w:lineRule="auto"/>
        <w:ind w:right="-108"/>
        <w:jc w:val="center"/>
        <w:textAlignment w:val="auto"/>
        <w:rPr>
          <w:rFonts w:ascii="宋体" w:hAnsi="宋体"/>
          <w:color w:val="auto"/>
          <w:sz w:val="36"/>
          <w:szCs w:val="36"/>
          <w:highlight w:val="none"/>
        </w:rPr>
      </w:pPr>
      <w:r>
        <w:rPr>
          <w:rFonts w:hint="eastAsia" w:ascii="宋体" w:hAnsi="宋体"/>
          <w:color w:val="auto"/>
          <w:sz w:val="36"/>
          <w:szCs w:val="36"/>
          <w:highlight w:val="none"/>
        </w:rPr>
        <w:t>项目编号：（标项）</w:t>
      </w:r>
    </w:p>
    <w:p w14:paraId="3E11384B">
      <w:pPr>
        <w:pStyle w:val="23"/>
        <w:pageBreakBefore w:val="0"/>
        <w:kinsoku/>
        <w:overflowPunct/>
        <w:topLinePunct w:val="0"/>
        <w:bidi w:val="0"/>
        <w:spacing w:line="312" w:lineRule="auto"/>
        <w:textAlignment w:val="auto"/>
        <w:rPr>
          <w:color w:val="auto"/>
          <w:highlight w:val="none"/>
        </w:rPr>
      </w:pPr>
    </w:p>
    <w:p w14:paraId="1E1538D8">
      <w:pPr>
        <w:pageBreakBefore w:val="0"/>
        <w:kinsoku/>
        <w:overflowPunct/>
        <w:topLinePunct w:val="0"/>
        <w:bidi w:val="0"/>
        <w:spacing w:line="312" w:lineRule="auto"/>
        <w:jc w:val="center"/>
        <w:textAlignment w:val="auto"/>
        <w:rPr>
          <w:color w:val="auto"/>
          <w:sz w:val="84"/>
          <w:szCs w:val="84"/>
          <w:highlight w:val="none"/>
        </w:rPr>
      </w:pPr>
      <w:bookmarkStart w:id="162" w:name="_Toc8885_WPSOffice_Level1"/>
      <w:bookmarkStart w:id="163" w:name="_Toc9453_WPSOffice_Level1"/>
      <w:r>
        <w:rPr>
          <w:rFonts w:hint="eastAsia"/>
          <w:color w:val="auto"/>
          <w:sz w:val="84"/>
          <w:szCs w:val="84"/>
          <w:highlight w:val="none"/>
        </w:rPr>
        <w:t>报</w:t>
      </w:r>
      <w:bookmarkEnd w:id="162"/>
      <w:bookmarkEnd w:id="163"/>
    </w:p>
    <w:p w14:paraId="7FFFD6A6">
      <w:pPr>
        <w:pageBreakBefore w:val="0"/>
        <w:kinsoku/>
        <w:overflowPunct/>
        <w:topLinePunct w:val="0"/>
        <w:bidi w:val="0"/>
        <w:spacing w:line="312" w:lineRule="auto"/>
        <w:jc w:val="center"/>
        <w:textAlignment w:val="auto"/>
        <w:rPr>
          <w:color w:val="auto"/>
          <w:sz w:val="84"/>
          <w:szCs w:val="84"/>
          <w:highlight w:val="none"/>
        </w:rPr>
      </w:pPr>
      <w:bookmarkStart w:id="164" w:name="_Toc7485_WPSOffice_Level1"/>
      <w:bookmarkStart w:id="165" w:name="_Toc10910_WPSOffice_Level1"/>
      <w:r>
        <w:rPr>
          <w:rFonts w:hint="eastAsia"/>
          <w:color w:val="auto"/>
          <w:sz w:val="84"/>
          <w:szCs w:val="84"/>
          <w:highlight w:val="none"/>
        </w:rPr>
        <w:t>价</w:t>
      </w:r>
      <w:bookmarkEnd w:id="164"/>
      <w:bookmarkEnd w:id="165"/>
    </w:p>
    <w:p w14:paraId="5A3AB6B8">
      <w:pPr>
        <w:pageBreakBefore w:val="0"/>
        <w:kinsoku/>
        <w:overflowPunct/>
        <w:topLinePunct w:val="0"/>
        <w:bidi w:val="0"/>
        <w:spacing w:line="312" w:lineRule="auto"/>
        <w:jc w:val="center"/>
        <w:textAlignment w:val="auto"/>
        <w:rPr>
          <w:color w:val="auto"/>
          <w:sz w:val="84"/>
          <w:szCs w:val="84"/>
          <w:highlight w:val="none"/>
        </w:rPr>
      </w:pPr>
      <w:bookmarkStart w:id="166" w:name="_Toc3932_WPSOffice_Level1"/>
      <w:bookmarkStart w:id="167" w:name="_Toc14572_WPSOffice_Level1"/>
      <w:r>
        <w:rPr>
          <w:rFonts w:hint="eastAsia"/>
          <w:color w:val="auto"/>
          <w:sz w:val="84"/>
          <w:szCs w:val="84"/>
          <w:highlight w:val="none"/>
        </w:rPr>
        <w:t>文</w:t>
      </w:r>
      <w:bookmarkEnd w:id="166"/>
      <w:bookmarkEnd w:id="167"/>
    </w:p>
    <w:p w14:paraId="3F076A86">
      <w:pPr>
        <w:pageBreakBefore w:val="0"/>
        <w:kinsoku/>
        <w:overflowPunct/>
        <w:topLinePunct w:val="0"/>
        <w:bidi w:val="0"/>
        <w:spacing w:line="312" w:lineRule="auto"/>
        <w:jc w:val="center"/>
        <w:textAlignment w:val="auto"/>
        <w:rPr>
          <w:color w:val="auto"/>
          <w:sz w:val="84"/>
          <w:szCs w:val="84"/>
          <w:highlight w:val="none"/>
        </w:rPr>
      </w:pPr>
      <w:bookmarkStart w:id="168" w:name="_Toc16973_WPSOffice_Level1"/>
      <w:bookmarkStart w:id="169" w:name="_Toc7562_WPSOffice_Level1"/>
      <w:r>
        <w:rPr>
          <w:rFonts w:hint="eastAsia"/>
          <w:color w:val="auto"/>
          <w:sz w:val="84"/>
          <w:szCs w:val="84"/>
          <w:highlight w:val="none"/>
        </w:rPr>
        <w:t>件</w:t>
      </w:r>
      <w:bookmarkEnd w:id="168"/>
      <w:bookmarkEnd w:id="169"/>
    </w:p>
    <w:p w14:paraId="02FEC501">
      <w:pPr>
        <w:pageBreakBefore w:val="0"/>
        <w:kinsoku/>
        <w:overflowPunct/>
        <w:topLinePunct w:val="0"/>
        <w:bidi w:val="0"/>
        <w:spacing w:line="312" w:lineRule="auto"/>
        <w:ind w:right="532"/>
        <w:textAlignment w:val="auto"/>
        <w:rPr>
          <w:rFonts w:ascii="宋体" w:hAnsi="宋体"/>
          <w:color w:val="auto"/>
          <w:sz w:val="36"/>
          <w:szCs w:val="36"/>
          <w:highlight w:val="none"/>
        </w:rPr>
      </w:pPr>
    </w:p>
    <w:p w14:paraId="373322EA">
      <w:pPr>
        <w:pageBreakBefore w:val="0"/>
        <w:kinsoku/>
        <w:overflowPunct/>
        <w:topLinePunct w:val="0"/>
        <w:bidi w:val="0"/>
        <w:spacing w:line="312" w:lineRule="auto"/>
        <w:ind w:right="532"/>
        <w:jc w:val="center"/>
        <w:textAlignment w:val="auto"/>
        <w:rPr>
          <w:rFonts w:ascii="宋体" w:hAnsi="宋体"/>
          <w:color w:val="auto"/>
          <w:sz w:val="36"/>
          <w:szCs w:val="36"/>
          <w:highlight w:val="none"/>
        </w:rPr>
      </w:pPr>
    </w:p>
    <w:p w14:paraId="56D2E292">
      <w:pPr>
        <w:pageBreakBefore w:val="0"/>
        <w:kinsoku/>
        <w:overflowPunct/>
        <w:topLinePunct w:val="0"/>
        <w:bidi w:val="0"/>
        <w:spacing w:line="312" w:lineRule="auto"/>
        <w:ind w:right="532" w:firstLine="720" w:firstLineChars="200"/>
        <w:textAlignment w:val="auto"/>
        <w:rPr>
          <w:rFonts w:ascii="宋体" w:hAnsi="宋体"/>
          <w:color w:val="auto"/>
          <w:sz w:val="36"/>
          <w:szCs w:val="36"/>
          <w:highlight w:val="none"/>
        </w:rPr>
      </w:pPr>
      <w:bookmarkStart w:id="170" w:name="_Toc26700_WPSOffice_Level1"/>
      <w:bookmarkStart w:id="171" w:name="_Toc4603_WPSOffice_Level1"/>
      <w:r>
        <w:rPr>
          <w:rFonts w:hint="eastAsia" w:ascii="宋体" w:hAnsi="宋体"/>
          <w:color w:val="auto"/>
          <w:sz w:val="36"/>
          <w:szCs w:val="36"/>
          <w:highlight w:val="none"/>
        </w:rPr>
        <w:t>供应商全称（电子印章）：</w:t>
      </w:r>
      <w:bookmarkEnd w:id="170"/>
      <w:bookmarkEnd w:id="171"/>
    </w:p>
    <w:p w14:paraId="30B662D8">
      <w:pPr>
        <w:pageBreakBefore w:val="0"/>
        <w:kinsoku/>
        <w:overflowPunct/>
        <w:topLinePunct w:val="0"/>
        <w:bidi w:val="0"/>
        <w:spacing w:line="312" w:lineRule="auto"/>
        <w:ind w:right="-108" w:firstLine="720" w:firstLineChars="200"/>
        <w:textAlignment w:val="auto"/>
        <w:rPr>
          <w:rFonts w:ascii="宋体" w:hAnsi="宋体"/>
          <w:color w:val="auto"/>
          <w:sz w:val="36"/>
          <w:szCs w:val="36"/>
          <w:highlight w:val="none"/>
        </w:rPr>
      </w:pPr>
      <w:bookmarkStart w:id="172" w:name="_Toc32593_WPSOffice_Level1"/>
      <w:bookmarkStart w:id="173" w:name="_Toc1391_WPSOffice_Level1"/>
      <w:r>
        <w:rPr>
          <w:rFonts w:hint="eastAsia" w:ascii="宋体" w:hAnsi="宋体"/>
          <w:color w:val="auto"/>
          <w:sz w:val="36"/>
          <w:szCs w:val="36"/>
          <w:highlight w:val="none"/>
        </w:rPr>
        <w:t>地    址：</w:t>
      </w:r>
      <w:bookmarkEnd w:id="172"/>
      <w:bookmarkEnd w:id="173"/>
    </w:p>
    <w:p w14:paraId="3FB8AC5D">
      <w:pPr>
        <w:pageBreakBefore w:val="0"/>
        <w:kinsoku/>
        <w:overflowPunct/>
        <w:topLinePunct w:val="0"/>
        <w:bidi w:val="0"/>
        <w:spacing w:line="312" w:lineRule="auto"/>
        <w:ind w:right="-108" w:firstLine="720" w:firstLineChars="200"/>
        <w:textAlignment w:val="auto"/>
        <w:rPr>
          <w:rFonts w:ascii="宋体" w:hAnsi="宋体"/>
          <w:color w:val="auto"/>
          <w:sz w:val="36"/>
          <w:szCs w:val="36"/>
          <w:highlight w:val="none"/>
        </w:rPr>
      </w:pPr>
      <w:bookmarkStart w:id="174" w:name="_Toc20938_WPSOffice_Level1"/>
      <w:bookmarkStart w:id="175" w:name="_Toc3791_WPSOffice_Level1"/>
      <w:r>
        <w:rPr>
          <w:rFonts w:hint="eastAsia" w:ascii="宋体" w:hAnsi="宋体"/>
          <w:color w:val="auto"/>
          <w:sz w:val="36"/>
          <w:szCs w:val="36"/>
          <w:highlight w:val="none"/>
        </w:rPr>
        <w:t>时    间：</w:t>
      </w:r>
      <w:bookmarkEnd w:id="174"/>
      <w:bookmarkEnd w:id="175"/>
    </w:p>
    <w:p w14:paraId="4213069F">
      <w:pPr>
        <w:pageBreakBefore w:val="0"/>
        <w:tabs>
          <w:tab w:val="left" w:pos="2460"/>
        </w:tabs>
        <w:kinsoku/>
        <w:overflowPunct/>
        <w:topLinePunct w:val="0"/>
        <w:bidi w:val="0"/>
        <w:spacing w:line="312" w:lineRule="auto"/>
        <w:ind w:firstLine="435"/>
        <w:textAlignment w:val="auto"/>
        <w:rPr>
          <w:rFonts w:ascii="宋体" w:hAnsi="宋体"/>
          <w:b/>
          <w:color w:val="auto"/>
          <w:sz w:val="28"/>
          <w:highlight w:val="none"/>
        </w:rPr>
      </w:pPr>
    </w:p>
    <w:p w14:paraId="79AA4D2C">
      <w:pPr>
        <w:pageBreakBefore w:val="0"/>
        <w:tabs>
          <w:tab w:val="left" w:pos="2460"/>
        </w:tabs>
        <w:kinsoku/>
        <w:overflowPunct/>
        <w:topLinePunct w:val="0"/>
        <w:bidi w:val="0"/>
        <w:spacing w:line="312" w:lineRule="auto"/>
        <w:ind w:firstLine="435"/>
        <w:textAlignment w:val="auto"/>
        <w:rPr>
          <w:rFonts w:ascii="宋体" w:hAnsi="宋体"/>
          <w:b/>
          <w:color w:val="auto"/>
          <w:sz w:val="28"/>
          <w:highlight w:val="none"/>
        </w:rPr>
      </w:pPr>
    </w:p>
    <w:p w14:paraId="09ED995E">
      <w:pPr>
        <w:pageBreakBefore w:val="0"/>
        <w:tabs>
          <w:tab w:val="left" w:pos="2460"/>
        </w:tabs>
        <w:kinsoku/>
        <w:overflowPunct/>
        <w:topLinePunct w:val="0"/>
        <w:bidi w:val="0"/>
        <w:spacing w:line="312" w:lineRule="auto"/>
        <w:ind w:firstLine="435"/>
        <w:textAlignment w:val="auto"/>
        <w:rPr>
          <w:rFonts w:ascii="宋体" w:hAnsi="宋体"/>
          <w:b/>
          <w:color w:val="auto"/>
          <w:sz w:val="28"/>
          <w:highlight w:val="none"/>
        </w:rPr>
      </w:pPr>
    </w:p>
    <w:p w14:paraId="1724BF36">
      <w:pPr>
        <w:pageBreakBefore w:val="0"/>
        <w:tabs>
          <w:tab w:val="left" w:pos="2460"/>
        </w:tabs>
        <w:kinsoku/>
        <w:overflowPunct/>
        <w:topLinePunct w:val="0"/>
        <w:bidi w:val="0"/>
        <w:spacing w:line="312" w:lineRule="auto"/>
        <w:ind w:firstLine="435"/>
        <w:textAlignment w:val="auto"/>
        <w:rPr>
          <w:rFonts w:ascii="宋体" w:hAnsi="宋体"/>
          <w:b/>
          <w:color w:val="auto"/>
          <w:sz w:val="28"/>
          <w:highlight w:val="none"/>
        </w:rPr>
      </w:pPr>
    </w:p>
    <w:p w14:paraId="14E4495A">
      <w:pPr>
        <w:pStyle w:val="6"/>
        <w:pageBreakBefore w:val="0"/>
        <w:kinsoku/>
        <w:overflowPunct/>
        <w:topLinePunct w:val="0"/>
        <w:bidi w:val="0"/>
        <w:spacing w:line="312" w:lineRule="auto"/>
        <w:textAlignment w:val="auto"/>
        <w:rPr>
          <w:rFonts w:ascii="宋体" w:hAnsi="宋体"/>
          <w:color w:val="auto"/>
          <w:sz w:val="24"/>
          <w:highlight w:val="none"/>
          <w:u w:val="single"/>
        </w:rPr>
      </w:pPr>
    </w:p>
    <w:p w14:paraId="3F3A99A5">
      <w:pPr>
        <w:pageBreakBefore w:val="0"/>
        <w:kinsoku/>
        <w:overflowPunct/>
        <w:topLinePunct w:val="0"/>
        <w:bidi w:val="0"/>
        <w:spacing w:line="312" w:lineRule="auto"/>
        <w:textAlignment w:val="auto"/>
        <w:rPr>
          <w:rFonts w:ascii="宋体" w:hAnsi="宋体"/>
          <w:b/>
          <w:color w:val="auto"/>
          <w:sz w:val="28"/>
          <w:highlight w:val="none"/>
        </w:rPr>
      </w:pPr>
    </w:p>
    <w:p w14:paraId="3CD06CED">
      <w:pPr>
        <w:pageBreakBefore w:val="0"/>
        <w:kinsoku/>
        <w:overflowPunct/>
        <w:topLinePunct w:val="0"/>
        <w:bidi w:val="0"/>
        <w:spacing w:line="312" w:lineRule="auto"/>
        <w:jc w:val="center"/>
        <w:textAlignment w:val="auto"/>
        <w:rPr>
          <w:b/>
          <w:bCs/>
          <w:color w:val="auto"/>
          <w:sz w:val="32"/>
          <w:szCs w:val="32"/>
          <w:highlight w:val="none"/>
        </w:rPr>
      </w:pPr>
      <w:bookmarkStart w:id="176" w:name="_Toc19972_WPSOffice_Level1"/>
      <w:bookmarkStart w:id="177" w:name="_Toc29537_WPSOffice_Level1"/>
      <w:r>
        <w:rPr>
          <w:rFonts w:hint="eastAsia"/>
          <w:b/>
          <w:bCs/>
          <w:color w:val="auto"/>
          <w:sz w:val="32"/>
          <w:szCs w:val="32"/>
          <w:highlight w:val="none"/>
        </w:rPr>
        <w:t>报价内容目录</w:t>
      </w:r>
      <w:bookmarkEnd w:id="176"/>
      <w:bookmarkEnd w:id="177"/>
    </w:p>
    <w:p w14:paraId="4A0A05DA">
      <w:pPr>
        <w:pageBreakBefore w:val="0"/>
        <w:kinsoku/>
        <w:overflowPunct/>
        <w:topLinePunct w:val="0"/>
        <w:bidi w:val="0"/>
        <w:spacing w:line="312" w:lineRule="auto"/>
        <w:textAlignment w:val="auto"/>
        <w:rPr>
          <w:color w:val="auto"/>
          <w:sz w:val="28"/>
          <w:szCs w:val="28"/>
          <w:highlight w:val="none"/>
        </w:rPr>
      </w:pPr>
    </w:p>
    <w:p w14:paraId="0A7A0336">
      <w:pPr>
        <w:pageBreakBefore w:val="0"/>
        <w:kinsoku/>
        <w:overflowPunct/>
        <w:topLinePunct w:val="0"/>
        <w:bidi w:val="0"/>
        <w:spacing w:line="312" w:lineRule="auto"/>
        <w:textAlignment w:val="auto"/>
        <w:rPr>
          <w:color w:val="auto"/>
          <w:sz w:val="28"/>
          <w:szCs w:val="28"/>
          <w:highlight w:val="none"/>
        </w:rPr>
      </w:pPr>
    </w:p>
    <w:p w14:paraId="1D6F346D">
      <w:pPr>
        <w:pageBreakBefore w:val="0"/>
        <w:kinsoku/>
        <w:overflowPunct/>
        <w:topLinePunct w:val="0"/>
        <w:autoSpaceDE w:val="0"/>
        <w:autoSpaceDN w:val="0"/>
        <w:bidi w:val="0"/>
        <w:adjustRightInd w:val="0"/>
        <w:spacing w:line="312" w:lineRule="auto"/>
        <w:ind w:firstLine="480" w:firstLineChars="200"/>
        <w:textAlignment w:val="auto"/>
        <w:rPr>
          <w:rFonts w:asciiTheme="minorEastAsia" w:hAnsiTheme="minorEastAsia" w:eastAsiaTheme="minorEastAsia"/>
          <w:color w:val="auto"/>
          <w:kern w:val="0"/>
          <w:sz w:val="24"/>
          <w:highlight w:val="none"/>
        </w:rPr>
      </w:pPr>
      <w:bookmarkStart w:id="178" w:name="_Toc29988_WPSOffice_Level1"/>
      <w:bookmarkStart w:id="179" w:name="_Toc6778_WPSOffice_Level1"/>
      <w:r>
        <w:rPr>
          <w:rFonts w:hint="eastAsia" w:asciiTheme="minorEastAsia" w:hAnsiTheme="minorEastAsia" w:eastAsiaTheme="minorEastAsia"/>
          <w:color w:val="auto"/>
          <w:kern w:val="0"/>
          <w:sz w:val="24"/>
          <w:highlight w:val="none"/>
        </w:rPr>
        <w:t>（1）首次磋商一览表（附件12）；</w:t>
      </w:r>
    </w:p>
    <w:p w14:paraId="1A0DD1EB">
      <w:pPr>
        <w:pageBreakBefore w:val="0"/>
        <w:kinsoku/>
        <w:overflowPunct/>
        <w:topLinePunct w:val="0"/>
        <w:autoSpaceDE w:val="0"/>
        <w:autoSpaceDN w:val="0"/>
        <w:bidi w:val="0"/>
        <w:adjustRightInd w:val="0"/>
        <w:spacing w:line="312" w:lineRule="auto"/>
        <w:ind w:firstLine="480" w:firstLineChars="200"/>
        <w:textAlignment w:val="auto"/>
        <w:rPr>
          <w:rFonts w:asciiTheme="minorEastAsia" w:hAnsiTheme="minorEastAsia" w:eastAsiaTheme="minorEastAsia"/>
          <w:color w:val="auto"/>
          <w:kern w:val="0"/>
          <w:sz w:val="24"/>
          <w:highlight w:val="none"/>
          <w:lang w:val="en-GB"/>
        </w:rPr>
      </w:pPr>
      <w:r>
        <w:rPr>
          <w:rFonts w:hint="eastAsia" w:asciiTheme="minorEastAsia" w:hAnsiTheme="minorEastAsia" w:eastAsiaTheme="minorEastAsia"/>
          <w:color w:val="auto"/>
          <w:kern w:val="0"/>
          <w:sz w:val="24"/>
          <w:highlight w:val="none"/>
        </w:rPr>
        <w:t>（2）中小企业、</w:t>
      </w:r>
      <w:r>
        <w:rPr>
          <w:rFonts w:hint="eastAsia" w:asciiTheme="minorEastAsia" w:hAnsiTheme="minorEastAsia" w:eastAsiaTheme="minorEastAsia"/>
          <w:color w:val="auto"/>
          <w:kern w:val="0"/>
          <w:sz w:val="24"/>
          <w:highlight w:val="none"/>
          <w:lang w:val="en-GB"/>
        </w:rPr>
        <w:t>残疾人福利性单位、监狱企业</w:t>
      </w:r>
      <w:r>
        <w:rPr>
          <w:rFonts w:hint="eastAsia" w:asciiTheme="minorEastAsia" w:hAnsiTheme="minorEastAsia" w:eastAsiaTheme="minorEastAsia"/>
          <w:color w:val="auto"/>
          <w:kern w:val="0"/>
          <w:sz w:val="24"/>
          <w:highlight w:val="none"/>
        </w:rPr>
        <w:t>等声明函（附件13）；</w:t>
      </w:r>
    </w:p>
    <w:p w14:paraId="33CD5D59">
      <w:pPr>
        <w:pageBreakBefore w:val="0"/>
        <w:kinsoku/>
        <w:overflowPunct/>
        <w:topLinePunct w:val="0"/>
        <w:autoSpaceDE w:val="0"/>
        <w:autoSpaceDN w:val="0"/>
        <w:bidi w:val="0"/>
        <w:adjustRightInd w:val="0"/>
        <w:spacing w:line="312" w:lineRule="auto"/>
        <w:ind w:firstLine="480"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（3）针对报价供应商认为其他需要说明的。</w:t>
      </w:r>
    </w:p>
    <w:bookmarkEnd w:id="178"/>
    <w:bookmarkEnd w:id="179"/>
    <w:p w14:paraId="6E5E15FE">
      <w:pPr>
        <w:pageBreakBefore w:val="0"/>
        <w:kinsoku/>
        <w:overflowPunct/>
        <w:topLinePunct w:val="0"/>
        <w:bidi w:val="0"/>
        <w:spacing w:line="312" w:lineRule="auto"/>
        <w:ind w:firstLine="480" w:firstLineChars="200"/>
        <w:textAlignment w:val="auto"/>
        <w:rPr>
          <w:color w:val="auto"/>
          <w:sz w:val="24"/>
          <w:highlight w:val="none"/>
        </w:rPr>
      </w:pPr>
    </w:p>
    <w:p w14:paraId="1F6760DE">
      <w:pPr>
        <w:pageBreakBefore w:val="0"/>
        <w:kinsoku/>
        <w:overflowPunct/>
        <w:topLinePunct w:val="0"/>
        <w:bidi w:val="0"/>
        <w:spacing w:line="312" w:lineRule="auto"/>
        <w:ind w:firstLine="482" w:firstLineChars="200"/>
        <w:textAlignment w:val="auto"/>
        <w:rPr>
          <w:rFonts w:ascii="宋体" w:hAnsi="宋体"/>
          <w:b/>
          <w:color w:val="auto"/>
          <w:sz w:val="24"/>
          <w:highlight w:val="none"/>
        </w:rPr>
      </w:pPr>
    </w:p>
    <w:p w14:paraId="693F0B29">
      <w:pPr>
        <w:pageBreakBefore w:val="0"/>
        <w:kinsoku/>
        <w:overflowPunct/>
        <w:topLinePunct w:val="0"/>
        <w:bidi w:val="0"/>
        <w:spacing w:line="312" w:lineRule="auto"/>
        <w:ind w:left="480"/>
        <w:textAlignment w:val="auto"/>
        <w:rPr>
          <w:rFonts w:ascii="宋体" w:hAnsi="宋体"/>
          <w:b/>
          <w:color w:val="auto"/>
          <w:sz w:val="28"/>
          <w:highlight w:val="none"/>
        </w:rPr>
      </w:pPr>
    </w:p>
    <w:p w14:paraId="51A43DA1">
      <w:pPr>
        <w:pageBreakBefore w:val="0"/>
        <w:kinsoku/>
        <w:overflowPunct/>
        <w:topLinePunct w:val="0"/>
        <w:bidi w:val="0"/>
        <w:spacing w:line="312" w:lineRule="auto"/>
        <w:ind w:left="480"/>
        <w:textAlignment w:val="auto"/>
        <w:rPr>
          <w:rFonts w:ascii="宋体" w:hAnsi="宋体"/>
          <w:b/>
          <w:color w:val="auto"/>
          <w:sz w:val="28"/>
          <w:highlight w:val="none"/>
        </w:rPr>
      </w:pPr>
    </w:p>
    <w:p w14:paraId="1976DD69">
      <w:pPr>
        <w:pageBreakBefore w:val="0"/>
        <w:kinsoku/>
        <w:overflowPunct/>
        <w:topLinePunct w:val="0"/>
        <w:bidi w:val="0"/>
        <w:spacing w:line="312" w:lineRule="auto"/>
        <w:ind w:left="480"/>
        <w:textAlignment w:val="auto"/>
        <w:rPr>
          <w:rFonts w:ascii="宋体" w:hAnsi="宋体"/>
          <w:b/>
          <w:color w:val="auto"/>
          <w:sz w:val="28"/>
          <w:highlight w:val="none"/>
        </w:rPr>
      </w:pPr>
    </w:p>
    <w:p w14:paraId="7E1127D8">
      <w:pPr>
        <w:pageBreakBefore w:val="0"/>
        <w:kinsoku/>
        <w:overflowPunct/>
        <w:topLinePunct w:val="0"/>
        <w:bidi w:val="0"/>
        <w:spacing w:line="312" w:lineRule="auto"/>
        <w:ind w:left="480"/>
        <w:textAlignment w:val="auto"/>
        <w:rPr>
          <w:rFonts w:ascii="宋体" w:hAnsi="宋体"/>
          <w:b/>
          <w:color w:val="auto"/>
          <w:sz w:val="28"/>
          <w:highlight w:val="none"/>
        </w:rPr>
      </w:pPr>
    </w:p>
    <w:p w14:paraId="118E74EB">
      <w:pPr>
        <w:pageBreakBefore w:val="0"/>
        <w:kinsoku/>
        <w:overflowPunct/>
        <w:topLinePunct w:val="0"/>
        <w:bidi w:val="0"/>
        <w:spacing w:line="312" w:lineRule="auto"/>
        <w:ind w:left="480"/>
        <w:textAlignment w:val="auto"/>
        <w:rPr>
          <w:rFonts w:ascii="宋体" w:hAnsi="宋体"/>
          <w:b/>
          <w:color w:val="auto"/>
          <w:sz w:val="28"/>
          <w:highlight w:val="none"/>
        </w:rPr>
      </w:pPr>
    </w:p>
    <w:p w14:paraId="665ACA8E">
      <w:pPr>
        <w:pageBreakBefore w:val="0"/>
        <w:kinsoku/>
        <w:overflowPunct/>
        <w:topLinePunct w:val="0"/>
        <w:bidi w:val="0"/>
        <w:spacing w:line="312" w:lineRule="auto"/>
        <w:ind w:left="480"/>
        <w:textAlignment w:val="auto"/>
        <w:rPr>
          <w:rFonts w:ascii="宋体" w:hAnsi="宋体"/>
          <w:b/>
          <w:color w:val="auto"/>
          <w:sz w:val="28"/>
          <w:highlight w:val="none"/>
        </w:rPr>
      </w:pPr>
    </w:p>
    <w:p w14:paraId="245E60DA">
      <w:pPr>
        <w:pageBreakBefore w:val="0"/>
        <w:kinsoku/>
        <w:overflowPunct/>
        <w:topLinePunct w:val="0"/>
        <w:bidi w:val="0"/>
        <w:spacing w:line="312" w:lineRule="auto"/>
        <w:ind w:left="480"/>
        <w:textAlignment w:val="auto"/>
        <w:rPr>
          <w:rFonts w:ascii="宋体" w:hAnsi="宋体"/>
          <w:b/>
          <w:color w:val="auto"/>
          <w:sz w:val="28"/>
          <w:highlight w:val="none"/>
        </w:rPr>
      </w:pPr>
    </w:p>
    <w:p w14:paraId="4839A7A3">
      <w:pPr>
        <w:pageBreakBefore w:val="0"/>
        <w:kinsoku/>
        <w:overflowPunct/>
        <w:topLinePunct w:val="0"/>
        <w:bidi w:val="0"/>
        <w:spacing w:line="312" w:lineRule="auto"/>
        <w:ind w:left="480"/>
        <w:textAlignment w:val="auto"/>
        <w:rPr>
          <w:rFonts w:ascii="宋体" w:hAnsi="宋体"/>
          <w:b/>
          <w:color w:val="auto"/>
          <w:sz w:val="28"/>
          <w:highlight w:val="none"/>
        </w:rPr>
      </w:pPr>
    </w:p>
    <w:p w14:paraId="21B7421B">
      <w:pPr>
        <w:pageBreakBefore w:val="0"/>
        <w:kinsoku/>
        <w:overflowPunct/>
        <w:topLinePunct w:val="0"/>
        <w:bidi w:val="0"/>
        <w:spacing w:line="312" w:lineRule="auto"/>
        <w:ind w:left="480"/>
        <w:textAlignment w:val="auto"/>
        <w:rPr>
          <w:rFonts w:ascii="宋体" w:hAnsi="宋体"/>
          <w:b/>
          <w:color w:val="auto"/>
          <w:sz w:val="28"/>
          <w:highlight w:val="none"/>
        </w:rPr>
      </w:pPr>
    </w:p>
    <w:p w14:paraId="15859B8F">
      <w:pPr>
        <w:pageBreakBefore w:val="0"/>
        <w:kinsoku/>
        <w:overflowPunct/>
        <w:topLinePunct w:val="0"/>
        <w:bidi w:val="0"/>
        <w:spacing w:line="312" w:lineRule="auto"/>
        <w:ind w:left="480"/>
        <w:textAlignment w:val="auto"/>
        <w:rPr>
          <w:rFonts w:ascii="宋体" w:hAnsi="宋体"/>
          <w:b/>
          <w:color w:val="auto"/>
          <w:sz w:val="28"/>
          <w:highlight w:val="none"/>
        </w:rPr>
      </w:pPr>
    </w:p>
    <w:p w14:paraId="25790373">
      <w:pPr>
        <w:pageBreakBefore w:val="0"/>
        <w:kinsoku/>
        <w:overflowPunct/>
        <w:topLinePunct w:val="0"/>
        <w:bidi w:val="0"/>
        <w:spacing w:line="312" w:lineRule="auto"/>
        <w:ind w:left="480"/>
        <w:textAlignment w:val="auto"/>
        <w:rPr>
          <w:rFonts w:ascii="宋体" w:hAnsi="宋体"/>
          <w:b/>
          <w:color w:val="auto"/>
          <w:sz w:val="28"/>
          <w:highlight w:val="none"/>
        </w:rPr>
      </w:pPr>
    </w:p>
    <w:p w14:paraId="0FA3DA71">
      <w:pPr>
        <w:pageBreakBefore w:val="0"/>
        <w:kinsoku/>
        <w:overflowPunct/>
        <w:topLinePunct w:val="0"/>
        <w:bidi w:val="0"/>
        <w:spacing w:line="312" w:lineRule="auto"/>
        <w:ind w:left="480"/>
        <w:textAlignment w:val="auto"/>
        <w:rPr>
          <w:rFonts w:ascii="宋体" w:hAnsi="宋体"/>
          <w:b/>
          <w:color w:val="auto"/>
          <w:sz w:val="28"/>
          <w:highlight w:val="none"/>
        </w:rPr>
      </w:pPr>
    </w:p>
    <w:p w14:paraId="3616A9D9">
      <w:pPr>
        <w:pageBreakBefore w:val="0"/>
        <w:kinsoku/>
        <w:overflowPunct/>
        <w:topLinePunct w:val="0"/>
        <w:bidi w:val="0"/>
        <w:spacing w:line="312" w:lineRule="auto"/>
        <w:ind w:left="480"/>
        <w:textAlignment w:val="auto"/>
        <w:rPr>
          <w:rFonts w:ascii="宋体" w:hAnsi="宋体"/>
          <w:b/>
          <w:color w:val="auto"/>
          <w:sz w:val="28"/>
          <w:highlight w:val="none"/>
        </w:rPr>
      </w:pPr>
    </w:p>
    <w:p w14:paraId="7723E43D">
      <w:pPr>
        <w:pageBreakBefore w:val="0"/>
        <w:kinsoku/>
        <w:overflowPunct/>
        <w:topLinePunct w:val="0"/>
        <w:bidi w:val="0"/>
        <w:spacing w:line="312" w:lineRule="auto"/>
        <w:ind w:left="480"/>
        <w:textAlignment w:val="auto"/>
        <w:rPr>
          <w:rFonts w:ascii="宋体" w:hAnsi="宋体"/>
          <w:b/>
          <w:color w:val="auto"/>
          <w:sz w:val="28"/>
          <w:highlight w:val="none"/>
        </w:rPr>
      </w:pPr>
    </w:p>
    <w:p w14:paraId="285AD53F">
      <w:pPr>
        <w:pStyle w:val="6"/>
        <w:pageBreakBefore w:val="0"/>
        <w:kinsoku/>
        <w:overflowPunct/>
        <w:topLinePunct w:val="0"/>
        <w:bidi w:val="0"/>
        <w:spacing w:line="312" w:lineRule="auto"/>
        <w:textAlignment w:val="auto"/>
        <w:rPr>
          <w:rFonts w:ascii="宋体" w:hAnsi="宋体"/>
          <w:b/>
          <w:color w:val="auto"/>
          <w:sz w:val="28"/>
          <w:highlight w:val="none"/>
        </w:rPr>
      </w:pPr>
    </w:p>
    <w:p w14:paraId="0120A5B3">
      <w:pPr>
        <w:pStyle w:val="6"/>
        <w:pageBreakBefore w:val="0"/>
        <w:kinsoku/>
        <w:overflowPunct/>
        <w:topLinePunct w:val="0"/>
        <w:bidi w:val="0"/>
        <w:spacing w:line="312" w:lineRule="auto"/>
        <w:textAlignment w:val="auto"/>
        <w:rPr>
          <w:rFonts w:ascii="宋体" w:hAnsi="宋体"/>
          <w:b/>
          <w:color w:val="auto"/>
          <w:sz w:val="28"/>
          <w:highlight w:val="none"/>
        </w:rPr>
      </w:pPr>
    </w:p>
    <w:p w14:paraId="4AE9577D">
      <w:pPr>
        <w:pStyle w:val="6"/>
        <w:pageBreakBefore w:val="0"/>
        <w:kinsoku/>
        <w:overflowPunct/>
        <w:topLinePunct w:val="0"/>
        <w:bidi w:val="0"/>
        <w:spacing w:line="312" w:lineRule="auto"/>
        <w:textAlignment w:val="auto"/>
        <w:rPr>
          <w:rFonts w:ascii="宋体" w:hAnsi="宋体"/>
          <w:b/>
          <w:color w:val="auto"/>
          <w:sz w:val="28"/>
          <w:highlight w:val="none"/>
        </w:rPr>
      </w:pPr>
    </w:p>
    <w:p w14:paraId="61F34F3B">
      <w:pPr>
        <w:pStyle w:val="6"/>
        <w:pageBreakBefore w:val="0"/>
        <w:kinsoku/>
        <w:overflowPunct/>
        <w:topLinePunct w:val="0"/>
        <w:bidi w:val="0"/>
        <w:spacing w:line="312" w:lineRule="auto"/>
        <w:textAlignment w:val="auto"/>
        <w:rPr>
          <w:rFonts w:ascii="宋体" w:hAnsi="宋体"/>
          <w:b/>
          <w:color w:val="auto"/>
          <w:sz w:val="28"/>
          <w:highlight w:val="none"/>
        </w:rPr>
      </w:pPr>
    </w:p>
    <w:p w14:paraId="028535FA">
      <w:pPr>
        <w:pStyle w:val="6"/>
        <w:pageBreakBefore w:val="0"/>
        <w:kinsoku/>
        <w:overflowPunct/>
        <w:topLinePunct w:val="0"/>
        <w:bidi w:val="0"/>
        <w:spacing w:line="312" w:lineRule="auto"/>
        <w:textAlignment w:val="auto"/>
        <w:rPr>
          <w:rFonts w:ascii="宋体" w:hAnsi="宋体"/>
          <w:b/>
          <w:color w:val="auto"/>
          <w:sz w:val="28"/>
          <w:highlight w:val="none"/>
        </w:rPr>
      </w:pPr>
    </w:p>
    <w:p w14:paraId="16707DDC">
      <w:pPr>
        <w:pStyle w:val="6"/>
        <w:pageBreakBefore w:val="0"/>
        <w:kinsoku/>
        <w:overflowPunct/>
        <w:topLinePunct w:val="0"/>
        <w:bidi w:val="0"/>
        <w:spacing w:line="312" w:lineRule="auto"/>
        <w:textAlignment w:val="auto"/>
        <w:rPr>
          <w:rFonts w:ascii="宋体" w:hAnsi="宋体"/>
          <w:b/>
          <w:color w:val="auto"/>
          <w:sz w:val="28"/>
          <w:highlight w:val="none"/>
        </w:rPr>
      </w:pPr>
    </w:p>
    <w:p w14:paraId="45C53685">
      <w:pPr>
        <w:pStyle w:val="6"/>
        <w:pageBreakBefore w:val="0"/>
        <w:kinsoku/>
        <w:overflowPunct/>
        <w:topLinePunct w:val="0"/>
        <w:bidi w:val="0"/>
        <w:spacing w:line="312" w:lineRule="auto"/>
        <w:textAlignment w:val="auto"/>
        <w:rPr>
          <w:rFonts w:ascii="宋体" w:hAnsi="宋体"/>
          <w:b/>
          <w:color w:val="auto"/>
          <w:sz w:val="28"/>
          <w:highlight w:val="none"/>
        </w:rPr>
      </w:pPr>
    </w:p>
    <w:p w14:paraId="013BA557">
      <w:pPr>
        <w:pStyle w:val="6"/>
        <w:pageBreakBefore w:val="0"/>
        <w:kinsoku/>
        <w:overflowPunct/>
        <w:topLinePunct w:val="0"/>
        <w:bidi w:val="0"/>
        <w:spacing w:line="312" w:lineRule="auto"/>
        <w:ind w:firstLine="0"/>
        <w:textAlignment w:val="auto"/>
        <w:rPr>
          <w:rFonts w:ascii="宋体" w:hAnsi="宋体"/>
          <w:b/>
          <w:color w:val="auto"/>
          <w:sz w:val="28"/>
          <w:highlight w:val="none"/>
        </w:rPr>
      </w:pPr>
    </w:p>
    <w:p w14:paraId="713E5902">
      <w:pPr>
        <w:pageBreakBefore w:val="0"/>
        <w:kinsoku/>
        <w:overflowPunct/>
        <w:topLinePunct w:val="0"/>
        <w:bidi w:val="0"/>
        <w:spacing w:line="312" w:lineRule="auto"/>
        <w:textAlignment w:val="auto"/>
        <w:rPr>
          <w:rFonts w:ascii="宋体" w:hAnsi="宋体"/>
          <w:b/>
          <w:color w:val="auto"/>
          <w:sz w:val="28"/>
          <w:highlight w:val="none"/>
        </w:rPr>
      </w:pPr>
      <w:r>
        <w:rPr>
          <w:rFonts w:hint="eastAsia" w:ascii="宋体" w:hAnsi="宋体"/>
          <w:b/>
          <w:color w:val="auto"/>
          <w:sz w:val="28"/>
          <w:highlight w:val="none"/>
        </w:rPr>
        <w:t>附件12</w:t>
      </w:r>
    </w:p>
    <w:p w14:paraId="7D7EEAD3">
      <w:pPr>
        <w:pageBreakBefore w:val="0"/>
        <w:kinsoku/>
        <w:overflowPunct/>
        <w:topLinePunct w:val="0"/>
        <w:bidi w:val="0"/>
        <w:spacing w:line="312" w:lineRule="auto"/>
        <w:ind w:left="-2" w:hanging="2"/>
        <w:jc w:val="center"/>
        <w:textAlignment w:val="auto"/>
        <w:rPr>
          <w:rFonts w:ascii="宋体" w:hAnsi="宋体"/>
          <w:b/>
          <w:color w:val="auto"/>
          <w:sz w:val="32"/>
          <w:szCs w:val="32"/>
          <w:highlight w:val="none"/>
        </w:rPr>
      </w:pPr>
      <w:bookmarkStart w:id="180" w:name="_Toc30363_WPSOffice_Level1"/>
      <w:bookmarkStart w:id="181" w:name="_Toc16144_WPSOffice_Level1"/>
      <w:r>
        <w:rPr>
          <w:rFonts w:hint="eastAsia" w:ascii="宋体" w:hAnsi="宋体"/>
          <w:b/>
          <w:color w:val="auto"/>
          <w:sz w:val="32"/>
          <w:szCs w:val="32"/>
          <w:highlight w:val="none"/>
        </w:rPr>
        <w:t>首次磋商一览表</w:t>
      </w:r>
      <w:bookmarkEnd w:id="180"/>
      <w:bookmarkEnd w:id="181"/>
    </w:p>
    <w:p w14:paraId="4970532B">
      <w:pPr>
        <w:pStyle w:val="13"/>
        <w:pageBreakBefore w:val="0"/>
        <w:kinsoku/>
        <w:overflowPunct/>
        <w:topLinePunct w:val="0"/>
        <w:bidi w:val="0"/>
        <w:spacing w:line="312" w:lineRule="auto"/>
        <w:textAlignment w:val="auto"/>
        <w:rPr>
          <w:rFonts w:hAnsi="宋体"/>
          <w:b/>
          <w:color w:val="auto"/>
          <w:sz w:val="24"/>
          <w:highlight w:val="none"/>
        </w:rPr>
      </w:pPr>
      <w:r>
        <w:rPr>
          <w:rFonts w:hAnsi="宋体"/>
          <w:b/>
          <w:color w:val="auto"/>
          <w:sz w:val="24"/>
          <w:highlight w:val="none"/>
        </w:rPr>
        <w:t>项目编号：</w:t>
      </w:r>
    </w:p>
    <w:p w14:paraId="0E21E7EC">
      <w:pPr>
        <w:pStyle w:val="46"/>
        <w:pageBreakBefore w:val="0"/>
        <w:kinsoku/>
        <w:overflowPunct/>
        <w:topLinePunct w:val="0"/>
        <w:bidi w:val="0"/>
        <w:spacing w:line="312" w:lineRule="auto"/>
        <w:ind w:right="480"/>
        <w:jc w:val="left"/>
        <w:textAlignment w:val="auto"/>
        <w:rPr>
          <w:rFonts w:ascii="宋体"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417"/>
        <w:gridCol w:w="4572"/>
        <w:gridCol w:w="1200"/>
      </w:tblGrid>
      <w:tr w14:paraId="6EC2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92" w:type="dxa"/>
            <w:vAlign w:val="center"/>
          </w:tcPr>
          <w:p w14:paraId="6602D605">
            <w:pPr>
              <w:pageBreakBefore w:val="0"/>
              <w:tabs>
                <w:tab w:val="left" w:pos="2670"/>
              </w:tabs>
              <w:kinsoku/>
              <w:overflowPunct/>
              <w:topLinePunct w:val="0"/>
              <w:bidi w:val="0"/>
              <w:adjustRightInd w:val="0"/>
              <w:spacing w:line="312" w:lineRule="auto"/>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lang w:val="zh-CN"/>
              </w:rPr>
              <w:t>标项</w:t>
            </w:r>
          </w:p>
        </w:tc>
        <w:tc>
          <w:tcPr>
            <w:tcW w:w="2417" w:type="dxa"/>
            <w:vAlign w:val="center"/>
          </w:tcPr>
          <w:p w14:paraId="4A5E5E6D">
            <w:pPr>
              <w:pageBreakBefore w:val="0"/>
              <w:tabs>
                <w:tab w:val="left" w:pos="2670"/>
              </w:tabs>
              <w:kinsoku/>
              <w:overflowPunct/>
              <w:topLinePunct w:val="0"/>
              <w:bidi w:val="0"/>
              <w:adjustRightInd w:val="0"/>
              <w:spacing w:line="312" w:lineRule="auto"/>
              <w:jc w:val="center"/>
              <w:textAlignment w:val="auto"/>
              <w:rPr>
                <w:rFonts w:ascii="宋体" w:hAnsi="宋体" w:cs="宋体"/>
                <w:b/>
                <w:bCs/>
                <w:color w:val="auto"/>
                <w:szCs w:val="21"/>
                <w:highlight w:val="none"/>
                <w:lang w:val="zh-CN"/>
              </w:rPr>
            </w:pPr>
            <w:r>
              <w:rPr>
                <w:rFonts w:hint="eastAsia" w:ascii="宋体" w:hAnsi="宋体" w:cs="宋体"/>
                <w:b/>
                <w:bCs/>
                <w:color w:val="auto"/>
                <w:szCs w:val="21"/>
                <w:highlight w:val="none"/>
              </w:rPr>
              <w:t>标项</w:t>
            </w:r>
            <w:r>
              <w:rPr>
                <w:rFonts w:hint="eastAsia" w:ascii="宋体" w:hAnsi="宋体" w:cs="宋体"/>
                <w:b/>
                <w:bCs/>
                <w:color w:val="auto"/>
                <w:szCs w:val="21"/>
                <w:highlight w:val="none"/>
                <w:lang w:val="zh-CN"/>
              </w:rPr>
              <w:t>名称</w:t>
            </w:r>
          </w:p>
        </w:tc>
        <w:tc>
          <w:tcPr>
            <w:tcW w:w="4572" w:type="dxa"/>
            <w:vAlign w:val="center"/>
          </w:tcPr>
          <w:p w14:paraId="188547BC">
            <w:pPr>
              <w:pageBreakBefore w:val="0"/>
              <w:tabs>
                <w:tab w:val="left" w:pos="2670"/>
              </w:tabs>
              <w:kinsoku/>
              <w:overflowPunct/>
              <w:topLinePunct w:val="0"/>
              <w:bidi w:val="0"/>
              <w:adjustRightInd w:val="0"/>
              <w:spacing w:line="312" w:lineRule="auto"/>
              <w:jc w:val="center"/>
              <w:textAlignment w:val="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报价</w:t>
            </w:r>
          </w:p>
        </w:tc>
        <w:tc>
          <w:tcPr>
            <w:tcW w:w="1200" w:type="dxa"/>
            <w:vAlign w:val="center"/>
          </w:tcPr>
          <w:p w14:paraId="70D835F1">
            <w:pPr>
              <w:pageBreakBefore w:val="0"/>
              <w:tabs>
                <w:tab w:val="left" w:pos="2670"/>
              </w:tabs>
              <w:kinsoku/>
              <w:overflowPunct/>
              <w:topLinePunct w:val="0"/>
              <w:bidi w:val="0"/>
              <w:adjustRightInd w:val="0"/>
              <w:spacing w:line="312" w:lineRule="auto"/>
              <w:jc w:val="center"/>
              <w:textAlignment w:val="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备注</w:t>
            </w:r>
          </w:p>
        </w:tc>
      </w:tr>
      <w:tr w14:paraId="4E11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392" w:type="dxa"/>
            <w:vAlign w:val="center"/>
          </w:tcPr>
          <w:p w14:paraId="68927193">
            <w:pPr>
              <w:pageBreakBefore w:val="0"/>
              <w:tabs>
                <w:tab w:val="left" w:pos="2670"/>
              </w:tabs>
              <w:kinsoku/>
              <w:overflowPunct/>
              <w:topLinePunct w:val="0"/>
              <w:bidi w:val="0"/>
              <w:adjustRightInd w:val="0"/>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一</w:t>
            </w:r>
          </w:p>
        </w:tc>
        <w:tc>
          <w:tcPr>
            <w:tcW w:w="2417" w:type="dxa"/>
            <w:vAlign w:val="center"/>
          </w:tcPr>
          <w:p w14:paraId="56EC3062">
            <w:pPr>
              <w:pageBreakBefore w:val="0"/>
              <w:tabs>
                <w:tab w:val="left" w:pos="2670"/>
              </w:tabs>
              <w:kinsoku/>
              <w:overflowPunct/>
              <w:topLinePunct w:val="0"/>
              <w:bidi w:val="0"/>
              <w:adjustRightInd w:val="0"/>
              <w:spacing w:line="312" w:lineRule="auto"/>
              <w:jc w:val="center"/>
              <w:textAlignment w:val="auto"/>
              <w:rPr>
                <w:rFonts w:ascii="宋体" w:hAnsi="宋体" w:cs="宋体"/>
                <w:bCs/>
                <w:color w:val="auto"/>
                <w:szCs w:val="21"/>
                <w:highlight w:val="none"/>
                <w:lang w:val="zh-CN"/>
              </w:rPr>
            </w:pPr>
          </w:p>
        </w:tc>
        <w:tc>
          <w:tcPr>
            <w:tcW w:w="4572" w:type="dxa"/>
            <w:vAlign w:val="center"/>
          </w:tcPr>
          <w:p w14:paraId="669B45F8">
            <w:pPr>
              <w:pageBreakBefore w:val="0"/>
              <w:tabs>
                <w:tab w:val="left" w:pos="2670"/>
              </w:tabs>
              <w:kinsoku/>
              <w:overflowPunct/>
              <w:topLinePunct w:val="0"/>
              <w:bidi w:val="0"/>
              <w:adjustRightInd w:val="0"/>
              <w:spacing w:line="312" w:lineRule="auto"/>
              <w:jc w:val="left"/>
              <w:textAlignment w:val="auto"/>
              <w:rPr>
                <w:rFonts w:ascii="宋体" w:hAnsi="宋体" w:cs="宋体"/>
                <w:bCs/>
                <w:color w:val="auto"/>
                <w:szCs w:val="21"/>
                <w:highlight w:val="none"/>
                <w:u w:val="single"/>
              </w:rPr>
            </w:pPr>
            <w:r>
              <w:rPr>
                <w:rFonts w:hint="eastAsia" w:ascii="宋体" w:hAnsi="宋体" w:cs="宋体"/>
                <w:bCs/>
                <w:color w:val="auto"/>
                <w:szCs w:val="21"/>
                <w:highlight w:val="none"/>
                <w:lang w:val="zh-CN"/>
              </w:rPr>
              <w:t>（大写）</w:t>
            </w:r>
            <w:r>
              <w:rPr>
                <w:rFonts w:hint="eastAsia" w:ascii="宋体" w:hAnsi="宋体" w:cs="宋体"/>
                <w:bCs/>
                <w:color w:val="auto"/>
                <w:szCs w:val="21"/>
                <w:highlight w:val="none"/>
                <w:u w:val="single"/>
              </w:rPr>
              <w:t xml:space="preserve">            。</w:t>
            </w:r>
          </w:p>
          <w:p w14:paraId="06154A68">
            <w:pPr>
              <w:pageBreakBefore w:val="0"/>
              <w:tabs>
                <w:tab w:val="left" w:pos="2670"/>
              </w:tabs>
              <w:kinsoku/>
              <w:overflowPunct/>
              <w:topLinePunct w:val="0"/>
              <w:bidi w:val="0"/>
              <w:adjustRightInd w:val="0"/>
              <w:spacing w:line="312" w:lineRule="auto"/>
              <w:textAlignment w:val="auto"/>
              <w:rPr>
                <w:rFonts w:ascii="宋体" w:hAnsi="宋体" w:cs="宋体"/>
                <w:bCs/>
                <w:color w:val="auto"/>
                <w:szCs w:val="21"/>
                <w:highlight w:val="none"/>
                <w:u w:val="single"/>
              </w:rPr>
            </w:pPr>
            <w:r>
              <w:rPr>
                <w:rFonts w:hint="eastAsia" w:ascii="宋体" w:hAnsi="宋体" w:cs="宋体"/>
                <w:bCs/>
                <w:color w:val="auto"/>
                <w:szCs w:val="21"/>
                <w:highlight w:val="none"/>
                <w:lang w:val="zh-CN"/>
              </w:rPr>
              <w:t>（小写）</w:t>
            </w:r>
            <w:r>
              <w:rPr>
                <w:rFonts w:hint="eastAsia" w:ascii="宋体" w:hAnsi="宋体" w:cs="宋体"/>
                <w:bCs/>
                <w:color w:val="auto"/>
                <w:szCs w:val="21"/>
                <w:highlight w:val="none"/>
                <w:u w:val="single"/>
              </w:rPr>
              <w:t xml:space="preserve">            。</w:t>
            </w:r>
          </w:p>
        </w:tc>
        <w:tc>
          <w:tcPr>
            <w:tcW w:w="1200" w:type="dxa"/>
            <w:vAlign w:val="center"/>
          </w:tcPr>
          <w:p w14:paraId="00C5E7E9">
            <w:pPr>
              <w:pageBreakBefore w:val="0"/>
              <w:tabs>
                <w:tab w:val="left" w:pos="2670"/>
              </w:tabs>
              <w:kinsoku/>
              <w:overflowPunct/>
              <w:topLinePunct w:val="0"/>
              <w:bidi w:val="0"/>
              <w:adjustRightInd w:val="0"/>
              <w:spacing w:line="312" w:lineRule="auto"/>
              <w:ind w:firstLine="411" w:firstLineChars="196"/>
              <w:jc w:val="center"/>
              <w:textAlignment w:val="auto"/>
              <w:rPr>
                <w:rFonts w:ascii="宋体" w:hAnsi="宋体" w:cs="宋体"/>
                <w:bCs/>
                <w:color w:val="auto"/>
                <w:szCs w:val="21"/>
                <w:highlight w:val="none"/>
                <w:lang w:val="zh-CN"/>
              </w:rPr>
            </w:pPr>
          </w:p>
        </w:tc>
      </w:tr>
    </w:tbl>
    <w:p w14:paraId="1885384E">
      <w:pPr>
        <w:pageBreakBefore w:val="0"/>
        <w:kinsoku/>
        <w:overflowPunct/>
        <w:topLinePunct w:val="0"/>
        <w:bidi w:val="0"/>
        <w:spacing w:line="312" w:lineRule="auto"/>
        <w:textAlignment w:val="auto"/>
        <w:rPr>
          <w:rFonts w:ascii="宋体" w:hAnsi="宋体"/>
          <w:color w:val="auto"/>
          <w:sz w:val="24"/>
          <w:highlight w:val="none"/>
        </w:rPr>
      </w:pPr>
      <w:r>
        <w:rPr>
          <w:rFonts w:hint="eastAsia" w:ascii="宋体" w:hAnsi="宋体"/>
          <w:b/>
          <w:color w:val="auto"/>
          <w:szCs w:val="21"/>
          <w:highlight w:val="none"/>
        </w:rPr>
        <w:t>填报要求：</w:t>
      </w:r>
    </w:p>
    <w:p w14:paraId="7BF23A1E">
      <w:pPr>
        <w:pageBreakBefore w:val="0"/>
        <w:kinsoku/>
        <w:overflowPunct/>
        <w:topLinePunct w:val="0"/>
        <w:bidi w:val="0"/>
        <w:snapToGrid w:val="0"/>
        <w:spacing w:line="312" w:lineRule="auto"/>
        <w:ind w:firstLine="420" w:firstLineChars="200"/>
        <w:textAlignment w:val="auto"/>
        <w:rPr>
          <w:rFonts w:ascii="宋体" w:hAnsi="宋体" w:cs="宋体"/>
          <w:color w:val="auto"/>
          <w:kern w:val="0"/>
          <w:szCs w:val="21"/>
          <w:highlight w:val="none"/>
          <w:lang w:val="zh-CN"/>
        </w:rPr>
      </w:pPr>
      <w:r>
        <w:rPr>
          <w:rFonts w:hint="eastAsia" w:ascii="宋体" w:hAnsi="宋体" w:cs="宋体"/>
          <w:color w:val="auto"/>
          <w:szCs w:val="21"/>
          <w:highlight w:val="none"/>
        </w:rPr>
        <w:t>注:</w:t>
      </w:r>
    </w:p>
    <w:p w14:paraId="503E64C5">
      <w:pPr>
        <w:pageBreakBefore w:val="0"/>
        <w:kinsoku/>
        <w:overflowPunct/>
        <w:topLinePunct w:val="0"/>
        <w:bidi w:val="0"/>
        <w:snapToGrid w:val="0"/>
        <w:spacing w:before="50" w:after="50" w:line="312"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1、报价一经涂改，应在涂改处加盖单位公章或者由法定代表人或授权委托人签字或盖章，否则其投标作无效标处理。</w:t>
      </w:r>
    </w:p>
    <w:p w14:paraId="1B67E091">
      <w:pPr>
        <w:pageBreakBefore w:val="0"/>
        <w:kinsoku/>
        <w:overflowPunct/>
        <w:topLinePunct w:val="0"/>
        <w:bidi w:val="0"/>
        <w:snapToGrid w:val="0"/>
        <w:spacing w:before="50" w:after="50" w:line="312"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2、应含拟投入本项目工作所发生的费用及供应 商认为完成本采购文件规定内容所需发生的其它费用，凡未列入的，将被视为均已包含在投标总报价中。只允许有一个报价，任何有选择的或有条件的报价将不予接受。</w:t>
      </w:r>
    </w:p>
    <w:p w14:paraId="06C3AF65">
      <w:pPr>
        <w:pageBreakBefore w:val="0"/>
        <w:kinsoku/>
        <w:overflowPunct/>
        <w:topLinePunct w:val="0"/>
        <w:bidi w:val="0"/>
        <w:snapToGrid w:val="0"/>
        <w:spacing w:before="50" w:after="50" w:line="312"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3、投标报价是履行合同的最终价格，应包含</w:t>
      </w:r>
      <w:r>
        <w:rPr>
          <w:rFonts w:hint="eastAsia" w:ascii="宋体" w:hAnsi="宋体" w:cs="宋体"/>
          <w:color w:val="auto"/>
          <w:szCs w:val="21"/>
          <w:highlight w:val="none"/>
          <w:lang w:eastAsia="zh-CN"/>
        </w:rPr>
        <w:t>本项目采购需求和投入使用的所有费用，包括但不限于设备费用、人员费用（含劳务、食宿、交通、保险等）、策划及摄制费用、宣传推广费用、审核费用、管理费用、招标代理费、</w:t>
      </w:r>
      <w:r>
        <w:rPr>
          <w:rFonts w:hint="eastAsia" w:ascii="宋体" w:hAnsi="宋体" w:cs="宋体"/>
          <w:color w:val="auto"/>
          <w:szCs w:val="21"/>
          <w:highlight w:val="none"/>
          <w:lang w:val="en-US" w:eastAsia="zh-CN"/>
        </w:rPr>
        <w:t>税金</w:t>
      </w:r>
      <w:r>
        <w:rPr>
          <w:rFonts w:hint="eastAsia" w:ascii="宋体" w:hAnsi="宋体" w:cs="宋体"/>
          <w:color w:val="auto"/>
          <w:szCs w:val="21"/>
          <w:highlight w:val="none"/>
          <w:lang w:eastAsia="zh-CN"/>
        </w:rPr>
        <w:t>以及其他费用等</w:t>
      </w:r>
      <w:r>
        <w:rPr>
          <w:rFonts w:hint="eastAsia" w:ascii="宋体" w:hAnsi="宋体" w:cs="宋体"/>
          <w:color w:val="auto"/>
          <w:szCs w:val="21"/>
          <w:highlight w:val="none"/>
        </w:rPr>
        <w:t>。各供应商应根据招标人提供的招标需求和技术资料等内容，以及本工程实际情况和自身的综合实力，竞报投标报价。总报价以人民币元计。知识产权等由供应商在投标报价时综合考虑，以后不作任何调整。</w:t>
      </w:r>
    </w:p>
    <w:p w14:paraId="5EA07E78">
      <w:pPr>
        <w:pStyle w:val="23"/>
        <w:pageBreakBefore w:val="0"/>
        <w:kinsoku/>
        <w:overflowPunct/>
        <w:topLinePunct w:val="0"/>
        <w:bidi w:val="0"/>
        <w:spacing w:line="312" w:lineRule="auto"/>
        <w:textAlignment w:val="auto"/>
        <w:rPr>
          <w:color w:val="auto"/>
          <w:highlight w:val="none"/>
        </w:rPr>
      </w:pPr>
    </w:p>
    <w:p w14:paraId="4861055B">
      <w:pPr>
        <w:pageBreakBefore w:val="0"/>
        <w:kinsoku/>
        <w:overflowPunct/>
        <w:topLinePunct w:val="0"/>
        <w:bidi w:val="0"/>
        <w:spacing w:line="312" w:lineRule="auto"/>
        <w:textAlignment w:val="auto"/>
        <w:rPr>
          <w:rFonts w:ascii="宋体" w:hAnsi="宋体"/>
          <w:color w:val="auto"/>
          <w:sz w:val="24"/>
          <w:highlight w:val="none"/>
        </w:rPr>
      </w:pPr>
    </w:p>
    <w:p w14:paraId="32C0E923">
      <w:pPr>
        <w:pageBreakBefore w:val="0"/>
        <w:kinsoku/>
        <w:overflowPunct/>
        <w:topLinePunct w:val="0"/>
        <w:bidi w:val="0"/>
        <w:spacing w:line="312" w:lineRule="auto"/>
        <w:ind w:left="420"/>
        <w:textAlignment w:val="auto"/>
        <w:rPr>
          <w:rFonts w:ascii="宋体" w:hAnsi="宋体"/>
          <w:color w:val="auto"/>
          <w:sz w:val="24"/>
          <w:highlight w:val="none"/>
          <w:u w:val="single"/>
        </w:rPr>
      </w:pPr>
      <w:r>
        <w:rPr>
          <w:rFonts w:hint="eastAsia" w:ascii="宋体"/>
          <w:color w:val="auto"/>
          <w:sz w:val="24"/>
          <w:highlight w:val="none"/>
        </w:rPr>
        <w:t>供应商全称（电子印章）</w:t>
      </w:r>
      <w:r>
        <w:rPr>
          <w:rFonts w:hint="eastAsia" w:ascii="宋体" w:hAnsi="宋体"/>
          <w:color w:val="auto"/>
          <w:sz w:val="24"/>
          <w:highlight w:val="none"/>
        </w:rPr>
        <w:t>：</w:t>
      </w:r>
    </w:p>
    <w:p w14:paraId="7BFEF8E0">
      <w:pPr>
        <w:pageBreakBefore w:val="0"/>
        <w:kinsoku/>
        <w:overflowPunct/>
        <w:topLinePunct w:val="0"/>
        <w:bidi w:val="0"/>
        <w:spacing w:line="312" w:lineRule="auto"/>
        <w:ind w:left="420"/>
        <w:textAlignment w:val="auto"/>
        <w:rPr>
          <w:rFonts w:ascii="宋体" w:hAnsi="宋体"/>
          <w:color w:val="auto"/>
          <w:sz w:val="24"/>
          <w:highlight w:val="none"/>
        </w:rPr>
      </w:pPr>
    </w:p>
    <w:p w14:paraId="519A62E9">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s="仿宋_GB2312"/>
          <w:color w:val="auto"/>
          <w:kern w:val="0"/>
          <w:sz w:val="24"/>
          <w:highlight w:val="none"/>
        </w:rPr>
        <w:t>或盖章</w:t>
      </w:r>
      <w:r>
        <w:rPr>
          <w:rFonts w:hint="eastAsia" w:ascii="宋体" w:hAnsi="宋体"/>
          <w:color w:val="auto"/>
          <w:sz w:val="24"/>
          <w:highlight w:val="none"/>
        </w:rPr>
        <w:t>：</w:t>
      </w:r>
    </w:p>
    <w:p w14:paraId="56A2FF99">
      <w:pPr>
        <w:pageBreakBefore w:val="0"/>
        <w:kinsoku/>
        <w:overflowPunct/>
        <w:topLinePunct w:val="0"/>
        <w:bidi w:val="0"/>
        <w:spacing w:line="312" w:lineRule="auto"/>
        <w:ind w:firstLine="435"/>
        <w:textAlignment w:val="auto"/>
        <w:rPr>
          <w:rFonts w:ascii="宋体" w:hAnsi="宋体"/>
          <w:color w:val="auto"/>
          <w:sz w:val="24"/>
          <w:highlight w:val="none"/>
        </w:rPr>
      </w:pPr>
    </w:p>
    <w:p w14:paraId="1DCA5223">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olor w:val="auto"/>
          <w:sz w:val="24"/>
          <w:highlight w:val="none"/>
        </w:rPr>
        <w:t>职        务：</w:t>
      </w:r>
    </w:p>
    <w:p w14:paraId="7D25B520">
      <w:pPr>
        <w:pageBreakBefore w:val="0"/>
        <w:kinsoku/>
        <w:overflowPunct/>
        <w:topLinePunct w:val="0"/>
        <w:bidi w:val="0"/>
        <w:spacing w:line="312" w:lineRule="auto"/>
        <w:textAlignment w:val="auto"/>
        <w:rPr>
          <w:rFonts w:ascii="宋体" w:hAnsi="宋体"/>
          <w:color w:val="auto"/>
          <w:sz w:val="24"/>
          <w:highlight w:val="none"/>
        </w:rPr>
      </w:pPr>
    </w:p>
    <w:p w14:paraId="59153B87">
      <w:pPr>
        <w:pageBreakBefore w:val="0"/>
        <w:kinsoku/>
        <w:overflowPunct/>
        <w:topLinePunct w:val="0"/>
        <w:bidi w:val="0"/>
        <w:spacing w:line="312" w:lineRule="auto"/>
        <w:ind w:firstLine="435"/>
        <w:textAlignment w:val="auto"/>
        <w:rPr>
          <w:rFonts w:ascii="宋体" w:hAnsi="宋体"/>
          <w:color w:val="auto"/>
          <w:sz w:val="24"/>
          <w:highlight w:val="none"/>
        </w:rPr>
      </w:pPr>
      <w:r>
        <w:rPr>
          <w:rFonts w:hint="eastAsia" w:ascii="宋体" w:hAnsi="宋体"/>
          <w:color w:val="auto"/>
          <w:sz w:val="24"/>
          <w:highlight w:val="none"/>
        </w:rPr>
        <w:t>日        期：</w:t>
      </w:r>
    </w:p>
    <w:p w14:paraId="5EFAF53E">
      <w:pPr>
        <w:pageBreakBefore w:val="0"/>
        <w:kinsoku/>
        <w:overflowPunct/>
        <w:topLinePunct w:val="0"/>
        <w:bidi w:val="0"/>
        <w:snapToGrid w:val="0"/>
        <w:spacing w:beforeLines="50" w:after="50" w:line="312" w:lineRule="auto"/>
        <w:textAlignment w:val="auto"/>
        <w:rPr>
          <w:rFonts w:hint="eastAsia" w:ascii="宋体" w:hAnsi="宋体"/>
          <w:b/>
          <w:color w:val="auto"/>
          <w:sz w:val="28"/>
          <w:highlight w:val="none"/>
        </w:rPr>
      </w:pPr>
    </w:p>
    <w:p w14:paraId="70B961E2">
      <w:pPr>
        <w:pStyle w:val="29"/>
        <w:pageBreakBefore w:val="0"/>
        <w:kinsoku/>
        <w:overflowPunct/>
        <w:topLinePunct w:val="0"/>
        <w:bidi w:val="0"/>
        <w:spacing w:line="312" w:lineRule="auto"/>
        <w:textAlignment w:val="auto"/>
        <w:rPr>
          <w:rFonts w:hint="eastAsia"/>
          <w:color w:val="auto"/>
          <w:highlight w:val="none"/>
        </w:rPr>
      </w:pPr>
    </w:p>
    <w:p w14:paraId="1C36E509">
      <w:pPr>
        <w:pageBreakBefore w:val="0"/>
        <w:kinsoku/>
        <w:overflowPunct/>
        <w:topLinePunct w:val="0"/>
        <w:bidi w:val="0"/>
        <w:snapToGrid w:val="0"/>
        <w:spacing w:beforeLines="50" w:after="50" w:line="312" w:lineRule="auto"/>
        <w:textAlignment w:val="auto"/>
        <w:rPr>
          <w:rFonts w:ascii="宋体" w:hAnsi="宋体"/>
          <w:b/>
          <w:color w:val="auto"/>
          <w:sz w:val="28"/>
          <w:szCs w:val="28"/>
          <w:highlight w:val="none"/>
        </w:rPr>
      </w:pPr>
      <w:r>
        <w:rPr>
          <w:rFonts w:hint="eastAsia" w:ascii="宋体" w:hAnsi="宋体"/>
          <w:b/>
          <w:color w:val="auto"/>
          <w:sz w:val="28"/>
          <w:highlight w:val="none"/>
        </w:rPr>
        <w:t>附件13</w:t>
      </w:r>
    </w:p>
    <w:p w14:paraId="1104CDB4">
      <w:pPr>
        <w:pStyle w:val="47"/>
        <w:pageBreakBefore w:val="0"/>
        <w:kinsoku/>
        <w:overflowPunct/>
        <w:topLinePunct w:val="0"/>
        <w:bidi w:val="0"/>
        <w:spacing w:line="312" w:lineRule="auto"/>
        <w:jc w:val="center"/>
        <w:textAlignment w:val="auto"/>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r>
        <w:rPr>
          <w:rFonts w:hint="eastAsia" w:ascii="宋体" w:hAnsi="宋体"/>
          <w:b/>
          <w:color w:val="auto"/>
          <w:sz w:val="32"/>
          <w:szCs w:val="32"/>
          <w:highlight w:val="none"/>
        </w:rPr>
        <w:t>服务</w:t>
      </w:r>
      <w:r>
        <w:rPr>
          <w:rFonts w:hint="eastAsia" w:ascii="宋体" w:hAnsi="宋体"/>
          <w:b/>
          <w:color w:val="auto"/>
          <w:sz w:val="32"/>
          <w:szCs w:val="32"/>
          <w:highlight w:val="none"/>
          <w:lang w:val="en-GB"/>
        </w:rPr>
        <w:t>）</w:t>
      </w:r>
    </w:p>
    <w:p w14:paraId="4DCC5E95">
      <w:pPr>
        <w:pStyle w:val="47"/>
        <w:pageBreakBefore w:val="0"/>
        <w:kinsoku/>
        <w:overflowPunct/>
        <w:topLinePunct w:val="0"/>
        <w:bidi w:val="0"/>
        <w:spacing w:line="312" w:lineRule="auto"/>
        <w:jc w:val="center"/>
        <w:textAlignment w:val="auto"/>
        <w:rPr>
          <w:rFonts w:ascii="宋体" w:hAnsi="宋体"/>
          <w:b/>
          <w:color w:val="auto"/>
          <w:sz w:val="24"/>
          <w:highlight w:val="none"/>
          <w:lang w:val="en-GB"/>
        </w:rPr>
      </w:pPr>
    </w:p>
    <w:p w14:paraId="2AAF44DF">
      <w:pPr>
        <w:pStyle w:val="47"/>
        <w:pageBreakBefore w:val="0"/>
        <w:kinsoku/>
        <w:overflowPunct/>
        <w:topLinePunct w:val="0"/>
        <w:bidi w:val="0"/>
        <w:spacing w:line="312" w:lineRule="auto"/>
        <w:ind w:firstLine="504" w:firstLineChars="200"/>
        <w:textAlignment w:val="auto"/>
        <w:rPr>
          <w:rFonts w:ascii="宋体" w:hAnsi="宋体"/>
          <w:color w:val="auto"/>
          <w:spacing w:val="6"/>
          <w:sz w:val="24"/>
          <w:highlight w:val="none"/>
        </w:rPr>
      </w:pPr>
      <w:r>
        <w:rPr>
          <w:rFonts w:hint="eastAsia" w:ascii="宋体" w:hAnsi="宋体"/>
          <w:color w:val="auto"/>
          <w:spacing w:val="6"/>
          <w:sz w:val="24"/>
          <w:highlight w:val="none"/>
        </w:rPr>
        <w:t>本公司（联合体）郑重声明，根据《政府采购促进中小企业发展管理办法》（财库﹝2020﹞46号）的规定，本公司（联合体）参加</w:t>
      </w:r>
      <w:r>
        <w:rPr>
          <w:rFonts w:hint="eastAsia" w:ascii="宋体" w:hAnsi="宋体"/>
          <w:color w:val="auto"/>
          <w:spacing w:val="6"/>
          <w:sz w:val="24"/>
          <w:highlight w:val="none"/>
          <w:u w:val="single"/>
        </w:rPr>
        <w:t>（单位名称）</w:t>
      </w:r>
      <w:r>
        <w:rPr>
          <w:rFonts w:hint="eastAsia" w:ascii="宋体" w:hAnsi="宋体"/>
          <w:color w:val="auto"/>
          <w:spacing w:val="6"/>
          <w:sz w:val="24"/>
          <w:highlight w:val="none"/>
        </w:rPr>
        <w:t>的</w:t>
      </w:r>
      <w:r>
        <w:rPr>
          <w:rFonts w:hint="eastAsia" w:ascii="宋体" w:hAnsi="宋体"/>
          <w:color w:val="auto"/>
          <w:spacing w:val="6"/>
          <w:sz w:val="24"/>
          <w:highlight w:val="none"/>
          <w:u w:val="single"/>
        </w:rPr>
        <w:t>（项目名称）</w:t>
      </w:r>
      <w:r>
        <w:rPr>
          <w:rFonts w:hint="eastAsia" w:ascii="宋体" w:hAnsi="宋体"/>
          <w:color w:val="auto"/>
          <w:spacing w:val="6"/>
          <w:sz w:val="24"/>
          <w:highlight w:val="none"/>
        </w:rPr>
        <w:t>采购活动，服务全部由符合政策要求的中小企业承接。相关企业（含联合体中的中小企业、签订分包意向协议的中小企业）的具体情况如下：</w:t>
      </w:r>
    </w:p>
    <w:p w14:paraId="02501815">
      <w:pPr>
        <w:pStyle w:val="47"/>
        <w:pageBreakBefore w:val="0"/>
        <w:kinsoku/>
        <w:overflowPunct/>
        <w:topLinePunct w:val="0"/>
        <w:bidi w:val="0"/>
        <w:spacing w:line="312" w:lineRule="auto"/>
        <w:ind w:firstLine="504" w:firstLineChars="200"/>
        <w:textAlignment w:val="auto"/>
        <w:rPr>
          <w:rFonts w:ascii="宋体" w:hAnsi="宋体"/>
          <w:color w:val="auto"/>
          <w:spacing w:val="6"/>
          <w:sz w:val="24"/>
          <w:highlight w:val="none"/>
        </w:rPr>
      </w:pPr>
      <w:r>
        <w:rPr>
          <w:rFonts w:hint="eastAsia" w:ascii="宋体" w:hAnsi="宋体"/>
          <w:color w:val="auto"/>
          <w:spacing w:val="6"/>
          <w:sz w:val="24"/>
          <w:highlight w:val="none"/>
        </w:rPr>
        <w:t>1.</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，属于</w:t>
      </w:r>
      <w:r>
        <w:rPr>
          <w:rFonts w:hint="eastAsia" w:ascii="宋体" w:hAnsi="宋体"/>
          <w:color w:val="auto"/>
          <w:spacing w:val="6"/>
          <w:sz w:val="24"/>
          <w:highlight w:val="none"/>
          <w:u w:val="single"/>
          <w:lang w:eastAsia="zh-CN"/>
        </w:rPr>
        <w:t>（</w:t>
      </w:r>
      <w:r>
        <w:rPr>
          <w:rFonts w:hint="eastAsia" w:ascii="宋体" w:hAnsi="宋体"/>
          <w:color w:val="auto"/>
          <w:spacing w:val="6"/>
          <w:sz w:val="24"/>
          <w:highlight w:val="none"/>
          <w:u w:val="single"/>
          <w:lang w:val="en-US" w:eastAsia="zh-CN"/>
        </w:rPr>
        <w:t>十六）其他未列明行业</w:t>
      </w:r>
      <w:r>
        <w:rPr>
          <w:rFonts w:hint="eastAsia" w:ascii="宋体" w:hAnsi="宋体"/>
          <w:color w:val="auto"/>
          <w:spacing w:val="6"/>
          <w:sz w:val="24"/>
          <w:highlight w:val="none"/>
        </w:rPr>
        <w:t>；承建（承接）企业为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，从业人员人，营业收入为万元，资产总额为万元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（中型企业、小型企业、微型企业）</w:t>
      </w:r>
      <w:r>
        <w:rPr>
          <w:rFonts w:hint="eastAsia" w:ascii="宋体" w:hAnsi="宋体"/>
          <w:color w:val="auto"/>
          <w:spacing w:val="6"/>
          <w:sz w:val="24"/>
          <w:highlight w:val="none"/>
        </w:rPr>
        <w:t>；</w:t>
      </w:r>
    </w:p>
    <w:p w14:paraId="4A682186">
      <w:pPr>
        <w:pStyle w:val="47"/>
        <w:pageBreakBefore w:val="0"/>
        <w:kinsoku/>
        <w:overflowPunct/>
        <w:topLinePunct w:val="0"/>
        <w:bidi w:val="0"/>
        <w:spacing w:line="312" w:lineRule="auto"/>
        <w:ind w:firstLine="504" w:firstLineChars="200"/>
        <w:textAlignment w:val="auto"/>
        <w:rPr>
          <w:rFonts w:ascii="宋体" w:hAnsi="宋体"/>
          <w:color w:val="auto"/>
          <w:spacing w:val="6"/>
          <w:sz w:val="24"/>
          <w:highlight w:val="none"/>
        </w:rPr>
      </w:pPr>
      <w:r>
        <w:rPr>
          <w:rFonts w:hint="eastAsia" w:ascii="宋体" w:hAnsi="宋体"/>
          <w:color w:val="auto"/>
          <w:spacing w:val="6"/>
          <w:sz w:val="24"/>
          <w:highlight w:val="none"/>
        </w:rPr>
        <w:t>2.</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；承建（承接）企业为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，从业人员人，营业收入为万元，资产总额为万元，属于</w:t>
      </w:r>
      <w:r>
        <w:rPr>
          <w:rFonts w:hint="eastAsia" w:ascii="宋体" w:hAnsi="宋体"/>
          <w:color w:val="auto"/>
          <w:spacing w:val="6"/>
          <w:sz w:val="24"/>
          <w:highlight w:val="none"/>
          <w:u w:val="single"/>
        </w:rPr>
        <w:t>（中型企业、小型企业、微型企业）</w:t>
      </w:r>
      <w:r>
        <w:rPr>
          <w:rFonts w:hint="eastAsia" w:ascii="宋体" w:hAnsi="宋体"/>
          <w:color w:val="auto"/>
          <w:spacing w:val="6"/>
          <w:sz w:val="24"/>
          <w:highlight w:val="none"/>
        </w:rPr>
        <w:t>；</w:t>
      </w:r>
    </w:p>
    <w:p w14:paraId="6FAC7AEB">
      <w:pPr>
        <w:pStyle w:val="47"/>
        <w:pageBreakBefore w:val="0"/>
        <w:kinsoku/>
        <w:overflowPunct/>
        <w:topLinePunct w:val="0"/>
        <w:bidi w:val="0"/>
        <w:spacing w:line="312" w:lineRule="auto"/>
        <w:ind w:firstLine="504" w:firstLineChars="200"/>
        <w:textAlignment w:val="auto"/>
        <w:rPr>
          <w:rFonts w:ascii="宋体" w:hAnsi="宋体"/>
          <w:color w:val="auto"/>
          <w:spacing w:val="6"/>
          <w:sz w:val="24"/>
          <w:highlight w:val="none"/>
        </w:rPr>
      </w:pPr>
      <w:r>
        <w:rPr>
          <w:rFonts w:hint="eastAsia" w:ascii="宋体" w:hAnsi="宋体"/>
          <w:color w:val="auto"/>
          <w:spacing w:val="6"/>
          <w:sz w:val="24"/>
          <w:highlight w:val="none"/>
        </w:rPr>
        <w:t>......</w:t>
      </w:r>
    </w:p>
    <w:p w14:paraId="453CA57D">
      <w:pPr>
        <w:pStyle w:val="47"/>
        <w:pageBreakBefore w:val="0"/>
        <w:kinsoku/>
        <w:overflowPunct/>
        <w:topLinePunct w:val="0"/>
        <w:bidi w:val="0"/>
        <w:spacing w:line="312" w:lineRule="auto"/>
        <w:ind w:firstLine="504" w:firstLineChars="200"/>
        <w:textAlignment w:val="auto"/>
        <w:rPr>
          <w:rFonts w:ascii="宋体" w:hAnsi="宋体"/>
          <w:color w:val="auto"/>
          <w:spacing w:val="6"/>
          <w:sz w:val="24"/>
          <w:highlight w:val="none"/>
        </w:rPr>
      </w:pPr>
      <w:r>
        <w:rPr>
          <w:rFonts w:hint="eastAsia" w:ascii="宋体" w:hAnsi="宋体"/>
          <w:color w:val="auto"/>
          <w:spacing w:val="6"/>
          <w:sz w:val="24"/>
          <w:highlight w:val="none"/>
        </w:rPr>
        <w:t>以上企业，不属于大企业的分支机构，不存在控股股东为大企业的情形，也不存在与大企业的负责人为同一人的情形。</w:t>
      </w:r>
    </w:p>
    <w:p w14:paraId="310B5EC5">
      <w:pPr>
        <w:pStyle w:val="47"/>
        <w:pageBreakBefore w:val="0"/>
        <w:kinsoku/>
        <w:overflowPunct/>
        <w:topLinePunct w:val="0"/>
        <w:bidi w:val="0"/>
        <w:spacing w:line="312" w:lineRule="auto"/>
        <w:ind w:firstLine="504" w:firstLineChars="200"/>
        <w:textAlignment w:val="auto"/>
        <w:rPr>
          <w:rFonts w:ascii="宋体" w:hAnsi="宋体"/>
          <w:color w:val="auto"/>
          <w:spacing w:val="6"/>
          <w:sz w:val="24"/>
          <w:highlight w:val="none"/>
        </w:rPr>
      </w:pPr>
      <w:r>
        <w:rPr>
          <w:rFonts w:hint="eastAsia" w:ascii="宋体" w:hAnsi="宋体"/>
          <w:color w:val="auto"/>
          <w:spacing w:val="6"/>
          <w:sz w:val="24"/>
          <w:highlight w:val="none"/>
        </w:rPr>
        <w:t>本企业对上述声明内容的真实性负责。如有虚假，将依法承担相应责任。</w:t>
      </w:r>
    </w:p>
    <w:p w14:paraId="10F11A03">
      <w:pPr>
        <w:pStyle w:val="47"/>
        <w:pageBreakBefore w:val="0"/>
        <w:kinsoku/>
        <w:overflowPunct/>
        <w:topLinePunct w:val="0"/>
        <w:bidi w:val="0"/>
        <w:spacing w:line="312" w:lineRule="auto"/>
        <w:textAlignment w:val="auto"/>
        <w:rPr>
          <w:rFonts w:ascii="宋体" w:hAnsi="宋体"/>
          <w:color w:val="auto"/>
          <w:spacing w:val="6"/>
          <w:sz w:val="24"/>
          <w:highlight w:val="none"/>
        </w:rPr>
      </w:pPr>
    </w:p>
    <w:p w14:paraId="179E8596">
      <w:pPr>
        <w:pStyle w:val="47"/>
        <w:pageBreakBefore w:val="0"/>
        <w:kinsoku/>
        <w:overflowPunct/>
        <w:topLinePunct w:val="0"/>
        <w:bidi w:val="0"/>
        <w:spacing w:line="312" w:lineRule="auto"/>
        <w:textAlignment w:val="auto"/>
        <w:rPr>
          <w:rFonts w:ascii="宋体" w:hAnsi="宋体"/>
          <w:color w:val="auto"/>
          <w:spacing w:val="6"/>
          <w:sz w:val="24"/>
          <w:highlight w:val="none"/>
        </w:rPr>
      </w:pPr>
    </w:p>
    <w:p w14:paraId="62495C3B">
      <w:pPr>
        <w:pStyle w:val="47"/>
        <w:pageBreakBefore w:val="0"/>
        <w:kinsoku/>
        <w:overflowPunct/>
        <w:topLinePunct w:val="0"/>
        <w:bidi w:val="0"/>
        <w:spacing w:line="312" w:lineRule="auto"/>
        <w:textAlignment w:val="auto"/>
        <w:rPr>
          <w:rFonts w:ascii="宋体" w:hAnsi="宋体"/>
          <w:color w:val="auto"/>
          <w:spacing w:val="6"/>
          <w:sz w:val="24"/>
          <w:highlight w:val="none"/>
        </w:rPr>
      </w:pPr>
    </w:p>
    <w:p w14:paraId="00CF2D86">
      <w:pPr>
        <w:pStyle w:val="47"/>
        <w:pageBreakBefore w:val="0"/>
        <w:kinsoku/>
        <w:overflowPunct/>
        <w:topLinePunct w:val="0"/>
        <w:bidi w:val="0"/>
        <w:spacing w:line="312" w:lineRule="auto"/>
        <w:ind w:firstLine="5280" w:firstLineChars="2200"/>
        <w:textAlignment w:val="auto"/>
        <w:rPr>
          <w:rFonts w:ascii="宋体" w:hAnsi="宋体"/>
          <w:color w:val="auto"/>
          <w:spacing w:val="6"/>
          <w:sz w:val="24"/>
          <w:highlight w:val="none"/>
        </w:rPr>
      </w:pPr>
      <w:r>
        <w:rPr>
          <w:rFonts w:hint="eastAsia" w:ascii="宋体"/>
          <w:color w:val="auto"/>
          <w:sz w:val="24"/>
          <w:highlight w:val="none"/>
        </w:rPr>
        <w:t>供应商全称（电子印章）</w:t>
      </w:r>
      <w:r>
        <w:rPr>
          <w:rFonts w:hint="eastAsia" w:ascii="宋体" w:hAnsi="宋体"/>
          <w:color w:val="auto"/>
          <w:spacing w:val="6"/>
          <w:sz w:val="24"/>
          <w:highlight w:val="none"/>
        </w:rPr>
        <w:t>：</w:t>
      </w:r>
    </w:p>
    <w:p w14:paraId="0A2CE8F8">
      <w:pPr>
        <w:pStyle w:val="47"/>
        <w:pageBreakBefore w:val="0"/>
        <w:kinsoku/>
        <w:wordWrap w:val="0"/>
        <w:overflowPunct/>
        <w:topLinePunct w:val="0"/>
        <w:bidi w:val="0"/>
        <w:spacing w:line="312" w:lineRule="auto"/>
        <w:ind w:firstLine="5040" w:firstLineChars="2000"/>
        <w:jc w:val="right"/>
        <w:textAlignment w:val="auto"/>
        <w:rPr>
          <w:rFonts w:ascii="宋体" w:hAnsi="宋体" w:cs="宋体"/>
          <w:color w:val="auto"/>
          <w:sz w:val="24"/>
          <w:highlight w:val="none"/>
        </w:rPr>
      </w:pPr>
      <w:r>
        <w:rPr>
          <w:rFonts w:hint="eastAsia" w:ascii="宋体" w:hAnsi="宋体"/>
          <w:color w:val="auto"/>
          <w:spacing w:val="6"/>
          <w:sz w:val="24"/>
          <w:highlight w:val="none"/>
        </w:rPr>
        <w:t>日期：××年××月××日</w:t>
      </w:r>
    </w:p>
    <w:p w14:paraId="71C30887">
      <w:pPr>
        <w:pageBreakBefore w:val="0"/>
        <w:kinsoku/>
        <w:overflowPunct/>
        <w:topLinePunct w:val="0"/>
        <w:bidi w:val="0"/>
        <w:spacing w:line="312" w:lineRule="auto"/>
        <w:textAlignment w:val="auto"/>
        <w:rPr>
          <w:rFonts w:ascii="宋体" w:hAnsi="宋体" w:cs="宋体"/>
          <w:color w:val="auto"/>
          <w:sz w:val="24"/>
          <w:highlight w:val="none"/>
        </w:rPr>
      </w:pPr>
    </w:p>
    <w:p w14:paraId="1EEE1406">
      <w:pPr>
        <w:pStyle w:val="6"/>
        <w:pageBreakBefore w:val="0"/>
        <w:kinsoku/>
        <w:overflowPunct/>
        <w:topLinePunct w:val="0"/>
        <w:bidi w:val="0"/>
        <w:spacing w:line="312" w:lineRule="auto"/>
        <w:ind w:firstLine="0"/>
        <w:textAlignment w:val="auto"/>
        <w:rPr>
          <w:rFonts w:ascii="宋体" w:hAnsi="宋体" w:cs="宋体"/>
          <w:color w:val="auto"/>
          <w:sz w:val="24"/>
          <w:szCs w:val="24"/>
          <w:highlight w:val="none"/>
        </w:rPr>
      </w:pPr>
    </w:p>
    <w:p w14:paraId="36E985F9">
      <w:pPr>
        <w:pStyle w:val="6"/>
        <w:pageBreakBefore w:val="0"/>
        <w:kinsoku/>
        <w:overflowPunct/>
        <w:topLinePunct w:val="0"/>
        <w:bidi w:val="0"/>
        <w:spacing w:line="312" w:lineRule="auto"/>
        <w:textAlignment w:val="auto"/>
        <w:rPr>
          <w:rFonts w:ascii="宋体" w:hAnsi="宋体" w:cs="宋体"/>
          <w:color w:val="auto"/>
          <w:sz w:val="24"/>
          <w:szCs w:val="24"/>
          <w:highlight w:val="none"/>
        </w:rPr>
      </w:pPr>
    </w:p>
    <w:p w14:paraId="5B8466BC">
      <w:pPr>
        <w:pageBreakBefore w:val="0"/>
        <w:kinsoku/>
        <w:overflowPunct/>
        <w:topLinePunct w:val="0"/>
        <w:bidi w:val="0"/>
        <w:spacing w:line="312" w:lineRule="auto"/>
        <w:textAlignment w:val="auto"/>
        <w:rPr>
          <w:rFonts w:ascii="宋体" w:hAnsi="宋体" w:cs="宋体"/>
          <w:color w:val="auto"/>
          <w:sz w:val="24"/>
          <w:highlight w:val="none"/>
        </w:rPr>
      </w:pPr>
      <w:r>
        <w:rPr>
          <w:rFonts w:ascii="宋体" w:hAnsi="宋体" w:cs="宋体"/>
          <w:color w:val="auto"/>
          <w:sz w:val="24"/>
          <w:highlight w:val="none"/>
        </w:rPr>
        <w:pict>
          <v:line id="_x0000_s1026" o:spid="_x0000_s1026" o:spt="20" style="position:absolute;left:0pt;margin-left:0.4pt;margin-top:16.45pt;height:0pt;width:235pt;z-index:251659264;mso-width-relative:page;mso-height-relative:page;" coordsize="21600,21600" o:gfxdata="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wK5L0wAAAAYBAAAPAAAAAAAAAAEAIAAAACIAAABkcnMvZG93bnJldi54bWxQSwECFAAU&#10;AAAACACHTuJAIxRBtvYBAADUAwAADgAAAAAAAAABACAAAAAiAQAAZHJzL2Uyb0RvYy54bWxQSwUG&#10;AAAAAAYABgBZAQAAigUAAAAA&#10;">
            <v:path arrowok="t"/>
            <v:fill focussize="0,0"/>
            <v:stroke weight="1.25pt" joinstyle="miter"/>
            <v:imagedata o:title=""/>
            <o:lock v:ext="edit"/>
          </v:line>
        </w:pict>
      </w:r>
    </w:p>
    <w:p w14:paraId="2B47B272">
      <w:pPr>
        <w:pageBreakBefore w:val="0"/>
        <w:kinsoku/>
        <w:overflowPunct/>
        <w:topLinePunct w:val="0"/>
        <w:bidi w:val="0"/>
        <w:spacing w:line="312" w:lineRule="auto"/>
        <w:textAlignment w:val="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4A5506A8">
      <w:pPr>
        <w:pageBreakBefore w:val="0"/>
        <w:kinsoku/>
        <w:overflowPunct/>
        <w:topLinePunct w:val="0"/>
        <w:bidi w:val="0"/>
        <w:spacing w:line="312" w:lineRule="auto"/>
        <w:textAlignment w:val="auto"/>
        <w:rPr>
          <w:rFonts w:ascii="宋体" w:hAnsi="宋体" w:cs="宋体"/>
          <w:color w:val="auto"/>
          <w:sz w:val="24"/>
          <w:highlight w:val="none"/>
        </w:rPr>
        <w:sectPr>
          <w:headerReference r:id="rId5" w:type="first"/>
          <w:headerReference r:id="rId4" w:type="default"/>
          <w:footerReference r:id="rId6" w:type="default"/>
          <w:pgSz w:w="11906" w:h="16838"/>
          <w:pgMar w:top="1440" w:right="1418" w:bottom="1440" w:left="1418" w:header="851" w:footer="851" w:gutter="0"/>
          <w:cols w:space="720" w:num="1"/>
          <w:docGrid w:linePitch="312" w:charSpace="0"/>
        </w:sectPr>
      </w:pPr>
    </w:p>
    <w:p w14:paraId="315A5336">
      <w:pPr>
        <w:pStyle w:val="13"/>
        <w:pageBreakBefore w:val="0"/>
        <w:kinsoku/>
        <w:overflowPunct/>
        <w:topLinePunct w:val="0"/>
        <w:bidi w:val="0"/>
        <w:spacing w:line="312" w:lineRule="auto"/>
        <w:jc w:val="center"/>
        <w:textAlignment w:val="auto"/>
        <w:outlineLvl w:val="1"/>
        <w:rPr>
          <w:rFonts w:hAnsi="宋体" w:cs="宋体"/>
          <w:b/>
          <w:color w:val="auto"/>
          <w:sz w:val="32"/>
          <w:szCs w:val="32"/>
          <w:highlight w:val="none"/>
          <w:lang w:val="en-GB"/>
        </w:rPr>
      </w:pPr>
      <w:bookmarkStart w:id="182" w:name="_Toc27483_WPSOffice_Level1"/>
      <w:bookmarkStart w:id="183" w:name="_Toc17646_WPSOffice_Level1"/>
      <w:r>
        <w:rPr>
          <w:rFonts w:hint="eastAsia" w:hAnsi="宋体" w:cs="宋体"/>
          <w:b/>
          <w:color w:val="auto"/>
          <w:sz w:val="32"/>
          <w:szCs w:val="32"/>
          <w:highlight w:val="none"/>
          <w:lang w:val="en-GB"/>
        </w:rPr>
        <w:t>残疾人福利性单位声明函</w:t>
      </w:r>
      <w:bookmarkEnd w:id="182"/>
      <w:bookmarkEnd w:id="183"/>
    </w:p>
    <w:p w14:paraId="6BDC0074">
      <w:pPr>
        <w:pStyle w:val="14"/>
        <w:pageBreakBefore w:val="0"/>
        <w:kinsoku/>
        <w:overflowPunct/>
        <w:topLinePunct w:val="0"/>
        <w:bidi w:val="0"/>
        <w:spacing w:line="312" w:lineRule="auto"/>
        <w:ind w:left="5250"/>
        <w:textAlignment w:val="auto"/>
        <w:rPr>
          <w:color w:val="auto"/>
          <w:sz w:val="24"/>
          <w:szCs w:val="24"/>
          <w:highlight w:val="none"/>
          <w:lang w:val="en-GB"/>
        </w:rPr>
      </w:pPr>
    </w:p>
    <w:p w14:paraId="2D8E92F7">
      <w:pPr>
        <w:pageBreakBefore w:val="0"/>
        <w:kinsoku/>
        <w:overflowPunct/>
        <w:topLinePunct w:val="0"/>
        <w:bidi w:val="0"/>
        <w:spacing w:line="312" w:lineRule="auto"/>
        <w:ind w:firstLine="504"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w:t>
      </w:r>
    </w:p>
    <w:p w14:paraId="6A6F9427">
      <w:pPr>
        <w:pageBreakBefore w:val="0"/>
        <w:kinsoku/>
        <w:overflowPunct/>
        <w:topLinePunct w:val="0"/>
        <w:bidi w:val="0"/>
        <w:spacing w:line="312" w:lineRule="auto"/>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1CF1736A">
      <w:pPr>
        <w:pageBreakBefore w:val="0"/>
        <w:kinsoku/>
        <w:overflowPunct/>
        <w:topLinePunct w:val="0"/>
        <w:bidi w:val="0"/>
        <w:spacing w:line="312" w:lineRule="auto"/>
        <w:ind w:firstLine="504" w:firstLineChars="200"/>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63EE0C05">
      <w:pPr>
        <w:pageBreakBefore w:val="0"/>
        <w:tabs>
          <w:tab w:val="left" w:pos="4860"/>
        </w:tabs>
        <w:kinsoku/>
        <w:overflowPunct/>
        <w:topLinePunct w:val="0"/>
        <w:bidi w:val="0"/>
        <w:spacing w:line="312" w:lineRule="auto"/>
        <w:ind w:right="1560" w:firstLine="504" w:firstLineChars="200"/>
        <w:jc w:val="center"/>
        <w:textAlignment w:val="auto"/>
        <w:rPr>
          <w:rFonts w:ascii="宋体" w:hAnsi="宋体" w:cs="宋体"/>
          <w:color w:val="auto"/>
          <w:spacing w:val="6"/>
          <w:sz w:val="24"/>
          <w:highlight w:val="none"/>
        </w:rPr>
      </w:pPr>
    </w:p>
    <w:p w14:paraId="2720352A">
      <w:pPr>
        <w:pageBreakBefore w:val="0"/>
        <w:tabs>
          <w:tab w:val="left" w:pos="4860"/>
        </w:tabs>
        <w:kinsoku/>
        <w:overflowPunct/>
        <w:topLinePunct w:val="0"/>
        <w:bidi w:val="0"/>
        <w:spacing w:line="312" w:lineRule="auto"/>
        <w:ind w:right="1560" w:firstLine="504" w:firstLineChars="200"/>
        <w:jc w:val="center"/>
        <w:textAlignment w:val="auto"/>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r>
        <w:rPr>
          <w:rFonts w:hint="eastAsia" w:ascii="宋体"/>
          <w:color w:val="auto"/>
          <w:sz w:val="24"/>
          <w:highlight w:val="none"/>
        </w:rPr>
        <w:t>供应商全称（电子印章）</w:t>
      </w:r>
      <w:r>
        <w:rPr>
          <w:rFonts w:hint="eastAsia" w:ascii="宋体" w:hAnsi="宋体" w:cs="宋体"/>
          <w:color w:val="auto"/>
          <w:spacing w:val="6"/>
          <w:sz w:val="24"/>
          <w:highlight w:val="none"/>
        </w:rPr>
        <w:t>：</w:t>
      </w:r>
    </w:p>
    <w:p w14:paraId="5C26647A">
      <w:pPr>
        <w:pageBreakBefore w:val="0"/>
        <w:tabs>
          <w:tab w:val="left" w:pos="4860"/>
        </w:tabs>
        <w:kinsoku/>
        <w:overflowPunct/>
        <w:topLinePunct w:val="0"/>
        <w:bidi w:val="0"/>
        <w:spacing w:line="312" w:lineRule="auto"/>
        <w:ind w:right="1560" w:firstLine="504" w:firstLineChars="200"/>
        <w:jc w:val="center"/>
        <w:textAlignment w:val="auto"/>
        <w:rPr>
          <w:rFonts w:ascii="宋体" w:hAnsi="宋体" w:cs="宋体"/>
          <w:color w:val="auto"/>
          <w:spacing w:val="6"/>
          <w:sz w:val="24"/>
          <w:highlight w:val="none"/>
        </w:rPr>
      </w:pPr>
    </w:p>
    <w:p w14:paraId="64CFB3D0">
      <w:pPr>
        <w:pageBreakBefore w:val="0"/>
        <w:tabs>
          <w:tab w:val="left" w:pos="4860"/>
        </w:tabs>
        <w:kinsoku/>
        <w:overflowPunct/>
        <w:topLinePunct w:val="0"/>
        <w:bidi w:val="0"/>
        <w:spacing w:line="312" w:lineRule="auto"/>
        <w:ind w:right="1560" w:firstLine="504" w:firstLineChars="200"/>
        <w:jc w:val="center"/>
        <w:textAlignment w:val="auto"/>
        <w:rPr>
          <w:rFonts w:ascii="宋体" w:hAnsi="宋体" w:cs="宋体"/>
          <w:color w:val="auto"/>
          <w:sz w:val="24"/>
          <w:highlight w:val="none"/>
        </w:rPr>
      </w:pPr>
      <w:r>
        <w:rPr>
          <w:rFonts w:hint="eastAsia" w:ascii="宋体" w:hAnsi="宋体" w:cs="宋体"/>
          <w:color w:val="auto"/>
          <w:spacing w:val="6"/>
          <w:sz w:val="24"/>
          <w:highlight w:val="none"/>
        </w:rPr>
        <w:t xml:space="preserve">                                  日  期  ：</w:t>
      </w:r>
    </w:p>
    <w:p w14:paraId="0EA2D9DA">
      <w:pPr>
        <w:pageBreakBefore w:val="0"/>
        <w:kinsoku/>
        <w:overflowPunct/>
        <w:topLinePunct w:val="0"/>
        <w:bidi w:val="0"/>
        <w:spacing w:line="312" w:lineRule="auto"/>
        <w:textAlignment w:val="auto"/>
        <w:rPr>
          <w:color w:val="auto"/>
          <w:highlight w:val="none"/>
        </w:rPr>
      </w:pPr>
    </w:p>
    <w:p w14:paraId="20A088B8">
      <w:pPr>
        <w:pStyle w:val="29"/>
        <w:pageBreakBefore w:val="0"/>
        <w:kinsoku/>
        <w:overflowPunct/>
        <w:topLinePunct w:val="0"/>
        <w:bidi w:val="0"/>
        <w:spacing w:line="312" w:lineRule="auto"/>
        <w:textAlignment w:val="auto"/>
        <w:rPr>
          <w:color w:val="auto"/>
          <w:highlight w:val="none"/>
        </w:rPr>
      </w:pPr>
    </w:p>
    <w:p w14:paraId="4B0A7BC1">
      <w:pPr>
        <w:pageBreakBefore w:val="0"/>
        <w:kinsoku/>
        <w:overflowPunct/>
        <w:topLinePunct w:val="0"/>
        <w:bidi w:val="0"/>
        <w:spacing w:line="312" w:lineRule="auto"/>
        <w:textAlignment w:val="auto"/>
        <w:rPr>
          <w:color w:val="auto"/>
          <w:highlight w:val="none"/>
        </w:rPr>
      </w:pPr>
    </w:p>
    <w:p w14:paraId="6E3DCD11">
      <w:pPr>
        <w:pStyle w:val="29"/>
        <w:pageBreakBefore w:val="0"/>
        <w:kinsoku/>
        <w:overflowPunct/>
        <w:topLinePunct w:val="0"/>
        <w:bidi w:val="0"/>
        <w:spacing w:line="312" w:lineRule="auto"/>
        <w:textAlignment w:val="auto"/>
        <w:rPr>
          <w:color w:val="auto"/>
          <w:highlight w:val="none"/>
        </w:rPr>
      </w:pPr>
    </w:p>
    <w:p w14:paraId="0A3068E5">
      <w:pPr>
        <w:pageBreakBefore w:val="0"/>
        <w:kinsoku/>
        <w:overflowPunct/>
        <w:topLinePunct w:val="0"/>
        <w:bidi w:val="0"/>
        <w:spacing w:line="312" w:lineRule="auto"/>
        <w:textAlignment w:val="auto"/>
        <w:rPr>
          <w:color w:val="auto"/>
          <w:highlight w:val="none"/>
        </w:rPr>
      </w:pPr>
    </w:p>
    <w:p w14:paraId="2ECDFC8F">
      <w:pPr>
        <w:pStyle w:val="29"/>
        <w:pageBreakBefore w:val="0"/>
        <w:kinsoku/>
        <w:overflowPunct/>
        <w:topLinePunct w:val="0"/>
        <w:bidi w:val="0"/>
        <w:spacing w:line="312" w:lineRule="auto"/>
        <w:textAlignment w:val="auto"/>
        <w:rPr>
          <w:color w:val="auto"/>
          <w:highlight w:val="none"/>
        </w:rPr>
      </w:pPr>
    </w:p>
    <w:p w14:paraId="3A7D3E32">
      <w:pPr>
        <w:pageBreakBefore w:val="0"/>
        <w:kinsoku/>
        <w:overflowPunct/>
        <w:topLinePunct w:val="0"/>
        <w:bidi w:val="0"/>
        <w:spacing w:line="312" w:lineRule="auto"/>
        <w:textAlignment w:val="auto"/>
        <w:rPr>
          <w:color w:val="auto"/>
          <w:highlight w:val="none"/>
        </w:rPr>
      </w:pPr>
    </w:p>
    <w:p w14:paraId="51901E6E">
      <w:pPr>
        <w:pageBreakBefore w:val="0"/>
        <w:kinsoku/>
        <w:overflowPunct/>
        <w:topLinePunct w:val="0"/>
        <w:bidi w:val="0"/>
        <w:spacing w:line="312" w:lineRule="auto"/>
        <w:textAlignment w:val="auto"/>
        <w:rPr>
          <w:color w:val="auto"/>
          <w:highlight w:val="none"/>
        </w:rPr>
      </w:pPr>
    </w:p>
    <w:p w14:paraId="262C9001">
      <w:pPr>
        <w:pageBreakBefore w:val="0"/>
        <w:kinsoku/>
        <w:overflowPunct/>
        <w:topLinePunct w:val="0"/>
        <w:bidi w:val="0"/>
        <w:spacing w:line="312" w:lineRule="auto"/>
        <w:textAlignment w:val="auto"/>
        <w:rPr>
          <w:color w:val="auto"/>
          <w:highlight w:val="none"/>
        </w:rPr>
      </w:pPr>
    </w:p>
    <w:p w14:paraId="06687407">
      <w:pPr>
        <w:pageBreakBefore w:val="0"/>
        <w:kinsoku/>
        <w:overflowPunct/>
        <w:topLinePunct w:val="0"/>
        <w:bidi w:val="0"/>
        <w:spacing w:line="312" w:lineRule="auto"/>
        <w:textAlignment w:val="auto"/>
        <w:rPr>
          <w:color w:val="auto"/>
          <w:highlight w:val="none"/>
        </w:rPr>
      </w:pPr>
    </w:p>
    <w:p w14:paraId="4221DD19">
      <w:pPr>
        <w:pageBreakBefore w:val="0"/>
        <w:kinsoku/>
        <w:overflowPunct/>
        <w:topLinePunct w:val="0"/>
        <w:bidi w:val="0"/>
        <w:spacing w:line="312" w:lineRule="auto"/>
        <w:textAlignment w:val="auto"/>
        <w:rPr>
          <w:color w:val="auto"/>
          <w:highlight w:val="none"/>
        </w:rPr>
      </w:pPr>
    </w:p>
    <w:p w14:paraId="0E49199A">
      <w:pPr>
        <w:pageBreakBefore w:val="0"/>
        <w:kinsoku/>
        <w:overflowPunct/>
        <w:topLinePunct w:val="0"/>
        <w:bidi w:val="0"/>
        <w:spacing w:line="312" w:lineRule="auto"/>
        <w:textAlignment w:val="auto"/>
        <w:rPr>
          <w:color w:val="auto"/>
          <w:highlight w:val="none"/>
        </w:rPr>
      </w:pPr>
    </w:p>
    <w:p w14:paraId="488490F2">
      <w:pPr>
        <w:pageBreakBefore w:val="0"/>
        <w:kinsoku/>
        <w:overflowPunct/>
        <w:topLinePunct w:val="0"/>
        <w:bidi w:val="0"/>
        <w:spacing w:line="312" w:lineRule="auto"/>
        <w:textAlignment w:val="auto"/>
        <w:rPr>
          <w:color w:val="auto"/>
          <w:highlight w:val="none"/>
        </w:rPr>
      </w:pPr>
    </w:p>
    <w:p w14:paraId="7A4E3A32">
      <w:pPr>
        <w:pageBreakBefore w:val="0"/>
        <w:kinsoku/>
        <w:overflowPunct/>
        <w:topLinePunct w:val="0"/>
        <w:bidi w:val="0"/>
        <w:spacing w:line="312" w:lineRule="auto"/>
        <w:textAlignment w:val="auto"/>
        <w:rPr>
          <w:color w:val="auto"/>
          <w:highlight w:val="none"/>
        </w:rPr>
      </w:pPr>
    </w:p>
    <w:p w14:paraId="4021E4A6">
      <w:pPr>
        <w:pageBreakBefore w:val="0"/>
        <w:kinsoku/>
        <w:overflowPunct/>
        <w:topLinePunct w:val="0"/>
        <w:bidi w:val="0"/>
        <w:spacing w:line="312" w:lineRule="auto"/>
        <w:textAlignment w:val="auto"/>
        <w:rPr>
          <w:color w:val="auto"/>
          <w:highlight w:val="none"/>
        </w:rPr>
      </w:pPr>
    </w:p>
    <w:p w14:paraId="1B785D8C">
      <w:pPr>
        <w:pageBreakBefore w:val="0"/>
        <w:kinsoku/>
        <w:overflowPunct/>
        <w:topLinePunct w:val="0"/>
        <w:bidi w:val="0"/>
        <w:spacing w:line="312" w:lineRule="auto"/>
        <w:textAlignment w:val="auto"/>
        <w:rPr>
          <w:color w:val="auto"/>
          <w:highlight w:val="none"/>
        </w:rPr>
      </w:pPr>
    </w:p>
    <w:p w14:paraId="37FB2449">
      <w:pPr>
        <w:pageBreakBefore w:val="0"/>
        <w:kinsoku/>
        <w:overflowPunct/>
        <w:topLinePunct w:val="0"/>
        <w:bidi w:val="0"/>
        <w:spacing w:line="312" w:lineRule="auto"/>
        <w:textAlignment w:val="auto"/>
        <w:rPr>
          <w:color w:val="auto"/>
          <w:highlight w:val="none"/>
        </w:rPr>
      </w:pPr>
    </w:p>
    <w:p w14:paraId="215D1C42">
      <w:pPr>
        <w:pageBreakBefore w:val="0"/>
        <w:kinsoku/>
        <w:overflowPunct/>
        <w:topLinePunct w:val="0"/>
        <w:bidi w:val="0"/>
        <w:spacing w:line="312" w:lineRule="auto"/>
        <w:textAlignment w:val="auto"/>
        <w:rPr>
          <w:color w:val="auto"/>
          <w:highlight w:val="none"/>
        </w:rPr>
      </w:pPr>
    </w:p>
    <w:p w14:paraId="17054DE5">
      <w:pPr>
        <w:pageBreakBefore w:val="0"/>
        <w:kinsoku/>
        <w:overflowPunct/>
        <w:topLinePunct w:val="0"/>
        <w:bidi w:val="0"/>
        <w:spacing w:line="312" w:lineRule="auto"/>
        <w:textAlignment w:val="auto"/>
        <w:rPr>
          <w:color w:val="auto"/>
          <w:highlight w:val="none"/>
        </w:rPr>
      </w:pPr>
    </w:p>
    <w:p w14:paraId="3663072D">
      <w:pPr>
        <w:pageBreakBefore w:val="0"/>
        <w:kinsoku/>
        <w:overflowPunct/>
        <w:topLinePunct w:val="0"/>
        <w:bidi w:val="0"/>
        <w:spacing w:line="312" w:lineRule="auto"/>
        <w:textAlignment w:val="auto"/>
        <w:rPr>
          <w:color w:val="auto"/>
          <w:highlight w:val="none"/>
        </w:rPr>
      </w:pPr>
    </w:p>
    <w:p w14:paraId="13D11C4B">
      <w:pPr>
        <w:pStyle w:val="29"/>
        <w:pageBreakBefore w:val="0"/>
        <w:kinsoku/>
        <w:overflowPunct/>
        <w:topLinePunct w:val="0"/>
        <w:bidi w:val="0"/>
        <w:spacing w:line="312" w:lineRule="auto"/>
        <w:textAlignment w:val="auto"/>
        <w:rPr>
          <w:color w:val="auto"/>
          <w:highlight w:val="none"/>
        </w:rPr>
      </w:pPr>
    </w:p>
    <w:p w14:paraId="2AA3DD81">
      <w:pPr>
        <w:pageBreakBefore w:val="0"/>
        <w:kinsoku/>
        <w:overflowPunct/>
        <w:topLinePunct w:val="0"/>
        <w:bidi w:val="0"/>
        <w:spacing w:line="312" w:lineRule="auto"/>
        <w:textAlignment w:val="auto"/>
        <w:rPr>
          <w:color w:val="auto"/>
          <w:highlight w:val="none"/>
        </w:rPr>
      </w:pPr>
    </w:p>
    <w:p w14:paraId="4BC559B5">
      <w:pPr>
        <w:pStyle w:val="29"/>
        <w:pageBreakBefore w:val="0"/>
        <w:kinsoku/>
        <w:overflowPunct/>
        <w:topLinePunct w:val="0"/>
        <w:bidi w:val="0"/>
        <w:spacing w:line="312" w:lineRule="auto"/>
        <w:textAlignment w:val="auto"/>
        <w:rPr>
          <w:color w:val="auto"/>
          <w:highlight w:val="none"/>
        </w:rPr>
      </w:pPr>
    </w:p>
    <w:p w14:paraId="2F9D9872">
      <w:pPr>
        <w:pageBreakBefore w:val="0"/>
        <w:kinsoku/>
        <w:overflowPunct/>
        <w:topLinePunct w:val="0"/>
        <w:bidi w:val="0"/>
        <w:spacing w:line="312" w:lineRule="auto"/>
        <w:textAlignment w:val="auto"/>
        <w:rPr>
          <w:color w:val="auto"/>
          <w:highlight w:val="none"/>
        </w:rPr>
      </w:pPr>
    </w:p>
    <w:p w14:paraId="09189C9E">
      <w:pPr>
        <w:pStyle w:val="29"/>
        <w:pageBreakBefore w:val="0"/>
        <w:kinsoku/>
        <w:overflowPunct/>
        <w:topLinePunct w:val="0"/>
        <w:bidi w:val="0"/>
        <w:spacing w:line="312" w:lineRule="auto"/>
        <w:textAlignment w:val="auto"/>
        <w:rPr>
          <w:color w:val="auto"/>
          <w:highlight w:val="none"/>
        </w:rPr>
      </w:pPr>
    </w:p>
    <w:p w14:paraId="7AD8464C">
      <w:pPr>
        <w:pageBreakBefore w:val="0"/>
        <w:kinsoku/>
        <w:overflowPunct/>
        <w:topLinePunct w:val="0"/>
        <w:bidi w:val="0"/>
        <w:spacing w:line="312" w:lineRule="auto"/>
        <w:textAlignment w:val="auto"/>
        <w:rPr>
          <w:color w:val="auto"/>
          <w:highlight w:val="none"/>
        </w:rPr>
      </w:pPr>
    </w:p>
    <w:p w14:paraId="4DFC3E59">
      <w:pPr>
        <w:pStyle w:val="29"/>
        <w:pageBreakBefore w:val="0"/>
        <w:kinsoku/>
        <w:overflowPunct/>
        <w:topLinePunct w:val="0"/>
        <w:bidi w:val="0"/>
        <w:spacing w:line="312" w:lineRule="auto"/>
        <w:textAlignment w:val="auto"/>
        <w:rPr>
          <w:color w:val="auto"/>
          <w:highlight w:val="none"/>
        </w:rPr>
      </w:pPr>
    </w:p>
    <w:p w14:paraId="4CBF6187">
      <w:pPr>
        <w:pageBreakBefore w:val="0"/>
        <w:kinsoku/>
        <w:overflowPunct/>
        <w:topLinePunct w:val="0"/>
        <w:bidi w:val="0"/>
        <w:spacing w:line="312" w:lineRule="auto"/>
        <w:textAlignment w:val="auto"/>
        <w:rPr>
          <w:color w:val="auto"/>
          <w:highlight w:val="none"/>
        </w:rPr>
      </w:pPr>
    </w:p>
    <w:p w14:paraId="6B5C7876">
      <w:pPr>
        <w:pStyle w:val="29"/>
        <w:pageBreakBefore w:val="0"/>
        <w:kinsoku/>
        <w:overflowPunct/>
        <w:topLinePunct w:val="0"/>
        <w:bidi w:val="0"/>
        <w:spacing w:line="312" w:lineRule="auto"/>
        <w:textAlignment w:val="auto"/>
        <w:rPr>
          <w:color w:val="auto"/>
          <w:highlight w:val="none"/>
        </w:rPr>
      </w:pPr>
    </w:p>
    <w:p w14:paraId="218C00BE">
      <w:pPr>
        <w:pageBreakBefore w:val="0"/>
        <w:kinsoku/>
        <w:overflowPunct/>
        <w:topLinePunct w:val="0"/>
        <w:bidi w:val="0"/>
        <w:spacing w:line="312" w:lineRule="auto"/>
        <w:textAlignment w:val="auto"/>
        <w:rPr>
          <w:color w:val="auto"/>
          <w:highlight w:val="none"/>
        </w:rPr>
      </w:pPr>
    </w:p>
    <w:p w14:paraId="7D8D2422">
      <w:pPr>
        <w:pStyle w:val="29"/>
        <w:pageBreakBefore w:val="0"/>
        <w:kinsoku/>
        <w:overflowPunct/>
        <w:topLinePunct w:val="0"/>
        <w:bidi w:val="0"/>
        <w:spacing w:line="312" w:lineRule="auto"/>
        <w:jc w:val="center"/>
        <w:textAlignment w:val="auto"/>
        <w:rPr>
          <w:rFonts w:hint="eastAsia" w:ascii="宋体" w:hAnsi="宋体" w:eastAsia="宋体" w:cs="宋体"/>
          <w:b/>
          <w:color w:val="auto"/>
          <w:kern w:val="2"/>
          <w:sz w:val="32"/>
          <w:szCs w:val="32"/>
          <w:highlight w:val="none"/>
          <w:lang w:val="en-GB" w:eastAsia="zh-CN" w:bidi="ar-SA"/>
        </w:rPr>
      </w:pPr>
      <w:r>
        <w:rPr>
          <w:rFonts w:hint="eastAsia" w:ascii="宋体" w:hAnsi="宋体" w:eastAsia="宋体" w:cs="宋体"/>
          <w:b/>
          <w:color w:val="auto"/>
          <w:kern w:val="2"/>
          <w:sz w:val="32"/>
          <w:szCs w:val="32"/>
          <w:highlight w:val="none"/>
          <w:lang w:val="en-GB" w:eastAsia="zh-CN" w:bidi="ar-SA"/>
        </w:rPr>
        <w:t>监狱企业声明函</w:t>
      </w:r>
    </w:p>
    <w:p w14:paraId="4D21524D">
      <w:pPr>
        <w:pageBreakBefore w:val="0"/>
        <w:kinsoku/>
        <w:overflowPunct/>
        <w:topLinePunct w:val="0"/>
        <w:bidi w:val="0"/>
        <w:spacing w:line="312" w:lineRule="auto"/>
        <w:jc w:val="center"/>
        <w:textAlignment w:val="auto"/>
        <w:rPr>
          <w:rFonts w:hint="default" w:ascii="宋体" w:hAnsi="宋体" w:cs="宋体"/>
          <w:color w:val="auto"/>
          <w:spacing w:val="6"/>
          <w:sz w:val="24"/>
          <w:highlight w:val="none"/>
          <w:lang w:val="en-US" w:eastAsia="zh-CN"/>
        </w:rPr>
      </w:pPr>
      <w:r>
        <w:rPr>
          <w:rFonts w:hint="eastAsia" w:ascii="宋体" w:hAnsi="宋体" w:cs="宋体"/>
          <w:color w:val="auto"/>
          <w:spacing w:val="6"/>
          <w:sz w:val="24"/>
          <w:highlight w:val="none"/>
          <w:lang w:val="en-GB" w:eastAsia="zh-CN"/>
        </w:rPr>
        <w:t>（</w:t>
      </w:r>
      <w:r>
        <w:rPr>
          <w:rFonts w:hint="eastAsia" w:ascii="宋体" w:hAnsi="宋体" w:cs="宋体"/>
          <w:color w:val="auto"/>
          <w:spacing w:val="6"/>
          <w:sz w:val="24"/>
          <w:highlight w:val="none"/>
          <w:lang w:val="en-US" w:eastAsia="zh-CN"/>
        </w:rPr>
        <w:t>格式自拟）</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3D04">
    <w:pPr>
      <w:pStyle w:val="17"/>
      <w:jc w:val="left"/>
      <w:rPr>
        <w:rFonts w:ascii="仿宋_GB2312" w:eastAsia="仿宋_GB2312"/>
      </w:rPr>
    </w:pPr>
    <w:r>
      <w:rPr>
        <w:sz w:val="18"/>
      </w:rPr>
      <w:pict>
        <v:shape id="文本框 4"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path/>
          <v:fill on="f" focussize="0,0"/>
          <v:stroke on="f" weight="1.25pt"/>
          <v:imagedata o:title=""/>
          <o:lock v:ext="edit" aspectratio="f"/>
          <v:textbox inset="0mm,0mm,0mm,0mm" style="mso-fit-shape-to-text:t;">
            <w:txbxContent>
              <w:p w14:paraId="1CFBCE65">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w:r>
    <w:r>
      <w:rPr>
        <w:rFonts w:ascii="Times New Roman" w:hAnsi="Times New Roman" w:eastAsia="宋体" w:cs="Times New Roman"/>
        <w:kern w:val="2"/>
        <w:sz w:val="18"/>
        <w:szCs w:val="18"/>
        <w:lang w:val="en-US" w:eastAsia="zh-CN" w:bidi="ar-SA"/>
      </w:rPr>
      <w:pict>
        <v:rect id="矩形 14" o:spid="_x0000_s2052"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HCXrGAQAAnAMAAA4AAABkcnMvZTJvRG9jLnhtbK1TS27bMBDdF8gd&#10;CO5jyUZR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YbmoT3nDlhqeO/vn7/+eMbowK5&#10;0wes6NBzeIIpQwqT1KEFm74kgg3Z0fPFUTVEJqm4XK/W65LMlrQ3J4RTvFwPgPFeectSUHOglmUn&#10;xekB43h0PpJec/5OG0N1URn3V4Ewx4rKfZ9uJ/4j4xTFYT9MMva+OZP0nnpfc0ejzpn56MjaNCZz&#10;AHOwn4NjAH3oiOgys8Rwe4xEKTNNL4ywpDAl1LSsdRqwNBV/5vnUy0+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kocJesYBAACcAwAADgAAAAAAAAABACAAAAAfAQAAZHJzL2Uyb0RvYy54&#10;bWxQSwUGAAAAAAYABgBZAQAAVwUAAAAA&#10;">
          <v:path/>
          <v:fill on="f" focussize="0,0"/>
          <v:stroke on="f"/>
          <v:imagedata o:title=""/>
          <o:lock v:ext="edit" aspectratio="f"/>
          <v:textbox inset="0mm,0mm,0mm,0mm" style="mso-fit-shape-to-text:t;">
            <w:txbxContent>
              <w:p w14:paraId="4889D2EA">
                <w:pPr>
                  <w:pStyle w:val="17"/>
                  <w:jc w:val="left"/>
                </w:pPr>
              </w:p>
              <w:p w14:paraId="035EE0DF"/>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B479">
    <w:pPr>
      <w:pStyle w:val="17"/>
    </w:pPr>
    <w:r>
      <w:pict>
        <v:shape id="_x0000_s2050" o:spid="_x0000_s2050" o:spt="202" type="#_x0000_t202" style="position:absolute;left:0pt;margin-top:0pt;height:10.85pt;width:9.55pt;mso-position-horizontal:center;mso-position-horizontal-relative:margin;mso-wrap-style:none;z-index:251659264;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qzEdIAAAADAQAADwAAAAAAAAABACAAAAAiAAAAZHJzL2Rvd25yZXYueG1s&#10;UEsBAhQAFAAAAAgAh07iQEz0dNg3AgAAYQQAAA4AAAAAAAAAAQAgAAAAIQEAAGRycy9lMm9Eb2Mu&#10;eG1sUEsFBgAAAAAGAAYAWQEAAMoFAAAAAA==&#10;">
          <v:path/>
          <v:fill on="f" focussize="0,0"/>
          <v:stroke on="f" weight="0.5pt" joinstyle="miter"/>
          <v:imagedata o:title=""/>
          <o:lock v:ext="edit"/>
          <v:textbox inset="0mm,0mm,0mm,0mm" style="mso-fit-shape-to-text:t;">
            <w:txbxContent>
              <w:p w14:paraId="2DD768DB">
                <w:pPr>
                  <w:pStyle w:val="17"/>
                </w:pPr>
                <w:r>
                  <w:fldChar w:fldCharType="begin"/>
                </w:r>
                <w:r>
                  <w:instrText xml:space="preserve"> PAGE  \* MERGEFORMAT </w:instrText>
                </w:r>
                <w:r>
                  <w:fldChar w:fldCharType="separate"/>
                </w:r>
                <w:r>
                  <w:t>16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0211">
    <w:pPr>
      <w:pStyle w:val="17"/>
    </w:pPr>
    <w:r>
      <w:pict>
        <v:shape id="_x0000_s2049" o:spid="_x0000_s2049" o:spt="202" type="#_x0000_t202" style="position:absolute;left:0pt;margin-top:0pt;height:10.85pt;width:9.55pt;mso-position-horizontal:center;mso-position-horizontal-relative:margin;mso-wrap-style:none;z-index:251660288;mso-width-relative:page;mso-height-relative:page;" filled="f" stroked="f" coordsize="21600,21600" o:gfxdata="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qzEdIAAAADAQAADwAAAAAAAAABACAAAAAiAAAAZHJzL2Rvd25yZXYueG1s&#10;UEsBAhQAFAAAAAgAh07iQH7oRnI3AgAAYQQAAA4AAAAAAAAAAQAgAAAAIQEAAGRycy9lMm9Eb2Mu&#10;eG1sUEsFBgAAAAAGAAYAWQEAAMoFAAAAAA==&#10;">
          <v:path/>
          <v:fill on="f" focussize="0,0"/>
          <v:stroke on="f" weight="0.5pt" joinstyle="miter"/>
          <v:imagedata o:title=""/>
          <o:lock v:ext="edit"/>
          <v:textbox inset="0mm,0mm,0mm,0mm" style="mso-fit-shape-to-text:t;">
            <w:txbxContent>
              <w:p w14:paraId="0D333574">
                <w:pPr>
                  <w:pStyle w:val="17"/>
                </w:pPr>
                <w:r>
                  <w:fldChar w:fldCharType="begin"/>
                </w:r>
                <w:r>
                  <w:instrText xml:space="preserve"> PAGE  \* MERGEFORMAT </w:instrText>
                </w:r>
                <w:r>
                  <w:fldChar w:fldCharType="separate"/>
                </w:r>
                <w:r>
                  <w:t>48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1FE0">
    <w:pPr>
      <w:spacing w:line="20" w:lineRule="atLeast"/>
      <w:rPr>
        <w:b/>
        <w:color w:val="000000" w:themeColor="text1"/>
        <w:sz w:val="10"/>
        <w:u w:val="single"/>
      </w:rPr>
    </w:pPr>
    <w:r>
      <w:rPr>
        <w:rFonts w:hint="eastAsia"/>
        <w:b/>
        <w:i/>
        <w:color w:val="000000" w:themeColor="text1"/>
        <w:kern w:val="0"/>
        <w:sz w:val="18"/>
        <w:u w:val="single"/>
      </w:rPr>
      <w:t xml:space="preserve">政府采购竞争性磋商文件--服务                                                         </w:t>
    </w:r>
    <w:r>
      <w:rPr>
        <w:rFonts w:hint="eastAsia"/>
        <w:b/>
        <w:i/>
        <w:color w:val="000000" w:themeColor="text1"/>
        <w:spacing w:val="-20"/>
        <w:kern w:val="0"/>
        <w:sz w:val="18"/>
        <w:u w:val="single"/>
      </w:rPr>
      <w:t xml:space="preserve">第  </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16</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页 共 </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48</w:t>
    </w:r>
    <w:r>
      <w:rPr>
        <w:b/>
        <w:i/>
        <w:color w:val="000000" w:themeColor="text1"/>
        <w:spacing w:val="-20"/>
        <w:kern w:val="0"/>
        <w:sz w:val="18"/>
        <w:u w:val="single"/>
      </w:rPr>
      <w:fldChar w:fldCharType="end"/>
    </w:r>
    <w:r>
      <w:rPr>
        <w:rFonts w:hint="eastAsia"/>
        <w:b/>
        <w:i/>
        <w:color w:val="000000" w:themeColor="text1"/>
        <w:spacing w:val="-20"/>
        <w:kern w:val="0"/>
        <w:sz w:val="18"/>
        <w:u w:val="single"/>
      </w:rPr>
      <w:t xml:space="preserve"> 页</w:t>
    </w:r>
  </w:p>
  <w:p w14:paraId="33FFB303">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0C1E">
    <w:pPr>
      <w:pStyle w:val="18"/>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E011">
    <w:pPr>
      <w:spacing w:line="20" w:lineRule="atLeast"/>
      <w:rPr>
        <w:b/>
        <w:color w:val="000000" w:themeColor="text1"/>
        <w:sz w:val="10"/>
        <w:u w:val="single"/>
      </w:rPr>
    </w:pPr>
    <w:r>
      <w:rPr>
        <w:rFonts w:hint="eastAsia"/>
        <w:b/>
        <w:i/>
        <w:color w:val="000000" w:themeColor="text1"/>
        <w:kern w:val="0"/>
        <w:sz w:val="18"/>
        <w:u w:val="single"/>
      </w:rPr>
      <w:t xml:space="preserve">Xxx政府采购采购文件                                                            </w:t>
    </w:r>
    <w:r>
      <w:rPr>
        <w:rFonts w:hint="eastAsia"/>
        <w:b/>
        <w:i/>
        <w:color w:val="000000" w:themeColor="text1"/>
        <w:spacing w:val="-20"/>
        <w:kern w:val="0"/>
        <w:sz w:val="18"/>
        <w:u w:val="single"/>
      </w:rPr>
      <w:t>第</w:t>
    </w:r>
    <w:r>
      <w:rPr>
        <w:b/>
        <w:i/>
        <w:color w:val="000000" w:themeColor="text1"/>
        <w:spacing w:val="-20"/>
        <w:kern w:val="0"/>
        <w:sz w:val="18"/>
        <w:u w:val="single"/>
      </w:rPr>
      <w:fldChar w:fldCharType="begin"/>
    </w:r>
    <w:r>
      <w:rPr>
        <w:b/>
        <w:i/>
        <w:color w:val="000000" w:themeColor="text1"/>
        <w:spacing w:val="-20"/>
        <w:kern w:val="0"/>
        <w:sz w:val="18"/>
        <w:u w:val="single"/>
      </w:rPr>
      <w:instrText xml:space="preserve"> PAGE </w:instrText>
    </w:r>
    <w:r>
      <w:rPr>
        <w:b/>
        <w:i/>
        <w:color w:val="000000" w:themeColor="text1"/>
        <w:spacing w:val="-20"/>
        <w:kern w:val="0"/>
        <w:sz w:val="18"/>
        <w:u w:val="single"/>
      </w:rPr>
      <w:fldChar w:fldCharType="separate"/>
    </w:r>
    <w:r>
      <w:rPr>
        <w:b/>
        <w:i/>
        <w:color w:val="000000" w:themeColor="text1"/>
        <w:spacing w:val="-20"/>
        <w:kern w:val="0"/>
        <w:sz w:val="18"/>
        <w:u w:val="single"/>
      </w:rPr>
      <w:t>48</w:t>
    </w:r>
    <w:r>
      <w:rPr>
        <w:b/>
        <w:i/>
        <w:color w:val="000000" w:themeColor="text1"/>
        <w:spacing w:val="-20"/>
        <w:kern w:val="0"/>
        <w:sz w:val="18"/>
        <w:u w:val="single"/>
      </w:rPr>
      <w:fldChar w:fldCharType="end"/>
    </w:r>
    <w:r>
      <w:rPr>
        <w:rFonts w:hint="eastAsia"/>
        <w:b/>
        <w:i/>
        <w:color w:val="000000" w:themeColor="text1"/>
        <w:spacing w:val="-20"/>
        <w:kern w:val="0"/>
        <w:sz w:val="18"/>
        <w:u w:val="single"/>
      </w:rPr>
      <w:t>页共</w:t>
    </w:r>
    <w:r>
      <w:rPr>
        <w:b/>
        <w:i/>
        <w:color w:val="000000" w:themeColor="text1"/>
        <w:spacing w:val="-20"/>
        <w:kern w:val="0"/>
        <w:sz w:val="18"/>
        <w:u w:val="single"/>
      </w:rPr>
      <w:fldChar w:fldCharType="begin"/>
    </w:r>
    <w:r>
      <w:rPr>
        <w:b/>
        <w:i/>
        <w:color w:val="000000" w:themeColor="text1"/>
        <w:spacing w:val="-20"/>
        <w:kern w:val="0"/>
        <w:sz w:val="18"/>
        <w:u w:val="single"/>
      </w:rPr>
      <w:instrText xml:space="preserve"> NUMPAGES </w:instrText>
    </w:r>
    <w:r>
      <w:rPr>
        <w:b/>
        <w:i/>
        <w:color w:val="000000" w:themeColor="text1"/>
        <w:spacing w:val="-20"/>
        <w:kern w:val="0"/>
        <w:sz w:val="18"/>
        <w:u w:val="single"/>
      </w:rPr>
      <w:fldChar w:fldCharType="separate"/>
    </w:r>
    <w:r>
      <w:rPr>
        <w:b/>
        <w:i/>
        <w:color w:val="000000" w:themeColor="text1"/>
        <w:spacing w:val="-20"/>
        <w:kern w:val="0"/>
        <w:sz w:val="18"/>
        <w:u w:val="single"/>
      </w:rPr>
      <w:t>48</w:t>
    </w:r>
    <w:r>
      <w:rPr>
        <w:b/>
        <w:i/>
        <w:color w:val="000000" w:themeColor="text1"/>
        <w:spacing w:val="-20"/>
        <w:kern w:val="0"/>
        <w:sz w:val="18"/>
        <w:u w:val="single"/>
      </w:rPr>
      <w:fldChar w:fldCharType="end"/>
    </w:r>
    <w:r>
      <w:rPr>
        <w:rFonts w:hint="eastAsia"/>
        <w:b/>
        <w:i/>
        <w:color w:val="000000" w:themeColor="text1"/>
        <w:spacing w:val="-20"/>
        <w:kern w:val="0"/>
        <w:sz w:val="18"/>
        <w:u w:val="single"/>
      </w:rPr>
      <w:t>页</w:t>
    </w:r>
  </w:p>
  <w:p w14:paraId="155FF1C6">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3">
    <w:nsid w:val="10513862"/>
    <w:multiLevelType w:val="singleLevel"/>
    <w:tmpl w:val="10513862"/>
    <w:lvl w:ilvl="0" w:tentative="0">
      <w:start w:val="1"/>
      <w:numFmt w:val="chineseCounting"/>
      <w:suff w:val="nothing"/>
      <w:lvlText w:val="%1、"/>
      <w:lvlJc w:val="left"/>
      <w:rPr>
        <w:rFonts w:hint="eastAsia"/>
      </w:rPr>
    </w:lvl>
  </w:abstractNum>
  <w:abstractNum w:abstractNumId="4">
    <w:nsid w:val="18605CAC"/>
    <w:multiLevelType w:val="multilevel"/>
    <w:tmpl w:val="18605CAC"/>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num w:numId="1">
    <w:abstractNumId w:val="6"/>
  </w:num>
  <w:num w:numId="2">
    <w:abstractNumId w:val="2"/>
  </w:num>
  <w:num w:numId="3">
    <w:abstractNumId w:val="7"/>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1YjI5NjI4ODRjMjczZTJlYTk2NTYyNTg3ZjMwZTYifQ=="/>
  </w:docVars>
  <w:rsids>
    <w:rsidRoot w:val="685F2B0C"/>
    <w:rsid w:val="0007403C"/>
    <w:rsid w:val="00081E1A"/>
    <w:rsid w:val="000B2796"/>
    <w:rsid w:val="000B72D1"/>
    <w:rsid w:val="000C4402"/>
    <w:rsid w:val="000C7668"/>
    <w:rsid w:val="000D1046"/>
    <w:rsid w:val="000E159B"/>
    <w:rsid w:val="00104467"/>
    <w:rsid w:val="001419ED"/>
    <w:rsid w:val="00155877"/>
    <w:rsid w:val="00192140"/>
    <w:rsid w:val="001941AC"/>
    <w:rsid w:val="001B7489"/>
    <w:rsid w:val="001C5AB2"/>
    <w:rsid w:val="00217499"/>
    <w:rsid w:val="00221CA4"/>
    <w:rsid w:val="0023468B"/>
    <w:rsid w:val="002467A6"/>
    <w:rsid w:val="002600D0"/>
    <w:rsid w:val="002676CF"/>
    <w:rsid w:val="00267F83"/>
    <w:rsid w:val="002836A7"/>
    <w:rsid w:val="00296F73"/>
    <w:rsid w:val="002D298A"/>
    <w:rsid w:val="002F43CF"/>
    <w:rsid w:val="00305856"/>
    <w:rsid w:val="00315916"/>
    <w:rsid w:val="00333B35"/>
    <w:rsid w:val="00350521"/>
    <w:rsid w:val="003577EE"/>
    <w:rsid w:val="00366FA4"/>
    <w:rsid w:val="00377AE1"/>
    <w:rsid w:val="00386FCB"/>
    <w:rsid w:val="003B3897"/>
    <w:rsid w:val="003B7B17"/>
    <w:rsid w:val="003E41A8"/>
    <w:rsid w:val="003F332D"/>
    <w:rsid w:val="004052EA"/>
    <w:rsid w:val="004335DE"/>
    <w:rsid w:val="00463B70"/>
    <w:rsid w:val="00480FD3"/>
    <w:rsid w:val="004A4341"/>
    <w:rsid w:val="004D2505"/>
    <w:rsid w:val="00553621"/>
    <w:rsid w:val="00580522"/>
    <w:rsid w:val="005A5509"/>
    <w:rsid w:val="005A5EDC"/>
    <w:rsid w:val="005A671E"/>
    <w:rsid w:val="005B1C12"/>
    <w:rsid w:val="005D451E"/>
    <w:rsid w:val="006A3AB3"/>
    <w:rsid w:val="006F2372"/>
    <w:rsid w:val="0073607F"/>
    <w:rsid w:val="00770EC7"/>
    <w:rsid w:val="00791044"/>
    <w:rsid w:val="007A069B"/>
    <w:rsid w:val="007B2263"/>
    <w:rsid w:val="007B3E3E"/>
    <w:rsid w:val="007B51ED"/>
    <w:rsid w:val="007B6F4D"/>
    <w:rsid w:val="007C1AD0"/>
    <w:rsid w:val="007C4012"/>
    <w:rsid w:val="007D7379"/>
    <w:rsid w:val="00824D38"/>
    <w:rsid w:val="00855072"/>
    <w:rsid w:val="008935AF"/>
    <w:rsid w:val="008B434D"/>
    <w:rsid w:val="008D2153"/>
    <w:rsid w:val="008D7564"/>
    <w:rsid w:val="008E3A17"/>
    <w:rsid w:val="008E4CC2"/>
    <w:rsid w:val="00911A3E"/>
    <w:rsid w:val="0092016A"/>
    <w:rsid w:val="009210FF"/>
    <w:rsid w:val="00932D08"/>
    <w:rsid w:val="00987EDA"/>
    <w:rsid w:val="009903E3"/>
    <w:rsid w:val="009B106E"/>
    <w:rsid w:val="009E781B"/>
    <w:rsid w:val="00A04722"/>
    <w:rsid w:val="00A34AA1"/>
    <w:rsid w:val="00A71B65"/>
    <w:rsid w:val="00A87AA8"/>
    <w:rsid w:val="00A921FD"/>
    <w:rsid w:val="00A96D55"/>
    <w:rsid w:val="00A979AB"/>
    <w:rsid w:val="00AA0052"/>
    <w:rsid w:val="00AB49B7"/>
    <w:rsid w:val="00AB49C5"/>
    <w:rsid w:val="00AC2EE8"/>
    <w:rsid w:val="00AE24AF"/>
    <w:rsid w:val="00B76650"/>
    <w:rsid w:val="00BA0B90"/>
    <w:rsid w:val="00BB21ED"/>
    <w:rsid w:val="00BD36E0"/>
    <w:rsid w:val="00BD54D8"/>
    <w:rsid w:val="00BF2995"/>
    <w:rsid w:val="00C04262"/>
    <w:rsid w:val="00C326B9"/>
    <w:rsid w:val="00C36F2E"/>
    <w:rsid w:val="00C4286B"/>
    <w:rsid w:val="00C44749"/>
    <w:rsid w:val="00C72988"/>
    <w:rsid w:val="00CA445E"/>
    <w:rsid w:val="00CA4AD5"/>
    <w:rsid w:val="00D0490A"/>
    <w:rsid w:val="00D12D7C"/>
    <w:rsid w:val="00D138B9"/>
    <w:rsid w:val="00D15EB2"/>
    <w:rsid w:val="00D347B0"/>
    <w:rsid w:val="00D90E3C"/>
    <w:rsid w:val="00D91C09"/>
    <w:rsid w:val="00D96F57"/>
    <w:rsid w:val="00DC2ACC"/>
    <w:rsid w:val="00DD32D9"/>
    <w:rsid w:val="00DD4A79"/>
    <w:rsid w:val="00E02247"/>
    <w:rsid w:val="00E22ADC"/>
    <w:rsid w:val="00EA6889"/>
    <w:rsid w:val="00EC0D4A"/>
    <w:rsid w:val="00ED13E1"/>
    <w:rsid w:val="00F27C47"/>
    <w:rsid w:val="00F30117"/>
    <w:rsid w:val="00F318C7"/>
    <w:rsid w:val="00F547A1"/>
    <w:rsid w:val="00F55781"/>
    <w:rsid w:val="00F67942"/>
    <w:rsid w:val="00F731CE"/>
    <w:rsid w:val="00F93C8D"/>
    <w:rsid w:val="00FB62F5"/>
    <w:rsid w:val="00FE6575"/>
    <w:rsid w:val="010742D5"/>
    <w:rsid w:val="011F460A"/>
    <w:rsid w:val="012B64AF"/>
    <w:rsid w:val="013D69DB"/>
    <w:rsid w:val="01851778"/>
    <w:rsid w:val="01967DCC"/>
    <w:rsid w:val="01AE11E6"/>
    <w:rsid w:val="01C3757A"/>
    <w:rsid w:val="01F53A09"/>
    <w:rsid w:val="01F80A87"/>
    <w:rsid w:val="02072CC8"/>
    <w:rsid w:val="02220C8A"/>
    <w:rsid w:val="02E32A3D"/>
    <w:rsid w:val="02FA6A29"/>
    <w:rsid w:val="033D3B0D"/>
    <w:rsid w:val="03400DD0"/>
    <w:rsid w:val="035E2B6B"/>
    <w:rsid w:val="03994759"/>
    <w:rsid w:val="03AE165D"/>
    <w:rsid w:val="03B92608"/>
    <w:rsid w:val="03E6762D"/>
    <w:rsid w:val="045C047C"/>
    <w:rsid w:val="046041A0"/>
    <w:rsid w:val="04604D98"/>
    <w:rsid w:val="048605CC"/>
    <w:rsid w:val="04926F71"/>
    <w:rsid w:val="049D3746"/>
    <w:rsid w:val="04A0717A"/>
    <w:rsid w:val="04AB28AB"/>
    <w:rsid w:val="04D80590"/>
    <w:rsid w:val="05A87DBC"/>
    <w:rsid w:val="05B01B1D"/>
    <w:rsid w:val="05E27A84"/>
    <w:rsid w:val="06653EC4"/>
    <w:rsid w:val="06744624"/>
    <w:rsid w:val="0699402C"/>
    <w:rsid w:val="069C64C8"/>
    <w:rsid w:val="06A0112C"/>
    <w:rsid w:val="06C00E8D"/>
    <w:rsid w:val="06EE255D"/>
    <w:rsid w:val="07222AB0"/>
    <w:rsid w:val="072A48E8"/>
    <w:rsid w:val="073A45DA"/>
    <w:rsid w:val="074273EB"/>
    <w:rsid w:val="0743404F"/>
    <w:rsid w:val="07473237"/>
    <w:rsid w:val="075A1545"/>
    <w:rsid w:val="07725029"/>
    <w:rsid w:val="07754928"/>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9A1A2B"/>
    <w:rsid w:val="08CE1EA3"/>
    <w:rsid w:val="08DC3175"/>
    <w:rsid w:val="08E44D18"/>
    <w:rsid w:val="09023BFE"/>
    <w:rsid w:val="092F5773"/>
    <w:rsid w:val="093D2D0F"/>
    <w:rsid w:val="0975564E"/>
    <w:rsid w:val="09C0632E"/>
    <w:rsid w:val="09E70A54"/>
    <w:rsid w:val="09F15703"/>
    <w:rsid w:val="09FA5669"/>
    <w:rsid w:val="0A79028B"/>
    <w:rsid w:val="0A8528D5"/>
    <w:rsid w:val="0AD56F1F"/>
    <w:rsid w:val="0AEA3C8C"/>
    <w:rsid w:val="0AF65D7F"/>
    <w:rsid w:val="0B0B6625"/>
    <w:rsid w:val="0B1E0CF0"/>
    <w:rsid w:val="0B4C5010"/>
    <w:rsid w:val="0B7F5105"/>
    <w:rsid w:val="0BE83010"/>
    <w:rsid w:val="0BF55127"/>
    <w:rsid w:val="0C1A784C"/>
    <w:rsid w:val="0C4369A5"/>
    <w:rsid w:val="0C5612B6"/>
    <w:rsid w:val="0C7E2237"/>
    <w:rsid w:val="0C8A3153"/>
    <w:rsid w:val="0C991BD9"/>
    <w:rsid w:val="0CCC2ABF"/>
    <w:rsid w:val="0CD24D60"/>
    <w:rsid w:val="0D3F7F2E"/>
    <w:rsid w:val="0D49488C"/>
    <w:rsid w:val="0D705EC6"/>
    <w:rsid w:val="0D7558BB"/>
    <w:rsid w:val="0D860895"/>
    <w:rsid w:val="0DB757B9"/>
    <w:rsid w:val="0DE7555E"/>
    <w:rsid w:val="0DF10A71"/>
    <w:rsid w:val="0E027424"/>
    <w:rsid w:val="0E1844B4"/>
    <w:rsid w:val="0E1D3528"/>
    <w:rsid w:val="0E2B3C80"/>
    <w:rsid w:val="0E310B9F"/>
    <w:rsid w:val="0E9F0BC2"/>
    <w:rsid w:val="0EFA552A"/>
    <w:rsid w:val="0F0C5B71"/>
    <w:rsid w:val="0F731A9E"/>
    <w:rsid w:val="0F7B3C45"/>
    <w:rsid w:val="0F833EF8"/>
    <w:rsid w:val="0F965542"/>
    <w:rsid w:val="0FAC1122"/>
    <w:rsid w:val="0FC27645"/>
    <w:rsid w:val="0FE801DA"/>
    <w:rsid w:val="100E1453"/>
    <w:rsid w:val="10401AB4"/>
    <w:rsid w:val="107C2AAE"/>
    <w:rsid w:val="109E446F"/>
    <w:rsid w:val="10A122E9"/>
    <w:rsid w:val="10BE1B05"/>
    <w:rsid w:val="115C632A"/>
    <w:rsid w:val="1161667C"/>
    <w:rsid w:val="11847C41"/>
    <w:rsid w:val="11875983"/>
    <w:rsid w:val="118A244C"/>
    <w:rsid w:val="11914905"/>
    <w:rsid w:val="11A2124C"/>
    <w:rsid w:val="11B330FF"/>
    <w:rsid w:val="11C20C82"/>
    <w:rsid w:val="11DA3B8F"/>
    <w:rsid w:val="12101447"/>
    <w:rsid w:val="12543D89"/>
    <w:rsid w:val="125F1817"/>
    <w:rsid w:val="127B7042"/>
    <w:rsid w:val="12BB2C5B"/>
    <w:rsid w:val="12CF4115"/>
    <w:rsid w:val="130B6440"/>
    <w:rsid w:val="134C77A5"/>
    <w:rsid w:val="13731B39"/>
    <w:rsid w:val="13815663"/>
    <w:rsid w:val="13C30E6E"/>
    <w:rsid w:val="13CE1647"/>
    <w:rsid w:val="14131750"/>
    <w:rsid w:val="14230C67"/>
    <w:rsid w:val="144D2E15"/>
    <w:rsid w:val="1466198A"/>
    <w:rsid w:val="146B4F18"/>
    <w:rsid w:val="14EA3450"/>
    <w:rsid w:val="14F767B6"/>
    <w:rsid w:val="152201E5"/>
    <w:rsid w:val="153C7B00"/>
    <w:rsid w:val="155E782B"/>
    <w:rsid w:val="158D19C4"/>
    <w:rsid w:val="15A7636A"/>
    <w:rsid w:val="15B1120C"/>
    <w:rsid w:val="15B65685"/>
    <w:rsid w:val="15F35395"/>
    <w:rsid w:val="16031113"/>
    <w:rsid w:val="16625C32"/>
    <w:rsid w:val="16725D01"/>
    <w:rsid w:val="168F227C"/>
    <w:rsid w:val="169A187E"/>
    <w:rsid w:val="16F02A1F"/>
    <w:rsid w:val="171F0861"/>
    <w:rsid w:val="173D243C"/>
    <w:rsid w:val="17534ECF"/>
    <w:rsid w:val="175E1889"/>
    <w:rsid w:val="178B17FC"/>
    <w:rsid w:val="179513FB"/>
    <w:rsid w:val="17AC754E"/>
    <w:rsid w:val="17D47161"/>
    <w:rsid w:val="181011F1"/>
    <w:rsid w:val="1827115F"/>
    <w:rsid w:val="18537282"/>
    <w:rsid w:val="187529D9"/>
    <w:rsid w:val="18954E2A"/>
    <w:rsid w:val="19075792"/>
    <w:rsid w:val="1924523C"/>
    <w:rsid w:val="192A06DB"/>
    <w:rsid w:val="19657BF3"/>
    <w:rsid w:val="198218DD"/>
    <w:rsid w:val="19D659A9"/>
    <w:rsid w:val="19DA05DB"/>
    <w:rsid w:val="19EB475E"/>
    <w:rsid w:val="19EE41FA"/>
    <w:rsid w:val="1A447D15"/>
    <w:rsid w:val="1A5A6066"/>
    <w:rsid w:val="1A777345"/>
    <w:rsid w:val="1A79400F"/>
    <w:rsid w:val="1ABE0A6A"/>
    <w:rsid w:val="1AFF3C05"/>
    <w:rsid w:val="1B0079CB"/>
    <w:rsid w:val="1B305FC7"/>
    <w:rsid w:val="1B486897"/>
    <w:rsid w:val="1B6A0B90"/>
    <w:rsid w:val="1B8465ED"/>
    <w:rsid w:val="1B8C6B7B"/>
    <w:rsid w:val="1B930815"/>
    <w:rsid w:val="1BA66CC3"/>
    <w:rsid w:val="1BB91038"/>
    <w:rsid w:val="1BBF65FB"/>
    <w:rsid w:val="1BD17EB2"/>
    <w:rsid w:val="1BE658B0"/>
    <w:rsid w:val="1BF657FB"/>
    <w:rsid w:val="1BF968C4"/>
    <w:rsid w:val="1C3F5A00"/>
    <w:rsid w:val="1C494C47"/>
    <w:rsid w:val="1C7E5112"/>
    <w:rsid w:val="1CC868AA"/>
    <w:rsid w:val="1CCE7342"/>
    <w:rsid w:val="1CEF0717"/>
    <w:rsid w:val="1CFA7EEF"/>
    <w:rsid w:val="1CFB1146"/>
    <w:rsid w:val="1CFE6504"/>
    <w:rsid w:val="1D2E0D77"/>
    <w:rsid w:val="1D37062D"/>
    <w:rsid w:val="1D3A1AFC"/>
    <w:rsid w:val="1D3D753B"/>
    <w:rsid w:val="1D437336"/>
    <w:rsid w:val="1D532C22"/>
    <w:rsid w:val="1D9308B3"/>
    <w:rsid w:val="1DD515F9"/>
    <w:rsid w:val="1E0D0FBE"/>
    <w:rsid w:val="1E331E3B"/>
    <w:rsid w:val="1E42510C"/>
    <w:rsid w:val="1E4D682E"/>
    <w:rsid w:val="1E561B49"/>
    <w:rsid w:val="1E5B5B74"/>
    <w:rsid w:val="1E7D1B4B"/>
    <w:rsid w:val="1E8140C5"/>
    <w:rsid w:val="1ED36885"/>
    <w:rsid w:val="1EDB21B2"/>
    <w:rsid w:val="1EE21D29"/>
    <w:rsid w:val="1EFA6533"/>
    <w:rsid w:val="1F2A4B47"/>
    <w:rsid w:val="1F2E2C97"/>
    <w:rsid w:val="1F3E1D5D"/>
    <w:rsid w:val="1F6B32B7"/>
    <w:rsid w:val="1F6E3177"/>
    <w:rsid w:val="1F6F04BA"/>
    <w:rsid w:val="1F721520"/>
    <w:rsid w:val="1F786F59"/>
    <w:rsid w:val="1F870ADE"/>
    <w:rsid w:val="1FEE47F4"/>
    <w:rsid w:val="20027E74"/>
    <w:rsid w:val="201725C8"/>
    <w:rsid w:val="2024650C"/>
    <w:rsid w:val="20380E59"/>
    <w:rsid w:val="20464321"/>
    <w:rsid w:val="20505BF4"/>
    <w:rsid w:val="205D6C3D"/>
    <w:rsid w:val="206550E2"/>
    <w:rsid w:val="206C4B4F"/>
    <w:rsid w:val="20797189"/>
    <w:rsid w:val="20835E3C"/>
    <w:rsid w:val="20875058"/>
    <w:rsid w:val="20B07511"/>
    <w:rsid w:val="20CE2C87"/>
    <w:rsid w:val="215C6880"/>
    <w:rsid w:val="218F0080"/>
    <w:rsid w:val="21A5390F"/>
    <w:rsid w:val="21AD66DD"/>
    <w:rsid w:val="21D4253C"/>
    <w:rsid w:val="21EE760E"/>
    <w:rsid w:val="21F83EB4"/>
    <w:rsid w:val="220F17A9"/>
    <w:rsid w:val="223631D9"/>
    <w:rsid w:val="22547C58"/>
    <w:rsid w:val="22734646"/>
    <w:rsid w:val="22963494"/>
    <w:rsid w:val="22B371B5"/>
    <w:rsid w:val="22C23296"/>
    <w:rsid w:val="22CC461B"/>
    <w:rsid w:val="22D13B65"/>
    <w:rsid w:val="230E2F31"/>
    <w:rsid w:val="233E4105"/>
    <w:rsid w:val="23666663"/>
    <w:rsid w:val="23693289"/>
    <w:rsid w:val="239147E1"/>
    <w:rsid w:val="23BB34F7"/>
    <w:rsid w:val="243B4C5D"/>
    <w:rsid w:val="245B6F27"/>
    <w:rsid w:val="247C0C4C"/>
    <w:rsid w:val="24FD6DFA"/>
    <w:rsid w:val="24FE0E05"/>
    <w:rsid w:val="25300AD6"/>
    <w:rsid w:val="25A9590D"/>
    <w:rsid w:val="25AF3989"/>
    <w:rsid w:val="25B303CF"/>
    <w:rsid w:val="25C73339"/>
    <w:rsid w:val="25D43D29"/>
    <w:rsid w:val="25D62822"/>
    <w:rsid w:val="25FC409C"/>
    <w:rsid w:val="26037DA0"/>
    <w:rsid w:val="260544D2"/>
    <w:rsid w:val="266A24B5"/>
    <w:rsid w:val="266C7CA7"/>
    <w:rsid w:val="26B424FB"/>
    <w:rsid w:val="26C14018"/>
    <w:rsid w:val="27116F14"/>
    <w:rsid w:val="27881ACA"/>
    <w:rsid w:val="27F30C40"/>
    <w:rsid w:val="284303FE"/>
    <w:rsid w:val="28482C7C"/>
    <w:rsid w:val="285E15A9"/>
    <w:rsid w:val="289A255F"/>
    <w:rsid w:val="28B54BEB"/>
    <w:rsid w:val="28B9246E"/>
    <w:rsid w:val="28D9203E"/>
    <w:rsid w:val="28E80E13"/>
    <w:rsid w:val="29127BE0"/>
    <w:rsid w:val="29196245"/>
    <w:rsid w:val="29554B42"/>
    <w:rsid w:val="295A4D29"/>
    <w:rsid w:val="29606A91"/>
    <w:rsid w:val="29807B6C"/>
    <w:rsid w:val="29B661A7"/>
    <w:rsid w:val="29FA460F"/>
    <w:rsid w:val="2A084E42"/>
    <w:rsid w:val="2A1A5CBC"/>
    <w:rsid w:val="2AC017A8"/>
    <w:rsid w:val="2ADC0696"/>
    <w:rsid w:val="2B492F53"/>
    <w:rsid w:val="2B7F0BDE"/>
    <w:rsid w:val="2BDE00CD"/>
    <w:rsid w:val="2C232160"/>
    <w:rsid w:val="2C235700"/>
    <w:rsid w:val="2C3C763E"/>
    <w:rsid w:val="2C517394"/>
    <w:rsid w:val="2C587AD3"/>
    <w:rsid w:val="2C7E6429"/>
    <w:rsid w:val="2C8206F9"/>
    <w:rsid w:val="2C963671"/>
    <w:rsid w:val="2C972AC7"/>
    <w:rsid w:val="2C9D4F34"/>
    <w:rsid w:val="2C9F7276"/>
    <w:rsid w:val="2CA2073A"/>
    <w:rsid w:val="2CB57537"/>
    <w:rsid w:val="2D1C1443"/>
    <w:rsid w:val="2D35408E"/>
    <w:rsid w:val="2D84410B"/>
    <w:rsid w:val="2D8C3A4E"/>
    <w:rsid w:val="2DAB174B"/>
    <w:rsid w:val="2DAC3053"/>
    <w:rsid w:val="2DFA6640"/>
    <w:rsid w:val="2E0320EB"/>
    <w:rsid w:val="2E125FC1"/>
    <w:rsid w:val="2E1B69A2"/>
    <w:rsid w:val="2E354929"/>
    <w:rsid w:val="2E3A7BAD"/>
    <w:rsid w:val="2E7B072C"/>
    <w:rsid w:val="2EF410B7"/>
    <w:rsid w:val="2F011E82"/>
    <w:rsid w:val="2F631DFD"/>
    <w:rsid w:val="2F6858EF"/>
    <w:rsid w:val="2F8F12D1"/>
    <w:rsid w:val="2F9E0FAD"/>
    <w:rsid w:val="2FA71114"/>
    <w:rsid w:val="2FBD3EFE"/>
    <w:rsid w:val="2FE06B43"/>
    <w:rsid w:val="2FF93253"/>
    <w:rsid w:val="30000983"/>
    <w:rsid w:val="3046030C"/>
    <w:rsid w:val="304D28E8"/>
    <w:rsid w:val="30576C83"/>
    <w:rsid w:val="30670F4B"/>
    <w:rsid w:val="307770A8"/>
    <w:rsid w:val="30C23E8A"/>
    <w:rsid w:val="30D72609"/>
    <w:rsid w:val="30FD1799"/>
    <w:rsid w:val="30FD4EC2"/>
    <w:rsid w:val="31AB540D"/>
    <w:rsid w:val="31B57A67"/>
    <w:rsid w:val="31DB5204"/>
    <w:rsid w:val="31F436E7"/>
    <w:rsid w:val="32146967"/>
    <w:rsid w:val="32195D2C"/>
    <w:rsid w:val="32413B97"/>
    <w:rsid w:val="324C0B81"/>
    <w:rsid w:val="325719FB"/>
    <w:rsid w:val="326C0551"/>
    <w:rsid w:val="328D576F"/>
    <w:rsid w:val="32972910"/>
    <w:rsid w:val="329D67D2"/>
    <w:rsid w:val="33091096"/>
    <w:rsid w:val="331C15B8"/>
    <w:rsid w:val="33232830"/>
    <w:rsid w:val="33566686"/>
    <w:rsid w:val="337230AE"/>
    <w:rsid w:val="33781EF4"/>
    <w:rsid w:val="33843CA1"/>
    <w:rsid w:val="33A45B5A"/>
    <w:rsid w:val="33DD4134"/>
    <w:rsid w:val="33E47B88"/>
    <w:rsid w:val="33FA723C"/>
    <w:rsid w:val="341C55A4"/>
    <w:rsid w:val="343828C2"/>
    <w:rsid w:val="346500C7"/>
    <w:rsid w:val="34A13A37"/>
    <w:rsid w:val="34F31FF7"/>
    <w:rsid w:val="34F5177C"/>
    <w:rsid w:val="35043821"/>
    <w:rsid w:val="355C4178"/>
    <w:rsid w:val="3562042D"/>
    <w:rsid w:val="35850AE6"/>
    <w:rsid w:val="35867C30"/>
    <w:rsid w:val="35975A7A"/>
    <w:rsid w:val="35DE1818"/>
    <w:rsid w:val="362D36E4"/>
    <w:rsid w:val="36655148"/>
    <w:rsid w:val="36787E34"/>
    <w:rsid w:val="367F3517"/>
    <w:rsid w:val="36A24542"/>
    <w:rsid w:val="36A52258"/>
    <w:rsid w:val="36B77A33"/>
    <w:rsid w:val="36C54300"/>
    <w:rsid w:val="36FC06E4"/>
    <w:rsid w:val="372D27B8"/>
    <w:rsid w:val="37533A9C"/>
    <w:rsid w:val="375D3FE4"/>
    <w:rsid w:val="37907B88"/>
    <w:rsid w:val="37930872"/>
    <w:rsid w:val="37AC0A3F"/>
    <w:rsid w:val="37DB78A9"/>
    <w:rsid w:val="37EE6B00"/>
    <w:rsid w:val="38053C44"/>
    <w:rsid w:val="383C4522"/>
    <w:rsid w:val="383F153C"/>
    <w:rsid w:val="384910F0"/>
    <w:rsid w:val="388A1731"/>
    <w:rsid w:val="38B03176"/>
    <w:rsid w:val="38B36EDA"/>
    <w:rsid w:val="38D123DD"/>
    <w:rsid w:val="390169CA"/>
    <w:rsid w:val="39150581"/>
    <w:rsid w:val="392F5095"/>
    <w:rsid w:val="39465433"/>
    <w:rsid w:val="39561D5A"/>
    <w:rsid w:val="395B6912"/>
    <w:rsid w:val="395D6E46"/>
    <w:rsid w:val="397F2D08"/>
    <w:rsid w:val="3A3F6C87"/>
    <w:rsid w:val="3A4275D3"/>
    <w:rsid w:val="3A9A511E"/>
    <w:rsid w:val="3A9B108B"/>
    <w:rsid w:val="3AC55D59"/>
    <w:rsid w:val="3ACE2337"/>
    <w:rsid w:val="3ADF4EC5"/>
    <w:rsid w:val="3B175B2E"/>
    <w:rsid w:val="3B625CA9"/>
    <w:rsid w:val="3BC431AC"/>
    <w:rsid w:val="3BC5147E"/>
    <w:rsid w:val="3BDF7BFD"/>
    <w:rsid w:val="3BE90506"/>
    <w:rsid w:val="3BEB1160"/>
    <w:rsid w:val="3BEB6832"/>
    <w:rsid w:val="3C3667CF"/>
    <w:rsid w:val="3C40766B"/>
    <w:rsid w:val="3C692C22"/>
    <w:rsid w:val="3C9854C3"/>
    <w:rsid w:val="3CB16103"/>
    <w:rsid w:val="3CB2101F"/>
    <w:rsid w:val="3CBD35C8"/>
    <w:rsid w:val="3CBF1A99"/>
    <w:rsid w:val="3CC764A1"/>
    <w:rsid w:val="3D097312"/>
    <w:rsid w:val="3D1001E1"/>
    <w:rsid w:val="3D2F6909"/>
    <w:rsid w:val="3D8113A3"/>
    <w:rsid w:val="3DAE0624"/>
    <w:rsid w:val="3DE113F3"/>
    <w:rsid w:val="3DF110BE"/>
    <w:rsid w:val="3E1E7238"/>
    <w:rsid w:val="3E2762E0"/>
    <w:rsid w:val="3EA22DB9"/>
    <w:rsid w:val="3EB648CC"/>
    <w:rsid w:val="3EBD28B3"/>
    <w:rsid w:val="3ED1419A"/>
    <w:rsid w:val="3EEA117C"/>
    <w:rsid w:val="3EF93A2D"/>
    <w:rsid w:val="3F506818"/>
    <w:rsid w:val="3FD91FD6"/>
    <w:rsid w:val="3FE36C1C"/>
    <w:rsid w:val="3FEB19D5"/>
    <w:rsid w:val="401818C2"/>
    <w:rsid w:val="40225416"/>
    <w:rsid w:val="40323D4B"/>
    <w:rsid w:val="4036153F"/>
    <w:rsid w:val="40532D51"/>
    <w:rsid w:val="40A30A33"/>
    <w:rsid w:val="4142704D"/>
    <w:rsid w:val="415E2B2E"/>
    <w:rsid w:val="419959F4"/>
    <w:rsid w:val="419E3E89"/>
    <w:rsid w:val="41CD101B"/>
    <w:rsid w:val="41DF073B"/>
    <w:rsid w:val="420F1D94"/>
    <w:rsid w:val="4213506F"/>
    <w:rsid w:val="422952A9"/>
    <w:rsid w:val="424741EF"/>
    <w:rsid w:val="428611BC"/>
    <w:rsid w:val="42A03B09"/>
    <w:rsid w:val="42B8170C"/>
    <w:rsid w:val="42E64A63"/>
    <w:rsid w:val="430D4AC0"/>
    <w:rsid w:val="431E047F"/>
    <w:rsid w:val="431E65EF"/>
    <w:rsid w:val="432D1A78"/>
    <w:rsid w:val="434B2DCF"/>
    <w:rsid w:val="43A3553B"/>
    <w:rsid w:val="43B17155"/>
    <w:rsid w:val="43D40729"/>
    <w:rsid w:val="43F16D43"/>
    <w:rsid w:val="43F87E97"/>
    <w:rsid w:val="4400649E"/>
    <w:rsid w:val="440305EA"/>
    <w:rsid w:val="44763517"/>
    <w:rsid w:val="4478624B"/>
    <w:rsid w:val="4493367B"/>
    <w:rsid w:val="44A26554"/>
    <w:rsid w:val="44AB74B4"/>
    <w:rsid w:val="44D64ABE"/>
    <w:rsid w:val="45040706"/>
    <w:rsid w:val="451446FC"/>
    <w:rsid w:val="452905F3"/>
    <w:rsid w:val="4579070F"/>
    <w:rsid w:val="457E6F7B"/>
    <w:rsid w:val="45AC78E9"/>
    <w:rsid w:val="45FD70DB"/>
    <w:rsid w:val="464C3285"/>
    <w:rsid w:val="468509D2"/>
    <w:rsid w:val="46853538"/>
    <w:rsid w:val="468806E1"/>
    <w:rsid w:val="46977D08"/>
    <w:rsid w:val="46BA6241"/>
    <w:rsid w:val="46BC0687"/>
    <w:rsid w:val="46C548F3"/>
    <w:rsid w:val="46D14AE8"/>
    <w:rsid w:val="46DA1AD6"/>
    <w:rsid w:val="46DA670B"/>
    <w:rsid w:val="46F40267"/>
    <w:rsid w:val="47105EA9"/>
    <w:rsid w:val="471332ED"/>
    <w:rsid w:val="47CC7D6B"/>
    <w:rsid w:val="47D27940"/>
    <w:rsid w:val="47DE0285"/>
    <w:rsid w:val="47F77566"/>
    <w:rsid w:val="47F90DC6"/>
    <w:rsid w:val="480F670E"/>
    <w:rsid w:val="48124188"/>
    <w:rsid w:val="481C1F20"/>
    <w:rsid w:val="48266AF3"/>
    <w:rsid w:val="485C3CF0"/>
    <w:rsid w:val="48701663"/>
    <w:rsid w:val="48801F0A"/>
    <w:rsid w:val="489C7EA5"/>
    <w:rsid w:val="48AB372A"/>
    <w:rsid w:val="48BA1F20"/>
    <w:rsid w:val="48D75037"/>
    <w:rsid w:val="48F52BF7"/>
    <w:rsid w:val="49267F46"/>
    <w:rsid w:val="493E3C2D"/>
    <w:rsid w:val="494730DF"/>
    <w:rsid w:val="494B7F85"/>
    <w:rsid w:val="497C5511"/>
    <w:rsid w:val="498C3685"/>
    <w:rsid w:val="49AD702E"/>
    <w:rsid w:val="49B65DC9"/>
    <w:rsid w:val="49E2412D"/>
    <w:rsid w:val="49E82B6B"/>
    <w:rsid w:val="4A151D89"/>
    <w:rsid w:val="4A1F7B3B"/>
    <w:rsid w:val="4A2319E6"/>
    <w:rsid w:val="4A7674C1"/>
    <w:rsid w:val="4A7A7858"/>
    <w:rsid w:val="4A812381"/>
    <w:rsid w:val="4A8561FD"/>
    <w:rsid w:val="4B5F395F"/>
    <w:rsid w:val="4BE81CD3"/>
    <w:rsid w:val="4C2D08FA"/>
    <w:rsid w:val="4C3B51D7"/>
    <w:rsid w:val="4C735908"/>
    <w:rsid w:val="4C9461E1"/>
    <w:rsid w:val="4C9743B6"/>
    <w:rsid w:val="4CCC503A"/>
    <w:rsid w:val="4CEB6172"/>
    <w:rsid w:val="4D670A85"/>
    <w:rsid w:val="4D756665"/>
    <w:rsid w:val="4D806473"/>
    <w:rsid w:val="4DB87F6B"/>
    <w:rsid w:val="4DF85FC0"/>
    <w:rsid w:val="4DFE254E"/>
    <w:rsid w:val="4E2D698F"/>
    <w:rsid w:val="4E46059D"/>
    <w:rsid w:val="4E50373D"/>
    <w:rsid w:val="4E7B029B"/>
    <w:rsid w:val="4ECC5D80"/>
    <w:rsid w:val="4ED61833"/>
    <w:rsid w:val="4EDA18B9"/>
    <w:rsid w:val="4EDE26E1"/>
    <w:rsid w:val="4F0153DC"/>
    <w:rsid w:val="4F16322F"/>
    <w:rsid w:val="4F1D7796"/>
    <w:rsid w:val="4F25349D"/>
    <w:rsid w:val="4F272751"/>
    <w:rsid w:val="4F392958"/>
    <w:rsid w:val="4F4775DA"/>
    <w:rsid w:val="4F573543"/>
    <w:rsid w:val="4F9B4CA9"/>
    <w:rsid w:val="4FE319FB"/>
    <w:rsid w:val="501C4E89"/>
    <w:rsid w:val="501E6126"/>
    <w:rsid w:val="506A1839"/>
    <w:rsid w:val="50942DAE"/>
    <w:rsid w:val="509A34B5"/>
    <w:rsid w:val="50A93C64"/>
    <w:rsid w:val="50C353BD"/>
    <w:rsid w:val="50CF1F9A"/>
    <w:rsid w:val="50DD3BA3"/>
    <w:rsid w:val="50E61CAB"/>
    <w:rsid w:val="50FB2980"/>
    <w:rsid w:val="511C6CDD"/>
    <w:rsid w:val="517B5E53"/>
    <w:rsid w:val="51835161"/>
    <w:rsid w:val="51D04201"/>
    <w:rsid w:val="51F91EC6"/>
    <w:rsid w:val="526405F3"/>
    <w:rsid w:val="52713ED9"/>
    <w:rsid w:val="52A74C78"/>
    <w:rsid w:val="52E04293"/>
    <w:rsid w:val="52F019E8"/>
    <w:rsid w:val="52F37A7A"/>
    <w:rsid w:val="531E2D03"/>
    <w:rsid w:val="532513E5"/>
    <w:rsid w:val="53394028"/>
    <w:rsid w:val="53477E2E"/>
    <w:rsid w:val="536138D1"/>
    <w:rsid w:val="53852DC9"/>
    <w:rsid w:val="53BC34C4"/>
    <w:rsid w:val="53CE29B7"/>
    <w:rsid w:val="53D855EF"/>
    <w:rsid w:val="54210DD6"/>
    <w:rsid w:val="543F5D07"/>
    <w:rsid w:val="54451376"/>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CD1063"/>
    <w:rsid w:val="56DA342C"/>
    <w:rsid w:val="56EA1F97"/>
    <w:rsid w:val="575D06E1"/>
    <w:rsid w:val="57822542"/>
    <w:rsid w:val="57913D66"/>
    <w:rsid w:val="57AA5D1A"/>
    <w:rsid w:val="57BB22E7"/>
    <w:rsid w:val="57F16C7F"/>
    <w:rsid w:val="57F64E7F"/>
    <w:rsid w:val="57F67BD6"/>
    <w:rsid w:val="58135758"/>
    <w:rsid w:val="58372026"/>
    <w:rsid w:val="587316C8"/>
    <w:rsid w:val="58800EF9"/>
    <w:rsid w:val="58C6010C"/>
    <w:rsid w:val="58DB09D0"/>
    <w:rsid w:val="5920032E"/>
    <w:rsid w:val="592233B5"/>
    <w:rsid w:val="594E58E1"/>
    <w:rsid w:val="597E3F8E"/>
    <w:rsid w:val="59AF07EA"/>
    <w:rsid w:val="59BA42D4"/>
    <w:rsid w:val="59BB38EE"/>
    <w:rsid w:val="59DC1D4F"/>
    <w:rsid w:val="59FE08FA"/>
    <w:rsid w:val="5A5640E0"/>
    <w:rsid w:val="5A5A2AB2"/>
    <w:rsid w:val="5AC34C92"/>
    <w:rsid w:val="5ACF7403"/>
    <w:rsid w:val="5AD56953"/>
    <w:rsid w:val="5B46719F"/>
    <w:rsid w:val="5B523ED9"/>
    <w:rsid w:val="5B5C70B7"/>
    <w:rsid w:val="5BA42A14"/>
    <w:rsid w:val="5BDF212D"/>
    <w:rsid w:val="5BF91159"/>
    <w:rsid w:val="5C2661F8"/>
    <w:rsid w:val="5C2B2C70"/>
    <w:rsid w:val="5C2B5AC7"/>
    <w:rsid w:val="5C342CD9"/>
    <w:rsid w:val="5C352A17"/>
    <w:rsid w:val="5C36681F"/>
    <w:rsid w:val="5C931B3A"/>
    <w:rsid w:val="5CDD461C"/>
    <w:rsid w:val="5CE51647"/>
    <w:rsid w:val="5D0B0214"/>
    <w:rsid w:val="5D1A0A42"/>
    <w:rsid w:val="5D4F1710"/>
    <w:rsid w:val="5D5D7F5C"/>
    <w:rsid w:val="5D71045F"/>
    <w:rsid w:val="5D8543BA"/>
    <w:rsid w:val="5D8A795A"/>
    <w:rsid w:val="5D9E16C8"/>
    <w:rsid w:val="5DB7371B"/>
    <w:rsid w:val="5DBC7D30"/>
    <w:rsid w:val="5DF04321"/>
    <w:rsid w:val="5E092FDF"/>
    <w:rsid w:val="5E4A015A"/>
    <w:rsid w:val="5E5341F0"/>
    <w:rsid w:val="5E700C18"/>
    <w:rsid w:val="5EF861CE"/>
    <w:rsid w:val="5F0575D1"/>
    <w:rsid w:val="5F2D2E3D"/>
    <w:rsid w:val="5F36490D"/>
    <w:rsid w:val="5F3F6BFF"/>
    <w:rsid w:val="5F5C0DD6"/>
    <w:rsid w:val="5F744EF1"/>
    <w:rsid w:val="5F7B2335"/>
    <w:rsid w:val="5FC16B77"/>
    <w:rsid w:val="5FCF362D"/>
    <w:rsid w:val="5FDA399F"/>
    <w:rsid w:val="5FEB6673"/>
    <w:rsid w:val="5FFA79ED"/>
    <w:rsid w:val="60106671"/>
    <w:rsid w:val="6042348B"/>
    <w:rsid w:val="60441617"/>
    <w:rsid w:val="606D0EF6"/>
    <w:rsid w:val="60835E90"/>
    <w:rsid w:val="608763D3"/>
    <w:rsid w:val="60B85EAE"/>
    <w:rsid w:val="60BE3851"/>
    <w:rsid w:val="60CB1E28"/>
    <w:rsid w:val="60CC64DC"/>
    <w:rsid w:val="60EC443C"/>
    <w:rsid w:val="60F021CA"/>
    <w:rsid w:val="61013040"/>
    <w:rsid w:val="61107F31"/>
    <w:rsid w:val="611C35B8"/>
    <w:rsid w:val="61456201"/>
    <w:rsid w:val="61AE7556"/>
    <w:rsid w:val="61B76A82"/>
    <w:rsid w:val="61D41854"/>
    <w:rsid w:val="62282B27"/>
    <w:rsid w:val="623C3740"/>
    <w:rsid w:val="624F63B5"/>
    <w:rsid w:val="625A6442"/>
    <w:rsid w:val="628F2951"/>
    <w:rsid w:val="62D00AD7"/>
    <w:rsid w:val="62F86A67"/>
    <w:rsid w:val="63221256"/>
    <w:rsid w:val="635D2D4C"/>
    <w:rsid w:val="63622C15"/>
    <w:rsid w:val="638B4892"/>
    <w:rsid w:val="639279AF"/>
    <w:rsid w:val="63A66A42"/>
    <w:rsid w:val="63E6795E"/>
    <w:rsid w:val="641222ED"/>
    <w:rsid w:val="642B5582"/>
    <w:rsid w:val="642C44FD"/>
    <w:rsid w:val="64486B46"/>
    <w:rsid w:val="64643953"/>
    <w:rsid w:val="64654D54"/>
    <w:rsid w:val="64A357A5"/>
    <w:rsid w:val="64FB2F8F"/>
    <w:rsid w:val="650D6333"/>
    <w:rsid w:val="654908E4"/>
    <w:rsid w:val="656A6C63"/>
    <w:rsid w:val="658C66C4"/>
    <w:rsid w:val="65A60D4B"/>
    <w:rsid w:val="65B8738C"/>
    <w:rsid w:val="65DA6FA5"/>
    <w:rsid w:val="65F43065"/>
    <w:rsid w:val="66214EFA"/>
    <w:rsid w:val="666D65E1"/>
    <w:rsid w:val="668405BB"/>
    <w:rsid w:val="66BE059B"/>
    <w:rsid w:val="66C25FFC"/>
    <w:rsid w:val="66EF31C1"/>
    <w:rsid w:val="671A59C6"/>
    <w:rsid w:val="67340A1D"/>
    <w:rsid w:val="67404335"/>
    <w:rsid w:val="674B4232"/>
    <w:rsid w:val="67732F5D"/>
    <w:rsid w:val="678218BC"/>
    <w:rsid w:val="67884607"/>
    <w:rsid w:val="678E3970"/>
    <w:rsid w:val="67905785"/>
    <w:rsid w:val="67BB3BBB"/>
    <w:rsid w:val="67C1185E"/>
    <w:rsid w:val="67D547F3"/>
    <w:rsid w:val="67E324DD"/>
    <w:rsid w:val="680C40CD"/>
    <w:rsid w:val="68397183"/>
    <w:rsid w:val="683B3D7E"/>
    <w:rsid w:val="685F2B0C"/>
    <w:rsid w:val="686E4CA0"/>
    <w:rsid w:val="686F6E6A"/>
    <w:rsid w:val="68840F3C"/>
    <w:rsid w:val="68B631F6"/>
    <w:rsid w:val="69520443"/>
    <w:rsid w:val="696A6892"/>
    <w:rsid w:val="69A973BA"/>
    <w:rsid w:val="69B72806"/>
    <w:rsid w:val="69BD41F9"/>
    <w:rsid w:val="69C21FC2"/>
    <w:rsid w:val="69C52477"/>
    <w:rsid w:val="69CB5582"/>
    <w:rsid w:val="69CE3188"/>
    <w:rsid w:val="69E54E74"/>
    <w:rsid w:val="69F431E5"/>
    <w:rsid w:val="6A116D0D"/>
    <w:rsid w:val="6A3A3987"/>
    <w:rsid w:val="6AD5470C"/>
    <w:rsid w:val="6AE7435F"/>
    <w:rsid w:val="6AE944A4"/>
    <w:rsid w:val="6B4E6ABF"/>
    <w:rsid w:val="6B533A81"/>
    <w:rsid w:val="6B6150FB"/>
    <w:rsid w:val="6BAE2EC2"/>
    <w:rsid w:val="6BBC7D3D"/>
    <w:rsid w:val="6C253A83"/>
    <w:rsid w:val="6C256815"/>
    <w:rsid w:val="6C374C14"/>
    <w:rsid w:val="6C4C1DDE"/>
    <w:rsid w:val="6C526267"/>
    <w:rsid w:val="6C8A3417"/>
    <w:rsid w:val="6C9F2B60"/>
    <w:rsid w:val="6CFD78A4"/>
    <w:rsid w:val="6D272E6C"/>
    <w:rsid w:val="6D400035"/>
    <w:rsid w:val="6D73227D"/>
    <w:rsid w:val="6D886D51"/>
    <w:rsid w:val="6D9C39D1"/>
    <w:rsid w:val="6DCC4C0D"/>
    <w:rsid w:val="6E4341AC"/>
    <w:rsid w:val="6E8E457E"/>
    <w:rsid w:val="6E92348F"/>
    <w:rsid w:val="6F004494"/>
    <w:rsid w:val="6F0E15C8"/>
    <w:rsid w:val="6F2E3E59"/>
    <w:rsid w:val="6F436F8F"/>
    <w:rsid w:val="6F4E3774"/>
    <w:rsid w:val="6F5778B8"/>
    <w:rsid w:val="6F6816AE"/>
    <w:rsid w:val="6F8E1F31"/>
    <w:rsid w:val="6F93693C"/>
    <w:rsid w:val="6FC9214C"/>
    <w:rsid w:val="6FD54C70"/>
    <w:rsid w:val="6FE16E28"/>
    <w:rsid w:val="6FEF8085"/>
    <w:rsid w:val="70447435"/>
    <w:rsid w:val="705D36AF"/>
    <w:rsid w:val="70C23B62"/>
    <w:rsid w:val="70CC02B3"/>
    <w:rsid w:val="70D53585"/>
    <w:rsid w:val="70F2273C"/>
    <w:rsid w:val="7107296B"/>
    <w:rsid w:val="71115D76"/>
    <w:rsid w:val="71321C7C"/>
    <w:rsid w:val="7170146E"/>
    <w:rsid w:val="717268C8"/>
    <w:rsid w:val="71785FE9"/>
    <w:rsid w:val="71802D0E"/>
    <w:rsid w:val="718F5890"/>
    <w:rsid w:val="722F3192"/>
    <w:rsid w:val="7235573F"/>
    <w:rsid w:val="7238752D"/>
    <w:rsid w:val="726C56B8"/>
    <w:rsid w:val="727E6C9F"/>
    <w:rsid w:val="7288771C"/>
    <w:rsid w:val="728C57EE"/>
    <w:rsid w:val="72A458E1"/>
    <w:rsid w:val="72AD500E"/>
    <w:rsid w:val="72CE592F"/>
    <w:rsid w:val="72D57472"/>
    <w:rsid w:val="73197AE0"/>
    <w:rsid w:val="73221860"/>
    <w:rsid w:val="733A4EF6"/>
    <w:rsid w:val="733D0234"/>
    <w:rsid w:val="73620248"/>
    <w:rsid w:val="73773239"/>
    <w:rsid w:val="73B40BD5"/>
    <w:rsid w:val="73C4175E"/>
    <w:rsid w:val="73E80D98"/>
    <w:rsid w:val="73FA14E3"/>
    <w:rsid w:val="740267E6"/>
    <w:rsid w:val="740A7F35"/>
    <w:rsid w:val="74112A7C"/>
    <w:rsid w:val="744A276A"/>
    <w:rsid w:val="74897210"/>
    <w:rsid w:val="74A45A74"/>
    <w:rsid w:val="74E52558"/>
    <w:rsid w:val="74F8334F"/>
    <w:rsid w:val="751E40FE"/>
    <w:rsid w:val="752E7228"/>
    <w:rsid w:val="755E6626"/>
    <w:rsid w:val="75841DF5"/>
    <w:rsid w:val="758D233C"/>
    <w:rsid w:val="75970A9E"/>
    <w:rsid w:val="75DE7C00"/>
    <w:rsid w:val="761A3089"/>
    <w:rsid w:val="762955DF"/>
    <w:rsid w:val="76373E70"/>
    <w:rsid w:val="764802D8"/>
    <w:rsid w:val="76982C90"/>
    <w:rsid w:val="76C54839"/>
    <w:rsid w:val="76FB601C"/>
    <w:rsid w:val="77081D08"/>
    <w:rsid w:val="77945DEF"/>
    <w:rsid w:val="77AB41A4"/>
    <w:rsid w:val="77B46DA4"/>
    <w:rsid w:val="77EB2D72"/>
    <w:rsid w:val="780776F7"/>
    <w:rsid w:val="78163522"/>
    <w:rsid w:val="785E50A2"/>
    <w:rsid w:val="78867CFB"/>
    <w:rsid w:val="789F2C29"/>
    <w:rsid w:val="78B418D7"/>
    <w:rsid w:val="79027FE0"/>
    <w:rsid w:val="79042EE5"/>
    <w:rsid w:val="79210966"/>
    <w:rsid w:val="79261548"/>
    <w:rsid w:val="794321BB"/>
    <w:rsid w:val="794D51CC"/>
    <w:rsid w:val="795F47C4"/>
    <w:rsid w:val="7967171B"/>
    <w:rsid w:val="799447B2"/>
    <w:rsid w:val="79993DEC"/>
    <w:rsid w:val="799B671E"/>
    <w:rsid w:val="79A951B4"/>
    <w:rsid w:val="79B7238B"/>
    <w:rsid w:val="79F16C5D"/>
    <w:rsid w:val="79F9227E"/>
    <w:rsid w:val="7A03141B"/>
    <w:rsid w:val="7A1817A4"/>
    <w:rsid w:val="7A3B22B0"/>
    <w:rsid w:val="7A470DFD"/>
    <w:rsid w:val="7A5E1AFB"/>
    <w:rsid w:val="7A6510DB"/>
    <w:rsid w:val="7A9E603E"/>
    <w:rsid w:val="7AC64AA5"/>
    <w:rsid w:val="7B0501C8"/>
    <w:rsid w:val="7B225C49"/>
    <w:rsid w:val="7B8340AE"/>
    <w:rsid w:val="7B8F7B53"/>
    <w:rsid w:val="7B9F467D"/>
    <w:rsid w:val="7BB151BD"/>
    <w:rsid w:val="7BD429C5"/>
    <w:rsid w:val="7BDF0A19"/>
    <w:rsid w:val="7BF60404"/>
    <w:rsid w:val="7C42078B"/>
    <w:rsid w:val="7CA50B86"/>
    <w:rsid w:val="7CD40CD3"/>
    <w:rsid w:val="7D6D40C6"/>
    <w:rsid w:val="7DAA7D03"/>
    <w:rsid w:val="7DAE4568"/>
    <w:rsid w:val="7DF42A4B"/>
    <w:rsid w:val="7EAB2F61"/>
    <w:rsid w:val="7EE626A2"/>
    <w:rsid w:val="7EF1767C"/>
    <w:rsid w:val="7F1747D7"/>
    <w:rsid w:val="7F2F78BB"/>
    <w:rsid w:val="7F370C17"/>
    <w:rsid w:val="7F73429A"/>
    <w:rsid w:val="7FAD0277"/>
    <w:rsid w:val="7FAF5376"/>
    <w:rsid w:val="7FD3551A"/>
    <w:rsid w:val="7FDD00AC"/>
    <w:rsid w:val="7FDE6D39"/>
    <w:rsid w:val="7FE17785"/>
    <w:rsid w:val="7FEC212C"/>
    <w:rsid w:val="FBBAF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1"/>
    <w:qFormat/>
    <w:uiPriority w:val="0"/>
    <w:pPr>
      <w:ind w:firstLine="200" w:firstLineChars="200"/>
    </w:pPr>
  </w:style>
  <w:style w:type="paragraph" w:styleId="11">
    <w:name w:val="toc 6"/>
    <w:basedOn w:val="1"/>
    <w:next w:val="1"/>
    <w:qFormat/>
    <w:uiPriority w:val="39"/>
    <w:pPr>
      <w:widowControl/>
      <w:ind w:left="1000"/>
      <w:jc w:val="left"/>
    </w:pPr>
    <w:rPr>
      <w:kern w:val="0"/>
      <w:sz w:val="18"/>
      <w:szCs w:val="20"/>
    </w:rPr>
  </w:style>
  <w:style w:type="paragraph" w:styleId="12">
    <w:name w:val="Body Text Indent"/>
    <w:basedOn w:val="1"/>
    <w:next w:val="1"/>
    <w:qFormat/>
    <w:uiPriority w:val="0"/>
    <w:pPr>
      <w:spacing w:after="120"/>
      <w:ind w:left="420" w:leftChars="200"/>
    </w:pPr>
  </w:style>
  <w:style w:type="paragraph" w:styleId="13">
    <w:name w:val="Plain Text"/>
    <w:basedOn w:val="1"/>
    <w:next w:val="14"/>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ody Text Indent 2"/>
    <w:basedOn w:val="1"/>
    <w:qFormat/>
    <w:uiPriority w:val="0"/>
    <w:pPr>
      <w:widowControl/>
      <w:spacing w:line="480" w:lineRule="atLeast"/>
      <w:ind w:firstLine="480"/>
    </w:pPr>
    <w:rPr>
      <w:rFonts w:ascii="宋体"/>
      <w:kern w:val="0"/>
      <w:sz w:val="24"/>
      <w:szCs w:val="20"/>
    </w:rPr>
  </w:style>
  <w:style w:type="paragraph" w:styleId="16">
    <w:name w:val="Balloon Text"/>
    <w:basedOn w:val="1"/>
    <w:link w:val="56"/>
    <w:qFormat/>
    <w:uiPriority w:val="0"/>
    <w:rPr>
      <w:sz w:val="18"/>
      <w:szCs w:val="18"/>
    </w:rPr>
  </w:style>
  <w:style w:type="paragraph" w:styleId="17">
    <w:name w:val="footer"/>
    <w:basedOn w:val="1"/>
    <w:link w:val="57"/>
    <w:qFormat/>
    <w:uiPriority w:val="0"/>
    <w:pPr>
      <w:tabs>
        <w:tab w:val="center" w:pos="4153"/>
        <w:tab w:val="right" w:pos="8306"/>
      </w:tabs>
      <w:snapToGrid w:val="0"/>
      <w:jc w:val="left"/>
    </w:pPr>
    <w:rPr>
      <w:sz w:val="18"/>
    </w:rPr>
  </w:style>
  <w:style w:type="paragraph" w:styleId="18">
    <w:name w:val="header"/>
    <w:basedOn w:val="1"/>
    <w:next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9">
    <w:name w:val="Quote1"/>
    <w:basedOn w:val="1"/>
    <w:next w:val="1"/>
    <w:qFormat/>
    <w:uiPriority w:val="99"/>
    <w:pPr>
      <w:widowControl/>
      <w:wordWrap w:val="0"/>
      <w:spacing w:before="200" w:after="160"/>
      <w:ind w:left="864" w:right="864"/>
      <w:jc w:val="center"/>
    </w:pPr>
    <w:rPr>
      <w:rFonts w:ascii="宋体"/>
      <w:i/>
      <w:color w:val="404040"/>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3">
    <w:name w:val="Body Text First Indent 2"/>
    <w:basedOn w:val="12"/>
    <w:next w:val="1"/>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qFormat/>
    <w:uiPriority w:val="0"/>
    <w:rPr>
      <w:color w:val="0000FF"/>
      <w:u w:val="single"/>
    </w:rPr>
  </w:style>
  <w:style w:type="paragraph" w:customStyle="1" w:styleId="29">
    <w:name w:val="BodyText"/>
    <w:basedOn w:val="1"/>
    <w:next w:val="1"/>
    <w:qFormat/>
    <w:uiPriority w:val="0"/>
    <w:pPr>
      <w:spacing w:after="120"/>
    </w:pPr>
    <w:rPr>
      <w:sz w:val="24"/>
    </w:rPr>
  </w:style>
  <w:style w:type="paragraph" w:customStyle="1" w:styleId="30">
    <w:name w:val="Default"/>
    <w:next w:val="3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章正文"/>
    <w:basedOn w:val="1"/>
    <w:qFormat/>
    <w:uiPriority w:val="0"/>
    <w:pPr>
      <w:spacing w:beforeLines="50" w:after="120" w:line="300" w:lineRule="auto"/>
      <w:ind w:firstLine="480"/>
    </w:pPr>
    <w:rPr>
      <w:rFonts w:ascii="Helvetica" w:hAnsi="Helvetica"/>
      <w:kern w:val="0"/>
      <w:sz w:val="24"/>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7"/>
    <w:qFormat/>
    <w:uiPriority w:val="0"/>
    <w:rPr>
      <w:rFonts w:hint="default" w:ascii="Arial" w:hAnsi="Arial" w:cs="Arial"/>
      <w:color w:val="000000"/>
      <w:sz w:val="20"/>
      <w:szCs w:val="20"/>
      <w:u w:val="none"/>
    </w:rPr>
  </w:style>
  <w:style w:type="character" w:customStyle="1" w:styleId="50">
    <w:name w:val="font01"/>
    <w:basedOn w:val="27"/>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批注框文本 Char"/>
    <w:basedOn w:val="27"/>
    <w:link w:val="16"/>
    <w:qFormat/>
    <w:uiPriority w:val="0"/>
    <w:rPr>
      <w:kern w:val="2"/>
      <w:sz w:val="18"/>
      <w:szCs w:val="18"/>
    </w:rPr>
  </w:style>
  <w:style w:type="character" w:customStyle="1" w:styleId="57">
    <w:name w:val="页脚 Char"/>
    <w:link w:val="17"/>
    <w:qFormat/>
    <w:uiPriority w:val="0"/>
    <w:rPr>
      <w:kern w:val="2"/>
      <w:sz w:val="18"/>
      <w:szCs w:val="24"/>
    </w:rPr>
  </w:style>
  <w:style w:type="paragraph" w:customStyle="1" w:styleId="58">
    <w:name w:val="p0"/>
    <w:basedOn w:val="1"/>
    <w:unhideWhenUsed/>
    <w:qFormat/>
    <w:uiPriority w:val="0"/>
    <w:pPr>
      <w:widowControl/>
      <w:spacing w:line="324" w:lineRule="auto"/>
    </w:pPr>
    <w:rPr>
      <w:rFonts w:hint="eastAsia" w:eastAsia="仿宋_GB2312"/>
      <w:sz w:val="24"/>
      <w:szCs w:val="20"/>
    </w:rPr>
  </w:style>
  <w:style w:type="paragraph" w:customStyle="1" w:styleId="59">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60">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61">
    <w:name w:val="列表段落1"/>
    <w:basedOn w:val="1"/>
    <w:qFormat/>
    <w:uiPriority w:val="34"/>
    <w:pPr>
      <w:ind w:right="238" w:firstLine="420"/>
    </w:pPr>
    <w:rPr>
      <w:rFonts w:ascii="Calibri" w:hAnsi="Calibri"/>
      <w:sz w:val="24"/>
    </w:rPr>
  </w:style>
  <w:style w:type="paragraph" w:customStyle="1" w:styleId="62">
    <w:name w:val="正文缩进1"/>
    <w:basedOn w:val="1"/>
    <w:next w:val="1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3">
    <w:name w:val="索引 11"/>
    <w:basedOn w:val="1"/>
    <w:next w:val="1"/>
    <w:qFormat/>
    <w:uiPriority w:val="0"/>
    <w:pPr>
      <w:adjustRightInd/>
      <w:spacing w:line="360" w:lineRule="auto"/>
    </w:pPr>
    <w:rPr>
      <w:rFonts w:ascii="仿宋_GB2312" w:eastAsia="仿宋_GB2312"/>
      <w:sz w:val="24"/>
      <w:szCs w:val="20"/>
    </w:rPr>
  </w:style>
  <w:style w:type="paragraph" w:customStyle="1" w:styleId="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TZFT.COM</Company>
  <Pages>56</Pages>
  <Words>2514</Words>
  <Characters>2947</Characters>
  <Lines>181</Lines>
  <Paragraphs>51</Paragraphs>
  <TotalTime>49</TotalTime>
  <ScaleCrop>false</ScaleCrop>
  <LinksUpToDate>false</LinksUpToDate>
  <CharactersWithSpaces>2988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2023-05-12T17:06:00Z</dcterms:created>
  <dc:creator>Thorpe521</dc:creator>
  <cp:lastModifiedBy>dell</cp:lastModifiedBy>
  <cp:lastPrinted>2025-03-10T03:06:00Z</cp:lastPrinted>
  <dcterms:modified xsi:type="dcterms:W3CDTF">2025-06-20T03:35:57Z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67DB27827D274B64A09AA6164E8391CE</vt:lpwstr>
  </property>
  <property fmtid="{D5CDD505-2E9C-101B-9397-08002B2CF9AE}" pid="4" name="KSOTemplateDocerSaveRecord">
    <vt:lpwstr>eyJoZGlkIjoiNmE1YjI5NjI4ODRjMjczZTJlYTk2NTYyNTg3ZjMwZTYiLCJ1c2VySWQiOiIyMDQ1ODk4OTUifQ==</vt:lpwstr>
  </property>
</Properties>
</file>