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40C05">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szCs w:val="52"/>
          <w:highlight w:val="none"/>
        </w:rPr>
        <w:t xml:space="preserve">                                                                                                                                              </w:t>
      </w:r>
    </w:p>
    <w:p w14:paraId="368044E4">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14:paraId="6731CEA1">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bookmarkStart w:id="0" w:name="_Hlk166224345"/>
      <w:r>
        <w:rPr>
          <w:rFonts w:hint="eastAsia" w:ascii="宋体"/>
          <w:b/>
          <w:color w:val="auto"/>
          <w:kern w:val="0"/>
          <w:sz w:val="52"/>
          <w:szCs w:val="52"/>
          <w:highlight w:val="none"/>
        </w:rPr>
        <w:t>台州市政府采购招标文件</w:t>
      </w:r>
    </w:p>
    <w:p w14:paraId="5590CC5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hint="eastAsia" w:ascii="宋体" w:hAnsi="宋体" w:eastAsia="宋体" w:cs="Calibri Light"/>
          <w:color w:val="auto"/>
          <w:kern w:val="0"/>
          <w:sz w:val="28"/>
          <w:szCs w:val="28"/>
          <w:highlight w:val="none"/>
          <w:lang w:val="en-US" w:eastAsia="zh-CN"/>
        </w:rPr>
      </w:pPr>
      <w:r>
        <w:rPr>
          <w:rFonts w:hint="eastAsia" w:ascii="宋体" w:hAnsi="宋体" w:cs="Calibri Light"/>
          <w:color w:val="auto"/>
          <w:kern w:val="0"/>
          <w:sz w:val="28"/>
          <w:szCs w:val="28"/>
          <w:highlight w:val="none"/>
        </w:rPr>
        <w:t>采购编号：台财采确[2025]2948号</w:t>
      </w:r>
    </w:p>
    <w:p w14:paraId="2E6BCAA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宋体"/>
          <w:b/>
          <w:color w:val="auto"/>
          <w:kern w:val="0"/>
          <w:sz w:val="32"/>
          <w:highlight w:val="none"/>
        </w:rPr>
      </w:pPr>
      <w:r>
        <w:rPr>
          <w:rFonts w:hint="eastAsia" w:ascii="宋体" w:hAnsi="宋体"/>
          <w:b/>
          <w:color w:val="auto"/>
          <w:sz w:val="36"/>
          <w:highlight w:val="none"/>
        </w:rPr>
        <w:t>（线上电子招投标）</w:t>
      </w:r>
    </w:p>
    <w:p w14:paraId="40A5649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highlight w:val="none"/>
        </w:rPr>
      </w:pPr>
    </w:p>
    <w:p w14:paraId="18647A2A">
      <w:pPr>
        <w:tabs>
          <w:tab w:val="left" w:pos="7222"/>
        </w:tabs>
        <w:autoSpaceDE w:val="0"/>
        <w:autoSpaceDN w:val="0"/>
        <w:adjustRightInd w:val="0"/>
        <w:spacing w:line="360" w:lineRule="auto"/>
        <w:rPr>
          <w:rFonts w:hint="eastAsia" w:ascii="宋体" w:eastAsia="宋体"/>
          <w:b/>
          <w:color w:val="auto"/>
          <w:kern w:val="0"/>
          <w:sz w:val="52"/>
          <w:szCs w:val="52"/>
          <w:highlight w:val="none"/>
          <w:lang w:eastAsia="zh-CN"/>
        </w:rPr>
      </w:pPr>
      <w:r>
        <w:rPr>
          <w:rFonts w:hint="eastAsia" w:ascii="宋体"/>
          <w:b/>
          <w:color w:val="auto"/>
          <w:kern w:val="0"/>
          <w:sz w:val="52"/>
          <w:szCs w:val="52"/>
          <w:highlight w:val="none"/>
          <w:lang w:eastAsia="zh-CN"/>
        </w:rPr>
        <w:tab/>
      </w:r>
    </w:p>
    <w:p w14:paraId="02736D0F">
      <w:pPr>
        <w:autoSpaceDE w:val="0"/>
        <w:autoSpaceDN w:val="0"/>
        <w:adjustRightInd w:val="0"/>
        <w:spacing w:line="360" w:lineRule="auto"/>
        <w:ind w:firstLine="1797" w:firstLineChars="642"/>
        <w:jc w:val="left"/>
        <w:rPr>
          <w:rFonts w:ascii="宋体"/>
          <w:color w:val="auto"/>
          <w:kern w:val="0"/>
          <w:sz w:val="28"/>
          <w:highlight w:val="none"/>
        </w:rPr>
      </w:pPr>
    </w:p>
    <w:p w14:paraId="079765B3">
      <w:pPr>
        <w:autoSpaceDE w:val="0"/>
        <w:autoSpaceDN w:val="0"/>
        <w:adjustRightInd w:val="0"/>
        <w:spacing w:line="360" w:lineRule="auto"/>
        <w:jc w:val="left"/>
        <w:rPr>
          <w:rFonts w:ascii="宋体"/>
          <w:color w:val="auto"/>
          <w:kern w:val="0"/>
          <w:sz w:val="28"/>
          <w:highlight w:val="none"/>
        </w:rPr>
      </w:pPr>
    </w:p>
    <w:p w14:paraId="2579C55C">
      <w:pPr>
        <w:autoSpaceDE w:val="0"/>
        <w:autoSpaceDN w:val="0"/>
        <w:adjustRightInd w:val="0"/>
        <w:spacing w:line="360" w:lineRule="auto"/>
        <w:jc w:val="left"/>
        <w:rPr>
          <w:rFonts w:ascii="宋体"/>
          <w:color w:val="auto"/>
          <w:kern w:val="0"/>
          <w:sz w:val="28"/>
          <w:highlight w:val="none"/>
        </w:rPr>
      </w:pPr>
    </w:p>
    <w:p w14:paraId="61BFAC1F">
      <w:pPr>
        <w:autoSpaceDE w:val="0"/>
        <w:autoSpaceDN w:val="0"/>
        <w:adjustRightInd w:val="0"/>
        <w:spacing w:line="360" w:lineRule="auto"/>
        <w:ind w:right="-197" w:rightChars="-94"/>
        <w:jc w:val="both"/>
        <w:rPr>
          <w:rFonts w:hint="eastAsia" w:ascii="宋体" w:eastAsia="宋体"/>
          <w:color w:val="auto"/>
          <w:kern w:val="0"/>
          <w:sz w:val="28"/>
          <w:szCs w:val="28"/>
          <w:highlight w:val="none"/>
          <w:lang w:eastAsia="zh-CN"/>
        </w:rPr>
      </w:pPr>
      <w:r>
        <w:rPr>
          <w:rFonts w:hint="eastAsia" w:ascii="宋体"/>
          <w:color w:val="auto"/>
          <w:kern w:val="0"/>
          <w:sz w:val="28"/>
          <w:szCs w:val="28"/>
          <w:highlight w:val="none"/>
        </w:rPr>
        <w:t>采购项目：</w:t>
      </w:r>
      <w:r>
        <w:rPr>
          <w:rFonts w:hint="eastAsia" w:ascii="宋体"/>
          <w:color w:val="auto"/>
          <w:kern w:val="0"/>
          <w:sz w:val="28"/>
          <w:szCs w:val="28"/>
          <w:highlight w:val="none"/>
          <w:lang w:eastAsia="zh-CN"/>
        </w:rPr>
        <w:t>台州市公安局交通管理支队2025年信息化办公驻点维护目</w:t>
      </w:r>
    </w:p>
    <w:p w14:paraId="500414D7">
      <w:pPr>
        <w:autoSpaceDE w:val="0"/>
        <w:autoSpaceDN w:val="0"/>
        <w:adjustRightInd w:val="0"/>
        <w:spacing w:line="360" w:lineRule="auto"/>
        <w:jc w:val="center"/>
        <w:rPr>
          <w:rFonts w:ascii="宋体"/>
          <w:color w:val="auto"/>
          <w:kern w:val="0"/>
          <w:sz w:val="28"/>
          <w:szCs w:val="28"/>
          <w:highlight w:val="none"/>
        </w:rPr>
      </w:pPr>
      <w:r>
        <w:rPr>
          <w:rFonts w:hint="eastAsia" w:ascii="宋体"/>
          <w:color w:val="auto"/>
          <w:kern w:val="0"/>
          <w:sz w:val="28"/>
          <w:szCs w:val="28"/>
          <w:highlight w:val="none"/>
        </w:rPr>
        <w:t>采购人：</w:t>
      </w:r>
      <w:r>
        <w:rPr>
          <w:rFonts w:hint="eastAsia" w:ascii="宋体"/>
          <w:color w:val="auto"/>
          <w:kern w:val="0"/>
          <w:sz w:val="28"/>
          <w:szCs w:val="28"/>
          <w:highlight w:val="none"/>
          <w:lang w:eastAsia="zh-CN"/>
        </w:rPr>
        <w:t>台州市公安局交通管理支队</w:t>
      </w:r>
      <w:r>
        <w:rPr>
          <w:rFonts w:hint="eastAsia" w:ascii="宋体"/>
          <w:color w:val="auto"/>
          <w:kern w:val="0"/>
          <w:sz w:val="28"/>
          <w:szCs w:val="28"/>
          <w:highlight w:val="none"/>
        </w:rPr>
        <w:t>（盖章）</w:t>
      </w:r>
    </w:p>
    <w:p w14:paraId="1EA7ED99">
      <w:pPr>
        <w:autoSpaceDE w:val="0"/>
        <w:autoSpaceDN w:val="0"/>
        <w:adjustRightInd w:val="0"/>
        <w:spacing w:line="360" w:lineRule="auto"/>
        <w:rPr>
          <w:rFonts w:ascii="宋体"/>
          <w:color w:val="auto"/>
          <w:kern w:val="0"/>
          <w:sz w:val="28"/>
          <w:highlight w:val="none"/>
        </w:rPr>
      </w:pPr>
    </w:p>
    <w:p w14:paraId="4A7C1B5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14:paraId="3364CAE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14:paraId="3AC2EBD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14:paraId="4A065E7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浙江百和工程咨询有限公司（盖章）</w:t>
      </w:r>
    </w:p>
    <w:p w14:paraId="4968698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宋体" w:hAnsi="宋体" w:cs="宋体"/>
          <w:color w:val="auto"/>
          <w:kern w:val="0"/>
          <w:sz w:val="28"/>
          <w:szCs w:val="28"/>
          <w:highlight w:val="none"/>
        </w:rPr>
      </w:pPr>
      <w:r>
        <w:rPr>
          <w:rFonts w:hint="eastAsia" w:ascii="宋体" w:hAnsi="宋体"/>
          <w:color w:val="auto"/>
          <w:sz w:val="28"/>
          <w:szCs w:val="28"/>
          <w:highlight w:val="none"/>
        </w:rPr>
        <w:t>2</w:t>
      </w:r>
      <w:r>
        <w:rPr>
          <w:rFonts w:ascii="宋体" w:hAnsi="宋体"/>
          <w:color w:val="auto"/>
          <w:sz w:val="28"/>
          <w:szCs w:val="28"/>
          <w:highlight w:val="none"/>
        </w:rPr>
        <w:t>0</w:t>
      </w:r>
      <w:r>
        <w:rPr>
          <w:rFonts w:hint="eastAsia" w:ascii="宋体" w:hAnsi="宋体"/>
          <w:color w:val="auto"/>
          <w:sz w:val="28"/>
          <w:szCs w:val="28"/>
          <w:highlight w:val="none"/>
        </w:rPr>
        <w:t>2</w:t>
      </w:r>
      <w:r>
        <w:rPr>
          <w:rFonts w:hint="eastAsia" w:ascii="宋体" w:hAnsi="宋体"/>
          <w:color w:val="auto"/>
          <w:sz w:val="28"/>
          <w:szCs w:val="28"/>
          <w:highlight w:val="none"/>
          <w:lang w:val="en-US" w:eastAsia="zh-CN"/>
        </w:rPr>
        <w:t>5</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7</w:t>
      </w:r>
      <w:r>
        <w:rPr>
          <w:rFonts w:hint="eastAsia" w:ascii="宋体" w:hAnsi="宋体" w:cs="宋体"/>
          <w:color w:val="auto"/>
          <w:kern w:val="0"/>
          <w:sz w:val="28"/>
          <w:szCs w:val="28"/>
          <w:highlight w:val="none"/>
        </w:rPr>
        <w:t>月</w:t>
      </w:r>
    </w:p>
    <w:p w14:paraId="6E8C0096">
      <w:pPr>
        <w:spacing w:line="360" w:lineRule="auto"/>
        <w:rPr>
          <w:color w:val="auto"/>
          <w:highlight w:val="none"/>
        </w:rPr>
      </w:pPr>
    </w:p>
    <w:p w14:paraId="6C038282">
      <w:pPr>
        <w:spacing w:line="360" w:lineRule="auto"/>
        <w:jc w:val="center"/>
        <w:rPr>
          <w:rFonts w:ascii="宋体" w:hAnsi="宋体" w:cs="Arial"/>
          <w:b/>
          <w:bCs/>
          <w:color w:val="auto"/>
          <w:sz w:val="36"/>
          <w:szCs w:val="36"/>
          <w:highlight w:val="none"/>
        </w:rPr>
      </w:pPr>
    </w:p>
    <w:bookmarkEnd w:id="0"/>
    <w:p w14:paraId="54462E9B">
      <w:pPr>
        <w:spacing w:line="360" w:lineRule="auto"/>
        <w:jc w:val="center"/>
        <w:rPr>
          <w:rFonts w:ascii="宋体" w:hAnsi="宋体" w:cs="Arial"/>
          <w:b/>
          <w:bCs/>
          <w:color w:val="auto"/>
          <w:sz w:val="36"/>
          <w:szCs w:val="36"/>
          <w:highlight w:val="none"/>
        </w:rPr>
      </w:pPr>
      <w:r>
        <w:rPr>
          <w:rFonts w:hint="eastAsia" w:ascii="宋体" w:hAnsi="宋体" w:cs="Arial"/>
          <w:b/>
          <w:bCs/>
          <w:color w:val="auto"/>
          <w:sz w:val="36"/>
          <w:szCs w:val="36"/>
          <w:highlight w:val="none"/>
        </w:rPr>
        <w:t>目    录</w:t>
      </w:r>
    </w:p>
    <w:p w14:paraId="6545743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auto"/>
          <w:sz w:val="36"/>
          <w:highlight w:val="none"/>
        </w:rPr>
      </w:pPr>
    </w:p>
    <w:p w14:paraId="2DDFBA39">
      <w:pPr>
        <w:spacing w:line="360" w:lineRule="auto"/>
        <w:rPr>
          <w:rFonts w:ascii="新宋体" w:hAnsi="新宋体" w:eastAsia="新宋体"/>
          <w:color w:val="auto"/>
          <w:sz w:val="28"/>
          <w:szCs w:val="28"/>
          <w:highlight w:val="none"/>
        </w:rPr>
      </w:pPr>
    </w:p>
    <w:p w14:paraId="354847F0">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公开招标采购公告</w:t>
      </w:r>
    </w:p>
    <w:p w14:paraId="5A6285E8">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投标人须知</w:t>
      </w:r>
    </w:p>
    <w:p w14:paraId="628AE3AA">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评标办法及评分标准</w:t>
      </w:r>
    </w:p>
    <w:p w14:paraId="5FC76B5D">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公开招标需求</w:t>
      </w:r>
    </w:p>
    <w:p w14:paraId="1D2D29A0">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政府采购合同主要条款指引</w:t>
      </w:r>
    </w:p>
    <w:p w14:paraId="5A7723C2">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投标文件格式附件</w:t>
      </w:r>
    </w:p>
    <w:p w14:paraId="78425DDE">
      <w:pPr>
        <w:spacing w:line="360" w:lineRule="auto"/>
        <w:rPr>
          <w:color w:val="auto"/>
          <w:highlight w:val="none"/>
        </w:rPr>
      </w:pPr>
    </w:p>
    <w:p w14:paraId="44CD6D84">
      <w:pPr>
        <w:spacing w:line="360" w:lineRule="auto"/>
        <w:rPr>
          <w:color w:val="auto"/>
          <w:highlight w:val="none"/>
        </w:rPr>
      </w:pPr>
    </w:p>
    <w:p w14:paraId="025B5DBB">
      <w:pPr>
        <w:spacing w:line="360" w:lineRule="auto"/>
        <w:rPr>
          <w:color w:val="auto"/>
          <w:highlight w:val="none"/>
        </w:rPr>
      </w:pPr>
    </w:p>
    <w:p w14:paraId="232F7E3E">
      <w:pPr>
        <w:spacing w:line="360" w:lineRule="auto"/>
        <w:rPr>
          <w:color w:val="auto"/>
          <w:highlight w:val="none"/>
        </w:rPr>
      </w:pPr>
    </w:p>
    <w:p w14:paraId="514A2202">
      <w:pPr>
        <w:spacing w:line="360" w:lineRule="auto"/>
        <w:rPr>
          <w:color w:val="auto"/>
          <w:highlight w:val="none"/>
        </w:rPr>
      </w:pPr>
    </w:p>
    <w:p w14:paraId="4A4240D1">
      <w:pPr>
        <w:spacing w:line="360" w:lineRule="auto"/>
        <w:rPr>
          <w:color w:val="auto"/>
          <w:highlight w:val="none"/>
        </w:rPr>
      </w:pPr>
    </w:p>
    <w:p w14:paraId="70CEE668">
      <w:pPr>
        <w:spacing w:line="360" w:lineRule="auto"/>
        <w:rPr>
          <w:color w:val="auto"/>
          <w:highlight w:val="none"/>
        </w:rPr>
      </w:pPr>
    </w:p>
    <w:p w14:paraId="285C3174">
      <w:pPr>
        <w:spacing w:line="360" w:lineRule="auto"/>
        <w:rPr>
          <w:color w:val="auto"/>
          <w:highlight w:val="none"/>
        </w:rPr>
      </w:pPr>
    </w:p>
    <w:p w14:paraId="0C6F5F09">
      <w:pPr>
        <w:spacing w:line="360" w:lineRule="auto"/>
        <w:rPr>
          <w:color w:val="auto"/>
          <w:highlight w:val="none"/>
        </w:rPr>
      </w:pPr>
    </w:p>
    <w:p w14:paraId="116990A4">
      <w:pPr>
        <w:spacing w:line="360" w:lineRule="auto"/>
        <w:rPr>
          <w:color w:val="auto"/>
          <w:highlight w:val="none"/>
        </w:rPr>
      </w:pPr>
    </w:p>
    <w:p w14:paraId="4DC0EAAA">
      <w:pPr>
        <w:spacing w:line="360" w:lineRule="auto"/>
        <w:rPr>
          <w:color w:val="auto"/>
          <w:highlight w:val="none"/>
        </w:rPr>
      </w:pPr>
    </w:p>
    <w:p w14:paraId="18948F1A">
      <w:pPr>
        <w:spacing w:line="360" w:lineRule="auto"/>
        <w:rPr>
          <w:color w:val="auto"/>
          <w:highlight w:val="none"/>
        </w:rPr>
      </w:pPr>
    </w:p>
    <w:p w14:paraId="2688D294">
      <w:pPr>
        <w:spacing w:line="360" w:lineRule="auto"/>
        <w:rPr>
          <w:color w:val="auto"/>
          <w:highlight w:val="none"/>
        </w:rPr>
      </w:pPr>
    </w:p>
    <w:p w14:paraId="062AEB0F">
      <w:pPr>
        <w:spacing w:line="360" w:lineRule="auto"/>
        <w:rPr>
          <w:color w:val="auto"/>
          <w:highlight w:val="none"/>
        </w:rPr>
      </w:pPr>
    </w:p>
    <w:p w14:paraId="7F090989">
      <w:pPr>
        <w:spacing w:line="360" w:lineRule="auto"/>
        <w:rPr>
          <w:color w:val="auto"/>
          <w:highlight w:val="none"/>
        </w:rPr>
      </w:pPr>
    </w:p>
    <w:p w14:paraId="667CFB83">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auto"/>
          <w:kern w:val="0"/>
          <w:sz w:val="36"/>
          <w:szCs w:val="36"/>
          <w:highlight w:val="none"/>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14:paraId="6ADB2F2B">
      <w:pPr>
        <w:tabs>
          <w:tab w:val="left" w:pos="180"/>
          <w:tab w:val="left" w:pos="360"/>
          <w:tab w:val="left" w:pos="540"/>
          <w:tab w:val="left" w:pos="8280"/>
        </w:tabs>
        <w:autoSpaceDE w:val="0"/>
        <w:autoSpaceDN w:val="0"/>
        <w:adjustRightInd w:val="0"/>
        <w:spacing w:after="156" w:afterLines="50" w:line="360" w:lineRule="auto"/>
        <w:ind w:right="23"/>
        <w:jc w:val="center"/>
        <w:rPr>
          <w:rFonts w:asciiTheme="majorEastAsia" w:hAnsiTheme="majorEastAsia" w:eastAsiaTheme="majorEastAsia"/>
          <w:b/>
          <w:color w:val="auto"/>
          <w:kern w:val="0"/>
          <w:sz w:val="36"/>
          <w:szCs w:val="36"/>
          <w:highlight w:val="none"/>
        </w:rPr>
      </w:pPr>
      <w:r>
        <w:rPr>
          <w:rFonts w:hint="eastAsia" w:asciiTheme="majorEastAsia" w:hAnsiTheme="majorEastAsia" w:eastAsiaTheme="majorEastAsia"/>
          <w:b/>
          <w:color w:val="auto"/>
          <w:kern w:val="0"/>
          <w:sz w:val="36"/>
          <w:szCs w:val="36"/>
          <w:highlight w:val="none"/>
        </w:rPr>
        <w:t>第一章  公开</w:t>
      </w:r>
      <w:r>
        <w:rPr>
          <w:rFonts w:hint="eastAsia" w:asciiTheme="majorEastAsia" w:hAnsiTheme="majorEastAsia" w:eastAsiaTheme="majorEastAsia"/>
          <w:b/>
          <w:color w:val="auto"/>
          <w:sz w:val="36"/>
          <w:szCs w:val="36"/>
          <w:highlight w:val="none"/>
        </w:rPr>
        <w:t>招标采购公告</w:t>
      </w:r>
    </w:p>
    <w:p w14:paraId="7615B559">
      <w:pPr>
        <w:tabs>
          <w:tab w:val="left" w:pos="180"/>
          <w:tab w:val="left" w:pos="360"/>
          <w:tab w:val="left" w:pos="540"/>
          <w:tab w:val="left" w:pos="8280"/>
        </w:tabs>
        <w:autoSpaceDE w:val="0"/>
        <w:autoSpaceDN w:val="0"/>
        <w:adjustRightInd w:val="0"/>
        <w:spacing w:line="360" w:lineRule="auto"/>
        <w:ind w:right="23" w:firstLine="539"/>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color w:val="auto"/>
          <w:kern w:val="0"/>
          <w:sz w:val="24"/>
          <w:highlight w:val="none"/>
        </w:rPr>
        <w:t xml:space="preserve">, </w:t>
      </w:r>
      <w:r>
        <w:rPr>
          <w:rFonts w:hint="eastAsia" w:asciiTheme="minorEastAsia" w:hAnsiTheme="minorEastAsia" w:eastAsiaTheme="minorEastAsia"/>
          <w:color w:val="auto"/>
          <w:kern w:val="0"/>
          <w:sz w:val="24"/>
          <w:highlight w:val="none"/>
        </w:rPr>
        <w:t>受采购人委托，现就</w:t>
      </w:r>
      <w:r>
        <w:rPr>
          <w:rFonts w:hint="eastAsia" w:asciiTheme="minorEastAsia" w:hAnsiTheme="minorEastAsia" w:eastAsiaTheme="minorEastAsia"/>
          <w:color w:val="auto"/>
          <w:kern w:val="0"/>
          <w:sz w:val="24"/>
          <w:highlight w:val="none"/>
          <w:lang w:eastAsia="zh-CN"/>
        </w:rPr>
        <w:t>台州市公安局交通管理支队</w:t>
      </w:r>
      <w:r>
        <w:rPr>
          <w:rFonts w:hint="eastAsia" w:asciiTheme="minorEastAsia" w:hAnsiTheme="minorEastAsia" w:eastAsiaTheme="minorEastAsia"/>
          <w:color w:val="auto"/>
          <w:sz w:val="24"/>
          <w:highlight w:val="none"/>
        </w:rPr>
        <w:t>（单位</w:t>
      </w:r>
      <w:r>
        <w:rPr>
          <w:rFonts w:asciiTheme="minorEastAsia" w:hAnsiTheme="minorEastAsia" w:eastAsiaTheme="minorEastAsia"/>
          <w:color w:val="auto"/>
          <w:sz w:val="24"/>
          <w:highlight w:val="none"/>
        </w:rPr>
        <w:t>名称</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rPr>
        <w:t>的</w:t>
      </w:r>
      <w:r>
        <w:rPr>
          <w:rFonts w:hint="eastAsia" w:asciiTheme="minorEastAsia" w:hAnsiTheme="minorEastAsia" w:eastAsiaTheme="minorEastAsia"/>
          <w:color w:val="auto"/>
          <w:sz w:val="24"/>
          <w:highlight w:val="none"/>
          <w:u w:val="single"/>
          <w:lang w:eastAsia="zh-CN"/>
        </w:rPr>
        <w:t>台州市公安局交通管理支队2025年信息化办公驻点维护项目</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名称</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rPr>
        <w:t>进行公开招标采购，欢迎合格供应商前来投标。</w:t>
      </w:r>
    </w:p>
    <w:p w14:paraId="662F0021">
      <w:pPr>
        <w:numPr>
          <w:ilvl w:val="0"/>
          <w:numId w:val="3"/>
        </w:numPr>
        <w:tabs>
          <w:tab w:val="left" w:pos="180"/>
          <w:tab w:val="left" w:pos="360"/>
          <w:tab w:val="left" w:pos="540"/>
          <w:tab w:val="left" w:pos="8280"/>
        </w:tabs>
        <w:autoSpaceDE w:val="0"/>
        <w:autoSpaceDN w:val="0"/>
        <w:adjustRightInd w:val="0"/>
        <w:spacing w:line="360" w:lineRule="auto"/>
        <w:ind w:left="539" w:right="23"/>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项目编号：</w:t>
      </w:r>
      <w:r>
        <w:rPr>
          <w:rFonts w:hint="eastAsia" w:asciiTheme="minorEastAsia" w:hAnsiTheme="minorEastAsia" w:eastAsiaTheme="minorEastAsia"/>
          <w:b/>
          <w:color w:val="auto"/>
          <w:kern w:val="0"/>
          <w:sz w:val="24"/>
          <w:highlight w:val="none"/>
          <w:lang w:eastAsia="zh-CN"/>
        </w:rPr>
        <w:t>台财采确[2025]</w:t>
      </w:r>
      <w:r>
        <w:rPr>
          <w:rFonts w:hint="eastAsia" w:asciiTheme="minorEastAsia" w:hAnsiTheme="minorEastAsia" w:eastAsiaTheme="minorEastAsia"/>
          <w:b/>
          <w:color w:val="auto"/>
          <w:kern w:val="0"/>
          <w:sz w:val="24"/>
          <w:highlight w:val="none"/>
          <w:lang w:val="en-US" w:eastAsia="zh-CN"/>
        </w:rPr>
        <w:t>2948</w:t>
      </w:r>
      <w:r>
        <w:rPr>
          <w:rFonts w:hint="eastAsia" w:asciiTheme="minorEastAsia" w:hAnsiTheme="minorEastAsia" w:eastAsiaTheme="minorEastAsia"/>
          <w:b/>
          <w:color w:val="auto"/>
          <w:kern w:val="0"/>
          <w:sz w:val="24"/>
          <w:highlight w:val="none"/>
          <w:lang w:eastAsia="zh-CN"/>
        </w:rPr>
        <w:t>号</w:t>
      </w:r>
    </w:p>
    <w:p w14:paraId="4E5AE98F">
      <w:pPr>
        <w:tabs>
          <w:tab w:val="left" w:pos="180"/>
          <w:tab w:val="left" w:pos="360"/>
          <w:tab w:val="left" w:pos="540"/>
          <w:tab w:val="left" w:pos="8280"/>
        </w:tabs>
        <w:autoSpaceDE w:val="0"/>
        <w:autoSpaceDN w:val="0"/>
        <w:adjustRightInd w:val="0"/>
        <w:spacing w:line="360" w:lineRule="auto"/>
        <w:ind w:right="23" w:firstLine="482"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b/>
          <w:color w:val="auto"/>
          <w:kern w:val="0"/>
          <w:sz w:val="24"/>
          <w:highlight w:val="none"/>
        </w:rPr>
        <w:t>二、招标项目概况：</w:t>
      </w:r>
    </w:p>
    <w:tbl>
      <w:tblPr>
        <w:tblStyle w:val="35"/>
        <w:tblW w:w="10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673"/>
        <w:gridCol w:w="1114"/>
        <w:gridCol w:w="796"/>
        <w:gridCol w:w="796"/>
        <w:gridCol w:w="1288"/>
        <w:gridCol w:w="1466"/>
        <w:gridCol w:w="2296"/>
      </w:tblGrid>
      <w:tr w14:paraId="522C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59" w:type="dxa"/>
            <w:vAlign w:val="center"/>
          </w:tcPr>
          <w:p w14:paraId="4BE6E813">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标段号</w:t>
            </w:r>
          </w:p>
        </w:tc>
        <w:tc>
          <w:tcPr>
            <w:tcW w:w="1673" w:type="dxa"/>
            <w:vAlign w:val="center"/>
          </w:tcPr>
          <w:p w14:paraId="2AB72726">
            <w:pPr>
              <w:keepNext w:val="0"/>
              <w:keepLines w:val="0"/>
              <w:suppressLineNumbers w:val="0"/>
              <w:tabs>
                <w:tab w:val="left" w:pos="8280"/>
              </w:tabs>
              <w:autoSpaceDE w:val="0"/>
              <w:autoSpaceDN w:val="0"/>
              <w:adjustRightInd w:val="0"/>
              <w:spacing w:before="0" w:beforeAutospacing="0" w:after="0" w:afterAutospacing="0" w:line="360" w:lineRule="auto"/>
              <w:ind w:left="0" w:right="25" w:firstLine="120" w:firstLineChars="50"/>
              <w:jc w:val="center"/>
              <w:rPr>
                <w:rFonts w:hint="default" w:ascii="宋体" w:hAnsi="宋体" w:cs="宋体"/>
                <w:b/>
                <w:color w:val="auto"/>
                <w:sz w:val="24"/>
                <w:highlight w:val="none"/>
              </w:rPr>
            </w:pPr>
            <w:r>
              <w:rPr>
                <w:rFonts w:hint="eastAsia" w:ascii="宋体" w:hAnsi="宋体" w:cs="宋体"/>
                <w:b/>
                <w:color w:val="auto"/>
                <w:sz w:val="24"/>
                <w:highlight w:val="none"/>
              </w:rPr>
              <w:t>标项内容</w:t>
            </w:r>
          </w:p>
        </w:tc>
        <w:tc>
          <w:tcPr>
            <w:tcW w:w="1114" w:type="dxa"/>
            <w:vAlign w:val="center"/>
          </w:tcPr>
          <w:p w14:paraId="5F280026">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color w:val="auto"/>
                <w:sz w:val="24"/>
                <w:highlight w:val="none"/>
              </w:rPr>
            </w:pPr>
            <w:r>
              <w:rPr>
                <w:rFonts w:hint="eastAsia" w:ascii="宋体" w:hAnsi="宋体" w:cs="宋体"/>
                <w:b/>
                <w:color w:val="auto"/>
                <w:kern w:val="0"/>
                <w:sz w:val="24"/>
                <w:highlight w:val="none"/>
              </w:rPr>
              <w:t>简要技术要求</w:t>
            </w:r>
          </w:p>
        </w:tc>
        <w:tc>
          <w:tcPr>
            <w:tcW w:w="796" w:type="dxa"/>
            <w:vAlign w:val="center"/>
          </w:tcPr>
          <w:p w14:paraId="02A06042">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数量</w:t>
            </w:r>
          </w:p>
        </w:tc>
        <w:tc>
          <w:tcPr>
            <w:tcW w:w="796" w:type="dxa"/>
            <w:vAlign w:val="center"/>
          </w:tcPr>
          <w:p w14:paraId="5A5CAAC6">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单位</w:t>
            </w:r>
          </w:p>
        </w:tc>
        <w:tc>
          <w:tcPr>
            <w:tcW w:w="1288" w:type="dxa"/>
            <w:vAlign w:val="center"/>
          </w:tcPr>
          <w:p w14:paraId="2F8A6C09">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预算金额（万元）</w:t>
            </w:r>
          </w:p>
        </w:tc>
        <w:tc>
          <w:tcPr>
            <w:tcW w:w="1466" w:type="dxa"/>
            <w:vAlign w:val="center"/>
          </w:tcPr>
          <w:p w14:paraId="72E32901">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最高限价</w:t>
            </w:r>
          </w:p>
          <w:p w14:paraId="39DEA52B">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（万元）</w:t>
            </w:r>
          </w:p>
        </w:tc>
        <w:tc>
          <w:tcPr>
            <w:tcW w:w="2296" w:type="dxa"/>
            <w:vAlign w:val="center"/>
          </w:tcPr>
          <w:p w14:paraId="0E5FA450">
            <w:pPr>
              <w:keepNext w:val="0"/>
              <w:keepLines w:val="0"/>
              <w:suppressLineNumbers w:val="0"/>
              <w:tabs>
                <w:tab w:val="left" w:pos="8280"/>
              </w:tabs>
              <w:autoSpaceDE w:val="0"/>
              <w:autoSpaceDN w:val="0"/>
              <w:adjustRightInd w:val="0"/>
              <w:spacing w:before="0" w:beforeAutospacing="0" w:after="0" w:afterAutospacing="0" w:line="360" w:lineRule="auto"/>
              <w:ind w:left="0" w:right="25" w:firstLine="240"/>
              <w:jc w:val="center"/>
              <w:rPr>
                <w:rFonts w:hint="default" w:ascii="宋体" w:hAnsi="宋体" w:cs="宋体"/>
                <w:b/>
                <w:color w:val="auto"/>
                <w:sz w:val="24"/>
                <w:highlight w:val="none"/>
              </w:rPr>
            </w:pPr>
            <w:r>
              <w:rPr>
                <w:rFonts w:hint="eastAsia" w:ascii="宋体" w:hAnsi="宋体" w:cs="宋体"/>
                <w:b/>
                <w:color w:val="auto"/>
                <w:sz w:val="24"/>
                <w:highlight w:val="none"/>
              </w:rPr>
              <w:t>服务期</w:t>
            </w:r>
          </w:p>
        </w:tc>
      </w:tr>
      <w:tr w14:paraId="2FC3C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9" w:type="dxa"/>
            <w:vAlign w:val="center"/>
          </w:tcPr>
          <w:p w14:paraId="2B81A663">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673" w:type="dxa"/>
            <w:vAlign w:val="center"/>
          </w:tcPr>
          <w:p w14:paraId="26E0154C">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eastAsia="zh-CN"/>
              </w:rPr>
              <w:t>台州市公安局交通管理支队2025年信息化办公驻点维护项目</w:t>
            </w:r>
          </w:p>
        </w:tc>
        <w:tc>
          <w:tcPr>
            <w:tcW w:w="1114" w:type="dxa"/>
            <w:vAlign w:val="center"/>
          </w:tcPr>
          <w:p w14:paraId="31F24FC9">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color w:val="auto"/>
                <w:sz w:val="24"/>
                <w:highlight w:val="none"/>
              </w:rPr>
            </w:pPr>
            <w:r>
              <w:rPr>
                <w:rFonts w:hint="eastAsia" w:ascii="宋体" w:hAnsi="宋体" w:cs="宋体"/>
                <w:color w:val="auto"/>
                <w:sz w:val="24"/>
                <w:highlight w:val="none"/>
              </w:rPr>
              <w:t>详见技术需求</w:t>
            </w:r>
          </w:p>
        </w:tc>
        <w:tc>
          <w:tcPr>
            <w:tcW w:w="796" w:type="dxa"/>
            <w:vAlign w:val="center"/>
          </w:tcPr>
          <w:p w14:paraId="34B19EFC">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796" w:type="dxa"/>
            <w:vAlign w:val="center"/>
          </w:tcPr>
          <w:p w14:paraId="633139E3">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color w:val="auto"/>
                <w:sz w:val="24"/>
                <w:highlight w:val="none"/>
              </w:rPr>
            </w:pPr>
            <w:r>
              <w:rPr>
                <w:rFonts w:hint="eastAsia" w:ascii="宋体" w:hAnsi="宋体" w:cs="宋体"/>
                <w:color w:val="auto"/>
                <w:sz w:val="24"/>
                <w:highlight w:val="none"/>
              </w:rPr>
              <w:t>批</w:t>
            </w:r>
          </w:p>
        </w:tc>
        <w:tc>
          <w:tcPr>
            <w:tcW w:w="1288" w:type="dxa"/>
            <w:vAlign w:val="center"/>
          </w:tcPr>
          <w:p w14:paraId="5224BEF3">
            <w:pPr>
              <w:keepNext w:val="0"/>
              <w:keepLines w:val="0"/>
              <w:suppressLineNumbers w:val="0"/>
              <w:tabs>
                <w:tab w:val="left" w:pos="8280"/>
              </w:tabs>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60</w:t>
            </w:r>
          </w:p>
        </w:tc>
        <w:tc>
          <w:tcPr>
            <w:tcW w:w="1466" w:type="dxa"/>
            <w:vAlign w:val="center"/>
          </w:tcPr>
          <w:p w14:paraId="6EC91CF6">
            <w:pPr>
              <w:keepNext w:val="0"/>
              <w:keepLines w:val="0"/>
              <w:suppressLineNumbers w:val="0"/>
              <w:tabs>
                <w:tab w:val="left" w:pos="8280"/>
              </w:tabs>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57</w:t>
            </w:r>
          </w:p>
        </w:tc>
        <w:tc>
          <w:tcPr>
            <w:tcW w:w="2296" w:type="dxa"/>
            <w:vAlign w:val="center"/>
          </w:tcPr>
          <w:p w14:paraId="73EDDB2E">
            <w:pPr>
              <w:keepNext w:val="0"/>
              <w:keepLines w:val="0"/>
              <w:suppressLineNumbers w:val="0"/>
              <w:tabs>
                <w:tab w:val="left" w:pos="8280"/>
              </w:tabs>
              <w:autoSpaceDE w:val="0"/>
              <w:autoSpaceDN w:val="0"/>
              <w:adjustRightIn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 xml:space="preserve">合同签订后一年 </w:t>
            </w:r>
          </w:p>
        </w:tc>
      </w:tr>
    </w:tbl>
    <w:p w14:paraId="1ED5EF8F">
      <w:pPr>
        <w:tabs>
          <w:tab w:val="left" w:pos="180"/>
          <w:tab w:val="left" w:pos="360"/>
          <w:tab w:val="left" w:pos="540"/>
          <w:tab w:val="left" w:pos="8280"/>
        </w:tabs>
        <w:autoSpaceDE w:val="0"/>
        <w:autoSpaceDN w:val="0"/>
        <w:adjustRightInd w:val="0"/>
        <w:spacing w:line="360" w:lineRule="auto"/>
        <w:ind w:left="539" w:right="23"/>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sz w:val="24"/>
          <w:highlight w:val="none"/>
        </w:rPr>
        <w:t>三、合格投标人的资格条件：</w:t>
      </w:r>
    </w:p>
    <w:p w14:paraId="0A3D8672">
      <w:pPr>
        <w:pStyle w:val="51"/>
        <w:adjustRightInd w:val="0"/>
        <w:spacing w:before="0" w:line="360" w:lineRule="auto"/>
        <w:ind w:left="102" w:right="102"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（一）符合《中华人民共和国政府采购法》第二十二条规定的投标人资格条件。</w:t>
      </w:r>
    </w:p>
    <w:p w14:paraId="4EC3EEEE">
      <w:pPr>
        <w:pStyle w:val="51"/>
        <w:adjustRightInd w:val="0"/>
        <w:spacing w:before="0" w:line="360" w:lineRule="auto"/>
        <w:ind w:left="102" w:right="102" w:firstLine="480"/>
        <w:rPr>
          <w:rFonts w:hint="eastAsia" w:ascii="宋体" w:eastAsia="宋体"/>
          <w:color w:val="auto"/>
          <w:sz w:val="24"/>
          <w:szCs w:val="24"/>
          <w:highlight w:val="none"/>
        </w:rPr>
      </w:pPr>
      <w:r>
        <w:rPr>
          <w:rFonts w:hint="eastAsia" w:ascii="宋体" w:eastAsia="宋体"/>
          <w:color w:val="auto"/>
          <w:sz w:val="24"/>
          <w:szCs w:val="24"/>
          <w:highlight w:val="none"/>
        </w:rPr>
        <w:t>（二）未被“信用中国”（www.creditchina.gov.cn）、中国政府采购网（www.ccgp.gov.cn）列入失信被执行人、重大税收违法失信主体、政府采购严重违法失信行为记录名单。</w:t>
      </w:r>
    </w:p>
    <w:p w14:paraId="24B0CAB1">
      <w:pPr>
        <w:tabs>
          <w:tab w:val="left" w:pos="180"/>
          <w:tab w:val="left" w:pos="360"/>
          <w:tab w:val="left" w:pos="540"/>
          <w:tab w:val="left" w:pos="8280"/>
        </w:tabs>
        <w:spacing w:line="360" w:lineRule="auto"/>
        <w:ind w:right="23" w:firstLine="480" w:firstLineChars="200"/>
        <w:jc w:val="left"/>
        <w:textAlignment w:val="baseline"/>
        <w:rPr>
          <w:rFonts w:hint="eastAsia" w:eastAsia="宋体"/>
          <w:color w:val="auto"/>
          <w:sz w:val="24"/>
          <w:highlight w:val="none"/>
          <w:lang w:val="en-US" w:eastAsia="zh-CN"/>
        </w:rPr>
      </w:pPr>
      <w:r>
        <w:rPr>
          <w:rFonts w:hint="eastAsia" w:ascii="宋体" w:hAnsi="宋体" w:cs="宋体"/>
          <w:color w:val="auto"/>
          <w:kern w:val="0"/>
          <w:sz w:val="24"/>
          <w:highlight w:val="none"/>
          <w:lang w:bidi="ar"/>
        </w:rPr>
        <w:t>（三）</w:t>
      </w:r>
      <w:r>
        <w:rPr>
          <w:rFonts w:hint="eastAsia" w:ascii="宋体" w:hAnsi="宋体" w:eastAsia="宋体" w:cs="宋体"/>
          <w:color w:val="auto"/>
          <w:sz w:val="24"/>
          <w:szCs w:val="24"/>
          <w:highlight w:val="none"/>
          <w:lang w:eastAsia="zh-CN"/>
        </w:rPr>
        <w:t>落实政府采购政策需满足的资格要求：本项目按照《政府采购促进中小企业发展管理办法》【财库〔2020〕46号】第七条规定：专门面向中小企业采购。参与投标的供应商出具《中小企业声明函（服务）》，监狱企业、残疾人福利性单位视同小型、微型企业。</w:t>
      </w:r>
    </w:p>
    <w:p w14:paraId="1EA918BA">
      <w:pPr>
        <w:tabs>
          <w:tab w:val="left" w:pos="180"/>
          <w:tab w:val="left" w:pos="360"/>
          <w:tab w:val="left" w:pos="540"/>
          <w:tab w:val="left" w:pos="8280"/>
        </w:tabs>
        <w:spacing w:line="360" w:lineRule="auto"/>
        <w:ind w:right="23" w:firstLine="480" w:firstLineChars="200"/>
        <w:jc w:val="left"/>
        <w:textAlignment w:val="baseline"/>
        <w:rPr>
          <w:rFonts w:hint="eastAsia" w:eastAsia="宋体"/>
          <w:color w:val="auto"/>
          <w:sz w:val="24"/>
          <w:highlight w:val="none"/>
          <w:lang w:val="en-US" w:eastAsia="zh-CN"/>
        </w:rPr>
      </w:pP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四</w:t>
      </w:r>
      <w:r>
        <w:rPr>
          <w:rFonts w:hint="eastAsia" w:ascii="宋体" w:hAnsi="宋体" w:cs="宋体"/>
          <w:color w:val="auto"/>
          <w:kern w:val="0"/>
          <w:sz w:val="24"/>
          <w:highlight w:val="none"/>
          <w:lang w:bidi="ar"/>
        </w:rPr>
        <w:t>）</w:t>
      </w:r>
      <w:r>
        <w:rPr>
          <w:rFonts w:hint="eastAsia"/>
          <w:color w:val="auto"/>
          <w:sz w:val="24"/>
          <w:highlight w:val="none"/>
          <w:lang w:val="en-US" w:eastAsia="zh-CN"/>
        </w:rPr>
        <w:t>本</w:t>
      </w:r>
      <w:r>
        <w:rPr>
          <w:rFonts w:hint="eastAsia"/>
          <w:color w:val="auto"/>
          <w:sz w:val="24"/>
          <w:highlight w:val="none"/>
        </w:rPr>
        <w:t>项目属政府购买服务项目，公益一类事业单位不能做为承接</w:t>
      </w:r>
      <w:r>
        <w:rPr>
          <w:rFonts w:hint="eastAsia"/>
          <w:color w:val="auto"/>
          <w:sz w:val="24"/>
          <w:highlight w:val="none"/>
          <w:lang w:val="en-US" w:eastAsia="zh-CN"/>
        </w:rPr>
        <w:t>主体。</w:t>
      </w:r>
    </w:p>
    <w:p w14:paraId="7A725B29">
      <w:pPr>
        <w:tabs>
          <w:tab w:val="left" w:pos="180"/>
          <w:tab w:val="left" w:pos="360"/>
          <w:tab w:val="left" w:pos="540"/>
          <w:tab w:val="left" w:pos="8280"/>
        </w:tabs>
        <w:spacing w:line="360" w:lineRule="auto"/>
        <w:ind w:right="23" w:firstLine="480" w:firstLineChars="200"/>
        <w:jc w:val="left"/>
        <w:textAlignment w:val="baseline"/>
        <w:rPr>
          <w:color w:val="auto"/>
          <w:sz w:val="24"/>
          <w:highlight w:val="none"/>
        </w:rPr>
      </w:pP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五</w:t>
      </w:r>
      <w:r>
        <w:rPr>
          <w:rFonts w:hint="eastAsia" w:ascii="宋体" w:hAnsi="宋体" w:cs="宋体"/>
          <w:color w:val="auto"/>
          <w:kern w:val="0"/>
          <w:sz w:val="24"/>
          <w:highlight w:val="none"/>
          <w:lang w:bidi="ar"/>
        </w:rPr>
        <w:t>）</w:t>
      </w:r>
      <w:r>
        <w:rPr>
          <w:rFonts w:hint="eastAsia"/>
          <w:color w:val="auto"/>
          <w:sz w:val="24"/>
          <w:highlight w:val="none"/>
        </w:rPr>
        <w:t>本项目不接受联合体投标</w:t>
      </w:r>
      <w:r>
        <w:rPr>
          <w:rFonts w:hint="eastAsia" w:ascii="宋体" w:hAnsi="宋体"/>
          <w:color w:val="auto"/>
          <w:sz w:val="24"/>
          <w:highlight w:val="none"/>
        </w:rPr>
        <w:t>。</w:t>
      </w:r>
    </w:p>
    <w:p w14:paraId="5CAC4A52">
      <w:pPr>
        <w:tabs>
          <w:tab w:val="left" w:pos="180"/>
          <w:tab w:val="left" w:pos="360"/>
          <w:tab w:val="left" w:pos="540"/>
          <w:tab w:val="left" w:pos="8280"/>
        </w:tabs>
        <w:autoSpaceDE w:val="0"/>
        <w:autoSpaceDN w:val="0"/>
        <w:adjustRightInd w:val="0"/>
        <w:spacing w:line="360" w:lineRule="auto"/>
        <w:ind w:right="23" w:firstLine="482"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四、招标文件获取的方式、时间：</w:t>
      </w:r>
    </w:p>
    <w:p w14:paraId="503B2A64">
      <w:pPr>
        <w:widowControl/>
        <w:spacing w:line="360" w:lineRule="auto"/>
        <w:ind w:firstLine="420"/>
        <w:jc w:val="left"/>
        <w:rPr>
          <w:rFonts w:ascii="宋体" w:hAnsi="宋体" w:cs="宋体"/>
          <w:color w:val="auto"/>
          <w:kern w:val="0"/>
          <w:sz w:val="27"/>
          <w:szCs w:val="27"/>
          <w:highlight w:val="none"/>
        </w:rPr>
      </w:pPr>
      <w:r>
        <w:rPr>
          <w:rFonts w:hint="eastAsia" w:ascii="宋体" w:hAnsi="宋体" w:cs="宋体"/>
          <w:color w:val="auto"/>
          <w:kern w:val="0"/>
          <w:sz w:val="24"/>
          <w:highlight w:val="none"/>
        </w:rPr>
        <w:t>1.本项目招标文件实行“政府采购云平台”在线获取，不提供招标文件纸质版。供应商获取招标文件前应先完成“政府采购云平台”的账号注册；</w:t>
      </w:r>
    </w:p>
    <w:p w14:paraId="1FEDCC4B">
      <w:pPr>
        <w:widowControl/>
        <w:spacing w:line="360" w:lineRule="auto"/>
        <w:ind w:firstLine="480"/>
        <w:jc w:val="left"/>
        <w:rPr>
          <w:rFonts w:ascii="宋体" w:hAnsi="宋体" w:cs="宋体"/>
          <w:color w:val="auto"/>
          <w:kern w:val="0"/>
          <w:sz w:val="27"/>
          <w:szCs w:val="27"/>
          <w:highlight w:val="none"/>
        </w:rPr>
      </w:pPr>
      <w:r>
        <w:rPr>
          <w:rFonts w:hint="eastAsia" w:ascii="宋体" w:hAnsi="宋体" w:cs="宋体"/>
          <w:color w:val="auto"/>
          <w:kern w:val="0"/>
          <w:sz w:val="24"/>
          <w:highlight w:val="none"/>
        </w:rPr>
        <w:t>2.地点：</w:t>
      </w:r>
    </w:p>
    <w:p w14:paraId="0AE5B949">
      <w:pPr>
        <w:widowControl/>
        <w:tabs>
          <w:tab w:val="right" w:pos="8306"/>
        </w:tabs>
        <w:spacing w:line="360" w:lineRule="auto"/>
        <w:ind w:firstLine="480"/>
        <w:jc w:val="left"/>
        <w:rPr>
          <w:rFonts w:ascii="宋体" w:hAnsi="宋体" w:cs="宋体"/>
          <w:color w:val="auto"/>
          <w:kern w:val="0"/>
          <w:sz w:val="27"/>
          <w:szCs w:val="27"/>
          <w:highlight w:val="none"/>
        </w:rPr>
      </w:pPr>
      <w:r>
        <w:rPr>
          <w:rFonts w:hint="eastAsia" w:ascii="宋体" w:hAnsi="宋体" w:cs="宋体"/>
          <w:color w:val="auto"/>
          <w:kern w:val="0"/>
          <w:sz w:val="24"/>
          <w:highlight w:val="none"/>
        </w:rPr>
        <w:t>（1）政采云平台（http://zfcg.czt.zj.gov.cn）；</w:t>
      </w:r>
      <w:r>
        <w:rPr>
          <w:rFonts w:ascii="宋体" w:hAnsi="宋体" w:cs="宋体"/>
          <w:color w:val="auto"/>
          <w:kern w:val="0"/>
          <w:sz w:val="24"/>
          <w:highlight w:val="none"/>
        </w:rPr>
        <w:tab/>
      </w:r>
    </w:p>
    <w:p w14:paraId="68AF3F65">
      <w:pPr>
        <w:widowControl/>
        <w:spacing w:line="360" w:lineRule="auto"/>
        <w:ind w:firstLine="480"/>
        <w:jc w:val="left"/>
        <w:rPr>
          <w:rFonts w:ascii="宋体" w:hAnsi="宋体" w:cs="宋体"/>
          <w:color w:val="auto"/>
          <w:kern w:val="0"/>
          <w:sz w:val="27"/>
          <w:szCs w:val="27"/>
          <w:highlight w:val="none"/>
        </w:rPr>
      </w:pPr>
      <w:r>
        <w:rPr>
          <w:rFonts w:hint="eastAsia" w:ascii="宋体" w:hAnsi="宋体" w:cs="宋体"/>
          <w:color w:val="auto"/>
          <w:kern w:val="0"/>
          <w:sz w:val="24"/>
          <w:highlight w:val="none"/>
        </w:rPr>
        <w:t>（2）供应商网上报名操作指南：“浙江政府采购网-办事指南-省采中心-网上报名”（http://zfcg.czt.zj.gov.cn/bs_other/2018-03-30/12002.html）。</w:t>
      </w:r>
    </w:p>
    <w:p w14:paraId="4C28D4E0">
      <w:pPr>
        <w:widowControl/>
        <w:spacing w:line="360" w:lineRule="auto"/>
        <w:ind w:firstLine="480"/>
        <w:jc w:val="left"/>
        <w:rPr>
          <w:rFonts w:ascii="宋体" w:hAnsi="宋体" w:cs="宋体"/>
          <w:color w:val="auto"/>
          <w:kern w:val="0"/>
          <w:sz w:val="27"/>
          <w:szCs w:val="27"/>
          <w:highlight w:val="none"/>
        </w:rPr>
      </w:pPr>
      <w:r>
        <w:rPr>
          <w:rFonts w:hint="eastAsia" w:ascii="宋体" w:hAnsi="宋体" w:cs="宋体"/>
          <w:color w:val="auto"/>
          <w:kern w:val="0"/>
          <w:sz w:val="24"/>
          <w:highlight w:val="none"/>
        </w:rPr>
        <w:t>3.方式：潜在供应商登陆政采云平台，在线申请获取招标文件（进入“项目采购”应用，在获取招标文件菜单中选择项目，申请获取招标文件，本项目招标文件不收取工本费；</w:t>
      </w:r>
      <w:r>
        <w:rPr>
          <w:rFonts w:hint="eastAsia" w:ascii="宋体" w:hAnsi="宋体" w:cs="宋体"/>
          <w:color w:val="auto"/>
          <w:kern w:val="0"/>
          <w:sz w:val="24"/>
          <w:highlight w:val="none"/>
          <w:u w:val="single"/>
        </w:rPr>
        <w:t>仅需浏览招标文件的供应商可点击“游客，浏览招标文件”直接下载招标文件浏览</w:t>
      </w:r>
      <w:r>
        <w:rPr>
          <w:rFonts w:hint="eastAsia" w:ascii="宋体" w:hAnsi="宋体" w:cs="宋体"/>
          <w:color w:val="auto"/>
          <w:kern w:val="0"/>
          <w:sz w:val="24"/>
          <w:highlight w:val="none"/>
        </w:rPr>
        <w:t>）；</w:t>
      </w:r>
    </w:p>
    <w:p w14:paraId="71F339E3">
      <w:pPr>
        <w:widowControl/>
        <w:spacing w:line="360" w:lineRule="auto"/>
        <w:ind w:firstLine="480"/>
        <w:jc w:val="left"/>
        <w:rPr>
          <w:rFonts w:ascii="宋体" w:hAnsi="宋体" w:cs="宋体"/>
          <w:color w:val="auto"/>
          <w:kern w:val="0"/>
          <w:sz w:val="27"/>
          <w:szCs w:val="27"/>
          <w:highlight w:val="none"/>
        </w:rPr>
      </w:pPr>
      <w:r>
        <w:rPr>
          <w:rFonts w:hint="eastAsia" w:ascii="宋体" w:hAnsi="宋体" w:cs="宋体"/>
          <w:color w:val="auto"/>
          <w:kern w:val="0"/>
          <w:sz w:val="24"/>
          <w:highlight w:val="none"/>
        </w:rPr>
        <w:t>4.供应商获取招标文件时须提交的文件资料：无；</w:t>
      </w:r>
    </w:p>
    <w:p w14:paraId="5253A82C">
      <w:pPr>
        <w:widowControl/>
        <w:spacing w:line="360" w:lineRule="auto"/>
        <w:ind w:firstLine="480"/>
        <w:jc w:val="left"/>
        <w:rPr>
          <w:rFonts w:ascii="宋体" w:hAnsi="宋体" w:cs="宋体"/>
          <w:color w:val="auto"/>
          <w:kern w:val="0"/>
          <w:sz w:val="27"/>
          <w:szCs w:val="27"/>
          <w:highlight w:val="none"/>
        </w:rPr>
      </w:pPr>
      <w:r>
        <w:rPr>
          <w:rFonts w:hint="eastAsia" w:ascii="宋体" w:hAnsi="宋体" w:cs="宋体"/>
          <w:color w:val="auto"/>
          <w:kern w:val="0"/>
          <w:sz w:val="24"/>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3D7608EA">
      <w:pPr>
        <w:spacing w:line="360" w:lineRule="auto"/>
        <w:ind w:firstLine="480" w:firstLineChars="200"/>
        <w:rPr>
          <w:rFonts w:ascii="宋体" w:hAnsi="宋体" w:cs="仿宋"/>
          <w:color w:val="auto"/>
          <w:sz w:val="24"/>
          <w:highlight w:val="none"/>
        </w:rPr>
      </w:pPr>
      <w:r>
        <w:rPr>
          <w:rFonts w:hint="eastAsia" w:ascii="宋体" w:hAnsi="宋体" w:cs="宋体"/>
          <w:color w:val="auto"/>
          <w:kern w:val="0"/>
          <w:sz w:val="24"/>
          <w:highlight w:val="none"/>
        </w:rPr>
        <w:t>注：请供应商按上述要求获取招标文件，如未在“政采云”系统内完成相关流程，引起的投标无效责任自负。</w:t>
      </w:r>
    </w:p>
    <w:p w14:paraId="4432D02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539"/>
        <w:jc w:val="left"/>
        <w:rPr>
          <w:rFonts w:ascii="宋体" w:hAnsi="宋体"/>
          <w:b/>
          <w:color w:val="auto"/>
          <w:kern w:val="0"/>
          <w:sz w:val="24"/>
          <w:highlight w:val="none"/>
        </w:rPr>
      </w:pPr>
      <w:r>
        <w:rPr>
          <w:rFonts w:hint="eastAsia" w:ascii="宋体" w:hAnsi="宋体" w:cs="Calibri Light"/>
          <w:b/>
          <w:color w:val="auto"/>
          <w:sz w:val="24"/>
          <w:highlight w:val="none"/>
        </w:rPr>
        <w:t>五、电子</w:t>
      </w:r>
      <w:r>
        <w:rPr>
          <w:rFonts w:hint="eastAsia" w:ascii="宋体" w:hAnsi="宋体"/>
          <w:b/>
          <w:color w:val="auto"/>
          <w:kern w:val="0"/>
          <w:sz w:val="24"/>
          <w:highlight w:val="none"/>
        </w:rPr>
        <w:t>投标文件递交截止时间及开标时间、地点：</w:t>
      </w:r>
    </w:p>
    <w:p w14:paraId="3A0B462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480"/>
        <w:jc w:val="left"/>
        <w:rPr>
          <w:rFonts w:ascii="宋体" w:hAnsi="宋体" w:cs="仿宋"/>
          <w:color w:val="auto"/>
          <w:sz w:val="24"/>
          <w:highlight w:val="none"/>
        </w:rPr>
      </w:pPr>
      <w:r>
        <w:rPr>
          <w:rFonts w:hint="eastAsia" w:ascii="宋体" w:hAnsi="宋体" w:cs="仿宋"/>
          <w:color w:val="auto"/>
          <w:sz w:val="24"/>
          <w:highlight w:val="none"/>
        </w:rPr>
        <w:t>1.电子投标文件递交截止时间及开标时间：详见公告；</w:t>
      </w:r>
    </w:p>
    <w:p w14:paraId="73B94FC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480"/>
        <w:jc w:val="left"/>
        <w:rPr>
          <w:rFonts w:ascii="宋体" w:hAnsi="宋体" w:cs="仿宋"/>
          <w:color w:val="auto"/>
          <w:sz w:val="24"/>
          <w:highlight w:val="none"/>
        </w:rPr>
      </w:pPr>
      <w:r>
        <w:rPr>
          <w:rFonts w:hint="eastAsia" w:ascii="宋体" w:hAnsi="宋体" w:cs="仿宋"/>
          <w:color w:val="auto"/>
          <w:sz w:val="24"/>
          <w:highlight w:val="none"/>
        </w:rPr>
        <w:t>2.开标地点及电子投标文件提交地点：通过“政府采购云平台（www.zcygov.cn）”实行在线投标响应；</w:t>
      </w:r>
    </w:p>
    <w:p w14:paraId="290478B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482" w:firstLineChars="200"/>
        <w:jc w:val="left"/>
        <w:rPr>
          <w:rFonts w:ascii="宋体" w:hAnsi="宋体" w:cs="Calibri Light"/>
          <w:color w:val="auto"/>
          <w:kern w:val="0"/>
          <w:sz w:val="24"/>
          <w:highlight w:val="none"/>
        </w:rPr>
      </w:pPr>
      <w:r>
        <w:rPr>
          <w:rFonts w:hint="eastAsia" w:ascii="宋体" w:hAnsi="宋体" w:cs="Calibri Light"/>
          <w:b/>
          <w:bCs/>
          <w:color w:val="auto"/>
          <w:sz w:val="24"/>
          <w:highlight w:val="none"/>
        </w:rPr>
        <w:t>六、投标保证金</w:t>
      </w:r>
      <w:r>
        <w:rPr>
          <w:rFonts w:hint="eastAsia" w:ascii="宋体" w:hAnsi="宋体" w:cs="Calibri Light"/>
          <w:b/>
          <w:color w:val="auto"/>
          <w:sz w:val="24"/>
          <w:highlight w:val="none"/>
        </w:rPr>
        <w:t>：</w:t>
      </w:r>
    </w:p>
    <w:p w14:paraId="3D6F0E2A">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无</w:t>
      </w:r>
    </w:p>
    <w:p w14:paraId="7B854346">
      <w:pPr>
        <w:spacing w:line="360" w:lineRule="auto"/>
        <w:ind w:firstLine="482" w:firstLineChars="200"/>
        <w:rPr>
          <w:rFonts w:ascii="宋体" w:hAnsi="宋体" w:cs="仿宋"/>
          <w:b/>
          <w:bCs/>
          <w:color w:val="auto"/>
          <w:sz w:val="24"/>
          <w:highlight w:val="none"/>
        </w:rPr>
      </w:pPr>
      <w:r>
        <w:rPr>
          <w:rFonts w:hint="eastAsia" w:ascii="宋体" w:hAnsi="宋体" w:cs="仿宋"/>
          <w:b/>
          <w:bCs/>
          <w:color w:val="auto"/>
          <w:sz w:val="24"/>
          <w:highlight w:val="none"/>
        </w:rPr>
        <w:t>七、在线投标响应（电子投标）说明：</w:t>
      </w:r>
    </w:p>
    <w:p w14:paraId="460AA1F0">
      <w:pPr>
        <w:spacing w:line="360" w:lineRule="auto"/>
        <w:ind w:firstLine="480" w:firstLineChars="200"/>
        <w:rPr>
          <w:rFonts w:ascii="宋体" w:hAnsi="宋体" w:cs="Calibri Light"/>
          <w:color w:val="auto"/>
          <w:kern w:val="0"/>
          <w:sz w:val="24"/>
          <w:highlight w:val="none"/>
        </w:rPr>
      </w:pPr>
      <w:r>
        <w:rPr>
          <w:rFonts w:hint="eastAsia" w:ascii="宋体" w:hAnsi="宋体" w:cs="Calibri Light"/>
          <w:color w:val="auto"/>
          <w:kern w:val="0"/>
          <w:sz w:val="24"/>
          <w:highlight w:val="none"/>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5B821767">
      <w:pPr>
        <w:spacing w:line="360" w:lineRule="auto"/>
        <w:ind w:firstLine="480" w:firstLineChars="200"/>
        <w:rPr>
          <w:rFonts w:ascii="宋体" w:hAnsi="宋体" w:cs="Calibri Light"/>
          <w:color w:val="auto"/>
          <w:kern w:val="0"/>
          <w:sz w:val="24"/>
          <w:highlight w:val="none"/>
        </w:rPr>
      </w:pPr>
      <w:r>
        <w:rPr>
          <w:rFonts w:hint="eastAsia" w:ascii="宋体" w:hAnsi="宋体" w:cs="Calibri Light"/>
          <w:color w:val="auto"/>
          <w:kern w:val="0"/>
          <w:sz w:val="24"/>
          <w:highlight w:val="none"/>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95763。</w:t>
      </w:r>
    </w:p>
    <w:p w14:paraId="3714828B">
      <w:pPr>
        <w:spacing w:line="360" w:lineRule="auto"/>
        <w:ind w:firstLine="480" w:firstLineChars="200"/>
        <w:rPr>
          <w:rFonts w:ascii="宋体" w:hAnsi="宋体" w:cs="Calibri Light"/>
          <w:color w:val="auto"/>
          <w:kern w:val="0"/>
          <w:sz w:val="24"/>
          <w:highlight w:val="none"/>
        </w:rPr>
      </w:pPr>
      <w:r>
        <w:rPr>
          <w:rFonts w:hint="eastAsia" w:ascii="宋体" w:hAnsi="宋体" w:cs="Calibri Light"/>
          <w:color w:val="auto"/>
          <w:kern w:val="0"/>
          <w:sz w:val="24"/>
          <w:highlight w:val="none"/>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14:paraId="6CF09BD5">
      <w:pPr>
        <w:spacing w:line="360" w:lineRule="auto"/>
        <w:ind w:firstLine="480" w:firstLineChars="200"/>
        <w:rPr>
          <w:rFonts w:ascii="宋体" w:hAnsi="宋体" w:cs="Calibri Light"/>
          <w:color w:val="auto"/>
          <w:kern w:val="0"/>
          <w:sz w:val="24"/>
          <w:highlight w:val="none"/>
        </w:rPr>
      </w:pPr>
      <w:r>
        <w:rPr>
          <w:rFonts w:hint="eastAsia" w:ascii="宋体" w:hAnsi="宋体" w:cs="Calibri Light"/>
          <w:color w:val="auto"/>
          <w:kern w:val="0"/>
          <w:sz w:val="24"/>
          <w:highlight w:val="none"/>
        </w:rPr>
        <w:t>3.投标供应商应当在投标截止时间前，将生成的“电子加密投标文件”上传递交至“政府采购云平台”。投标截止时间以后上传递交的投标文件将被“政府采购云平台”拒收。</w:t>
      </w:r>
    </w:p>
    <w:p w14:paraId="33C7746B">
      <w:pPr>
        <w:spacing w:line="360" w:lineRule="auto"/>
        <w:ind w:firstLine="480" w:firstLineChars="200"/>
        <w:rPr>
          <w:rFonts w:ascii="宋体" w:hAnsi="宋体" w:cs="Calibri Light"/>
          <w:color w:val="auto"/>
          <w:kern w:val="0"/>
          <w:sz w:val="24"/>
          <w:highlight w:val="none"/>
        </w:rPr>
      </w:pPr>
      <w:r>
        <w:rPr>
          <w:rFonts w:hint="eastAsia" w:ascii="宋体" w:hAnsi="宋体" w:cs="Calibri Light"/>
          <w:color w:val="auto"/>
          <w:kern w:val="0"/>
          <w:sz w:val="24"/>
          <w:highlight w:val="none"/>
        </w:rPr>
        <w:t>4.投标供应商在“政府采购云平台”完成“电子加密投标文件”的上传递交后，还可以（EMS邮寄或顺丰邮寄形式）在投标截止时间前递交以介质（U盘）存储的数据电文形式的“备份投标文件”，“备份投标文件”应当密封包装，标注投标项目名称，以不记名形式（在外包装上不加盖公章、不出现投标单位名称）递交或邮寄。没有密封包装或者逾期邮寄（以收到邮件时间为准）送达至投标地点的将不予接收。</w:t>
      </w:r>
    </w:p>
    <w:p w14:paraId="6F9FA793">
      <w:pPr>
        <w:spacing w:line="360" w:lineRule="auto"/>
        <w:ind w:firstLine="480" w:firstLineChars="200"/>
        <w:rPr>
          <w:rFonts w:cs="Arial" w:asciiTheme="minorEastAsia" w:hAnsiTheme="minorEastAsia" w:eastAsiaTheme="minorEastAsia"/>
          <w:color w:val="auto"/>
          <w:sz w:val="24"/>
          <w:highlight w:val="none"/>
        </w:rPr>
      </w:pPr>
      <w:r>
        <w:rPr>
          <w:rFonts w:hint="eastAsia" w:ascii="宋体" w:hAnsi="宋体" w:cs="Calibri Light"/>
          <w:color w:val="auto"/>
          <w:kern w:val="0"/>
          <w:sz w:val="24"/>
          <w:highlight w:val="none"/>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32853B0E">
      <w:pPr>
        <w:spacing w:line="360" w:lineRule="auto"/>
        <w:ind w:firstLine="482" w:firstLineChars="200"/>
        <w:rPr>
          <w:rFonts w:ascii="宋体" w:hAnsi="宋体" w:cs="Arial"/>
          <w:color w:val="auto"/>
          <w:sz w:val="24"/>
          <w:highlight w:val="none"/>
        </w:rPr>
      </w:pPr>
      <w:r>
        <w:rPr>
          <w:rFonts w:hint="eastAsia" w:cs="Arial" w:asciiTheme="minorEastAsia" w:hAnsiTheme="minorEastAsia" w:eastAsiaTheme="minorEastAsia"/>
          <w:b/>
          <w:bCs/>
          <w:color w:val="auto"/>
          <w:sz w:val="24"/>
          <w:highlight w:val="none"/>
        </w:rPr>
        <w:t>八</w:t>
      </w:r>
      <w:r>
        <w:rPr>
          <w:rFonts w:cs="Arial" w:asciiTheme="minorEastAsia" w:hAnsiTheme="minorEastAsia" w:eastAsiaTheme="minorEastAsia"/>
          <w:b/>
          <w:bCs/>
          <w:color w:val="auto"/>
          <w:sz w:val="24"/>
          <w:highlight w:val="none"/>
        </w:rPr>
        <w:t>、</w:t>
      </w:r>
      <w:r>
        <w:rPr>
          <w:rFonts w:hint="eastAsia" w:ascii="宋体" w:hAnsi="宋体" w:cs="Arial"/>
          <w:b/>
          <w:color w:val="auto"/>
          <w:sz w:val="24"/>
          <w:highlight w:val="none"/>
        </w:rPr>
        <w:t>相关注意事项</w:t>
      </w:r>
      <w:r>
        <w:rPr>
          <w:rFonts w:hint="eastAsia" w:ascii="宋体" w:hAnsi="宋体" w:cs="Arial"/>
          <w:color w:val="auto"/>
          <w:sz w:val="24"/>
          <w:highlight w:val="none"/>
        </w:rPr>
        <w:t>：</w:t>
      </w:r>
    </w:p>
    <w:p w14:paraId="1D88ADE7">
      <w:pPr>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14:paraId="0E56352F">
      <w:pPr>
        <w:numPr>
          <w:ilvl w:val="0"/>
          <w:numId w:val="4"/>
        </w:numPr>
        <w:spacing w:line="360" w:lineRule="auto"/>
        <w:ind w:firstLine="590" w:firstLineChars="24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联系方式：</w:t>
      </w:r>
    </w:p>
    <w:p w14:paraId="1EA2E7DA">
      <w:pPr>
        <w:pStyle w:val="30"/>
        <w:spacing w:line="360" w:lineRule="auto"/>
        <w:textAlignment w:val="baseline"/>
        <w:rPr>
          <w:rFonts w:ascii="宋体" w:hAnsi="宋体" w:cs="宋体"/>
          <w:color w:val="auto"/>
          <w:highlight w:val="none"/>
        </w:rPr>
      </w:pPr>
      <w:r>
        <w:rPr>
          <w:rFonts w:hint="eastAsia" w:ascii="宋体" w:hAnsi="宋体" w:cs="宋体"/>
          <w:b/>
          <w:bCs/>
          <w:color w:val="auto"/>
          <w:highlight w:val="none"/>
        </w:rPr>
        <w:t xml:space="preserve">（一）采购人 </w:t>
      </w:r>
    </w:p>
    <w:p w14:paraId="7957B0AD">
      <w:pPr>
        <w:pStyle w:val="30"/>
        <w:spacing w:line="360" w:lineRule="auto"/>
        <w:textAlignment w:val="baseline"/>
        <w:rPr>
          <w:rFonts w:hint="eastAsia" w:ascii="宋体" w:hAnsi="宋体" w:eastAsia="宋体" w:cs="宋体"/>
          <w:color w:val="auto"/>
          <w:highlight w:val="none"/>
          <w:lang w:eastAsia="zh-CN"/>
        </w:rPr>
      </w:pPr>
      <w:r>
        <w:rPr>
          <w:rFonts w:hint="eastAsia" w:ascii="宋体" w:hAnsi="宋体" w:cs="宋体"/>
          <w:color w:val="auto"/>
          <w:highlight w:val="none"/>
        </w:rPr>
        <w:t>采购人名称：</w:t>
      </w:r>
      <w:r>
        <w:rPr>
          <w:rFonts w:hint="eastAsia" w:ascii="宋体" w:hAnsi="宋体" w:cs="宋体"/>
          <w:color w:val="auto"/>
          <w:highlight w:val="none"/>
          <w:lang w:eastAsia="zh-CN"/>
        </w:rPr>
        <w:t>台州市公安局交通管理支队</w:t>
      </w:r>
    </w:p>
    <w:p w14:paraId="360B2AF1">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 xml:space="preserve">联系人：尤先生  </w:t>
      </w:r>
    </w:p>
    <w:p w14:paraId="24F6E031">
      <w:pPr>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联系电话：13968655611</w:t>
      </w:r>
    </w:p>
    <w:p w14:paraId="01D3B07A">
      <w:pPr>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地址：台州市椒江区机场路451号</w:t>
      </w:r>
    </w:p>
    <w:p w14:paraId="6CA853DF">
      <w:pPr>
        <w:pStyle w:val="30"/>
        <w:spacing w:line="360" w:lineRule="auto"/>
        <w:textAlignment w:val="baseline"/>
        <w:rPr>
          <w:rFonts w:ascii="宋体" w:hAnsi="宋体" w:cs="宋体"/>
          <w:b/>
          <w:bCs/>
          <w:color w:val="auto"/>
          <w:highlight w:val="none"/>
        </w:rPr>
      </w:pPr>
      <w:r>
        <w:rPr>
          <w:rFonts w:hint="eastAsia" w:ascii="宋体" w:hAnsi="宋体" w:cs="宋体"/>
          <w:b/>
          <w:bCs/>
          <w:color w:val="auto"/>
          <w:highlight w:val="none"/>
        </w:rPr>
        <w:t>（二）采购组织机构</w:t>
      </w:r>
    </w:p>
    <w:p w14:paraId="3D919BFF">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名称：浙江百和工程咨询有限公司</w:t>
      </w:r>
    </w:p>
    <w:p w14:paraId="039E840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联系人：吴女士、陈女士　</w:t>
      </w:r>
    </w:p>
    <w:p w14:paraId="733BFBA6">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 xml:space="preserve">联系电话：15825475513 、15257699929    </w:t>
      </w:r>
    </w:p>
    <w:p w14:paraId="5F31F9DA">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kern w:val="0"/>
          <w:sz w:val="24"/>
          <w:highlight w:val="none"/>
        </w:rPr>
        <w:t>台州市椒江区白云山西路铂晶国际花园北2门旁18栋2单元二层</w:t>
      </w:r>
    </w:p>
    <w:p w14:paraId="03BD73A8">
      <w:pPr>
        <w:pStyle w:val="30"/>
        <w:spacing w:line="360" w:lineRule="auto"/>
        <w:textAlignment w:val="baseline"/>
        <w:rPr>
          <w:rFonts w:ascii="宋体" w:hAnsi="宋体" w:cs="宋体"/>
          <w:b/>
          <w:bCs/>
          <w:color w:val="auto"/>
          <w:highlight w:val="none"/>
        </w:rPr>
      </w:pPr>
      <w:r>
        <w:rPr>
          <w:rFonts w:hint="eastAsia" w:ascii="宋体" w:hAnsi="宋体" w:cs="宋体"/>
          <w:b/>
          <w:bCs/>
          <w:color w:val="auto"/>
          <w:highlight w:val="none"/>
        </w:rPr>
        <w:t>（三）质疑受理</w:t>
      </w:r>
    </w:p>
    <w:p w14:paraId="6B661662">
      <w:pPr>
        <w:pStyle w:val="30"/>
        <w:spacing w:line="360" w:lineRule="auto"/>
        <w:textAlignment w:val="baseline"/>
        <w:rPr>
          <w:rFonts w:ascii="宋体" w:hAnsi="宋体" w:cs="宋体"/>
          <w:color w:val="auto"/>
          <w:highlight w:val="none"/>
        </w:rPr>
      </w:pPr>
      <w:r>
        <w:rPr>
          <w:rFonts w:hint="eastAsia" w:ascii="宋体" w:hAnsi="宋体" w:cs="宋体"/>
          <w:color w:val="auto"/>
          <w:highlight w:val="none"/>
        </w:rPr>
        <w:t>采购人书面质疑接收人：杨警官</w:t>
      </w:r>
    </w:p>
    <w:p w14:paraId="54DFD0F1">
      <w:pPr>
        <w:pStyle w:val="30"/>
        <w:spacing w:line="360" w:lineRule="auto"/>
        <w:textAlignment w:val="baseline"/>
        <w:rPr>
          <w:rFonts w:ascii="宋体" w:hAnsi="宋体" w:cs="宋体"/>
          <w:color w:val="auto"/>
          <w:highlight w:val="none"/>
        </w:rPr>
      </w:pPr>
      <w:r>
        <w:rPr>
          <w:rFonts w:hint="eastAsia" w:ascii="宋体" w:hAnsi="宋体" w:cs="宋体"/>
          <w:color w:val="auto"/>
          <w:highlight w:val="none"/>
        </w:rPr>
        <w:t>联系电话：0576-88212531　</w:t>
      </w:r>
    </w:p>
    <w:p w14:paraId="6EBF6B96">
      <w:pPr>
        <w:pStyle w:val="30"/>
        <w:spacing w:line="360" w:lineRule="auto"/>
        <w:textAlignment w:val="baseline"/>
        <w:rPr>
          <w:rFonts w:ascii="宋体" w:hAnsi="宋体" w:cs="宋体"/>
          <w:color w:val="auto"/>
          <w:highlight w:val="none"/>
        </w:rPr>
      </w:pPr>
      <w:r>
        <w:rPr>
          <w:rFonts w:hint="eastAsia" w:ascii="宋体" w:hAnsi="宋体" w:cs="宋体"/>
          <w:color w:val="auto"/>
          <w:highlight w:val="none"/>
        </w:rPr>
        <w:t>书面质疑接收地址：浙江省台州市椒江区康平路2号　</w:t>
      </w:r>
    </w:p>
    <w:p w14:paraId="63BFE466">
      <w:pPr>
        <w:pStyle w:val="30"/>
        <w:spacing w:line="360" w:lineRule="auto"/>
        <w:textAlignment w:val="baseline"/>
        <w:rPr>
          <w:rFonts w:ascii="宋体" w:hAnsi="宋体" w:cs="宋体"/>
          <w:color w:val="auto"/>
          <w:highlight w:val="none"/>
        </w:rPr>
      </w:pPr>
      <w:r>
        <w:rPr>
          <w:rFonts w:hint="eastAsia" w:ascii="宋体" w:hAnsi="宋体" w:cs="宋体"/>
          <w:color w:val="auto"/>
          <w:highlight w:val="none"/>
        </w:rPr>
        <w:t>代理机构质疑受理联系人：徐工</w:t>
      </w:r>
    </w:p>
    <w:p w14:paraId="1F249EC2">
      <w:pPr>
        <w:pStyle w:val="30"/>
        <w:spacing w:line="360" w:lineRule="auto"/>
        <w:textAlignment w:val="baseline"/>
        <w:rPr>
          <w:rFonts w:ascii="宋体" w:hAnsi="宋体" w:cs="宋体"/>
          <w:color w:val="auto"/>
          <w:highlight w:val="none"/>
        </w:rPr>
      </w:pPr>
      <w:r>
        <w:rPr>
          <w:rFonts w:hint="eastAsia" w:ascii="宋体" w:hAnsi="宋体" w:cs="宋体"/>
          <w:color w:val="auto"/>
          <w:highlight w:val="none"/>
        </w:rPr>
        <w:t>联系电话：13566655825</w:t>
      </w:r>
    </w:p>
    <w:p w14:paraId="63825969">
      <w:pPr>
        <w:pStyle w:val="30"/>
        <w:spacing w:line="360" w:lineRule="auto"/>
        <w:textAlignment w:val="baseline"/>
        <w:rPr>
          <w:rFonts w:ascii="宋体" w:hAnsi="宋体" w:cs="宋体"/>
          <w:color w:val="auto"/>
          <w:highlight w:val="none"/>
        </w:rPr>
      </w:pPr>
      <w:r>
        <w:rPr>
          <w:rFonts w:hint="eastAsia" w:ascii="宋体" w:hAnsi="宋体" w:cs="宋体"/>
          <w:color w:val="auto"/>
          <w:highlight w:val="none"/>
        </w:rPr>
        <w:t>书面质疑接收地址：台州市椒江区白云山西路铂晶国际花园北2门旁18栋2单元二层</w:t>
      </w:r>
    </w:p>
    <w:p w14:paraId="23B3889A">
      <w:pPr>
        <w:pStyle w:val="30"/>
        <w:spacing w:line="360" w:lineRule="auto"/>
        <w:textAlignment w:val="baseline"/>
        <w:rPr>
          <w:rFonts w:ascii="宋体" w:hAnsi="宋体" w:cs="宋体"/>
          <w:b/>
          <w:bCs/>
          <w:color w:val="auto"/>
          <w:highlight w:val="none"/>
        </w:rPr>
      </w:pPr>
      <w:r>
        <w:rPr>
          <w:rFonts w:hint="eastAsia" w:ascii="宋体" w:hAnsi="宋体" w:cs="宋体"/>
          <w:b/>
          <w:bCs/>
          <w:color w:val="auto"/>
          <w:highlight w:val="none"/>
        </w:rPr>
        <w:t>（四）同级政府采购监管机构</w:t>
      </w:r>
    </w:p>
    <w:p w14:paraId="7B248B84">
      <w:pPr>
        <w:pStyle w:val="30"/>
        <w:spacing w:line="360" w:lineRule="auto"/>
        <w:textAlignment w:val="baseline"/>
        <w:rPr>
          <w:rFonts w:ascii="宋体" w:hAnsi="宋体" w:cs="宋体"/>
          <w:color w:val="auto"/>
          <w:highlight w:val="none"/>
        </w:rPr>
      </w:pPr>
      <w:r>
        <w:rPr>
          <w:rFonts w:hint="eastAsia" w:ascii="宋体" w:hAnsi="宋体" w:cs="宋体"/>
          <w:color w:val="auto"/>
          <w:highlight w:val="none"/>
        </w:rPr>
        <w:t>名 称：台州市财政局政府采监处 　</w:t>
      </w:r>
    </w:p>
    <w:p w14:paraId="14C387B2">
      <w:pPr>
        <w:pStyle w:val="30"/>
        <w:spacing w:line="360" w:lineRule="auto"/>
        <w:textAlignment w:val="baseline"/>
        <w:rPr>
          <w:rFonts w:ascii="宋体" w:hAnsi="宋体" w:cs="宋体"/>
          <w:color w:val="auto"/>
          <w:highlight w:val="none"/>
        </w:rPr>
      </w:pPr>
      <w:r>
        <w:rPr>
          <w:rFonts w:hint="eastAsia" w:ascii="宋体" w:hAnsi="宋体" w:cs="宋体"/>
          <w:color w:val="auto"/>
          <w:highlight w:val="none"/>
        </w:rPr>
        <w:t>联系人：陈女士、李工</w:t>
      </w:r>
    </w:p>
    <w:p w14:paraId="56570C91">
      <w:pPr>
        <w:pStyle w:val="30"/>
        <w:spacing w:line="360" w:lineRule="auto"/>
        <w:textAlignment w:val="baseline"/>
        <w:rPr>
          <w:rFonts w:ascii="宋体" w:hAnsi="宋体" w:cs="宋体"/>
          <w:color w:val="auto"/>
          <w:highlight w:val="none"/>
        </w:rPr>
      </w:pPr>
      <w:r>
        <w:rPr>
          <w:rFonts w:hint="eastAsia" w:ascii="宋体" w:hAnsi="宋体" w:cs="宋体"/>
          <w:color w:val="auto"/>
          <w:highlight w:val="none"/>
        </w:rPr>
        <w:t>监督投诉电话：0576-88206705、0576-88206731</w:t>
      </w:r>
    </w:p>
    <w:p w14:paraId="4F70892A">
      <w:pPr>
        <w:pStyle w:val="30"/>
        <w:spacing w:line="360" w:lineRule="auto"/>
        <w:textAlignment w:val="baseline"/>
        <w:rPr>
          <w:rFonts w:ascii="宋体" w:hAnsi="宋体" w:cs="宋体"/>
          <w:color w:val="auto"/>
          <w:highlight w:val="none"/>
        </w:rPr>
      </w:pPr>
      <w:r>
        <w:rPr>
          <w:rFonts w:hint="eastAsia" w:ascii="宋体" w:hAnsi="宋体" w:cs="宋体"/>
          <w:color w:val="auto"/>
          <w:highlight w:val="none"/>
        </w:rPr>
        <w:t xml:space="preserve">地址：台州市椒江区纬一路66号 　   　 </w:t>
      </w:r>
    </w:p>
    <w:p w14:paraId="3966340E">
      <w:pPr>
        <w:pStyle w:val="30"/>
        <w:spacing w:line="360" w:lineRule="auto"/>
        <w:textAlignment w:val="baseline"/>
        <w:rPr>
          <w:rFonts w:ascii="宋体" w:hAnsi="宋体" w:cs="宋体"/>
          <w:b/>
          <w:bCs/>
          <w:color w:val="auto"/>
          <w:highlight w:val="none"/>
        </w:rPr>
      </w:pPr>
      <w:r>
        <w:rPr>
          <w:rFonts w:hint="eastAsia" w:ascii="宋体" w:hAnsi="宋体" w:cs="宋体"/>
          <w:b/>
          <w:bCs/>
          <w:color w:val="auto"/>
          <w:highlight w:val="none"/>
        </w:rPr>
        <w:t>（五）政采云平台</w:t>
      </w:r>
    </w:p>
    <w:p w14:paraId="2B83CD41">
      <w:pPr>
        <w:pStyle w:val="30"/>
        <w:spacing w:line="360" w:lineRule="auto"/>
        <w:textAlignment w:val="baseline"/>
        <w:rPr>
          <w:rFonts w:ascii="宋体" w:hAnsi="宋体" w:cs="宋体"/>
          <w:color w:val="auto"/>
          <w:highlight w:val="none"/>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cs="宋体"/>
          <w:color w:val="auto"/>
          <w:highlight w:val="none"/>
        </w:rPr>
        <w:t>联系电话：95763</w:t>
      </w:r>
    </w:p>
    <w:p w14:paraId="7CA7E617">
      <w:pPr>
        <w:numPr>
          <w:ilvl w:val="0"/>
          <w:numId w:val="5"/>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投标人须知</w:t>
      </w:r>
    </w:p>
    <w:p w14:paraId="33A44708">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前附表</w:t>
      </w:r>
    </w:p>
    <w:tbl>
      <w:tblPr>
        <w:tblStyle w:val="35"/>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267"/>
        <w:gridCol w:w="6209"/>
      </w:tblGrid>
      <w:tr w14:paraId="432E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E80AF4D">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序号</w:t>
            </w:r>
          </w:p>
        </w:tc>
        <w:tc>
          <w:tcPr>
            <w:tcW w:w="2267" w:type="dxa"/>
            <w:tcBorders>
              <w:top w:val="single" w:color="auto" w:sz="4" w:space="0"/>
              <w:left w:val="single" w:color="auto" w:sz="4" w:space="0"/>
              <w:bottom w:val="single" w:color="auto" w:sz="4" w:space="0"/>
              <w:right w:val="single" w:color="auto" w:sz="4" w:space="0"/>
            </w:tcBorders>
            <w:vAlign w:val="center"/>
          </w:tcPr>
          <w:p w14:paraId="5EA9240B">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    目</w:t>
            </w:r>
          </w:p>
        </w:tc>
        <w:tc>
          <w:tcPr>
            <w:tcW w:w="6209" w:type="dxa"/>
            <w:tcBorders>
              <w:top w:val="single" w:color="auto" w:sz="4" w:space="0"/>
              <w:left w:val="single" w:color="auto" w:sz="4" w:space="0"/>
              <w:bottom w:val="single" w:color="auto" w:sz="4" w:space="0"/>
              <w:right w:val="single" w:color="auto" w:sz="4" w:space="0"/>
            </w:tcBorders>
            <w:vAlign w:val="center"/>
          </w:tcPr>
          <w:p w14:paraId="6834ED96">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内                 容</w:t>
            </w:r>
          </w:p>
        </w:tc>
      </w:tr>
      <w:tr w14:paraId="3348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5B663AB">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2267" w:type="dxa"/>
            <w:tcBorders>
              <w:top w:val="single" w:color="auto" w:sz="4" w:space="0"/>
              <w:left w:val="single" w:color="auto" w:sz="4" w:space="0"/>
              <w:bottom w:val="single" w:color="auto" w:sz="4" w:space="0"/>
              <w:right w:val="single" w:color="auto" w:sz="4" w:space="0"/>
            </w:tcBorders>
            <w:vAlign w:val="center"/>
          </w:tcPr>
          <w:p w14:paraId="6DEF5602">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供应商特定资格要求</w:t>
            </w:r>
          </w:p>
        </w:tc>
        <w:tc>
          <w:tcPr>
            <w:tcW w:w="6209" w:type="dxa"/>
            <w:tcBorders>
              <w:top w:val="single" w:color="auto" w:sz="4" w:space="0"/>
              <w:left w:val="single" w:color="auto" w:sz="4" w:space="0"/>
              <w:bottom w:val="single" w:color="auto" w:sz="4" w:space="0"/>
              <w:right w:val="single" w:color="auto" w:sz="4" w:space="0"/>
            </w:tcBorders>
            <w:vAlign w:val="center"/>
          </w:tcPr>
          <w:p w14:paraId="728D2355">
            <w:pPr>
              <w:keepNext w:val="0"/>
              <w:keepLines w:val="0"/>
              <w:suppressLineNumbers w:val="0"/>
              <w:spacing w:before="0" w:beforeAutospacing="0" w:after="0" w:afterAutospacing="0" w:line="360" w:lineRule="auto"/>
              <w:ind w:left="0" w:right="0"/>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符合招标公告资格要求的供应商</w:t>
            </w:r>
          </w:p>
        </w:tc>
      </w:tr>
      <w:tr w14:paraId="0C30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B21C4BE">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2267" w:type="dxa"/>
            <w:tcBorders>
              <w:top w:val="single" w:color="auto" w:sz="4" w:space="0"/>
              <w:left w:val="single" w:color="auto" w:sz="4" w:space="0"/>
              <w:bottom w:val="single" w:color="auto" w:sz="4" w:space="0"/>
              <w:right w:val="single" w:color="auto" w:sz="4" w:space="0"/>
            </w:tcBorders>
            <w:vAlign w:val="center"/>
          </w:tcPr>
          <w:p w14:paraId="6926457C">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答疑会或</w:t>
            </w:r>
            <w:r>
              <w:rPr>
                <w:rFonts w:hint="eastAsia" w:asciiTheme="majorEastAsia" w:hAnsiTheme="majorEastAsia" w:eastAsiaTheme="majorEastAsia" w:cstheme="majorEastAsia"/>
                <w:color w:val="auto"/>
                <w:sz w:val="24"/>
                <w:highlight w:val="none"/>
              </w:rPr>
              <w:t>现场踏勘</w:t>
            </w:r>
          </w:p>
        </w:tc>
        <w:tc>
          <w:tcPr>
            <w:tcW w:w="6209" w:type="dxa"/>
            <w:tcBorders>
              <w:top w:val="single" w:color="auto" w:sz="4" w:space="0"/>
              <w:left w:val="single" w:color="auto" w:sz="4" w:space="0"/>
              <w:bottom w:val="single" w:color="auto" w:sz="4" w:space="0"/>
              <w:right w:val="single" w:color="auto" w:sz="4" w:space="0"/>
            </w:tcBorders>
            <w:vAlign w:val="center"/>
          </w:tcPr>
          <w:p w14:paraId="74183F01">
            <w:pPr>
              <w:keepNext w:val="0"/>
              <w:keepLines w:val="0"/>
              <w:suppressLineNumbers w:val="0"/>
              <w:spacing w:before="0" w:beforeAutospacing="0" w:after="0" w:afterAutospacing="0" w:line="360" w:lineRule="auto"/>
              <w:ind w:left="0" w:right="0"/>
              <w:rPr>
                <w:rFonts w:hint="default" w:asciiTheme="majorEastAsia" w:hAnsiTheme="majorEastAsia" w:eastAsiaTheme="minorEastAsia" w:cstheme="majorEastAsia"/>
                <w:color w:val="auto"/>
                <w:sz w:val="24"/>
                <w:highlight w:val="none"/>
              </w:rPr>
            </w:pPr>
            <w:r>
              <w:rPr>
                <w:rFonts w:hint="eastAsia" w:cs="Arial" w:asciiTheme="minorEastAsia" w:hAnsiTheme="minorEastAsia" w:eastAsiaTheme="minorEastAsia"/>
                <w:color w:val="auto"/>
                <w:sz w:val="24"/>
                <w:highlight w:val="none"/>
              </w:rPr>
              <w:t>本项目不组织答疑会或现场踏勘</w:t>
            </w:r>
            <w:r>
              <w:rPr>
                <w:rFonts w:hint="eastAsia" w:ascii="宋体" w:hAnsi="宋体" w:cs="宋体"/>
                <w:color w:val="auto"/>
                <w:sz w:val="24"/>
                <w:highlight w:val="none"/>
              </w:rPr>
              <w:t>。</w:t>
            </w:r>
          </w:p>
        </w:tc>
      </w:tr>
      <w:tr w14:paraId="3C8E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BA4DC19">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2267" w:type="dxa"/>
            <w:tcBorders>
              <w:top w:val="single" w:color="auto" w:sz="4" w:space="0"/>
              <w:left w:val="single" w:color="auto" w:sz="4" w:space="0"/>
              <w:bottom w:val="single" w:color="auto" w:sz="4" w:space="0"/>
              <w:right w:val="single" w:color="auto" w:sz="4" w:space="0"/>
            </w:tcBorders>
            <w:vAlign w:val="center"/>
          </w:tcPr>
          <w:p w14:paraId="6027C9AE">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投标文件的编制</w:t>
            </w:r>
          </w:p>
        </w:tc>
        <w:tc>
          <w:tcPr>
            <w:tcW w:w="6209" w:type="dxa"/>
            <w:tcBorders>
              <w:top w:val="single" w:color="auto" w:sz="4" w:space="0"/>
              <w:left w:val="single" w:color="auto" w:sz="4" w:space="0"/>
              <w:bottom w:val="single" w:color="auto" w:sz="4" w:space="0"/>
              <w:right w:val="single" w:color="auto" w:sz="4" w:space="0"/>
            </w:tcBorders>
            <w:vAlign w:val="center"/>
          </w:tcPr>
          <w:p w14:paraId="69D83D32">
            <w:pPr>
              <w:keepNext w:val="0"/>
              <w:keepLines w:val="0"/>
              <w:suppressLineNumbers w:val="0"/>
              <w:spacing w:before="0" w:beforeAutospacing="0" w:after="0" w:afterAutospacing="0" w:line="360" w:lineRule="auto"/>
              <w:ind w:left="0" w:right="0"/>
              <w:rPr>
                <w:rFonts w:hint="default"/>
                <w:color w:val="auto"/>
                <w:highlight w:val="none"/>
              </w:rPr>
            </w:pPr>
            <w:r>
              <w:rPr>
                <w:rFonts w:hint="eastAsia"/>
                <w:color w:val="auto"/>
                <w:sz w:val="24"/>
                <w:highlight w:val="none"/>
              </w:rPr>
              <w:t>一、供应商应先安装“政采云电子交易客户端”，并按照本招标文件和“政府采购云平台”的要求，通过“政采云电子交易客户端”编制并加密投标文件。</w:t>
            </w:r>
          </w:p>
        </w:tc>
      </w:tr>
      <w:tr w14:paraId="7E05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E9BF332">
            <w:pPr>
              <w:keepNext w:val="0"/>
              <w:keepLines w:val="0"/>
              <w:suppressLineNumbers w:val="0"/>
              <w:spacing w:before="0" w:beforeAutospacing="0" w:after="0" w:afterAutospacing="0" w:line="360" w:lineRule="auto"/>
              <w:ind w:left="0" w:right="0"/>
              <w:jc w:val="center"/>
              <w:rPr>
                <w:rFonts w:hint="default" w:ascii="宋体" w:hAnsi="宋体" w:cs="Calibri Light"/>
                <w:color w:val="auto"/>
                <w:sz w:val="24"/>
                <w:highlight w:val="none"/>
              </w:rPr>
            </w:pPr>
            <w:r>
              <w:rPr>
                <w:rFonts w:hint="eastAsia" w:ascii="宋体" w:hAnsi="宋体" w:cs="Calibri Light"/>
                <w:color w:val="auto"/>
                <w:sz w:val="24"/>
                <w:highlight w:val="none"/>
              </w:rPr>
              <w:t>4</w:t>
            </w:r>
          </w:p>
        </w:tc>
        <w:tc>
          <w:tcPr>
            <w:tcW w:w="2267" w:type="dxa"/>
            <w:tcBorders>
              <w:top w:val="single" w:color="auto" w:sz="4" w:space="0"/>
              <w:left w:val="single" w:color="auto" w:sz="4" w:space="0"/>
              <w:bottom w:val="single" w:color="auto" w:sz="4" w:space="0"/>
              <w:right w:val="single" w:color="auto" w:sz="4" w:space="0"/>
            </w:tcBorders>
            <w:vAlign w:val="center"/>
          </w:tcPr>
          <w:p w14:paraId="7F3ED4CF">
            <w:pPr>
              <w:keepNext w:val="0"/>
              <w:keepLines w:val="0"/>
              <w:suppressLineNumbers w:val="0"/>
              <w:spacing w:before="0" w:beforeAutospacing="0" w:after="0" w:afterAutospacing="0" w:line="360" w:lineRule="auto"/>
              <w:ind w:left="0" w:right="0"/>
              <w:jc w:val="center"/>
              <w:rPr>
                <w:rFonts w:hint="default" w:ascii="宋体" w:hAnsi="宋体" w:cs="Calibri Light"/>
                <w:color w:val="auto"/>
                <w:sz w:val="24"/>
                <w:highlight w:val="none"/>
              </w:rPr>
            </w:pPr>
            <w:r>
              <w:rPr>
                <w:rFonts w:hint="eastAsia" w:ascii="宋体" w:hAnsi="宋体" w:cs="宋体"/>
                <w:color w:val="auto"/>
                <w:sz w:val="24"/>
                <w:highlight w:val="none"/>
              </w:rPr>
              <w:t>投标文件的签章</w:t>
            </w:r>
          </w:p>
        </w:tc>
        <w:tc>
          <w:tcPr>
            <w:tcW w:w="6209" w:type="dxa"/>
            <w:tcBorders>
              <w:top w:val="single" w:color="auto" w:sz="4" w:space="0"/>
              <w:left w:val="single" w:color="auto" w:sz="4" w:space="0"/>
              <w:bottom w:val="single" w:color="auto" w:sz="4" w:space="0"/>
              <w:right w:val="single" w:color="auto" w:sz="4" w:space="0"/>
            </w:tcBorders>
            <w:vAlign w:val="center"/>
          </w:tcPr>
          <w:p w14:paraId="0F7331CE">
            <w:pPr>
              <w:keepNext w:val="0"/>
              <w:keepLines w:val="0"/>
              <w:suppressLineNumbers w:val="0"/>
              <w:spacing w:before="0" w:beforeAutospacing="0" w:after="0" w:afterAutospacing="0" w:line="360" w:lineRule="auto"/>
              <w:ind w:left="0" w:right="0"/>
              <w:rPr>
                <w:rFonts w:hint="default" w:ascii="宋体" w:hAnsi="宋体" w:cs="Calibri Light"/>
                <w:color w:val="auto"/>
                <w:sz w:val="24"/>
                <w:highlight w:val="none"/>
              </w:rPr>
            </w:pPr>
            <w:r>
              <w:rPr>
                <w:rFonts w:hint="eastAsia" w:ascii="宋体" w:hAnsi="宋体" w:cs="宋体"/>
                <w:color w:val="auto"/>
                <w:sz w:val="24"/>
                <w:highlight w:val="none"/>
              </w:rPr>
              <w:t>电子签章。</w:t>
            </w:r>
          </w:p>
        </w:tc>
      </w:tr>
      <w:tr w14:paraId="0D87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5C16DBF">
            <w:pPr>
              <w:keepNext w:val="0"/>
              <w:keepLines w:val="0"/>
              <w:suppressLineNumbers w:val="0"/>
              <w:spacing w:before="0" w:beforeAutospacing="0" w:after="0" w:afterAutospacing="0" w:line="360" w:lineRule="auto"/>
              <w:ind w:left="0" w:right="0"/>
              <w:jc w:val="center"/>
              <w:rPr>
                <w:rFonts w:hint="default" w:ascii="宋体" w:hAnsi="宋体" w:cs="Calibri Light"/>
                <w:color w:val="auto"/>
                <w:sz w:val="24"/>
                <w:highlight w:val="none"/>
              </w:rPr>
            </w:pPr>
            <w:r>
              <w:rPr>
                <w:rFonts w:hint="eastAsia" w:ascii="宋体" w:hAnsi="宋体" w:cs="Calibri Light"/>
                <w:color w:val="auto"/>
                <w:sz w:val="24"/>
                <w:highlight w:val="none"/>
              </w:rPr>
              <w:t>5</w:t>
            </w:r>
          </w:p>
        </w:tc>
        <w:tc>
          <w:tcPr>
            <w:tcW w:w="2267" w:type="dxa"/>
            <w:tcBorders>
              <w:top w:val="single" w:color="auto" w:sz="4" w:space="0"/>
              <w:left w:val="single" w:color="auto" w:sz="4" w:space="0"/>
              <w:bottom w:val="single" w:color="auto" w:sz="4" w:space="0"/>
              <w:right w:val="single" w:color="auto" w:sz="4" w:space="0"/>
            </w:tcBorders>
            <w:vAlign w:val="center"/>
          </w:tcPr>
          <w:p w14:paraId="0E84A7C2">
            <w:pPr>
              <w:keepNext w:val="0"/>
              <w:keepLines w:val="0"/>
              <w:suppressLineNumbers w:val="0"/>
              <w:spacing w:before="0" w:beforeAutospacing="0" w:after="0" w:afterAutospacing="0" w:line="360" w:lineRule="auto"/>
              <w:ind w:left="0" w:right="0"/>
              <w:jc w:val="center"/>
              <w:rPr>
                <w:rFonts w:hint="default" w:ascii="宋体" w:hAnsi="宋体" w:cs="Calibri Light"/>
                <w:color w:val="auto"/>
                <w:sz w:val="24"/>
                <w:highlight w:val="none"/>
              </w:rPr>
            </w:pPr>
            <w:r>
              <w:rPr>
                <w:rFonts w:hint="eastAsia" w:ascii="宋体" w:hAnsi="宋体" w:cs="宋体"/>
                <w:color w:val="auto"/>
                <w:sz w:val="24"/>
                <w:highlight w:val="none"/>
              </w:rPr>
              <w:t>投标文件的形式</w:t>
            </w:r>
          </w:p>
        </w:tc>
        <w:tc>
          <w:tcPr>
            <w:tcW w:w="6209" w:type="dxa"/>
            <w:tcBorders>
              <w:top w:val="single" w:color="auto" w:sz="4" w:space="0"/>
              <w:left w:val="single" w:color="auto" w:sz="4" w:space="0"/>
              <w:bottom w:val="single" w:color="auto" w:sz="4" w:space="0"/>
              <w:right w:val="single" w:color="auto" w:sz="4" w:space="0"/>
            </w:tcBorders>
            <w:vAlign w:val="center"/>
          </w:tcPr>
          <w:p w14:paraId="382B3478">
            <w:pPr>
              <w:keepNext w:val="0"/>
              <w:keepLines w:val="0"/>
              <w:suppressLineNumbers w:val="0"/>
              <w:spacing w:before="0" w:beforeAutospacing="0" w:after="0" w:afterAutospacing="0" w:line="360" w:lineRule="auto"/>
              <w:ind w:left="0" w:right="0"/>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☑电子投标文件（包括“电子加密投标文件”和“备份投标文件”，在投标文件编制完成后同时生成）；</w:t>
            </w:r>
          </w:p>
          <w:p w14:paraId="001E79D4">
            <w:pPr>
              <w:keepNext w:val="0"/>
              <w:keepLines w:val="0"/>
              <w:suppressLineNumbers w:val="0"/>
              <w:spacing w:before="0" w:beforeAutospacing="0" w:after="0" w:afterAutospacing="0" w:line="360" w:lineRule="auto"/>
              <w:ind w:left="0" w:right="0"/>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（1）“电子加密投标文件”是指通过“政采云电子交易客户端”完成投标文件编制后生成并加密的数据电文形式的投标文件。</w:t>
            </w:r>
          </w:p>
          <w:p w14:paraId="67CD678E">
            <w:pPr>
              <w:keepNext w:val="0"/>
              <w:keepLines w:val="0"/>
              <w:suppressLineNumbers w:val="0"/>
              <w:spacing w:before="0" w:beforeAutospacing="0" w:after="0" w:afterAutospacing="0" w:line="360" w:lineRule="auto"/>
              <w:ind w:left="0" w:right="0"/>
              <w:rPr>
                <w:rFonts w:hint="default" w:eastAsiaTheme="majorEastAsia"/>
                <w:color w:val="auto"/>
                <w:highlight w:val="none"/>
              </w:rPr>
            </w:pPr>
            <w:r>
              <w:rPr>
                <w:rFonts w:hint="eastAsia" w:asciiTheme="majorEastAsia" w:hAnsiTheme="majorEastAsia" w:eastAsiaTheme="majorEastAsia" w:cstheme="majorEastAsia"/>
                <w:color w:val="auto"/>
                <w:sz w:val="24"/>
                <w:highlight w:val="none"/>
              </w:rPr>
              <w:t>（2）“备份投标文件”是指与“电子加密投标文件”同时生成的数据电文形式的电子文件（备份标书），其他方式编制的备份投标文件视为无效备份投标文件。</w:t>
            </w:r>
          </w:p>
          <w:p w14:paraId="2C9712F2">
            <w:pPr>
              <w:keepNext w:val="0"/>
              <w:keepLines w:val="0"/>
              <w:suppressLineNumbers w:val="0"/>
              <w:spacing w:before="0" w:beforeAutospacing="0" w:after="0" w:afterAutospacing="0" w:line="360" w:lineRule="auto"/>
              <w:ind w:left="0" w:right="0"/>
              <w:rPr>
                <w:rFonts w:hint="default" w:eastAsiaTheme="minorEastAsia"/>
                <w:color w:val="auto"/>
                <w:highlight w:val="none"/>
              </w:rPr>
            </w:pPr>
            <w:r>
              <w:rPr>
                <w:rFonts w:hint="eastAsia" w:asciiTheme="majorEastAsia" w:hAnsiTheme="majorEastAsia" w:eastAsiaTheme="majorEastAsia" w:cstheme="majorEastAsia"/>
                <w:color w:val="auto"/>
                <w:sz w:val="24"/>
                <w:highlight w:val="none"/>
              </w:rPr>
              <w:t>（3）中标后需提供纸质投标文件给招标代理机构作为备案存档，纸质投标文件系电子投标文件纸质版，两者内容应一致；数量为：资格证明文件</w:t>
            </w:r>
            <w:r>
              <w:rPr>
                <w:rFonts w:hint="eastAsia" w:asciiTheme="majorEastAsia" w:hAnsiTheme="majorEastAsia" w:eastAsiaTheme="majorEastAsia" w:cstheme="majorEastAsia"/>
                <w:b/>
                <w:bCs/>
                <w:color w:val="auto"/>
                <w:sz w:val="24"/>
                <w:highlight w:val="none"/>
              </w:rPr>
              <w:t>1</w:t>
            </w:r>
            <w:r>
              <w:rPr>
                <w:rFonts w:hint="eastAsia" w:asciiTheme="majorEastAsia" w:hAnsiTheme="majorEastAsia" w:eastAsiaTheme="majorEastAsia" w:cstheme="majorEastAsia"/>
                <w:color w:val="auto"/>
                <w:sz w:val="24"/>
                <w:highlight w:val="none"/>
              </w:rPr>
              <w:t>份；商务与技术文件</w:t>
            </w:r>
            <w:r>
              <w:rPr>
                <w:rFonts w:hint="eastAsia" w:asciiTheme="majorEastAsia" w:hAnsiTheme="majorEastAsia" w:eastAsiaTheme="majorEastAsia" w:cstheme="majorEastAsia"/>
                <w:b/>
                <w:bCs/>
                <w:color w:val="auto"/>
                <w:sz w:val="24"/>
                <w:highlight w:val="none"/>
              </w:rPr>
              <w:t>1</w:t>
            </w:r>
            <w:r>
              <w:rPr>
                <w:rFonts w:hint="eastAsia" w:asciiTheme="majorEastAsia" w:hAnsiTheme="majorEastAsia" w:eastAsiaTheme="majorEastAsia" w:cstheme="majorEastAsia"/>
                <w:color w:val="auto"/>
                <w:sz w:val="24"/>
                <w:highlight w:val="none"/>
              </w:rPr>
              <w:t>份；报价文件</w:t>
            </w:r>
            <w:r>
              <w:rPr>
                <w:rFonts w:hint="eastAsia" w:asciiTheme="majorEastAsia" w:hAnsiTheme="majorEastAsia" w:eastAsiaTheme="majorEastAsia" w:cstheme="majorEastAsia"/>
                <w:b/>
                <w:bCs/>
                <w:color w:val="auto"/>
                <w:sz w:val="24"/>
                <w:highlight w:val="none"/>
              </w:rPr>
              <w:t>1</w:t>
            </w:r>
            <w:r>
              <w:rPr>
                <w:rFonts w:hint="eastAsia" w:asciiTheme="majorEastAsia" w:hAnsiTheme="majorEastAsia" w:eastAsiaTheme="majorEastAsia" w:cstheme="majorEastAsia"/>
                <w:color w:val="auto"/>
                <w:sz w:val="24"/>
                <w:highlight w:val="none"/>
              </w:rPr>
              <w:t>份。邮寄到</w:t>
            </w:r>
            <w:r>
              <w:rPr>
                <w:rFonts w:hint="eastAsia" w:asciiTheme="majorEastAsia" w:hAnsiTheme="majorEastAsia" w:eastAsiaTheme="majorEastAsia" w:cstheme="majorEastAsia"/>
                <w:color w:val="auto"/>
                <w:sz w:val="24"/>
                <w:highlight w:val="none"/>
                <w:lang w:eastAsia="zh-CN"/>
              </w:rPr>
              <w:t>台州市椒江区白云山西路铂晶国际花园北2门旁18栋2单元二层</w:t>
            </w:r>
            <w:r>
              <w:rPr>
                <w:rFonts w:hint="eastAsia" w:asciiTheme="majorEastAsia" w:hAnsiTheme="majorEastAsia" w:eastAsiaTheme="majorEastAsia" w:cstheme="majorEastAsia"/>
                <w:color w:val="auto"/>
                <w:sz w:val="24"/>
                <w:highlight w:val="none"/>
              </w:rPr>
              <w:t>。</w:t>
            </w:r>
          </w:p>
        </w:tc>
      </w:tr>
      <w:tr w14:paraId="20D7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A3830D6">
            <w:pPr>
              <w:keepNext w:val="0"/>
              <w:keepLines w:val="0"/>
              <w:suppressLineNumbers w:val="0"/>
              <w:spacing w:before="0" w:beforeAutospacing="0" w:after="0" w:afterAutospacing="0" w:line="360" w:lineRule="auto"/>
              <w:ind w:left="0" w:right="0"/>
              <w:jc w:val="center"/>
              <w:rPr>
                <w:rFonts w:hint="default" w:ascii="宋体" w:hAnsi="宋体" w:cs="Calibri Light"/>
                <w:color w:val="auto"/>
                <w:sz w:val="24"/>
                <w:highlight w:val="none"/>
              </w:rPr>
            </w:pPr>
            <w:r>
              <w:rPr>
                <w:rFonts w:hint="eastAsia" w:asciiTheme="majorEastAsia" w:hAnsiTheme="majorEastAsia" w:eastAsiaTheme="majorEastAsia" w:cstheme="majorEastAsia"/>
                <w:color w:val="auto"/>
                <w:sz w:val="24"/>
                <w:highlight w:val="none"/>
              </w:rPr>
              <w:t>6</w:t>
            </w:r>
          </w:p>
        </w:tc>
        <w:tc>
          <w:tcPr>
            <w:tcW w:w="2267" w:type="dxa"/>
            <w:tcBorders>
              <w:top w:val="single" w:color="auto" w:sz="4" w:space="0"/>
              <w:left w:val="single" w:color="auto" w:sz="4" w:space="0"/>
              <w:bottom w:val="single" w:color="auto" w:sz="4" w:space="0"/>
              <w:right w:val="single" w:color="auto" w:sz="4" w:space="0"/>
            </w:tcBorders>
            <w:vAlign w:val="center"/>
          </w:tcPr>
          <w:p w14:paraId="0B10E764">
            <w:pPr>
              <w:keepNext w:val="0"/>
              <w:keepLines w:val="0"/>
              <w:suppressLineNumbers w:val="0"/>
              <w:spacing w:before="0" w:beforeAutospacing="0" w:after="0" w:afterAutospacing="0" w:line="360" w:lineRule="auto"/>
              <w:ind w:left="0" w:right="0"/>
              <w:jc w:val="center"/>
              <w:rPr>
                <w:rFonts w:hint="default" w:ascii="宋体" w:hAnsi="宋体" w:cs="Calibri Light"/>
                <w:color w:val="auto"/>
                <w:sz w:val="24"/>
                <w:highlight w:val="none"/>
              </w:rPr>
            </w:pPr>
            <w:r>
              <w:rPr>
                <w:rFonts w:hint="eastAsia" w:ascii="宋体" w:hAnsi="宋体" w:cs="宋体"/>
                <w:color w:val="auto"/>
                <w:sz w:val="24"/>
                <w:highlight w:val="none"/>
              </w:rPr>
              <w:t>投标文件份数</w:t>
            </w:r>
          </w:p>
        </w:tc>
        <w:tc>
          <w:tcPr>
            <w:tcW w:w="6209" w:type="dxa"/>
            <w:tcBorders>
              <w:top w:val="single" w:color="auto" w:sz="4" w:space="0"/>
              <w:left w:val="single" w:color="auto" w:sz="4" w:space="0"/>
              <w:bottom w:val="single" w:color="auto" w:sz="4" w:space="0"/>
              <w:right w:val="single" w:color="auto" w:sz="4" w:space="0"/>
            </w:tcBorders>
            <w:vAlign w:val="center"/>
          </w:tcPr>
          <w:p w14:paraId="384FA4FF">
            <w:pPr>
              <w:keepNext w:val="0"/>
              <w:keepLines w:val="0"/>
              <w:suppressLineNumbers w:val="0"/>
              <w:spacing w:before="0" w:beforeAutospacing="0" w:after="0" w:afterAutospacing="0" w:line="360" w:lineRule="auto"/>
              <w:ind w:left="0" w:right="0"/>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（1）“电子加密投标文件”：在线上传递交、一份。</w:t>
            </w:r>
          </w:p>
          <w:p w14:paraId="5A3F75B9">
            <w:pPr>
              <w:keepNext w:val="0"/>
              <w:keepLines w:val="0"/>
              <w:suppressLineNumbers w:val="0"/>
              <w:spacing w:before="0" w:beforeAutospacing="0" w:after="0" w:afterAutospacing="0" w:line="360" w:lineRule="auto"/>
              <w:ind w:left="0" w:right="0"/>
              <w:rPr>
                <w:rFonts w:hint="default"/>
                <w:color w:val="auto"/>
                <w:highlight w:val="none"/>
              </w:rPr>
            </w:pPr>
            <w:r>
              <w:rPr>
                <w:rFonts w:hint="eastAsia" w:asciiTheme="majorEastAsia" w:hAnsiTheme="majorEastAsia" w:eastAsiaTheme="majorEastAsia" w:cstheme="majorEastAsia"/>
                <w:color w:val="auto"/>
                <w:sz w:val="24"/>
                <w:highlight w:val="none"/>
              </w:rPr>
              <w:t>（2） “备份投标文件”：密封包装后于投标截止时间前邮寄至招标代理处一份。</w:t>
            </w:r>
          </w:p>
        </w:tc>
      </w:tr>
      <w:tr w14:paraId="5EFB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DB732FA">
            <w:pPr>
              <w:keepNext w:val="0"/>
              <w:keepLines w:val="0"/>
              <w:suppressLineNumbers w:val="0"/>
              <w:spacing w:before="0" w:beforeAutospacing="0" w:after="0" w:afterAutospacing="0" w:line="360" w:lineRule="auto"/>
              <w:ind w:left="0" w:right="0"/>
              <w:jc w:val="center"/>
              <w:rPr>
                <w:rFonts w:hint="default" w:ascii="宋体" w:hAnsi="宋体" w:cs="Calibri Light"/>
                <w:color w:val="auto"/>
                <w:sz w:val="24"/>
                <w:highlight w:val="none"/>
              </w:rPr>
            </w:pPr>
            <w:r>
              <w:rPr>
                <w:rFonts w:hint="eastAsia" w:ascii="宋体" w:hAnsi="宋体" w:cs="Calibri Light"/>
                <w:color w:val="auto"/>
                <w:sz w:val="24"/>
                <w:highlight w:val="none"/>
              </w:rPr>
              <w:t>7</w:t>
            </w:r>
          </w:p>
        </w:tc>
        <w:tc>
          <w:tcPr>
            <w:tcW w:w="2267" w:type="dxa"/>
            <w:tcBorders>
              <w:top w:val="single" w:color="auto" w:sz="4" w:space="0"/>
              <w:left w:val="single" w:color="auto" w:sz="4" w:space="0"/>
              <w:bottom w:val="single" w:color="auto" w:sz="4" w:space="0"/>
              <w:right w:val="single" w:color="auto" w:sz="4" w:space="0"/>
            </w:tcBorders>
            <w:vAlign w:val="center"/>
          </w:tcPr>
          <w:p w14:paraId="536A7C0E">
            <w:pPr>
              <w:keepNext w:val="0"/>
              <w:keepLines w:val="0"/>
              <w:suppressLineNumbers w:val="0"/>
              <w:spacing w:before="0" w:beforeAutospacing="0" w:after="0" w:afterAutospacing="0" w:line="360" w:lineRule="auto"/>
              <w:ind w:left="0" w:right="0"/>
              <w:jc w:val="center"/>
              <w:rPr>
                <w:rFonts w:hint="default" w:ascii="宋体" w:hAnsi="宋体" w:cs="Calibri Light"/>
                <w:color w:val="auto"/>
                <w:sz w:val="24"/>
                <w:highlight w:val="none"/>
              </w:rPr>
            </w:pPr>
            <w:r>
              <w:rPr>
                <w:rFonts w:hint="eastAsia" w:ascii="宋体" w:hAnsi="宋体" w:cs="宋体"/>
                <w:color w:val="auto"/>
                <w:sz w:val="24"/>
                <w:highlight w:val="none"/>
              </w:rPr>
              <w:t>投标文件的上传和递交</w:t>
            </w:r>
          </w:p>
        </w:tc>
        <w:tc>
          <w:tcPr>
            <w:tcW w:w="6209" w:type="dxa"/>
            <w:tcBorders>
              <w:top w:val="single" w:color="auto" w:sz="4" w:space="0"/>
              <w:left w:val="single" w:color="auto" w:sz="4" w:space="0"/>
              <w:bottom w:val="single" w:color="auto" w:sz="4" w:space="0"/>
              <w:right w:val="single" w:color="auto" w:sz="4" w:space="0"/>
            </w:tcBorders>
            <w:vAlign w:val="center"/>
          </w:tcPr>
          <w:p w14:paraId="525E9C66">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（1）“电子加密投标文件”的上传、递交：</w:t>
            </w:r>
          </w:p>
          <w:p w14:paraId="42AE8031">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a.投标供应商应在投标截止时间前将“电子加密投标文件”成功上传递交至“政府采购云平台”，否则投标无效。</w:t>
            </w:r>
          </w:p>
          <w:p w14:paraId="00C77010">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b.“电子加密投标文件”成功上传递交后，供应商可自行打印投标文件接收回执。</w:t>
            </w:r>
          </w:p>
          <w:p w14:paraId="0B563700">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（2）“备份投标文件”的密封包装、递交：</w:t>
            </w:r>
          </w:p>
          <w:p w14:paraId="0613F90B">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a.“备份投标文件”以U盘的形式存储（U盘或文件命名注明投标单位名称），并密封包装，标注投标项目名称，以不记名形式（在外包装上不加盖公章、不出现投标单位名称）递交或邮寄。没有密封包装或者逾期邮寄（以收到邮件时间为准）送达至投标地点的将不予接收；</w:t>
            </w:r>
          </w:p>
          <w:p w14:paraId="24A3BE8A">
            <w:pPr>
              <w:keepNext w:val="0"/>
              <w:keepLines w:val="0"/>
              <w:suppressLineNumbers w:val="0"/>
              <w:spacing w:before="0" w:beforeAutospacing="0" w:after="0" w:afterAutospacing="0" w:line="360" w:lineRule="auto"/>
              <w:ind w:left="0" w:right="0"/>
              <w:textAlignment w:val="baseline"/>
              <w:rPr>
                <w:rFonts w:hint="default" w:ascii="宋体" w:hAnsi="宋体" w:cs="宋体"/>
                <w:color w:val="auto"/>
                <w:sz w:val="24"/>
                <w:highlight w:val="none"/>
              </w:rPr>
            </w:pPr>
            <w:r>
              <w:rPr>
                <w:rFonts w:hint="eastAsia" w:ascii="宋体" w:hAnsi="宋体" w:cs="宋体"/>
                <w:color w:val="auto"/>
                <w:sz w:val="24"/>
                <w:highlight w:val="none"/>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5928C958">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（3）如递交的备份文件无法读取或因投标人未按采购文件要求制作而导致无法确认投标人信息的，视同未递交或备份文件。</w:t>
            </w:r>
          </w:p>
          <w:p w14:paraId="07967E46">
            <w:pPr>
              <w:keepNext w:val="0"/>
              <w:keepLines w:val="0"/>
              <w:suppressLineNumbers w:val="0"/>
              <w:spacing w:before="0" w:beforeAutospacing="0" w:after="0" w:afterAutospacing="0" w:line="360" w:lineRule="auto"/>
              <w:ind w:left="0" w:right="0"/>
              <w:rPr>
                <w:rFonts w:hint="default" w:ascii="宋体" w:hAnsi="宋体" w:cs="宋体"/>
                <w:b/>
                <w:bCs/>
                <w:color w:val="auto"/>
                <w:sz w:val="24"/>
                <w:highlight w:val="none"/>
              </w:rPr>
            </w:pPr>
            <w:r>
              <w:rPr>
                <w:rFonts w:hint="eastAsia" w:ascii="宋体" w:hAnsi="宋体" w:cs="宋体"/>
                <w:b/>
                <w:bCs/>
                <w:color w:val="auto"/>
                <w:sz w:val="24"/>
                <w:highlight w:val="none"/>
              </w:rPr>
              <w:t xml:space="preserve">注： </w:t>
            </w:r>
          </w:p>
          <w:p w14:paraId="537450D9">
            <w:pPr>
              <w:keepNext w:val="0"/>
              <w:keepLines w:val="0"/>
              <w:suppressLineNumbers w:val="0"/>
              <w:spacing w:before="0" w:beforeAutospacing="0" w:after="0" w:afterAutospacing="0" w:line="360" w:lineRule="auto"/>
              <w:ind w:left="0" w:right="0"/>
              <w:rPr>
                <w:rFonts w:hint="default" w:ascii="宋体" w:hAnsi="宋体" w:cs="Calibri Light"/>
                <w:b/>
                <w:bCs/>
                <w:color w:val="auto"/>
                <w:sz w:val="24"/>
                <w:highlight w:val="none"/>
              </w:rPr>
            </w:pPr>
            <w:r>
              <w:rPr>
                <w:rFonts w:hint="eastAsia" w:ascii="宋体" w:hAnsi="宋体" w:cs="Calibri Light"/>
                <w:b/>
                <w:bCs/>
                <w:color w:val="auto"/>
                <w:sz w:val="24"/>
                <w:highlight w:val="none"/>
              </w:rPr>
              <w:t>邮寄地址：</w:t>
            </w:r>
            <w:r>
              <w:rPr>
                <w:rFonts w:hint="eastAsia" w:ascii="宋体" w:hAnsi="宋体" w:cs="Calibri Light"/>
                <w:b/>
                <w:bCs/>
                <w:color w:val="auto"/>
                <w:sz w:val="24"/>
                <w:highlight w:val="none"/>
                <w:lang w:eastAsia="zh-CN"/>
              </w:rPr>
              <w:t>台州市椒江区白云山西路铂晶国际花园北2门旁18栋2单元二层</w:t>
            </w:r>
            <w:r>
              <w:rPr>
                <w:rFonts w:hint="eastAsia" w:ascii="宋体" w:hAnsi="宋体" w:cs="Calibri Light"/>
                <w:b/>
                <w:bCs/>
                <w:color w:val="auto"/>
                <w:sz w:val="24"/>
                <w:highlight w:val="none"/>
              </w:rPr>
              <w:t>；</w:t>
            </w:r>
          </w:p>
          <w:p w14:paraId="685CF2CB">
            <w:pPr>
              <w:keepNext w:val="0"/>
              <w:keepLines w:val="0"/>
              <w:suppressLineNumbers w:val="0"/>
              <w:spacing w:before="0" w:beforeAutospacing="0" w:after="0" w:afterAutospacing="0" w:line="360" w:lineRule="auto"/>
              <w:ind w:left="0" w:right="0"/>
              <w:rPr>
                <w:rFonts w:hint="default" w:ascii="宋体" w:hAnsi="宋体" w:cs="Calibri Light"/>
                <w:b/>
                <w:bCs/>
                <w:color w:val="auto"/>
                <w:sz w:val="24"/>
                <w:highlight w:val="none"/>
              </w:rPr>
            </w:pPr>
            <w:r>
              <w:rPr>
                <w:rFonts w:hint="eastAsia" w:ascii="宋体" w:hAnsi="宋体" w:cs="Calibri Light"/>
                <w:b/>
                <w:bCs/>
                <w:color w:val="auto"/>
                <w:sz w:val="24"/>
                <w:highlight w:val="none"/>
              </w:rPr>
              <w:t>收件人：陈女士</w:t>
            </w:r>
          </w:p>
          <w:p w14:paraId="264A3F54">
            <w:pPr>
              <w:keepNext w:val="0"/>
              <w:keepLines w:val="0"/>
              <w:suppressLineNumbers w:val="0"/>
              <w:spacing w:before="0" w:beforeAutospacing="0" w:after="0" w:afterAutospacing="0" w:line="360" w:lineRule="auto"/>
              <w:ind w:left="0" w:right="0"/>
              <w:rPr>
                <w:rFonts w:hint="default" w:ascii="宋体" w:hAnsi="宋体" w:cs="Calibri Light"/>
                <w:b/>
                <w:bCs/>
                <w:color w:val="auto"/>
                <w:sz w:val="24"/>
                <w:highlight w:val="none"/>
              </w:rPr>
            </w:pPr>
            <w:r>
              <w:rPr>
                <w:rFonts w:hint="eastAsia" w:ascii="宋体" w:hAnsi="宋体" w:cs="Calibri Light"/>
                <w:b/>
                <w:bCs/>
                <w:color w:val="auto"/>
                <w:sz w:val="24"/>
                <w:highlight w:val="none"/>
              </w:rPr>
              <w:t>联系电话：15257699929</w:t>
            </w:r>
          </w:p>
        </w:tc>
      </w:tr>
      <w:tr w14:paraId="4050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8067102">
            <w:pPr>
              <w:keepNext w:val="0"/>
              <w:keepLines w:val="0"/>
              <w:suppressLineNumbers w:val="0"/>
              <w:spacing w:before="0" w:beforeAutospacing="0" w:after="0" w:afterAutospacing="0" w:line="360" w:lineRule="auto"/>
              <w:ind w:left="0" w:right="0"/>
              <w:jc w:val="center"/>
              <w:rPr>
                <w:rFonts w:hint="default" w:ascii="宋体" w:hAnsi="宋体" w:cs="Calibri Light"/>
                <w:color w:val="auto"/>
                <w:sz w:val="24"/>
                <w:highlight w:val="none"/>
              </w:rPr>
            </w:pPr>
            <w:r>
              <w:rPr>
                <w:rFonts w:hint="eastAsia" w:ascii="宋体" w:hAnsi="宋体" w:cs="Calibri Light"/>
                <w:color w:val="auto"/>
                <w:sz w:val="24"/>
                <w:highlight w:val="none"/>
              </w:rPr>
              <w:t>8</w:t>
            </w:r>
          </w:p>
        </w:tc>
        <w:tc>
          <w:tcPr>
            <w:tcW w:w="2267" w:type="dxa"/>
            <w:tcBorders>
              <w:top w:val="single" w:color="auto" w:sz="4" w:space="0"/>
              <w:left w:val="single" w:color="auto" w:sz="4" w:space="0"/>
              <w:bottom w:val="single" w:color="auto" w:sz="4" w:space="0"/>
              <w:right w:val="single" w:color="auto" w:sz="4" w:space="0"/>
            </w:tcBorders>
            <w:vAlign w:val="center"/>
          </w:tcPr>
          <w:p w14:paraId="004E9359">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电子加密投标文件的解密和异常情况处理</w:t>
            </w:r>
          </w:p>
          <w:p w14:paraId="6B6AFFAB">
            <w:pPr>
              <w:keepNext w:val="0"/>
              <w:keepLines w:val="0"/>
              <w:suppressLineNumbers w:val="0"/>
              <w:spacing w:before="0" w:beforeAutospacing="0" w:after="0" w:afterAutospacing="0" w:line="360" w:lineRule="auto"/>
              <w:ind w:left="0" w:right="0"/>
              <w:jc w:val="center"/>
              <w:rPr>
                <w:rFonts w:hint="default" w:ascii="宋体" w:hAnsi="宋体" w:cs="Calibri Light"/>
                <w:color w:val="auto"/>
                <w:sz w:val="24"/>
                <w:highlight w:val="none"/>
              </w:rPr>
            </w:pPr>
          </w:p>
        </w:tc>
        <w:tc>
          <w:tcPr>
            <w:tcW w:w="6209" w:type="dxa"/>
            <w:tcBorders>
              <w:top w:val="single" w:color="auto" w:sz="4" w:space="0"/>
              <w:left w:val="single" w:color="auto" w:sz="4" w:space="0"/>
              <w:bottom w:val="single" w:color="auto" w:sz="4" w:space="0"/>
              <w:right w:val="single" w:color="auto" w:sz="4" w:space="0"/>
            </w:tcBorders>
            <w:vAlign w:val="center"/>
          </w:tcPr>
          <w:p w14:paraId="6E4717BE">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（1）开标后，采购组织机构将向各投标供应商发出“电子加密投标文件”的解密通知，各投标供应商代表应当在接到解密通知后30分钟内自行完成“电子加密投标文件”的在线解密。</w:t>
            </w:r>
          </w:p>
          <w:p w14:paraId="066BE945">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8E8C883">
            <w:pPr>
              <w:keepNext w:val="0"/>
              <w:keepLines w:val="0"/>
              <w:suppressLineNumbers w:val="0"/>
              <w:spacing w:before="0" w:beforeAutospacing="0" w:after="0" w:afterAutospacing="0" w:line="360" w:lineRule="auto"/>
              <w:ind w:left="0" w:right="0"/>
              <w:textAlignment w:val="baseline"/>
              <w:rPr>
                <w:rFonts w:hint="default" w:ascii="宋体" w:hAnsi="宋体" w:cs="宋体"/>
                <w:color w:val="auto"/>
                <w:sz w:val="24"/>
                <w:highlight w:val="none"/>
              </w:rPr>
            </w:pPr>
            <w:r>
              <w:rPr>
                <w:rFonts w:hint="eastAsia" w:ascii="宋体" w:hAnsi="宋体" w:cs="宋体"/>
                <w:color w:val="auto"/>
                <w:sz w:val="24"/>
                <w:highlight w:val="none"/>
              </w:rPr>
              <w:t>（3）投标截止时间前，投标供应商仅递交了“备份投标文件”而未将电子加密投标文件上传至“政府采购云平台”的，投标无效。</w:t>
            </w:r>
          </w:p>
          <w:p w14:paraId="3EDAC0F9">
            <w:pPr>
              <w:keepNext w:val="0"/>
              <w:keepLines w:val="0"/>
              <w:suppressLineNumbers w:val="0"/>
              <w:spacing w:before="0" w:beforeAutospacing="0" w:after="0" w:afterAutospacing="0" w:line="360" w:lineRule="auto"/>
              <w:ind w:left="0" w:right="0"/>
              <w:textAlignment w:val="baseline"/>
              <w:rPr>
                <w:rFonts w:hint="default" w:ascii="宋体" w:hAnsi="宋体" w:cs="宋体"/>
                <w:color w:val="auto"/>
                <w:sz w:val="24"/>
                <w:highlight w:val="none"/>
              </w:rPr>
            </w:pPr>
            <w:r>
              <w:rPr>
                <w:rFonts w:hint="eastAsia" w:ascii="宋体" w:hAnsi="宋体" w:cs="宋体"/>
                <w:color w:val="auto"/>
                <w:sz w:val="24"/>
                <w:highlight w:val="none"/>
              </w:rPr>
              <w:t>（4）如递交的备份文件无法读取或因投标人未按采购文件要求制作而导致无法确认投标人信息的，视同未递交备份文件。</w:t>
            </w:r>
          </w:p>
          <w:p w14:paraId="6171D77E">
            <w:pPr>
              <w:keepNext w:val="0"/>
              <w:keepLines w:val="0"/>
              <w:suppressLineNumbers w:val="0"/>
              <w:spacing w:before="0" w:beforeAutospacing="0" w:after="0" w:afterAutospacing="0" w:line="360" w:lineRule="auto"/>
              <w:ind w:left="0" w:right="0"/>
              <w:textAlignment w:val="baseline"/>
              <w:rPr>
                <w:rFonts w:hint="default" w:ascii="宋体" w:hAnsi="宋体" w:cs="Calibri Light"/>
                <w:color w:val="auto"/>
                <w:sz w:val="24"/>
                <w:highlight w:val="none"/>
              </w:rPr>
            </w:pPr>
            <w:r>
              <w:rPr>
                <w:rFonts w:hint="eastAsia" w:ascii="宋体" w:hAnsi="宋体" w:cs="Calibri Light"/>
                <w:b/>
                <w:bCs/>
                <w:color w:val="auto"/>
                <w:sz w:val="24"/>
                <w:highlight w:val="none"/>
              </w:rPr>
              <w:t>注：供应商在使用系统进行投标的过程中遇到涉及平台使用的任何问题，可致电政采云平台技术支持热线咨询，联系方式：</w:t>
            </w:r>
            <w:r>
              <w:rPr>
                <w:rFonts w:hint="default" w:ascii="宋体" w:hAnsi="宋体" w:cs="Calibri Light"/>
                <w:b/>
                <w:bCs/>
                <w:color w:val="auto"/>
                <w:sz w:val="24"/>
                <w:highlight w:val="none"/>
              </w:rPr>
              <w:t>95763</w:t>
            </w:r>
            <w:r>
              <w:rPr>
                <w:rFonts w:hint="eastAsia" w:ascii="宋体" w:hAnsi="宋体" w:cs="Calibri Light"/>
                <w:b/>
                <w:bCs/>
                <w:color w:val="auto"/>
                <w:sz w:val="24"/>
                <w:highlight w:val="none"/>
              </w:rPr>
              <w:t>。</w:t>
            </w:r>
          </w:p>
        </w:tc>
      </w:tr>
      <w:tr w14:paraId="4F95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ABC306B">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default" w:asciiTheme="majorEastAsia" w:hAnsiTheme="majorEastAsia" w:eastAsiaTheme="majorEastAsia" w:cstheme="majorEastAsia"/>
                <w:color w:val="auto"/>
                <w:sz w:val="24"/>
                <w:highlight w:val="none"/>
              </w:rPr>
              <w:t>9</w:t>
            </w:r>
          </w:p>
        </w:tc>
        <w:tc>
          <w:tcPr>
            <w:tcW w:w="2267" w:type="dxa"/>
            <w:tcBorders>
              <w:top w:val="single" w:color="auto" w:sz="4" w:space="0"/>
              <w:left w:val="single" w:color="auto" w:sz="4" w:space="0"/>
              <w:bottom w:val="single" w:color="auto" w:sz="4" w:space="0"/>
              <w:right w:val="single" w:color="auto" w:sz="4" w:space="0"/>
            </w:tcBorders>
            <w:vAlign w:val="center"/>
          </w:tcPr>
          <w:p w14:paraId="5DBBC670">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投标有效期</w:t>
            </w:r>
          </w:p>
        </w:tc>
        <w:tc>
          <w:tcPr>
            <w:tcW w:w="6209" w:type="dxa"/>
            <w:tcBorders>
              <w:top w:val="single" w:color="auto" w:sz="4" w:space="0"/>
              <w:left w:val="single" w:color="auto" w:sz="4" w:space="0"/>
              <w:bottom w:val="single" w:color="auto" w:sz="4" w:space="0"/>
              <w:right w:val="single" w:color="auto" w:sz="4" w:space="0"/>
            </w:tcBorders>
            <w:vAlign w:val="center"/>
          </w:tcPr>
          <w:p w14:paraId="76FC134B">
            <w:pPr>
              <w:keepNext w:val="0"/>
              <w:keepLines w:val="0"/>
              <w:suppressLineNumbers w:val="0"/>
              <w:spacing w:before="0" w:beforeAutospacing="0" w:after="0" w:afterAutospacing="0" w:line="360" w:lineRule="auto"/>
              <w:ind w:left="0" w:right="0"/>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投标有效期为开标后90天，</w:t>
            </w:r>
            <w:r>
              <w:rPr>
                <w:rFonts w:hint="eastAsia" w:asciiTheme="majorEastAsia" w:hAnsiTheme="majorEastAsia" w:eastAsiaTheme="majorEastAsia" w:cstheme="majorEastAsia"/>
                <w:color w:val="auto"/>
                <w:kern w:val="0"/>
                <w:sz w:val="24"/>
                <w:highlight w:val="none"/>
              </w:rPr>
              <w:t>投标有效期从提交投标文件的截止之日起算。</w:t>
            </w:r>
          </w:p>
        </w:tc>
      </w:tr>
      <w:tr w14:paraId="11B6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F80159F">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default" w:asciiTheme="majorEastAsia" w:hAnsiTheme="majorEastAsia" w:eastAsiaTheme="majorEastAsia" w:cstheme="majorEastAsia"/>
                <w:color w:val="auto"/>
                <w:sz w:val="24"/>
                <w:highlight w:val="none"/>
              </w:rPr>
              <w:t>10</w:t>
            </w:r>
          </w:p>
        </w:tc>
        <w:tc>
          <w:tcPr>
            <w:tcW w:w="2267" w:type="dxa"/>
            <w:tcBorders>
              <w:top w:val="single" w:color="auto" w:sz="4" w:space="0"/>
              <w:left w:val="single" w:color="auto" w:sz="4" w:space="0"/>
              <w:bottom w:val="single" w:color="auto" w:sz="4" w:space="0"/>
              <w:right w:val="single" w:color="auto" w:sz="4" w:space="0"/>
            </w:tcBorders>
            <w:vAlign w:val="center"/>
          </w:tcPr>
          <w:p w14:paraId="3AD5D60D">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投标文件递交</w:t>
            </w:r>
          </w:p>
        </w:tc>
        <w:tc>
          <w:tcPr>
            <w:tcW w:w="6209" w:type="dxa"/>
            <w:tcBorders>
              <w:top w:val="single" w:color="auto" w:sz="4" w:space="0"/>
              <w:left w:val="single" w:color="auto" w:sz="4" w:space="0"/>
              <w:bottom w:val="single" w:color="auto" w:sz="4" w:space="0"/>
              <w:right w:val="single" w:color="auto" w:sz="4" w:space="0"/>
            </w:tcBorders>
            <w:vAlign w:val="center"/>
          </w:tcPr>
          <w:p w14:paraId="421CC4A2">
            <w:pPr>
              <w:keepNext w:val="0"/>
              <w:keepLines w:val="0"/>
              <w:suppressLineNumbers w:val="0"/>
              <w:spacing w:before="0" w:beforeAutospacing="0" w:after="0" w:afterAutospacing="0" w:line="360" w:lineRule="auto"/>
              <w:ind w:left="0" w:right="0"/>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详见公告</w:t>
            </w:r>
          </w:p>
        </w:tc>
      </w:tr>
      <w:tr w14:paraId="7D6C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BCD5068">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default" w:asciiTheme="majorEastAsia" w:hAnsiTheme="majorEastAsia" w:eastAsiaTheme="majorEastAsia" w:cstheme="majorEastAsia"/>
                <w:color w:val="auto"/>
                <w:sz w:val="24"/>
                <w:highlight w:val="none"/>
              </w:rPr>
              <w:t>11</w:t>
            </w:r>
          </w:p>
        </w:tc>
        <w:tc>
          <w:tcPr>
            <w:tcW w:w="2267" w:type="dxa"/>
            <w:tcBorders>
              <w:top w:val="single" w:color="auto" w:sz="4" w:space="0"/>
              <w:left w:val="single" w:color="auto" w:sz="4" w:space="0"/>
              <w:bottom w:val="single" w:color="auto" w:sz="4" w:space="0"/>
              <w:right w:val="single" w:color="auto" w:sz="4" w:space="0"/>
            </w:tcBorders>
            <w:vAlign w:val="center"/>
          </w:tcPr>
          <w:p w14:paraId="0EE06B6B">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开标时间及地点</w:t>
            </w:r>
          </w:p>
        </w:tc>
        <w:tc>
          <w:tcPr>
            <w:tcW w:w="6209" w:type="dxa"/>
            <w:tcBorders>
              <w:top w:val="single" w:color="auto" w:sz="4" w:space="0"/>
              <w:left w:val="single" w:color="auto" w:sz="4" w:space="0"/>
              <w:bottom w:val="single" w:color="auto" w:sz="4" w:space="0"/>
              <w:right w:val="single" w:color="auto" w:sz="4" w:space="0"/>
            </w:tcBorders>
            <w:vAlign w:val="center"/>
          </w:tcPr>
          <w:p w14:paraId="79ACC914">
            <w:pPr>
              <w:keepNext w:val="0"/>
              <w:keepLines w:val="0"/>
              <w:suppressLineNumbers w:val="0"/>
              <w:spacing w:before="0" w:beforeAutospacing="0" w:after="0" w:afterAutospacing="0" w:line="360" w:lineRule="auto"/>
              <w:ind w:left="0" w:right="0"/>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详见公告</w:t>
            </w:r>
          </w:p>
        </w:tc>
      </w:tr>
      <w:tr w14:paraId="5F42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E31D2B1">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default" w:asciiTheme="majorEastAsia" w:hAnsiTheme="majorEastAsia" w:eastAsiaTheme="majorEastAsia" w:cstheme="majorEastAsia"/>
                <w:color w:val="auto"/>
                <w:sz w:val="24"/>
                <w:highlight w:val="none"/>
              </w:rPr>
              <w:t>12</w:t>
            </w:r>
          </w:p>
        </w:tc>
        <w:tc>
          <w:tcPr>
            <w:tcW w:w="2267" w:type="dxa"/>
            <w:tcBorders>
              <w:top w:val="single" w:color="auto" w:sz="4" w:space="0"/>
              <w:left w:val="single" w:color="auto" w:sz="4" w:space="0"/>
              <w:bottom w:val="single" w:color="auto" w:sz="4" w:space="0"/>
              <w:right w:val="single" w:color="auto" w:sz="4" w:space="0"/>
            </w:tcBorders>
            <w:vAlign w:val="center"/>
          </w:tcPr>
          <w:p w14:paraId="7EF198BD">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投标保证金</w:t>
            </w:r>
          </w:p>
        </w:tc>
        <w:tc>
          <w:tcPr>
            <w:tcW w:w="6209" w:type="dxa"/>
            <w:tcBorders>
              <w:top w:val="single" w:color="auto" w:sz="4" w:space="0"/>
              <w:left w:val="single" w:color="auto" w:sz="4" w:space="0"/>
              <w:bottom w:val="single" w:color="auto" w:sz="4" w:space="0"/>
              <w:right w:val="single" w:color="auto" w:sz="4" w:space="0"/>
            </w:tcBorders>
            <w:vAlign w:val="center"/>
          </w:tcPr>
          <w:p w14:paraId="2E29A272">
            <w:pPr>
              <w:keepNext w:val="0"/>
              <w:keepLines w:val="0"/>
              <w:suppressLineNumbers w:val="0"/>
              <w:spacing w:before="0" w:beforeAutospacing="0" w:after="0" w:afterAutospacing="0" w:line="360" w:lineRule="auto"/>
              <w:ind w:left="0" w:right="0"/>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无</w:t>
            </w:r>
          </w:p>
        </w:tc>
      </w:tr>
      <w:tr w14:paraId="3D5D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B0E6F0C">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default" w:asciiTheme="majorEastAsia" w:hAnsiTheme="majorEastAsia" w:eastAsiaTheme="majorEastAsia" w:cstheme="majorEastAsia"/>
                <w:color w:val="auto"/>
                <w:sz w:val="24"/>
                <w:highlight w:val="none"/>
              </w:rPr>
              <w:t>13</w:t>
            </w:r>
          </w:p>
        </w:tc>
        <w:tc>
          <w:tcPr>
            <w:tcW w:w="2267" w:type="dxa"/>
            <w:tcBorders>
              <w:top w:val="single" w:color="auto" w:sz="4" w:space="0"/>
              <w:left w:val="single" w:color="auto" w:sz="4" w:space="0"/>
              <w:bottom w:val="single" w:color="auto" w:sz="4" w:space="0"/>
              <w:right w:val="single" w:color="auto" w:sz="4" w:space="0"/>
            </w:tcBorders>
            <w:vAlign w:val="center"/>
          </w:tcPr>
          <w:p w14:paraId="09ED1E9E">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履约保证金</w:t>
            </w:r>
          </w:p>
        </w:tc>
        <w:tc>
          <w:tcPr>
            <w:tcW w:w="6209" w:type="dxa"/>
            <w:tcBorders>
              <w:top w:val="single" w:color="auto" w:sz="4" w:space="0"/>
              <w:left w:val="single" w:color="auto" w:sz="4" w:space="0"/>
              <w:bottom w:val="single" w:color="auto" w:sz="4" w:space="0"/>
              <w:right w:val="single" w:color="auto" w:sz="4" w:space="0"/>
            </w:tcBorders>
            <w:vAlign w:val="center"/>
          </w:tcPr>
          <w:p w14:paraId="5811A205">
            <w:pPr>
              <w:pStyle w:val="18"/>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Theme="majorEastAsia" w:hAnsiTheme="majorEastAsia" w:eastAsiaTheme="majorEastAsia" w:cstheme="majorEastAsia"/>
                <w:color w:val="auto"/>
                <w:sz w:val="24"/>
                <w:highlight w:val="none"/>
              </w:rPr>
              <w:t>无</w:t>
            </w:r>
          </w:p>
        </w:tc>
      </w:tr>
      <w:tr w14:paraId="73E5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C1699AF">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default" w:asciiTheme="majorEastAsia" w:hAnsiTheme="majorEastAsia" w:eastAsiaTheme="majorEastAsia" w:cstheme="majorEastAsia"/>
                <w:color w:val="auto"/>
                <w:sz w:val="24"/>
                <w:highlight w:val="none"/>
              </w:rPr>
              <w:t>14</w:t>
            </w:r>
          </w:p>
        </w:tc>
        <w:tc>
          <w:tcPr>
            <w:tcW w:w="2267" w:type="dxa"/>
            <w:tcBorders>
              <w:top w:val="single" w:color="auto" w:sz="4" w:space="0"/>
              <w:left w:val="single" w:color="auto" w:sz="4" w:space="0"/>
              <w:bottom w:val="single" w:color="auto" w:sz="4" w:space="0"/>
              <w:right w:val="single" w:color="auto" w:sz="4" w:space="0"/>
            </w:tcBorders>
            <w:vAlign w:val="center"/>
          </w:tcPr>
          <w:p w14:paraId="0798E54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实质性条款</w:t>
            </w:r>
          </w:p>
        </w:tc>
        <w:tc>
          <w:tcPr>
            <w:tcW w:w="6209" w:type="dxa"/>
            <w:tcBorders>
              <w:top w:val="single" w:color="auto" w:sz="4" w:space="0"/>
              <w:left w:val="single" w:color="auto" w:sz="4" w:space="0"/>
              <w:bottom w:val="single" w:color="auto" w:sz="4" w:space="0"/>
              <w:right w:val="single" w:color="auto" w:sz="4" w:space="0"/>
            </w:tcBorders>
            <w:vAlign w:val="center"/>
          </w:tcPr>
          <w:p w14:paraId="5A865CC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带“</w:t>
            </w:r>
            <w:r>
              <w:rPr>
                <w:rFonts w:hint="eastAsia" w:asciiTheme="majorEastAsia" w:hAnsiTheme="majorEastAsia" w:eastAsiaTheme="majorEastAsia" w:cstheme="majorEastAsia"/>
                <w:bCs/>
                <w:color w:val="auto"/>
                <w:sz w:val="24"/>
                <w:highlight w:val="none"/>
              </w:rPr>
              <w:t>▲”的条款是实质性条款，投标文件须作出实质性响应，否则作无效投标处理。</w:t>
            </w:r>
          </w:p>
        </w:tc>
      </w:tr>
      <w:tr w14:paraId="760C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56C8A95">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default" w:asciiTheme="majorEastAsia" w:hAnsiTheme="majorEastAsia" w:eastAsiaTheme="majorEastAsia" w:cstheme="majorEastAsia"/>
                <w:color w:val="auto"/>
                <w:sz w:val="24"/>
                <w:highlight w:val="none"/>
              </w:rPr>
              <w:t>5</w:t>
            </w:r>
          </w:p>
        </w:tc>
        <w:tc>
          <w:tcPr>
            <w:tcW w:w="2267" w:type="dxa"/>
            <w:tcBorders>
              <w:top w:val="single" w:color="auto" w:sz="4" w:space="0"/>
              <w:left w:val="single" w:color="auto" w:sz="4" w:space="0"/>
              <w:bottom w:val="single" w:color="auto" w:sz="4" w:space="0"/>
              <w:right w:val="single" w:color="auto" w:sz="4" w:space="0"/>
            </w:tcBorders>
            <w:vAlign w:val="center"/>
          </w:tcPr>
          <w:p w14:paraId="5A81D22E">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中小企业适用行业</w:t>
            </w:r>
          </w:p>
        </w:tc>
        <w:tc>
          <w:tcPr>
            <w:tcW w:w="6209" w:type="dxa"/>
            <w:tcBorders>
              <w:top w:val="single" w:color="auto" w:sz="4" w:space="0"/>
              <w:left w:val="single" w:color="auto" w:sz="4" w:space="0"/>
              <w:bottom w:val="single" w:color="auto" w:sz="4" w:space="0"/>
              <w:right w:val="single" w:color="auto" w:sz="4" w:space="0"/>
            </w:tcBorders>
            <w:vAlign w:val="center"/>
          </w:tcPr>
          <w:p w14:paraId="144C2AE9">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根据《关于印发中小企业划型标准规定的通知》（公信联企业﹝2</w:t>
            </w:r>
            <w:r>
              <w:rPr>
                <w:rFonts w:hint="default" w:asciiTheme="majorEastAsia" w:hAnsiTheme="majorEastAsia" w:eastAsiaTheme="majorEastAsia" w:cstheme="majorEastAsia"/>
                <w:color w:val="auto"/>
                <w:sz w:val="24"/>
                <w:highlight w:val="none"/>
              </w:rPr>
              <w:t>011</w:t>
            </w:r>
            <w:r>
              <w:rPr>
                <w:rFonts w:hint="eastAsia" w:asciiTheme="majorEastAsia" w:hAnsiTheme="majorEastAsia" w:eastAsiaTheme="majorEastAsia" w:cstheme="majorEastAsia"/>
                <w:color w:val="auto"/>
                <w:sz w:val="24"/>
                <w:highlight w:val="none"/>
              </w:rPr>
              <w:t>﹞3</w:t>
            </w:r>
            <w:r>
              <w:rPr>
                <w:rFonts w:hint="default" w:asciiTheme="majorEastAsia" w:hAnsiTheme="majorEastAsia" w:eastAsiaTheme="majorEastAsia" w:cstheme="majorEastAsia"/>
                <w:color w:val="auto"/>
                <w:sz w:val="24"/>
                <w:highlight w:val="none"/>
              </w:rPr>
              <w:t>00</w:t>
            </w:r>
            <w:r>
              <w:rPr>
                <w:rFonts w:hint="eastAsia" w:asciiTheme="majorEastAsia" w:hAnsiTheme="majorEastAsia" w:eastAsiaTheme="majorEastAsia" w:cstheme="majorEastAsia"/>
                <w:color w:val="auto"/>
                <w:sz w:val="24"/>
                <w:highlight w:val="none"/>
              </w:rPr>
              <w:t>号），本项目属于软件和信息技术服务业</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ajorEastAsia" w:hAnsiTheme="majorEastAsia" w:eastAsiaTheme="majorEastAsia" w:cstheme="majorEastAsia"/>
                <w:color w:val="auto"/>
                <w:sz w:val="24"/>
                <w:highlight w:val="none"/>
                <w:lang w:eastAsia="zh-CN"/>
              </w:rPr>
              <w:t>）</w:t>
            </w:r>
          </w:p>
        </w:tc>
      </w:tr>
      <w:tr w14:paraId="7AA5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1511D69">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default" w:asciiTheme="majorEastAsia" w:hAnsiTheme="majorEastAsia" w:eastAsiaTheme="majorEastAsia" w:cstheme="majorEastAsia"/>
                <w:color w:val="auto"/>
                <w:sz w:val="24"/>
                <w:highlight w:val="none"/>
              </w:rPr>
              <w:t>16</w:t>
            </w:r>
          </w:p>
        </w:tc>
        <w:tc>
          <w:tcPr>
            <w:tcW w:w="2267" w:type="dxa"/>
            <w:tcBorders>
              <w:top w:val="single" w:color="auto" w:sz="4" w:space="0"/>
              <w:left w:val="single" w:color="auto" w:sz="4" w:space="0"/>
              <w:bottom w:val="single" w:color="auto" w:sz="4" w:space="0"/>
              <w:right w:val="single" w:color="auto" w:sz="4" w:space="0"/>
            </w:tcBorders>
            <w:vAlign w:val="center"/>
          </w:tcPr>
          <w:p w14:paraId="636C4FF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解释权</w:t>
            </w:r>
          </w:p>
        </w:tc>
        <w:tc>
          <w:tcPr>
            <w:tcW w:w="6209" w:type="dxa"/>
            <w:tcBorders>
              <w:top w:val="single" w:color="auto" w:sz="4" w:space="0"/>
              <w:left w:val="single" w:color="auto" w:sz="4" w:space="0"/>
              <w:bottom w:val="single" w:color="auto" w:sz="4" w:space="0"/>
              <w:right w:val="single" w:color="auto" w:sz="4" w:space="0"/>
            </w:tcBorders>
            <w:vAlign w:val="center"/>
          </w:tcPr>
          <w:p w14:paraId="46CF235A">
            <w:pPr>
              <w:keepNext w:val="0"/>
              <w:keepLines w:val="0"/>
              <w:suppressLineNumbers w:val="0"/>
              <w:autoSpaceDE w:val="0"/>
              <w:autoSpaceDN w:val="0"/>
              <w:adjustRightInd w:val="0"/>
              <w:spacing w:before="0" w:beforeAutospacing="0" w:after="0" w:afterAutospacing="0" w:line="360" w:lineRule="auto"/>
              <w:ind w:left="0" w:right="0"/>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本招标文件解释权属于采购人和</w:t>
            </w:r>
            <w:r>
              <w:rPr>
                <w:rFonts w:hint="eastAsia" w:cs="Arial" w:asciiTheme="minorEastAsia" w:hAnsiTheme="minorEastAsia" w:eastAsiaTheme="minorEastAsia"/>
                <w:color w:val="auto"/>
                <w:sz w:val="24"/>
                <w:highlight w:val="none"/>
              </w:rPr>
              <w:t>采购代理机构。</w:t>
            </w:r>
          </w:p>
        </w:tc>
      </w:tr>
      <w:tr w14:paraId="2199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79FBB4E">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default" w:asciiTheme="majorEastAsia" w:hAnsiTheme="majorEastAsia" w:eastAsiaTheme="majorEastAsia" w:cstheme="majorEastAsia"/>
                <w:color w:val="auto"/>
                <w:sz w:val="24"/>
                <w:highlight w:val="none"/>
              </w:rPr>
              <w:t>17</w:t>
            </w:r>
          </w:p>
        </w:tc>
        <w:tc>
          <w:tcPr>
            <w:tcW w:w="2267" w:type="dxa"/>
            <w:tcBorders>
              <w:top w:val="single" w:color="auto" w:sz="4" w:space="0"/>
              <w:left w:val="single" w:color="auto" w:sz="4" w:space="0"/>
              <w:bottom w:val="single" w:color="auto" w:sz="4" w:space="0"/>
              <w:right w:val="single" w:color="auto" w:sz="4" w:space="0"/>
            </w:tcBorders>
            <w:vAlign w:val="center"/>
          </w:tcPr>
          <w:p w14:paraId="3B598A7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招标代理费</w:t>
            </w:r>
          </w:p>
        </w:tc>
        <w:tc>
          <w:tcPr>
            <w:tcW w:w="6209" w:type="dxa"/>
            <w:tcBorders>
              <w:top w:val="single" w:color="auto" w:sz="4" w:space="0"/>
              <w:left w:val="single" w:color="auto" w:sz="4" w:space="0"/>
              <w:bottom w:val="single" w:color="auto" w:sz="4" w:space="0"/>
              <w:right w:val="single" w:color="auto" w:sz="4" w:space="0"/>
            </w:tcBorders>
            <w:vAlign w:val="center"/>
          </w:tcPr>
          <w:p w14:paraId="77699F9B">
            <w:pPr>
              <w:keepNext w:val="0"/>
              <w:keepLines w:val="0"/>
              <w:suppressLineNumbers w:val="0"/>
              <w:autoSpaceDE w:val="0"/>
              <w:autoSpaceDN w:val="0"/>
              <w:adjustRightInd w:val="0"/>
              <w:spacing w:before="0" w:beforeAutospacing="0" w:after="0" w:afterAutospacing="0" w:line="360" w:lineRule="auto"/>
              <w:ind w:left="0" w:right="0"/>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以中标价为基数，按计价格〔2002〕1980号文件、发改办价格〔2003〕857号、发改价格〔2011〕534号收费标准的7</w:t>
            </w:r>
            <w:r>
              <w:rPr>
                <w:rFonts w:hint="eastAsia" w:asciiTheme="majorEastAsia" w:hAnsiTheme="majorEastAsia" w:eastAsiaTheme="majorEastAsia" w:cstheme="majorEastAsia"/>
                <w:color w:val="auto"/>
                <w:sz w:val="24"/>
                <w:highlight w:val="none"/>
                <w:lang w:val="en-US" w:eastAsia="zh-CN"/>
              </w:rPr>
              <w:t>0</w:t>
            </w:r>
            <w:r>
              <w:rPr>
                <w:rFonts w:hint="eastAsia" w:asciiTheme="majorEastAsia" w:hAnsiTheme="majorEastAsia" w:eastAsiaTheme="majorEastAsia" w:cstheme="majorEastAsia"/>
                <w:color w:val="auto"/>
                <w:sz w:val="24"/>
                <w:highlight w:val="none"/>
              </w:rPr>
              <w:t>%计取，不足6000元的，按6000元计取。由中标人在领取中标通知书时一次性支付给招标代理机构。</w:t>
            </w:r>
          </w:p>
        </w:tc>
      </w:tr>
      <w:tr w14:paraId="49F4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C112B52">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eastAsia" w:ascii="宋体" w:hAnsi="宋体" w:cs="宋体"/>
                <w:color w:val="auto"/>
                <w:sz w:val="24"/>
                <w:highlight w:val="none"/>
              </w:rPr>
              <w:t>1</w:t>
            </w:r>
            <w:r>
              <w:rPr>
                <w:rFonts w:hint="default" w:ascii="宋体" w:hAnsi="宋体" w:cs="宋体"/>
                <w:color w:val="auto"/>
                <w:sz w:val="24"/>
                <w:highlight w:val="none"/>
              </w:rPr>
              <w:t>8</w:t>
            </w:r>
          </w:p>
        </w:tc>
        <w:tc>
          <w:tcPr>
            <w:tcW w:w="2267" w:type="dxa"/>
            <w:tcBorders>
              <w:top w:val="single" w:color="auto" w:sz="4" w:space="0"/>
              <w:left w:val="single" w:color="auto" w:sz="4" w:space="0"/>
              <w:bottom w:val="single" w:color="auto" w:sz="4" w:space="0"/>
              <w:right w:val="single" w:color="auto" w:sz="4" w:space="0"/>
            </w:tcBorders>
            <w:vAlign w:val="center"/>
          </w:tcPr>
          <w:p w14:paraId="4D90FF8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其他</w:t>
            </w:r>
            <w:r>
              <w:rPr>
                <w:rFonts w:hint="default" w:ascii="宋体" w:hAnsi="宋体" w:cs="宋体"/>
                <w:color w:val="auto"/>
                <w:sz w:val="24"/>
                <w:highlight w:val="none"/>
              </w:rPr>
              <w:t>事项</w:t>
            </w:r>
          </w:p>
        </w:tc>
        <w:tc>
          <w:tcPr>
            <w:tcW w:w="6209" w:type="dxa"/>
            <w:tcBorders>
              <w:top w:val="single" w:color="auto" w:sz="4" w:space="0"/>
              <w:left w:val="single" w:color="auto" w:sz="4" w:space="0"/>
              <w:bottom w:val="single" w:color="auto" w:sz="4" w:space="0"/>
              <w:right w:val="single" w:color="auto" w:sz="4" w:space="0"/>
            </w:tcBorders>
            <w:vAlign w:val="center"/>
          </w:tcPr>
          <w:p w14:paraId="35FDA220">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中标供应商如有融资需求，可使用以下银行的政采贷服务。</w:t>
            </w:r>
          </w:p>
          <w:tbl>
            <w:tblPr>
              <w:tblStyle w:val="36"/>
              <w:tblW w:w="5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1227"/>
              <w:gridCol w:w="1090"/>
              <w:gridCol w:w="1499"/>
            </w:tblGrid>
            <w:tr w14:paraId="16DA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482EA066">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p>
              </w:tc>
              <w:tc>
                <w:tcPr>
                  <w:tcW w:w="1227" w:type="dxa"/>
                  <w:vAlign w:val="center"/>
                </w:tcPr>
                <w:p w14:paraId="672B4E65">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贷款年利率</w:t>
                  </w:r>
                </w:p>
              </w:tc>
              <w:tc>
                <w:tcPr>
                  <w:tcW w:w="1090" w:type="dxa"/>
                  <w:vAlign w:val="center"/>
                </w:tcPr>
                <w:p w14:paraId="7E76F0A1">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联系人</w:t>
                  </w:r>
                </w:p>
              </w:tc>
              <w:tc>
                <w:tcPr>
                  <w:tcW w:w="1499" w:type="dxa"/>
                  <w:vAlign w:val="center"/>
                </w:tcPr>
                <w:p w14:paraId="22CC0F80">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联系电话</w:t>
                  </w:r>
                </w:p>
              </w:tc>
            </w:tr>
            <w:tr w14:paraId="52D2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82" w:type="dxa"/>
                  <w:vAlign w:val="center"/>
                </w:tcPr>
                <w:p w14:paraId="260BF366">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中国工商银行</w:t>
                  </w:r>
                </w:p>
              </w:tc>
              <w:tc>
                <w:tcPr>
                  <w:tcW w:w="1227" w:type="dxa"/>
                  <w:vAlign w:val="center"/>
                </w:tcPr>
                <w:p w14:paraId="4C81D37B">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3.8%起</w:t>
                  </w:r>
                </w:p>
              </w:tc>
              <w:tc>
                <w:tcPr>
                  <w:tcW w:w="1090" w:type="dxa"/>
                  <w:vAlign w:val="center"/>
                </w:tcPr>
                <w:p w14:paraId="29EE7100">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卢嘉诚</w:t>
                  </w:r>
                </w:p>
              </w:tc>
              <w:tc>
                <w:tcPr>
                  <w:tcW w:w="1499" w:type="dxa"/>
                  <w:vAlign w:val="center"/>
                </w:tcPr>
                <w:p w14:paraId="78A0DEC8">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13867658508</w:t>
                  </w:r>
                </w:p>
              </w:tc>
            </w:tr>
            <w:tr w14:paraId="0DE1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05FAD10E">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中国农业银行</w:t>
                  </w:r>
                </w:p>
              </w:tc>
              <w:tc>
                <w:tcPr>
                  <w:tcW w:w="1227" w:type="dxa"/>
                  <w:vAlign w:val="center"/>
                </w:tcPr>
                <w:p w14:paraId="2AB26689">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3.8%起</w:t>
                  </w:r>
                </w:p>
              </w:tc>
              <w:tc>
                <w:tcPr>
                  <w:tcW w:w="1090" w:type="dxa"/>
                  <w:vAlign w:val="center"/>
                </w:tcPr>
                <w:p w14:paraId="7928DFB4">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龚盛</w:t>
                  </w:r>
                </w:p>
              </w:tc>
              <w:tc>
                <w:tcPr>
                  <w:tcW w:w="1499" w:type="dxa"/>
                  <w:vAlign w:val="center"/>
                </w:tcPr>
                <w:p w14:paraId="5700FE79">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15858682216</w:t>
                  </w:r>
                </w:p>
              </w:tc>
            </w:tr>
            <w:tr w14:paraId="6554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2" w:type="dxa"/>
                  <w:vAlign w:val="center"/>
                </w:tcPr>
                <w:p w14:paraId="42ECDA45">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中国建设银行</w:t>
                  </w:r>
                </w:p>
              </w:tc>
              <w:tc>
                <w:tcPr>
                  <w:tcW w:w="1227" w:type="dxa"/>
                  <w:vAlign w:val="center"/>
                </w:tcPr>
                <w:p w14:paraId="6BA35A2A">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3.8%起</w:t>
                  </w:r>
                </w:p>
              </w:tc>
              <w:tc>
                <w:tcPr>
                  <w:tcW w:w="1090" w:type="dxa"/>
                  <w:vAlign w:val="center"/>
                </w:tcPr>
                <w:p w14:paraId="33D8C270">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梅晶晶</w:t>
                  </w:r>
                </w:p>
              </w:tc>
              <w:tc>
                <w:tcPr>
                  <w:tcW w:w="1499" w:type="dxa"/>
                  <w:vAlign w:val="center"/>
                </w:tcPr>
                <w:p w14:paraId="7CB7445D">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88525339</w:t>
                  </w:r>
                </w:p>
                <w:p w14:paraId="552ADDC9">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13736585303</w:t>
                  </w:r>
                </w:p>
              </w:tc>
            </w:tr>
            <w:tr w14:paraId="1A94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291D06D0">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中国银行</w:t>
                  </w:r>
                </w:p>
              </w:tc>
              <w:tc>
                <w:tcPr>
                  <w:tcW w:w="1227" w:type="dxa"/>
                  <w:vAlign w:val="center"/>
                </w:tcPr>
                <w:p w14:paraId="5BA76AD3">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3.75%起</w:t>
                  </w:r>
                </w:p>
              </w:tc>
              <w:tc>
                <w:tcPr>
                  <w:tcW w:w="1090" w:type="dxa"/>
                  <w:vAlign w:val="center"/>
                </w:tcPr>
                <w:p w14:paraId="7352E870">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王海</w:t>
                  </w:r>
                </w:p>
              </w:tc>
              <w:tc>
                <w:tcPr>
                  <w:tcW w:w="1499" w:type="dxa"/>
                  <w:vAlign w:val="center"/>
                </w:tcPr>
                <w:p w14:paraId="543139FF">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13857677798</w:t>
                  </w:r>
                </w:p>
              </w:tc>
            </w:tr>
            <w:tr w14:paraId="7EEF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05A10A77">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浦发银行台州分行</w:t>
                  </w:r>
                </w:p>
              </w:tc>
              <w:tc>
                <w:tcPr>
                  <w:tcW w:w="1227" w:type="dxa"/>
                  <w:vAlign w:val="center"/>
                </w:tcPr>
                <w:p w14:paraId="3DFA7F0D">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4.05%起</w:t>
                  </w:r>
                </w:p>
              </w:tc>
              <w:tc>
                <w:tcPr>
                  <w:tcW w:w="1090" w:type="dxa"/>
                  <w:vAlign w:val="center"/>
                </w:tcPr>
                <w:p w14:paraId="2B5E81C9">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王渊</w:t>
                  </w:r>
                </w:p>
              </w:tc>
              <w:tc>
                <w:tcPr>
                  <w:tcW w:w="1499" w:type="dxa"/>
                  <w:vAlign w:val="center"/>
                </w:tcPr>
                <w:p w14:paraId="2442A067">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13616676319</w:t>
                  </w:r>
                </w:p>
              </w:tc>
            </w:tr>
            <w:tr w14:paraId="5A2F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82" w:type="dxa"/>
                  <w:vAlign w:val="center"/>
                </w:tcPr>
                <w:p w14:paraId="4599F186">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浦发银行椒江分行</w:t>
                  </w:r>
                </w:p>
              </w:tc>
              <w:tc>
                <w:tcPr>
                  <w:tcW w:w="1227" w:type="dxa"/>
                  <w:vAlign w:val="center"/>
                </w:tcPr>
                <w:p w14:paraId="2AA47F50">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4.05%起</w:t>
                  </w:r>
                </w:p>
              </w:tc>
              <w:tc>
                <w:tcPr>
                  <w:tcW w:w="1090" w:type="dxa"/>
                  <w:vAlign w:val="center"/>
                </w:tcPr>
                <w:p w14:paraId="002210F1">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孙瑞华</w:t>
                  </w:r>
                </w:p>
              </w:tc>
              <w:tc>
                <w:tcPr>
                  <w:tcW w:w="1499" w:type="dxa"/>
                  <w:vAlign w:val="center"/>
                </w:tcPr>
                <w:p w14:paraId="36874703">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13857688081</w:t>
                  </w:r>
                </w:p>
              </w:tc>
            </w:tr>
            <w:tr w14:paraId="6CE4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2DDA1038">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交通银行台州分行</w:t>
                  </w:r>
                </w:p>
              </w:tc>
              <w:tc>
                <w:tcPr>
                  <w:tcW w:w="1227" w:type="dxa"/>
                  <w:vAlign w:val="center"/>
                </w:tcPr>
                <w:p w14:paraId="5494A359">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3.75%起</w:t>
                  </w:r>
                </w:p>
              </w:tc>
              <w:tc>
                <w:tcPr>
                  <w:tcW w:w="1090" w:type="dxa"/>
                  <w:vAlign w:val="center"/>
                </w:tcPr>
                <w:p w14:paraId="69B95455">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周翔宇</w:t>
                  </w:r>
                </w:p>
              </w:tc>
              <w:tc>
                <w:tcPr>
                  <w:tcW w:w="1499" w:type="dxa"/>
                  <w:vAlign w:val="center"/>
                </w:tcPr>
                <w:p w14:paraId="5B181142">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13867697018</w:t>
                  </w:r>
                </w:p>
              </w:tc>
            </w:tr>
            <w:tr w14:paraId="424B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182" w:type="dxa"/>
                  <w:vAlign w:val="center"/>
                </w:tcPr>
                <w:p w14:paraId="01B8F394">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招商银行台州分行</w:t>
                  </w:r>
                </w:p>
              </w:tc>
              <w:tc>
                <w:tcPr>
                  <w:tcW w:w="1227" w:type="dxa"/>
                  <w:vAlign w:val="center"/>
                </w:tcPr>
                <w:p w14:paraId="3655788F">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4.32%起</w:t>
                  </w:r>
                </w:p>
              </w:tc>
              <w:tc>
                <w:tcPr>
                  <w:tcW w:w="1090" w:type="dxa"/>
                  <w:vAlign w:val="center"/>
                </w:tcPr>
                <w:p w14:paraId="1112A2AB">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王海玲</w:t>
                  </w:r>
                </w:p>
              </w:tc>
              <w:tc>
                <w:tcPr>
                  <w:tcW w:w="1499" w:type="dxa"/>
                  <w:vAlign w:val="center"/>
                </w:tcPr>
                <w:p w14:paraId="24D8B587">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13566413827</w:t>
                  </w:r>
                </w:p>
              </w:tc>
            </w:tr>
            <w:tr w14:paraId="54D0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2" w:type="dxa"/>
                  <w:vAlign w:val="center"/>
                </w:tcPr>
                <w:p w14:paraId="57A2C207">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浙商银行台州分行</w:t>
                  </w:r>
                </w:p>
              </w:tc>
              <w:tc>
                <w:tcPr>
                  <w:tcW w:w="1227" w:type="dxa"/>
                  <w:vAlign w:val="center"/>
                </w:tcPr>
                <w:p w14:paraId="7E90EB69">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5.01%起</w:t>
                  </w:r>
                </w:p>
              </w:tc>
              <w:tc>
                <w:tcPr>
                  <w:tcW w:w="1090" w:type="dxa"/>
                  <w:vAlign w:val="center"/>
                </w:tcPr>
                <w:p w14:paraId="3B860A8D">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章涉漪</w:t>
                  </w:r>
                </w:p>
              </w:tc>
              <w:tc>
                <w:tcPr>
                  <w:tcW w:w="1499" w:type="dxa"/>
                  <w:vAlign w:val="center"/>
                </w:tcPr>
                <w:p w14:paraId="19379561">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81880185</w:t>
                  </w:r>
                </w:p>
                <w:p w14:paraId="1E36A752">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13606681262</w:t>
                  </w:r>
                </w:p>
              </w:tc>
            </w:tr>
            <w:tr w14:paraId="2860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3DA1C55D">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中信银行台州分行</w:t>
                  </w:r>
                </w:p>
              </w:tc>
              <w:tc>
                <w:tcPr>
                  <w:tcW w:w="1227" w:type="dxa"/>
                  <w:vAlign w:val="center"/>
                </w:tcPr>
                <w:p w14:paraId="77701A8C">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4.15%起</w:t>
                  </w:r>
                </w:p>
              </w:tc>
              <w:tc>
                <w:tcPr>
                  <w:tcW w:w="1090" w:type="dxa"/>
                  <w:vAlign w:val="center"/>
                </w:tcPr>
                <w:p w14:paraId="57C71DDD">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陈金园</w:t>
                  </w:r>
                </w:p>
              </w:tc>
              <w:tc>
                <w:tcPr>
                  <w:tcW w:w="1499" w:type="dxa"/>
                  <w:vAlign w:val="center"/>
                </w:tcPr>
                <w:p w14:paraId="4DCA5AB2">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13586052161</w:t>
                  </w:r>
                </w:p>
              </w:tc>
            </w:tr>
            <w:tr w14:paraId="76F1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2" w:type="dxa"/>
                  <w:vAlign w:val="center"/>
                </w:tcPr>
                <w:p w14:paraId="1F682450">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华夏银行台州分行</w:t>
                  </w:r>
                </w:p>
              </w:tc>
              <w:tc>
                <w:tcPr>
                  <w:tcW w:w="1227" w:type="dxa"/>
                  <w:vAlign w:val="center"/>
                </w:tcPr>
                <w:p w14:paraId="715DF678">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4.5%起</w:t>
                  </w:r>
                </w:p>
              </w:tc>
              <w:tc>
                <w:tcPr>
                  <w:tcW w:w="1090" w:type="dxa"/>
                  <w:vAlign w:val="center"/>
                </w:tcPr>
                <w:p w14:paraId="18BA1695">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邱明达</w:t>
                  </w:r>
                </w:p>
              </w:tc>
              <w:tc>
                <w:tcPr>
                  <w:tcW w:w="1499" w:type="dxa"/>
                  <w:vAlign w:val="center"/>
                </w:tcPr>
                <w:p w14:paraId="7774A595">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81871518</w:t>
                  </w:r>
                </w:p>
                <w:p w14:paraId="012EB2E4">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13736252233</w:t>
                  </w:r>
                </w:p>
              </w:tc>
            </w:tr>
            <w:tr w14:paraId="65BB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684C532F">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泰隆银行开发区支行</w:t>
                  </w:r>
                </w:p>
              </w:tc>
              <w:tc>
                <w:tcPr>
                  <w:tcW w:w="1227" w:type="dxa"/>
                  <w:vAlign w:val="center"/>
                </w:tcPr>
                <w:p w14:paraId="421D083B">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5.6%起</w:t>
                  </w:r>
                </w:p>
              </w:tc>
              <w:tc>
                <w:tcPr>
                  <w:tcW w:w="1090" w:type="dxa"/>
                  <w:vAlign w:val="center"/>
                </w:tcPr>
                <w:p w14:paraId="473F9202">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梁宛莉</w:t>
                  </w:r>
                </w:p>
              </w:tc>
              <w:tc>
                <w:tcPr>
                  <w:tcW w:w="1499" w:type="dxa"/>
                  <w:vAlign w:val="center"/>
                </w:tcPr>
                <w:p w14:paraId="12F1DECA">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13306869100</w:t>
                  </w:r>
                </w:p>
              </w:tc>
            </w:tr>
            <w:tr w14:paraId="6E12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82" w:type="dxa"/>
                  <w:vAlign w:val="center"/>
                </w:tcPr>
                <w:p w14:paraId="0EA81E3A">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民泰银行椒江支行</w:t>
                  </w:r>
                </w:p>
              </w:tc>
              <w:tc>
                <w:tcPr>
                  <w:tcW w:w="1227" w:type="dxa"/>
                  <w:vAlign w:val="center"/>
                </w:tcPr>
                <w:p w14:paraId="63B88DFC">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5.8%起</w:t>
                  </w:r>
                </w:p>
              </w:tc>
              <w:tc>
                <w:tcPr>
                  <w:tcW w:w="1090" w:type="dxa"/>
                  <w:vAlign w:val="center"/>
                </w:tcPr>
                <w:p w14:paraId="22D4C82E">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陈慧珠</w:t>
                  </w:r>
                </w:p>
              </w:tc>
              <w:tc>
                <w:tcPr>
                  <w:tcW w:w="1499" w:type="dxa"/>
                  <w:vAlign w:val="center"/>
                </w:tcPr>
                <w:p w14:paraId="391A1017">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13857699669</w:t>
                  </w:r>
                </w:p>
              </w:tc>
            </w:tr>
            <w:tr w14:paraId="2D1C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5536D0AF">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绍兴银行台州分行</w:t>
                  </w:r>
                </w:p>
              </w:tc>
              <w:tc>
                <w:tcPr>
                  <w:tcW w:w="1227" w:type="dxa"/>
                  <w:vAlign w:val="center"/>
                </w:tcPr>
                <w:p w14:paraId="3BF12F0C">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5.1%起</w:t>
                  </w:r>
                </w:p>
              </w:tc>
              <w:tc>
                <w:tcPr>
                  <w:tcW w:w="1090" w:type="dxa"/>
                  <w:vAlign w:val="center"/>
                </w:tcPr>
                <w:p w14:paraId="67625F95">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郭庭斌</w:t>
                  </w:r>
                </w:p>
              </w:tc>
              <w:tc>
                <w:tcPr>
                  <w:tcW w:w="1499" w:type="dxa"/>
                  <w:vAlign w:val="center"/>
                </w:tcPr>
                <w:p w14:paraId="7EDFA593">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15958633119</w:t>
                  </w:r>
                </w:p>
              </w:tc>
            </w:tr>
            <w:tr w14:paraId="5ABE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39D378C9">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温州银行台州分行</w:t>
                  </w:r>
                </w:p>
              </w:tc>
              <w:tc>
                <w:tcPr>
                  <w:tcW w:w="1227" w:type="dxa"/>
                  <w:vAlign w:val="center"/>
                </w:tcPr>
                <w:p w14:paraId="20685C8B">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4.55%起</w:t>
                  </w:r>
                </w:p>
              </w:tc>
              <w:tc>
                <w:tcPr>
                  <w:tcW w:w="1090" w:type="dxa"/>
                  <w:vAlign w:val="center"/>
                </w:tcPr>
                <w:p w14:paraId="3903A004">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王晓波</w:t>
                  </w:r>
                </w:p>
              </w:tc>
              <w:tc>
                <w:tcPr>
                  <w:tcW w:w="1499" w:type="dxa"/>
                  <w:vAlign w:val="center"/>
                </w:tcPr>
                <w:p w14:paraId="7AC6C773">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15824005475</w:t>
                  </w:r>
                </w:p>
              </w:tc>
            </w:tr>
            <w:tr w14:paraId="2CA2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82" w:type="dxa"/>
                  <w:vAlign w:val="center"/>
                </w:tcPr>
                <w:p w14:paraId="57D58202">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平安银行台州分行</w:t>
                  </w:r>
                </w:p>
              </w:tc>
              <w:tc>
                <w:tcPr>
                  <w:tcW w:w="1227" w:type="dxa"/>
                  <w:vAlign w:val="center"/>
                </w:tcPr>
                <w:p w14:paraId="7B03F746">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6.53%起</w:t>
                  </w:r>
                </w:p>
              </w:tc>
              <w:tc>
                <w:tcPr>
                  <w:tcW w:w="1090" w:type="dxa"/>
                  <w:vAlign w:val="center"/>
                </w:tcPr>
                <w:p w14:paraId="2F2F7373">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李俊丽</w:t>
                  </w:r>
                </w:p>
              </w:tc>
              <w:tc>
                <w:tcPr>
                  <w:tcW w:w="1499" w:type="dxa"/>
                  <w:vAlign w:val="center"/>
                </w:tcPr>
                <w:p w14:paraId="0C1802F2">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15906861025</w:t>
                  </w:r>
                </w:p>
              </w:tc>
            </w:tr>
            <w:tr w14:paraId="6334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524820F9">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宁波银行台州分行</w:t>
                  </w:r>
                </w:p>
              </w:tc>
              <w:tc>
                <w:tcPr>
                  <w:tcW w:w="1227" w:type="dxa"/>
                  <w:vAlign w:val="center"/>
                </w:tcPr>
                <w:p w14:paraId="0DBA3240">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4.35%起</w:t>
                  </w:r>
                </w:p>
              </w:tc>
              <w:tc>
                <w:tcPr>
                  <w:tcW w:w="1090" w:type="dxa"/>
                  <w:vAlign w:val="center"/>
                </w:tcPr>
                <w:p w14:paraId="688E263A">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戴莉丽</w:t>
                  </w:r>
                </w:p>
              </w:tc>
              <w:tc>
                <w:tcPr>
                  <w:tcW w:w="1499" w:type="dxa"/>
                  <w:vAlign w:val="center"/>
                </w:tcPr>
                <w:p w14:paraId="19FDA286">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13566627207</w:t>
                  </w:r>
                </w:p>
              </w:tc>
            </w:tr>
            <w:tr w14:paraId="77F5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2" w:type="dxa"/>
                  <w:vAlign w:val="center"/>
                </w:tcPr>
                <w:p w14:paraId="0CEEBB5F">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金华银行台州分行</w:t>
                  </w:r>
                </w:p>
              </w:tc>
              <w:tc>
                <w:tcPr>
                  <w:tcW w:w="1227" w:type="dxa"/>
                  <w:vAlign w:val="center"/>
                </w:tcPr>
                <w:p w14:paraId="7FC210BE">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4.05%起</w:t>
                  </w:r>
                </w:p>
              </w:tc>
              <w:tc>
                <w:tcPr>
                  <w:tcW w:w="1090" w:type="dxa"/>
                  <w:vAlign w:val="center"/>
                </w:tcPr>
                <w:p w14:paraId="126843B5">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金雪婷</w:t>
                  </w:r>
                </w:p>
              </w:tc>
              <w:tc>
                <w:tcPr>
                  <w:tcW w:w="1499" w:type="dxa"/>
                  <w:vAlign w:val="center"/>
                </w:tcPr>
                <w:p w14:paraId="62559441">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81886670</w:t>
                  </w:r>
                </w:p>
                <w:p w14:paraId="17499F99">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15968661569</w:t>
                  </w:r>
                </w:p>
              </w:tc>
            </w:tr>
            <w:tr w14:paraId="5110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50ABED96">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台州银行</w:t>
                  </w:r>
                </w:p>
              </w:tc>
              <w:tc>
                <w:tcPr>
                  <w:tcW w:w="1227" w:type="dxa"/>
                  <w:vAlign w:val="center"/>
                </w:tcPr>
                <w:p w14:paraId="54423B61">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5.6%起</w:t>
                  </w:r>
                </w:p>
              </w:tc>
              <w:tc>
                <w:tcPr>
                  <w:tcW w:w="1090" w:type="dxa"/>
                  <w:vAlign w:val="center"/>
                </w:tcPr>
                <w:p w14:paraId="2F494491">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洪婷</w:t>
                  </w:r>
                </w:p>
              </w:tc>
              <w:tc>
                <w:tcPr>
                  <w:tcW w:w="1499" w:type="dxa"/>
                  <w:vAlign w:val="center"/>
                </w:tcPr>
                <w:p w14:paraId="45F93D27">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15858624999</w:t>
                  </w:r>
                </w:p>
              </w:tc>
            </w:tr>
            <w:tr w14:paraId="4B73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2" w:type="dxa"/>
                  <w:vAlign w:val="center"/>
                </w:tcPr>
                <w:p w14:paraId="3F8C5CE5">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邮储银行台州分行</w:t>
                  </w:r>
                </w:p>
              </w:tc>
              <w:tc>
                <w:tcPr>
                  <w:tcW w:w="1227" w:type="dxa"/>
                  <w:vAlign w:val="center"/>
                </w:tcPr>
                <w:p w14:paraId="5812797F">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3.85%起</w:t>
                  </w:r>
                </w:p>
              </w:tc>
              <w:tc>
                <w:tcPr>
                  <w:tcW w:w="1090" w:type="dxa"/>
                  <w:vAlign w:val="center"/>
                </w:tcPr>
                <w:p w14:paraId="21AF8361">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董庆</w:t>
                  </w:r>
                </w:p>
              </w:tc>
              <w:tc>
                <w:tcPr>
                  <w:tcW w:w="1499" w:type="dxa"/>
                  <w:vAlign w:val="center"/>
                </w:tcPr>
                <w:p w14:paraId="351537FC">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81888982</w:t>
                  </w:r>
                </w:p>
                <w:p w14:paraId="782732E8">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18957683735</w:t>
                  </w:r>
                </w:p>
              </w:tc>
            </w:tr>
          </w:tbl>
          <w:p w14:paraId="4DD866A0">
            <w:pPr>
              <w:keepNext w:val="0"/>
              <w:keepLines w:val="0"/>
              <w:suppressLineNumbers w:val="0"/>
              <w:spacing w:before="0" w:beforeAutospacing="0" w:after="0" w:afterAutospacing="0"/>
              <w:ind w:left="0" w:right="0"/>
              <w:rPr>
                <w:rFonts w:hint="default"/>
                <w:color w:val="auto"/>
                <w:sz w:val="32"/>
                <w:szCs w:val="32"/>
                <w:highlight w:val="none"/>
              </w:rPr>
            </w:pPr>
            <w:r>
              <w:rPr>
                <w:rFonts w:hint="eastAsia" w:ascii="宋体" w:hAnsi="宋体" w:cs="宋体"/>
                <w:color w:val="auto"/>
                <w:sz w:val="24"/>
                <w:highlight w:val="none"/>
              </w:rPr>
              <w:t>中标供应商如有合同履约保函需求，可使用以下联系方式：</w:t>
            </w:r>
          </w:p>
          <w:tbl>
            <w:tblPr>
              <w:tblStyle w:val="3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15"/>
              <w:gridCol w:w="1500"/>
              <w:gridCol w:w="867"/>
              <w:gridCol w:w="1117"/>
            </w:tblGrid>
            <w:tr w14:paraId="224ED7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7" w:hRule="atLeast"/>
              </w:trPr>
              <w:tc>
                <w:tcPr>
                  <w:tcW w:w="2415" w:type="dxa"/>
                  <w:vAlign w:val="center"/>
                </w:tcPr>
                <w:p w14:paraId="76941B64">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保险公司名称</w:t>
                  </w:r>
                </w:p>
              </w:tc>
              <w:tc>
                <w:tcPr>
                  <w:tcW w:w="1500" w:type="dxa"/>
                  <w:vAlign w:val="center"/>
                </w:tcPr>
                <w:p w14:paraId="21FC8050">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保费率</w:t>
                  </w:r>
                </w:p>
              </w:tc>
              <w:tc>
                <w:tcPr>
                  <w:tcW w:w="867" w:type="dxa"/>
                  <w:vAlign w:val="center"/>
                </w:tcPr>
                <w:p w14:paraId="41EA7B2A">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联系人</w:t>
                  </w:r>
                </w:p>
              </w:tc>
              <w:tc>
                <w:tcPr>
                  <w:tcW w:w="1117" w:type="dxa"/>
                  <w:vAlign w:val="center"/>
                </w:tcPr>
                <w:p w14:paraId="780E1248">
                  <w:pPr>
                    <w:keepNext w:val="0"/>
                    <w:keepLines w:val="0"/>
                    <w:suppressLineNumbers w:val="0"/>
                    <w:spacing w:before="0" w:beforeAutospacing="0" w:after="0" w:afterAutospacing="0"/>
                    <w:ind w:left="0" w:right="0"/>
                    <w:jc w:val="center"/>
                    <w:rPr>
                      <w:rFonts w:hint="default" w:ascii="Calibri" w:hAnsi="Calibri"/>
                      <w:color w:val="auto"/>
                      <w:szCs w:val="21"/>
                      <w:highlight w:val="none"/>
                    </w:rPr>
                  </w:pPr>
                  <w:r>
                    <w:rPr>
                      <w:rFonts w:hint="eastAsia" w:ascii="Calibri" w:hAnsi="Calibri"/>
                      <w:color w:val="auto"/>
                      <w:szCs w:val="21"/>
                      <w:highlight w:val="none"/>
                    </w:rPr>
                    <w:t>联系电话</w:t>
                  </w:r>
                </w:p>
              </w:tc>
            </w:tr>
            <w:tr w14:paraId="7E1D97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2415" w:type="dxa"/>
                </w:tcPr>
                <w:p w14:paraId="165256A7">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eastAsia" w:ascii="Calibri" w:hAnsi="Calibri"/>
                      <w:color w:val="auto"/>
                      <w:szCs w:val="21"/>
                      <w:highlight w:val="none"/>
                    </w:rPr>
                    <w:t>中国人寿财产保险股份有限公司台州中心支公司</w:t>
                  </w:r>
                </w:p>
              </w:tc>
              <w:tc>
                <w:tcPr>
                  <w:tcW w:w="1500" w:type="dxa"/>
                </w:tcPr>
                <w:p w14:paraId="4A277FDD">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eastAsia" w:ascii="Calibri" w:hAnsi="Calibri"/>
                      <w:color w:val="auto"/>
                      <w:szCs w:val="21"/>
                      <w:highlight w:val="none"/>
                    </w:rPr>
                    <w:t>年费率1%，最低保费500元</w:t>
                  </w:r>
                </w:p>
              </w:tc>
              <w:tc>
                <w:tcPr>
                  <w:tcW w:w="867" w:type="dxa"/>
                </w:tcPr>
                <w:p w14:paraId="292C6E99">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eastAsia" w:ascii="Calibri" w:hAnsi="Calibri"/>
                      <w:color w:val="auto"/>
                      <w:szCs w:val="21"/>
                      <w:highlight w:val="none"/>
                    </w:rPr>
                    <w:t>徐凌</w:t>
                  </w:r>
                </w:p>
              </w:tc>
              <w:tc>
                <w:tcPr>
                  <w:tcW w:w="1117" w:type="dxa"/>
                </w:tcPr>
                <w:p w14:paraId="2CB2E16E">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default" w:ascii="Calibri" w:hAnsi="Calibri"/>
                      <w:color w:val="auto"/>
                      <w:szCs w:val="21"/>
                      <w:highlight w:val="none"/>
                    </w:rPr>
                    <w:t>13905168070</w:t>
                  </w:r>
                </w:p>
              </w:tc>
            </w:tr>
            <w:tr w14:paraId="39C8FA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2415" w:type="dxa"/>
                </w:tcPr>
                <w:p w14:paraId="6BD16110">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eastAsia" w:ascii="Calibri" w:hAnsi="Calibri"/>
                      <w:color w:val="auto"/>
                      <w:szCs w:val="21"/>
                      <w:highlight w:val="none"/>
                    </w:rPr>
                    <w:t>永诚财产保险股份有限公司台州分公司</w:t>
                  </w:r>
                </w:p>
              </w:tc>
              <w:tc>
                <w:tcPr>
                  <w:tcW w:w="1500" w:type="dxa"/>
                </w:tcPr>
                <w:p w14:paraId="0E03FF80">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eastAsia" w:ascii="Calibri" w:hAnsi="Calibri"/>
                      <w:color w:val="auto"/>
                      <w:szCs w:val="21"/>
                      <w:highlight w:val="none"/>
                    </w:rPr>
                    <w:t>年费率1%，最低保费1000元</w:t>
                  </w:r>
                </w:p>
              </w:tc>
              <w:tc>
                <w:tcPr>
                  <w:tcW w:w="867" w:type="dxa"/>
                </w:tcPr>
                <w:p w14:paraId="50B27922">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eastAsia" w:ascii="Calibri" w:hAnsi="Calibri"/>
                      <w:color w:val="auto"/>
                      <w:szCs w:val="21"/>
                      <w:highlight w:val="none"/>
                    </w:rPr>
                    <w:t>尹刚强</w:t>
                  </w:r>
                </w:p>
              </w:tc>
              <w:tc>
                <w:tcPr>
                  <w:tcW w:w="1117" w:type="dxa"/>
                </w:tcPr>
                <w:p w14:paraId="31D24B9E">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default" w:ascii="Calibri" w:hAnsi="Calibri"/>
                      <w:color w:val="auto"/>
                      <w:szCs w:val="21"/>
                      <w:highlight w:val="none"/>
                    </w:rPr>
                    <w:t>13750668184</w:t>
                  </w:r>
                </w:p>
              </w:tc>
            </w:tr>
            <w:tr w14:paraId="058441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9" w:hRule="atLeast"/>
              </w:trPr>
              <w:tc>
                <w:tcPr>
                  <w:tcW w:w="2415" w:type="dxa"/>
                </w:tcPr>
                <w:p w14:paraId="13CBA126">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eastAsia" w:ascii="Calibri" w:hAnsi="Calibri"/>
                      <w:color w:val="auto"/>
                      <w:szCs w:val="21"/>
                      <w:highlight w:val="none"/>
                    </w:rPr>
                    <w:t>华泰财产保险有限公司台州中心支公司</w:t>
                  </w:r>
                </w:p>
              </w:tc>
              <w:tc>
                <w:tcPr>
                  <w:tcW w:w="1500" w:type="dxa"/>
                </w:tcPr>
                <w:p w14:paraId="73714DEE">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eastAsia" w:ascii="Calibri" w:hAnsi="Calibri"/>
                      <w:color w:val="auto"/>
                      <w:szCs w:val="21"/>
                      <w:highlight w:val="none"/>
                    </w:rPr>
                    <w:t>年费率0.5%，最低保费1000元</w:t>
                  </w:r>
                </w:p>
              </w:tc>
              <w:tc>
                <w:tcPr>
                  <w:tcW w:w="867" w:type="dxa"/>
                </w:tcPr>
                <w:p w14:paraId="782D9D5B">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eastAsia" w:ascii="Calibri" w:hAnsi="Calibri"/>
                      <w:color w:val="auto"/>
                      <w:szCs w:val="21"/>
                      <w:highlight w:val="none"/>
                    </w:rPr>
                    <w:t>王灵芳</w:t>
                  </w:r>
                </w:p>
              </w:tc>
              <w:tc>
                <w:tcPr>
                  <w:tcW w:w="1117" w:type="dxa"/>
                </w:tcPr>
                <w:p w14:paraId="11FD6356">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default" w:ascii="Calibri" w:hAnsi="Calibri"/>
                      <w:color w:val="auto"/>
                      <w:szCs w:val="21"/>
                      <w:highlight w:val="none"/>
                    </w:rPr>
                    <w:t>88869818 13586123199</w:t>
                  </w:r>
                </w:p>
              </w:tc>
            </w:tr>
            <w:tr w14:paraId="7C31F7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9" w:hRule="atLeast"/>
              </w:trPr>
              <w:tc>
                <w:tcPr>
                  <w:tcW w:w="2415" w:type="dxa"/>
                </w:tcPr>
                <w:p w14:paraId="1E4F8C98">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eastAsia" w:ascii="Calibri" w:hAnsi="Calibri"/>
                      <w:color w:val="auto"/>
                      <w:szCs w:val="21"/>
                      <w:highlight w:val="none"/>
                    </w:rPr>
                    <w:t>中国大地财产保险股份有限公司台州中心支公司</w:t>
                  </w:r>
                </w:p>
              </w:tc>
              <w:tc>
                <w:tcPr>
                  <w:tcW w:w="1500" w:type="dxa"/>
                </w:tcPr>
                <w:p w14:paraId="36939733">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eastAsia" w:ascii="Calibri" w:hAnsi="Calibri"/>
                      <w:color w:val="auto"/>
                      <w:szCs w:val="21"/>
                      <w:highlight w:val="none"/>
                    </w:rPr>
                    <w:t>年费率1.5%，最低保费1000元</w:t>
                  </w:r>
                </w:p>
              </w:tc>
              <w:tc>
                <w:tcPr>
                  <w:tcW w:w="867" w:type="dxa"/>
                </w:tcPr>
                <w:p w14:paraId="3696D5C8">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eastAsia" w:ascii="Calibri" w:hAnsi="Calibri"/>
                      <w:color w:val="auto"/>
                      <w:szCs w:val="21"/>
                      <w:highlight w:val="none"/>
                    </w:rPr>
                    <w:t>徐小明</w:t>
                  </w:r>
                </w:p>
              </w:tc>
              <w:tc>
                <w:tcPr>
                  <w:tcW w:w="1117" w:type="dxa"/>
                </w:tcPr>
                <w:p w14:paraId="5B054095">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default" w:ascii="Calibri" w:hAnsi="Calibri"/>
                      <w:color w:val="auto"/>
                      <w:szCs w:val="21"/>
                      <w:highlight w:val="none"/>
                    </w:rPr>
                    <w:t>88552788      13968603112</w:t>
                  </w:r>
                </w:p>
              </w:tc>
            </w:tr>
            <w:tr w14:paraId="470D29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2415" w:type="dxa"/>
                </w:tcPr>
                <w:p w14:paraId="0C995F1A">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eastAsia" w:ascii="Calibri" w:hAnsi="Calibri"/>
                      <w:color w:val="auto"/>
                      <w:szCs w:val="21"/>
                      <w:highlight w:val="none"/>
                    </w:rPr>
                    <w:t>阳光保险台州中心支公司</w:t>
                  </w:r>
                </w:p>
              </w:tc>
              <w:tc>
                <w:tcPr>
                  <w:tcW w:w="1500" w:type="dxa"/>
                </w:tcPr>
                <w:p w14:paraId="5111C2D1">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eastAsia" w:ascii="Calibri" w:hAnsi="Calibri"/>
                      <w:color w:val="auto"/>
                      <w:szCs w:val="21"/>
                      <w:highlight w:val="none"/>
                    </w:rPr>
                    <w:t>年费率1%，最低保费500元</w:t>
                  </w:r>
                </w:p>
              </w:tc>
              <w:tc>
                <w:tcPr>
                  <w:tcW w:w="867" w:type="dxa"/>
                </w:tcPr>
                <w:p w14:paraId="4B07A1FE">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eastAsia" w:ascii="Calibri" w:hAnsi="Calibri"/>
                      <w:color w:val="auto"/>
                      <w:szCs w:val="21"/>
                      <w:highlight w:val="none"/>
                    </w:rPr>
                    <w:t>林高明</w:t>
                  </w:r>
                </w:p>
              </w:tc>
              <w:tc>
                <w:tcPr>
                  <w:tcW w:w="1117" w:type="dxa"/>
                </w:tcPr>
                <w:p w14:paraId="21F1B4B9">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default" w:ascii="Calibri" w:hAnsi="Calibri"/>
                      <w:color w:val="auto"/>
                      <w:szCs w:val="21"/>
                      <w:highlight w:val="none"/>
                    </w:rPr>
                    <w:t>15888682693</w:t>
                  </w:r>
                </w:p>
              </w:tc>
            </w:tr>
            <w:tr w14:paraId="38C902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2415" w:type="dxa"/>
                </w:tcPr>
                <w:p w14:paraId="69E275C7">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eastAsia" w:ascii="Calibri" w:hAnsi="Calibri"/>
                      <w:color w:val="auto"/>
                      <w:szCs w:val="21"/>
                      <w:highlight w:val="none"/>
                    </w:rPr>
                    <w:t>中华联合财产保险股份有限公司台州中心支公司</w:t>
                  </w:r>
                </w:p>
              </w:tc>
              <w:tc>
                <w:tcPr>
                  <w:tcW w:w="1500" w:type="dxa"/>
                </w:tcPr>
                <w:p w14:paraId="170FBD58">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eastAsia" w:ascii="Calibri" w:hAnsi="Calibri"/>
                      <w:color w:val="auto"/>
                      <w:szCs w:val="21"/>
                      <w:highlight w:val="none"/>
                    </w:rPr>
                    <w:t>年费率2%，最低保费500元</w:t>
                  </w:r>
                </w:p>
              </w:tc>
              <w:tc>
                <w:tcPr>
                  <w:tcW w:w="867" w:type="dxa"/>
                </w:tcPr>
                <w:p w14:paraId="31DD2156">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eastAsia" w:ascii="Calibri" w:hAnsi="Calibri"/>
                      <w:color w:val="auto"/>
                      <w:szCs w:val="21"/>
                      <w:highlight w:val="none"/>
                    </w:rPr>
                    <w:t>王仙高</w:t>
                  </w:r>
                </w:p>
              </w:tc>
              <w:tc>
                <w:tcPr>
                  <w:tcW w:w="1117" w:type="dxa"/>
                </w:tcPr>
                <w:p w14:paraId="5A802501">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default" w:ascii="Calibri" w:hAnsi="Calibri"/>
                      <w:color w:val="auto"/>
                      <w:szCs w:val="21"/>
                      <w:highlight w:val="none"/>
                    </w:rPr>
                    <w:t>13858600221</w:t>
                  </w:r>
                </w:p>
              </w:tc>
            </w:tr>
            <w:tr w14:paraId="51F369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9" w:hRule="atLeast"/>
              </w:trPr>
              <w:tc>
                <w:tcPr>
                  <w:tcW w:w="2415" w:type="dxa"/>
                </w:tcPr>
                <w:p w14:paraId="69845899">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eastAsia" w:ascii="Calibri" w:hAnsi="Calibri"/>
                      <w:color w:val="auto"/>
                      <w:szCs w:val="21"/>
                      <w:highlight w:val="none"/>
                    </w:rPr>
                    <w:t>中国人民财产保险股份有限公司台州中心支公司</w:t>
                  </w:r>
                </w:p>
              </w:tc>
              <w:tc>
                <w:tcPr>
                  <w:tcW w:w="1500" w:type="dxa"/>
                </w:tcPr>
                <w:p w14:paraId="2CE89CAA">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eastAsia" w:ascii="Calibri" w:hAnsi="Calibri"/>
                      <w:color w:val="auto"/>
                      <w:szCs w:val="21"/>
                      <w:highlight w:val="none"/>
                    </w:rPr>
                    <w:t>年费率0.3%，最低保费1000元</w:t>
                  </w:r>
                </w:p>
              </w:tc>
              <w:tc>
                <w:tcPr>
                  <w:tcW w:w="867" w:type="dxa"/>
                </w:tcPr>
                <w:p w14:paraId="60646923">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eastAsia" w:ascii="Calibri" w:hAnsi="Calibri"/>
                      <w:color w:val="auto"/>
                      <w:szCs w:val="21"/>
                      <w:highlight w:val="none"/>
                    </w:rPr>
                    <w:t>王仙春</w:t>
                  </w:r>
                </w:p>
              </w:tc>
              <w:tc>
                <w:tcPr>
                  <w:tcW w:w="1117" w:type="dxa"/>
                </w:tcPr>
                <w:p w14:paraId="5C0F82F0">
                  <w:pPr>
                    <w:keepNext w:val="0"/>
                    <w:keepLines w:val="0"/>
                    <w:suppressLineNumbers w:val="0"/>
                    <w:spacing w:before="0" w:beforeAutospacing="0" w:after="0" w:afterAutospacing="0"/>
                    <w:ind w:left="0" w:right="0"/>
                    <w:rPr>
                      <w:rFonts w:hint="default" w:ascii="Calibri" w:hAnsi="Calibri"/>
                      <w:color w:val="auto"/>
                      <w:szCs w:val="21"/>
                      <w:highlight w:val="none"/>
                    </w:rPr>
                  </w:pPr>
                  <w:r>
                    <w:rPr>
                      <w:rFonts w:hint="default" w:ascii="Calibri" w:hAnsi="Calibri"/>
                      <w:color w:val="auto"/>
                      <w:szCs w:val="21"/>
                      <w:highlight w:val="none"/>
                    </w:rPr>
                    <w:t>13515769179</w:t>
                  </w:r>
                </w:p>
              </w:tc>
            </w:tr>
            <w:tr w14:paraId="5BE483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415" w:type="dxa"/>
                </w:tcPr>
                <w:p w14:paraId="2F4469CA">
                  <w:pPr>
                    <w:keepNext w:val="0"/>
                    <w:keepLines w:val="0"/>
                    <w:suppressLineNumbers w:val="0"/>
                    <w:spacing w:before="0" w:beforeAutospacing="0" w:after="0" w:afterAutospacing="0"/>
                    <w:ind w:left="0" w:right="0"/>
                    <w:jc w:val="left"/>
                    <w:rPr>
                      <w:rFonts w:hint="default" w:ascii="Calibri" w:hAnsi="Calibri"/>
                      <w:color w:val="auto"/>
                      <w:szCs w:val="21"/>
                      <w:highlight w:val="none"/>
                    </w:rPr>
                  </w:pPr>
                  <w:r>
                    <w:rPr>
                      <w:rFonts w:hint="eastAsia" w:ascii="Calibri" w:hAnsi="Calibri"/>
                      <w:color w:val="auto"/>
                      <w:szCs w:val="21"/>
                      <w:highlight w:val="none"/>
                    </w:rPr>
                    <w:t>永安财产保险股份有限公司台州中心支公司</w:t>
                  </w:r>
                </w:p>
              </w:tc>
              <w:tc>
                <w:tcPr>
                  <w:tcW w:w="1500" w:type="dxa"/>
                </w:tcPr>
                <w:p w14:paraId="676FF833">
                  <w:pPr>
                    <w:keepNext w:val="0"/>
                    <w:keepLines w:val="0"/>
                    <w:suppressLineNumbers w:val="0"/>
                    <w:spacing w:before="0" w:beforeAutospacing="0" w:after="0" w:afterAutospacing="0"/>
                    <w:ind w:left="0" w:right="0"/>
                    <w:jc w:val="left"/>
                    <w:rPr>
                      <w:rFonts w:hint="default" w:ascii="Calibri" w:hAnsi="Calibri"/>
                      <w:color w:val="auto"/>
                      <w:szCs w:val="21"/>
                      <w:highlight w:val="none"/>
                    </w:rPr>
                  </w:pPr>
                  <w:r>
                    <w:rPr>
                      <w:rFonts w:hint="eastAsia" w:ascii="Calibri" w:hAnsi="Calibri"/>
                      <w:color w:val="auto"/>
                      <w:szCs w:val="21"/>
                      <w:highlight w:val="none"/>
                    </w:rPr>
                    <w:t>年费率0.3%，最低保费1000</w:t>
                  </w:r>
                </w:p>
              </w:tc>
              <w:tc>
                <w:tcPr>
                  <w:tcW w:w="867" w:type="dxa"/>
                </w:tcPr>
                <w:p w14:paraId="2834B9F1">
                  <w:pPr>
                    <w:keepNext w:val="0"/>
                    <w:keepLines w:val="0"/>
                    <w:suppressLineNumbers w:val="0"/>
                    <w:spacing w:before="0" w:beforeAutospacing="0" w:after="0" w:afterAutospacing="0"/>
                    <w:ind w:left="0" w:right="0"/>
                    <w:jc w:val="left"/>
                    <w:rPr>
                      <w:rFonts w:hint="default" w:ascii="Calibri" w:hAnsi="Calibri"/>
                      <w:color w:val="auto"/>
                      <w:szCs w:val="21"/>
                      <w:highlight w:val="none"/>
                    </w:rPr>
                  </w:pPr>
                  <w:r>
                    <w:rPr>
                      <w:rFonts w:hint="eastAsia" w:ascii="Calibri" w:hAnsi="Calibri"/>
                      <w:color w:val="auto"/>
                      <w:szCs w:val="21"/>
                      <w:highlight w:val="none"/>
                    </w:rPr>
                    <w:t>王春宇</w:t>
                  </w:r>
                </w:p>
              </w:tc>
              <w:tc>
                <w:tcPr>
                  <w:tcW w:w="1117" w:type="dxa"/>
                </w:tcPr>
                <w:p w14:paraId="385E7223">
                  <w:pPr>
                    <w:keepNext w:val="0"/>
                    <w:keepLines w:val="0"/>
                    <w:suppressLineNumbers w:val="0"/>
                    <w:spacing w:before="0" w:beforeAutospacing="0" w:after="0" w:afterAutospacing="0"/>
                    <w:ind w:left="0" w:right="0"/>
                    <w:jc w:val="left"/>
                    <w:rPr>
                      <w:rFonts w:hint="default" w:ascii="Calibri" w:hAnsi="Calibri"/>
                      <w:color w:val="auto"/>
                      <w:szCs w:val="21"/>
                      <w:highlight w:val="none"/>
                    </w:rPr>
                  </w:pPr>
                  <w:r>
                    <w:rPr>
                      <w:rFonts w:hint="default" w:ascii="Calibri" w:hAnsi="Calibri"/>
                      <w:color w:val="auto"/>
                      <w:szCs w:val="21"/>
                      <w:highlight w:val="none"/>
                    </w:rPr>
                    <w:t>13676675331</w:t>
                  </w:r>
                </w:p>
              </w:tc>
            </w:tr>
          </w:tbl>
          <w:p w14:paraId="0B4477ED">
            <w:pPr>
              <w:keepNext w:val="0"/>
              <w:keepLines w:val="0"/>
              <w:suppressLineNumbers w:val="0"/>
              <w:spacing w:before="0" w:beforeAutospacing="0" w:after="0" w:afterAutospacing="0"/>
              <w:ind w:left="0" w:right="0"/>
              <w:jc w:val="center"/>
              <w:rPr>
                <w:rFonts w:hint="default"/>
                <w:color w:val="auto"/>
                <w:sz w:val="32"/>
                <w:szCs w:val="32"/>
                <w:highlight w:val="none"/>
              </w:rPr>
            </w:pPr>
          </w:p>
          <w:p w14:paraId="0D5C78BB">
            <w:pPr>
              <w:keepNext w:val="0"/>
              <w:keepLines w:val="0"/>
              <w:suppressLineNumbers w:val="0"/>
              <w:spacing w:before="0" w:beforeAutospacing="0" w:after="0" w:afterAutospacing="0"/>
              <w:ind w:left="0" w:right="0"/>
              <w:rPr>
                <w:rFonts w:hint="default"/>
                <w:color w:val="auto"/>
                <w:sz w:val="32"/>
                <w:szCs w:val="32"/>
                <w:highlight w:val="none"/>
              </w:rPr>
            </w:pPr>
            <w:r>
              <w:rPr>
                <w:rFonts w:hint="eastAsia" w:ascii="宋体" w:hAnsi="宋体" w:cs="宋体"/>
                <w:color w:val="auto"/>
                <w:sz w:val="24"/>
                <w:highlight w:val="none"/>
              </w:rPr>
              <w:t>中标供应商如有预付款保函需求，可使用以下联系方式：</w:t>
            </w:r>
          </w:p>
          <w:tbl>
            <w:tblPr>
              <w:tblStyle w:val="3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04"/>
              <w:gridCol w:w="1671"/>
              <w:gridCol w:w="856"/>
              <w:gridCol w:w="1026"/>
            </w:tblGrid>
            <w:tr w14:paraId="123E8C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trPr>
              <w:tc>
                <w:tcPr>
                  <w:tcW w:w="2404" w:type="dxa"/>
                  <w:vAlign w:val="center"/>
                </w:tcPr>
                <w:p w14:paraId="110F50A9">
                  <w:pPr>
                    <w:keepNext w:val="0"/>
                    <w:keepLines w:val="0"/>
                    <w:suppressLineNumbers w:val="0"/>
                    <w:spacing w:before="0" w:beforeAutospacing="0" w:after="0" w:afterAutospacing="0"/>
                    <w:ind w:left="0" w:right="0"/>
                    <w:jc w:val="center"/>
                    <w:rPr>
                      <w:rFonts w:hint="default" w:ascii="Calibri" w:hAnsi="Calibri"/>
                      <w:color w:val="auto"/>
                      <w:sz w:val="24"/>
                      <w:highlight w:val="none"/>
                    </w:rPr>
                  </w:pPr>
                  <w:r>
                    <w:rPr>
                      <w:rFonts w:hint="eastAsia" w:ascii="Calibri" w:hAnsi="Calibri"/>
                      <w:color w:val="auto"/>
                      <w:sz w:val="24"/>
                      <w:highlight w:val="none"/>
                    </w:rPr>
                    <w:t>保险公司名称</w:t>
                  </w:r>
                </w:p>
              </w:tc>
              <w:tc>
                <w:tcPr>
                  <w:tcW w:w="1671" w:type="dxa"/>
                  <w:vAlign w:val="center"/>
                </w:tcPr>
                <w:p w14:paraId="4EE2C4C9">
                  <w:pPr>
                    <w:keepNext w:val="0"/>
                    <w:keepLines w:val="0"/>
                    <w:suppressLineNumbers w:val="0"/>
                    <w:spacing w:before="0" w:beforeAutospacing="0" w:after="0" w:afterAutospacing="0"/>
                    <w:ind w:left="0" w:right="0"/>
                    <w:jc w:val="center"/>
                    <w:rPr>
                      <w:rFonts w:hint="default" w:ascii="Calibri" w:hAnsi="Calibri"/>
                      <w:color w:val="auto"/>
                      <w:highlight w:val="none"/>
                    </w:rPr>
                  </w:pPr>
                  <w:r>
                    <w:rPr>
                      <w:rFonts w:hint="eastAsia" w:ascii="Calibri" w:hAnsi="Calibri"/>
                      <w:color w:val="auto"/>
                      <w:highlight w:val="none"/>
                    </w:rPr>
                    <w:t>保费率</w:t>
                  </w:r>
                </w:p>
              </w:tc>
              <w:tc>
                <w:tcPr>
                  <w:tcW w:w="856" w:type="dxa"/>
                  <w:vAlign w:val="center"/>
                </w:tcPr>
                <w:p w14:paraId="5B86A151">
                  <w:pPr>
                    <w:keepNext w:val="0"/>
                    <w:keepLines w:val="0"/>
                    <w:suppressLineNumbers w:val="0"/>
                    <w:spacing w:before="0" w:beforeAutospacing="0" w:after="0" w:afterAutospacing="0"/>
                    <w:ind w:left="0" w:right="0"/>
                    <w:jc w:val="center"/>
                    <w:rPr>
                      <w:rFonts w:hint="default" w:ascii="Calibri" w:hAnsi="Calibri"/>
                      <w:color w:val="auto"/>
                      <w:highlight w:val="none"/>
                    </w:rPr>
                  </w:pPr>
                  <w:r>
                    <w:rPr>
                      <w:rFonts w:hint="eastAsia" w:ascii="Calibri" w:hAnsi="Calibri"/>
                      <w:color w:val="auto"/>
                      <w:highlight w:val="none"/>
                    </w:rPr>
                    <w:t>联系人</w:t>
                  </w:r>
                </w:p>
              </w:tc>
              <w:tc>
                <w:tcPr>
                  <w:tcW w:w="1026" w:type="dxa"/>
                  <w:vAlign w:val="center"/>
                </w:tcPr>
                <w:p w14:paraId="2D382FB9">
                  <w:pPr>
                    <w:keepNext w:val="0"/>
                    <w:keepLines w:val="0"/>
                    <w:suppressLineNumbers w:val="0"/>
                    <w:spacing w:before="0" w:beforeAutospacing="0" w:after="0" w:afterAutospacing="0"/>
                    <w:ind w:left="0" w:right="0"/>
                    <w:jc w:val="center"/>
                    <w:rPr>
                      <w:rFonts w:hint="default" w:ascii="Calibri" w:hAnsi="Calibri"/>
                      <w:color w:val="auto"/>
                      <w:highlight w:val="none"/>
                    </w:rPr>
                  </w:pPr>
                  <w:r>
                    <w:rPr>
                      <w:rFonts w:hint="eastAsia" w:ascii="Calibri" w:hAnsi="Calibri"/>
                      <w:color w:val="auto"/>
                      <w:highlight w:val="none"/>
                    </w:rPr>
                    <w:t>联系电话</w:t>
                  </w:r>
                </w:p>
              </w:tc>
            </w:tr>
            <w:tr w14:paraId="58654C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2404" w:type="dxa"/>
                </w:tcPr>
                <w:p w14:paraId="4BE5AAB3">
                  <w:pPr>
                    <w:keepNext w:val="0"/>
                    <w:keepLines w:val="0"/>
                    <w:suppressLineNumbers w:val="0"/>
                    <w:spacing w:before="0" w:beforeAutospacing="0" w:after="0" w:afterAutospacing="0"/>
                    <w:ind w:left="0" w:right="0"/>
                    <w:rPr>
                      <w:rFonts w:hint="default" w:ascii="Calibri" w:hAnsi="Calibri"/>
                      <w:color w:val="auto"/>
                      <w:highlight w:val="none"/>
                    </w:rPr>
                  </w:pPr>
                  <w:r>
                    <w:rPr>
                      <w:rFonts w:hint="eastAsia" w:ascii="Calibri" w:hAnsi="Calibri"/>
                      <w:color w:val="auto"/>
                      <w:highlight w:val="none"/>
                    </w:rPr>
                    <w:t>中国人寿财产保险股份有限公司台州中心支公司</w:t>
                  </w:r>
                </w:p>
              </w:tc>
              <w:tc>
                <w:tcPr>
                  <w:tcW w:w="1671" w:type="dxa"/>
                </w:tcPr>
                <w:p w14:paraId="4B9A0BFE">
                  <w:pPr>
                    <w:keepNext w:val="0"/>
                    <w:keepLines w:val="0"/>
                    <w:suppressLineNumbers w:val="0"/>
                    <w:spacing w:before="0" w:beforeAutospacing="0" w:after="0" w:afterAutospacing="0"/>
                    <w:ind w:left="0" w:right="0"/>
                    <w:rPr>
                      <w:rFonts w:hint="default" w:ascii="Calibri" w:hAnsi="Calibri"/>
                      <w:color w:val="auto"/>
                      <w:highlight w:val="none"/>
                    </w:rPr>
                  </w:pPr>
                  <w:r>
                    <w:rPr>
                      <w:rFonts w:hint="eastAsia" w:ascii="Calibri" w:hAnsi="Calibri"/>
                      <w:color w:val="auto"/>
                      <w:highlight w:val="none"/>
                    </w:rPr>
                    <w:t>年费率3%，最低保费500元</w:t>
                  </w:r>
                </w:p>
              </w:tc>
              <w:tc>
                <w:tcPr>
                  <w:tcW w:w="856" w:type="dxa"/>
                </w:tcPr>
                <w:p w14:paraId="5299D7F6">
                  <w:pPr>
                    <w:keepNext w:val="0"/>
                    <w:keepLines w:val="0"/>
                    <w:suppressLineNumbers w:val="0"/>
                    <w:spacing w:before="0" w:beforeAutospacing="0" w:after="0" w:afterAutospacing="0"/>
                    <w:ind w:left="0" w:right="0"/>
                    <w:rPr>
                      <w:rFonts w:hint="default" w:ascii="Calibri" w:hAnsi="Calibri"/>
                      <w:color w:val="auto"/>
                      <w:highlight w:val="none"/>
                    </w:rPr>
                  </w:pPr>
                  <w:r>
                    <w:rPr>
                      <w:rFonts w:hint="eastAsia" w:ascii="Calibri" w:hAnsi="Calibri"/>
                      <w:color w:val="auto"/>
                      <w:highlight w:val="none"/>
                    </w:rPr>
                    <w:t>徐凌</w:t>
                  </w:r>
                </w:p>
              </w:tc>
              <w:tc>
                <w:tcPr>
                  <w:tcW w:w="1026" w:type="dxa"/>
                </w:tcPr>
                <w:p w14:paraId="0A56BDEE">
                  <w:pPr>
                    <w:keepNext w:val="0"/>
                    <w:keepLines w:val="0"/>
                    <w:suppressLineNumbers w:val="0"/>
                    <w:spacing w:before="0" w:beforeAutospacing="0" w:after="0" w:afterAutospacing="0"/>
                    <w:ind w:left="0" w:right="0"/>
                    <w:rPr>
                      <w:rFonts w:hint="default" w:ascii="Calibri" w:hAnsi="Calibri"/>
                      <w:color w:val="auto"/>
                      <w:highlight w:val="none"/>
                    </w:rPr>
                  </w:pPr>
                  <w:r>
                    <w:rPr>
                      <w:rFonts w:hint="default" w:ascii="Calibri" w:hAnsi="Calibri"/>
                      <w:color w:val="auto"/>
                      <w:highlight w:val="none"/>
                    </w:rPr>
                    <w:t>13905168070</w:t>
                  </w:r>
                </w:p>
              </w:tc>
            </w:tr>
            <w:tr w14:paraId="15AB07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2404" w:type="dxa"/>
                </w:tcPr>
                <w:p w14:paraId="38FA6050">
                  <w:pPr>
                    <w:keepNext w:val="0"/>
                    <w:keepLines w:val="0"/>
                    <w:suppressLineNumbers w:val="0"/>
                    <w:spacing w:before="0" w:beforeAutospacing="0" w:after="0" w:afterAutospacing="0"/>
                    <w:ind w:left="0" w:right="0"/>
                    <w:rPr>
                      <w:rFonts w:hint="default" w:ascii="Calibri" w:hAnsi="Calibri"/>
                      <w:color w:val="auto"/>
                      <w:highlight w:val="none"/>
                    </w:rPr>
                  </w:pPr>
                  <w:r>
                    <w:rPr>
                      <w:rFonts w:hint="eastAsia" w:ascii="Calibri" w:hAnsi="Calibri"/>
                      <w:color w:val="auto"/>
                      <w:highlight w:val="none"/>
                    </w:rPr>
                    <w:t>阳光保险台州中心支公司</w:t>
                  </w:r>
                </w:p>
              </w:tc>
              <w:tc>
                <w:tcPr>
                  <w:tcW w:w="1671" w:type="dxa"/>
                </w:tcPr>
                <w:p w14:paraId="43D329AD">
                  <w:pPr>
                    <w:keepNext w:val="0"/>
                    <w:keepLines w:val="0"/>
                    <w:suppressLineNumbers w:val="0"/>
                    <w:spacing w:before="0" w:beforeAutospacing="0" w:after="0" w:afterAutospacing="0"/>
                    <w:ind w:left="0" w:right="0"/>
                    <w:rPr>
                      <w:rFonts w:hint="default" w:ascii="Calibri" w:hAnsi="Calibri"/>
                      <w:color w:val="auto"/>
                      <w:highlight w:val="none"/>
                    </w:rPr>
                  </w:pPr>
                  <w:r>
                    <w:rPr>
                      <w:rFonts w:hint="eastAsia" w:ascii="Calibri" w:hAnsi="Calibri"/>
                      <w:color w:val="auto"/>
                      <w:highlight w:val="none"/>
                    </w:rPr>
                    <w:t>年费率1%，最低保费500元</w:t>
                  </w:r>
                </w:p>
              </w:tc>
              <w:tc>
                <w:tcPr>
                  <w:tcW w:w="856" w:type="dxa"/>
                </w:tcPr>
                <w:p w14:paraId="58B8A431">
                  <w:pPr>
                    <w:keepNext w:val="0"/>
                    <w:keepLines w:val="0"/>
                    <w:suppressLineNumbers w:val="0"/>
                    <w:spacing w:before="0" w:beforeAutospacing="0" w:after="0" w:afterAutospacing="0"/>
                    <w:ind w:left="0" w:right="0"/>
                    <w:rPr>
                      <w:rFonts w:hint="default" w:ascii="Calibri" w:hAnsi="Calibri"/>
                      <w:color w:val="auto"/>
                      <w:highlight w:val="none"/>
                    </w:rPr>
                  </w:pPr>
                  <w:r>
                    <w:rPr>
                      <w:rFonts w:hint="eastAsia" w:ascii="Calibri" w:hAnsi="Calibri"/>
                      <w:color w:val="auto"/>
                      <w:highlight w:val="none"/>
                    </w:rPr>
                    <w:t>林高明</w:t>
                  </w:r>
                </w:p>
              </w:tc>
              <w:tc>
                <w:tcPr>
                  <w:tcW w:w="1026" w:type="dxa"/>
                </w:tcPr>
                <w:p w14:paraId="2D24EEE3">
                  <w:pPr>
                    <w:keepNext w:val="0"/>
                    <w:keepLines w:val="0"/>
                    <w:suppressLineNumbers w:val="0"/>
                    <w:spacing w:before="0" w:beforeAutospacing="0" w:after="0" w:afterAutospacing="0"/>
                    <w:ind w:left="0" w:right="0"/>
                    <w:rPr>
                      <w:rFonts w:hint="default" w:ascii="Calibri" w:hAnsi="Calibri"/>
                      <w:color w:val="auto"/>
                      <w:highlight w:val="none"/>
                    </w:rPr>
                  </w:pPr>
                  <w:r>
                    <w:rPr>
                      <w:rFonts w:hint="default" w:ascii="Calibri" w:hAnsi="Calibri"/>
                      <w:color w:val="auto"/>
                      <w:highlight w:val="none"/>
                    </w:rPr>
                    <w:t>15888682693</w:t>
                  </w:r>
                </w:p>
              </w:tc>
            </w:tr>
            <w:tr w14:paraId="518262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trPr>
              <w:tc>
                <w:tcPr>
                  <w:tcW w:w="2404" w:type="dxa"/>
                </w:tcPr>
                <w:p w14:paraId="2EEE39E1">
                  <w:pPr>
                    <w:keepNext w:val="0"/>
                    <w:keepLines w:val="0"/>
                    <w:suppressLineNumbers w:val="0"/>
                    <w:spacing w:before="0" w:beforeAutospacing="0" w:after="0" w:afterAutospacing="0"/>
                    <w:ind w:left="0" w:right="0"/>
                    <w:rPr>
                      <w:rFonts w:hint="default" w:ascii="Calibri" w:hAnsi="Calibri"/>
                      <w:color w:val="auto"/>
                      <w:highlight w:val="none"/>
                    </w:rPr>
                  </w:pPr>
                  <w:r>
                    <w:rPr>
                      <w:rFonts w:hint="eastAsia" w:ascii="Calibri" w:hAnsi="Calibri"/>
                      <w:color w:val="auto"/>
                      <w:highlight w:val="none"/>
                    </w:rPr>
                    <w:t>天安财产保险股份有限公司台州中心支公司</w:t>
                  </w:r>
                </w:p>
              </w:tc>
              <w:tc>
                <w:tcPr>
                  <w:tcW w:w="1671" w:type="dxa"/>
                </w:tcPr>
                <w:p w14:paraId="1042D367">
                  <w:pPr>
                    <w:keepNext w:val="0"/>
                    <w:keepLines w:val="0"/>
                    <w:suppressLineNumbers w:val="0"/>
                    <w:spacing w:before="0" w:beforeAutospacing="0" w:after="0" w:afterAutospacing="0"/>
                    <w:ind w:left="0" w:right="0"/>
                    <w:rPr>
                      <w:rFonts w:hint="default" w:ascii="Calibri" w:hAnsi="Calibri"/>
                      <w:color w:val="auto"/>
                      <w:highlight w:val="none"/>
                    </w:rPr>
                  </w:pPr>
                  <w:r>
                    <w:rPr>
                      <w:rFonts w:hint="eastAsia" w:ascii="Calibri" w:hAnsi="Calibri"/>
                      <w:color w:val="auto"/>
                      <w:highlight w:val="none"/>
                    </w:rPr>
                    <w:t>年费率1%-2%，最低保费500元</w:t>
                  </w:r>
                </w:p>
              </w:tc>
              <w:tc>
                <w:tcPr>
                  <w:tcW w:w="856" w:type="dxa"/>
                </w:tcPr>
                <w:p w14:paraId="5E437AC7">
                  <w:pPr>
                    <w:keepNext w:val="0"/>
                    <w:keepLines w:val="0"/>
                    <w:suppressLineNumbers w:val="0"/>
                    <w:spacing w:before="0" w:beforeAutospacing="0" w:after="0" w:afterAutospacing="0"/>
                    <w:ind w:left="0" w:right="0"/>
                    <w:rPr>
                      <w:rFonts w:hint="default" w:ascii="Calibri" w:hAnsi="Calibri"/>
                      <w:color w:val="auto"/>
                      <w:highlight w:val="none"/>
                    </w:rPr>
                  </w:pPr>
                  <w:r>
                    <w:rPr>
                      <w:rFonts w:hint="eastAsia" w:ascii="Calibri" w:hAnsi="Calibri"/>
                      <w:color w:val="auto"/>
                      <w:highlight w:val="none"/>
                    </w:rPr>
                    <w:t>罗赛</w:t>
                  </w:r>
                </w:p>
              </w:tc>
              <w:tc>
                <w:tcPr>
                  <w:tcW w:w="1026" w:type="dxa"/>
                </w:tcPr>
                <w:p w14:paraId="40A9B9C8">
                  <w:pPr>
                    <w:keepNext w:val="0"/>
                    <w:keepLines w:val="0"/>
                    <w:suppressLineNumbers w:val="0"/>
                    <w:spacing w:before="0" w:beforeAutospacing="0" w:after="0" w:afterAutospacing="0"/>
                    <w:ind w:left="0" w:right="0"/>
                    <w:rPr>
                      <w:rFonts w:hint="default" w:ascii="Calibri" w:hAnsi="Calibri"/>
                      <w:color w:val="auto"/>
                      <w:highlight w:val="none"/>
                    </w:rPr>
                  </w:pPr>
                  <w:r>
                    <w:rPr>
                      <w:rFonts w:hint="eastAsia" w:ascii="Calibri" w:hAnsi="Calibri"/>
                      <w:color w:val="auto"/>
                      <w:highlight w:val="none"/>
                    </w:rPr>
                    <w:t>13736605643</w:t>
                  </w:r>
                </w:p>
              </w:tc>
            </w:tr>
          </w:tbl>
          <w:p w14:paraId="50515A96">
            <w:pPr>
              <w:keepNext w:val="0"/>
              <w:keepLines w:val="0"/>
              <w:suppressLineNumbers w:val="0"/>
              <w:spacing w:before="0" w:beforeAutospacing="0" w:after="0" w:afterAutospacing="0"/>
              <w:ind w:left="0" w:right="0"/>
              <w:rPr>
                <w:rFonts w:hint="default"/>
                <w:color w:val="auto"/>
                <w:highlight w:val="none"/>
              </w:rPr>
            </w:pPr>
          </w:p>
          <w:p w14:paraId="19202F7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color w:val="auto"/>
                <w:sz w:val="24"/>
                <w:highlight w:val="none"/>
              </w:rPr>
            </w:pPr>
          </w:p>
        </w:tc>
      </w:tr>
    </w:tbl>
    <w:p w14:paraId="73854864">
      <w:pPr>
        <w:pStyle w:val="22"/>
        <w:snapToGrid w:val="0"/>
        <w:spacing w:before="120" w:after="12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 、总  则</w:t>
      </w:r>
    </w:p>
    <w:p w14:paraId="644B61EE">
      <w:pPr>
        <w:snapToGrid w:val="0"/>
        <w:spacing w:line="360" w:lineRule="auto"/>
        <w:ind w:firstLine="472" w:firstLineChars="196"/>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 xml:space="preserve"> 适用范围</w:t>
      </w:r>
    </w:p>
    <w:p w14:paraId="6E0A0B4D">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68B3888C">
      <w:pPr>
        <w:snapToGrid w:val="0"/>
        <w:spacing w:before="156" w:beforeLines="50" w:line="360" w:lineRule="auto"/>
        <w:ind w:firstLine="354" w:firstLineChars="147"/>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（二）定义</w:t>
      </w:r>
    </w:p>
    <w:p w14:paraId="08CAD2E9">
      <w:pPr>
        <w:pStyle w:val="6"/>
        <w:keepNext w:val="0"/>
        <w:keepLines w:val="0"/>
        <w:tabs>
          <w:tab w:val="left" w:pos="0"/>
          <w:tab w:val="left" w:pos="851"/>
        </w:tabs>
        <w:autoSpaceDE w:val="0"/>
        <w:autoSpaceDN w:val="0"/>
        <w:adjustRightInd w:val="0"/>
        <w:snapToGrid w:val="0"/>
        <w:spacing w:before="0" w:after="0" w:line="360" w:lineRule="auto"/>
        <w:ind w:firstLine="566" w:firstLineChars="236"/>
        <w:jc w:val="left"/>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color w:val="auto"/>
          <w:sz w:val="24"/>
          <w:szCs w:val="24"/>
          <w:highlight w:val="none"/>
        </w:rPr>
        <w:t>1.</w:t>
      </w:r>
      <w:r>
        <w:rPr>
          <w:rFonts w:hint="eastAsia" w:ascii="宋体" w:hAnsi="宋体"/>
          <w:b w:val="0"/>
          <w:bCs w:val="0"/>
          <w:color w:val="auto"/>
          <w:sz w:val="24"/>
          <w:szCs w:val="24"/>
          <w:highlight w:val="none"/>
          <w:lang w:val="zh-CN"/>
        </w:rPr>
        <w:t>“采购组织机构”指采购人委托组织招标的采购代理机构。</w:t>
      </w:r>
    </w:p>
    <w:p w14:paraId="0E03E0BD">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2.采购人：是指委托采购代理机构采购本次项目的国家机关、事业单位和团体组织。</w:t>
      </w:r>
    </w:p>
    <w:p w14:paraId="438B531D">
      <w:pPr>
        <w:snapToGrid w:val="0"/>
        <w:spacing w:line="360" w:lineRule="auto"/>
        <w:ind w:left="424" w:leftChars="202" w:firstLine="141" w:firstLineChars="59"/>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/投标供应商：是</w:t>
      </w:r>
      <w:r>
        <w:rPr>
          <w:rFonts w:asciiTheme="minorEastAsia" w:hAnsiTheme="minorEastAsia" w:eastAsiaTheme="minorEastAsia"/>
          <w:color w:val="auto"/>
          <w:sz w:val="24"/>
          <w:highlight w:val="none"/>
        </w:rPr>
        <w:t>指向</w:t>
      </w:r>
      <w:r>
        <w:rPr>
          <w:rFonts w:hint="eastAsia" w:asciiTheme="minorEastAsia" w:hAnsiTheme="minorEastAsia" w:eastAsiaTheme="minorEastAsia"/>
          <w:color w:val="auto"/>
          <w:sz w:val="24"/>
          <w:highlight w:val="none"/>
        </w:rPr>
        <w:t>采购</w:t>
      </w:r>
      <w:r>
        <w:rPr>
          <w:rFonts w:hint="eastAsia" w:ascii="宋体" w:hAnsi="宋体"/>
          <w:color w:val="auto"/>
          <w:sz w:val="24"/>
          <w:highlight w:val="none"/>
          <w:lang w:val="zh-CN"/>
        </w:rPr>
        <w:t>组织</w:t>
      </w:r>
      <w:r>
        <w:rPr>
          <w:rFonts w:hint="eastAsia" w:asciiTheme="minorEastAsia" w:hAnsiTheme="minorEastAsia" w:eastAsiaTheme="minorEastAsia"/>
          <w:color w:val="auto"/>
          <w:sz w:val="24"/>
          <w:highlight w:val="none"/>
        </w:rPr>
        <w:t>机构</w:t>
      </w:r>
      <w:r>
        <w:rPr>
          <w:rFonts w:asciiTheme="minorEastAsia" w:hAnsiTheme="minorEastAsia" w:eastAsiaTheme="minorEastAsia"/>
          <w:color w:val="auto"/>
          <w:sz w:val="24"/>
          <w:highlight w:val="none"/>
        </w:rPr>
        <w:t>提交投标文件的单位或个人。</w:t>
      </w:r>
    </w:p>
    <w:p w14:paraId="592F21A6">
      <w:pPr>
        <w:snapToGrid w:val="0"/>
        <w:spacing w:line="360" w:lineRule="auto"/>
        <w:ind w:left="424" w:leftChars="202" w:firstLine="143"/>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货物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是指各种形态和种类的物品，包括原材料、燃料、设备、产品等。</w:t>
      </w:r>
    </w:p>
    <w:p w14:paraId="543A55E2">
      <w:pPr>
        <w:snapToGrid w:val="0"/>
        <w:spacing w:line="360" w:lineRule="auto"/>
        <w:ind w:firstLine="566" w:firstLineChars="236"/>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是指除货物和工程以外的政府采购对象，包括各类专业服务、信息网络开发服务、金融保险服务、运输服务，以及维修与维护服务等。</w:t>
      </w:r>
    </w:p>
    <w:p w14:paraId="3E9AC0EF">
      <w:pPr>
        <w:snapToGrid w:val="0"/>
        <w:spacing w:line="360" w:lineRule="auto"/>
        <w:ind w:firstLine="566" w:firstLineChars="23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“书面形式”包括信函、传真等。</w:t>
      </w:r>
    </w:p>
    <w:p w14:paraId="01FB5905">
      <w:pPr>
        <w:snapToGrid w:val="0"/>
        <w:spacing w:line="360" w:lineRule="auto"/>
        <w:ind w:firstLine="566" w:firstLineChars="23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“▲”系指实质性要求条款。</w:t>
      </w:r>
    </w:p>
    <w:p w14:paraId="1328CE1A">
      <w:pPr>
        <w:snapToGrid w:val="0"/>
        <w:spacing w:before="156" w:beforeLines="50" w:line="360" w:lineRule="auto"/>
        <w:ind w:firstLine="472" w:firstLineChars="196"/>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（三）投标费用</w:t>
      </w:r>
    </w:p>
    <w:p w14:paraId="0C822E5B">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不论投标结果如何，投标人均应自行承担所有与投标有关的全部费用（招标文件有相关规定除外）。</w:t>
      </w:r>
    </w:p>
    <w:p w14:paraId="76A235BC">
      <w:pPr>
        <w:pStyle w:val="22"/>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（四）特别说明</w:t>
      </w:r>
    </w:p>
    <w:p w14:paraId="2CD0BE14">
      <w:pPr>
        <w:pStyle w:val="22"/>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auto"/>
          <w:sz w:val="24"/>
          <w:highlight w:val="none"/>
        </w:rPr>
        <w:t>指</w:t>
      </w:r>
      <w:r>
        <w:rPr>
          <w:rFonts w:asciiTheme="minorEastAsia" w:hAnsiTheme="minorEastAsia" w:eastAsiaTheme="minorEastAsia"/>
          <w:color w:val="auto"/>
          <w:sz w:val="24"/>
          <w:highlight w:val="none"/>
        </w:rPr>
        <w:t>本法人或控股公司正式员工）。</w:t>
      </w:r>
    </w:p>
    <w:p w14:paraId="716F1461">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auto"/>
          <w:sz w:val="24"/>
          <w:highlight w:val="none"/>
        </w:rPr>
        <w:tab/>
      </w:r>
    </w:p>
    <w:p w14:paraId="308CB327">
      <w:pPr>
        <w:pStyle w:val="52"/>
        <w:snapToGrid w:val="0"/>
        <w:spacing w:line="360" w:lineRule="auto"/>
        <w:ind w:firstLineChars="0"/>
        <w:rPr>
          <w:rFonts w:asciiTheme="minorEastAsia" w:hAnsiTheme="minorEastAsia" w:eastAsiaTheme="minorEastAsia" w:cstheme="minorBidi"/>
          <w:color w:val="auto"/>
          <w:sz w:val="24"/>
          <w:szCs w:val="24"/>
          <w:highlight w:val="none"/>
        </w:rPr>
      </w:pPr>
      <w:r>
        <w:rPr>
          <w:rFonts w:hint="eastAsia" w:asciiTheme="minorEastAsia" w:hAnsiTheme="minorEastAsia" w:eastAsiaTheme="minorEastAsia" w:cstheme="minorBidi"/>
          <w:color w:val="auto"/>
          <w:sz w:val="24"/>
          <w:szCs w:val="24"/>
          <w:highlight w:val="none"/>
        </w:rPr>
        <w:t>3.</w:t>
      </w:r>
      <w:r>
        <w:rPr>
          <w:rFonts w:asciiTheme="minorEastAsia" w:hAnsiTheme="minorEastAsia" w:eastAsiaTheme="minorEastAsia" w:cstheme="minorBidi"/>
          <w:color w:val="auto"/>
          <w:sz w:val="24"/>
          <w:szCs w:val="24"/>
          <w:highlight w:val="none"/>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auto"/>
          <w:sz w:val="24"/>
          <w:szCs w:val="24"/>
          <w:highlight w:val="none"/>
        </w:rPr>
        <w:t>，</w:t>
      </w:r>
      <w:r>
        <w:rPr>
          <w:rFonts w:asciiTheme="minorEastAsia" w:hAnsiTheme="minorEastAsia" w:eastAsiaTheme="minorEastAsia" w:cstheme="minorBidi"/>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auto"/>
          <w:sz w:val="24"/>
          <w:szCs w:val="24"/>
          <w:highlight w:val="none"/>
        </w:rPr>
        <w:t>。</w:t>
      </w:r>
    </w:p>
    <w:p w14:paraId="5AEE7AE3">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65B7060E">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5.为采购项目提供整体设计、规范编制或者项目管理、监理、检测等服务的供应商，不得再参加该采购项目的其他采购活动。</w:t>
      </w:r>
    </w:p>
    <w:p w14:paraId="3B3DC168">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6.投标文件格式中的表格式样可以根据项目差别做适当调整,但应当保持表格样式基本形态不变。</w:t>
      </w:r>
    </w:p>
    <w:p w14:paraId="6AB706EE">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7.单位负责人为同一人或者存在直接控股、管理关系的不同供应商，不得参加同一合同项下的政府采购活动。</w:t>
      </w:r>
    </w:p>
    <w:p w14:paraId="1F40DA1E">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8.除非得到采购人的书面同意，供应商不得将本合同范围的货物全部或部分分包给他人供应；</w:t>
      </w:r>
    </w:p>
    <w:p w14:paraId="35C46C1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二、招标文件</w:t>
      </w:r>
    </w:p>
    <w:p w14:paraId="6FCF9DEC">
      <w:pPr>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（一）招标文件由招标文件总目录所列内容组成。</w:t>
      </w:r>
    </w:p>
    <w:p w14:paraId="596E9F6A">
      <w:pPr>
        <w:autoSpaceDE w:val="0"/>
        <w:autoSpaceDN w:val="0"/>
        <w:adjustRightInd w:val="0"/>
        <w:spacing w:line="360" w:lineRule="auto"/>
        <w:ind w:firstLine="360" w:firstLineChars="1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（二）招标文件的澄清或修改</w:t>
      </w:r>
    </w:p>
    <w:p w14:paraId="59D044BE">
      <w:pPr>
        <w:autoSpaceDE w:val="0"/>
        <w:autoSpaceDN w:val="0"/>
        <w:adjustRightInd w:val="0"/>
        <w:spacing w:line="360" w:lineRule="auto"/>
        <w:ind w:firstLine="420" w:firstLineChars="175"/>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16FE2B83">
      <w:pPr>
        <w:autoSpaceDE w:val="0"/>
        <w:autoSpaceDN w:val="0"/>
        <w:adjustRightIn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w:t>
      </w:r>
      <w:r>
        <w:rPr>
          <w:rFonts w:asciiTheme="minorEastAsia" w:hAnsiTheme="minorEastAsia" w:eastAsiaTheme="minorEastAsia"/>
          <w:color w:val="auto"/>
          <w:kern w:val="0"/>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auto"/>
          <w:kern w:val="0"/>
          <w:sz w:val="24"/>
          <w:highlight w:val="none"/>
        </w:rPr>
        <w:t>。</w:t>
      </w:r>
    </w:p>
    <w:p w14:paraId="48F7809D">
      <w:pPr>
        <w:tabs>
          <w:tab w:val="left" w:pos="141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 xml:space="preserve"> 三、投标文件</w:t>
      </w:r>
    </w:p>
    <w:p w14:paraId="750B974F">
      <w:pPr>
        <w:autoSpaceDE w:val="0"/>
        <w:autoSpaceDN w:val="0"/>
        <w:adjustRightInd w:val="0"/>
        <w:spacing w:line="360" w:lineRule="auto"/>
        <w:ind w:firstLine="482" w:firstLineChars="200"/>
        <w:rPr>
          <w:rFonts w:asciiTheme="minorEastAsia" w:hAnsiTheme="minorEastAsia" w:eastAsiaTheme="minorEastAsia"/>
          <w:b/>
          <w:bCs/>
          <w:color w:val="auto"/>
          <w:kern w:val="0"/>
          <w:sz w:val="24"/>
          <w:highlight w:val="none"/>
        </w:rPr>
      </w:pPr>
      <w:r>
        <w:rPr>
          <w:rFonts w:hint="eastAsia" w:ascii="宋体"/>
          <w:b/>
          <w:color w:val="auto"/>
          <w:sz w:val="24"/>
          <w:highlight w:val="none"/>
          <w:lang w:val="zh-CN"/>
        </w:rPr>
        <w:t>（一）</w:t>
      </w:r>
      <w:r>
        <w:rPr>
          <w:rFonts w:hint="eastAsia" w:asciiTheme="minorEastAsia" w:hAnsiTheme="minorEastAsia" w:eastAsiaTheme="minorEastAsia"/>
          <w:b/>
          <w:bCs/>
          <w:color w:val="auto"/>
          <w:kern w:val="0"/>
          <w:sz w:val="24"/>
          <w:highlight w:val="none"/>
        </w:rPr>
        <w:t>投标文件的组成</w:t>
      </w:r>
    </w:p>
    <w:p w14:paraId="6D216F3D">
      <w:pPr>
        <w:snapToGrid w:val="0"/>
        <w:spacing w:line="360" w:lineRule="auto"/>
        <w:ind w:firstLine="480" w:firstLineChars="200"/>
        <w:rPr>
          <w:rFonts w:ascii="仿宋_GB2312" w:hAnsi="仿宋_GB2312" w:eastAsia="仿宋_GB2312" w:cs="仿宋_GB2312"/>
          <w:color w:val="auto"/>
          <w:sz w:val="24"/>
          <w:highlight w:val="none"/>
          <w:lang w:val="zh-CN"/>
        </w:rPr>
      </w:pPr>
      <w:r>
        <w:rPr>
          <w:rFonts w:hint="eastAsia" w:asciiTheme="minorEastAsia" w:hAnsiTheme="minorEastAsia" w:eastAsiaTheme="minorEastAsia"/>
          <w:color w:val="auto"/>
          <w:kern w:val="0"/>
          <w:sz w:val="24"/>
          <w:highlight w:val="none"/>
        </w:rPr>
        <w:t xml:space="preserve">  投标人接到招标文件后，按照采购组织机构的要求提供：资格证明文件、商务与技术文件和报价文件。</w:t>
      </w:r>
    </w:p>
    <w:p w14:paraId="160B92CF">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14:paraId="2DE4274B">
      <w:pPr>
        <w:widowControl/>
        <w:spacing w:line="360" w:lineRule="auto"/>
        <w:ind w:right="60"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（1）投标声明书（格式附后）；</w:t>
      </w:r>
    </w:p>
    <w:p w14:paraId="155C56CD">
      <w:pPr>
        <w:widowControl/>
        <w:spacing w:line="360" w:lineRule="auto"/>
        <w:ind w:right="60"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（2）授权委托书（格式附后）（法定代表人亲自办理投标事宜的，则无需提交）；</w:t>
      </w:r>
    </w:p>
    <w:p w14:paraId="06BFBE86">
      <w:pPr>
        <w:widowControl/>
        <w:spacing w:line="360" w:lineRule="auto"/>
        <w:ind w:right="60"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14:paraId="478A0945">
      <w:pPr>
        <w:widowControl/>
        <w:spacing w:line="360" w:lineRule="auto"/>
        <w:ind w:right="60"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rPr>
        <w:t>（4）《中小企业声明函》或《残疾人福利性单位声明函》或《监狱企业资格证明材料》（格式附后）</w:t>
      </w:r>
    </w:p>
    <w:p w14:paraId="630E6381">
      <w:pPr>
        <w:widowControl/>
        <w:spacing w:line="360" w:lineRule="auto"/>
        <w:ind w:right="60"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提供符合资格条件的声明函（声明函格式附后）或同时提供以下四项相关材料：①财务状况报告；②依法缴纳税收；③依法缴纳社会保障资金；④具备履行合同所必需的设备和专业技术能力的证明材料。</w:t>
      </w:r>
    </w:p>
    <w:p w14:paraId="504473FB">
      <w:pPr>
        <w:snapToGrid w:val="0"/>
        <w:spacing w:line="360" w:lineRule="auto"/>
        <w:ind w:firstLine="482" w:firstLineChars="200"/>
        <w:rPr>
          <w:rFonts w:ascii="宋体" w:hAnsi="宋体" w:cs="宋体"/>
          <w:color w:val="auto"/>
          <w:sz w:val="24"/>
          <w:highlight w:val="none"/>
          <w:u w:val="singl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14:paraId="68BBA823">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（1）供应商基本情况表</w:t>
      </w:r>
      <w:r>
        <w:rPr>
          <w:rFonts w:hint="eastAsia" w:ascii="宋体" w:hAnsi="宋体" w:cs="宋体"/>
          <w:color w:val="auto"/>
          <w:sz w:val="24"/>
          <w:highlight w:val="none"/>
        </w:rPr>
        <w:t>（格式附后）</w:t>
      </w:r>
      <w:r>
        <w:rPr>
          <w:rFonts w:hint="eastAsia" w:ascii="宋体" w:hAnsi="宋体"/>
          <w:bCs/>
          <w:color w:val="auto"/>
          <w:sz w:val="24"/>
          <w:highlight w:val="none"/>
        </w:rPr>
        <w:t>；</w:t>
      </w:r>
    </w:p>
    <w:p w14:paraId="10654531">
      <w:pPr>
        <w:pStyle w:val="46"/>
        <w:spacing w:line="360" w:lineRule="auto"/>
        <w:ind w:firstLine="480"/>
        <w:rPr>
          <w:rFonts w:ascii="宋体" w:hAnsi="宋体" w:eastAsia="宋体" w:cs="Times New Roman"/>
          <w:bCs/>
          <w:color w:val="auto"/>
          <w:kern w:val="2"/>
          <w:sz w:val="24"/>
          <w:szCs w:val="24"/>
          <w:highlight w:val="none"/>
        </w:rPr>
      </w:pPr>
      <w:r>
        <w:rPr>
          <w:rFonts w:hint="eastAsia" w:ascii="宋体" w:hAnsi="宋体" w:eastAsia="宋体" w:cs="Times New Roman"/>
          <w:bCs/>
          <w:color w:val="auto"/>
          <w:kern w:val="2"/>
          <w:sz w:val="24"/>
          <w:szCs w:val="24"/>
          <w:highlight w:val="none"/>
        </w:rPr>
        <w:t>（2）</w:t>
      </w:r>
      <w:r>
        <w:rPr>
          <w:rFonts w:ascii="宋体" w:hAnsi="宋体" w:eastAsia="宋体" w:cs="Times New Roman"/>
          <w:bCs/>
          <w:color w:val="auto"/>
          <w:kern w:val="2"/>
          <w:sz w:val="24"/>
          <w:szCs w:val="24"/>
          <w:highlight w:val="none"/>
        </w:rPr>
        <w:t>商务及技术需求响应表</w:t>
      </w:r>
      <w:r>
        <w:rPr>
          <w:rFonts w:hint="eastAsia" w:ascii="宋体" w:hAnsi="宋体" w:eastAsia="宋体" w:cs="Times New Roman"/>
          <w:bCs/>
          <w:color w:val="auto"/>
          <w:kern w:val="2"/>
          <w:sz w:val="24"/>
          <w:szCs w:val="24"/>
          <w:highlight w:val="none"/>
        </w:rPr>
        <w:t>（格式附后）</w:t>
      </w:r>
      <w:r>
        <w:rPr>
          <w:rFonts w:ascii="宋体" w:hAnsi="宋体" w:eastAsia="宋体" w:cs="Times New Roman"/>
          <w:bCs/>
          <w:color w:val="auto"/>
          <w:kern w:val="2"/>
          <w:sz w:val="24"/>
          <w:szCs w:val="24"/>
          <w:highlight w:val="none"/>
        </w:rPr>
        <w:t>；</w:t>
      </w:r>
    </w:p>
    <w:p w14:paraId="4A1160AF">
      <w:pPr>
        <w:pStyle w:val="46"/>
        <w:spacing w:line="360" w:lineRule="auto"/>
        <w:ind w:firstLine="480" w:firstLineChars="200"/>
        <w:rPr>
          <w:rFonts w:ascii="宋体" w:hAnsi="宋体" w:eastAsia="宋体" w:cs="Times New Roman"/>
          <w:bCs/>
          <w:color w:val="auto"/>
          <w:kern w:val="2"/>
          <w:sz w:val="24"/>
          <w:szCs w:val="24"/>
          <w:highlight w:val="none"/>
        </w:rPr>
      </w:pPr>
      <w:r>
        <w:rPr>
          <w:rFonts w:hint="eastAsia" w:ascii="宋体" w:hAnsi="宋体" w:eastAsia="宋体" w:cs="Times New Roman"/>
          <w:bCs/>
          <w:color w:val="auto"/>
          <w:kern w:val="2"/>
          <w:sz w:val="24"/>
          <w:szCs w:val="24"/>
          <w:highlight w:val="none"/>
        </w:rPr>
        <w:t>（3）项目实施人员一览表、项目负责人资格情况表、证书一览表、投标人类似项目实施情况一览表、售后服务情况表（如有）；</w:t>
      </w:r>
    </w:p>
    <w:p w14:paraId="2DFAD913">
      <w:pPr>
        <w:pStyle w:val="46"/>
        <w:spacing w:line="360" w:lineRule="auto"/>
        <w:ind w:firstLine="480" w:firstLineChars="200"/>
        <w:rPr>
          <w:rFonts w:ascii="宋体" w:hAnsi="宋体" w:eastAsia="宋体" w:cs="Times New Roman"/>
          <w:bCs/>
          <w:color w:val="auto"/>
          <w:kern w:val="2"/>
          <w:sz w:val="24"/>
          <w:szCs w:val="24"/>
          <w:highlight w:val="none"/>
        </w:rPr>
      </w:pPr>
      <w:r>
        <w:rPr>
          <w:rFonts w:hint="eastAsia" w:ascii="宋体" w:hAnsi="宋体" w:eastAsia="宋体" w:cs="Times New Roman"/>
          <w:bCs/>
          <w:color w:val="auto"/>
          <w:kern w:val="2"/>
          <w:sz w:val="24"/>
          <w:szCs w:val="24"/>
          <w:highlight w:val="none"/>
        </w:rPr>
        <w:t>（4）其余内容根据评标办法自拟。</w:t>
      </w:r>
    </w:p>
    <w:p w14:paraId="57F53CB0">
      <w:pPr>
        <w:pStyle w:val="16"/>
        <w:widowControl/>
        <w:adjustRightInd w:val="0"/>
        <w:snapToGrid w:val="0"/>
        <w:spacing w:line="360" w:lineRule="auto"/>
        <w:ind w:left="218" w:leftChars="104" w:firstLine="622" w:firstLineChars="258"/>
        <w:rPr>
          <w:rFonts w:ascii="宋体" w:hAnsi="宋体" w:cs="宋体"/>
          <w:color w:val="auto"/>
          <w:sz w:val="24"/>
          <w:szCs w:val="24"/>
          <w:highlight w:val="none"/>
        </w:rPr>
      </w:pPr>
      <w:r>
        <w:rPr>
          <w:rFonts w:hint="eastAsia" w:ascii="宋体"/>
          <w:b/>
          <w:color w:val="auto"/>
          <w:kern w:val="0"/>
          <w:sz w:val="24"/>
          <w:highlight w:val="none"/>
        </w:rPr>
        <w:t>招标需求中要求提供的相关证明材料及根据评标办法提供的证明材料均需在投标文件中提供扫描件。</w:t>
      </w:r>
    </w:p>
    <w:p w14:paraId="0F393152">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3.报价文件的组成</w:t>
      </w:r>
    </w:p>
    <w:p w14:paraId="4BCE6A64">
      <w:pPr>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（1）报价文件由开标一览表以及供应商认为其他需要说明的内容组成。</w:t>
      </w:r>
    </w:p>
    <w:p w14:paraId="471F80CB">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（二）报价说明</w:t>
      </w:r>
    </w:p>
    <w:p w14:paraId="5059BECF">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（1）此报价为投标人一次性报出唯一的最终价格，包含其它一切所要涉及到的费用，有选择的报价将被拒绝。</w:t>
      </w:r>
    </w:p>
    <w:p w14:paraId="4D6DCDA4">
      <w:pPr>
        <w:autoSpaceDE w:val="0"/>
        <w:autoSpaceDN w:val="0"/>
        <w:adjustRightInd w:val="0"/>
        <w:spacing w:line="360" w:lineRule="auto"/>
        <w:ind w:firstLine="480" w:firstLineChars="200"/>
        <w:rPr>
          <w:rFonts w:hAnsi="宋体" w:cs="宋体"/>
          <w:bCs/>
          <w:color w:val="auto"/>
          <w:sz w:val="24"/>
          <w:highlight w:val="none"/>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2</w:t>
      </w:r>
      <w:r>
        <w:rPr>
          <w:rFonts w:hint="eastAsia" w:asciiTheme="minorEastAsia" w:hAnsiTheme="minorEastAsia" w:eastAsiaTheme="minorEastAsia"/>
          <w:color w:val="auto"/>
          <w:kern w:val="0"/>
          <w:sz w:val="24"/>
          <w:highlight w:val="none"/>
          <w:lang w:val="zh-CN"/>
        </w:rPr>
        <w:t>）</w:t>
      </w:r>
      <w:r>
        <w:rPr>
          <w:rFonts w:hint="eastAsia"/>
          <w:color w:val="auto"/>
          <w:kern w:val="0"/>
          <w:sz w:val="24"/>
          <w:highlight w:val="none"/>
        </w:rPr>
        <w:t>所有产品均采用人民币报价。</w:t>
      </w:r>
      <w:r>
        <w:rPr>
          <w:rFonts w:hint="eastAsia" w:hAnsi="宋体" w:cs="宋体"/>
          <w:color w:val="auto"/>
          <w:kern w:val="0"/>
          <w:sz w:val="24"/>
          <w:szCs w:val="21"/>
          <w:highlight w:val="none"/>
        </w:rPr>
        <w:t>投标报价应是招标文件所确定的招标范围内全部工作内容的价格表现。其应</w:t>
      </w:r>
      <w:r>
        <w:rPr>
          <w:rFonts w:hint="eastAsia" w:ascii="宋体" w:hAnsi="宋体" w:eastAsia="宋体" w:cs="宋体"/>
          <w:b w:val="0"/>
          <w:bCs w:val="0"/>
          <w:color w:val="auto"/>
          <w:sz w:val="24"/>
          <w:highlight w:val="none"/>
        </w:rPr>
        <w:t>包含实现本项目的所有功能及安全保障工作所需费用，其应包括（但不限于）</w:t>
      </w:r>
      <w:r>
        <w:rPr>
          <w:rFonts w:hint="eastAsia" w:ascii="宋体" w:hAnsi="宋体" w:eastAsia="宋体" w:cs="宋体"/>
          <w:color w:val="auto"/>
          <w:sz w:val="24"/>
          <w:highlight w:val="none"/>
        </w:rPr>
        <w:t>开发、标准附件、备品备件、服务、专用工具、安装、调试、检验、培训、运输、保险、税款、验收、</w:t>
      </w:r>
      <w:r>
        <w:rPr>
          <w:rFonts w:hint="eastAsia" w:ascii="宋体" w:hAnsi="宋体" w:eastAsia="宋体" w:cs="宋体"/>
          <w:b w:val="0"/>
          <w:bCs w:val="0"/>
          <w:color w:val="auto"/>
          <w:sz w:val="24"/>
          <w:highlight w:val="none"/>
        </w:rPr>
        <w:t>劳务、人员工资、奖金、各种加班费、食宿与交通、安全、管理、质保、保险、利润、税金、政策性文件规定及合同包含的所有风险、责任等所有费用，</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认为必需的费用，也应综合考虑</w:t>
      </w:r>
      <w:r>
        <w:rPr>
          <w:rFonts w:hint="eastAsia" w:ascii="宋体" w:hAnsi="宋体" w:cs="宋体"/>
          <w:b w:val="0"/>
          <w:bCs w:val="0"/>
          <w:color w:val="auto"/>
          <w:sz w:val="24"/>
          <w:highlight w:val="none"/>
          <w:lang w:eastAsia="zh-CN"/>
        </w:rPr>
        <w:t>。</w:t>
      </w:r>
    </w:p>
    <w:p w14:paraId="15277C3B">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（3）投标报价单不得涂改和增删，如有错漏必须修改，修改处须由同一签署人签字或盖章。由于字迹模糊或表达不清引起的后果由投标人负责。</w:t>
      </w:r>
    </w:p>
    <w:p w14:paraId="5126F90B">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rPr>
        <w:t>4</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投标报价应按招标文件中相关附表格式填写。</w:t>
      </w:r>
    </w:p>
    <w:p w14:paraId="362A0929">
      <w:pPr>
        <w:spacing w:line="360" w:lineRule="auto"/>
        <w:ind w:left="140"/>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（三）投标文件的</w:t>
      </w:r>
      <w:r>
        <w:rPr>
          <w:rFonts w:hint="eastAsia" w:asciiTheme="minorEastAsia" w:hAnsiTheme="minorEastAsia"/>
          <w:b/>
          <w:bCs/>
          <w:color w:val="auto"/>
          <w:kern w:val="0"/>
          <w:sz w:val="24"/>
          <w:highlight w:val="none"/>
        </w:rPr>
        <w:t>制作、封装及</w:t>
      </w:r>
      <w:r>
        <w:rPr>
          <w:rFonts w:hint="eastAsia" w:asciiTheme="minorEastAsia" w:hAnsiTheme="minorEastAsia" w:eastAsiaTheme="minorEastAsia"/>
          <w:b/>
          <w:bCs/>
          <w:color w:val="auto"/>
          <w:kern w:val="0"/>
          <w:sz w:val="24"/>
          <w:highlight w:val="none"/>
        </w:rPr>
        <w:t>递交要求</w:t>
      </w:r>
    </w:p>
    <w:p w14:paraId="52535C50">
      <w:pPr>
        <w:autoSpaceDE w:val="0"/>
        <w:autoSpaceDN w:val="0"/>
        <w:adjustRightInd w:val="0"/>
        <w:spacing w:line="360" w:lineRule="auto"/>
        <w:ind w:firstLine="480"/>
        <w:rPr>
          <w:rFonts w:asciiTheme="minorEastAsia" w:hAnsiTheme="minorEastAsia" w:eastAsiaTheme="minorEastAsia"/>
          <w:b/>
          <w:bCs/>
          <w:color w:val="auto"/>
          <w:sz w:val="24"/>
          <w:highlight w:val="none"/>
        </w:rPr>
      </w:pPr>
      <w:r>
        <w:rPr>
          <w:rFonts w:hint="eastAsia" w:asciiTheme="minorEastAsia" w:hAnsiTheme="minorEastAsia"/>
          <w:b/>
          <w:bCs/>
          <w:color w:val="auto"/>
          <w:sz w:val="24"/>
          <w:highlight w:val="none"/>
        </w:rPr>
        <w:t>1.投标文件的制作要求</w:t>
      </w:r>
    </w:p>
    <w:p w14:paraId="17346ECC">
      <w:pPr>
        <w:spacing w:line="360" w:lineRule="auto"/>
        <w:ind w:firstLine="480" w:firstLineChars="200"/>
        <w:rPr>
          <w:rFonts w:ascii="宋体" w:hAnsi="宋体" w:cs="Arial"/>
          <w:color w:val="auto"/>
          <w:sz w:val="24"/>
          <w:highlight w:val="none"/>
        </w:rPr>
      </w:pPr>
      <w:r>
        <w:rPr>
          <w:rFonts w:hint="eastAsia" w:asciiTheme="minorEastAsia" w:hAnsiTheme="minorEastAsia"/>
          <w:color w:val="auto"/>
          <w:sz w:val="24"/>
          <w:highlight w:val="none"/>
        </w:rPr>
        <w:t>（</w:t>
      </w:r>
      <w:r>
        <w:rPr>
          <w:rFonts w:asciiTheme="minorEastAsia" w:hAnsiTheme="minorEastAsia"/>
          <w:color w:val="auto"/>
          <w:sz w:val="24"/>
          <w:highlight w:val="none"/>
        </w:rPr>
        <w:t>1）</w:t>
      </w:r>
      <w:r>
        <w:rPr>
          <w:rFonts w:hint="eastAsia" w:ascii="宋体" w:hAnsi="宋体" w:cs="Arial"/>
          <w:color w:val="auto"/>
          <w:sz w:val="24"/>
          <w:highlight w:val="none"/>
        </w:rPr>
        <w:t>本项目通过“政府采购云平台（</w:t>
      </w:r>
      <w:r>
        <w:rPr>
          <w:rFonts w:ascii="宋体" w:hAnsi="宋体" w:cs="Arial"/>
          <w:color w:val="auto"/>
          <w:sz w:val="24"/>
          <w:highlight w:val="none"/>
        </w:rPr>
        <w:t>www.</w:t>
      </w:r>
      <w:r>
        <w:rPr>
          <w:rFonts w:hint="eastAsia" w:ascii="宋体" w:hAnsi="宋体" w:cs="Arial"/>
          <w:color w:val="auto"/>
          <w:sz w:val="24"/>
          <w:highlight w:val="none"/>
        </w:rPr>
        <w:t>zcy</w:t>
      </w:r>
      <w:r>
        <w:rPr>
          <w:rFonts w:ascii="宋体" w:hAnsi="宋体" w:cs="Arial"/>
          <w:color w:val="auto"/>
          <w:sz w:val="24"/>
          <w:highlight w:val="none"/>
        </w:rPr>
        <w:t>gov.cn</w:t>
      </w:r>
      <w:r>
        <w:rPr>
          <w:rFonts w:hint="eastAsia" w:ascii="宋体" w:hAnsi="宋体" w:cs="Arial"/>
          <w:color w:val="auto"/>
          <w:sz w:val="24"/>
          <w:highlight w:val="none"/>
        </w:rPr>
        <w:t>）”实行在线投标响应（电子投标）。供应商应通过“政采云电子交易客户端”，并按照本招标文件和“政府采购云平台”的要求编制并加密投标文件。</w:t>
      </w:r>
    </w:p>
    <w:p w14:paraId="12ADC8C4">
      <w:pPr>
        <w:spacing w:line="360" w:lineRule="auto"/>
        <w:ind w:firstLine="420" w:firstLineChars="175"/>
        <w:rPr>
          <w:rFonts w:ascii="宋体" w:hAnsi="宋体" w:cs="Arial"/>
          <w:color w:val="auto"/>
          <w:kern w:val="0"/>
          <w:sz w:val="24"/>
          <w:highlight w:val="none"/>
        </w:rPr>
      </w:pPr>
      <w:r>
        <w:rPr>
          <w:rFonts w:hint="eastAsia" w:ascii="宋体" w:hAnsi="宋体" w:cs="Arial"/>
          <w:color w:val="auto"/>
          <w:kern w:val="0"/>
          <w:sz w:val="24"/>
          <w:highlight w:val="none"/>
        </w:rPr>
        <w:t>（2）投标供应商应当按照</w:t>
      </w:r>
      <w:r>
        <w:rPr>
          <w:rFonts w:ascii="宋体" w:hAnsi="宋体" w:cs="Arial"/>
          <w:color w:val="auto"/>
          <w:kern w:val="0"/>
          <w:sz w:val="24"/>
          <w:highlight w:val="none"/>
        </w:rPr>
        <w:t>本</w:t>
      </w:r>
      <w:r>
        <w:rPr>
          <w:rFonts w:hint="eastAsia" w:ascii="宋体" w:hAnsi="宋体" w:cs="Arial"/>
          <w:color w:val="auto"/>
          <w:kern w:val="0"/>
          <w:sz w:val="24"/>
          <w:highlight w:val="none"/>
        </w:rPr>
        <w:t>章节 “投标文件组成”规定的内容及顺序在“政采云电子交易客户端”编制投标文件。其中《资格证明文件》和《商务与技术文件》中不得出现本项目投标报价，如因投标人原因提前泄露投标报价，是投标人的责任。</w:t>
      </w:r>
    </w:p>
    <w:p w14:paraId="7BB6B489">
      <w:pPr>
        <w:autoSpaceDE w:val="0"/>
        <w:autoSpaceDN w:val="0"/>
        <w:adjustRightInd w:val="0"/>
        <w:spacing w:line="360" w:lineRule="auto"/>
        <w:ind w:firstLine="480"/>
        <w:rPr>
          <w:rFonts w:ascii="宋体" w:hAnsi="宋体"/>
          <w:color w:val="auto"/>
          <w:sz w:val="24"/>
          <w:highlight w:val="none"/>
        </w:rPr>
      </w:pPr>
      <w:r>
        <w:rPr>
          <w:rFonts w:hint="eastAsia" w:ascii="宋体" w:hAnsi="宋体"/>
          <w:bCs/>
          <w:color w:val="auto"/>
          <w:sz w:val="24"/>
          <w:highlight w:val="none"/>
        </w:rPr>
        <w:t>（3）</w:t>
      </w:r>
      <w:r>
        <w:rPr>
          <w:rFonts w:hint="eastAsia" w:cs="宋体"/>
          <w:bCs/>
          <w:color w:val="auto"/>
          <w:sz w:val="24"/>
          <w:highlight w:val="none"/>
        </w:rPr>
        <w:t>本文件《第六章  投标文件格式附件》</w:t>
      </w:r>
      <w:r>
        <w:rPr>
          <w:rFonts w:hint="eastAsia" w:ascii="宋体" w:hAnsi="宋体"/>
          <w:bCs/>
          <w:color w:val="auto"/>
          <w:sz w:val="24"/>
          <w:highlight w:val="none"/>
        </w:rPr>
        <w:t>中有</w:t>
      </w:r>
      <w:r>
        <w:rPr>
          <w:rFonts w:ascii="宋体" w:hAnsi="宋体"/>
          <w:bCs/>
          <w:color w:val="auto"/>
          <w:sz w:val="24"/>
          <w:highlight w:val="none"/>
        </w:rPr>
        <w:t>提供格式的，投标</w:t>
      </w:r>
      <w:r>
        <w:rPr>
          <w:rFonts w:hint="eastAsia" w:ascii="宋体" w:hAnsi="宋体"/>
          <w:bCs/>
          <w:color w:val="auto"/>
          <w:sz w:val="24"/>
          <w:highlight w:val="none"/>
        </w:rPr>
        <w:t>供应商须参</w:t>
      </w:r>
      <w:r>
        <w:rPr>
          <w:rFonts w:ascii="宋体" w:hAnsi="宋体"/>
          <w:bCs/>
          <w:color w:val="auto"/>
          <w:sz w:val="24"/>
          <w:highlight w:val="none"/>
        </w:rPr>
        <w:t>照格式</w:t>
      </w:r>
      <w:r>
        <w:rPr>
          <w:rFonts w:hint="eastAsia" w:ascii="宋体" w:hAnsi="宋体"/>
          <w:bCs/>
          <w:color w:val="auto"/>
          <w:sz w:val="24"/>
          <w:highlight w:val="none"/>
        </w:rPr>
        <w:t>进行编制（格式中要求提供相关证明材料的还需后附相关证明材料），并按格式要求在指定位置根据要求进行电子签章，否则视为未提供；</w:t>
      </w:r>
      <w:r>
        <w:rPr>
          <w:rFonts w:hint="eastAsia" w:cs="宋体"/>
          <w:bCs/>
          <w:color w:val="auto"/>
          <w:sz w:val="24"/>
          <w:highlight w:val="none"/>
        </w:rPr>
        <w:t>本文件《第六章  投标文件格式附件》</w:t>
      </w:r>
      <w:r>
        <w:rPr>
          <w:rFonts w:ascii="宋体" w:hAnsi="宋体"/>
          <w:bCs/>
          <w:color w:val="auto"/>
          <w:sz w:val="24"/>
          <w:highlight w:val="none"/>
        </w:rPr>
        <w:t>未提供格式的，请各投标单位自行拟定格式</w:t>
      </w:r>
      <w:r>
        <w:rPr>
          <w:rFonts w:hint="eastAsia" w:ascii="宋体" w:hAnsi="宋体"/>
          <w:color w:val="auto"/>
          <w:sz w:val="24"/>
          <w:highlight w:val="none"/>
        </w:rPr>
        <w:t>。</w:t>
      </w:r>
    </w:p>
    <w:p w14:paraId="50F4F1F5">
      <w:pPr>
        <w:autoSpaceDE w:val="0"/>
        <w:autoSpaceDN w:val="0"/>
        <w:adjustRightInd w:val="0"/>
        <w:spacing w:line="360" w:lineRule="auto"/>
        <w:ind w:firstLine="480" w:firstLineChars="200"/>
        <w:rPr>
          <w:rFonts w:ascii="宋体" w:hAnsi="宋体"/>
          <w:color w:val="auto"/>
          <w:kern w:val="0"/>
          <w:sz w:val="24"/>
          <w:highlight w:val="none"/>
          <w:lang w:val="zh-CN"/>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）供应商应对所提供的全部资料的真实性承担法律责任。</w:t>
      </w:r>
    </w:p>
    <w:p w14:paraId="4240312F">
      <w:pPr>
        <w:snapToGrid w:val="0"/>
        <w:spacing w:line="360" w:lineRule="auto"/>
        <w:ind w:firstLine="480" w:firstLineChars="200"/>
        <w:jc w:val="left"/>
        <w:rPr>
          <w:rFonts w:ascii="宋体" w:hAnsi="宋体"/>
          <w:color w:val="auto"/>
          <w:sz w:val="24"/>
          <w:highlight w:val="none"/>
        </w:rPr>
      </w:pPr>
      <w:r>
        <w:rPr>
          <w:rFonts w:hint="eastAsia" w:ascii="宋体" w:hAnsi="宋体"/>
          <w:color w:val="auto"/>
          <w:kern w:val="0"/>
          <w:sz w:val="24"/>
          <w:highlight w:val="none"/>
          <w:lang w:val="zh-CN"/>
        </w:rPr>
        <w:t>（</w:t>
      </w:r>
      <w:r>
        <w:rPr>
          <w:rFonts w:ascii="宋体" w:hAnsi="宋体"/>
          <w:color w:val="auto"/>
          <w:kern w:val="0"/>
          <w:sz w:val="24"/>
          <w:highlight w:val="none"/>
        </w:rPr>
        <w:t>5</w:t>
      </w:r>
      <w:r>
        <w:rPr>
          <w:rFonts w:hint="eastAsia" w:ascii="宋体" w:hAnsi="宋体"/>
          <w:color w:val="auto"/>
          <w:kern w:val="0"/>
          <w:sz w:val="24"/>
          <w:highlight w:val="none"/>
          <w:lang w:val="zh-CN"/>
        </w:rPr>
        <w:t>）</w:t>
      </w:r>
      <w:r>
        <w:rPr>
          <w:rFonts w:hint="eastAsia" w:ascii="宋体" w:hAnsi="宋体"/>
          <w:color w:val="auto"/>
          <w:sz w:val="24"/>
          <w:highlight w:val="none"/>
        </w:rPr>
        <w:t>投标文件</w:t>
      </w:r>
      <w:r>
        <w:rPr>
          <w:rFonts w:ascii="宋体" w:hAnsi="宋体"/>
          <w:color w:val="auto"/>
          <w:sz w:val="24"/>
          <w:highlight w:val="none"/>
        </w:rPr>
        <w:t>以及</w:t>
      </w:r>
      <w:r>
        <w:rPr>
          <w:rFonts w:hint="eastAsia" w:ascii="宋体" w:hAnsi="宋体"/>
          <w:color w:val="auto"/>
          <w:sz w:val="24"/>
          <w:highlight w:val="none"/>
        </w:rPr>
        <w:t>投标供应商</w:t>
      </w:r>
      <w:r>
        <w:rPr>
          <w:rFonts w:ascii="宋体" w:hAnsi="宋体"/>
          <w:color w:val="auto"/>
          <w:sz w:val="24"/>
          <w:highlight w:val="none"/>
        </w:rPr>
        <w:t>与</w:t>
      </w:r>
      <w:r>
        <w:rPr>
          <w:rFonts w:hint="eastAsia" w:ascii="宋体" w:hAnsi="宋体"/>
          <w:color w:val="auto"/>
          <w:sz w:val="24"/>
          <w:highlight w:val="none"/>
        </w:rPr>
        <w:t>采购组织机构</w:t>
      </w:r>
      <w:r>
        <w:rPr>
          <w:rFonts w:ascii="宋体" w:hAnsi="宋体"/>
          <w:color w:val="auto"/>
          <w:sz w:val="24"/>
          <w:highlight w:val="none"/>
        </w:rPr>
        <w:t>就有关</w:t>
      </w:r>
      <w:r>
        <w:rPr>
          <w:rFonts w:hint="eastAsia" w:ascii="宋体" w:hAnsi="宋体"/>
          <w:color w:val="auto"/>
          <w:sz w:val="24"/>
          <w:highlight w:val="none"/>
        </w:rPr>
        <w:t>招投标</w:t>
      </w:r>
      <w:r>
        <w:rPr>
          <w:rFonts w:ascii="宋体" w:hAnsi="宋体"/>
          <w:color w:val="auto"/>
          <w:sz w:val="24"/>
          <w:highlight w:val="none"/>
        </w:rPr>
        <w:t>事宜的所有来往函电，均应以中文汉语书写。除</w:t>
      </w:r>
      <w:r>
        <w:rPr>
          <w:rFonts w:hint="eastAsia" w:ascii="宋体" w:hAnsi="宋体"/>
          <w:color w:val="auto"/>
          <w:sz w:val="24"/>
          <w:highlight w:val="none"/>
        </w:rPr>
        <w:t>签字</w:t>
      </w:r>
      <w:r>
        <w:rPr>
          <w:rFonts w:ascii="宋体" w:hAnsi="宋体"/>
          <w:color w:val="auto"/>
          <w:sz w:val="24"/>
          <w:highlight w:val="none"/>
        </w:rPr>
        <w:t>、盖章、专用名称等特殊情形外，以中文汉语以外的文字表述的</w:t>
      </w:r>
      <w:r>
        <w:rPr>
          <w:rFonts w:hint="eastAsia" w:ascii="宋体" w:hAnsi="宋体"/>
          <w:color w:val="auto"/>
          <w:sz w:val="24"/>
          <w:highlight w:val="none"/>
        </w:rPr>
        <w:t>投标文件</w:t>
      </w:r>
      <w:r>
        <w:rPr>
          <w:rFonts w:ascii="宋体" w:hAnsi="宋体"/>
          <w:color w:val="auto"/>
          <w:sz w:val="24"/>
          <w:highlight w:val="none"/>
        </w:rPr>
        <w:t>视同未提供。</w:t>
      </w:r>
    </w:p>
    <w:p w14:paraId="3F9F8D4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）投标</w:t>
      </w:r>
      <w:r>
        <w:rPr>
          <w:rFonts w:ascii="宋体" w:hAnsi="宋体"/>
          <w:color w:val="auto"/>
          <w:sz w:val="24"/>
          <w:highlight w:val="none"/>
        </w:rPr>
        <w:t>计量单位，</w:t>
      </w:r>
      <w:r>
        <w:rPr>
          <w:rFonts w:hint="eastAsia" w:ascii="宋体" w:hAnsi="宋体"/>
          <w:bCs/>
          <w:color w:val="auto"/>
          <w:sz w:val="24"/>
          <w:highlight w:val="none"/>
        </w:rPr>
        <w:t>采购文件</w:t>
      </w:r>
      <w:r>
        <w:rPr>
          <w:rFonts w:ascii="宋体" w:hAnsi="宋体"/>
          <w:color w:val="auto"/>
          <w:sz w:val="24"/>
          <w:highlight w:val="none"/>
        </w:rPr>
        <w:t>已有明确规定的，使用</w:t>
      </w:r>
      <w:r>
        <w:rPr>
          <w:rFonts w:hint="eastAsia" w:ascii="宋体" w:hAnsi="宋体"/>
          <w:bCs/>
          <w:color w:val="auto"/>
          <w:sz w:val="24"/>
          <w:highlight w:val="none"/>
        </w:rPr>
        <w:t>采购文件</w:t>
      </w:r>
      <w:r>
        <w:rPr>
          <w:rFonts w:ascii="宋体" w:hAnsi="宋体"/>
          <w:color w:val="auto"/>
          <w:sz w:val="24"/>
          <w:highlight w:val="none"/>
        </w:rPr>
        <w:t>规定的计量单位；</w:t>
      </w:r>
      <w:r>
        <w:rPr>
          <w:rFonts w:hint="eastAsia" w:ascii="宋体" w:hAnsi="宋体"/>
          <w:bCs/>
          <w:color w:val="auto"/>
          <w:sz w:val="24"/>
          <w:highlight w:val="none"/>
        </w:rPr>
        <w:t>采购文件</w:t>
      </w:r>
      <w:r>
        <w:rPr>
          <w:rFonts w:ascii="宋体" w:hAnsi="宋体"/>
          <w:color w:val="auto"/>
          <w:sz w:val="24"/>
          <w:highlight w:val="none"/>
        </w:rPr>
        <w:t>没有规定的，应采用中华人民共和国法定计量单位（货币单位：人民币元），否则视同未响应。</w:t>
      </w:r>
    </w:p>
    <w:p w14:paraId="27ECB01D">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w:t>
      </w:r>
      <w:r>
        <w:rPr>
          <w:rFonts w:ascii="宋体" w:hAnsi="宋体"/>
          <w:color w:val="auto"/>
          <w:sz w:val="24"/>
          <w:highlight w:val="none"/>
        </w:rPr>
        <w:t>若</w:t>
      </w:r>
      <w:r>
        <w:rPr>
          <w:rFonts w:hint="eastAsia" w:ascii="宋体" w:hAnsi="宋体"/>
          <w:color w:val="auto"/>
          <w:sz w:val="24"/>
          <w:highlight w:val="none"/>
        </w:rPr>
        <w:t>投标供应商</w:t>
      </w:r>
      <w:r>
        <w:rPr>
          <w:rFonts w:ascii="宋体" w:hAnsi="宋体"/>
          <w:color w:val="auto"/>
          <w:sz w:val="24"/>
          <w:highlight w:val="none"/>
        </w:rPr>
        <w:t>不按采购文件的要求提供资格审查材料，其风险由</w:t>
      </w:r>
      <w:r>
        <w:rPr>
          <w:rFonts w:hint="eastAsia" w:ascii="宋体" w:hAnsi="宋体"/>
          <w:color w:val="auto"/>
          <w:sz w:val="24"/>
          <w:highlight w:val="none"/>
        </w:rPr>
        <w:t>投标供应商</w:t>
      </w:r>
      <w:r>
        <w:rPr>
          <w:rFonts w:ascii="宋体" w:hAnsi="宋体"/>
          <w:color w:val="auto"/>
          <w:sz w:val="24"/>
          <w:highlight w:val="none"/>
        </w:rPr>
        <w:t>自行承担。</w:t>
      </w:r>
    </w:p>
    <w:p w14:paraId="58A36523">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kern w:val="0"/>
          <w:sz w:val="24"/>
          <w:highlight w:val="none"/>
        </w:rPr>
        <w:t>（</w:t>
      </w:r>
      <w:r>
        <w:rPr>
          <w:rFonts w:ascii="宋体" w:hAnsi="宋体"/>
          <w:color w:val="auto"/>
          <w:kern w:val="0"/>
          <w:sz w:val="24"/>
          <w:highlight w:val="none"/>
        </w:rPr>
        <w:t>8</w:t>
      </w:r>
      <w:r>
        <w:rPr>
          <w:rFonts w:hint="eastAsia" w:ascii="宋体" w:hAnsi="宋体"/>
          <w:color w:val="auto"/>
          <w:kern w:val="0"/>
          <w:sz w:val="24"/>
          <w:highlight w:val="none"/>
        </w:rPr>
        <w:t>）</w:t>
      </w:r>
      <w:r>
        <w:rPr>
          <w:rFonts w:hint="eastAsia" w:ascii="宋体" w:hAnsi="宋体"/>
          <w:color w:val="auto"/>
          <w:sz w:val="24"/>
          <w:highlight w:val="none"/>
        </w:rPr>
        <w:t>与本次投标无关的内容请不要制作在内，确保投标文件有针对性、简洁明了。</w:t>
      </w:r>
    </w:p>
    <w:p w14:paraId="226E6E3C">
      <w:pPr>
        <w:autoSpaceDE w:val="0"/>
        <w:autoSpaceDN w:val="0"/>
        <w:adjustRightInd w:val="0"/>
        <w:spacing w:line="360" w:lineRule="auto"/>
        <w:ind w:firstLine="480"/>
        <w:rPr>
          <w:rFonts w:ascii="宋体" w:hAnsi="宋体"/>
          <w:color w:val="auto"/>
          <w:sz w:val="24"/>
          <w:highlight w:val="none"/>
        </w:rPr>
      </w:pPr>
      <w:r>
        <w:rPr>
          <w:rFonts w:hint="eastAsia" w:ascii="宋体" w:hAnsi="宋体"/>
          <w:b/>
          <w:bCs/>
          <w:color w:val="auto"/>
          <w:sz w:val="24"/>
          <w:highlight w:val="none"/>
        </w:rPr>
        <w:t>2.投标文件的签章</w:t>
      </w:r>
    </w:p>
    <w:p w14:paraId="0BCF275B">
      <w:pPr>
        <w:spacing w:line="360" w:lineRule="auto"/>
        <w:ind w:firstLine="460" w:firstLineChars="192"/>
        <w:rPr>
          <w:rFonts w:ascii="宋体" w:hAnsi="宋体" w:cs="Arial"/>
          <w:bCs/>
          <w:color w:val="auto"/>
          <w:kern w:val="0"/>
          <w:sz w:val="24"/>
          <w:highlight w:val="none"/>
        </w:rPr>
      </w:pPr>
      <w:r>
        <w:rPr>
          <w:rFonts w:hint="eastAsia" w:ascii="宋体" w:hAnsi="宋体" w:cs="Arial"/>
          <w:bCs/>
          <w:color w:val="auto"/>
          <w:kern w:val="0"/>
          <w:sz w:val="24"/>
          <w:highlight w:val="none"/>
        </w:rPr>
        <w:t>（1）《</w:t>
      </w:r>
      <w:r>
        <w:rPr>
          <w:rFonts w:ascii="宋体" w:hAnsi="宋体" w:cs="Arial"/>
          <w:bCs/>
          <w:color w:val="auto"/>
          <w:kern w:val="0"/>
          <w:sz w:val="24"/>
          <w:highlight w:val="none"/>
        </w:rPr>
        <w:t>投标文件</w:t>
      </w:r>
      <w:r>
        <w:rPr>
          <w:rFonts w:hint="eastAsia" w:ascii="宋体" w:hAnsi="宋体" w:cs="Arial"/>
          <w:bCs/>
          <w:color w:val="auto"/>
          <w:kern w:val="0"/>
          <w:sz w:val="24"/>
          <w:highlight w:val="none"/>
        </w:rPr>
        <w:t>》的签章：</w:t>
      </w:r>
      <w:r>
        <w:rPr>
          <w:rFonts w:hint="eastAsia" w:ascii="宋体" w:hAnsi="宋体"/>
          <w:bCs/>
          <w:color w:val="auto"/>
          <w:sz w:val="24"/>
          <w:highlight w:val="none"/>
        </w:rPr>
        <w:t>见《前附表》；</w:t>
      </w:r>
    </w:p>
    <w:p w14:paraId="3E78728B">
      <w:pPr>
        <w:spacing w:line="360" w:lineRule="auto"/>
        <w:ind w:firstLine="460" w:firstLineChars="192"/>
        <w:rPr>
          <w:rFonts w:ascii="宋体" w:hAnsi="宋体" w:cs="Arial"/>
          <w:bCs/>
          <w:color w:val="auto"/>
          <w:kern w:val="0"/>
          <w:sz w:val="24"/>
          <w:highlight w:val="none"/>
        </w:rPr>
      </w:pPr>
      <w:r>
        <w:rPr>
          <w:rFonts w:hint="eastAsia" w:ascii="宋体" w:hAnsi="宋体" w:cs="Arial"/>
          <w:bCs/>
          <w:color w:val="auto"/>
          <w:kern w:val="0"/>
          <w:sz w:val="24"/>
          <w:highlight w:val="none"/>
        </w:rPr>
        <w:t>（2） 《</w:t>
      </w:r>
      <w:r>
        <w:rPr>
          <w:rFonts w:ascii="宋体" w:hAnsi="宋体" w:cs="Arial"/>
          <w:bCs/>
          <w:color w:val="auto"/>
          <w:kern w:val="0"/>
          <w:sz w:val="24"/>
          <w:highlight w:val="none"/>
        </w:rPr>
        <w:t>投标文件</w:t>
      </w:r>
      <w:r>
        <w:rPr>
          <w:rFonts w:hint="eastAsia" w:ascii="宋体" w:hAnsi="宋体" w:cs="Arial"/>
          <w:bCs/>
          <w:color w:val="auto"/>
          <w:kern w:val="0"/>
          <w:sz w:val="24"/>
          <w:highlight w:val="none"/>
        </w:rPr>
        <w:t>》应由投标供应商法定代表人或其授权代表签字（或签章），并时加盖投标供应商公章。</w:t>
      </w:r>
    </w:p>
    <w:p w14:paraId="36FA4326">
      <w:pPr>
        <w:autoSpaceDE w:val="0"/>
        <w:autoSpaceDN w:val="0"/>
        <w:adjustRightInd w:val="0"/>
        <w:spacing w:line="360" w:lineRule="auto"/>
        <w:ind w:firstLine="480"/>
        <w:rPr>
          <w:rFonts w:ascii="宋体" w:hAnsi="宋体"/>
          <w:color w:val="auto"/>
          <w:kern w:val="0"/>
          <w:sz w:val="24"/>
          <w:highlight w:val="none"/>
          <w:lang w:val="zh-CN"/>
        </w:rPr>
      </w:pPr>
      <w:r>
        <w:rPr>
          <w:rFonts w:hint="eastAsia" w:ascii="宋体" w:hAnsi="宋体" w:cs="Arial"/>
          <w:bCs/>
          <w:color w:val="auto"/>
          <w:kern w:val="0"/>
          <w:sz w:val="24"/>
          <w:highlight w:val="none"/>
        </w:rPr>
        <w:t>（</w:t>
      </w:r>
      <w:r>
        <w:rPr>
          <w:rFonts w:ascii="宋体" w:hAnsi="宋体" w:cs="Arial"/>
          <w:bCs/>
          <w:color w:val="auto"/>
          <w:kern w:val="0"/>
          <w:sz w:val="24"/>
          <w:highlight w:val="none"/>
        </w:rPr>
        <w:t>3</w:t>
      </w:r>
      <w:r>
        <w:rPr>
          <w:rFonts w:hint="eastAsia" w:ascii="宋体" w:hAnsi="宋体" w:cs="Arial"/>
          <w:bCs/>
          <w:color w:val="auto"/>
          <w:kern w:val="0"/>
          <w:sz w:val="24"/>
          <w:highlight w:val="none"/>
        </w:rPr>
        <w:t>）电子签章操作指南详见</w:t>
      </w:r>
      <w:r>
        <w:rPr>
          <w:rFonts w:hint="eastAsia" w:ascii="宋体" w:hAnsi="宋体" w:cs="Arial"/>
          <w:bCs/>
          <w:color w:val="auto"/>
          <w:sz w:val="24"/>
          <w:highlight w:val="none"/>
        </w:rPr>
        <w:t>《供应商项目采购-电子招投标操作指南》。</w:t>
      </w:r>
    </w:p>
    <w:p w14:paraId="2C93CBCA">
      <w:pPr>
        <w:autoSpaceDE w:val="0"/>
        <w:autoSpaceDN w:val="0"/>
        <w:adjustRightInd w:val="0"/>
        <w:spacing w:line="360" w:lineRule="auto"/>
        <w:ind w:firstLine="480"/>
        <w:rPr>
          <w:rFonts w:ascii="宋体" w:hAnsi="宋体"/>
          <w:b/>
          <w:color w:val="auto"/>
          <w:kern w:val="0"/>
          <w:sz w:val="24"/>
          <w:highlight w:val="none"/>
        </w:rPr>
      </w:pPr>
      <w:r>
        <w:rPr>
          <w:rFonts w:hint="eastAsia" w:ascii="宋体" w:hAnsi="宋体"/>
          <w:b/>
          <w:color w:val="auto"/>
          <w:kern w:val="0"/>
          <w:sz w:val="24"/>
          <w:highlight w:val="none"/>
        </w:rPr>
        <w:t>3.投标文件的形式</w:t>
      </w:r>
    </w:p>
    <w:p w14:paraId="646D0B7A">
      <w:pPr>
        <w:spacing w:line="360" w:lineRule="auto"/>
        <w:ind w:firstLine="422" w:firstLineChars="176"/>
        <w:rPr>
          <w:rFonts w:ascii="宋体" w:hAnsi="宋体" w:cs="Arial"/>
          <w:bCs/>
          <w:color w:val="auto"/>
          <w:sz w:val="24"/>
          <w:highlight w:val="none"/>
        </w:rPr>
      </w:pPr>
      <w:r>
        <w:rPr>
          <w:rFonts w:hint="eastAsia" w:ascii="宋体" w:hAnsi="宋体" w:cs="Arial"/>
          <w:bCs/>
          <w:color w:val="auto"/>
          <w:sz w:val="24"/>
          <w:highlight w:val="none"/>
        </w:rPr>
        <w:t>（1）投标文件的形式：</w:t>
      </w:r>
      <w:r>
        <w:rPr>
          <w:rFonts w:hint="eastAsia" w:ascii="宋体" w:hAnsi="宋体"/>
          <w:bCs/>
          <w:color w:val="auto"/>
          <w:sz w:val="24"/>
          <w:highlight w:val="none"/>
        </w:rPr>
        <w:t>见《前附表》；</w:t>
      </w:r>
    </w:p>
    <w:p w14:paraId="5504CF9B">
      <w:pPr>
        <w:spacing w:line="360" w:lineRule="auto"/>
        <w:ind w:firstLine="422" w:firstLineChars="176"/>
        <w:rPr>
          <w:rFonts w:ascii="宋体" w:hAnsi="宋体" w:cs="Arial"/>
          <w:bCs/>
          <w:color w:val="auto"/>
          <w:sz w:val="24"/>
          <w:highlight w:val="none"/>
        </w:rPr>
      </w:pPr>
      <w:r>
        <w:rPr>
          <w:rFonts w:hint="eastAsia" w:ascii="宋体" w:hAnsi="宋体" w:cs="Arial"/>
          <w:bCs/>
          <w:color w:val="auto"/>
          <w:sz w:val="24"/>
          <w:highlight w:val="none"/>
        </w:rPr>
        <w:t>（2）“电子加密投标文件”：“电子加密投标文件”是指通过“政采云电子交易客户端”完成投标文件编制后生成并加密的数据电文形式的投标文件。</w:t>
      </w:r>
    </w:p>
    <w:p w14:paraId="50961883">
      <w:pPr>
        <w:autoSpaceDE w:val="0"/>
        <w:autoSpaceDN w:val="0"/>
        <w:adjustRightInd w:val="0"/>
        <w:spacing w:line="360" w:lineRule="auto"/>
        <w:ind w:firstLine="480"/>
        <w:rPr>
          <w:rFonts w:ascii="宋体" w:hAnsi="宋体" w:cs="Arial"/>
          <w:bCs/>
          <w:color w:val="auto"/>
          <w:sz w:val="24"/>
          <w:highlight w:val="none"/>
        </w:rPr>
      </w:pPr>
      <w:r>
        <w:rPr>
          <w:rFonts w:hint="eastAsia" w:ascii="宋体" w:hAnsi="宋体" w:cs="Arial"/>
          <w:bCs/>
          <w:color w:val="auto"/>
          <w:sz w:val="24"/>
          <w:highlight w:val="none"/>
        </w:rPr>
        <w:t>（3）“备份投标文件”：“备份投标文件”是指与“电子加密投标文件”同时生成的数据电文形式的电子文件（备份标书），其他方式编制的“备份投标文件”视为无效的“备份投标文件”。</w:t>
      </w:r>
    </w:p>
    <w:p w14:paraId="123792CF">
      <w:pPr>
        <w:autoSpaceDE w:val="0"/>
        <w:autoSpaceDN w:val="0"/>
        <w:adjustRightInd w:val="0"/>
        <w:spacing w:line="360" w:lineRule="auto"/>
        <w:ind w:firstLine="480"/>
        <w:rPr>
          <w:rFonts w:ascii="宋体" w:hAnsi="宋体"/>
          <w:b/>
          <w:color w:val="auto"/>
          <w:kern w:val="0"/>
          <w:sz w:val="24"/>
          <w:highlight w:val="none"/>
        </w:rPr>
      </w:pPr>
      <w:r>
        <w:rPr>
          <w:rFonts w:hint="eastAsia" w:ascii="宋体" w:hAnsi="宋体"/>
          <w:b/>
          <w:color w:val="auto"/>
          <w:kern w:val="0"/>
          <w:sz w:val="24"/>
          <w:highlight w:val="none"/>
        </w:rPr>
        <w:t>4.投标文件的份数</w:t>
      </w:r>
    </w:p>
    <w:p w14:paraId="0624C324">
      <w:pPr>
        <w:autoSpaceDE w:val="0"/>
        <w:autoSpaceDN w:val="0"/>
        <w:adjustRightInd w:val="0"/>
        <w:spacing w:line="360" w:lineRule="auto"/>
        <w:ind w:firstLine="480"/>
        <w:rPr>
          <w:rFonts w:ascii="宋体" w:hAnsi="宋体"/>
          <w:bCs/>
          <w:color w:val="auto"/>
          <w:kern w:val="0"/>
          <w:sz w:val="24"/>
          <w:highlight w:val="none"/>
        </w:rPr>
      </w:pPr>
      <w:r>
        <w:rPr>
          <w:rFonts w:hint="eastAsia" w:ascii="宋体" w:hAnsi="宋体"/>
          <w:bCs/>
          <w:color w:val="auto"/>
          <w:kern w:val="0"/>
          <w:sz w:val="24"/>
          <w:highlight w:val="none"/>
        </w:rPr>
        <w:t>（1）投标文件的份数：见《前附表》。</w:t>
      </w:r>
    </w:p>
    <w:p w14:paraId="4E4B282C">
      <w:pPr>
        <w:tabs>
          <w:tab w:val="left" w:pos="1898"/>
        </w:tabs>
        <w:autoSpaceDE w:val="0"/>
        <w:autoSpaceDN w:val="0"/>
        <w:adjustRightIn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5.投标文件的补充、修改和撤回。</w:t>
      </w:r>
    </w:p>
    <w:p w14:paraId="7BF17D55">
      <w:pPr>
        <w:tabs>
          <w:tab w:val="left" w:pos="960"/>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85DD14E">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宋体" w:hAnsi="宋体"/>
          <w:color w:val="auto"/>
          <w:kern w:val="0"/>
          <w:sz w:val="24"/>
          <w:highlight w:val="none"/>
        </w:rPr>
        <w:t>投标截止时间后，投标供应商不得撤回、修改《投标文件》。</w:t>
      </w:r>
    </w:p>
    <w:p w14:paraId="1E6244F9">
      <w:pPr>
        <w:tabs>
          <w:tab w:val="left" w:pos="189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（四）投标文件的有效期</w:t>
      </w:r>
    </w:p>
    <w:p w14:paraId="4DCF2626">
      <w:pPr>
        <w:pStyle w:val="15"/>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highlight w:val="none"/>
          <w:lang w:val="en-GB"/>
        </w:rPr>
      </w:pPr>
      <w:r>
        <w:rPr>
          <w:rFonts w:hint="eastAsia" w:ascii="宋体" w:hAnsi="宋体"/>
          <w:color w:val="auto"/>
          <w:sz w:val="24"/>
          <w:highlight w:val="none"/>
          <w:lang w:val="en-GB"/>
        </w:rPr>
        <w:t>自投标截止日起90天投标文件应保持有效。有效期不足的投标文件将被拒绝。</w:t>
      </w:r>
    </w:p>
    <w:p w14:paraId="5DF5B0F3">
      <w:pPr>
        <w:pStyle w:val="15"/>
        <w:tabs>
          <w:tab w:val="left" w:pos="454"/>
          <w:tab w:val="left" w:pos="720"/>
          <w:tab w:val="left" w:pos="1200"/>
        </w:tabs>
        <w:snapToGrid w:val="0"/>
        <w:spacing w:line="360" w:lineRule="auto"/>
        <w:ind w:left="0" w:firstLine="480" w:firstLineChars="200"/>
        <w:rPr>
          <w:rFonts w:ascii="宋体" w:hAnsi="宋体"/>
          <w:color w:val="auto"/>
          <w:sz w:val="24"/>
          <w:highlight w:val="none"/>
          <w:lang w:val="en-GB"/>
        </w:rPr>
      </w:pPr>
      <w:r>
        <w:rPr>
          <w:rFonts w:hint="eastAsia" w:ascii="宋体" w:hAnsi="宋体"/>
          <w:color w:val="auto"/>
          <w:sz w:val="24"/>
          <w:highlight w:val="none"/>
          <w:lang w:val="en-GB"/>
        </w:rPr>
        <w:t>在特殊情况下，采购人可与投标人协商延长投标文件的有效期，这种要求和答复均以书面形式进行。</w:t>
      </w:r>
    </w:p>
    <w:p w14:paraId="12F469D5">
      <w:pPr>
        <w:pStyle w:val="15"/>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color w:val="auto"/>
          <w:sz w:val="24"/>
          <w:highlight w:val="none"/>
        </w:rPr>
      </w:pPr>
      <w:r>
        <w:rPr>
          <w:rFonts w:hint="eastAsia" w:ascii="宋体" w:hAnsi="宋体"/>
          <w:color w:val="auto"/>
          <w:sz w:val="24"/>
          <w:highlight w:val="none"/>
        </w:rPr>
        <w:t>3.</w:t>
      </w:r>
      <w:r>
        <w:rPr>
          <w:rFonts w:asciiTheme="minorEastAsia" w:hAnsiTheme="minorEastAsia" w:eastAsiaTheme="minorEastAsia"/>
          <w:color w:val="auto"/>
          <w:sz w:val="24"/>
          <w:highlight w:val="none"/>
        </w:rPr>
        <w:t>中标人的投标文件自开标之日起至合同履行完毕均应保持有效。</w:t>
      </w:r>
    </w:p>
    <w:p w14:paraId="3799EC68">
      <w:pPr>
        <w:snapToGrid w:val="0"/>
        <w:spacing w:line="360" w:lineRule="auto"/>
        <w:jc w:val="left"/>
        <w:outlineLvl w:val="0"/>
        <w:rPr>
          <w:rFonts w:ascii="宋体" w:hAnsi="宋体"/>
          <w:b/>
          <w:color w:val="auto"/>
          <w:kern w:val="0"/>
          <w:sz w:val="24"/>
          <w:highlight w:val="none"/>
        </w:rPr>
      </w:pPr>
      <w:r>
        <w:rPr>
          <w:rFonts w:hint="eastAsia" w:ascii="宋体" w:hAnsi="宋体"/>
          <w:b/>
          <w:color w:val="auto"/>
          <w:kern w:val="0"/>
          <w:sz w:val="24"/>
          <w:highlight w:val="none"/>
        </w:rPr>
        <w:t>（五）投标文件的备选方案</w:t>
      </w:r>
    </w:p>
    <w:p w14:paraId="40A9C1D3">
      <w:pPr>
        <w:tabs>
          <w:tab w:val="left" w:pos="1418"/>
        </w:tabs>
        <w:autoSpaceDE w:val="0"/>
        <w:autoSpaceDN w:val="0"/>
        <w:adjustRightInd w:val="0"/>
        <w:spacing w:line="360" w:lineRule="auto"/>
        <w:ind w:firstLine="480" w:firstLineChars="200"/>
        <w:rPr>
          <w:rFonts w:ascii="宋体" w:hAnsi="宋体"/>
          <w:b/>
          <w:bCs/>
          <w:color w:val="auto"/>
          <w:kern w:val="0"/>
          <w:sz w:val="24"/>
          <w:highlight w:val="none"/>
        </w:rPr>
      </w:pPr>
      <w:r>
        <w:rPr>
          <w:rFonts w:hint="eastAsia" w:ascii="宋体" w:hAnsi="宋体"/>
          <w:color w:val="auto"/>
          <w:kern w:val="0"/>
          <w:sz w:val="24"/>
          <w:highlight w:val="none"/>
        </w:rPr>
        <w:t>1.投标供应商不得递交任何的投标备选（替代）方案，否则其投标文件将作无效标处理。</w:t>
      </w:r>
      <w:r>
        <w:rPr>
          <w:rFonts w:hint="eastAsia" w:ascii="宋体" w:hAnsi="宋体"/>
          <w:b/>
          <w:bCs/>
          <w:color w:val="auto"/>
          <w:kern w:val="0"/>
          <w:sz w:val="24"/>
          <w:highlight w:val="none"/>
        </w:rPr>
        <w:t>与“电子加密投标文件”同时生成的“备份投标文件”不是投标备选（替代）方案。</w:t>
      </w:r>
    </w:p>
    <w:p w14:paraId="03B30537">
      <w:pPr>
        <w:tabs>
          <w:tab w:val="left" w:pos="141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四、投标保证金</w:t>
      </w:r>
    </w:p>
    <w:p w14:paraId="435CDD44">
      <w:pPr>
        <w:tabs>
          <w:tab w:val="left" w:pos="1418"/>
        </w:tabs>
        <w:autoSpaceDE w:val="0"/>
        <w:autoSpaceDN w:val="0"/>
        <w:adjustRightInd w:val="0"/>
        <w:spacing w:line="360" w:lineRule="auto"/>
        <w:rPr>
          <w:rFonts w:ascii="宋体" w:hAnsi="宋体"/>
          <w:bCs/>
          <w:color w:val="auto"/>
          <w:sz w:val="24"/>
          <w:highlight w:val="none"/>
        </w:rPr>
      </w:pPr>
      <w:r>
        <w:rPr>
          <w:rFonts w:hint="eastAsia" w:asciiTheme="minorEastAsia" w:hAnsiTheme="minorEastAsia" w:eastAsiaTheme="minorEastAsia"/>
          <w:color w:val="auto"/>
          <w:kern w:val="0"/>
          <w:sz w:val="24"/>
          <w:highlight w:val="none"/>
        </w:rPr>
        <w:t>无</w:t>
      </w:r>
    </w:p>
    <w:p w14:paraId="1E215DE3">
      <w:pPr>
        <w:snapToGrid w:val="0"/>
        <w:spacing w:line="360" w:lineRule="auto"/>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14:paraId="7AF7376A">
      <w:pPr>
        <w:pStyle w:val="6"/>
        <w:spacing w:before="0" w:after="0" w:line="360" w:lineRule="auto"/>
        <w:ind w:left="720" w:hanging="720"/>
        <w:rPr>
          <w:rFonts w:ascii="宋体" w:hAnsi="宋体"/>
          <w:color w:val="auto"/>
          <w:sz w:val="24"/>
          <w:szCs w:val="24"/>
          <w:highlight w:val="none"/>
        </w:rPr>
      </w:pPr>
      <w:r>
        <w:rPr>
          <w:rFonts w:hint="eastAsia" w:ascii="宋体" w:hAnsi="宋体" w:cs="宋体"/>
          <w:color w:val="auto"/>
          <w:sz w:val="24"/>
          <w:szCs w:val="24"/>
          <w:highlight w:val="none"/>
        </w:rPr>
        <w:t>（一）</w:t>
      </w:r>
      <w:r>
        <w:rPr>
          <w:rFonts w:hint="eastAsia" w:ascii="宋体" w:hAnsi="宋体"/>
          <w:color w:val="auto"/>
          <w:sz w:val="24"/>
          <w:szCs w:val="24"/>
          <w:highlight w:val="none"/>
        </w:rPr>
        <w:t>开标</w:t>
      </w:r>
      <w:r>
        <w:rPr>
          <w:rFonts w:hint="eastAsia" w:ascii="宋体" w:hAnsi="宋体" w:cs="宋体"/>
          <w:color w:val="auto"/>
          <w:sz w:val="24"/>
          <w:szCs w:val="24"/>
          <w:highlight w:val="none"/>
        </w:rPr>
        <w:t>形式</w:t>
      </w:r>
    </w:p>
    <w:p w14:paraId="3A27A9AE">
      <w:pPr>
        <w:spacing w:line="360" w:lineRule="auto"/>
        <w:ind w:firstLine="426" w:firstLineChars="177"/>
        <w:rPr>
          <w:rFonts w:ascii="宋体" w:hAnsi="宋体"/>
          <w:b/>
          <w:color w:val="auto"/>
          <w:sz w:val="24"/>
          <w:highlight w:val="none"/>
        </w:rPr>
      </w:pPr>
      <w:r>
        <w:rPr>
          <w:rFonts w:hint="eastAsia" w:ascii="宋体" w:hAnsi="宋体"/>
          <w:b/>
          <w:color w:val="auto"/>
          <w:sz w:val="24"/>
          <w:highlight w:val="none"/>
        </w:rPr>
        <w:t>1.1 采购组织机构将按照招标文件规定的时间通过“政府采购云平台”组织开标、开启投标文件，所有供应商均应当准时在线参加。</w:t>
      </w:r>
    </w:p>
    <w:p w14:paraId="36D087A6">
      <w:pPr>
        <w:pStyle w:val="6"/>
        <w:spacing w:before="0" w:after="0" w:line="360" w:lineRule="auto"/>
        <w:ind w:left="720" w:hanging="720"/>
        <w:rPr>
          <w:rFonts w:ascii="宋体" w:hAnsi="宋体"/>
          <w:color w:val="auto"/>
          <w:sz w:val="24"/>
          <w:szCs w:val="24"/>
          <w:highlight w:val="none"/>
        </w:rPr>
      </w:pPr>
      <w:r>
        <w:rPr>
          <w:rFonts w:hint="eastAsia" w:ascii="宋体" w:hAnsi="宋体" w:cs="宋体"/>
          <w:color w:val="auto"/>
          <w:sz w:val="24"/>
          <w:szCs w:val="24"/>
          <w:highlight w:val="none"/>
        </w:rPr>
        <w:t>（二）</w:t>
      </w:r>
      <w:r>
        <w:rPr>
          <w:rFonts w:ascii="宋体" w:hAnsi="宋体"/>
          <w:color w:val="auto"/>
          <w:sz w:val="24"/>
          <w:szCs w:val="24"/>
          <w:highlight w:val="none"/>
        </w:rPr>
        <w:t>开标</w:t>
      </w:r>
      <w:r>
        <w:rPr>
          <w:rFonts w:hint="eastAsia" w:ascii="宋体" w:hAnsi="宋体"/>
          <w:color w:val="auto"/>
          <w:sz w:val="24"/>
          <w:szCs w:val="24"/>
          <w:highlight w:val="none"/>
        </w:rPr>
        <w:t>说明</w:t>
      </w:r>
    </w:p>
    <w:p w14:paraId="65D30088">
      <w:pPr>
        <w:spacing w:line="360" w:lineRule="auto"/>
        <w:ind w:firstLine="422" w:firstLineChars="176"/>
        <w:rPr>
          <w:rFonts w:ascii="宋体" w:hAnsi="宋体" w:cs="Arial"/>
          <w:color w:val="auto"/>
          <w:kern w:val="0"/>
          <w:sz w:val="24"/>
          <w:highlight w:val="none"/>
        </w:rPr>
      </w:pPr>
      <w:r>
        <w:rPr>
          <w:rFonts w:ascii="宋体" w:hAnsi="宋体" w:cs="Arial"/>
          <w:color w:val="auto"/>
          <w:kern w:val="0"/>
          <w:sz w:val="24"/>
          <w:highlight w:val="none"/>
        </w:rPr>
        <w:t>2</w:t>
      </w:r>
      <w:r>
        <w:rPr>
          <w:rFonts w:hint="eastAsia" w:ascii="宋体" w:hAnsi="宋体" w:cs="Arial"/>
          <w:color w:val="auto"/>
          <w:kern w:val="0"/>
          <w:sz w:val="24"/>
          <w:highlight w:val="none"/>
        </w:rPr>
        <w:t>.1开标的准备工作由采购组织机构负责落实；</w:t>
      </w:r>
    </w:p>
    <w:p w14:paraId="7D1511F3">
      <w:pPr>
        <w:spacing w:line="360" w:lineRule="auto"/>
        <w:ind w:firstLine="422" w:firstLineChars="176"/>
        <w:rPr>
          <w:rFonts w:ascii="宋体" w:hAnsi="宋体" w:cs="Arial"/>
          <w:color w:val="auto"/>
          <w:kern w:val="0"/>
          <w:sz w:val="24"/>
          <w:highlight w:val="none"/>
        </w:rPr>
      </w:pPr>
      <w:r>
        <w:rPr>
          <w:rFonts w:ascii="宋体" w:hAnsi="宋体" w:cs="Arial"/>
          <w:color w:val="auto"/>
          <w:kern w:val="0"/>
          <w:sz w:val="24"/>
          <w:highlight w:val="none"/>
        </w:rPr>
        <w:t>2</w:t>
      </w:r>
      <w:r>
        <w:rPr>
          <w:rFonts w:hint="eastAsia" w:ascii="宋体" w:hAnsi="宋体" w:cs="Arial"/>
          <w:color w:val="auto"/>
          <w:kern w:val="0"/>
          <w:sz w:val="24"/>
          <w:highlight w:val="none"/>
        </w:rPr>
        <w:t>.2</w:t>
      </w:r>
      <w:r>
        <w:rPr>
          <w:rFonts w:hint="eastAsia" w:ascii="宋体" w:hAnsi="宋体"/>
          <w:b/>
          <w:color w:val="auto"/>
          <w:sz w:val="24"/>
          <w:highlight w:val="none"/>
        </w:rPr>
        <w:t>采购组织机构将按照招标文件规定的时间通过“政府采购云平台”组织开标、开启投标文件，所有供应商均应当准时在线参加。</w:t>
      </w:r>
      <w:r>
        <w:rPr>
          <w:rFonts w:hint="eastAsia" w:ascii="宋体" w:hAnsi="宋体" w:cs="Arial"/>
          <w:b/>
          <w:color w:val="auto"/>
          <w:kern w:val="0"/>
          <w:sz w:val="24"/>
          <w:highlight w:val="none"/>
        </w:rPr>
        <w:t>投标供应商</w:t>
      </w:r>
      <w:r>
        <w:rPr>
          <w:rFonts w:ascii="宋体" w:hAnsi="宋体" w:cs="Arial"/>
          <w:b/>
          <w:color w:val="auto"/>
          <w:kern w:val="0"/>
          <w:sz w:val="24"/>
          <w:highlight w:val="none"/>
        </w:rPr>
        <w:t>如不</w:t>
      </w:r>
      <w:r>
        <w:rPr>
          <w:rFonts w:hint="eastAsia" w:ascii="宋体" w:hAnsi="宋体" w:cs="Arial"/>
          <w:b/>
          <w:color w:val="auto"/>
          <w:kern w:val="0"/>
          <w:sz w:val="24"/>
          <w:highlight w:val="none"/>
        </w:rPr>
        <w:t>参加</w:t>
      </w:r>
      <w:r>
        <w:rPr>
          <w:rFonts w:ascii="宋体" w:hAnsi="宋体" w:cs="Arial"/>
          <w:b/>
          <w:color w:val="auto"/>
          <w:kern w:val="0"/>
          <w:sz w:val="24"/>
          <w:highlight w:val="none"/>
        </w:rPr>
        <w:t>开标大会的，</w:t>
      </w:r>
      <w:r>
        <w:rPr>
          <w:rFonts w:hint="eastAsia" w:ascii="宋体" w:hAnsi="宋体" w:cs="Arial"/>
          <w:b/>
          <w:color w:val="auto"/>
          <w:kern w:val="0"/>
          <w:sz w:val="24"/>
          <w:highlight w:val="none"/>
        </w:rPr>
        <w:t>视同认可开标结果，</w:t>
      </w:r>
      <w:r>
        <w:rPr>
          <w:rFonts w:ascii="宋体" w:hAnsi="宋体" w:cs="Arial"/>
          <w:b/>
          <w:color w:val="auto"/>
          <w:kern w:val="0"/>
          <w:sz w:val="24"/>
          <w:highlight w:val="none"/>
        </w:rPr>
        <w:t>事后不得对采购相关人员、开标过程和开标结果提出异议</w:t>
      </w:r>
      <w:r>
        <w:rPr>
          <w:rFonts w:hint="eastAsia" w:ascii="宋体" w:hAnsi="宋体" w:cs="Arial"/>
          <w:b/>
          <w:color w:val="auto"/>
          <w:kern w:val="0"/>
          <w:sz w:val="24"/>
          <w:highlight w:val="none"/>
        </w:rPr>
        <w:t>，同时投标供应商因未在线参加开标而导致投标文件无法按时解密等一切后果由供应商自己承担。</w:t>
      </w:r>
    </w:p>
    <w:p w14:paraId="25F1F920">
      <w:pPr>
        <w:pStyle w:val="6"/>
        <w:spacing w:before="0" w:after="0" w:line="360" w:lineRule="auto"/>
        <w:ind w:left="720" w:hanging="720"/>
        <w:rPr>
          <w:rFonts w:ascii="宋体" w:hAnsi="宋体"/>
          <w:color w:val="auto"/>
          <w:sz w:val="24"/>
          <w:szCs w:val="24"/>
          <w:highlight w:val="none"/>
        </w:rPr>
      </w:pPr>
      <w:r>
        <w:rPr>
          <w:rFonts w:hint="eastAsia" w:ascii="宋体" w:hAnsi="宋体" w:cs="宋体"/>
          <w:color w:val="auto"/>
          <w:sz w:val="24"/>
          <w:szCs w:val="24"/>
          <w:highlight w:val="none"/>
        </w:rPr>
        <w:t>（三）</w:t>
      </w:r>
      <w:r>
        <w:rPr>
          <w:rFonts w:ascii="宋体" w:hAnsi="宋体"/>
          <w:color w:val="auto"/>
          <w:sz w:val="24"/>
          <w:szCs w:val="24"/>
          <w:highlight w:val="none"/>
        </w:rPr>
        <w:t>开标</w:t>
      </w:r>
      <w:r>
        <w:rPr>
          <w:rFonts w:hint="eastAsia" w:ascii="宋体" w:hAnsi="宋体"/>
          <w:color w:val="auto"/>
          <w:sz w:val="24"/>
          <w:szCs w:val="24"/>
          <w:highlight w:val="none"/>
        </w:rPr>
        <w:t>流程（两阶段）</w:t>
      </w:r>
    </w:p>
    <w:p w14:paraId="3BF8D38F">
      <w:pPr>
        <w:spacing w:line="360" w:lineRule="auto"/>
        <w:ind w:firstLine="426" w:firstLineChars="177"/>
        <w:jc w:val="left"/>
        <w:rPr>
          <w:rFonts w:ascii="宋体" w:hAnsi="宋体" w:cs="Arial"/>
          <w:b/>
          <w:color w:val="auto"/>
          <w:kern w:val="0"/>
          <w:sz w:val="24"/>
          <w:highlight w:val="none"/>
        </w:rPr>
      </w:pPr>
      <w:r>
        <w:rPr>
          <w:rFonts w:hint="eastAsia" w:ascii="宋体" w:hAnsi="宋体" w:cs="Arial"/>
          <w:b/>
          <w:color w:val="auto"/>
          <w:kern w:val="0"/>
          <w:sz w:val="24"/>
          <w:highlight w:val="none"/>
        </w:rPr>
        <w:t>3.1开标第一阶段</w:t>
      </w:r>
    </w:p>
    <w:p w14:paraId="4EA62E73">
      <w:pP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1</w:t>
      </w:r>
      <w:r>
        <w:rPr>
          <w:rFonts w:hint="eastAsia" w:ascii="宋体" w:hAnsi="宋体" w:cs="Arial"/>
          <w:color w:val="auto"/>
          <w:kern w:val="0"/>
          <w:sz w:val="24"/>
          <w:highlight w:val="none"/>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5672A2F8">
      <w:pP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2</w:t>
      </w:r>
      <w:r>
        <w:rPr>
          <w:rFonts w:hint="eastAsia" w:ascii="宋体" w:hAnsi="宋体" w:cs="Arial"/>
          <w:color w:val="auto"/>
          <w:kern w:val="0"/>
          <w:sz w:val="24"/>
          <w:highlight w:val="none"/>
        </w:rPr>
        <w:t>）投标文件解密结束，通过邮件形式发送各投标人组织签署《政府采购活动现场确认声明书》；</w:t>
      </w:r>
    </w:p>
    <w:p w14:paraId="5D026728">
      <w:pPr>
        <w:spacing w:line="360" w:lineRule="auto"/>
        <w:ind w:firstLine="424" w:firstLineChars="177"/>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3</w:t>
      </w:r>
      <w:r>
        <w:rPr>
          <w:rFonts w:hint="eastAsia" w:ascii="宋体" w:hAnsi="宋体" w:cs="Arial"/>
          <w:color w:val="auto"/>
          <w:kern w:val="0"/>
          <w:sz w:val="24"/>
          <w:highlight w:val="none"/>
        </w:rPr>
        <w:t>）开启投标文件，</w:t>
      </w:r>
      <w:r>
        <w:rPr>
          <w:rFonts w:hint="eastAsia" w:ascii="宋体" w:hAnsi="宋体" w:cs="Arial"/>
          <w:b/>
          <w:color w:val="auto"/>
          <w:kern w:val="0"/>
          <w:sz w:val="24"/>
          <w:highlight w:val="none"/>
        </w:rPr>
        <w:t>依法对投标供应商的资格进行审查</w:t>
      </w:r>
      <w:r>
        <w:rPr>
          <w:rFonts w:hint="eastAsia" w:ascii="宋体" w:hAnsi="宋体" w:cs="Arial"/>
          <w:color w:val="auto"/>
          <w:kern w:val="0"/>
          <w:sz w:val="24"/>
          <w:highlight w:val="none"/>
        </w:rPr>
        <w:t>；</w:t>
      </w:r>
      <w:r>
        <w:rPr>
          <w:rFonts w:ascii="宋体" w:hAnsi="宋体"/>
          <w:color w:val="auto"/>
          <w:sz w:val="24"/>
          <w:highlight w:val="none"/>
        </w:rPr>
        <w:t>如发现投标</w:t>
      </w:r>
      <w:r>
        <w:rPr>
          <w:rFonts w:hint="eastAsia" w:ascii="宋体" w:hAnsi="宋体"/>
          <w:color w:val="auto"/>
          <w:sz w:val="24"/>
          <w:highlight w:val="none"/>
        </w:rPr>
        <w:t>供应商</w:t>
      </w:r>
      <w:r>
        <w:rPr>
          <w:rFonts w:ascii="宋体" w:hAnsi="宋体"/>
          <w:color w:val="auto"/>
          <w:sz w:val="24"/>
          <w:highlight w:val="none"/>
        </w:rPr>
        <w:t>所提</w:t>
      </w:r>
      <w:r>
        <w:rPr>
          <w:rFonts w:hint="eastAsia" w:ascii="宋体" w:hAnsi="宋体"/>
          <w:color w:val="auto"/>
          <w:sz w:val="24"/>
          <w:highlight w:val="none"/>
        </w:rPr>
        <w:t>交</w:t>
      </w:r>
      <w:r>
        <w:rPr>
          <w:rFonts w:ascii="宋体" w:hAnsi="宋体"/>
          <w:color w:val="auto"/>
          <w:sz w:val="24"/>
          <w:highlight w:val="none"/>
        </w:rPr>
        <w:t>的资格证明材料不合法或</w:t>
      </w:r>
      <w:r>
        <w:rPr>
          <w:rFonts w:hint="eastAsia" w:ascii="宋体" w:hAnsi="宋体"/>
          <w:color w:val="auto"/>
          <w:sz w:val="24"/>
          <w:highlight w:val="none"/>
        </w:rPr>
        <w:t>与事实不符</w:t>
      </w:r>
      <w:r>
        <w:rPr>
          <w:rFonts w:ascii="宋体" w:hAnsi="宋体"/>
          <w:color w:val="auto"/>
          <w:sz w:val="24"/>
          <w:highlight w:val="none"/>
        </w:rPr>
        <w:t>，采购人可取消</w:t>
      </w:r>
      <w:r>
        <w:rPr>
          <w:rFonts w:hint="eastAsia" w:ascii="宋体" w:hAnsi="宋体"/>
          <w:color w:val="auto"/>
          <w:sz w:val="24"/>
          <w:highlight w:val="none"/>
        </w:rPr>
        <w:t>其</w:t>
      </w:r>
      <w:r>
        <w:rPr>
          <w:rFonts w:ascii="宋体" w:hAnsi="宋体"/>
          <w:color w:val="auto"/>
          <w:sz w:val="24"/>
          <w:highlight w:val="none"/>
        </w:rPr>
        <w:t>中标资格并追究投标</w:t>
      </w:r>
      <w:r>
        <w:rPr>
          <w:rFonts w:hint="eastAsia" w:ascii="宋体" w:hAnsi="宋体"/>
          <w:color w:val="auto"/>
          <w:sz w:val="24"/>
          <w:highlight w:val="none"/>
        </w:rPr>
        <w:t>供应商</w:t>
      </w:r>
      <w:r>
        <w:rPr>
          <w:rFonts w:ascii="宋体" w:hAnsi="宋体"/>
          <w:color w:val="auto"/>
          <w:sz w:val="24"/>
          <w:highlight w:val="none"/>
        </w:rPr>
        <w:t>的法律责任。</w:t>
      </w:r>
      <w:r>
        <w:rPr>
          <w:rFonts w:hint="eastAsia" w:ascii="宋体" w:hAnsi="宋体"/>
          <w:b/>
          <w:color w:val="auto"/>
          <w:sz w:val="24"/>
          <w:highlight w:val="none"/>
        </w:rPr>
        <w:t>如投标供应商提交的资格证明材料无法证明其符合招标文件规定的“投标供应商资格要求”的，则其</w:t>
      </w:r>
      <w:r>
        <w:rPr>
          <w:rFonts w:hint="eastAsia" w:ascii="宋体" w:hAnsi="宋体" w:cs="Arial"/>
          <w:b/>
          <w:color w:val="auto"/>
          <w:kern w:val="0"/>
          <w:sz w:val="24"/>
          <w:highlight w:val="none"/>
        </w:rPr>
        <w:t>资格审查不通过，按无效投标处理，并不进行后续评审。</w:t>
      </w:r>
    </w:p>
    <w:p w14:paraId="2C4B6458">
      <w:pP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4</w:t>
      </w:r>
      <w:r>
        <w:rPr>
          <w:rFonts w:hint="eastAsia" w:ascii="宋体" w:hAnsi="宋体" w:cs="Arial"/>
          <w:color w:val="auto"/>
          <w:kern w:val="0"/>
          <w:sz w:val="24"/>
          <w:highlight w:val="none"/>
        </w:rPr>
        <w:t>）资格审查通过的投标供应商，由</w:t>
      </w:r>
      <w:r>
        <w:rPr>
          <w:rFonts w:ascii="宋体" w:hAnsi="宋体" w:cs="Arial"/>
          <w:color w:val="auto"/>
          <w:kern w:val="0"/>
          <w:sz w:val="24"/>
          <w:highlight w:val="none"/>
        </w:rPr>
        <w:t>评标委员会对</w:t>
      </w:r>
      <w:r>
        <w:rPr>
          <w:rFonts w:hint="eastAsia" w:ascii="宋体" w:hAnsi="宋体" w:cs="Arial"/>
          <w:color w:val="auto"/>
          <w:kern w:val="0"/>
          <w:sz w:val="24"/>
          <w:highlight w:val="none"/>
        </w:rPr>
        <w:t>其商务与技术文件的符合性审查、商务技术评审；</w:t>
      </w:r>
    </w:p>
    <w:p w14:paraId="59CF9E91">
      <w:pP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5</w:t>
      </w:r>
      <w:r>
        <w:rPr>
          <w:rFonts w:hint="eastAsia" w:ascii="宋体" w:hAnsi="宋体" w:cs="Arial"/>
          <w:color w:val="auto"/>
          <w:kern w:val="0"/>
          <w:sz w:val="24"/>
          <w:highlight w:val="none"/>
        </w:rPr>
        <w:t>）第一阶段开标结束。</w:t>
      </w:r>
    </w:p>
    <w:p w14:paraId="10D08F36">
      <w:pPr>
        <w:spacing w:line="360" w:lineRule="auto"/>
        <w:ind w:firstLine="426" w:firstLineChars="177"/>
        <w:jc w:val="left"/>
        <w:rPr>
          <w:rFonts w:ascii="宋体" w:hAnsi="宋体" w:cs="Arial"/>
          <w:b/>
          <w:color w:val="auto"/>
          <w:kern w:val="0"/>
          <w:sz w:val="24"/>
          <w:highlight w:val="none"/>
        </w:rPr>
      </w:pPr>
      <w:r>
        <w:rPr>
          <w:rFonts w:hint="eastAsia" w:ascii="宋体" w:hAnsi="宋体" w:cs="Arial"/>
          <w:b/>
          <w:color w:val="auto"/>
          <w:kern w:val="0"/>
          <w:sz w:val="24"/>
          <w:highlight w:val="none"/>
        </w:rPr>
        <w:t>3.2开标大会第二阶段</w:t>
      </w:r>
    </w:p>
    <w:p w14:paraId="7B5E1127">
      <w:pP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（1）首先公布符合性审查、商务技术评审无效供应商名称及理由</w:t>
      </w:r>
      <w:r>
        <w:rPr>
          <w:rFonts w:ascii="宋体" w:hAnsi="宋体" w:cs="Arial"/>
          <w:color w:val="auto"/>
          <w:kern w:val="0"/>
          <w:sz w:val="24"/>
          <w:highlight w:val="none"/>
        </w:rPr>
        <w:t>；公布经商务技术评审</w:t>
      </w:r>
      <w:r>
        <w:rPr>
          <w:rFonts w:hint="eastAsia" w:ascii="宋体" w:hAnsi="宋体" w:cs="Arial"/>
          <w:color w:val="auto"/>
          <w:kern w:val="0"/>
          <w:sz w:val="24"/>
          <w:highlight w:val="none"/>
        </w:rPr>
        <w:t>后有效投标</w:t>
      </w:r>
      <w:r>
        <w:rPr>
          <w:rFonts w:ascii="宋体" w:hAnsi="宋体" w:cs="Arial"/>
          <w:color w:val="auto"/>
          <w:kern w:val="0"/>
          <w:sz w:val="24"/>
          <w:highlight w:val="none"/>
        </w:rPr>
        <w:t>供应商</w:t>
      </w:r>
      <w:r>
        <w:rPr>
          <w:rFonts w:hint="eastAsia" w:ascii="宋体" w:hAnsi="宋体" w:cs="Arial"/>
          <w:color w:val="auto"/>
          <w:kern w:val="0"/>
          <w:sz w:val="24"/>
          <w:highlight w:val="none"/>
        </w:rPr>
        <w:t>的</w:t>
      </w:r>
      <w:r>
        <w:rPr>
          <w:rFonts w:ascii="宋体" w:hAnsi="宋体" w:cs="Arial"/>
          <w:color w:val="auto"/>
          <w:kern w:val="0"/>
          <w:sz w:val="24"/>
          <w:highlight w:val="none"/>
        </w:rPr>
        <w:t>名单，同时公布</w:t>
      </w:r>
      <w:r>
        <w:rPr>
          <w:rFonts w:hint="eastAsia" w:ascii="宋体" w:hAnsi="宋体" w:cs="Arial"/>
          <w:color w:val="auto"/>
          <w:kern w:val="0"/>
          <w:sz w:val="24"/>
          <w:highlight w:val="none"/>
        </w:rPr>
        <w:t>其</w:t>
      </w:r>
      <w:r>
        <w:rPr>
          <w:rFonts w:ascii="宋体" w:hAnsi="宋体" w:cs="Arial"/>
          <w:color w:val="auto"/>
          <w:kern w:val="0"/>
          <w:sz w:val="24"/>
          <w:highlight w:val="none"/>
        </w:rPr>
        <w:t>商务技术</w:t>
      </w:r>
      <w:r>
        <w:rPr>
          <w:rFonts w:hint="eastAsia" w:ascii="宋体" w:hAnsi="宋体" w:cs="Arial"/>
          <w:color w:val="auto"/>
          <w:kern w:val="0"/>
          <w:sz w:val="24"/>
          <w:highlight w:val="none"/>
        </w:rPr>
        <w:t>部分</w:t>
      </w:r>
      <w:r>
        <w:rPr>
          <w:rFonts w:ascii="宋体" w:hAnsi="宋体" w:cs="Arial"/>
          <w:color w:val="auto"/>
          <w:kern w:val="0"/>
          <w:sz w:val="24"/>
          <w:highlight w:val="none"/>
        </w:rPr>
        <w:t>得分情况</w:t>
      </w:r>
      <w:r>
        <w:rPr>
          <w:rFonts w:hint="eastAsia" w:ascii="宋体" w:hAnsi="宋体" w:cs="Arial"/>
          <w:color w:val="auto"/>
          <w:kern w:val="0"/>
          <w:sz w:val="24"/>
          <w:highlight w:val="none"/>
        </w:rPr>
        <w:t>。</w:t>
      </w:r>
    </w:p>
    <w:p w14:paraId="6F207BD9">
      <w:pP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（2）开启有效投标供应商的《报价文件》，供应商通过</w:t>
      </w:r>
      <w:r>
        <w:rPr>
          <w:rFonts w:ascii="宋体" w:hAnsi="宋体" w:cs="Arial"/>
          <w:color w:val="auto"/>
          <w:kern w:val="0"/>
          <w:sz w:val="24"/>
          <w:highlight w:val="none"/>
        </w:rPr>
        <w:t>政采云平台</w:t>
      </w:r>
      <w:r>
        <w:rPr>
          <w:rFonts w:hint="eastAsia" w:ascii="宋体" w:hAnsi="宋体" w:cs="Arial"/>
          <w:color w:val="auto"/>
          <w:kern w:val="0"/>
          <w:sz w:val="24"/>
          <w:highlight w:val="none"/>
        </w:rPr>
        <w:t>对</w:t>
      </w:r>
      <w:r>
        <w:rPr>
          <w:rFonts w:ascii="宋体" w:hAnsi="宋体" w:cs="Arial"/>
          <w:color w:val="auto"/>
          <w:kern w:val="0"/>
          <w:sz w:val="24"/>
          <w:highlight w:val="none"/>
        </w:rPr>
        <w:t>报价进行签字确认（不予确认的应说明理由，否则视为无异议）。唱标结束后，由评标委员会对报价的合理性、准确性等进行审查核实</w:t>
      </w:r>
      <w:r>
        <w:rPr>
          <w:rFonts w:hint="eastAsia" w:ascii="宋体" w:hAnsi="宋体" w:cs="Arial"/>
          <w:color w:val="auto"/>
          <w:kern w:val="0"/>
          <w:sz w:val="24"/>
          <w:highlight w:val="none"/>
        </w:rPr>
        <w:t>。</w:t>
      </w:r>
    </w:p>
    <w:p w14:paraId="5363B920">
      <w:pP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（3）评审结束后，公布中标（成交）候选供应商名单，及采购人最终确定中标或成交供应商名单的时间和公告方式等。</w:t>
      </w:r>
    </w:p>
    <w:p w14:paraId="086DE94A">
      <w:pPr>
        <w:autoSpaceDE w:val="0"/>
        <w:autoSpaceDN w:val="0"/>
        <w:adjustRightInd w:val="0"/>
        <w:spacing w:line="360" w:lineRule="auto"/>
        <w:rPr>
          <w:rFonts w:asciiTheme="minorEastAsia" w:hAnsiTheme="minorEastAsia" w:eastAsiaTheme="minorEastAsia"/>
          <w:color w:val="auto"/>
          <w:sz w:val="24"/>
          <w:highlight w:val="none"/>
        </w:rPr>
      </w:pPr>
      <w:r>
        <w:rPr>
          <w:rFonts w:hint="eastAsia" w:ascii="宋体" w:hAnsi="宋体" w:cs="Arial"/>
          <w:b/>
          <w:color w:val="auto"/>
          <w:kern w:val="0"/>
          <w:sz w:val="24"/>
          <w:highlight w:val="none"/>
        </w:rPr>
        <w:t>特别说明：如遇“政府采购云平台”电子化开标或评审程序调整的，按调整后程序执行。</w:t>
      </w:r>
    </w:p>
    <w:p w14:paraId="72ED18ED">
      <w:pPr>
        <w:pStyle w:val="22"/>
        <w:snapToGrid w:val="0"/>
        <w:spacing w:line="360" w:lineRule="auto"/>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六、评标</w:t>
      </w:r>
    </w:p>
    <w:p w14:paraId="7C8ABC20">
      <w:pPr>
        <w:pStyle w:val="22"/>
        <w:snapToGrid w:val="0"/>
        <w:spacing w:line="360" w:lineRule="auto"/>
        <w:ind w:left="720" w:leftChars="228" w:hanging="241" w:hangingChars="1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（一）组建评标委员会</w:t>
      </w:r>
    </w:p>
    <w:p w14:paraId="2656169A">
      <w:pPr>
        <w:pStyle w:val="22"/>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本项目评标委员会由政府采购评审专家</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采购人</w:t>
      </w:r>
      <w:r>
        <w:rPr>
          <w:rFonts w:hint="eastAsia" w:asciiTheme="minorEastAsia" w:hAnsiTheme="minorEastAsia" w:eastAsiaTheme="minorEastAsia"/>
          <w:color w:val="auto"/>
          <w:sz w:val="24"/>
          <w:highlight w:val="none"/>
        </w:rPr>
        <w:t>评审代表共5人</w:t>
      </w:r>
      <w:r>
        <w:rPr>
          <w:rFonts w:asciiTheme="minorEastAsia" w:hAnsiTheme="minorEastAsia" w:eastAsiaTheme="minorEastAsia"/>
          <w:color w:val="auto"/>
          <w:sz w:val="24"/>
          <w:highlight w:val="none"/>
        </w:rPr>
        <w:t>组成</w:t>
      </w:r>
      <w:r>
        <w:rPr>
          <w:rFonts w:hint="eastAsia" w:asciiTheme="minorEastAsia" w:hAnsiTheme="minorEastAsia" w:eastAsiaTheme="minorEastAsia"/>
          <w:color w:val="auto"/>
          <w:sz w:val="24"/>
          <w:highlight w:val="none"/>
        </w:rPr>
        <w:t>，其中，其中评审专家不少于成员总数的三分之二</w:t>
      </w:r>
      <w:r>
        <w:rPr>
          <w:rFonts w:asciiTheme="minorEastAsia" w:hAnsiTheme="minorEastAsia" w:eastAsiaTheme="minorEastAsia"/>
          <w:color w:val="auto"/>
          <w:sz w:val="24"/>
          <w:highlight w:val="none"/>
        </w:rPr>
        <w:t>。</w:t>
      </w:r>
    </w:p>
    <w:p w14:paraId="042B0F63">
      <w:pPr>
        <w:pStyle w:val="22"/>
        <w:snapToGrid w:val="0"/>
        <w:spacing w:line="360" w:lineRule="auto"/>
        <w:ind w:left="720" w:leftChars="228" w:hanging="241" w:hangingChars="1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w:t>
      </w:r>
      <w:r>
        <w:rPr>
          <w:rFonts w:asciiTheme="minorEastAsia" w:hAnsiTheme="minorEastAsia" w:eastAsiaTheme="minorEastAsia"/>
          <w:b/>
          <w:bCs/>
          <w:color w:val="auto"/>
          <w:sz w:val="24"/>
          <w:highlight w:val="none"/>
        </w:rPr>
        <w:t>评标程序</w:t>
      </w:r>
    </w:p>
    <w:p w14:paraId="6540DC55">
      <w:pPr>
        <w:snapToGrid w:val="0"/>
        <w:spacing w:line="360" w:lineRule="auto"/>
        <w:ind w:firstLine="472" w:firstLineChars="196"/>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1.资格</w:t>
      </w:r>
      <w:r>
        <w:rPr>
          <w:rFonts w:asciiTheme="minorEastAsia" w:hAnsiTheme="minorEastAsia" w:eastAsiaTheme="minorEastAsia"/>
          <w:b/>
          <w:bCs/>
          <w:color w:val="auto"/>
          <w:sz w:val="24"/>
          <w:highlight w:val="none"/>
        </w:rPr>
        <w:t>审查</w:t>
      </w:r>
    </w:p>
    <w:p w14:paraId="24031958">
      <w:pPr>
        <w:pStyle w:val="32"/>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公开招标采购项目开标结束后，采购人或者采购组织机构应当依法对投标人的资格进行审查，对审查发现无效的进行必要的询标，结束后公布无效投标的投标人名单、投标无效的原因。</w:t>
      </w:r>
    </w:p>
    <w:p w14:paraId="593F0F35">
      <w:pPr>
        <w:pStyle w:val="32"/>
        <w:spacing w:before="0" w:beforeAutospacing="0" w:after="0" w:afterAutospacing="0" w:line="360" w:lineRule="auto"/>
        <w:ind w:firstLine="472" w:firstLineChars="196"/>
        <w:jc w:val="both"/>
        <w:rPr>
          <w:rFonts w:hint="default" w:asciiTheme="minorEastAsia" w:hAnsiTheme="minorEastAsia" w:eastAsiaTheme="minorEastAsia"/>
          <w:b/>
          <w:bCs/>
          <w:color w:val="auto"/>
          <w:highlight w:val="none"/>
        </w:rPr>
      </w:pPr>
      <w:r>
        <w:rPr>
          <w:rFonts w:asciiTheme="minorEastAsia" w:hAnsiTheme="minorEastAsia" w:eastAsiaTheme="minorEastAsia"/>
          <w:b/>
          <w:bCs/>
          <w:color w:val="auto"/>
          <w:highlight w:val="none"/>
        </w:rPr>
        <w:t>2.符合性审查</w:t>
      </w:r>
    </w:p>
    <w:p w14:paraId="3293032B">
      <w:pPr>
        <w:pStyle w:val="32"/>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36E2C5E7">
      <w:pPr>
        <w:pStyle w:val="32"/>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3.</w:t>
      </w:r>
      <w:r>
        <w:rPr>
          <w:rFonts w:hint="default" w:ascii="Arial" w:hAnsi="Arial" w:cs="Arial"/>
          <w:b/>
          <w:bCs/>
          <w:color w:val="auto"/>
          <w:highlight w:val="none"/>
        </w:rPr>
        <w:t>综合比较与评价</w:t>
      </w:r>
    </w:p>
    <w:p w14:paraId="480988BB">
      <w:pPr>
        <w:pStyle w:val="32"/>
        <w:spacing w:before="0" w:beforeAutospacing="0" w:after="0" w:afterAutospacing="0" w:line="360" w:lineRule="auto"/>
        <w:ind w:firstLine="360" w:firstLineChars="1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（1）对于投标文件中含义不明确、同类问题表述不一致或者有明显文字和计算错误的内容，评标委员会应当以书面形式要求投标人作出必要的澄清、说明或者补正。</w:t>
      </w:r>
    </w:p>
    <w:p w14:paraId="3827B215">
      <w:pPr>
        <w:pStyle w:val="32"/>
        <w:spacing w:before="0" w:beforeAutospacing="0" w:after="0" w:afterAutospacing="0" w:line="360" w:lineRule="auto"/>
        <w:ind w:firstLine="360" w:firstLineChars="1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（2）评标委员会应当按照招标文件中规定的评标方法和标准，对符合性审查合格的投标文件进行商务和技术评估，综合比较与评价。</w:t>
      </w:r>
    </w:p>
    <w:p w14:paraId="143CAC79">
      <w:pPr>
        <w:snapToGrid w:val="0"/>
        <w:spacing w:line="360" w:lineRule="auto"/>
        <w:ind w:firstLine="360" w:firstLineChars="1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（3）评标时，评标委员会各成员应当独立对每个投标人的投标文件进行评价，并汇总每个投标人的得分。</w:t>
      </w:r>
    </w:p>
    <w:p w14:paraId="57E28F41">
      <w:pPr>
        <w:numPr>
          <w:ilvl w:val="255"/>
          <w:numId w:val="0"/>
        </w:numPr>
        <w:snapToGrid w:val="0"/>
        <w:spacing w:line="360" w:lineRule="auto"/>
        <w:ind w:firstLine="482"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4.得分确认及评审报告编写</w:t>
      </w:r>
    </w:p>
    <w:p w14:paraId="297B6742">
      <w:pPr>
        <w:pStyle w:val="22"/>
        <w:snapToGrid w:val="0"/>
        <w:spacing w:line="360" w:lineRule="auto"/>
        <w:ind w:firstLine="420" w:firstLineChars="17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评标委员会对报价文件进行复核，对于系统计算出的价格分及总得分进行确认；</w:t>
      </w:r>
    </w:p>
    <w:p w14:paraId="61E7365A">
      <w:pPr>
        <w:pStyle w:val="32"/>
        <w:spacing w:before="0" w:beforeAutospacing="0" w:after="0" w:afterAutospacing="0" w:line="360" w:lineRule="auto"/>
        <w:ind w:firstLine="420" w:firstLineChars="175"/>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（2）评标委员会应当按照招标文件中规定的评标方法和标准，对符合性审查合格的投标文件进行商务和技术评估，综合比较与评价。</w:t>
      </w:r>
    </w:p>
    <w:p w14:paraId="259CBB2A">
      <w:pPr>
        <w:snapToGrid w:val="0"/>
        <w:spacing w:line="360" w:lineRule="auto"/>
        <w:ind w:firstLine="480" w:firstLineChars="200"/>
        <w:rPr>
          <w:rFonts w:ascii="Arial" w:hAnsi="Arial" w:cs="Arial"/>
          <w:b/>
          <w:bCs/>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rPr>
        <w:t>评标委员会</w:t>
      </w:r>
      <w:r>
        <w:rPr>
          <w:rFonts w:asciiTheme="minorEastAsia" w:hAnsiTheme="minorEastAsia" w:eastAsiaTheme="minorEastAsia"/>
          <w:color w:val="auto"/>
          <w:sz w:val="24"/>
          <w:highlight w:val="none"/>
        </w:rPr>
        <w:t>按评标原则</w:t>
      </w:r>
      <w:r>
        <w:rPr>
          <w:rFonts w:hint="eastAsia" w:asciiTheme="minorEastAsia" w:hAnsiTheme="minorEastAsia" w:eastAsiaTheme="minorEastAsia"/>
          <w:color w:val="auto"/>
          <w:sz w:val="24"/>
          <w:highlight w:val="none"/>
        </w:rPr>
        <w:t>及得分情况编写评审报告。</w:t>
      </w:r>
    </w:p>
    <w:p w14:paraId="40F11900">
      <w:pPr>
        <w:numPr>
          <w:ilvl w:val="255"/>
          <w:numId w:val="0"/>
        </w:num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5.评价</w:t>
      </w:r>
    </w:p>
    <w:p w14:paraId="0A3AAA6A">
      <w:pPr>
        <w:snapToGrid w:val="0"/>
        <w:spacing w:line="360" w:lineRule="auto"/>
        <w:ind w:firstLine="480"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color w:val="auto"/>
          <w:sz w:val="24"/>
          <w:highlight w:val="none"/>
        </w:rPr>
        <w:t>采购组织机构对评标委员会评审专家进行评价。</w:t>
      </w:r>
    </w:p>
    <w:p w14:paraId="4112EEBD">
      <w:p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b/>
          <w:color w:val="auto"/>
          <w:sz w:val="24"/>
          <w:highlight w:val="none"/>
        </w:rPr>
        <w:t>（三）澄清问题的形式</w:t>
      </w:r>
    </w:p>
    <w:p w14:paraId="7D4EFE5A">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color w:val="auto"/>
          <w:sz w:val="24"/>
          <w:highlight w:val="none"/>
        </w:rPr>
        <w:t>投标人的澄清、说明或者补正应当采用书面形式，并加盖公章，或者由法定代理人或其授权的代表签字，并不得超出投标文件的范围或者改变投标文件的实质性内容。</w:t>
      </w:r>
    </w:p>
    <w:p w14:paraId="7D9EB1B4">
      <w:pPr>
        <w:pStyle w:val="22"/>
        <w:snapToGrid w:val="0"/>
        <w:spacing w:line="360" w:lineRule="auto"/>
        <w:ind w:left="720" w:leftChars="228" w:hanging="241" w:hangingChars="1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（四）错误修正</w:t>
      </w:r>
    </w:p>
    <w:p w14:paraId="5A5B5EC5">
      <w:pPr>
        <w:pStyle w:val="32"/>
        <w:spacing w:before="0" w:beforeAutospacing="0" w:after="0" w:afterAutospacing="0" w:line="360" w:lineRule="auto"/>
        <w:ind w:firstLine="360" w:firstLineChars="150"/>
        <w:jc w:val="both"/>
        <w:textAlignment w:val="baseline"/>
        <w:rPr>
          <w:rFonts w:hint="default" w:cs="宋体"/>
          <w:color w:val="auto"/>
          <w:highlight w:val="none"/>
        </w:rPr>
      </w:pPr>
      <w:r>
        <w:rPr>
          <w:rFonts w:cs="宋体"/>
          <w:color w:val="auto"/>
          <w:highlight w:val="none"/>
        </w:rPr>
        <w:t>投标文件如果出现计算或表达上的错误，修正错误的原则如下：</w:t>
      </w:r>
    </w:p>
    <w:p w14:paraId="6A7E1F8B">
      <w:pPr>
        <w:pStyle w:val="32"/>
        <w:spacing w:before="0" w:beforeAutospacing="0" w:after="0" w:afterAutospacing="0" w:line="360" w:lineRule="auto"/>
        <w:ind w:firstLine="360" w:firstLineChars="150"/>
        <w:jc w:val="both"/>
        <w:textAlignment w:val="baseline"/>
        <w:rPr>
          <w:rFonts w:hint="default" w:cs="宋体"/>
          <w:color w:val="auto"/>
          <w:highlight w:val="none"/>
        </w:rPr>
      </w:pPr>
      <w:r>
        <w:rPr>
          <w:rFonts w:cs="宋体"/>
          <w:color w:val="auto"/>
          <w:highlight w:val="none"/>
        </w:rPr>
        <w:t>1.投标文件的大写金额和小写金额不一致的，以大写金额为准（大写金额明显错误的除外）；</w:t>
      </w:r>
    </w:p>
    <w:p w14:paraId="5C5AD1DB">
      <w:pPr>
        <w:pStyle w:val="32"/>
        <w:spacing w:before="0" w:beforeAutospacing="0" w:after="0" w:afterAutospacing="0" w:line="360" w:lineRule="auto"/>
        <w:ind w:firstLine="360" w:firstLineChars="150"/>
        <w:jc w:val="both"/>
        <w:textAlignment w:val="baseline"/>
        <w:rPr>
          <w:rFonts w:hint="default" w:cs="宋体"/>
          <w:color w:val="auto"/>
          <w:highlight w:val="none"/>
        </w:rPr>
      </w:pPr>
      <w:r>
        <w:rPr>
          <w:rFonts w:cs="宋体"/>
          <w:color w:val="auto"/>
          <w:highlight w:val="none"/>
        </w:rPr>
        <w:t>2.对不同文字文本投标文件的解释发生异议的，以中文文本为准。</w:t>
      </w:r>
    </w:p>
    <w:p w14:paraId="59BEB874">
      <w:pPr>
        <w:pStyle w:val="32"/>
        <w:spacing w:before="0" w:beforeAutospacing="0" w:after="0" w:afterAutospacing="0" w:line="360" w:lineRule="auto"/>
        <w:ind w:firstLine="360" w:firstLineChars="150"/>
        <w:jc w:val="both"/>
        <w:textAlignment w:val="baseline"/>
        <w:rPr>
          <w:rFonts w:hint="default" w:cs="宋体"/>
          <w:color w:val="auto"/>
          <w:highlight w:val="none"/>
        </w:rPr>
      </w:pPr>
      <w:r>
        <w:rPr>
          <w:rFonts w:cs="宋体"/>
          <w:color w:val="auto"/>
          <w:highlight w:val="none"/>
        </w:rPr>
        <w:t>3.电子投标客户端填报的报价与报价要求响应文件中的开标一览表报价不一致的，以开标一览表为准，修正投标客户端报价。若投标客户端报价无法修正的，以投标客户端的开标一览表中的为准，调整开标一览表报价与报价明细清单，在规定时间内上传至投标客户端中需要澄清处；</w:t>
      </w:r>
    </w:p>
    <w:p w14:paraId="055A2E93">
      <w:pPr>
        <w:pStyle w:val="32"/>
        <w:spacing w:before="0" w:beforeAutospacing="0" w:after="0" w:afterAutospacing="0" w:line="360" w:lineRule="auto"/>
        <w:ind w:firstLine="360" w:firstLineChars="150"/>
        <w:jc w:val="both"/>
        <w:textAlignment w:val="baseline"/>
        <w:rPr>
          <w:rFonts w:hint="default" w:cs="宋体"/>
          <w:color w:val="auto"/>
          <w:highlight w:val="none"/>
        </w:rPr>
      </w:pPr>
      <w:r>
        <w:rPr>
          <w:rFonts w:cs="宋体"/>
          <w:color w:val="auto"/>
          <w:highlight w:val="none"/>
        </w:rPr>
        <w:t>4.总价金额与按单价汇总金额不一致的，以单价金额计算结果为准；</w:t>
      </w:r>
    </w:p>
    <w:p w14:paraId="40CA9AB9">
      <w:pPr>
        <w:pStyle w:val="32"/>
        <w:spacing w:before="0" w:beforeAutospacing="0" w:after="0" w:afterAutospacing="0" w:line="360" w:lineRule="auto"/>
        <w:ind w:firstLine="360" w:firstLineChars="150"/>
        <w:jc w:val="both"/>
        <w:textAlignment w:val="baseline"/>
        <w:rPr>
          <w:rFonts w:hint="default" w:cs="宋体"/>
          <w:color w:val="auto"/>
          <w:highlight w:val="none"/>
        </w:rPr>
      </w:pPr>
      <w:r>
        <w:rPr>
          <w:rFonts w:cs="宋体"/>
          <w:color w:val="auto"/>
          <w:highlight w:val="none"/>
        </w:rPr>
        <w:t>5.投标报价清单中的合计价和合计汇总不一致的，以合计价为准，修正合计汇总价；</w:t>
      </w:r>
    </w:p>
    <w:p w14:paraId="0E1194D6">
      <w:pPr>
        <w:pStyle w:val="32"/>
        <w:spacing w:before="0" w:beforeAutospacing="0" w:after="0" w:afterAutospacing="0" w:line="360" w:lineRule="auto"/>
        <w:ind w:firstLine="360" w:firstLineChars="150"/>
        <w:jc w:val="both"/>
        <w:textAlignment w:val="baseline"/>
        <w:rPr>
          <w:rFonts w:hint="default" w:cs="宋体"/>
          <w:color w:val="auto"/>
          <w:highlight w:val="none"/>
        </w:rPr>
      </w:pPr>
      <w:r>
        <w:rPr>
          <w:rFonts w:cs="宋体"/>
          <w:color w:val="auto"/>
          <w:highlight w:val="none"/>
        </w:rPr>
        <w:t>6.开标一览表与报价明细表的合计价格不一致的，以开标一览表为准，修正报价明细表；</w:t>
      </w:r>
    </w:p>
    <w:p w14:paraId="21164700">
      <w:pPr>
        <w:pStyle w:val="32"/>
        <w:spacing w:before="0" w:beforeAutospacing="0" w:after="0" w:afterAutospacing="0" w:line="360" w:lineRule="auto"/>
        <w:ind w:firstLine="360" w:firstLineChars="150"/>
        <w:jc w:val="both"/>
        <w:rPr>
          <w:rStyle w:val="43"/>
          <w:rFonts w:hint="default" w:cs="宋体"/>
          <w:color w:val="auto"/>
          <w:sz w:val="20"/>
          <w:highlight w:val="none"/>
        </w:rPr>
      </w:pPr>
      <w:r>
        <w:rPr>
          <w:rFonts w:cs="宋体"/>
          <w:color w:val="auto"/>
          <w:highlight w:val="none"/>
        </w:rPr>
        <w:t>按上述修正错误的原则及方法调整或修正投标文件的投标报价，投标人同意并签字确认后，在规定时间内上传至投标客户端中需要澄清处，</w:t>
      </w:r>
      <w:r>
        <w:rPr>
          <w:color w:val="auto"/>
          <w:highlight w:val="none"/>
        </w:rPr>
        <w:fldChar w:fldCharType="begin"/>
      </w:r>
      <w:r>
        <w:rPr>
          <w:color w:val="auto"/>
          <w:highlight w:val="none"/>
        </w:rPr>
        <w:instrText xml:space="preserve"> HYPERLINK "mailto:1530866146@qq.com。调整后的投标报价对投标人具有约束作用。如果投标人不接受修正后的报价，则其投标将作为无效投标处理。" </w:instrText>
      </w:r>
      <w:r>
        <w:rPr>
          <w:color w:val="auto"/>
          <w:highlight w:val="none"/>
        </w:rPr>
        <w:fldChar w:fldCharType="separate"/>
      </w:r>
      <w:r>
        <w:rPr>
          <w:rStyle w:val="43"/>
          <w:rFonts w:cs="宋体"/>
          <w:color w:val="auto"/>
          <w:highlight w:val="none"/>
        </w:rPr>
        <w:t>调整后的投标报价对投标人具有约束作用。如果投标人不接受修正后的报价，则其投标将作为无效投标处理。</w:t>
      </w:r>
      <w:r>
        <w:rPr>
          <w:rStyle w:val="43"/>
          <w:rFonts w:cs="宋体"/>
          <w:color w:val="auto"/>
          <w:highlight w:val="none"/>
        </w:rPr>
        <w:fldChar w:fldCharType="end"/>
      </w:r>
    </w:p>
    <w:p w14:paraId="290CFAB5">
      <w:pPr>
        <w:pStyle w:val="32"/>
        <w:spacing w:before="0" w:beforeAutospacing="0" w:after="0" w:afterAutospacing="0" w:line="360" w:lineRule="auto"/>
        <w:ind w:firstLine="361" w:firstLineChars="150"/>
        <w:jc w:val="both"/>
        <w:rPr>
          <w:rFonts w:hint="default" w:asciiTheme="minorEastAsia" w:hAnsiTheme="minorEastAsia" w:eastAsiaTheme="minorEastAsia"/>
          <w:b/>
          <w:color w:val="auto"/>
          <w:highlight w:val="none"/>
        </w:rPr>
      </w:pPr>
      <w:r>
        <w:rPr>
          <w:rFonts w:asciiTheme="minorEastAsia" w:hAnsiTheme="minorEastAsia" w:eastAsiaTheme="minorEastAsia"/>
          <w:b/>
          <w:bCs/>
          <w:color w:val="auto"/>
          <w:highlight w:val="none"/>
        </w:rPr>
        <w:t>（五）</w:t>
      </w:r>
      <w:r>
        <w:rPr>
          <w:rFonts w:asciiTheme="minorEastAsia" w:hAnsiTheme="minorEastAsia" w:eastAsiaTheme="minorEastAsia"/>
          <w:b/>
          <w:color w:val="auto"/>
          <w:highlight w:val="none"/>
        </w:rPr>
        <w:t>投标人存在下列情况之一的，投标无效</w:t>
      </w:r>
    </w:p>
    <w:p w14:paraId="5ED8B410">
      <w:pPr>
        <w:pStyle w:val="3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b/>
          <w:bCs/>
          <w:color w:val="auto"/>
          <w:highlight w:val="none"/>
        </w:rPr>
      </w:pPr>
      <w:r>
        <w:rPr>
          <w:rFonts w:asciiTheme="minorEastAsia" w:hAnsiTheme="minorEastAsia" w:eastAsiaTheme="minorEastAsia"/>
          <w:color w:val="auto"/>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3CBBBFBD">
      <w:pPr>
        <w:pStyle w:val="32"/>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2.不具备招标文件中规定的资格要求的。</w:t>
      </w:r>
      <w:r>
        <w:rPr>
          <w:rFonts w:hint="default" w:asciiTheme="minorEastAsia" w:hAnsiTheme="minorEastAsia" w:eastAsiaTheme="minorEastAsia"/>
          <w:color w:val="auto"/>
          <w:highlight w:val="none"/>
        </w:rPr>
        <w:tab/>
      </w:r>
    </w:p>
    <w:p w14:paraId="641FFB25">
      <w:pPr>
        <w:pStyle w:val="32"/>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3.投标文件含有采购人不能接受的附加条件的。</w:t>
      </w:r>
    </w:p>
    <w:p w14:paraId="4DD4D5AA">
      <w:pPr>
        <w:adjustRightInd w:val="0"/>
        <w:snapToGrid w:val="0"/>
        <w:spacing w:line="360" w:lineRule="auto"/>
        <w:ind w:firstLine="470" w:firstLineChars="196"/>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4.</w:t>
      </w:r>
      <w:r>
        <w:rPr>
          <w:rFonts w:hint="eastAsia" w:asciiTheme="minorEastAsia" w:hAnsiTheme="minorEastAsia" w:eastAsiaTheme="minorEastAsia"/>
          <w:color w:val="auto"/>
          <w:sz w:val="24"/>
          <w:highlight w:val="none"/>
        </w:rPr>
        <w:t>投标代表人未能出具身份证明或与法定代表人授权委托人身份不符的；</w:t>
      </w:r>
    </w:p>
    <w:p w14:paraId="4DF4093C">
      <w:pPr>
        <w:pStyle w:val="3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F66B26">
      <w:pPr>
        <w:pStyle w:val="3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6.报价超过招标文件中规定的预算金额/最高限价。 </w:t>
      </w:r>
    </w:p>
    <w:p w14:paraId="3075FCE5">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7.投标参数未如实填写，完全复制粘贴招标参数的。</w:t>
      </w:r>
    </w:p>
    <w:p w14:paraId="746F74CD">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8.投标文件提供虚假材料的。 </w:t>
      </w:r>
    </w:p>
    <w:p w14:paraId="7B98EDF0">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9.</w:t>
      </w:r>
      <w:r>
        <w:rPr>
          <w:rFonts w:asciiTheme="minorEastAsia" w:hAnsiTheme="minorEastAsia" w:eastAsiaTheme="minorEastAsia"/>
          <w:color w:val="auto"/>
          <w:kern w:val="0"/>
          <w:sz w:val="24"/>
          <w:highlight w:val="none"/>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14:paraId="22D88717">
      <w:pPr>
        <w:pStyle w:val="32"/>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（1）不同投标人的投标文件由同一单位或者个人编制；</w:t>
      </w:r>
    </w:p>
    <w:p w14:paraId="676FF128">
      <w:pPr>
        <w:pStyle w:val="32"/>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（2）不同投标人委托同一单位或者个人办理投标事宜；</w:t>
      </w:r>
    </w:p>
    <w:p w14:paraId="0F1F3A88">
      <w:pPr>
        <w:pStyle w:val="32"/>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（3）不同投标人的投标文件载明的项目管理成员或者联系人员为同一人；</w:t>
      </w:r>
    </w:p>
    <w:p w14:paraId="0981EBDB">
      <w:pPr>
        <w:pStyle w:val="32"/>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（4）不同投标人的投标文件异常一致或者投标报价呈规律性差异；</w:t>
      </w:r>
    </w:p>
    <w:p w14:paraId="1D8C276B">
      <w:pPr>
        <w:pStyle w:val="32"/>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（5）不同投标人的投标文件相互混装；</w:t>
      </w:r>
    </w:p>
    <w:p w14:paraId="2E16D7C8">
      <w:pPr>
        <w:pStyle w:val="32"/>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10.不符合法律、法规和招标文件中规定的其他实质性要求的（招标文件</w:t>
      </w:r>
    </w:p>
    <w:p w14:paraId="75DC8E60">
      <w:pPr>
        <w:tabs>
          <w:tab w:val="right" w:pos="8306"/>
        </w:tabs>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中打“▲”内容及被拒绝的条款）。</w:t>
      </w:r>
    </w:p>
    <w:p w14:paraId="530DA24B">
      <w:pPr>
        <w:tabs>
          <w:tab w:val="right" w:pos="8306"/>
        </w:tabs>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11.仅提交“备份投标文件”或电子投标文件未按时完成解密，又未提供备份电子投标文件的。</w:t>
      </w:r>
    </w:p>
    <w:p w14:paraId="7EBA2618">
      <w:pPr>
        <w:autoSpaceDE w:val="0"/>
        <w:autoSpaceDN w:val="0"/>
        <w:adjustRightInd w:val="0"/>
        <w:spacing w:line="360" w:lineRule="auto"/>
        <w:ind w:left="480"/>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kern w:val="0"/>
          <w:sz w:val="24"/>
          <w:highlight w:val="none"/>
        </w:rPr>
        <w:t>（六）有下列情况之一的，本次招标作为废标处理</w:t>
      </w:r>
    </w:p>
    <w:p w14:paraId="3FBF80A0">
      <w:pPr>
        <w:pStyle w:val="32"/>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1.出现影响采购公正的违法、违规行为的；</w:t>
      </w:r>
    </w:p>
    <w:p w14:paraId="222018D3">
      <w:pPr>
        <w:pStyle w:val="32"/>
        <w:spacing w:before="0" w:beforeAutospacing="0" w:after="0" w:afterAutospacing="0" w:line="360" w:lineRule="auto"/>
        <w:ind w:firstLine="600" w:firstLineChars="250"/>
        <w:jc w:val="both"/>
        <w:rPr>
          <w:rFonts w:hint="default" w:asciiTheme="minorEastAsia" w:hAnsiTheme="minorEastAsia" w:eastAsiaTheme="minorEastAsia"/>
          <w:b/>
          <w:bCs/>
          <w:color w:val="auto"/>
          <w:highlight w:val="none"/>
        </w:rPr>
      </w:pPr>
      <w:r>
        <w:rPr>
          <w:rFonts w:asciiTheme="minorEastAsia" w:hAnsiTheme="minorEastAsia" w:eastAsiaTheme="minorEastAsia"/>
          <w:color w:val="auto"/>
          <w:highlight w:val="none"/>
        </w:rPr>
        <w:t xml:space="preserve">2.评标委员会发现招标文件存在歧义、重大缺陷导致评标工作无法进行，或者招标文件内容违反国家有关强制性规定的； </w:t>
      </w:r>
    </w:p>
    <w:p w14:paraId="405415E3">
      <w:pPr>
        <w:pStyle w:val="32"/>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3.因重大变故，采购任务取消的；</w:t>
      </w:r>
    </w:p>
    <w:p w14:paraId="01352CBA">
      <w:pPr>
        <w:pStyle w:val="32"/>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4.法律、法规和招标文件规定的其他导致评标结果无效的。</w:t>
      </w:r>
    </w:p>
    <w:p w14:paraId="60F58288">
      <w:pPr>
        <w:pStyle w:val="32"/>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color w:val="auto"/>
          <w:highlight w:val="none"/>
        </w:rPr>
        <w:t>5.因电子交易平台故障无法登录、无法正常操作等导致平台无法正常运行，或者无法保证电子交易的公平、公正和安全时，采购组织机构可中止电子交易活动。</w:t>
      </w:r>
    </w:p>
    <w:p w14:paraId="5922C4CC">
      <w:pPr>
        <w:pStyle w:val="22"/>
        <w:tabs>
          <w:tab w:val="left" w:pos="630"/>
        </w:tabs>
        <w:snapToGrid w:val="0"/>
        <w:spacing w:line="360" w:lineRule="auto"/>
        <w:ind w:firstLine="472" w:firstLineChars="196"/>
        <w:rPr>
          <w:rFonts w:asciiTheme="minorEastAsia" w:hAnsiTheme="minorEastAsia" w:eastAsiaTheme="minorEastAsia"/>
          <w:b/>
          <w:color w:val="auto"/>
          <w:sz w:val="24"/>
          <w:highlight w:val="none"/>
        </w:rPr>
      </w:pPr>
    </w:p>
    <w:p w14:paraId="56B884EE">
      <w:pPr>
        <w:pStyle w:val="22"/>
        <w:tabs>
          <w:tab w:val="left" w:pos="630"/>
        </w:tabs>
        <w:snapToGrid w:val="0"/>
        <w:spacing w:line="360" w:lineRule="auto"/>
        <w:ind w:firstLine="472" w:firstLineChars="196"/>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）评标原则和评标办法</w:t>
      </w:r>
    </w:p>
    <w:p w14:paraId="0447BB20">
      <w:pPr>
        <w:pStyle w:val="22"/>
        <w:snapToGrid w:val="0"/>
        <w:spacing w:line="360" w:lineRule="auto"/>
        <w:ind w:firstLine="600" w:firstLineChars="2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A71B3AA">
      <w:pPr>
        <w:pStyle w:val="22"/>
        <w:snapToGrid w:val="0"/>
        <w:spacing w:line="360" w:lineRule="auto"/>
        <w:ind w:firstLine="600" w:firstLineChars="2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评标办法。具体评标内容及评分标准等详见《第</w:t>
      </w:r>
      <w:r>
        <w:rPr>
          <w:rFonts w:hint="eastAsia" w:asciiTheme="minorEastAsia" w:hAnsiTheme="minorEastAsia" w:eastAsiaTheme="minorEastAsia"/>
          <w:color w:val="auto"/>
          <w:sz w:val="24"/>
          <w:highlight w:val="none"/>
        </w:rPr>
        <w:t>三章</w:t>
      </w:r>
      <w:r>
        <w:rPr>
          <w:rFonts w:asciiTheme="minorEastAsia" w:hAnsiTheme="minorEastAsia" w:eastAsiaTheme="minorEastAsia"/>
          <w:color w:val="auto"/>
          <w:sz w:val="24"/>
          <w:highlight w:val="none"/>
        </w:rPr>
        <w:t>：评标</w:t>
      </w:r>
      <w:r>
        <w:rPr>
          <w:rFonts w:hint="eastAsia" w:asciiTheme="minorEastAsia" w:hAnsiTheme="minorEastAsia" w:eastAsiaTheme="minorEastAsia"/>
          <w:color w:val="auto"/>
          <w:sz w:val="24"/>
          <w:highlight w:val="none"/>
        </w:rPr>
        <w:t>办</w:t>
      </w:r>
      <w:r>
        <w:rPr>
          <w:rFonts w:asciiTheme="minorEastAsia" w:hAnsiTheme="minorEastAsia" w:eastAsiaTheme="minorEastAsia"/>
          <w:color w:val="auto"/>
          <w:sz w:val="24"/>
          <w:highlight w:val="none"/>
        </w:rPr>
        <w:t>法及评分标准》。</w:t>
      </w:r>
    </w:p>
    <w:p w14:paraId="1F28DEE6">
      <w:pPr>
        <w:pStyle w:val="22"/>
        <w:snapToGrid w:val="0"/>
        <w:spacing w:line="360" w:lineRule="auto"/>
        <w:ind w:firstLine="472" w:firstLineChars="196"/>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八</w:t>
      </w:r>
      <w:r>
        <w:rPr>
          <w:rFonts w:asciiTheme="minorEastAsia" w:hAnsiTheme="minorEastAsia" w:eastAsiaTheme="minorEastAsia"/>
          <w:b/>
          <w:color w:val="auto"/>
          <w:sz w:val="24"/>
          <w:highlight w:val="none"/>
        </w:rPr>
        <w:t>）评标过程的监控</w:t>
      </w:r>
    </w:p>
    <w:p w14:paraId="306FF70E">
      <w:pPr>
        <w:pStyle w:val="32"/>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本项目评标过程实行全程录音、录像监控，政府采购监管部门视情进行现场监督，投标人在评标过程中所进行的试图影响评标结果的不公正活动，可能导致其投标被拒绝。</w:t>
      </w:r>
    </w:p>
    <w:p w14:paraId="74B9365B">
      <w:pPr>
        <w:pStyle w:val="32"/>
        <w:spacing w:before="0" w:beforeAutospacing="0" w:after="0" w:afterAutospacing="0" w:line="360" w:lineRule="auto"/>
        <w:ind w:firstLine="361" w:firstLineChars="15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七、定标</w:t>
      </w:r>
    </w:p>
    <w:p w14:paraId="46B49313">
      <w:pPr>
        <w:pStyle w:val="32"/>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w:t>
      </w:r>
      <w:r>
        <w:rPr>
          <w:color w:val="auto"/>
          <w:highlight w:val="none"/>
        </w:rPr>
        <w:t>确定中标供应商。</w:t>
      </w:r>
      <w:r>
        <w:rPr>
          <w:rFonts w:asciiTheme="minorEastAsia" w:hAnsiTheme="minorEastAsia" w:eastAsiaTheme="minorEastAsia"/>
          <w:color w:val="auto"/>
          <w:highlight w:val="none"/>
        </w:rPr>
        <w:t>评标委员会根据采购人的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46ACF9B7">
      <w:pPr>
        <w:spacing w:line="360" w:lineRule="auto"/>
        <w:ind w:firstLine="480" w:firstLineChars="200"/>
        <w:rPr>
          <w:rFonts w:ascii="宋体" w:hAnsi="宋体"/>
          <w:color w:val="auto"/>
          <w:kern w:val="0"/>
          <w:sz w:val="24"/>
          <w:highlight w:val="none"/>
        </w:rPr>
      </w:pPr>
      <w:r>
        <w:rPr>
          <w:rFonts w:hint="eastAsia" w:asciiTheme="minorEastAsia" w:hAnsiTheme="minorEastAsia" w:eastAsiaTheme="minorEastAsia"/>
          <w:color w:val="auto"/>
          <w:sz w:val="24"/>
          <w:highlight w:val="none"/>
        </w:rPr>
        <w:t>2.</w:t>
      </w: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结果公告。采购组织机构应当自中标人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在省级以上财政部门指定的媒体及相关网站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中标结果，招标文件应当随中标结果同时公告。</w:t>
      </w:r>
    </w:p>
    <w:p w14:paraId="24A686B9">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3.发出中标通知书。采购组织机构在发布中标结果的同时，向中标人发出中标通知书。</w:t>
      </w:r>
    </w:p>
    <w:p w14:paraId="05B87635">
      <w:pPr>
        <w:spacing w:line="360" w:lineRule="auto"/>
        <w:ind w:firstLine="482" w:firstLineChars="200"/>
        <w:rPr>
          <w:rFonts w:ascii="宋体" w:hAnsi="宋体"/>
          <w:color w:val="auto"/>
          <w:kern w:val="0"/>
          <w:sz w:val="24"/>
          <w:highlight w:val="none"/>
        </w:rPr>
      </w:pPr>
      <w:r>
        <w:rPr>
          <w:rFonts w:asciiTheme="minorEastAsia" w:hAnsiTheme="minorEastAsia" w:eastAsiaTheme="minorEastAsia"/>
          <w:b/>
          <w:color w:val="auto"/>
          <w:sz w:val="24"/>
          <w:highlight w:val="none"/>
        </w:rPr>
        <w:t>八、</w:t>
      </w:r>
      <w:r>
        <w:rPr>
          <w:rFonts w:hint="eastAsia" w:ascii="宋体" w:hAnsi="宋体"/>
          <w:b/>
          <w:color w:val="auto"/>
          <w:kern w:val="0"/>
          <w:sz w:val="24"/>
          <w:highlight w:val="none"/>
        </w:rPr>
        <w:t>合同签订及公告</w:t>
      </w:r>
    </w:p>
    <w:p w14:paraId="42D7283A">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14:paraId="550C77FC">
      <w:pPr>
        <w:pStyle w:val="32"/>
        <w:spacing w:before="0" w:beforeAutospacing="0" w:after="0" w:afterAutospacing="0" w:line="360" w:lineRule="auto"/>
        <w:ind w:firstLine="600" w:firstLineChars="250"/>
        <w:jc w:val="both"/>
        <w:rPr>
          <w:rFonts w:hint="default"/>
          <w:color w:val="auto"/>
          <w:highlight w:val="none"/>
        </w:rPr>
      </w:pPr>
      <w:r>
        <w:rPr>
          <w:color w:val="auto"/>
          <w:highlight w:val="none"/>
        </w:rPr>
        <w:t>1.采购人应当自中标通知书发出之日起</w:t>
      </w:r>
      <w:r>
        <w:rPr>
          <w:rFonts w:hint="default"/>
          <w:color w:val="auto"/>
          <w:highlight w:val="none"/>
        </w:rPr>
        <w:t>30</w:t>
      </w:r>
      <w:r>
        <w:rPr>
          <w:color w:val="auto"/>
          <w:highlight w:val="none"/>
        </w:rPr>
        <w:t>日内，按照招标文件和中标人投标文件的规定，与中标人签订书面合同。所签订的合同不得对招标文件确定的事项和中标人投标文件作实质性修改。</w:t>
      </w:r>
    </w:p>
    <w:p w14:paraId="766E9E7B">
      <w:pPr>
        <w:pStyle w:val="32"/>
        <w:spacing w:before="0" w:beforeAutospacing="0" w:after="0" w:afterAutospacing="0" w:line="360" w:lineRule="auto"/>
        <w:ind w:firstLine="600" w:firstLineChars="250"/>
        <w:jc w:val="both"/>
        <w:rPr>
          <w:rFonts w:hint="default"/>
          <w:color w:val="auto"/>
          <w:highlight w:val="none"/>
        </w:rPr>
      </w:pPr>
      <w:r>
        <w:rPr>
          <w:color w:val="auto"/>
          <w:highlight w:val="none"/>
        </w:rPr>
        <w:t>2.采购人不得向中标人提出任何不合理的要求作为签订合同的条件。</w:t>
      </w:r>
    </w:p>
    <w:p w14:paraId="05E62D14">
      <w:pPr>
        <w:pStyle w:val="32"/>
        <w:spacing w:before="0" w:beforeAutospacing="0" w:after="0" w:afterAutospacing="0" w:line="360" w:lineRule="auto"/>
        <w:ind w:firstLine="600" w:firstLineChars="250"/>
        <w:jc w:val="both"/>
        <w:rPr>
          <w:rFonts w:hint="default"/>
          <w:color w:val="auto"/>
          <w:highlight w:val="none"/>
        </w:rPr>
      </w:pPr>
      <w:r>
        <w:rPr>
          <w:color w:val="auto"/>
          <w:highlight w:val="none"/>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7E997A9D">
      <w:pPr>
        <w:pStyle w:val="32"/>
        <w:spacing w:line="360" w:lineRule="auto"/>
        <w:ind w:firstLine="480" w:firstLineChars="200"/>
        <w:rPr>
          <w:rFonts w:hint="default" w:cs="仿宋_GB2312"/>
          <w:color w:val="auto"/>
          <w:highlight w:val="none"/>
        </w:rPr>
      </w:pPr>
      <w:r>
        <w:rPr>
          <w:color w:val="auto"/>
          <w:highlight w:val="none"/>
        </w:rPr>
        <w:t>4.询问或者质疑事项可能影响中标结果的，采购人应当暂停签订合同，已经签订合同的，应当中止履行合同（中标结果的质疑期为中标结果公告期限届满之日起七个工作日）。</w:t>
      </w:r>
    </w:p>
    <w:p w14:paraId="641426A5">
      <w:pPr>
        <w:pStyle w:val="32"/>
        <w:spacing w:line="360" w:lineRule="auto"/>
        <w:ind w:firstLine="424" w:firstLineChars="176"/>
        <w:rPr>
          <w:rFonts w:hint="default" w:cs="仿宋_GB2312"/>
          <w:b/>
          <w:color w:val="auto"/>
          <w:highlight w:val="none"/>
        </w:rPr>
      </w:pPr>
      <w:r>
        <w:rPr>
          <w:b/>
          <w:color w:val="auto"/>
          <w:highlight w:val="none"/>
        </w:rPr>
        <w:t>（二）合同公告及备案</w:t>
      </w:r>
    </w:p>
    <w:p w14:paraId="2E27DFEC">
      <w:pPr>
        <w:pStyle w:val="3"/>
        <w:spacing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1.采购人应当自政府采购合同签订之日起2个工作日内，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14:paraId="4A3221E0">
      <w:pPr>
        <w:pStyle w:val="3"/>
        <w:spacing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2.采购人应当自政府采购合同签订之日起7个工作日内，将政府采购合同副本报同级人民政府财政部门备案以及采购组织机构存档。</w:t>
      </w:r>
    </w:p>
    <w:p w14:paraId="57739F2B">
      <w:pPr>
        <w:spacing w:line="360" w:lineRule="auto"/>
        <w:rPr>
          <w:rFonts w:asciiTheme="minorEastAsia" w:hAnsiTheme="minorEastAsia" w:eastAsiaTheme="minorEastAsia"/>
          <w:b/>
          <w:color w:val="auto"/>
          <w:sz w:val="28"/>
          <w:szCs w:val="28"/>
          <w:highlight w:val="none"/>
        </w:rPr>
        <w:sectPr>
          <w:pgSz w:w="11906" w:h="16838"/>
          <w:pgMar w:top="1440" w:right="1800" w:bottom="1440" w:left="1800" w:header="851" w:footer="992" w:gutter="0"/>
          <w:pgNumType w:fmt="numberInDash"/>
          <w:cols w:space="425" w:num="1"/>
          <w:docGrid w:type="lines" w:linePitch="312" w:charSpace="0"/>
        </w:sectPr>
      </w:pPr>
    </w:p>
    <w:p w14:paraId="691A3897">
      <w:pPr>
        <w:numPr>
          <w:ilvl w:val="0"/>
          <w:numId w:val="5"/>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评标办法及评分标准</w:t>
      </w:r>
    </w:p>
    <w:p w14:paraId="33AE2B27">
      <w:pPr>
        <w:autoSpaceDE w:val="0"/>
        <w:autoSpaceDN w:val="0"/>
        <w:spacing w:line="360" w:lineRule="auto"/>
        <w:ind w:firstLine="480" w:firstLineChars="200"/>
        <w:rPr>
          <w:rFonts w:asciiTheme="minorEastAsia" w:hAnsiTheme="minorEastAsia" w:eastAsiaTheme="minorEastAsia"/>
          <w:b/>
          <w:i/>
          <w:color w:val="auto"/>
          <w:kern w:val="0"/>
          <w:sz w:val="24"/>
          <w:highlight w:val="none"/>
        </w:rPr>
      </w:pPr>
      <w:r>
        <w:rPr>
          <w:rFonts w:hint="eastAsia" w:asciiTheme="minorEastAsia" w:hAnsiTheme="minorEastAsia" w:eastAsiaTheme="minorEastAsia"/>
          <w:color w:val="auto"/>
          <w:kern w:val="0"/>
          <w:sz w:val="24"/>
          <w:highlight w:val="none"/>
        </w:rPr>
        <w:t>一、采购组织机构将组织评标委员会，对投标人提供的投标文件进行综合评审。</w:t>
      </w:r>
    </w:p>
    <w:p w14:paraId="4B535F87">
      <w:pPr>
        <w:autoSpaceDE w:val="0"/>
        <w:autoSpaceDN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二、本次招标项目的评标方法为综合评分法，总计100分</w:t>
      </w:r>
      <w:bookmarkStart w:id="7" w:name="_GoBack"/>
      <w:bookmarkEnd w:id="7"/>
      <w:r>
        <w:rPr>
          <w:rFonts w:hint="eastAsia" w:asciiTheme="minorEastAsia" w:hAnsiTheme="minorEastAsia" w:eastAsiaTheme="minorEastAsia"/>
          <w:color w:val="auto"/>
          <w:kern w:val="0"/>
          <w:sz w:val="24"/>
          <w:highlight w:val="none"/>
        </w:rPr>
        <w:t>。评标标准按以下</w:t>
      </w:r>
      <w:r>
        <w:rPr>
          <w:rFonts w:asciiTheme="minorEastAsia" w:hAnsiTheme="minorEastAsia" w:eastAsiaTheme="minorEastAsia"/>
          <w:color w:val="auto"/>
          <w:kern w:val="0"/>
          <w:sz w:val="24"/>
          <w:highlight w:val="none"/>
        </w:rPr>
        <w:t>2</w:t>
      </w:r>
      <w:r>
        <w:rPr>
          <w:rFonts w:hint="eastAsia" w:asciiTheme="minorEastAsia" w:hAnsiTheme="minorEastAsia" w:eastAsiaTheme="minorEastAsia"/>
          <w:color w:val="auto"/>
          <w:kern w:val="0"/>
          <w:sz w:val="24"/>
          <w:highlight w:val="none"/>
        </w:rPr>
        <w:t>项内容及分值进行评审。</w:t>
      </w:r>
    </w:p>
    <w:tbl>
      <w:tblPr>
        <w:tblStyle w:val="3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8"/>
        <w:gridCol w:w="5170"/>
      </w:tblGrid>
      <w:tr w14:paraId="15DC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388" w:type="dxa"/>
            <w:tcBorders>
              <w:tl2br w:val="single" w:color="auto" w:sz="4" w:space="0"/>
            </w:tcBorders>
          </w:tcPr>
          <w:p w14:paraId="3731CF2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Arial"/>
                <w:color w:val="auto"/>
                <w:sz w:val="24"/>
                <w:highlight w:val="none"/>
              </w:rPr>
            </w:pPr>
            <w:r>
              <w:rPr>
                <w:rFonts w:hint="eastAsia" w:ascii="宋体" w:hAnsi="宋体" w:cs="Arial"/>
                <w:color w:val="auto"/>
                <w:sz w:val="24"/>
                <w:highlight w:val="none"/>
              </w:rPr>
              <w:t xml:space="preserve">          标段</w:t>
            </w:r>
          </w:p>
          <w:p w14:paraId="728438C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Arial"/>
                <w:color w:val="auto"/>
                <w:sz w:val="24"/>
                <w:highlight w:val="none"/>
              </w:rPr>
            </w:pPr>
            <w:r>
              <w:rPr>
                <w:rFonts w:hint="eastAsia" w:ascii="宋体" w:hAnsi="宋体" w:cs="Arial"/>
                <w:color w:val="auto"/>
                <w:sz w:val="24"/>
                <w:highlight w:val="none"/>
              </w:rPr>
              <w:t>类别</w:t>
            </w:r>
          </w:p>
        </w:tc>
        <w:tc>
          <w:tcPr>
            <w:tcW w:w="5170" w:type="dxa"/>
            <w:vAlign w:val="center"/>
          </w:tcPr>
          <w:p w14:paraId="3114F78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Arial"/>
                <w:color w:val="auto"/>
                <w:sz w:val="24"/>
                <w:highlight w:val="none"/>
              </w:rPr>
            </w:pPr>
            <w:r>
              <w:rPr>
                <w:rFonts w:hint="default" w:ascii="宋体" w:hAnsi="宋体" w:cs="Arial"/>
                <w:color w:val="auto"/>
                <w:sz w:val="24"/>
                <w:highlight w:val="none"/>
              </w:rPr>
              <w:fldChar w:fldCharType="begin"/>
            </w:r>
            <w:r>
              <w:rPr>
                <w:rFonts w:hint="eastAsia" w:ascii="宋体" w:hAnsi="宋体" w:cs="Arial"/>
                <w:color w:val="auto"/>
                <w:sz w:val="24"/>
                <w:highlight w:val="none"/>
              </w:rPr>
              <w:instrText xml:space="preserve">= 1 \* CHINESENUM3</w:instrText>
            </w:r>
            <w:r>
              <w:rPr>
                <w:rFonts w:hint="default" w:ascii="宋体" w:hAnsi="宋体" w:cs="Arial"/>
                <w:color w:val="auto"/>
                <w:sz w:val="24"/>
                <w:highlight w:val="none"/>
              </w:rPr>
              <w:fldChar w:fldCharType="separate"/>
            </w:r>
            <w:r>
              <w:rPr>
                <w:rFonts w:hint="eastAsia" w:ascii="宋体" w:hAnsi="宋体" w:cs="Arial"/>
                <w:color w:val="auto"/>
                <w:sz w:val="24"/>
                <w:highlight w:val="none"/>
              </w:rPr>
              <w:t>一</w:t>
            </w:r>
            <w:r>
              <w:rPr>
                <w:rFonts w:hint="default" w:ascii="宋体" w:hAnsi="宋体" w:cs="Arial"/>
                <w:color w:val="auto"/>
                <w:sz w:val="24"/>
                <w:highlight w:val="none"/>
              </w:rPr>
              <w:fldChar w:fldCharType="end"/>
            </w:r>
          </w:p>
        </w:tc>
      </w:tr>
      <w:tr w14:paraId="7F6D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8" w:type="dxa"/>
            <w:vAlign w:val="center"/>
          </w:tcPr>
          <w:p w14:paraId="2BE4CF5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Arial"/>
                <w:color w:val="auto"/>
                <w:sz w:val="24"/>
                <w:highlight w:val="none"/>
              </w:rPr>
            </w:pPr>
            <w:r>
              <w:rPr>
                <w:rFonts w:hint="eastAsia" w:ascii="宋体" w:hAnsi="宋体"/>
                <w:color w:val="auto"/>
                <w:kern w:val="0"/>
                <w:sz w:val="24"/>
                <w:highlight w:val="none"/>
              </w:rPr>
              <w:t>商务</w:t>
            </w:r>
            <w:r>
              <w:rPr>
                <w:rFonts w:hint="default" w:ascii="宋体" w:hAnsi="宋体"/>
                <w:color w:val="auto"/>
                <w:kern w:val="0"/>
                <w:sz w:val="24"/>
                <w:highlight w:val="none"/>
              </w:rPr>
              <w:t>与技术</w:t>
            </w:r>
          </w:p>
        </w:tc>
        <w:tc>
          <w:tcPr>
            <w:tcW w:w="5170" w:type="dxa"/>
            <w:vAlign w:val="center"/>
          </w:tcPr>
          <w:p w14:paraId="042F5F3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Arial"/>
                <w:color w:val="auto"/>
                <w:sz w:val="24"/>
                <w:highlight w:val="none"/>
              </w:rPr>
            </w:pPr>
            <w:r>
              <w:rPr>
                <w:rFonts w:hint="eastAsia" w:ascii="宋体" w:hAnsi="宋体" w:cs="Arial"/>
                <w:color w:val="auto"/>
                <w:sz w:val="24"/>
                <w:highlight w:val="none"/>
              </w:rPr>
              <w:t>80</w:t>
            </w:r>
          </w:p>
        </w:tc>
      </w:tr>
      <w:tr w14:paraId="6DF8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388" w:type="dxa"/>
            <w:vAlign w:val="center"/>
          </w:tcPr>
          <w:p w14:paraId="33DE791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Arial"/>
                <w:color w:val="auto"/>
                <w:sz w:val="24"/>
                <w:highlight w:val="none"/>
              </w:rPr>
            </w:pPr>
            <w:r>
              <w:rPr>
                <w:rFonts w:hint="eastAsia" w:ascii="宋体" w:hAnsi="宋体"/>
                <w:color w:val="auto"/>
                <w:kern w:val="0"/>
                <w:sz w:val="24"/>
                <w:highlight w:val="none"/>
              </w:rPr>
              <w:t>价格</w:t>
            </w:r>
          </w:p>
        </w:tc>
        <w:tc>
          <w:tcPr>
            <w:tcW w:w="5170" w:type="dxa"/>
            <w:vAlign w:val="center"/>
          </w:tcPr>
          <w:p w14:paraId="3D28EDA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Arial"/>
                <w:color w:val="auto"/>
                <w:sz w:val="24"/>
                <w:highlight w:val="none"/>
              </w:rPr>
            </w:pPr>
            <w:r>
              <w:rPr>
                <w:rFonts w:hint="eastAsia" w:ascii="宋体" w:hAnsi="宋体" w:cs="Arial"/>
                <w:color w:val="auto"/>
                <w:sz w:val="24"/>
                <w:highlight w:val="none"/>
              </w:rPr>
              <w:t>20</w:t>
            </w:r>
          </w:p>
        </w:tc>
      </w:tr>
    </w:tbl>
    <w:p w14:paraId="460C6CD6">
      <w:pPr>
        <w:numPr>
          <w:ilvl w:val="0"/>
          <w:numId w:val="6"/>
        </w:numPr>
        <w:autoSpaceDE w:val="0"/>
        <w:autoSpaceDN w:val="0"/>
        <w:adjustRightInd w:val="0"/>
        <w:spacing w:line="360" w:lineRule="auto"/>
        <w:ind w:right="84" w:firstLine="472"/>
        <w:rPr>
          <w:rFonts w:ascii="宋体"/>
          <w:bCs/>
          <w:color w:val="auto"/>
          <w:sz w:val="24"/>
          <w:highlight w:val="none"/>
          <w:lang w:val="zh-CN"/>
        </w:rPr>
      </w:pPr>
      <w:r>
        <w:rPr>
          <w:rFonts w:hint="eastAsia" w:ascii="宋体"/>
          <w:bCs/>
          <w:color w:val="auto"/>
          <w:sz w:val="24"/>
          <w:highlight w:val="none"/>
          <w:lang w:val="zh-CN"/>
        </w:rPr>
        <w:t>商务与技术文件由评标委员会独立打分。</w:t>
      </w:r>
    </w:p>
    <w:p w14:paraId="2302B958">
      <w:pPr>
        <w:numPr>
          <w:ilvl w:val="0"/>
          <w:numId w:val="6"/>
        </w:numPr>
        <w:autoSpaceDE w:val="0"/>
        <w:autoSpaceDN w:val="0"/>
        <w:adjustRightInd w:val="0"/>
        <w:spacing w:line="360" w:lineRule="auto"/>
        <w:ind w:right="84" w:firstLine="472"/>
        <w:rPr>
          <w:rFonts w:ascii="宋体"/>
          <w:bCs/>
          <w:color w:val="auto"/>
          <w:sz w:val="24"/>
          <w:highlight w:val="none"/>
          <w:shd w:val="clear" w:color="FFFFFF" w:fill="D9D9D9"/>
          <w:lang w:val="zh-CN"/>
        </w:rPr>
      </w:pPr>
      <w:r>
        <w:rPr>
          <w:rFonts w:hint="eastAsia" w:ascii="宋体"/>
          <w:bCs/>
          <w:color w:val="auto"/>
          <w:sz w:val="24"/>
          <w:highlight w:val="none"/>
          <w:lang w:val="zh-CN"/>
        </w:rPr>
        <w:t>各投标人商务与技术文件</w:t>
      </w:r>
      <w:r>
        <w:rPr>
          <w:rFonts w:hint="eastAsia" w:ascii="宋体"/>
          <w:color w:val="auto"/>
          <w:kern w:val="0"/>
          <w:sz w:val="24"/>
          <w:highlight w:val="none"/>
          <w:lang w:val="zh-CN"/>
        </w:rPr>
        <w:t>得分按照评标委员会成</w:t>
      </w:r>
      <w:r>
        <w:rPr>
          <w:rFonts w:hint="eastAsia" w:ascii="宋体"/>
          <w:bCs/>
          <w:color w:val="auto"/>
          <w:sz w:val="24"/>
          <w:highlight w:val="none"/>
          <w:lang w:val="zh-CN"/>
        </w:rPr>
        <w:t>员的独立评分结果汇总后的算术平均分计算，计算公式为：</w:t>
      </w:r>
    </w:p>
    <w:p w14:paraId="284B43F2">
      <w:pPr>
        <w:autoSpaceDE w:val="0"/>
        <w:autoSpaceDN w:val="0"/>
        <w:adjustRightInd w:val="0"/>
        <w:spacing w:line="360" w:lineRule="auto"/>
        <w:ind w:left="420" w:right="84"/>
        <w:rPr>
          <w:rFonts w:ascii="宋体"/>
          <w:bCs/>
          <w:color w:val="auto"/>
          <w:sz w:val="24"/>
          <w:highlight w:val="none"/>
          <w:lang w:val="zh-CN"/>
        </w:rPr>
      </w:pPr>
      <w:r>
        <w:rPr>
          <w:rFonts w:hint="eastAsia" w:ascii="宋体" w:hAnsi="宋体"/>
          <w:color w:val="auto"/>
          <w:sz w:val="24"/>
          <w:highlight w:val="none"/>
        </w:rPr>
        <w:t>商务与技术文件得分</w:t>
      </w:r>
      <w:r>
        <w:rPr>
          <w:rFonts w:hint="eastAsia" w:ascii="宋体"/>
          <w:bCs/>
          <w:color w:val="auto"/>
          <w:sz w:val="24"/>
          <w:highlight w:val="none"/>
          <w:lang w:val="zh-CN"/>
        </w:rPr>
        <w:t>=评标委员会所有成员评分合计数/评标委员会组成人员数。</w:t>
      </w:r>
    </w:p>
    <w:p w14:paraId="69C71EB3">
      <w:pPr>
        <w:numPr>
          <w:ilvl w:val="0"/>
          <w:numId w:val="6"/>
        </w:numPr>
        <w:autoSpaceDE w:val="0"/>
        <w:autoSpaceDN w:val="0"/>
        <w:adjustRightInd w:val="0"/>
        <w:spacing w:line="360" w:lineRule="auto"/>
        <w:ind w:right="84" w:firstLine="472"/>
        <w:rPr>
          <w:rFonts w:ascii="宋体"/>
          <w:bCs/>
          <w:color w:val="auto"/>
          <w:sz w:val="24"/>
          <w:highlight w:val="none"/>
          <w:lang w:val="zh-CN"/>
        </w:rPr>
      </w:pPr>
      <w:r>
        <w:rPr>
          <w:rFonts w:hint="eastAsia" w:ascii="宋体"/>
          <w:bCs/>
          <w:color w:val="auto"/>
          <w:sz w:val="24"/>
          <w:highlight w:val="none"/>
          <w:lang w:val="zh-CN"/>
        </w:rPr>
        <w:t>投标报价得分采用低价优先法计算，即满足招标文件要求的最低投标报价为评标基准价，其报价得满分。其他投标人的投标报价得分按下列公式计算：</w:t>
      </w:r>
    </w:p>
    <w:p w14:paraId="0FA82594">
      <w:pPr>
        <w:autoSpaceDE w:val="0"/>
        <w:autoSpaceDN w:val="0"/>
        <w:adjustRightInd w:val="0"/>
        <w:spacing w:line="360" w:lineRule="auto"/>
        <w:ind w:left="420" w:right="84"/>
        <w:rPr>
          <w:rFonts w:ascii="宋体"/>
          <w:bCs/>
          <w:color w:val="auto"/>
          <w:sz w:val="24"/>
          <w:highlight w:val="none"/>
          <w:lang w:val="zh-CN"/>
        </w:rPr>
      </w:pPr>
      <w:r>
        <w:rPr>
          <w:rFonts w:hint="eastAsia"/>
          <w:color w:val="auto"/>
          <w:sz w:val="24"/>
          <w:highlight w:val="none"/>
        </w:rPr>
        <w:t>投标报价得</w:t>
      </w:r>
      <w:r>
        <w:rPr>
          <w:color w:val="auto"/>
          <w:sz w:val="24"/>
          <w:highlight w:val="none"/>
        </w:rPr>
        <w:t>分=(评标基准价／</w:t>
      </w:r>
      <w:r>
        <w:rPr>
          <w:rFonts w:hint="eastAsia" w:ascii="宋体" w:hAnsi="宋体" w:cs="宋体"/>
          <w:color w:val="auto"/>
          <w:sz w:val="24"/>
          <w:highlight w:val="none"/>
        </w:rPr>
        <w:t>投标报价</w:t>
      </w:r>
      <w:r>
        <w:rPr>
          <w:rFonts w:ascii="宋体" w:hAnsi="宋体"/>
          <w:color w:val="auto"/>
          <w:sz w:val="24"/>
          <w:highlight w:val="none"/>
        </w:rPr>
        <w:t>)×</w:t>
      </w:r>
      <w:r>
        <w:rPr>
          <w:rFonts w:hint="eastAsia" w:ascii="宋体" w:hAnsi="宋体"/>
          <w:color w:val="auto"/>
          <w:sz w:val="24"/>
          <w:highlight w:val="none"/>
        </w:rPr>
        <w:t>20%</w:t>
      </w:r>
      <w:r>
        <w:rPr>
          <w:rFonts w:ascii="宋体" w:hAnsi="宋体"/>
          <w:color w:val="auto"/>
          <w:sz w:val="24"/>
          <w:highlight w:val="none"/>
        </w:rPr>
        <w:t>×100</w:t>
      </w:r>
      <w:r>
        <w:rPr>
          <w:rFonts w:hint="eastAsia" w:ascii="宋体" w:hAnsi="宋体"/>
          <w:color w:val="auto"/>
          <w:sz w:val="24"/>
          <w:highlight w:val="none"/>
        </w:rPr>
        <w:t xml:space="preserve"> 。</w:t>
      </w:r>
    </w:p>
    <w:p w14:paraId="5ADA3921">
      <w:pP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lang w:val="zh-CN"/>
        </w:rPr>
        <w:t>本项目专门面向中小企业采购，不再执行价格评审优惠的扶持政策。</w:t>
      </w:r>
    </w:p>
    <w:p w14:paraId="27C79749">
      <w:pPr>
        <w:autoSpaceDE w:val="0"/>
        <w:autoSpaceDN w:val="0"/>
        <w:adjustRightInd w:val="0"/>
        <w:spacing w:line="360" w:lineRule="auto"/>
        <w:ind w:right="85"/>
        <w:rPr>
          <w:rFonts w:ascii="宋体" w:hAnsi="宋体"/>
          <w:color w:val="auto"/>
          <w:sz w:val="24"/>
          <w:highlight w:val="none"/>
          <w:u w:val="single"/>
        </w:rPr>
      </w:pPr>
      <w:r>
        <w:rPr>
          <w:rFonts w:hint="eastAsia" w:ascii="宋体"/>
          <w:color w:val="auto"/>
          <w:sz w:val="24"/>
          <w:highlight w:val="none"/>
          <w:lang w:val="zh-CN"/>
        </w:rPr>
        <w:t>注：得分以系统计算为准，保留2位小数。</w:t>
      </w:r>
    </w:p>
    <w:p w14:paraId="3E5D7B62">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color w:val="auto"/>
          <w:sz w:val="24"/>
          <w:highlight w:val="none"/>
          <w:lang w:val="zh-CN"/>
        </w:rPr>
        <w:t>三、在最大限度地满足招标文件实质性要求前提下，评标委员会按照招标文件中规定的各项因素进行综合评审后，以评标总得分最高的投标人为第一中标候选人，次高者为第二中标候选人。</w:t>
      </w:r>
    </w:p>
    <w:p w14:paraId="3FA604C3">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color w:val="auto"/>
          <w:sz w:val="24"/>
          <w:highlight w:val="none"/>
          <w:lang w:val="zh-CN"/>
        </w:rPr>
        <w:t>四、如综合得分相同，投标报价低者为先；如综合得分且投标报价相同的，货物类采购项目以技术性能得分较高者为先。</w:t>
      </w:r>
    </w:p>
    <w:p w14:paraId="2A68E901">
      <w:pPr>
        <w:spacing w:line="360" w:lineRule="auto"/>
        <w:ind w:firstLine="480" w:firstLineChars="200"/>
        <w:textAlignment w:val="baseline"/>
        <w:rPr>
          <w:rFonts w:ascii="宋体" w:hAnsi="宋体" w:cs="新宋体"/>
          <w:color w:val="auto"/>
          <w:sz w:val="24"/>
          <w:highlight w:val="none"/>
        </w:rPr>
      </w:pPr>
      <w:r>
        <w:rPr>
          <w:rFonts w:hint="eastAsia" w:asciiTheme="minorEastAsia" w:hAnsiTheme="minorEastAsia" w:eastAsiaTheme="minorEastAsia"/>
          <w:color w:val="auto"/>
          <w:kern w:val="0"/>
          <w:sz w:val="24"/>
          <w:highlight w:val="none"/>
        </w:rPr>
        <w:t>五、本次评分具体分值细化条款</w:t>
      </w:r>
      <w:r>
        <w:rPr>
          <w:rFonts w:hint="eastAsia" w:ascii="宋体" w:hAnsi="宋体" w:cs="新宋体"/>
          <w:color w:val="auto"/>
          <w:sz w:val="24"/>
          <w:highlight w:val="none"/>
        </w:rPr>
        <w:t>如下表：</w:t>
      </w:r>
    </w:p>
    <w:tbl>
      <w:tblPr>
        <w:tblStyle w:val="35"/>
        <w:tblW w:w="92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3"/>
        <w:gridCol w:w="7034"/>
        <w:gridCol w:w="757"/>
      </w:tblGrid>
      <w:tr w14:paraId="14F9D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413" w:type="dxa"/>
            <w:tcBorders>
              <w:top w:val="single" w:color="000000" w:sz="4" w:space="0"/>
              <w:left w:val="single" w:color="000000" w:sz="4" w:space="0"/>
              <w:bottom w:val="single" w:color="000000" w:sz="4" w:space="0"/>
              <w:right w:val="single" w:color="000000" w:sz="4" w:space="0"/>
            </w:tcBorders>
            <w:noWrap/>
            <w:vAlign w:val="center"/>
          </w:tcPr>
          <w:p w14:paraId="263D55D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评分项目</w:t>
            </w:r>
          </w:p>
        </w:tc>
        <w:tc>
          <w:tcPr>
            <w:tcW w:w="7034" w:type="dxa"/>
            <w:tcBorders>
              <w:top w:val="single" w:color="000000" w:sz="4" w:space="0"/>
              <w:left w:val="single" w:color="000000" w:sz="4" w:space="0"/>
              <w:bottom w:val="single" w:color="000000" w:sz="4" w:space="0"/>
              <w:right w:val="single" w:color="000000" w:sz="4" w:space="0"/>
            </w:tcBorders>
            <w:noWrap/>
            <w:vAlign w:val="center"/>
          </w:tcPr>
          <w:p w14:paraId="54DCBEA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评分细则</w:t>
            </w:r>
          </w:p>
        </w:tc>
        <w:tc>
          <w:tcPr>
            <w:tcW w:w="757" w:type="dxa"/>
            <w:tcBorders>
              <w:top w:val="single" w:color="000000" w:sz="4" w:space="0"/>
              <w:left w:val="single" w:color="000000" w:sz="4" w:space="0"/>
              <w:bottom w:val="single" w:color="000000" w:sz="4" w:space="0"/>
              <w:right w:val="single" w:color="000000" w:sz="4" w:space="0"/>
            </w:tcBorders>
            <w:noWrap/>
            <w:vAlign w:val="center"/>
          </w:tcPr>
          <w:p w14:paraId="3697783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分值</w:t>
            </w:r>
          </w:p>
        </w:tc>
      </w:tr>
      <w:tr w14:paraId="07CC9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2"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14:paraId="30DDDBE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项目的理解与分析</w:t>
            </w:r>
          </w:p>
          <w:p w14:paraId="601F867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（19分）</w:t>
            </w:r>
          </w:p>
        </w:tc>
        <w:tc>
          <w:tcPr>
            <w:tcW w:w="7034" w:type="dxa"/>
            <w:tcBorders>
              <w:top w:val="single" w:color="000000" w:sz="4" w:space="0"/>
              <w:left w:val="single" w:color="000000" w:sz="4" w:space="0"/>
              <w:bottom w:val="single" w:color="auto" w:sz="4" w:space="0"/>
              <w:right w:val="single" w:color="000000" w:sz="4" w:space="0"/>
            </w:tcBorders>
            <w:noWrap w:val="0"/>
            <w:vAlign w:val="center"/>
          </w:tcPr>
          <w:p w14:paraId="3FA828FF">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根据供应商对本项目理解与分析（</w:t>
            </w:r>
            <w:r>
              <w:rPr>
                <w:rFonts w:hint="eastAsia" w:ascii="宋体" w:hAnsi="宋体" w:cs="宋体"/>
                <w:b/>
                <w:bCs/>
                <w:i w:val="0"/>
                <w:iCs w:val="0"/>
                <w:color w:val="auto"/>
                <w:kern w:val="0"/>
                <w:sz w:val="24"/>
                <w:szCs w:val="24"/>
                <w:highlight w:val="none"/>
                <w:u w:val="none"/>
                <w:lang w:val="en-US" w:eastAsia="zh-CN" w:bidi="ar"/>
              </w:rPr>
              <w:t>对采购</w:t>
            </w:r>
            <w:r>
              <w:rPr>
                <w:rFonts w:hint="eastAsia" w:ascii="宋体" w:hAnsi="宋体" w:eastAsia="宋体" w:cs="宋体"/>
                <w:b/>
                <w:bCs/>
                <w:i w:val="0"/>
                <w:iCs w:val="0"/>
                <w:color w:val="auto"/>
                <w:kern w:val="0"/>
                <w:sz w:val="24"/>
                <w:szCs w:val="24"/>
                <w:highlight w:val="none"/>
                <w:u w:val="none"/>
                <w:lang w:val="en-US" w:eastAsia="zh-CN" w:bidi="ar"/>
              </w:rPr>
              <w:t>需求</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b/>
                <w:bCs/>
                <w:i w:val="0"/>
                <w:iCs w:val="0"/>
                <w:color w:val="auto"/>
                <w:kern w:val="0"/>
                <w:sz w:val="24"/>
                <w:szCs w:val="24"/>
                <w:highlight w:val="none"/>
                <w:u w:val="none"/>
                <w:lang w:val="en-US" w:eastAsia="zh-CN" w:bidi="ar"/>
              </w:rPr>
              <w:t>现有信息化相关内部制度</w:t>
            </w:r>
            <w:r>
              <w:rPr>
                <w:rFonts w:hint="eastAsia" w:ascii="宋体" w:hAnsi="宋体" w:cs="宋体"/>
                <w:b/>
                <w:bCs/>
                <w:i w:val="0"/>
                <w:iCs w:val="0"/>
                <w:color w:val="auto"/>
                <w:kern w:val="0"/>
                <w:sz w:val="24"/>
                <w:szCs w:val="24"/>
                <w:highlight w:val="none"/>
                <w:u w:val="none"/>
                <w:lang w:val="en-US" w:eastAsia="zh-CN" w:bidi="ar"/>
              </w:rPr>
              <w:t>等内容</w:t>
            </w:r>
            <w:r>
              <w:rPr>
                <w:rFonts w:hint="eastAsia" w:ascii="宋体" w:hAnsi="宋体" w:eastAsia="宋体" w:cs="宋体"/>
                <w:b/>
                <w:bCs/>
                <w:i w:val="0"/>
                <w:iCs w:val="0"/>
                <w:color w:val="auto"/>
                <w:kern w:val="0"/>
                <w:sz w:val="24"/>
                <w:szCs w:val="24"/>
                <w:highlight w:val="none"/>
                <w:u w:val="none"/>
                <w:lang w:val="en-US" w:eastAsia="zh-CN" w:bidi="ar"/>
              </w:rPr>
              <w:t>）进行综合评分：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（1）项目理解透彻、分析全面合理的得9.1-11.0分；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（2）项目理解较为透彻、分析较为全面合理的得6.1-9.0分；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（3）项目理解度稍欠、分析不够全面合理的得3.1-6.0分；</w:t>
            </w:r>
          </w:p>
          <w:p w14:paraId="5B1BA5D4">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（4）项目理解度不够、分析不全面合理的得0.1-3.0分。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未提供不得分。</w:t>
            </w:r>
          </w:p>
        </w:tc>
        <w:tc>
          <w:tcPr>
            <w:tcW w:w="757" w:type="dxa"/>
            <w:tcBorders>
              <w:top w:val="single" w:color="000000" w:sz="4" w:space="0"/>
              <w:left w:val="single" w:color="000000" w:sz="4" w:space="0"/>
              <w:bottom w:val="single" w:color="auto" w:sz="4" w:space="0"/>
              <w:right w:val="single" w:color="000000" w:sz="4" w:space="0"/>
            </w:tcBorders>
            <w:noWrap w:val="0"/>
            <w:vAlign w:val="center"/>
          </w:tcPr>
          <w:p w14:paraId="085790E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11</w:t>
            </w:r>
          </w:p>
        </w:tc>
      </w:tr>
      <w:tr w14:paraId="67E16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4" w:hRule="atLeast"/>
          <w:jc w:val="center"/>
        </w:trPr>
        <w:tc>
          <w:tcPr>
            <w:tcW w:w="1413" w:type="dxa"/>
            <w:vMerge w:val="continue"/>
            <w:tcBorders>
              <w:left w:val="single" w:color="000000" w:sz="4" w:space="0"/>
              <w:bottom w:val="single" w:color="000000" w:sz="4" w:space="0"/>
              <w:right w:val="single" w:color="000000" w:sz="4" w:space="0"/>
            </w:tcBorders>
            <w:noWrap w:val="0"/>
            <w:vAlign w:val="center"/>
          </w:tcPr>
          <w:p w14:paraId="0EA632E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034" w:type="dxa"/>
            <w:tcBorders>
              <w:top w:val="single" w:color="auto" w:sz="4" w:space="0"/>
              <w:left w:val="single" w:color="000000" w:sz="4" w:space="0"/>
              <w:bottom w:val="single" w:color="000000" w:sz="4" w:space="0"/>
              <w:right w:val="single" w:color="000000" w:sz="4" w:space="0"/>
            </w:tcBorders>
            <w:noWrap w:val="0"/>
            <w:vAlign w:val="center"/>
          </w:tcPr>
          <w:p w14:paraId="79709A89">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根据供应商针对本项目的重点难点分析及解决方案及合理化建议等进行综合评分：</w:t>
            </w:r>
          </w:p>
          <w:p w14:paraId="732EA233">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（1）项目重点、难点把握精准，解决方案及合理化建议切合实际的得5.1-8.0分；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（2）项目重点、难点把握一般，解决方案及合理化建议一般的得2.1-5.0分；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（3）项目重点、难点把握、解决方案及合理化建议欠缺的得0.1-2.0分。</w:t>
            </w:r>
          </w:p>
          <w:p w14:paraId="24B6F34A">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未提供不得分。</w:t>
            </w:r>
          </w:p>
        </w:tc>
        <w:tc>
          <w:tcPr>
            <w:tcW w:w="757" w:type="dxa"/>
            <w:tcBorders>
              <w:top w:val="single" w:color="auto" w:sz="4" w:space="0"/>
              <w:left w:val="single" w:color="000000" w:sz="4" w:space="0"/>
              <w:bottom w:val="single" w:color="000000" w:sz="4" w:space="0"/>
              <w:right w:val="single" w:color="000000" w:sz="4" w:space="0"/>
            </w:tcBorders>
            <w:noWrap w:val="0"/>
            <w:vAlign w:val="center"/>
          </w:tcPr>
          <w:p w14:paraId="156DBF7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r>
      <w:tr w14:paraId="1C1CC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1CA0CB0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实施方案</w:t>
            </w:r>
          </w:p>
          <w:p w14:paraId="41DC56D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（12分）</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73479F1F">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根据供应商提供的维护计划、服务质量保证措施、人员配置、服务交付流程、故障响应流程、服务操作规范等内容进行综合评分：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（1）方案描述条款明确、内容齐全，维护计划详细、服务质量保证措施合理、人员配置优于</w:t>
            </w:r>
            <w:r>
              <w:rPr>
                <w:rFonts w:hint="eastAsia" w:ascii="宋体" w:hAnsi="宋体" w:cs="宋体"/>
                <w:i w:val="0"/>
                <w:iCs w:val="0"/>
                <w:color w:val="auto"/>
                <w:kern w:val="0"/>
                <w:sz w:val="24"/>
                <w:szCs w:val="24"/>
                <w:highlight w:val="none"/>
                <w:u w:val="none"/>
                <w:lang w:val="en-US" w:eastAsia="zh-CN" w:bidi="ar"/>
              </w:rPr>
              <w:t>采购</w:t>
            </w:r>
            <w:r>
              <w:rPr>
                <w:rFonts w:hint="eastAsia" w:ascii="宋体" w:hAnsi="宋体" w:eastAsia="宋体" w:cs="宋体"/>
                <w:i w:val="0"/>
                <w:iCs w:val="0"/>
                <w:color w:val="auto"/>
                <w:kern w:val="0"/>
                <w:sz w:val="24"/>
                <w:szCs w:val="24"/>
                <w:highlight w:val="none"/>
                <w:u w:val="none"/>
                <w:lang w:val="en-US" w:eastAsia="zh-CN" w:bidi="ar"/>
              </w:rPr>
              <w:t>需求，相关流程切实可行的得9.1-12.0分；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（2）方案描述条款较明确、内容较齐全，维护计划较详细、服务质量保证措施较合理、人员配置满足</w:t>
            </w:r>
            <w:r>
              <w:rPr>
                <w:rFonts w:hint="eastAsia" w:ascii="宋体" w:hAnsi="宋体" w:cs="宋体"/>
                <w:i w:val="0"/>
                <w:iCs w:val="0"/>
                <w:color w:val="auto"/>
                <w:kern w:val="0"/>
                <w:sz w:val="24"/>
                <w:szCs w:val="24"/>
                <w:highlight w:val="none"/>
                <w:u w:val="none"/>
                <w:lang w:val="en-US" w:eastAsia="zh-CN" w:bidi="ar"/>
              </w:rPr>
              <w:t>采购</w:t>
            </w:r>
            <w:r>
              <w:rPr>
                <w:rFonts w:hint="eastAsia" w:ascii="宋体" w:hAnsi="宋体" w:eastAsia="宋体" w:cs="宋体"/>
                <w:i w:val="0"/>
                <w:iCs w:val="0"/>
                <w:color w:val="auto"/>
                <w:kern w:val="0"/>
                <w:sz w:val="24"/>
                <w:szCs w:val="24"/>
                <w:highlight w:val="none"/>
                <w:u w:val="none"/>
                <w:lang w:val="en-US" w:eastAsia="zh-CN" w:bidi="ar"/>
              </w:rPr>
              <w:t>需求，相关流程较可行的得6.1-9.0分；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（3）方案描述条款</w:t>
            </w:r>
            <w:r>
              <w:rPr>
                <w:rFonts w:hint="eastAsia" w:ascii="宋体" w:hAnsi="宋体" w:cs="宋体"/>
                <w:i w:val="0"/>
                <w:iCs w:val="0"/>
                <w:color w:val="auto"/>
                <w:kern w:val="0"/>
                <w:sz w:val="24"/>
                <w:szCs w:val="24"/>
                <w:highlight w:val="none"/>
                <w:u w:val="none"/>
                <w:lang w:val="en-US" w:eastAsia="zh-CN" w:bidi="ar"/>
              </w:rPr>
              <w:t>及</w:t>
            </w:r>
            <w:r>
              <w:rPr>
                <w:rFonts w:hint="eastAsia" w:ascii="宋体" w:hAnsi="宋体" w:eastAsia="宋体" w:cs="宋体"/>
                <w:i w:val="0"/>
                <w:iCs w:val="0"/>
                <w:color w:val="auto"/>
                <w:kern w:val="0"/>
                <w:sz w:val="24"/>
                <w:szCs w:val="24"/>
                <w:highlight w:val="none"/>
                <w:u w:val="none"/>
                <w:lang w:val="en-US" w:eastAsia="zh-CN" w:bidi="ar"/>
              </w:rPr>
              <w:t>内容</w:t>
            </w:r>
            <w:r>
              <w:rPr>
                <w:rFonts w:hint="eastAsia" w:ascii="宋体" w:hAnsi="宋体" w:cs="宋体"/>
                <w:i w:val="0"/>
                <w:iCs w:val="0"/>
                <w:color w:val="auto"/>
                <w:kern w:val="0"/>
                <w:sz w:val="24"/>
                <w:szCs w:val="24"/>
                <w:highlight w:val="none"/>
                <w:u w:val="none"/>
                <w:lang w:val="en-US" w:eastAsia="zh-CN" w:bidi="ar"/>
              </w:rPr>
              <w:t>稍欠</w:t>
            </w:r>
            <w:r>
              <w:rPr>
                <w:rFonts w:hint="eastAsia" w:ascii="宋体" w:hAnsi="宋体" w:eastAsia="宋体" w:cs="宋体"/>
                <w:i w:val="0"/>
                <w:iCs w:val="0"/>
                <w:color w:val="auto"/>
                <w:kern w:val="0"/>
                <w:sz w:val="24"/>
                <w:szCs w:val="24"/>
                <w:highlight w:val="none"/>
                <w:u w:val="none"/>
                <w:lang w:val="en-US" w:eastAsia="zh-CN" w:bidi="ar"/>
              </w:rPr>
              <w:t>，维护计划不明确、服务质量保证措施基本合理，相关流程基本可行的得3.1-6.0分；</w:t>
            </w:r>
          </w:p>
          <w:p w14:paraId="1C9351B5">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（4）方案描述条款</w:t>
            </w:r>
            <w:r>
              <w:rPr>
                <w:rFonts w:hint="eastAsia" w:ascii="宋体" w:hAnsi="宋体" w:cs="宋体"/>
                <w:i w:val="0"/>
                <w:iCs w:val="0"/>
                <w:color w:val="auto"/>
                <w:kern w:val="0"/>
                <w:sz w:val="24"/>
                <w:szCs w:val="24"/>
                <w:highlight w:val="none"/>
                <w:u w:val="none"/>
                <w:lang w:val="en-US" w:eastAsia="zh-CN" w:bidi="ar"/>
              </w:rPr>
              <w:t>片面</w:t>
            </w:r>
            <w:r>
              <w:rPr>
                <w:rFonts w:hint="eastAsia" w:ascii="宋体" w:hAnsi="宋体" w:eastAsia="宋体" w:cs="宋体"/>
                <w:i w:val="0"/>
                <w:iCs w:val="0"/>
                <w:color w:val="auto"/>
                <w:kern w:val="0"/>
                <w:sz w:val="24"/>
                <w:szCs w:val="24"/>
                <w:highlight w:val="none"/>
                <w:u w:val="none"/>
                <w:lang w:val="en-US" w:eastAsia="zh-CN" w:bidi="ar"/>
              </w:rPr>
              <w:t>、内容</w:t>
            </w:r>
            <w:r>
              <w:rPr>
                <w:rFonts w:hint="eastAsia" w:ascii="宋体" w:hAnsi="宋体" w:cs="宋体"/>
                <w:i w:val="0"/>
                <w:iCs w:val="0"/>
                <w:color w:val="auto"/>
                <w:kern w:val="0"/>
                <w:sz w:val="24"/>
                <w:szCs w:val="24"/>
                <w:highlight w:val="none"/>
                <w:u w:val="none"/>
                <w:lang w:val="en-US" w:eastAsia="zh-CN" w:bidi="ar"/>
              </w:rPr>
              <w:t>不足</w:t>
            </w:r>
            <w:r>
              <w:rPr>
                <w:rFonts w:hint="eastAsia" w:ascii="宋体" w:hAnsi="宋体" w:eastAsia="宋体" w:cs="宋体"/>
                <w:i w:val="0"/>
                <w:iCs w:val="0"/>
                <w:color w:val="auto"/>
                <w:kern w:val="0"/>
                <w:sz w:val="24"/>
                <w:szCs w:val="24"/>
                <w:highlight w:val="none"/>
                <w:u w:val="none"/>
                <w:lang w:val="en-US" w:eastAsia="zh-CN" w:bidi="ar"/>
              </w:rPr>
              <w:t>的得0.1-3.0分。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未提供不得分。</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471483C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r>
      <w:tr w14:paraId="26554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04EA8DF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服务质量保障承诺文件</w:t>
            </w:r>
          </w:p>
          <w:p w14:paraId="7A34E22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（5分）</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274E1CC3">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根据供应商提供相应的服务质量保障承诺的完善程度、可行性与合理性进行综合评分。服务质量保障承诺必须对以下5个问题提出解决方案和承诺（以下5点内容均不得缺项，缺项</w:t>
            </w:r>
            <w:r>
              <w:rPr>
                <w:rFonts w:hint="eastAsia" w:ascii="宋体" w:hAnsi="宋体" w:cs="宋体"/>
                <w:b/>
                <w:bCs/>
                <w:i w:val="0"/>
                <w:iCs w:val="0"/>
                <w:color w:val="auto"/>
                <w:kern w:val="0"/>
                <w:sz w:val="24"/>
                <w:szCs w:val="24"/>
                <w:highlight w:val="none"/>
                <w:u w:val="none"/>
                <w:lang w:val="en-US" w:eastAsia="zh-CN" w:bidi="ar"/>
              </w:rPr>
              <w:t>不得分</w:t>
            </w:r>
            <w:r>
              <w:rPr>
                <w:rFonts w:hint="eastAsia" w:ascii="宋体" w:hAnsi="宋体" w:eastAsia="宋体" w:cs="宋体"/>
                <w:b/>
                <w:bCs/>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①电脑硬盘、移动硬盘、U盘等公安相关数据泄密的罚则；</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②对故障判断错误的罚则；</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③月度累计有效投诉次数及罚则；</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④服务响应度、故障解决率、用户满意度的罚则；</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⑤</w:t>
            </w:r>
            <w:r>
              <w:rPr>
                <w:rFonts w:hint="eastAsia" w:ascii="宋体" w:hAnsi="宋体" w:cs="宋体"/>
                <w:b/>
                <w:bCs/>
                <w:i w:val="0"/>
                <w:iCs w:val="0"/>
                <w:color w:val="auto"/>
                <w:kern w:val="0"/>
                <w:sz w:val="24"/>
                <w:szCs w:val="24"/>
                <w:highlight w:val="none"/>
                <w:u w:val="none"/>
                <w:lang w:val="en-US" w:eastAsia="zh-CN" w:bidi="ar"/>
              </w:rPr>
              <w:t>驻点人员</w:t>
            </w:r>
            <w:r>
              <w:rPr>
                <w:rFonts w:hint="eastAsia" w:ascii="宋体" w:hAnsi="宋体" w:eastAsia="宋体" w:cs="宋体"/>
                <w:b/>
                <w:bCs/>
                <w:i w:val="0"/>
                <w:iCs w:val="0"/>
                <w:color w:val="auto"/>
                <w:kern w:val="0"/>
                <w:sz w:val="24"/>
                <w:szCs w:val="24"/>
                <w:highlight w:val="none"/>
                <w:u w:val="none"/>
                <w:lang w:val="en-US" w:eastAsia="zh-CN" w:bidi="ar"/>
              </w:rPr>
              <w:t>违反市局相关管理规定的罚则。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（1）提供相应的服务质量保障承诺文件罚则的完善、可行性与合理性高的得3.1-5.0分；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（2）提供相应的服务质量保障承诺文件罚则的较为完善、可行性与合理性一般的得1.1-3.0分；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（3）提供相应的服务质量保障承诺文件罚则的不完善、可行性与合理性差的得0.1-1.0分。</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07FCAB7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14:paraId="4AD83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2ADC5F9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服务保障应急预案</w:t>
            </w:r>
          </w:p>
          <w:p w14:paraId="03F25D8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8分</w:t>
            </w:r>
            <w:r>
              <w:rPr>
                <w:rFonts w:hint="eastAsia" w:ascii="宋体" w:hAnsi="宋体" w:eastAsia="宋体" w:cs="宋体"/>
                <w:i w:val="0"/>
                <w:iCs w:val="0"/>
                <w:color w:val="auto"/>
                <w:kern w:val="0"/>
                <w:sz w:val="24"/>
                <w:szCs w:val="24"/>
                <w:highlight w:val="none"/>
                <w:u w:val="none"/>
                <w:lang w:val="en-US" w:eastAsia="zh-CN" w:bidi="ar"/>
              </w:rPr>
              <w:t>）</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1291A01F">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根据供应商针对本项目建立的运行服务保障应急预案，进行综合评分：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（1）预案描述方向思路明确、内容齐全，对运维过程中可能遇到的问题及其应对措施考虑周密的，所采取的故障处理组织和联系机制合理且有效的得</w:t>
            </w:r>
            <w:r>
              <w:rPr>
                <w:rFonts w:hint="eastAsia" w:ascii="宋体" w:hAnsi="宋体" w:cs="宋体"/>
                <w:i w:val="0"/>
                <w:iCs w:val="0"/>
                <w:color w:val="auto"/>
                <w:kern w:val="0"/>
                <w:sz w:val="24"/>
                <w:szCs w:val="24"/>
                <w:highlight w:val="none"/>
                <w:u w:val="none"/>
                <w:lang w:val="en-US" w:eastAsia="zh-CN" w:bidi="ar"/>
              </w:rPr>
              <w:t>6.1-8.0</w:t>
            </w:r>
            <w:r>
              <w:rPr>
                <w:rFonts w:hint="eastAsia" w:ascii="宋体" w:hAnsi="宋体" w:eastAsia="宋体" w:cs="宋体"/>
                <w:i w:val="0"/>
                <w:iCs w:val="0"/>
                <w:color w:val="auto"/>
                <w:kern w:val="0"/>
                <w:sz w:val="24"/>
                <w:szCs w:val="24"/>
                <w:highlight w:val="none"/>
                <w:u w:val="none"/>
                <w:lang w:val="en-US" w:eastAsia="zh-CN" w:bidi="ar"/>
              </w:rPr>
              <w:t>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（2）预案描述方向思路较明确、内容较齐全，对运维过程中可能遇到的问题及其应对措施考虑较周密的，所采取的故障处理组织和联系机制较合理的得</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（3）预案描述方向思路基本明确、内容基本齐全，对运维过程中可能遇到的问题及其应对措施考虑一般的，所采取的故障处理组织和联系机制一般的得0.1-</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未提供不得分。</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1A5EC60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8</w:t>
            </w:r>
          </w:p>
        </w:tc>
      </w:tr>
      <w:tr w14:paraId="42BD2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1"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1AEE1FC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售后服务承诺</w:t>
            </w:r>
          </w:p>
          <w:p w14:paraId="7DC7C57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（8分）</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57965426">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根据供应商针对本次项目所涉及已脱保的前端设备（电脑、打印机、复印机、操作系统，办公软件等），提供原厂维保延长服务的详细程度、建议合理化程度、原厂服务</w:t>
            </w:r>
            <w:r>
              <w:rPr>
                <w:rFonts w:hint="eastAsia" w:ascii="宋体" w:hAnsi="宋体" w:cs="宋体"/>
                <w:b/>
                <w:bCs/>
                <w:i w:val="0"/>
                <w:iCs w:val="0"/>
                <w:color w:val="auto"/>
                <w:kern w:val="0"/>
                <w:sz w:val="24"/>
                <w:szCs w:val="24"/>
                <w:highlight w:val="none"/>
                <w:u w:val="none"/>
                <w:lang w:val="en-US" w:eastAsia="zh-CN" w:bidi="ar"/>
              </w:rPr>
              <w:t>及</w:t>
            </w:r>
            <w:r>
              <w:rPr>
                <w:rFonts w:hint="eastAsia" w:ascii="宋体" w:hAnsi="宋体" w:eastAsia="宋体" w:cs="宋体"/>
                <w:b/>
                <w:bCs/>
                <w:i w:val="0"/>
                <w:iCs w:val="0"/>
                <w:color w:val="auto"/>
                <w:kern w:val="0"/>
                <w:sz w:val="24"/>
                <w:szCs w:val="24"/>
                <w:highlight w:val="none"/>
                <w:u w:val="none"/>
                <w:lang w:val="en-US" w:eastAsia="zh-CN" w:bidi="ar"/>
              </w:rPr>
              <w:t>原厂质保情况等进行综合评分：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（1）供应商所承诺维保延长服务的详实、建议合理、原厂服务</w:t>
            </w:r>
            <w:r>
              <w:rPr>
                <w:rFonts w:hint="eastAsia" w:ascii="宋体" w:hAnsi="宋体" w:cs="宋体"/>
                <w:i w:val="0"/>
                <w:iCs w:val="0"/>
                <w:color w:val="auto"/>
                <w:kern w:val="0"/>
                <w:sz w:val="24"/>
                <w:szCs w:val="24"/>
                <w:highlight w:val="none"/>
                <w:u w:val="none"/>
                <w:lang w:val="en-US" w:eastAsia="zh-CN" w:bidi="ar"/>
              </w:rPr>
              <w:t>及</w:t>
            </w:r>
            <w:r>
              <w:rPr>
                <w:rFonts w:hint="eastAsia" w:ascii="宋体" w:hAnsi="宋体" w:eastAsia="宋体" w:cs="宋体"/>
                <w:i w:val="0"/>
                <w:iCs w:val="0"/>
                <w:color w:val="auto"/>
                <w:kern w:val="0"/>
                <w:sz w:val="24"/>
                <w:szCs w:val="24"/>
                <w:highlight w:val="none"/>
                <w:u w:val="none"/>
                <w:lang w:val="en-US" w:eastAsia="zh-CN" w:bidi="ar"/>
              </w:rPr>
              <w:t>原厂质保</w:t>
            </w:r>
            <w:r>
              <w:rPr>
                <w:rFonts w:hint="eastAsia" w:ascii="宋体" w:hAnsi="宋体" w:cs="宋体"/>
                <w:i w:val="0"/>
                <w:iCs w:val="0"/>
                <w:color w:val="auto"/>
                <w:kern w:val="0"/>
                <w:sz w:val="24"/>
                <w:szCs w:val="24"/>
                <w:highlight w:val="none"/>
                <w:u w:val="none"/>
                <w:lang w:val="en-US" w:eastAsia="zh-CN" w:bidi="ar"/>
              </w:rPr>
              <w:t>能高度保障的</w:t>
            </w:r>
            <w:r>
              <w:rPr>
                <w:rFonts w:hint="eastAsia" w:ascii="宋体" w:hAnsi="宋体" w:eastAsia="宋体" w:cs="宋体"/>
                <w:i w:val="0"/>
                <w:iCs w:val="0"/>
                <w:color w:val="auto"/>
                <w:kern w:val="0"/>
                <w:sz w:val="24"/>
                <w:szCs w:val="24"/>
                <w:highlight w:val="none"/>
                <w:u w:val="none"/>
                <w:lang w:val="en-US" w:eastAsia="zh-CN" w:bidi="ar"/>
              </w:rPr>
              <w:t>得5.1-8.0分。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（2）供应商所承诺维保延长服务的较详实、建议较合理、</w:t>
            </w:r>
            <w:r>
              <w:rPr>
                <w:rFonts w:hint="eastAsia" w:ascii="宋体" w:hAnsi="宋体" w:cs="宋体"/>
                <w:i w:val="0"/>
                <w:iCs w:val="0"/>
                <w:color w:val="auto"/>
                <w:kern w:val="0"/>
                <w:sz w:val="24"/>
                <w:szCs w:val="24"/>
                <w:highlight w:val="none"/>
                <w:u w:val="none"/>
                <w:lang w:val="en-US" w:eastAsia="zh-CN" w:bidi="ar"/>
              </w:rPr>
              <w:t>具有</w:t>
            </w:r>
            <w:r>
              <w:rPr>
                <w:rFonts w:hint="eastAsia" w:ascii="宋体" w:hAnsi="宋体" w:eastAsia="宋体" w:cs="宋体"/>
                <w:i w:val="0"/>
                <w:iCs w:val="0"/>
                <w:color w:val="auto"/>
                <w:kern w:val="0"/>
                <w:sz w:val="24"/>
                <w:szCs w:val="24"/>
                <w:highlight w:val="none"/>
                <w:u w:val="none"/>
                <w:lang w:val="en-US" w:eastAsia="zh-CN" w:bidi="ar"/>
              </w:rPr>
              <w:t>原厂服务</w:t>
            </w:r>
            <w:r>
              <w:rPr>
                <w:rFonts w:hint="eastAsia" w:ascii="宋体" w:hAnsi="宋体" w:cs="宋体"/>
                <w:i w:val="0"/>
                <w:iCs w:val="0"/>
                <w:color w:val="auto"/>
                <w:kern w:val="0"/>
                <w:sz w:val="24"/>
                <w:szCs w:val="24"/>
                <w:highlight w:val="none"/>
                <w:u w:val="none"/>
                <w:lang w:val="en-US" w:eastAsia="zh-CN" w:bidi="ar"/>
              </w:rPr>
              <w:t>及</w:t>
            </w:r>
            <w:r>
              <w:rPr>
                <w:rFonts w:hint="eastAsia" w:ascii="宋体" w:hAnsi="宋体" w:eastAsia="宋体" w:cs="宋体"/>
                <w:i w:val="0"/>
                <w:iCs w:val="0"/>
                <w:color w:val="auto"/>
                <w:kern w:val="0"/>
                <w:sz w:val="24"/>
                <w:szCs w:val="24"/>
                <w:highlight w:val="none"/>
                <w:u w:val="none"/>
                <w:lang w:val="en-US" w:eastAsia="zh-CN" w:bidi="ar"/>
              </w:rPr>
              <w:t>原厂质</w:t>
            </w:r>
            <w:r>
              <w:rPr>
                <w:rFonts w:hint="eastAsia" w:ascii="宋体" w:hAnsi="宋体" w:cs="宋体"/>
                <w:i w:val="0"/>
                <w:iCs w:val="0"/>
                <w:color w:val="auto"/>
                <w:kern w:val="0"/>
                <w:sz w:val="24"/>
                <w:szCs w:val="24"/>
                <w:highlight w:val="none"/>
                <w:u w:val="none"/>
                <w:lang w:val="en-US" w:eastAsia="zh-CN" w:bidi="ar"/>
              </w:rPr>
              <w:t>保线管承诺</w:t>
            </w:r>
            <w:r>
              <w:rPr>
                <w:rFonts w:hint="eastAsia" w:ascii="宋体" w:hAnsi="宋体" w:eastAsia="宋体" w:cs="宋体"/>
                <w:i w:val="0"/>
                <w:iCs w:val="0"/>
                <w:color w:val="auto"/>
                <w:kern w:val="0"/>
                <w:sz w:val="24"/>
                <w:szCs w:val="24"/>
                <w:highlight w:val="none"/>
                <w:u w:val="none"/>
                <w:lang w:val="en-US" w:eastAsia="zh-CN" w:bidi="ar"/>
              </w:rPr>
              <w:t>的得2.1-5.0分。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（3）供应商所承诺维保延长服务的较不详实、建议较不合理、</w:t>
            </w:r>
            <w:r>
              <w:rPr>
                <w:rFonts w:hint="eastAsia" w:ascii="宋体" w:hAnsi="宋体" w:cs="宋体"/>
                <w:i w:val="0"/>
                <w:iCs w:val="0"/>
                <w:color w:val="auto"/>
                <w:kern w:val="0"/>
                <w:sz w:val="24"/>
                <w:szCs w:val="24"/>
                <w:highlight w:val="none"/>
                <w:u w:val="none"/>
                <w:lang w:val="en-US" w:eastAsia="zh-CN" w:bidi="ar"/>
              </w:rPr>
              <w:t>具有保障力度不够</w:t>
            </w:r>
            <w:r>
              <w:rPr>
                <w:rFonts w:hint="eastAsia" w:ascii="宋体" w:hAnsi="宋体" w:eastAsia="宋体" w:cs="宋体"/>
                <w:i w:val="0"/>
                <w:iCs w:val="0"/>
                <w:color w:val="auto"/>
                <w:kern w:val="0"/>
                <w:sz w:val="24"/>
                <w:szCs w:val="24"/>
                <w:highlight w:val="none"/>
                <w:u w:val="none"/>
                <w:lang w:val="en-US" w:eastAsia="zh-CN" w:bidi="ar"/>
              </w:rPr>
              <w:t>的得0.1-2.0分。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未提供不得分。</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309C0C7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r>
      <w:tr w14:paraId="2B7C0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1"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1FE8B19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备品备件情况</w:t>
            </w:r>
          </w:p>
          <w:p w14:paraId="1684967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（5分）</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6987A7A0">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供应商拟投入本项目的备品备件</w:t>
            </w:r>
            <w:r>
              <w:rPr>
                <w:rFonts w:hint="eastAsia" w:ascii="宋体" w:hAnsi="宋体" w:cs="宋体"/>
                <w:b/>
                <w:bCs/>
                <w:i w:val="0"/>
                <w:iCs w:val="0"/>
                <w:color w:val="auto"/>
                <w:kern w:val="0"/>
                <w:sz w:val="24"/>
                <w:szCs w:val="24"/>
                <w:highlight w:val="none"/>
                <w:u w:val="none"/>
                <w:lang w:val="en-US" w:eastAsia="zh-CN" w:bidi="ar"/>
              </w:rPr>
              <w:t>情况</w:t>
            </w:r>
            <w:r>
              <w:rPr>
                <w:rFonts w:hint="eastAsia" w:ascii="宋体" w:hAnsi="宋体" w:eastAsia="宋体" w:cs="宋体"/>
                <w:b/>
                <w:bCs/>
                <w:i w:val="0"/>
                <w:iCs w:val="0"/>
                <w:color w:val="auto"/>
                <w:kern w:val="0"/>
                <w:sz w:val="24"/>
                <w:szCs w:val="24"/>
                <w:highlight w:val="none"/>
                <w:u w:val="none"/>
                <w:lang w:val="en-US" w:eastAsia="zh-CN" w:bidi="ar"/>
              </w:rPr>
              <w:t>（主要包括显示器、电脑主机、打印机、复印机、扫描仪等应急备品备件）进行综合评分：</w:t>
            </w:r>
          </w:p>
          <w:p w14:paraId="0884D326">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（1）备件库备件储备充实且承诺备品备件到达现场响应时间为2（含本数）小时以内的得3.1-5.0分；</w:t>
            </w:r>
          </w:p>
          <w:p w14:paraId="324B04C5">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（2）备件库备件较多且承诺备品备件到达现场响应时间为2（不含本数）-3（含本数）小时的得1.1-3.0分；</w:t>
            </w:r>
          </w:p>
          <w:p w14:paraId="10ACAC51">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（3）备件库有部分备件且承诺备品备件到达现场响应时间为3（不含本数）-4（含本数）小时的得0.1-1.0分；</w:t>
            </w:r>
          </w:p>
          <w:p w14:paraId="59159332">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（4）备品备件到达现场响应时间为4小时（不含本数）以上或备品备件库满足不了成交需求或响应时间不切合实际的均不得分。</w:t>
            </w:r>
          </w:p>
          <w:p w14:paraId="6AC6D47A">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未提供不得分。</w:t>
            </w:r>
          </w:p>
          <w:p w14:paraId="5F9AF342">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color w:val="auto"/>
                <w:kern w:val="2"/>
                <w:sz w:val="24"/>
                <w:szCs w:val="24"/>
                <w:highlight w:val="none"/>
                <w:lang w:val="en-US" w:eastAsia="zh-CN" w:bidi="ar-SA"/>
              </w:rPr>
              <w:t>注：提供相应证明材料，未提供或缺项均不得分。</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075C756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14:paraId="22BFC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20672C2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类似</w:t>
            </w:r>
            <w:r>
              <w:rPr>
                <w:rFonts w:hint="eastAsia" w:ascii="宋体" w:hAnsi="宋体" w:eastAsia="宋体" w:cs="宋体"/>
                <w:i w:val="0"/>
                <w:iCs w:val="0"/>
                <w:color w:val="auto"/>
                <w:kern w:val="0"/>
                <w:sz w:val="24"/>
                <w:szCs w:val="24"/>
                <w:highlight w:val="none"/>
                <w:u w:val="none"/>
                <w:lang w:val="en-US" w:eastAsia="zh-CN" w:bidi="ar"/>
              </w:rPr>
              <w:t>业绩</w:t>
            </w:r>
          </w:p>
          <w:p w14:paraId="79FBD2C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（2分）</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3AADEDD5">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供应商自2022年6月1日以来</w:t>
            </w:r>
            <w:r>
              <w:rPr>
                <w:rFonts w:hint="eastAsia" w:ascii="宋体" w:hAnsi="宋体" w:eastAsia="宋体" w:cs="宋体"/>
                <w:b/>
                <w:bCs/>
                <w:i w:val="0"/>
                <w:iCs w:val="0"/>
                <w:color w:val="auto"/>
                <w:kern w:val="0"/>
                <w:sz w:val="24"/>
                <w:szCs w:val="24"/>
                <w:highlight w:val="none"/>
                <w:u w:val="none"/>
                <w:lang w:val="en-US" w:eastAsia="zh-CN" w:bidi="ar"/>
              </w:rPr>
              <w:t>（以合同签订时间为准）</w:t>
            </w:r>
            <w:r>
              <w:rPr>
                <w:rFonts w:hint="eastAsia" w:ascii="宋体" w:hAnsi="宋体" w:eastAsia="宋体" w:cs="宋体"/>
                <w:i w:val="0"/>
                <w:iCs w:val="0"/>
                <w:color w:val="auto"/>
                <w:kern w:val="0"/>
                <w:sz w:val="24"/>
                <w:szCs w:val="24"/>
                <w:highlight w:val="none"/>
                <w:u w:val="none"/>
                <w:lang w:val="en-US" w:eastAsia="zh-CN" w:bidi="ar"/>
              </w:rPr>
              <w:t>类似维保服务案例，每提供一份有效业绩得0.5分。相同用户业绩不重复计分，本项最多得2分。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注：</w:t>
            </w:r>
            <w:r>
              <w:rPr>
                <w:rFonts w:hint="eastAsia" w:ascii="宋体" w:hAnsi="宋体" w:cs="宋体"/>
                <w:b/>
                <w:bCs/>
                <w:i w:val="0"/>
                <w:iCs w:val="0"/>
                <w:color w:val="auto"/>
                <w:kern w:val="0"/>
                <w:sz w:val="24"/>
                <w:szCs w:val="24"/>
                <w:highlight w:val="none"/>
                <w:u w:val="none"/>
                <w:lang w:val="en-US" w:eastAsia="zh-CN" w:bidi="ar"/>
              </w:rPr>
              <w:t>在投标文件中</w:t>
            </w:r>
            <w:r>
              <w:rPr>
                <w:rFonts w:hint="eastAsia" w:ascii="宋体" w:hAnsi="宋体" w:eastAsia="宋体" w:cs="宋体"/>
                <w:b/>
                <w:bCs/>
                <w:i w:val="0"/>
                <w:iCs w:val="0"/>
                <w:color w:val="auto"/>
                <w:kern w:val="0"/>
                <w:sz w:val="24"/>
                <w:szCs w:val="24"/>
                <w:highlight w:val="none"/>
                <w:u w:val="none"/>
                <w:lang w:val="en-US" w:eastAsia="zh-CN" w:bidi="ar"/>
              </w:rPr>
              <w:t>提供合同复印件，否则不得分。</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1F499AB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14:paraId="22F7E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noWrap w:val="0"/>
            <w:vAlign w:val="center"/>
          </w:tcPr>
          <w:p w14:paraId="55FF323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项目团队实力</w:t>
            </w:r>
          </w:p>
          <w:p w14:paraId="6ADDC09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（15分）</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15B3D58D">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1.供应商为本项目提供的项目负责人：</w:t>
            </w:r>
          </w:p>
          <w:p w14:paraId="235DB0C6">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具有</w:t>
            </w:r>
            <w:r>
              <w:rPr>
                <w:rFonts w:hint="eastAsia" w:ascii="宋体" w:hAnsi="宋体" w:eastAsia="宋体" w:cs="宋体"/>
                <w:i w:val="0"/>
                <w:iCs w:val="0"/>
                <w:color w:val="auto"/>
                <w:kern w:val="0"/>
                <w:sz w:val="24"/>
                <w:szCs w:val="24"/>
                <w:highlight w:val="none"/>
                <w:u w:val="single"/>
                <w:lang w:val="en-US" w:eastAsia="zh-CN" w:bidi="ar"/>
              </w:rPr>
              <w:t>信息系统集成及服务项目经理证书</w:t>
            </w:r>
            <w:r>
              <w:rPr>
                <w:rFonts w:hint="eastAsia" w:ascii="宋体" w:hAnsi="宋体" w:eastAsia="宋体" w:cs="宋体"/>
                <w:i w:val="0"/>
                <w:iCs w:val="0"/>
                <w:color w:val="auto"/>
                <w:kern w:val="0"/>
                <w:sz w:val="24"/>
                <w:szCs w:val="24"/>
                <w:highlight w:val="none"/>
                <w:u w:val="none"/>
                <w:lang w:val="en-US" w:eastAsia="zh-CN" w:bidi="ar"/>
              </w:rPr>
              <w:t>的得</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分；</w:t>
            </w:r>
          </w:p>
          <w:p w14:paraId="1D4D1889">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具有（国家有关部门认可的如人力资源和社会保障部、工业和信息化部颁发的）</w:t>
            </w:r>
            <w:r>
              <w:rPr>
                <w:rFonts w:hint="eastAsia" w:ascii="宋体" w:hAnsi="宋体" w:eastAsia="宋体" w:cs="宋体"/>
                <w:i w:val="0"/>
                <w:iCs w:val="0"/>
                <w:color w:val="auto"/>
                <w:kern w:val="0"/>
                <w:sz w:val="24"/>
                <w:szCs w:val="24"/>
                <w:highlight w:val="none"/>
                <w:u w:val="single"/>
                <w:lang w:val="en-US" w:eastAsia="zh-CN" w:bidi="ar"/>
              </w:rPr>
              <w:t>计算机技术与软件专业技术资格(水平)</w:t>
            </w:r>
            <w:r>
              <w:rPr>
                <w:rFonts w:hint="eastAsia" w:ascii="宋体" w:hAnsi="宋体" w:eastAsia="宋体" w:cs="宋体"/>
                <w:i w:val="0"/>
                <w:iCs w:val="0"/>
                <w:color w:val="auto"/>
                <w:kern w:val="0"/>
                <w:sz w:val="24"/>
                <w:szCs w:val="24"/>
                <w:highlight w:val="none"/>
                <w:u w:val="none"/>
                <w:lang w:val="en-US" w:eastAsia="zh-CN" w:bidi="ar"/>
              </w:rPr>
              <w:t>证书的得</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分；</w:t>
            </w:r>
          </w:p>
          <w:p w14:paraId="74FA5943">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本项</w:t>
            </w:r>
            <w:r>
              <w:rPr>
                <w:rFonts w:hint="eastAsia" w:ascii="宋体" w:hAnsi="宋体" w:cs="宋体"/>
                <w:i w:val="0"/>
                <w:iCs w:val="0"/>
                <w:color w:val="auto"/>
                <w:kern w:val="0"/>
                <w:sz w:val="24"/>
                <w:szCs w:val="24"/>
                <w:highlight w:val="none"/>
                <w:u w:val="none"/>
                <w:lang w:val="en-US" w:eastAsia="zh-CN" w:bidi="ar"/>
              </w:rPr>
              <w:t>共</w:t>
            </w:r>
            <w:r>
              <w:rPr>
                <w:rFonts w:hint="eastAsia" w:ascii="宋体" w:hAnsi="宋体" w:eastAsia="宋体" w:cs="宋体"/>
                <w:i w:val="0"/>
                <w:iCs w:val="0"/>
                <w:color w:val="auto"/>
                <w:kern w:val="0"/>
                <w:sz w:val="24"/>
                <w:szCs w:val="24"/>
                <w:highlight w:val="none"/>
                <w:u w:val="none"/>
                <w:lang w:val="en-US" w:eastAsia="zh-CN" w:bidi="ar"/>
              </w:rPr>
              <w:t>得4分。</w:t>
            </w:r>
          </w:p>
          <w:p w14:paraId="2485C770">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注：在投标文件中提供相关人员证书复印件及社保部门出具的磋商截止时间前近一个月供应商为其缴纳社会保险的证明材料复印件并加盖供应商公章，不提供或提供不全的不得分</w:t>
            </w:r>
            <w:r>
              <w:rPr>
                <w:rFonts w:hint="eastAsia" w:ascii="宋体" w:hAnsi="宋体" w:cs="宋体"/>
                <w:b/>
                <w:bCs/>
                <w:i w:val="0"/>
                <w:iCs w:val="0"/>
                <w:color w:val="auto"/>
                <w:kern w:val="0"/>
                <w:sz w:val="24"/>
                <w:szCs w:val="24"/>
                <w:highlight w:val="none"/>
                <w:u w:val="none"/>
                <w:lang w:val="en-US" w:eastAsia="zh-CN" w:bidi="ar"/>
              </w:rPr>
              <w:t>。</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17FD300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4</w:t>
            </w:r>
          </w:p>
        </w:tc>
      </w:tr>
      <w:tr w14:paraId="3C5B6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006CB8">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4"/>
                <w:szCs w:val="24"/>
                <w:highlight w:val="none"/>
                <w:u w:val="none"/>
              </w:rPr>
            </w:pPr>
          </w:p>
        </w:tc>
        <w:tc>
          <w:tcPr>
            <w:tcW w:w="7034" w:type="dxa"/>
            <w:tcBorders>
              <w:top w:val="single" w:color="000000" w:sz="4" w:space="0"/>
              <w:left w:val="single" w:color="000000" w:sz="4" w:space="0"/>
              <w:bottom w:val="single" w:color="auto" w:sz="4" w:space="0"/>
              <w:right w:val="single" w:color="000000" w:sz="4" w:space="0"/>
            </w:tcBorders>
            <w:noWrap w:val="0"/>
            <w:vAlign w:val="center"/>
          </w:tcPr>
          <w:p w14:paraId="3436896D">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2.拟派驻点人员（除项目负责人外）具</w:t>
            </w:r>
            <w:r>
              <w:rPr>
                <w:rFonts w:hint="eastAsia" w:ascii="宋体" w:hAnsi="宋体" w:cs="宋体"/>
                <w:i w:val="0"/>
                <w:iCs w:val="0"/>
                <w:color w:val="auto"/>
                <w:kern w:val="0"/>
                <w:sz w:val="24"/>
                <w:szCs w:val="24"/>
                <w:highlight w:val="none"/>
                <w:u w:val="none"/>
                <w:lang w:val="en-US" w:eastAsia="zh-CN" w:bidi="ar"/>
              </w:rPr>
              <w:t>有</w:t>
            </w:r>
            <w:r>
              <w:rPr>
                <w:rFonts w:hint="eastAsia" w:ascii="宋体" w:hAnsi="宋体" w:eastAsia="宋体" w:cs="宋体"/>
                <w:i w:val="0"/>
                <w:iCs w:val="0"/>
                <w:color w:val="auto"/>
                <w:kern w:val="0"/>
                <w:sz w:val="24"/>
                <w:szCs w:val="24"/>
                <w:highlight w:val="none"/>
                <w:u w:val="none"/>
                <w:lang w:val="en-US" w:eastAsia="zh-CN" w:bidi="ar"/>
              </w:rPr>
              <w:t>(国家有关部门认可的，如人力资源和社会保障部、工业和信息化部颁发的）计算机技术与软件专业技术资格(水平)证书，（工业和信息化部教育与考试中心等机构颁发的）中级及以上网络工程师等职业技能证书</w:t>
            </w:r>
            <w:r>
              <w:rPr>
                <w:rFonts w:hint="eastAsia" w:ascii="宋体" w:hAnsi="宋体" w:cs="宋体"/>
                <w:i w:val="0"/>
                <w:iCs w:val="0"/>
                <w:color w:val="auto"/>
                <w:kern w:val="0"/>
                <w:sz w:val="24"/>
                <w:szCs w:val="24"/>
                <w:highlight w:val="none"/>
                <w:u w:val="none"/>
                <w:lang w:val="en-US" w:eastAsia="zh-CN" w:bidi="ar"/>
              </w:rPr>
              <w:t>的，</w:t>
            </w:r>
            <w:r>
              <w:rPr>
                <w:rFonts w:hint="eastAsia" w:ascii="宋体" w:hAnsi="宋体" w:eastAsia="宋体" w:cs="宋体"/>
                <w:i w:val="0"/>
                <w:iCs w:val="0"/>
                <w:color w:val="auto"/>
                <w:kern w:val="0"/>
                <w:sz w:val="24"/>
                <w:szCs w:val="24"/>
                <w:highlight w:val="none"/>
                <w:u w:val="none"/>
                <w:lang w:val="en-US" w:eastAsia="zh-CN" w:bidi="ar"/>
              </w:rPr>
              <w:t>每个</w:t>
            </w:r>
            <w:r>
              <w:rPr>
                <w:rFonts w:hint="eastAsia" w:ascii="宋体" w:hAnsi="宋体" w:cs="宋体"/>
                <w:i w:val="0"/>
                <w:iCs w:val="0"/>
                <w:color w:val="auto"/>
                <w:kern w:val="0"/>
                <w:sz w:val="24"/>
                <w:szCs w:val="24"/>
                <w:highlight w:val="none"/>
                <w:u w:val="none"/>
                <w:lang w:val="en-US" w:eastAsia="zh-CN" w:bidi="ar"/>
              </w:rPr>
              <w:t>证书</w:t>
            </w:r>
            <w:r>
              <w:rPr>
                <w:rFonts w:hint="eastAsia" w:ascii="宋体" w:hAnsi="宋体" w:eastAsia="宋体" w:cs="宋体"/>
                <w:i w:val="0"/>
                <w:iCs w:val="0"/>
                <w:color w:val="auto"/>
                <w:kern w:val="0"/>
                <w:sz w:val="24"/>
                <w:szCs w:val="24"/>
                <w:highlight w:val="none"/>
                <w:u w:val="none"/>
                <w:lang w:val="en-US" w:eastAsia="zh-CN" w:bidi="ar"/>
              </w:rPr>
              <w:t>得1分，最高得</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分。</w:t>
            </w:r>
          </w:p>
          <w:p w14:paraId="2F244EA6">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注：在投标文件中提供相关人员证书复印件及社保部门出具的在磋商截止时间前近一个月供应商为其缴纳社会保险的证明材料复印件并加盖供应商公章，不提供或提供不全的不得分。一人多项资格或多人具有同一项资格的均按1分</w:t>
            </w:r>
            <w:r>
              <w:rPr>
                <w:rFonts w:hint="eastAsia" w:ascii="宋体" w:hAnsi="宋体" w:cs="宋体"/>
                <w:b/>
                <w:bCs/>
                <w:i w:val="0"/>
                <w:iCs w:val="0"/>
                <w:color w:val="auto"/>
                <w:kern w:val="0"/>
                <w:sz w:val="24"/>
                <w:szCs w:val="24"/>
                <w:highlight w:val="none"/>
                <w:u w:val="none"/>
                <w:lang w:val="en-US" w:eastAsia="zh-CN" w:bidi="ar"/>
              </w:rPr>
              <w:t>。</w:t>
            </w:r>
          </w:p>
        </w:tc>
        <w:tc>
          <w:tcPr>
            <w:tcW w:w="757" w:type="dxa"/>
            <w:tcBorders>
              <w:top w:val="single" w:color="000000" w:sz="4" w:space="0"/>
              <w:left w:val="single" w:color="000000" w:sz="4" w:space="0"/>
              <w:bottom w:val="single" w:color="auto" w:sz="4" w:space="0"/>
              <w:right w:val="single" w:color="000000" w:sz="4" w:space="0"/>
            </w:tcBorders>
            <w:noWrap w:val="0"/>
            <w:vAlign w:val="center"/>
          </w:tcPr>
          <w:p w14:paraId="38E5123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5</w:t>
            </w:r>
          </w:p>
        </w:tc>
      </w:tr>
      <w:tr w14:paraId="5A64F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jc w:val="center"/>
        </w:trPr>
        <w:tc>
          <w:tcPr>
            <w:tcW w:w="1413" w:type="dxa"/>
            <w:vMerge w:val="continue"/>
            <w:tcBorders>
              <w:left w:val="single" w:color="000000" w:sz="4" w:space="0"/>
              <w:bottom w:val="single" w:color="000000" w:sz="4" w:space="0"/>
              <w:right w:val="single" w:color="000000" w:sz="4" w:space="0"/>
            </w:tcBorders>
            <w:noWrap w:val="0"/>
            <w:vAlign w:val="center"/>
          </w:tcPr>
          <w:p w14:paraId="4C4CC2ED">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4"/>
                <w:szCs w:val="24"/>
                <w:highlight w:val="none"/>
                <w:u w:val="none"/>
              </w:rPr>
            </w:pPr>
          </w:p>
        </w:tc>
        <w:tc>
          <w:tcPr>
            <w:tcW w:w="7034" w:type="dxa"/>
            <w:tcBorders>
              <w:top w:val="single" w:color="auto" w:sz="4" w:space="0"/>
              <w:left w:val="single" w:color="000000" w:sz="4" w:space="0"/>
              <w:bottom w:val="single" w:color="000000" w:sz="4" w:space="0"/>
              <w:right w:val="single" w:color="000000" w:sz="4" w:space="0"/>
            </w:tcBorders>
            <w:noWrap w:val="0"/>
            <w:vAlign w:val="center"/>
          </w:tcPr>
          <w:p w14:paraId="0346334B">
            <w:pPr>
              <w:keepNext w:val="0"/>
              <w:keepLines w:val="0"/>
              <w:widowControl/>
              <w:numPr>
                <w:ilvl w:val="0"/>
                <w:numId w:val="0"/>
              </w:numPr>
              <w:suppressLineNumbers w:val="0"/>
              <w:spacing w:before="0" w:beforeAutospacing="0" w:after="0" w:afterAutospacing="0" w:line="360" w:lineRule="auto"/>
              <w:ind w:left="0" w:leftChars="0" w:right="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4"/>
                <w:szCs w:val="24"/>
                <w:highlight w:val="none"/>
                <w:u w:val="none"/>
                <w:lang w:val="en-US" w:eastAsia="zh-CN" w:bidi="ar"/>
              </w:rPr>
              <w:t>3.拟派驻点人员具</w:t>
            </w:r>
            <w:r>
              <w:rPr>
                <w:rFonts w:hint="eastAsia" w:ascii="宋体" w:hAnsi="宋体" w:cs="宋体"/>
                <w:i w:val="0"/>
                <w:iCs w:val="0"/>
                <w:color w:val="auto"/>
                <w:kern w:val="0"/>
                <w:sz w:val="24"/>
                <w:szCs w:val="24"/>
                <w:highlight w:val="none"/>
                <w:u w:val="none"/>
                <w:lang w:val="en-US" w:eastAsia="zh-CN" w:bidi="ar"/>
              </w:rPr>
              <w:t>有</w:t>
            </w:r>
            <w:r>
              <w:rPr>
                <w:rFonts w:hint="eastAsia" w:ascii="宋体" w:hAnsi="宋体" w:eastAsia="宋体" w:cs="宋体"/>
                <w:i w:val="0"/>
                <w:iCs w:val="0"/>
                <w:color w:val="auto"/>
                <w:kern w:val="0"/>
                <w:sz w:val="24"/>
                <w:szCs w:val="24"/>
                <w:highlight w:val="none"/>
                <w:u w:val="none"/>
                <w:lang w:val="en-US" w:eastAsia="zh-CN" w:bidi="ar"/>
              </w:rPr>
              <w:t>3年以上信息化办公维护经验</w:t>
            </w:r>
            <w:r>
              <w:rPr>
                <w:rFonts w:hint="eastAsia" w:ascii="宋体" w:hAnsi="宋体" w:cs="宋体"/>
                <w:i w:val="0"/>
                <w:iCs w:val="0"/>
                <w:color w:val="auto"/>
                <w:kern w:val="0"/>
                <w:sz w:val="24"/>
                <w:szCs w:val="24"/>
                <w:highlight w:val="none"/>
                <w:u w:val="none"/>
                <w:lang w:val="en-US" w:eastAsia="zh-CN" w:bidi="ar"/>
              </w:rPr>
              <w:t>的</w:t>
            </w:r>
            <w:r>
              <w:rPr>
                <w:rFonts w:hint="eastAsia" w:ascii="宋体" w:hAnsi="宋体" w:eastAsia="宋体" w:cs="宋体"/>
                <w:i w:val="0"/>
                <w:iCs w:val="0"/>
                <w:color w:val="auto"/>
                <w:kern w:val="0"/>
                <w:sz w:val="24"/>
                <w:szCs w:val="24"/>
                <w:highlight w:val="none"/>
                <w:u w:val="none"/>
                <w:lang w:val="en-US" w:eastAsia="zh-CN" w:bidi="ar"/>
              </w:rPr>
              <w:t>，每个</w:t>
            </w:r>
            <w:r>
              <w:rPr>
                <w:rFonts w:hint="eastAsia" w:ascii="宋体" w:hAnsi="宋体" w:cs="宋体"/>
                <w:i w:val="0"/>
                <w:iCs w:val="0"/>
                <w:color w:val="auto"/>
                <w:kern w:val="0"/>
                <w:sz w:val="24"/>
                <w:szCs w:val="24"/>
                <w:highlight w:val="none"/>
                <w:u w:val="none"/>
                <w:lang w:val="en-US" w:eastAsia="zh-CN" w:bidi="ar"/>
              </w:rPr>
              <w:t>人员</w:t>
            </w:r>
            <w:r>
              <w:rPr>
                <w:rFonts w:hint="eastAsia" w:ascii="宋体" w:hAnsi="宋体" w:eastAsia="宋体" w:cs="宋体"/>
                <w:i w:val="0"/>
                <w:iCs w:val="0"/>
                <w:color w:val="auto"/>
                <w:kern w:val="0"/>
                <w:sz w:val="24"/>
                <w:szCs w:val="24"/>
                <w:highlight w:val="none"/>
                <w:u w:val="none"/>
                <w:lang w:val="en-US" w:eastAsia="zh-CN" w:bidi="ar"/>
              </w:rPr>
              <w:t>得2分，最高得</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分。</w:t>
            </w:r>
          </w:p>
          <w:p w14:paraId="6EF878B4">
            <w:pPr>
              <w:keepNext w:val="0"/>
              <w:keepLines w:val="0"/>
              <w:widowControl/>
              <w:numPr>
                <w:ilvl w:val="0"/>
                <w:numId w:val="0"/>
              </w:numPr>
              <w:suppressLineNumbers w:val="0"/>
              <w:spacing w:before="0" w:beforeAutospacing="0" w:after="0" w:afterAutospacing="0" w:line="360" w:lineRule="auto"/>
              <w:ind w:left="0" w:leftChars="0" w:right="0"/>
              <w:jc w:val="left"/>
              <w:textAlignment w:val="center"/>
              <w:rPr>
                <w:rFonts w:hint="eastAsia" w:ascii="宋体" w:hAnsi="宋体" w:eastAsia="宋体" w:cs="宋体"/>
                <w:color w:val="auto"/>
                <w:highlight w:val="none"/>
              </w:rPr>
            </w:pPr>
            <w:r>
              <w:rPr>
                <w:rFonts w:hint="eastAsia" w:ascii="宋体" w:hAnsi="宋体" w:cs="宋体"/>
                <w:b/>
                <w:bCs/>
                <w:i w:val="0"/>
                <w:iCs w:val="0"/>
                <w:color w:val="auto"/>
                <w:kern w:val="0"/>
                <w:sz w:val="24"/>
                <w:szCs w:val="24"/>
                <w:highlight w:val="none"/>
                <w:u w:val="none"/>
                <w:lang w:val="en-US" w:eastAsia="zh-CN" w:bidi="ar"/>
              </w:rPr>
              <w:t>注：</w:t>
            </w:r>
            <w:r>
              <w:rPr>
                <w:rFonts w:hint="eastAsia" w:ascii="宋体" w:hAnsi="宋体" w:eastAsia="宋体" w:cs="宋体"/>
                <w:b/>
                <w:bCs/>
                <w:i w:val="0"/>
                <w:iCs w:val="0"/>
                <w:color w:val="auto"/>
                <w:kern w:val="0"/>
                <w:sz w:val="24"/>
                <w:szCs w:val="24"/>
                <w:highlight w:val="none"/>
                <w:u w:val="none"/>
                <w:lang w:val="en-US" w:eastAsia="zh-CN" w:bidi="ar"/>
              </w:rPr>
              <w:t>在投标文件中提供用户单位证明及社保部门出具的在磋商截止时间前近一个月供应商为其缴纳社会保险的证明材料复印件并加盖供应商公章，不提供或提供不全的不得分）</w:t>
            </w:r>
          </w:p>
        </w:tc>
        <w:tc>
          <w:tcPr>
            <w:tcW w:w="757" w:type="dxa"/>
            <w:tcBorders>
              <w:top w:val="single" w:color="auto" w:sz="4" w:space="0"/>
              <w:left w:val="single" w:color="000000" w:sz="4" w:space="0"/>
              <w:bottom w:val="single" w:color="000000" w:sz="4" w:space="0"/>
              <w:right w:val="single" w:color="000000" w:sz="4" w:space="0"/>
            </w:tcBorders>
            <w:noWrap w:val="0"/>
            <w:vAlign w:val="center"/>
          </w:tcPr>
          <w:p w14:paraId="3F3BDBF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r>
      <w:tr w14:paraId="564B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7"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5D7D085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维护工具配备</w:t>
            </w:r>
          </w:p>
          <w:p w14:paraId="085D8B3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（6分）</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41340E74">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供应商给驻场维护人员配备必要的设备维修、保养、检测工具，根据配备的设备</w:t>
            </w:r>
            <w:r>
              <w:rPr>
                <w:rFonts w:hint="eastAsia" w:ascii="宋体" w:hAnsi="宋体" w:cs="宋体"/>
                <w:b/>
                <w:bCs/>
                <w:i w:val="0"/>
                <w:iCs w:val="0"/>
                <w:color w:val="auto"/>
                <w:kern w:val="0"/>
                <w:sz w:val="24"/>
                <w:szCs w:val="24"/>
                <w:highlight w:val="none"/>
                <w:u w:val="none"/>
                <w:lang w:val="en-US" w:eastAsia="zh-CN" w:bidi="ar"/>
              </w:rPr>
              <w:t>情况</w:t>
            </w:r>
            <w:r>
              <w:rPr>
                <w:rFonts w:hint="eastAsia" w:ascii="宋体" w:hAnsi="宋体" w:eastAsia="宋体" w:cs="宋体"/>
                <w:b/>
                <w:bCs/>
                <w:i w:val="0"/>
                <w:iCs w:val="0"/>
                <w:color w:val="auto"/>
                <w:kern w:val="0"/>
                <w:sz w:val="24"/>
                <w:szCs w:val="24"/>
                <w:highlight w:val="none"/>
                <w:u w:val="none"/>
                <w:lang w:val="en-US" w:eastAsia="zh-CN" w:bidi="ar"/>
              </w:rPr>
              <w:t>进行综合评分：</w:t>
            </w:r>
          </w:p>
          <w:p w14:paraId="67428B77">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（1）配备的设备种类齐全数量充足，类型完备的得4.1-6.0分；</w:t>
            </w:r>
          </w:p>
          <w:p w14:paraId="61893FDC">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（2）配备的设备种类基本完善且数量充足，类型较完备的得2.1-4.0分；</w:t>
            </w:r>
          </w:p>
          <w:p w14:paraId="738219FF">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（3）配备的设备种类不够齐全或数量不够充足，类型有待完备的得0.1-2.0分；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未提供不得分。</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6F99507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r>
      <w:tr w14:paraId="54E28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4F8B287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报价得分</w:t>
            </w:r>
          </w:p>
          <w:p w14:paraId="46C2120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（20分）</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0AD09884">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以合格供应商有效总报价中的最低价为基准价，基准价为20分。报价得分＝（评标基准价/最终响应报价）×20%×100（小数点后保留2位小数）。</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66AB550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r>
    </w:tbl>
    <w:p w14:paraId="172ADC75">
      <w:pPr>
        <w:pStyle w:val="3"/>
        <w:ind w:left="0" w:leftChars="0"/>
        <w:rPr>
          <w:color w:val="auto"/>
          <w:highlight w:val="none"/>
        </w:rPr>
      </w:pPr>
    </w:p>
    <w:p w14:paraId="2D619EA5">
      <w:pPr>
        <w:rPr>
          <w:color w:val="auto"/>
          <w:sz w:val="24"/>
          <w:highlight w:val="none"/>
        </w:rPr>
      </w:pPr>
    </w:p>
    <w:p w14:paraId="6B368FBE">
      <w:pPr>
        <w:pStyle w:val="46"/>
        <w:rPr>
          <w:color w:val="auto"/>
          <w:sz w:val="24"/>
          <w:highlight w:val="none"/>
        </w:rPr>
      </w:pPr>
    </w:p>
    <w:p w14:paraId="1766CEF3">
      <w:pPr>
        <w:pStyle w:val="46"/>
        <w:rPr>
          <w:color w:val="auto"/>
          <w:sz w:val="24"/>
          <w:highlight w:val="none"/>
        </w:rPr>
      </w:pPr>
    </w:p>
    <w:p w14:paraId="1B641821">
      <w:pPr>
        <w:rPr>
          <w:color w:val="auto"/>
          <w:sz w:val="24"/>
          <w:highlight w:val="none"/>
        </w:rPr>
      </w:pPr>
      <w:r>
        <w:rPr>
          <w:color w:val="auto"/>
          <w:sz w:val="24"/>
          <w:highlight w:val="none"/>
        </w:rPr>
        <w:br w:type="page"/>
      </w:r>
    </w:p>
    <w:p w14:paraId="685C2396">
      <w:pPr>
        <w:numPr>
          <w:ilvl w:val="0"/>
          <w:numId w:val="5"/>
        </w:numPr>
        <w:spacing w:line="360" w:lineRule="auto"/>
        <w:jc w:val="cente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sz w:val="36"/>
          <w:szCs w:val="36"/>
          <w:highlight w:val="none"/>
        </w:rPr>
        <w:t>公开招标需求</w:t>
      </w:r>
    </w:p>
    <w:p w14:paraId="724F6D51">
      <w:pPr>
        <w:pStyle w:val="52"/>
        <w:numPr>
          <w:ilvl w:val="0"/>
          <w:numId w:val="7"/>
        </w:numPr>
        <w:spacing w:line="360" w:lineRule="auto"/>
        <w:ind w:firstLineChars="0"/>
        <w:rPr>
          <w:rFonts w:asciiTheme="majorEastAsia" w:hAnsiTheme="majorEastAsia" w:eastAsiaTheme="majorEastAsia" w:cstheme="minorBidi"/>
          <w:b/>
          <w:bCs/>
          <w:color w:val="auto"/>
          <w:kern w:val="0"/>
          <w:sz w:val="30"/>
          <w:szCs w:val="30"/>
          <w:highlight w:val="none"/>
        </w:rPr>
      </w:pPr>
      <w:r>
        <w:rPr>
          <w:rFonts w:hint="eastAsia" w:asciiTheme="majorEastAsia" w:hAnsiTheme="majorEastAsia" w:eastAsiaTheme="majorEastAsia" w:cstheme="minorBidi"/>
          <w:b/>
          <w:bCs/>
          <w:color w:val="auto"/>
          <w:kern w:val="0"/>
          <w:sz w:val="30"/>
          <w:szCs w:val="30"/>
          <w:highlight w:val="none"/>
        </w:rPr>
        <w:t>采购项目一览表</w:t>
      </w:r>
    </w:p>
    <w:p w14:paraId="35481B8B">
      <w:pPr>
        <w:tabs>
          <w:tab w:val="left" w:pos="8280"/>
        </w:tabs>
        <w:autoSpaceDE w:val="0"/>
        <w:autoSpaceDN w:val="0"/>
        <w:adjustRightInd w:val="0"/>
        <w:spacing w:line="360" w:lineRule="auto"/>
        <w:ind w:right="25" w:firstLine="28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本次招标共</w:t>
      </w:r>
      <w:r>
        <w:rPr>
          <w:rFonts w:asciiTheme="majorEastAsia" w:hAnsiTheme="majorEastAsia" w:eastAsiaTheme="majorEastAsia"/>
          <w:color w:val="auto"/>
          <w:sz w:val="24"/>
          <w:highlight w:val="none"/>
          <w:u w:val="single"/>
        </w:rPr>
        <w:t>1</w:t>
      </w:r>
      <w:r>
        <w:rPr>
          <w:rFonts w:hint="eastAsia" w:asciiTheme="majorEastAsia" w:hAnsiTheme="majorEastAsia" w:eastAsiaTheme="majorEastAsia"/>
          <w:color w:val="auto"/>
          <w:sz w:val="24"/>
          <w:highlight w:val="none"/>
        </w:rPr>
        <w:t>个标段，具体内容如下表：</w:t>
      </w:r>
    </w:p>
    <w:tbl>
      <w:tblPr>
        <w:tblStyle w:val="35"/>
        <w:tblW w:w="10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673"/>
        <w:gridCol w:w="1114"/>
        <w:gridCol w:w="796"/>
        <w:gridCol w:w="796"/>
        <w:gridCol w:w="1288"/>
        <w:gridCol w:w="1466"/>
        <w:gridCol w:w="2296"/>
      </w:tblGrid>
      <w:tr w14:paraId="14CA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59" w:type="dxa"/>
            <w:vAlign w:val="center"/>
          </w:tcPr>
          <w:p w14:paraId="1AA9E7AD">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标段号</w:t>
            </w:r>
          </w:p>
        </w:tc>
        <w:tc>
          <w:tcPr>
            <w:tcW w:w="1673" w:type="dxa"/>
            <w:vAlign w:val="center"/>
          </w:tcPr>
          <w:p w14:paraId="22A6266F">
            <w:pPr>
              <w:keepNext w:val="0"/>
              <w:keepLines w:val="0"/>
              <w:suppressLineNumbers w:val="0"/>
              <w:tabs>
                <w:tab w:val="left" w:pos="8280"/>
              </w:tabs>
              <w:autoSpaceDE w:val="0"/>
              <w:autoSpaceDN w:val="0"/>
              <w:adjustRightInd w:val="0"/>
              <w:spacing w:before="0" w:beforeAutospacing="0" w:after="0" w:afterAutospacing="0" w:line="360" w:lineRule="auto"/>
              <w:ind w:left="0" w:right="25" w:firstLine="120" w:firstLineChars="50"/>
              <w:jc w:val="center"/>
              <w:rPr>
                <w:rFonts w:hint="default" w:ascii="宋体" w:hAnsi="宋体" w:cs="宋体"/>
                <w:b/>
                <w:color w:val="auto"/>
                <w:sz w:val="24"/>
                <w:highlight w:val="none"/>
              </w:rPr>
            </w:pPr>
            <w:r>
              <w:rPr>
                <w:rFonts w:hint="eastAsia" w:ascii="宋体" w:hAnsi="宋体" w:cs="宋体"/>
                <w:b/>
                <w:color w:val="auto"/>
                <w:sz w:val="24"/>
                <w:highlight w:val="none"/>
              </w:rPr>
              <w:t>标项内容</w:t>
            </w:r>
          </w:p>
        </w:tc>
        <w:tc>
          <w:tcPr>
            <w:tcW w:w="1114" w:type="dxa"/>
            <w:vAlign w:val="center"/>
          </w:tcPr>
          <w:p w14:paraId="6A14A464">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color w:val="auto"/>
                <w:sz w:val="24"/>
                <w:highlight w:val="none"/>
              </w:rPr>
            </w:pPr>
            <w:r>
              <w:rPr>
                <w:rFonts w:hint="eastAsia" w:ascii="宋体" w:hAnsi="宋体" w:cs="宋体"/>
                <w:b/>
                <w:color w:val="auto"/>
                <w:kern w:val="0"/>
                <w:sz w:val="24"/>
                <w:highlight w:val="none"/>
              </w:rPr>
              <w:t>简要技术要求</w:t>
            </w:r>
          </w:p>
        </w:tc>
        <w:tc>
          <w:tcPr>
            <w:tcW w:w="796" w:type="dxa"/>
            <w:vAlign w:val="center"/>
          </w:tcPr>
          <w:p w14:paraId="0D0C521D">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数量</w:t>
            </w:r>
          </w:p>
        </w:tc>
        <w:tc>
          <w:tcPr>
            <w:tcW w:w="796" w:type="dxa"/>
            <w:vAlign w:val="center"/>
          </w:tcPr>
          <w:p w14:paraId="263D6FF6">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单位</w:t>
            </w:r>
          </w:p>
        </w:tc>
        <w:tc>
          <w:tcPr>
            <w:tcW w:w="1288" w:type="dxa"/>
            <w:vAlign w:val="center"/>
          </w:tcPr>
          <w:p w14:paraId="5801F845">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预算金额（万元）</w:t>
            </w:r>
          </w:p>
        </w:tc>
        <w:tc>
          <w:tcPr>
            <w:tcW w:w="1466" w:type="dxa"/>
            <w:vAlign w:val="center"/>
          </w:tcPr>
          <w:p w14:paraId="03DA092B">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最高限价</w:t>
            </w:r>
          </w:p>
          <w:p w14:paraId="6F053325">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（万元）</w:t>
            </w:r>
          </w:p>
        </w:tc>
        <w:tc>
          <w:tcPr>
            <w:tcW w:w="2296" w:type="dxa"/>
            <w:vAlign w:val="center"/>
          </w:tcPr>
          <w:p w14:paraId="0973387C">
            <w:pPr>
              <w:keepNext w:val="0"/>
              <w:keepLines w:val="0"/>
              <w:suppressLineNumbers w:val="0"/>
              <w:tabs>
                <w:tab w:val="left" w:pos="8280"/>
              </w:tabs>
              <w:autoSpaceDE w:val="0"/>
              <w:autoSpaceDN w:val="0"/>
              <w:adjustRightInd w:val="0"/>
              <w:spacing w:before="0" w:beforeAutospacing="0" w:after="0" w:afterAutospacing="0" w:line="360" w:lineRule="auto"/>
              <w:ind w:left="0" w:right="25" w:firstLine="240"/>
              <w:jc w:val="center"/>
              <w:rPr>
                <w:rFonts w:hint="default" w:ascii="宋体" w:hAnsi="宋体" w:cs="宋体"/>
                <w:b/>
                <w:color w:val="auto"/>
                <w:sz w:val="24"/>
                <w:highlight w:val="none"/>
              </w:rPr>
            </w:pPr>
            <w:r>
              <w:rPr>
                <w:rFonts w:hint="eastAsia" w:ascii="宋体" w:hAnsi="宋体" w:cs="宋体"/>
                <w:b/>
                <w:color w:val="auto"/>
                <w:sz w:val="24"/>
                <w:highlight w:val="none"/>
              </w:rPr>
              <w:t>服务期</w:t>
            </w:r>
          </w:p>
        </w:tc>
      </w:tr>
      <w:tr w14:paraId="4B21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9" w:type="dxa"/>
            <w:vAlign w:val="center"/>
          </w:tcPr>
          <w:p w14:paraId="5016C4EF">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673" w:type="dxa"/>
            <w:vAlign w:val="center"/>
          </w:tcPr>
          <w:p w14:paraId="29A61F07">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eastAsia="zh-CN"/>
              </w:rPr>
              <w:t>台州市公安局交通管理支队2025年信息化办公驻点维护项目</w:t>
            </w:r>
          </w:p>
        </w:tc>
        <w:tc>
          <w:tcPr>
            <w:tcW w:w="1114" w:type="dxa"/>
            <w:vAlign w:val="center"/>
          </w:tcPr>
          <w:p w14:paraId="3EFF630A">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color w:val="auto"/>
                <w:sz w:val="24"/>
                <w:highlight w:val="none"/>
              </w:rPr>
            </w:pPr>
            <w:r>
              <w:rPr>
                <w:rFonts w:hint="eastAsia" w:ascii="宋体" w:hAnsi="宋体" w:cs="宋体"/>
                <w:color w:val="auto"/>
                <w:sz w:val="24"/>
                <w:highlight w:val="none"/>
              </w:rPr>
              <w:t>详见技术需求</w:t>
            </w:r>
          </w:p>
        </w:tc>
        <w:tc>
          <w:tcPr>
            <w:tcW w:w="796" w:type="dxa"/>
            <w:vAlign w:val="center"/>
          </w:tcPr>
          <w:p w14:paraId="1A4E47A8">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796" w:type="dxa"/>
            <w:vAlign w:val="center"/>
          </w:tcPr>
          <w:p w14:paraId="47392FAD">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color w:val="auto"/>
                <w:sz w:val="24"/>
                <w:highlight w:val="none"/>
              </w:rPr>
            </w:pPr>
            <w:r>
              <w:rPr>
                <w:rFonts w:hint="eastAsia" w:ascii="宋体" w:hAnsi="宋体" w:cs="宋体"/>
                <w:color w:val="auto"/>
                <w:sz w:val="24"/>
                <w:highlight w:val="none"/>
              </w:rPr>
              <w:t>批</w:t>
            </w:r>
          </w:p>
        </w:tc>
        <w:tc>
          <w:tcPr>
            <w:tcW w:w="1288" w:type="dxa"/>
            <w:vAlign w:val="center"/>
          </w:tcPr>
          <w:p w14:paraId="2512C5D5">
            <w:pPr>
              <w:keepNext w:val="0"/>
              <w:keepLines w:val="0"/>
              <w:suppressLineNumbers w:val="0"/>
              <w:tabs>
                <w:tab w:val="left" w:pos="8280"/>
              </w:tabs>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60</w:t>
            </w:r>
          </w:p>
        </w:tc>
        <w:tc>
          <w:tcPr>
            <w:tcW w:w="1466" w:type="dxa"/>
            <w:vAlign w:val="center"/>
          </w:tcPr>
          <w:p w14:paraId="7052EEF0">
            <w:pPr>
              <w:keepNext w:val="0"/>
              <w:keepLines w:val="0"/>
              <w:suppressLineNumbers w:val="0"/>
              <w:tabs>
                <w:tab w:val="left" w:pos="8280"/>
              </w:tabs>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57</w:t>
            </w:r>
          </w:p>
        </w:tc>
        <w:tc>
          <w:tcPr>
            <w:tcW w:w="2296" w:type="dxa"/>
            <w:vAlign w:val="center"/>
          </w:tcPr>
          <w:p w14:paraId="1101F3E6">
            <w:pPr>
              <w:keepNext w:val="0"/>
              <w:keepLines w:val="0"/>
              <w:suppressLineNumbers w:val="0"/>
              <w:tabs>
                <w:tab w:val="left" w:pos="8280"/>
              </w:tabs>
              <w:autoSpaceDE w:val="0"/>
              <w:autoSpaceDN w:val="0"/>
              <w:adjustRightIn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 xml:space="preserve">合同签订后一年 </w:t>
            </w:r>
          </w:p>
        </w:tc>
      </w:tr>
    </w:tbl>
    <w:p w14:paraId="0428A4ED">
      <w:pPr>
        <w:pStyle w:val="8"/>
        <w:rPr>
          <w:color w:val="auto"/>
          <w:highlight w:val="none"/>
        </w:rPr>
      </w:pPr>
    </w:p>
    <w:p w14:paraId="468BEAC7">
      <w:pPr>
        <w:pStyle w:val="52"/>
        <w:numPr>
          <w:ilvl w:val="0"/>
          <w:numId w:val="7"/>
        </w:numPr>
        <w:spacing w:line="360" w:lineRule="auto"/>
        <w:ind w:firstLineChars="0"/>
        <w:rPr>
          <w:rFonts w:hint="eastAsia" w:asciiTheme="majorEastAsia" w:hAnsiTheme="majorEastAsia" w:eastAsiaTheme="majorEastAsia" w:cstheme="minorBidi"/>
          <w:b/>
          <w:bCs/>
          <w:color w:val="auto"/>
          <w:kern w:val="0"/>
          <w:sz w:val="30"/>
          <w:szCs w:val="30"/>
          <w:highlight w:val="none"/>
          <w:lang w:val="en-US" w:eastAsia="zh-CN"/>
        </w:rPr>
      </w:pPr>
      <w:bookmarkStart w:id="1" w:name="_Hlk66271521"/>
      <w:r>
        <w:rPr>
          <w:rFonts w:hint="eastAsia" w:asciiTheme="majorEastAsia" w:hAnsiTheme="majorEastAsia" w:eastAsiaTheme="majorEastAsia" w:cstheme="minorBidi"/>
          <w:b/>
          <w:bCs/>
          <w:color w:val="auto"/>
          <w:kern w:val="0"/>
          <w:sz w:val="30"/>
          <w:szCs w:val="30"/>
          <w:highlight w:val="none"/>
          <w:lang w:val="en-US" w:eastAsia="zh-CN"/>
        </w:rPr>
        <w:t>服务内容</w:t>
      </w:r>
    </w:p>
    <w:p w14:paraId="3850797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项目背景</w:t>
      </w:r>
    </w:p>
    <w:p w14:paraId="5763D1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台州市公安局</w:t>
      </w:r>
      <w:r>
        <w:rPr>
          <w:rFonts w:hint="eastAsia" w:ascii="宋体" w:hAnsi="宋体" w:cs="宋体"/>
          <w:color w:val="auto"/>
          <w:sz w:val="24"/>
          <w:szCs w:val="24"/>
          <w:highlight w:val="none"/>
          <w:lang w:eastAsia="zh-CN"/>
        </w:rPr>
        <w:t>交通管理支队</w:t>
      </w:r>
      <w:r>
        <w:rPr>
          <w:rFonts w:hint="eastAsia" w:ascii="宋体" w:hAnsi="宋体" w:eastAsia="宋体" w:cs="宋体"/>
          <w:color w:val="auto"/>
          <w:sz w:val="24"/>
          <w:szCs w:val="24"/>
          <w:highlight w:val="none"/>
        </w:rPr>
        <w:t>（以下简称</w:t>
      </w:r>
      <w:r>
        <w:rPr>
          <w:rFonts w:hint="eastAsia" w:ascii="宋体" w:hAnsi="宋体" w:cs="宋体"/>
          <w:color w:val="auto"/>
          <w:sz w:val="24"/>
          <w:szCs w:val="24"/>
          <w:highlight w:val="none"/>
          <w:lang w:eastAsia="zh-CN"/>
        </w:rPr>
        <w:t>交通管理支队</w:t>
      </w:r>
      <w:r>
        <w:rPr>
          <w:rFonts w:hint="eastAsia" w:ascii="宋体" w:hAnsi="宋体" w:eastAsia="宋体" w:cs="宋体"/>
          <w:color w:val="auto"/>
          <w:sz w:val="24"/>
          <w:szCs w:val="24"/>
          <w:highlight w:val="none"/>
        </w:rPr>
        <w:t>）下辖</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个直属大队、车管所（</w:t>
      </w:r>
      <w:r>
        <w:rPr>
          <w:rFonts w:hint="eastAsia" w:ascii="宋体" w:hAnsi="宋体" w:cs="宋体"/>
          <w:color w:val="auto"/>
          <w:sz w:val="24"/>
          <w:szCs w:val="24"/>
          <w:highlight w:val="none"/>
          <w:lang w:val="en-US" w:eastAsia="zh-CN"/>
        </w:rPr>
        <w:t>含</w:t>
      </w:r>
      <w:r>
        <w:rPr>
          <w:rFonts w:hint="eastAsia" w:ascii="宋体" w:hAnsi="宋体" w:eastAsia="宋体" w:cs="宋体"/>
          <w:color w:val="auto"/>
          <w:sz w:val="24"/>
          <w:szCs w:val="24"/>
          <w:highlight w:val="none"/>
        </w:rPr>
        <w:t>2个考试中心）、20</w:t>
      </w:r>
      <w:r>
        <w:rPr>
          <w:rFonts w:hint="eastAsia" w:ascii="宋体" w:hAnsi="宋体" w:cs="宋体"/>
          <w:color w:val="auto"/>
          <w:sz w:val="24"/>
          <w:szCs w:val="24"/>
          <w:highlight w:val="none"/>
          <w:lang w:val="en-US" w:eastAsia="zh-CN"/>
        </w:rPr>
        <w:t>个</w:t>
      </w:r>
      <w:r>
        <w:rPr>
          <w:rFonts w:hint="eastAsia" w:ascii="宋体" w:hAnsi="宋体" w:eastAsia="宋体" w:cs="宋体"/>
          <w:color w:val="auto"/>
          <w:sz w:val="24"/>
          <w:szCs w:val="24"/>
          <w:highlight w:val="none"/>
        </w:rPr>
        <w:t>直属中队、事故快速处理中心，办公场所</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rPr>
        <w:t>40余处。各直属大队均建有网络机房，实现</w:t>
      </w:r>
      <w:r>
        <w:rPr>
          <w:rFonts w:hint="eastAsia" w:ascii="宋体" w:hAnsi="宋体" w:cs="宋体"/>
          <w:color w:val="auto"/>
          <w:sz w:val="24"/>
          <w:szCs w:val="24"/>
          <w:highlight w:val="none"/>
          <w:lang w:eastAsia="zh-CN"/>
        </w:rPr>
        <w:t>交通管理支队</w:t>
      </w:r>
      <w:r>
        <w:rPr>
          <w:rFonts w:hint="eastAsia" w:ascii="宋体" w:hAnsi="宋体" w:eastAsia="宋体" w:cs="宋体"/>
          <w:color w:val="auto"/>
          <w:sz w:val="24"/>
          <w:szCs w:val="24"/>
          <w:highlight w:val="none"/>
        </w:rPr>
        <w:t>到直属大队双千兆网络互连，直属大队到各下辖中队及车管分所、事故快处中心千兆网络互连的三级网架构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大约700个网络信息节点。信息化办公设备种类烦多，主要有计算机（国产、非国产，便携式），打印机（彩色、黑色、喷墨、激光、针式、专用证件打印机），扫描仪（平板式、反馈式），传真机、复印机、触摸屏，二代证读卡，高拍仪，等办证、办案所需信息化设备。其主要用于窗口办证服务群众、交通事故处理、交通违法处理、日常办公。</w:t>
      </w:r>
    </w:p>
    <w:p w14:paraId="2C9EAEE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网络维护管理内容</w:t>
      </w:r>
      <w:r>
        <w:rPr>
          <w:rFonts w:hint="eastAsia" w:ascii="宋体" w:hAnsi="宋体" w:eastAsia="宋体" w:cs="宋体"/>
          <w:b/>
          <w:bCs/>
          <w:color w:val="auto"/>
          <w:sz w:val="24"/>
          <w:szCs w:val="24"/>
          <w:highlight w:val="none"/>
          <w:lang w:eastAsia="zh-CN"/>
        </w:rPr>
        <w:t>：</w:t>
      </w:r>
    </w:p>
    <w:p w14:paraId="4ECBFC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主要负责维护</w:t>
      </w:r>
      <w:r>
        <w:rPr>
          <w:rFonts w:hint="eastAsia" w:ascii="宋体" w:hAnsi="宋体" w:cs="宋体"/>
          <w:color w:val="auto"/>
          <w:sz w:val="24"/>
          <w:szCs w:val="24"/>
          <w:highlight w:val="none"/>
          <w:lang w:val="en-US" w:eastAsia="zh-CN"/>
        </w:rPr>
        <w:t>支队机关及</w:t>
      </w:r>
      <w:r>
        <w:rPr>
          <w:rFonts w:hint="eastAsia" w:ascii="宋体" w:hAnsi="宋体" w:eastAsia="宋体" w:cs="宋体"/>
          <w:color w:val="auto"/>
          <w:sz w:val="24"/>
          <w:szCs w:val="24"/>
          <w:highlight w:val="none"/>
        </w:rPr>
        <w:t>各直属大队机关、下辖中队及车管分所、事故快处中心、机动车驾驶员考试培训中心、车管分所派出机构办公地点的计算机网络及综合布线系统。日常维护工作包括：网络的调试、网络故障的排除、网络设备的检修、综合布线系统的故障检修、故障排除、重大网络事件提供技术支持。</w:t>
      </w:r>
    </w:p>
    <w:p w14:paraId="16B8F0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及时分析定位网络故障、</w:t>
      </w:r>
      <w:r>
        <w:rPr>
          <w:rFonts w:hint="eastAsia" w:ascii="宋体" w:hAnsi="宋体" w:cs="宋体"/>
          <w:color w:val="auto"/>
          <w:sz w:val="24"/>
          <w:szCs w:val="24"/>
          <w:highlight w:val="none"/>
          <w:lang w:val="en-US" w:eastAsia="zh-CN"/>
        </w:rPr>
        <w:t>及时替换</w:t>
      </w:r>
      <w:r>
        <w:rPr>
          <w:rFonts w:hint="eastAsia" w:ascii="宋体" w:hAnsi="宋体" w:eastAsia="宋体" w:cs="宋体"/>
          <w:color w:val="auto"/>
          <w:sz w:val="24"/>
          <w:szCs w:val="24"/>
          <w:highlight w:val="none"/>
        </w:rPr>
        <w:t>故障网络设备，保障网络通讯的通畅。</w:t>
      </w:r>
    </w:p>
    <w:p w14:paraId="3AD574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及时排除办公地点内部线路故障，定位外部互联线路故障，协助线路运营商恢复线路连通。</w:t>
      </w:r>
    </w:p>
    <w:p w14:paraId="459ADA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维护期内，出现网络割接、网络设备扩容、移机、机房网络调整等重大变更事件，需派出工程师提供技术支持服务，保证网络系统稳定运行。</w:t>
      </w:r>
    </w:p>
    <w:p w14:paraId="0BAFDC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备品备件由供应商在服务期内免费提供，服务期内做好故障设备及时替换等工作，此项费用由供应商自行负责。备品备件</w:t>
      </w: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包括下表所列：</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1"/>
        <w:gridCol w:w="3966"/>
      </w:tblGrid>
      <w:tr w14:paraId="51F8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471" w:type="dxa"/>
            <w:shd w:val="clear" w:color="000000" w:fill="FFFFFF"/>
            <w:noWrap w:val="0"/>
            <w:vAlign w:val="center"/>
          </w:tcPr>
          <w:p w14:paraId="25492F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备件品牌型号</w:t>
            </w:r>
          </w:p>
        </w:tc>
        <w:tc>
          <w:tcPr>
            <w:tcW w:w="3966" w:type="dxa"/>
            <w:shd w:val="clear" w:color="000000" w:fill="FFFFFF"/>
            <w:noWrap w:val="0"/>
            <w:vAlign w:val="center"/>
          </w:tcPr>
          <w:p w14:paraId="64220D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r>
      <w:tr w14:paraId="25DE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471" w:type="dxa"/>
            <w:shd w:val="clear" w:color="000000" w:fill="FFFFFF"/>
            <w:noWrap/>
            <w:vAlign w:val="center"/>
          </w:tcPr>
          <w:p w14:paraId="1A0C3D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H3C S3600-52P-SI智能交换机</w:t>
            </w:r>
          </w:p>
        </w:tc>
        <w:tc>
          <w:tcPr>
            <w:tcW w:w="3966" w:type="dxa"/>
            <w:shd w:val="clear" w:color="000000" w:fill="FFFFFF"/>
            <w:noWrap/>
            <w:vAlign w:val="center"/>
          </w:tcPr>
          <w:p w14:paraId="01199D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14:paraId="7C6A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471" w:type="dxa"/>
            <w:shd w:val="clear" w:color="000000" w:fill="FFFFFF"/>
            <w:noWrap/>
            <w:vAlign w:val="center"/>
          </w:tcPr>
          <w:p w14:paraId="6E5228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H3C S1024以太网交换机</w:t>
            </w:r>
          </w:p>
        </w:tc>
        <w:tc>
          <w:tcPr>
            <w:tcW w:w="3966" w:type="dxa"/>
            <w:shd w:val="clear" w:color="000000" w:fill="FFFFFF"/>
            <w:noWrap/>
            <w:vAlign w:val="center"/>
          </w:tcPr>
          <w:p w14:paraId="6C9C19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14:paraId="7BA6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471" w:type="dxa"/>
            <w:shd w:val="clear" w:color="000000" w:fill="FFFFFF"/>
            <w:noWrap/>
            <w:vAlign w:val="center"/>
          </w:tcPr>
          <w:p w14:paraId="58CE2C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H3C S3100-52TP-SI智能交换机</w:t>
            </w:r>
          </w:p>
        </w:tc>
        <w:tc>
          <w:tcPr>
            <w:tcW w:w="3966" w:type="dxa"/>
            <w:shd w:val="clear" w:color="000000" w:fill="FFFFFF"/>
            <w:noWrap/>
            <w:vAlign w:val="center"/>
          </w:tcPr>
          <w:p w14:paraId="481BA7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14:paraId="04DA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471" w:type="dxa"/>
            <w:shd w:val="clear" w:color="000000" w:fill="FFFFFF"/>
            <w:noWrap/>
            <w:vAlign w:val="center"/>
          </w:tcPr>
          <w:p w14:paraId="0620B0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DES-1005C-CN 百兆交换机</w:t>
            </w:r>
          </w:p>
        </w:tc>
        <w:tc>
          <w:tcPr>
            <w:tcW w:w="3966" w:type="dxa"/>
            <w:shd w:val="clear" w:color="000000" w:fill="FFFFFF"/>
            <w:noWrap/>
            <w:vAlign w:val="center"/>
          </w:tcPr>
          <w:p w14:paraId="04DA02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r>
      <w:tr w14:paraId="3B44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471" w:type="dxa"/>
            <w:shd w:val="clear" w:color="000000" w:fill="FFFFFF"/>
            <w:noWrap/>
            <w:vAlign w:val="center"/>
          </w:tcPr>
          <w:p w14:paraId="10B2CE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DES-1008C-CN百兆交换机</w:t>
            </w:r>
          </w:p>
        </w:tc>
        <w:tc>
          <w:tcPr>
            <w:tcW w:w="3966" w:type="dxa"/>
            <w:shd w:val="clear" w:color="000000" w:fill="FFFFFF"/>
            <w:noWrap/>
            <w:vAlign w:val="center"/>
          </w:tcPr>
          <w:p w14:paraId="50C09B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r>
      <w:tr w14:paraId="2AA2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471" w:type="dxa"/>
            <w:shd w:val="clear" w:color="000000" w:fill="FFFFFF"/>
            <w:noWrap/>
            <w:vAlign w:val="center"/>
          </w:tcPr>
          <w:p w14:paraId="54525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TL-SF1024D以太网交换机</w:t>
            </w:r>
          </w:p>
        </w:tc>
        <w:tc>
          <w:tcPr>
            <w:tcW w:w="3966" w:type="dxa"/>
            <w:shd w:val="clear" w:color="000000" w:fill="FFFFFF"/>
            <w:noWrap/>
            <w:vAlign w:val="center"/>
          </w:tcPr>
          <w:p w14:paraId="02A432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r>
      <w:tr w14:paraId="24D8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471" w:type="dxa"/>
            <w:shd w:val="clear" w:color="000000" w:fill="FFFFFF"/>
            <w:noWrap/>
            <w:vAlign w:val="center"/>
          </w:tcPr>
          <w:p w14:paraId="0F88DF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DS-3D258F-A千兆交换机</w:t>
            </w:r>
          </w:p>
        </w:tc>
        <w:tc>
          <w:tcPr>
            <w:tcW w:w="3966" w:type="dxa"/>
            <w:shd w:val="clear" w:color="000000" w:fill="FFFFFF"/>
            <w:noWrap/>
            <w:vAlign w:val="center"/>
          </w:tcPr>
          <w:p w14:paraId="7C6673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r>
      <w:tr w14:paraId="18ED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471" w:type="dxa"/>
            <w:shd w:val="clear" w:color="000000" w:fill="FFFFFF"/>
            <w:noWrap/>
            <w:vAlign w:val="center"/>
          </w:tcPr>
          <w:p w14:paraId="023E70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DS-3D04T-A光纤收发器</w:t>
            </w:r>
          </w:p>
        </w:tc>
        <w:tc>
          <w:tcPr>
            <w:tcW w:w="3966" w:type="dxa"/>
            <w:shd w:val="clear" w:color="000000" w:fill="FFFFFF"/>
            <w:noWrap/>
            <w:vAlign w:val="center"/>
          </w:tcPr>
          <w:p w14:paraId="7B2F0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r>
      <w:tr w14:paraId="4E04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471" w:type="dxa"/>
            <w:shd w:val="clear" w:color="000000" w:fill="FFFFFF"/>
            <w:noWrap/>
            <w:vAlign w:val="center"/>
          </w:tcPr>
          <w:p w14:paraId="22CE39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DS-3D408网络交换机</w:t>
            </w:r>
          </w:p>
        </w:tc>
        <w:tc>
          <w:tcPr>
            <w:tcW w:w="3966" w:type="dxa"/>
            <w:shd w:val="clear" w:color="000000" w:fill="FFFFFF"/>
            <w:noWrap/>
            <w:vAlign w:val="center"/>
          </w:tcPr>
          <w:p w14:paraId="5F8687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r>
      <w:tr w14:paraId="4A3A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471" w:type="dxa"/>
            <w:shd w:val="clear" w:color="000000" w:fill="FFFFFF"/>
            <w:noWrap/>
            <w:vAlign w:val="center"/>
          </w:tcPr>
          <w:p w14:paraId="0361BA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无线路由器</w:t>
            </w:r>
          </w:p>
        </w:tc>
        <w:tc>
          <w:tcPr>
            <w:tcW w:w="3966" w:type="dxa"/>
            <w:shd w:val="clear" w:color="000000" w:fill="FFFFFF"/>
            <w:noWrap/>
            <w:vAlign w:val="center"/>
          </w:tcPr>
          <w:p w14:paraId="6D0831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r>
      <w:tr w14:paraId="4E27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471" w:type="dxa"/>
            <w:shd w:val="clear" w:color="000000" w:fill="FFFFFF"/>
            <w:noWrap/>
            <w:vAlign w:val="center"/>
          </w:tcPr>
          <w:p w14:paraId="744B6E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1米网线</w:t>
            </w:r>
          </w:p>
        </w:tc>
        <w:tc>
          <w:tcPr>
            <w:tcW w:w="3966" w:type="dxa"/>
            <w:shd w:val="clear" w:color="000000" w:fill="FFFFFF"/>
            <w:noWrap/>
            <w:vAlign w:val="center"/>
          </w:tcPr>
          <w:p w14:paraId="79FE26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r>
      <w:tr w14:paraId="5502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471" w:type="dxa"/>
            <w:shd w:val="clear" w:color="000000" w:fill="FFFFFF"/>
            <w:noWrap/>
            <w:vAlign w:val="center"/>
          </w:tcPr>
          <w:p w14:paraId="398E32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2米网线</w:t>
            </w:r>
          </w:p>
        </w:tc>
        <w:tc>
          <w:tcPr>
            <w:tcW w:w="3966" w:type="dxa"/>
            <w:shd w:val="clear" w:color="000000" w:fill="FFFFFF"/>
            <w:noWrap/>
            <w:vAlign w:val="center"/>
          </w:tcPr>
          <w:p w14:paraId="290E83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r>
      <w:tr w14:paraId="2FDD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471" w:type="dxa"/>
            <w:shd w:val="clear" w:color="000000" w:fill="FFFFFF"/>
            <w:noWrap/>
            <w:vAlign w:val="center"/>
          </w:tcPr>
          <w:p w14:paraId="79D3DA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3米网线</w:t>
            </w:r>
          </w:p>
        </w:tc>
        <w:tc>
          <w:tcPr>
            <w:tcW w:w="3966" w:type="dxa"/>
            <w:shd w:val="clear" w:color="000000" w:fill="FFFFFF"/>
            <w:noWrap/>
            <w:vAlign w:val="center"/>
          </w:tcPr>
          <w:p w14:paraId="7ED1C9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r>
      <w:tr w14:paraId="29A9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471" w:type="dxa"/>
            <w:shd w:val="clear" w:color="000000" w:fill="FFFFFF"/>
            <w:noWrap/>
            <w:vAlign w:val="center"/>
          </w:tcPr>
          <w:p w14:paraId="5BE139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5米网线</w:t>
            </w:r>
          </w:p>
        </w:tc>
        <w:tc>
          <w:tcPr>
            <w:tcW w:w="3966" w:type="dxa"/>
            <w:shd w:val="clear" w:color="000000" w:fill="FFFFFF"/>
            <w:noWrap/>
            <w:vAlign w:val="center"/>
          </w:tcPr>
          <w:p w14:paraId="776FF1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r>
      <w:tr w14:paraId="373E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471" w:type="dxa"/>
            <w:shd w:val="clear" w:color="000000" w:fill="FFFFFF"/>
            <w:noWrap/>
            <w:vAlign w:val="center"/>
          </w:tcPr>
          <w:p w14:paraId="0E6092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网线-箱</w:t>
            </w:r>
          </w:p>
        </w:tc>
        <w:tc>
          <w:tcPr>
            <w:tcW w:w="3966" w:type="dxa"/>
            <w:shd w:val="clear" w:color="000000" w:fill="FFFFFF"/>
            <w:noWrap/>
            <w:vAlign w:val="center"/>
          </w:tcPr>
          <w:p w14:paraId="1F8E26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r>
      <w:tr w14:paraId="6B8D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471" w:type="dxa"/>
            <w:shd w:val="clear" w:color="000000" w:fill="FFFFFF"/>
            <w:noWrap/>
            <w:vAlign w:val="center"/>
          </w:tcPr>
          <w:p w14:paraId="6A7B2F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测线仪</w:t>
            </w:r>
          </w:p>
        </w:tc>
        <w:tc>
          <w:tcPr>
            <w:tcW w:w="3966" w:type="dxa"/>
            <w:shd w:val="clear" w:color="000000" w:fill="FFFFFF"/>
            <w:noWrap/>
            <w:vAlign w:val="center"/>
          </w:tcPr>
          <w:p w14:paraId="5B7BCC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r>
      <w:tr w14:paraId="50C9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471" w:type="dxa"/>
            <w:shd w:val="clear" w:color="000000" w:fill="FFFFFF"/>
            <w:noWrap/>
            <w:vAlign w:val="center"/>
          </w:tcPr>
          <w:p w14:paraId="1A6E07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寻线仪</w:t>
            </w:r>
          </w:p>
        </w:tc>
        <w:tc>
          <w:tcPr>
            <w:tcW w:w="3966" w:type="dxa"/>
            <w:shd w:val="clear" w:color="000000" w:fill="FFFFFF"/>
            <w:noWrap/>
            <w:vAlign w:val="center"/>
          </w:tcPr>
          <w:p w14:paraId="5E73A5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r>
      <w:tr w14:paraId="4E25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471" w:type="dxa"/>
            <w:shd w:val="clear" w:color="000000" w:fill="FFFFFF"/>
            <w:noWrap/>
            <w:vAlign w:val="center"/>
          </w:tcPr>
          <w:p w14:paraId="4657F1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网线钳</w:t>
            </w:r>
          </w:p>
        </w:tc>
        <w:tc>
          <w:tcPr>
            <w:tcW w:w="3966" w:type="dxa"/>
            <w:shd w:val="clear" w:color="000000" w:fill="FFFFFF"/>
            <w:noWrap/>
            <w:vAlign w:val="center"/>
          </w:tcPr>
          <w:p w14:paraId="20B5D9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r>
      <w:tr w14:paraId="2B04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471" w:type="dxa"/>
            <w:shd w:val="clear" w:color="000000" w:fill="FFFFFF"/>
            <w:noWrap/>
            <w:vAlign w:val="center"/>
          </w:tcPr>
          <w:p w14:paraId="76C455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光纤跳线</w:t>
            </w:r>
          </w:p>
        </w:tc>
        <w:tc>
          <w:tcPr>
            <w:tcW w:w="3966" w:type="dxa"/>
            <w:shd w:val="clear" w:color="000000" w:fill="FFFFFF"/>
            <w:noWrap/>
            <w:vAlign w:val="center"/>
          </w:tcPr>
          <w:p w14:paraId="6B2952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r>
      <w:tr w14:paraId="5C46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471" w:type="dxa"/>
            <w:shd w:val="clear" w:color="000000" w:fill="FFFFFF"/>
            <w:noWrap/>
            <w:vAlign w:val="center"/>
          </w:tcPr>
          <w:p w14:paraId="106E3D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水晶头（盒）</w:t>
            </w:r>
          </w:p>
        </w:tc>
        <w:tc>
          <w:tcPr>
            <w:tcW w:w="3966" w:type="dxa"/>
            <w:shd w:val="clear" w:color="000000" w:fill="FFFFFF"/>
            <w:noWrap/>
            <w:vAlign w:val="center"/>
          </w:tcPr>
          <w:p w14:paraId="4C8289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r>
    </w:tbl>
    <w:p w14:paraId="570B3B96">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3信息化办公设备</w:t>
      </w:r>
      <w:r>
        <w:rPr>
          <w:rFonts w:hint="eastAsia" w:ascii="宋体" w:hAnsi="宋体" w:cs="宋体"/>
          <w:b/>
          <w:bCs/>
          <w:color w:val="auto"/>
          <w:sz w:val="24"/>
          <w:szCs w:val="24"/>
          <w:highlight w:val="none"/>
          <w:lang w:val="en-US" w:eastAsia="zh-CN"/>
        </w:rPr>
        <w:t>维护管理</w:t>
      </w:r>
    </w:p>
    <w:p w14:paraId="4CE2A17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3.1硬件类服务</w:t>
      </w:r>
      <w:r>
        <w:rPr>
          <w:rFonts w:hint="eastAsia" w:ascii="宋体" w:hAnsi="宋体" w:eastAsia="宋体" w:cs="宋体"/>
          <w:b/>
          <w:bCs/>
          <w:color w:val="auto"/>
          <w:sz w:val="24"/>
          <w:szCs w:val="24"/>
          <w:highlight w:val="none"/>
        </w:rPr>
        <w:t>内容</w:t>
      </w:r>
      <w:r>
        <w:rPr>
          <w:rFonts w:hint="eastAsia" w:ascii="宋体" w:hAnsi="宋体" w:eastAsia="宋体" w:cs="宋体"/>
          <w:b/>
          <w:bCs/>
          <w:color w:val="auto"/>
          <w:sz w:val="24"/>
          <w:szCs w:val="24"/>
          <w:highlight w:val="none"/>
          <w:lang w:eastAsia="zh-CN"/>
        </w:rPr>
        <w:t>：</w:t>
      </w:r>
    </w:p>
    <w:p w14:paraId="6DBA386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（1）主要</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val="en-US" w:eastAsia="zh-CN"/>
        </w:rPr>
        <w:t>台州市公安局</w:t>
      </w:r>
      <w:r>
        <w:rPr>
          <w:rFonts w:hint="eastAsia" w:ascii="宋体" w:hAnsi="宋体" w:cs="宋体"/>
          <w:color w:val="auto"/>
          <w:sz w:val="24"/>
          <w:szCs w:val="24"/>
          <w:highlight w:val="none"/>
          <w:lang w:eastAsia="zh-CN"/>
        </w:rPr>
        <w:t>交通管理支队</w:t>
      </w:r>
      <w:r>
        <w:rPr>
          <w:rFonts w:hint="eastAsia" w:ascii="宋体" w:hAnsi="宋体" w:eastAsia="宋体" w:cs="宋体"/>
          <w:color w:val="auto"/>
          <w:sz w:val="24"/>
          <w:szCs w:val="24"/>
          <w:highlight w:val="none"/>
        </w:rPr>
        <w:t>及各下属单位</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计算机（国产、非国产，便携式），打印机（彩色、黑色、喷墨、激光、针式、专用证件打印机），扫描仪（平板式、反馈式），传真机、复印机、触摸屏，二代证读卡，高拍仪等设备日常</w:t>
      </w:r>
      <w:r>
        <w:rPr>
          <w:rFonts w:hint="eastAsia" w:ascii="宋体" w:hAnsi="宋体" w:cs="宋体"/>
          <w:color w:val="auto"/>
          <w:sz w:val="24"/>
          <w:szCs w:val="24"/>
          <w:highlight w:val="none"/>
          <w:lang w:eastAsia="zh-CN"/>
        </w:rPr>
        <w:t>故障</w:t>
      </w:r>
      <w:r>
        <w:rPr>
          <w:rFonts w:hint="eastAsia" w:ascii="宋体" w:hAnsi="宋体" w:eastAsia="宋体" w:cs="宋体"/>
          <w:color w:val="auto"/>
          <w:sz w:val="24"/>
          <w:szCs w:val="24"/>
          <w:highlight w:val="none"/>
        </w:rPr>
        <w:t>维护。</w:t>
      </w:r>
    </w:p>
    <w:p w14:paraId="26087D7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负责</w:t>
      </w:r>
      <w:r>
        <w:rPr>
          <w:rFonts w:hint="eastAsia" w:ascii="宋体" w:hAnsi="宋体" w:cs="宋体"/>
          <w:color w:val="auto"/>
          <w:sz w:val="24"/>
          <w:szCs w:val="24"/>
          <w:highlight w:val="none"/>
          <w:lang w:eastAsia="zh-CN"/>
        </w:rPr>
        <w:t>交通管理支队</w:t>
      </w:r>
      <w:r>
        <w:rPr>
          <w:rFonts w:hint="eastAsia" w:ascii="宋体" w:hAnsi="宋体" w:eastAsia="宋体" w:cs="宋体"/>
          <w:color w:val="auto"/>
          <w:sz w:val="24"/>
          <w:szCs w:val="24"/>
          <w:highlight w:val="none"/>
        </w:rPr>
        <w:t>政务网、公安网、互联网、视频专网的终端设备接入安装和维护。</w:t>
      </w:r>
    </w:p>
    <w:p w14:paraId="6D3F8907">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配合</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做好其他运维相关工作</w:t>
      </w:r>
      <w:r>
        <w:rPr>
          <w:rFonts w:hint="eastAsia" w:ascii="宋体" w:hAnsi="宋体"/>
          <w:b/>
          <w:bCs/>
          <w:color w:val="auto"/>
          <w:sz w:val="24"/>
          <w:highlight w:val="none"/>
          <w:lang w:eastAsia="zh-CN"/>
        </w:rPr>
        <w:t>。</w:t>
      </w:r>
    </w:p>
    <w:p w14:paraId="7B268B8D">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安装、调试及升级操作系统；安装调试外设（打印机、扫描仪、复印机、传真机等设备）的相关驱动程序及软件；</w:t>
      </w:r>
    </w:p>
    <w:p w14:paraId="41909FD4">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②</w:t>
      </w:r>
      <w:r>
        <w:rPr>
          <w:rFonts w:hint="eastAsia" w:ascii="宋体" w:hAnsi="宋体" w:eastAsia="宋体" w:cs="宋体"/>
          <w:color w:val="auto"/>
          <w:sz w:val="24"/>
          <w:szCs w:val="24"/>
          <w:highlight w:val="none"/>
        </w:rPr>
        <w:t>经采购人授权进行软件安装、升级并排除软件使用过程中的故障；</w:t>
      </w:r>
    </w:p>
    <w:p w14:paraId="183C4956">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③</w:t>
      </w:r>
      <w:r>
        <w:rPr>
          <w:rFonts w:hint="eastAsia" w:ascii="宋体" w:hAnsi="宋体" w:eastAsia="宋体" w:cs="宋体"/>
          <w:color w:val="auto"/>
          <w:sz w:val="24"/>
          <w:szCs w:val="24"/>
          <w:highlight w:val="none"/>
        </w:rPr>
        <w:t>解决软件冲突造成的系统故障；</w:t>
      </w:r>
    </w:p>
    <w:p w14:paraId="56B2FF61">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④</w:t>
      </w:r>
      <w:r>
        <w:rPr>
          <w:rFonts w:hint="eastAsia" w:ascii="宋体" w:hAnsi="宋体" w:eastAsia="宋体" w:cs="宋体"/>
          <w:color w:val="auto"/>
          <w:sz w:val="24"/>
          <w:szCs w:val="24"/>
          <w:highlight w:val="none"/>
        </w:rPr>
        <w:t>检测和清除计算机病毒，防止病毒扩散</w:t>
      </w:r>
      <w:r>
        <w:rPr>
          <w:rFonts w:hint="eastAsia" w:ascii="宋体" w:hAnsi="宋体" w:cs="宋体"/>
          <w:color w:val="auto"/>
          <w:sz w:val="24"/>
          <w:szCs w:val="24"/>
          <w:highlight w:val="none"/>
          <w:lang w:eastAsia="zh-CN"/>
        </w:rPr>
        <w:t>。</w:t>
      </w:r>
    </w:p>
    <w:p w14:paraId="2B58F367">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color w:val="auto"/>
          <w:sz w:val="24"/>
          <w:szCs w:val="24"/>
          <w:highlight w:val="none"/>
          <w:lang w:eastAsia="zh-CN"/>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4）</w:t>
      </w:r>
      <w:r>
        <w:rPr>
          <w:rFonts w:hint="eastAsia" w:ascii="宋体" w:hAnsi="宋体"/>
          <w:b/>
          <w:bCs/>
          <w:color w:val="auto"/>
          <w:sz w:val="24"/>
          <w:highlight w:val="none"/>
          <w:lang w:eastAsia="zh-CN"/>
        </w:rPr>
        <w:t>涉及数据资料的操作，如硬盘更换、数据拷贝等，需有民警或辅警在场。</w:t>
      </w:r>
    </w:p>
    <w:p w14:paraId="58FF8C2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3.2软件类服务</w:t>
      </w:r>
      <w:r>
        <w:rPr>
          <w:rFonts w:hint="eastAsia" w:ascii="宋体" w:hAnsi="宋体" w:eastAsia="宋体" w:cs="宋体"/>
          <w:b/>
          <w:bCs/>
          <w:color w:val="auto"/>
          <w:sz w:val="24"/>
          <w:szCs w:val="24"/>
          <w:highlight w:val="none"/>
        </w:rPr>
        <w:t>内容</w:t>
      </w:r>
      <w:r>
        <w:rPr>
          <w:rFonts w:hint="eastAsia" w:ascii="宋体" w:hAnsi="宋体" w:eastAsia="宋体" w:cs="宋体"/>
          <w:b/>
          <w:bCs/>
          <w:color w:val="auto"/>
          <w:sz w:val="24"/>
          <w:szCs w:val="24"/>
          <w:highlight w:val="none"/>
          <w:lang w:eastAsia="zh-CN"/>
        </w:rPr>
        <w:t>：</w:t>
      </w:r>
    </w:p>
    <w:p w14:paraId="759C8BE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负责</w:t>
      </w:r>
      <w:r>
        <w:rPr>
          <w:rFonts w:hint="eastAsia" w:ascii="宋体" w:hAnsi="宋体" w:cs="宋体"/>
          <w:color w:val="auto"/>
          <w:sz w:val="24"/>
          <w:szCs w:val="24"/>
          <w:highlight w:val="none"/>
          <w:lang w:eastAsia="zh-CN"/>
        </w:rPr>
        <w:t>交通管理支队</w:t>
      </w:r>
      <w:r>
        <w:rPr>
          <w:rFonts w:hint="eastAsia" w:ascii="宋体" w:hAnsi="宋体" w:eastAsia="宋体" w:cs="宋体"/>
          <w:color w:val="auto"/>
          <w:sz w:val="24"/>
          <w:szCs w:val="24"/>
          <w:highlight w:val="none"/>
        </w:rPr>
        <w:t>一机两用系统，安全管理平台，杀毒软件，系统补丁等相关工作。</w:t>
      </w:r>
    </w:p>
    <w:p w14:paraId="0644EB9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配合</w:t>
      </w:r>
      <w:r>
        <w:rPr>
          <w:rFonts w:hint="eastAsia" w:ascii="宋体" w:hAnsi="宋体" w:cs="宋体"/>
          <w:color w:val="auto"/>
          <w:sz w:val="24"/>
          <w:szCs w:val="24"/>
          <w:highlight w:val="none"/>
          <w:lang w:eastAsia="zh-CN"/>
        </w:rPr>
        <w:t>交通管理支队</w:t>
      </w:r>
      <w:r>
        <w:rPr>
          <w:rFonts w:hint="eastAsia" w:ascii="宋体" w:hAnsi="宋体" w:eastAsia="宋体" w:cs="宋体"/>
          <w:color w:val="auto"/>
          <w:sz w:val="24"/>
          <w:szCs w:val="24"/>
          <w:highlight w:val="none"/>
        </w:rPr>
        <w:t>相关部门做好软件适配、控制安装工作。</w:t>
      </w:r>
    </w:p>
    <w:p w14:paraId="1358859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配合</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做好信息化台账等工作。</w:t>
      </w:r>
    </w:p>
    <w:p w14:paraId="0724C14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完成对常用软件的日常维护工作，保障软件的正常使用、业务的正常开展；</w:t>
      </w:r>
    </w:p>
    <w:p w14:paraId="06FBD02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②</w:t>
      </w:r>
      <w:r>
        <w:rPr>
          <w:rFonts w:hint="eastAsia" w:ascii="宋体" w:hAnsi="宋体" w:eastAsia="宋体" w:cs="宋体"/>
          <w:color w:val="auto"/>
          <w:sz w:val="24"/>
          <w:szCs w:val="24"/>
          <w:highlight w:val="none"/>
        </w:rPr>
        <w:t>对用户使用过程中提出的问题进行处理；</w:t>
      </w:r>
    </w:p>
    <w:p w14:paraId="7AB6AE4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③</w:t>
      </w:r>
      <w:r>
        <w:rPr>
          <w:rFonts w:hint="eastAsia" w:ascii="宋体" w:hAnsi="宋体" w:eastAsia="宋体" w:cs="宋体"/>
          <w:color w:val="auto"/>
          <w:sz w:val="24"/>
          <w:szCs w:val="24"/>
          <w:highlight w:val="none"/>
        </w:rPr>
        <w:t>对软件所涉及到的各项信息进行保密。</w:t>
      </w:r>
    </w:p>
    <w:p w14:paraId="22C16DD3">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4）杀毒软件、系统补丁等需由正规官方提供，并在使用时记录升级原因（潜在风险）、补丁来源链接、升级时间、完成时间等。用于后续信息系统事件的分析。</w:t>
      </w:r>
    </w:p>
    <w:p w14:paraId="062C63C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服务响应要求</w:t>
      </w:r>
    </w:p>
    <w:p w14:paraId="7CAE910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提供驻场式服务，达到100%的用户响应度。对于服务请求，</w:t>
      </w:r>
      <w:r>
        <w:rPr>
          <w:rFonts w:hint="eastAsia" w:ascii="宋体" w:hAnsi="宋体" w:cs="宋体"/>
          <w:b w:val="0"/>
          <w:bCs w:val="0"/>
          <w:color w:val="auto"/>
          <w:sz w:val="24"/>
          <w:szCs w:val="24"/>
          <w:highlight w:val="none"/>
          <w:lang w:val="en-US" w:eastAsia="zh-CN"/>
        </w:rPr>
        <w:t>全天24小时</w:t>
      </w:r>
      <w:r>
        <w:rPr>
          <w:rFonts w:hint="eastAsia" w:ascii="宋体" w:hAnsi="宋体" w:eastAsia="宋体" w:cs="宋体"/>
          <w:b w:val="0"/>
          <w:bCs w:val="0"/>
          <w:color w:val="auto"/>
          <w:sz w:val="24"/>
          <w:szCs w:val="24"/>
          <w:highlight w:val="none"/>
        </w:rPr>
        <w:t>响应，</w:t>
      </w:r>
      <w:r>
        <w:rPr>
          <w:rFonts w:hint="eastAsia" w:ascii="宋体" w:hAnsi="宋体" w:cs="宋体"/>
          <w:b w:val="0"/>
          <w:bCs w:val="0"/>
          <w:color w:val="auto"/>
          <w:sz w:val="24"/>
          <w:szCs w:val="24"/>
          <w:highlight w:val="none"/>
          <w:lang w:val="en-US" w:eastAsia="zh-CN"/>
        </w:rPr>
        <w:t>需现场处置的1小时内到达现场，</w:t>
      </w:r>
      <w:r>
        <w:rPr>
          <w:rFonts w:hint="eastAsia" w:ascii="宋体" w:hAnsi="宋体" w:eastAsia="宋体" w:cs="宋体"/>
          <w:b w:val="0"/>
          <w:bCs w:val="0"/>
          <w:color w:val="auto"/>
          <w:sz w:val="24"/>
          <w:szCs w:val="24"/>
          <w:highlight w:val="none"/>
        </w:rPr>
        <w:t>一般问题4个小时内解决。维护服务用户满意度不低于95%。</w:t>
      </w:r>
    </w:p>
    <w:p w14:paraId="5169D172">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特殊情况下，供应商必须承诺增加技术人员，确保按时保质保量地维护好设备和系统的稳定正常运行。</w:t>
      </w:r>
    </w:p>
    <w:p w14:paraId="4FE909E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5.人员</w:t>
      </w:r>
      <w:r>
        <w:rPr>
          <w:rFonts w:hint="eastAsia" w:ascii="宋体" w:hAnsi="宋体" w:eastAsia="宋体" w:cs="宋体"/>
          <w:b/>
          <w:bCs/>
          <w:color w:val="auto"/>
          <w:sz w:val="24"/>
          <w:szCs w:val="24"/>
          <w:highlight w:val="none"/>
        </w:rPr>
        <w:t>要求</w:t>
      </w:r>
    </w:p>
    <w:p w14:paraId="5C1BCF7E">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▲至少提供</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名</w:t>
      </w:r>
      <w:r>
        <w:rPr>
          <w:rFonts w:hint="eastAsia" w:ascii="宋体" w:hAnsi="宋体" w:eastAsia="宋体" w:cs="宋体"/>
          <w:b/>
          <w:bCs/>
          <w:color w:val="auto"/>
          <w:sz w:val="24"/>
          <w:szCs w:val="24"/>
          <w:highlight w:val="none"/>
          <w:lang w:val="en-US" w:eastAsia="zh-CN"/>
        </w:rPr>
        <w:t>驻点人员</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驻点人员</w:t>
      </w:r>
      <w:r>
        <w:rPr>
          <w:rFonts w:hint="eastAsia" w:ascii="宋体" w:hAnsi="宋体" w:eastAsia="宋体" w:cs="宋体"/>
          <w:b/>
          <w:bCs/>
          <w:color w:val="auto"/>
          <w:sz w:val="24"/>
          <w:szCs w:val="24"/>
          <w:highlight w:val="none"/>
        </w:rPr>
        <w:t>不得频繁变更，原则上合同期内驻场人员变更不得超过3人次。</w:t>
      </w:r>
    </w:p>
    <w:p w14:paraId="308254F8">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（2）中标人</w:t>
      </w:r>
      <w:r>
        <w:rPr>
          <w:rFonts w:hint="eastAsia" w:ascii="宋体" w:hAnsi="宋体" w:eastAsia="宋体" w:cs="宋体"/>
          <w:b/>
          <w:bCs/>
          <w:color w:val="auto"/>
          <w:sz w:val="24"/>
          <w:szCs w:val="24"/>
          <w:highlight w:val="none"/>
        </w:rPr>
        <w:t>如有变更</w:t>
      </w:r>
      <w:r>
        <w:rPr>
          <w:rFonts w:hint="eastAsia" w:ascii="宋体" w:hAnsi="宋体" w:eastAsia="宋体" w:cs="宋体"/>
          <w:b/>
          <w:bCs/>
          <w:color w:val="auto"/>
          <w:sz w:val="24"/>
          <w:szCs w:val="24"/>
          <w:highlight w:val="none"/>
          <w:lang w:val="en-US" w:eastAsia="zh-CN"/>
        </w:rPr>
        <w:t>驻点人员</w:t>
      </w:r>
      <w:r>
        <w:rPr>
          <w:rFonts w:hint="eastAsia" w:ascii="宋体" w:hAnsi="宋体" w:eastAsia="宋体" w:cs="宋体"/>
          <w:b/>
          <w:bCs/>
          <w:color w:val="auto"/>
          <w:sz w:val="24"/>
          <w:szCs w:val="24"/>
          <w:highlight w:val="none"/>
        </w:rPr>
        <w:t>，</w:t>
      </w:r>
      <w:r>
        <w:rPr>
          <w:rFonts w:hint="default" w:ascii="宋体" w:hAnsi="宋体" w:eastAsia="宋体" w:cs="宋体"/>
          <w:b/>
          <w:bCs/>
          <w:color w:val="auto"/>
          <w:sz w:val="24"/>
          <w:szCs w:val="24"/>
          <w:highlight w:val="none"/>
        </w:rPr>
        <w:t>必须提早一个月通知</w:t>
      </w:r>
      <w:r>
        <w:rPr>
          <w:rFonts w:hint="eastAsia" w:ascii="宋体" w:hAnsi="宋体" w:eastAsia="宋体" w:cs="宋体"/>
          <w:b/>
          <w:bCs/>
          <w:color w:val="auto"/>
          <w:sz w:val="24"/>
          <w:szCs w:val="24"/>
          <w:highlight w:val="none"/>
          <w:lang w:val="en-US" w:eastAsia="zh-CN"/>
        </w:rPr>
        <w:t>采购人</w:t>
      </w:r>
      <w:r>
        <w:rPr>
          <w:rFonts w:hint="default" w:ascii="宋体" w:hAnsi="宋体" w:eastAsia="宋体" w:cs="宋体"/>
          <w:b/>
          <w:bCs/>
          <w:color w:val="auto"/>
          <w:sz w:val="24"/>
          <w:szCs w:val="24"/>
          <w:highlight w:val="none"/>
        </w:rPr>
        <w:t>并</w:t>
      </w:r>
      <w:r>
        <w:rPr>
          <w:rFonts w:hint="eastAsia" w:ascii="宋体" w:hAnsi="宋体" w:eastAsia="宋体" w:cs="宋体"/>
          <w:b/>
          <w:bCs/>
          <w:color w:val="auto"/>
          <w:sz w:val="24"/>
          <w:szCs w:val="24"/>
          <w:highlight w:val="none"/>
        </w:rPr>
        <w:t>经</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rPr>
        <w:t>同意</w:t>
      </w:r>
      <w:r>
        <w:rPr>
          <w:rFonts w:hint="eastAsia" w:ascii="宋体" w:hAnsi="宋体" w:eastAsia="宋体" w:cs="宋体"/>
          <w:b/>
          <w:bCs/>
          <w:color w:val="auto"/>
          <w:sz w:val="24"/>
          <w:szCs w:val="24"/>
          <w:highlight w:val="none"/>
          <w:lang w:val="en-US" w:eastAsia="zh-CN"/>
        </w:rPr>
        <w:t>及</w:t>
      </w:r>
      <w:r>
        <w:rPr>
          <w:rFonts w:hint="eastAsia" w:ascii="宋体" w:hAnsi="宋体" w:eastAsia="宋体" w:cs="宋体"/>
          <w:b/>
          <w:bCs/>
          <w:color w:val="auto"/>
          <w:sz w:val="24"/>
          <w:szCs w:val="24"/>
          <w:highlight w:val="none"/>
        </w:rPr>
        <w:t>签字确认，原则上替换人员的技术水平不得低于调出人员。</w:t>
      </w:r>
    </w:p>
    <w:p w14:paraId="2DD8540D">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项目经理或项目主管具有一定的技术及管理知识和经验，能够熟练地与客户沟通，能够很好地执行维护服务任务，并能根据一些特殊的情况，具有一定权力适当增加维修人员，接受</w:t>
      </w:r>
      <w:r>
        <w:rPr>
          <w:rFonts w:hint="eastAsia" w:ascii="宋体" w:hAnsi="宋体" w:cs="宋体"/>
          <w:b/>
          <w:bCs/>
          <w:color w:val="auto"/>
          <w:sz w:val="24"/>
          <w:szCs w:val="24"/>
          <w:highlight w:val="none"/>
          <w:lang w:eastAsia="zh-CN"/>
        </w:rPr>
        <w:t>交通管理支队</w:t>
      </w:r>
      <w:r>
        <w:rPr>
          <w:rFonts w:hint="eastAsia" w:ascii="宋体" w:hAnsi="宋体" w:eastAsia="宋体" w:cs="宋体"/>
          <w:b/>
          <w:bCs/>
          <w:color w:val="auto"/>
          <w:sz w:val="24"/>
          <w:szCs w:val="24"/>
          <w:highlight w:val="none"/>
        </w:rPr>
        <w:t>的统一管理。</w:t>
      </w:r>
    </w:p>
    <w:p w14:paraId="0FC872BB">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5.1</w:t>
      </w:r>
      <w:r>
        <w:rPr>
          <w:rFonts w:hint="eastAsia" w:ascii="宋体" w:hAnsi="宋体" w:cs="宋体"/>
          <w:b/>
          <w:bCs/>
          <w:color w:val="auto"/>
          <w:sz w:val="24"/>
          <w:szCs w:val="24"/>
          <w:highlight w:val="none"/>
          <w:lang w:val="en-US" w:eastAsia="zh-CN"/>
        </w:rPr>
        <w:t>驻场</w:t>
      </w:r>
      <w:r>
        <w:rPr>
          <w:rStyle w:val="42"/>
          <w:rFonts w:hint="default" w:ascii="宋体" w:hAnsi="宋体" w:eastAsia="宋体"/>
          <w:b/>
          <w:bCs/>
          <w:color w:val="auto"/>
          <w:sz w:val="24"/>
          <w:highlight w:val="none"/>
        </w:rPr>
        <w:t>人员安排</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3010"/>
        <w:gridCol w:w="2131"/>
        <w:gridCol w:w="2131"/>
      </w:tblGrid>
      <w:tr w14:paraId="425A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50" w:type="dxa"/>
            <w:noWrap w:val="0"/>
            <w:vAlign w:val="center"/>
          </w:tcPr>
          <w:p w14:paraId="4B7A57F2">
            <w:pPr>
              <w:pStyle w:val="2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序号</w:t>
            </w:r>
          </w:p>
        </w:tc>
        <w:tc>
          <w:tcPr>
            <w:tcW w:w="3010" w:type="dxa"/>
            <w:noWrap w:val="0"/>
            <w:vAlign w:val="center"/>
          </w:tcPr>
          <w:p w14:paraId="106CFF0B">
            <w:pPr>
              <w:pStyle w:val="2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维保单位或部门</w:t>
            </w:r>
          </w:p>
        </w:tc>
        <w:tc>
          <w:tcPr>
            <w:tcW w:w="2131" w:type="dxa"/>
            <w:noWrap w:val="0"/>
            <w:vAlign w:val="center"/>
          </w:tcPr>
          <w:p w14:paraId="5A110D6F">
            <w:pPr>
              <w:pStyle w:val="2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驻场</w:t>
            </w:r>
            <w:r>
              <w:rPr>
                <w:rFonts w:hint="eastAsia" w:ascii="宋体" w:hAnsi="宋体" w:eastAsia="宋体" w:cs="宋体"/>
                <w:color w:val="auto"/>
                <w:sz w:val="21"/>
                <w:szCs w:val="21"/>
                <w:highlight w:val="none"/>
                <w:vertAlign w:val="baseline"/>
                <w:lang w:eastAsia="zh-CN"/>
              </w:rPr>
              <w:t>人员</w:t>
            </w:r>
          </w:p>
        </w:tc>
        <w:tc>
          <w:tcPr>
            <w:tcW w:w="2131" w:type="dxa"/>
            <w:noWrap w:val="0"/>
            <w:vAlign w:val="center"/>
          </w:tcPr>
          <w:p w14:paraId="79574DC4">
            <w:pPr>
              <w:pStyle w:val="2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备注</w:t>
            </w:r>
          </w:p>
        </w:tc>
      </w:tr>
      <w:tr w14:paraId="0312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noWrap w:val="0"/>
            <w:vAlign w:val="center"/>
          </w:tcPr>
          <w:p w14:paraId="0F10FAFE">
            <w:pPr>
              <w:pStyle w:val="2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3010" w:type="dxa"/>
            <w:noWrap w:val="0"/>
            <w:vAlign w:val="center"/>
          </w:tcPr>
          <w:p w14:paraId="180BFC09">
            <w:pPr>
              <w:pStyle w:val="2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台州市公安局</w:t>
            </w:r>
            <w:r>
              <w:rPr>
                <w:rFonts w:hint="eastAsia" w:ascii="宋体" w:hAnsi="宋体" w:cs="宋体"/>
                <w:color w:val="auto"/>
                <w:sz w:val="21"/>
                <w:szCs w:val="21"/>
                <w:highlight w:val="none"/>
                <w:lang w:val="en-US" w:eastAsia="zh-CN"/>
              </w:rPr>
              <w:t>交通管理支队</w:t>
            </w:r>
          </w:p>
        </w:tc>
        <w:tc>
          <w:tcPr>
            <w:tcW w:w="2131" w:type="dxa"/>
            <w:noWrap w:val="0"/>
            <w:vAlign w:val="center"/>
          </w:tcPr>
          <w:p w14:paraId="2F0956AD">
            <w:pPr>
              <w:pStyle w:val="2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至少</w:t>
            </w:r>
            <w:r>
              <w:rPr>
                <w:rFonts w:hint="eastAsia" w:ascii="宋体" w:hAnsi="宋体" w:eastAsia="宋体" w:cs="宋体"/>
                <w:color w:val="auto"/>
                <w:sz w:val="21"/>
                <w:szCs w:val="21"/>
                <w:highlight w:val="none"/>
                <w:vertAlign w:val="baseline"/>
                <w:lang w:val="en-US" w:eastAsia="zh-CN"/>
              </w:rPr>
              <w:t>1名</w:t>
            </w:r>
          </w:p>
        </w:tc>
        <w:tc>
          <w:tcPr>
            <w:tcW w:w="2131" w:type="dxa"/>
            <w:vMerge w:val="restart"/>
            <w:noWrap w:val="0"/>
            <w:vAlign w:val="center"/>
          </w:tcPr>
          <w:p w14:paraId="588D846E">
            <w:pPr>
              <w:pStyle w:val="29"/>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投标承诺的所有驻点人员全部参与日常考勤</w:t>
            </w:r>
          </w:p>
        </w:tc>
      </w:tr>
      <w:tr w14:paraId="7B4A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noWrap w:val="0"/>
            <w:vAlign w:val="center"/>
          </w:tcPr>
          <w:p w14:paraId="759A0173">
            <w:pPr>
              <w:pStyle w:val="2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3010" w:type="dxa"/>
            <w:noWrap w:val="0"/>
            <w:vAlign w:val="center"/>
          </w:tcPr>
          <w:p w14:paraId="0D9BAE5A">
            <w:pPr>
              <w:pStyle w:val="2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直属一大队</w:t>
            </w:r>
          </w:p>
        </w:tc>
        <w:tc>
          <w:tcPr>
            <w:tcW w:w="2131" w:type="dxa"/>
            <w:noWrap w:val="0"/>
            <w:vAlign w:val="center"/>
          </w:tcPr>
          <w:p w14:paraId="4F5AEF68">
            <w:pPr>
              <w:pStyle w:val="2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eastAsia="zh-CN"/>
              </w:rPr>
              <w:t>至少</w:t>
            </w:r>
            <w:r>
              <w:rPr>
                <w:rFonts w:hint="eastAsia" w:ascii="宋体" w:hAnsi="宋体" w:eastAsia="宋体" w:cs="宋体"/>
                <w:color w:val="auto"/>
                <w:sz w:val="21"/>
                <w:szCs w:val="21"/>
                <w:highlight w:val="none"/>
                <w:vertAlign w:val="baseline"/>
                <w:lang w:val="en-US" w:eastAsia="zh-CN"/>
              </w:rPr>
              <w:t>1名</w:t>
            </w:r>
          </w:p>
        </w:tc>
        <w:tc>
          <w:tcPr>
            <w:tcW w:w="2131" w:type="dxa"/>
            <w:vMerge w:val="continue"/>
            <w:noWrap w:val="0"/>
            <w:vAlign w:val="center"/>
          </w:tcPr>
          <w:p w14:paraId="38660A94">
            <w:pPr>
              <w:pStyle w:val="2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vertAlign w:val="baseline"/>
              </w:rPr>
            </w:pPr>
          </w:p>
        </w:tc>
      </w:tr>
      <w:tr w14:paraId="1520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noWrap w:val="0"/>
            <w:vAlign w:val="center"/>
          </w:tcPr>
          <w:p w14:paraId="1A6E2102">
            <w:pPr>
              <w:pStyle w:val="2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3010" w:type="dxa"/>
            <w:noWrap w:val="0"/>
            <w:vAlign w:val="center"/>
          </w:tcPr>
          <w:p w14:paraId="7DB06338">
            <w:pPr>
              <w:pStyle w:val="2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eastAsia="zh-CN"/>
              </w:rPr>
              <w:t>直属二大队</w:t>
            </w:r>
          </w:p>
        </w:tc>
        <w:tc>
          <w:tcPr>
            <w:tcW w:w="2131" w:type="dxa"/>
            <w:noWrap w:val="0"/>
            <w:vAlign w:val="center"/>
          </w:tcPr>
          <w:p w14:paraId="75DAC75B">
            <w:pPr>
              <w:pStyle w:val="2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eastAsia="zh-CN"/>
              </w:rPr>
              <w:t>至少</w:t>
            </w:r>
            <w:r>
              <w:rPr>
                <w:rFonts w:hint="eastAsia" w:ascii="宋体" w:hAnsi="宋体" w:eastAsia="宋体" w:cs="宋体"/>
                <w:color w:val="auto"/>
                <w:sz w:val="21"/>
                <w:szCs w:val="21"/>
                <w:highlight w:val="none"/>
                <w:vertAlign w:val="baseline"/>
                <w:lang w:val="en-US" w:eastAsia="zh-CN"/>
              </w:rPr>
              <w:t>1名</w:t>
            </w:r>
          </w:p>
        </w:tc>
        <w:tc>
          <w:tcPr>
            <w:tcW w:w="2131" w:type="dxa"/>
            <w:vMerge w:val="continue"/>
            <w:noWrap w:val="0"/>
            <w:vAlign w:val="center"/>
          </w:tcPr>
          <w:p w14:paraId="37683869">
            <w:pPr>
              <w:pStyle w:val="2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vertAlign w:val="baseline"/>
              </w:rPr>
            </w:pPr>
          </w:p>
        </w:tc>
      </w:tr>
      <w:tr w14:paraId="0308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noWrap w:val="0"/>
            <w:vAlign w:val="center"/>
          </w:tcPr>
          <w:p w14:paraId="331DC795">
            <w:pPr>
              <w:pStyle w:val="2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3010" w:type="dxa"/>
            <w:noWrap w:val="0"/>
            <w:vAlign w:val="center"/>
          </w:tcPr>
          <w:p w14:paraId="36ABEB15">
            <w:pPr>
              <w:pStyle w:val="2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eastAsia="zh-CN"/>
              </w:rPr>
              <w:t>直属三大队</w:t>
            </w:r>
          </w:p>
        </w:tc>
        <w:tc>
          <w:tcPr>
            <w:tcW w:w="2131" w:type="dxa"/>
            <w:noWrap w:val="0"/>
            <w:vAlign w:val="center"/>
          </w:tcPr>
          <w:p w14:paraId="72A619AB">
            <w:pPr>
              <w:pStyle w:val="2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eastAsia="zh-CN"/>
              </w:rPr>
              <w:t>至少</w:t>
            </w:r>
            <w:r>
              <w:rPr>
                <w:rFonts w:hint="eastAsia" w:ascii="宋体" w:hAnsi="宋体" w:eastAsia="宋体" w:cs="宋体"/>
                <w:color w:val="auto"/>
                <w:sz w:val="21"/>
                <w:szCs w:val="21"/>
                <w:highlight w:val="none"/>
                <w:vertAlign w:val="baseline"/>
                <w:lang w:val="en-US" w:eastAsia="zh-CN"/>
              </w:rPr>
              <w:t>1名</w:t>
            </w:r>
          </w:p>
        </w:tc>
        <w:tc>
          <w:tcPr>
            <w:tcW w:w="2131" w:type="dxa"/>
            <w:vMerge w:val="continue"/>
            <w:noWrap w:val="0"/>
            <w:vAlign w:val="center"/>
          </w:tcPr>
          <w:p w14:paraId="0952BA19">
            <w:pPr>
              <w:pStyle w:val="2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vertAlign w:val="baseline"/>
              </w:rPr>
            </w:pPr>
          </w:p>
        </w:tc>
      </w:tr>
      <w:tr w14:paraId="55E3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noWrap w:val="0"/>
            <w:vAlign w:val="center"/>
          </w:tcPr>
          <w:p w14:paraId="0A0D6977">
            <w:pPr>
              <w:pStyle w:val="2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3010" w:type="dxa"/>
            <w:noWrap w:val="0"/>
            <w:vAlign w:val="center"/>
          </w:tcPr>
          <w:p w14:paraId="129D8AAE">
            <w:pPr>
              <w:pStyle w:val="2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eastAsia="zh-CN"/>
              </w:rPr>
              <w:t>直属四大队</w:t>
            </w:r>
          </w:p>
        </w:tc>
        <w:tc>
          <w:tcPr>
            <w:tcW w:w="2131" w:type="dxa"/>
            <w:noWrap w:val="0"/>
            <w:vAlign w:val="center"/>
          </w:tcPr>
          <w:p w14:paraId="7BFF103E">
            <w:pPr>
              <w:pStyle w:val="2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eastAsia="zh-CN"/>
              </w:rPr>
              <w:t>至少</w:t>
            </w:r>
            <w:r>
              <w:rPr>
                <w:rFonts w:hint="eastAsia" w:ascii="宋体" w:hAnsi="宋体" w:eastAsia="宋体" w:cs="宋体"/>
                <w:color w:val="auto"/>
                <w:sz w:val="21"/>
                <w:szCs w:val="21"/>
                <w:highlight w:val="none"/>
                <w:vertAlign w:val="baseline"/>
                <w:lang w:val="en-US" w:eastAsia="zh-CN"/>
              </w:rPr>
              <w:t>1名</w:t>
            </w:r>
          </w:p>
        </w:tc>
        <w:tc>
          <w:tcPr>
            <w:tcW w:w="2131" w:type="dxa"/>
            <w:vMerge w:val="continue"/>
            <w:noWrap w:val="0"/>
            <w:vAlign w:val="center"/>
          </w:tcPr>
          <w:p w14:paraId="0A72AEDC">
            <w:pPr>
              <w:pStyle w:val="29"/>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vertAlign w:val="baseline"/>
              </w:rPr>
            </w:pPr>
          </w:p>
        </w:tc>
      </w:tr>
    </w:tbl>
    <w:p w14:paraId="2FA7686D">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（1）驻场人员</w:t>
      </w:r>
      <w:r>
        <w:rPr>
          <w:rFonts w:hint="eastAsia" w:ascii="宋体" w:hAnsi="宋体" w:eastAsia="宋体" w:cs="宋体"/>
          <w:color w:val="auto"/>
          <w:sz w:val="24"/>
          <w:szCs w:val="24"/>
          <w:highlight w:val="none"/>
        </w:rPr>
        <w:t>协助机房管理人员做好机房设备、人员进出机房的登记管理，参加机房的值班值勤，无故不得脱岗。</w:t>
      </w:r>
    </w:p>
    <w:p w14:paraId="047E6A33">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参照采购单位的日常考勤，做好</w:t>
      </w:r>
      <w:r>
        <w:rPr>
          <w:rFonts w:hint="eastAsia" w:ascii="宋体" w:hAnsi="宋体" w:eastAsia="宋体" w:cs="宋体"/>
          <w:color w:val="auto"/>
          <w:sz w:val="24"/>
          <w:szCs w:val="24"/>
          <w:highlight w:val="none"/>
          <w:lang w:val="en-US" w:eastAsia="zh-CN"/>
        </w:rPr>
        <w:t>信息化办公设备及</w:t>
      </w:r>
      <w:r>
        <w:rPr>
          <w:rFonts w:hint="eastAsia" w:ascii="宋体" w:hAnsi="宋体" w:eastAsia="宋体" w:cs="宋体"/>
          <w:color w:val="auto"/>
          <w:sz w:val="24"/>
          <w:szCs w:val="24"/>
          <w:highlight w:val="none"/>
        </w:rPr>
        <w:t>网络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综合布线</w:t>
      </w:r>
      <w:r>
        <w:rPr>
          <w:rFonts w:hint="eastAsia" w:ascii="宋体" w:hAnsi="宋体" w:eastAsia="宋体" w:cs="宋体"/>
          <w:color w:val="auto"/>
          <w:sz w:val="24"/>
          <w:szCs w:val="24"/>
          <w:highlight w:val="none"/>
        </w:rPr>
        <w:t>系统的日常</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rPr>
        <w:t>，定期整理</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文档，及时</w:t>
      </w:r>
      <w:r>
        <w:rPr>
          <w:rFonts w:hint="eastAsia" w:ascii="宋体" w:hAnsi="宋体" w:eastAsia="宋体" w:cs="宋体"/>
          <w:color w:val="auto"/>
          <w:sz w:val="24"/>
          <w:szCs w:val="24"/>
          <w:highlight w:val="none"/>
          <w:lang w:val="en-US" w:eastAsia="zh-CN"/>
        </w:rPr>
        <w:t>更新</w:t>
      </w:r>
      <w:r>
        <w:rPr>
          <w:rFonts w:hint="eastAsia" w:ascii="宋体" w:hAnsi="宋体" w:eastAsia="宋体" w:cs="宋体"/>
          <w:color w:val="auto"/>
          <w:sz w:val="24"/>
          <w:szCs w:val="24"/>
          <w:highlight w:val="none"/>
        </w:rPr>
        <w:t>记录</w:t>
      </w:r>
      <w:r>
        <w:rPr>
          <w:rFonts w:hint="eastAsia" w:ascii="宋体" w:hAnsi="宋体" w:eastAsia="宋体" w:cs="宋体"/>
          <w:color w:val="auto"/>
          <w:sz w:val="24"/>
          <w:szCs w:val="24"/>
          <w:highlight w:val="none"/>
          <w:lang w:val="en-US" w:eastAsia="zh-CN"/>
        </w:rPr>
        <w:t>文档</w:t>
      </w:r>
      <w:r>
        <w:rPr>
          <w:rFonts w:hint="eastAsia" w:ascii="宋体" w:hAnsi="宋体" w:eastAsia="宋体" w:cs="宋体"/>
          <w:color w:val="auto"/>
          <w:sz w:val="24"/>
          <w:szCs w:val="24"/>
          <w:highlight w:val="none"/>
        </w:rPr>
        <w:t>。</w:t>
      </w:r>
    </w:p>
    <w:p w14:paraId="285830CA">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做好采购单位分配的其他日常维护工作。</w:t>
      </w:r>
    </w:p>
    <w:p w14:paraId="2DFDFE4A">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保密性及安全性原则</w:t>
      </w:r>
    </w:p>
    <w:p w14:paraId="679007B8">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6.保密需求</w:t>
      </w:r>
      <w:r>
        <w:rPr>
          <w:rFonts w:hint="eastAsia" w:ascii="宋体" w:hAnsi="宋体" w:eastAsia="宋体" w:cs="宋体"/>
          <w:b/>
          <w:bCs/>
          <w:color w:val="auto"/>
          <w:sz w:val="24"/>
          <w:szCs w:val="24"/>
          <w:highlight w:val="none"/>
          <w:lang w:val="en-US" w:eastAsia="zh-CN"/>
        </w:rPr>
        <w:t>、安全性原则</w:t>
      </w:r>
    </w:p>
    <w:p w14:paraId="05767A0B">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台州市公安局</w:t>
      </w:r>
      <w:r>
        <w:rPr>
          <w:rFonts w:hint="eastAsia" w:ascii="宋体" w:hAnsi="宋体" w:cs="宋体"/>
          <w:color w:val="auto"/>
          <w:sz w:val="24"/>
          <w:szCs w:val="24"/>
          <w:highlight w:val="none"/>
          <w:lang w:eastAsia="zh-CN"/>
        </w:rPr>
        <w:t>交通管理支队</w:t>
      </w:r>
      <w:r>
        <w:rPr>
          <w:rFonts w:hint="eastAsia" w:ascii="宋体" w:hAnsi="宋体" w:eastAsia="宋体" w:cs="宋体"/>
          <w:color w:val="auto"/>
          <w:sz w:val="24"/>
          <w:szCs w:val="24"/>
          <w:highlight w:val="none"/>
        </w:rPr>
        <w:t>网络系统保密要求高，投标人须确定对工作中涉及到的台州市公安局</w:t>
      </w:r>
      <w:r>
        <w:rPr>
          <w:rFonts w:hint="eastAsia" w:ascii="宋体" w:hAnsi="宋体" w:cs="宋体"/>
          <w:color w:val="auto"/>
          <w:sz w:val="24"/>
          <w:szCs w:val="24"/>
          <w:highlight w:val="none"/>
          <w:lang w:eastAsia="zh-CN"/>
        </w:rPr>
        <w:t>交通管理支队</w:t>
      </w:r>
      <w:r>
        <w:rPr>
          <w:rFonts w:hint="eastAsia" w:ascii="宋体" w:hAnsi="宋体" w:eastAsia="宋体" w:cs="宋体"/>
          <w:color w:val="auto"/>
          <w:sz w:val="24"/>
          <w:szCs w:val="24"/>
          <w:highlight w:val="none"/>
        </w:rPr>
        <w:t>的数据、文件、网络设备的用户名及密码等任何资料进行保密。</w:t>
      </w:r>
    </w:p>
    <w:p w14:paraId="0F264579">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台州市公安局</w:t>
      </w:r>
      <w:r>
        <w:rPr>
          <w:rFonts w:hint="eastAsia" w:ascii="宋体" w:hAnsi="宋体" w:cs="宋体"/>
          <w:color w:val="auto"/>
          <w:sz w:val="24"/>
          <w:szCs w:val="24"/>
          <w:highlight w:val="none"/>
          <w:lang w:eastAsia="zh-CN"/>
        </w:rPr>
        <w:t>交通管理支队</w:t>
      </w:r>
      <w:r>
        <w:rPr>
          <w:rFonts w:hint="eastAsia" w:ascii="宋体" w:hAnsi="宋体" w:eastAsia="宋体" w:cs="宋体"/>
          <w:color w:val="auto"/>
          <w:sz w:val="24"/>
          <w:szCs w:val="24"/>
          <w:highlight w:val="none"/>
        </w:rPr>
        <w:t>信息系统保存有交通信息数据等重要信息，敏感信息一旦泄露或被恶意修改将造成后果的严重。服务维护过程中必须在流程和制度上保障系统的安全性，与维护单位、维护人员签订保密协议。</w:t>
      </w:r>
    </w:p>
    <w:p w14:paraId="08CA79CD">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7.项目文档要求及运维资源管理</w:t>
      </w:r>
    </w:p>
    <w:p w14:paraId="18B31F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bookmarkStart w:id="2" w:name="_Toc150759815"/>
      <w:bookmarkStart w:id="3" w:name="_Toc152562454"/>
      <w:bookmarkStart w:id="4" w:name="_Toc89225335"/>
      <w:bookmarkStart w:id="5" w:name="_Toc150773084"/>
      <w:bookmarkStart w:id="6" w:name="_Toc150919399"/>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对于每一个维护的任务，必须做相应的记录。</w:t>
      </w:r>
    </w:p>
    <w:p w14:paraId="6A20E9C9">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运维报告</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rPr>
        <w:t>要求运维人员</w:t>
      </w:r>
      <w:r>
        <w:rPr>
          <w:rFonts w:hint="default" w:ascii="宋体" w:hAnsi="宋体" w:cs="宋体"/>
          <w:color w:val="auto"/>
          <w:sz w:val="24"/>
          <w:szCs w:val="24"/>
          <w:highlight w:val="none"/>
        </w:rPr>
        <w:t>每月</w:t>
      </w:r>
      <w:r>
        <w:rPr>
          <w:rFonts w:hint="eastAsia" w:ascii="宋体" w:hAnsi="宋体" w:eastAsia="宋体" w:cs="宋体"/>
          <w:color w:val="auto"/>
          <w:sz w:val="24"/>
          <w:szCs w:val="24"/>
          <w:highlight w:val="none"/>
        </w:rPr>
        <w:t>定期提交运维报告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每日下班提交当天运维情况（钉钉提交）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每月</w:t>
      </w:r>
      <w:r>
        <w:rPr>
          <w:rFonts w:hint="eastAsia" w:ascii="宋体" w:hAnsi="宋体" w:cs="宋体"/>
          <w:color w:val="auto"/>
          <w:sz w:val="24"/>
          <w:szCs w:val="24"/>
          <w:highlight w:val="none"/>
          <w:lang w:eastAsia="zh-CN"/>
        </w:rPr>
        <w:t>提交运维故障维护总结报告</w:t>
      </w:r>
      <w:r>
        <w:rPr>
          <w:rFonts w:hint="eastAsia" w:ascii="宋体" w:hAnsi="宋体" w:eastAsia="宋体" w:cs="宋体"/>
          <w:color w:val="auto"/>
          <w:sz w:val="24"/>
          <w:szCs w:val="24"/>
          <w:highlight w:val="none"/>
        </w:rPr>
        <w:t>，提交时间为次月的10日之前，提交形式可以纸质或者邮件。</w:t>
      </w:r>
    </w:p>
    <w:p w14:paraId="0EB1FAD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系统维护应严格遵照相关维护的规范进行。</w:t>
      </w:r>
    </w:p>
    <w:p w14:paraId="2A9DF53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供应商应提供</w:t>
      </w:r>
      <w:r>
        <w:rPr>
          <w:rFonts w:hint="eastAsia" w:ascii="宋体" w:hAnsi="宋体" w:eastAsia="宋体" w:cs="宋体"/>
          <w:color w:val="auto"/>
          <w:sz w:val="24"/>
          <w:szCs w:val="24"/>
          <w:highlight w:val="none"/>
          <w:lang w:val="en-US" w:eastAsia="zh-CN"/>
        </w:rPr>
        <w:t>采购方</w:t>
      </w:r>
      <w:r>
        <w:rPr>
          <w:rFonts w:hint="eastAsia" w:ascii="宋体" w:hAnsi="宋体" w:eastAsia="宋体" w:cs="宋体"/>
          <w:color w:val="auto"/>
          <w:sz w:val="24"/>
          <w:szCs w:val="24"/>
          <w:highlight w:val="none"/>
        </w:rPr>
        <w:t>认为必要的文档。</w:t>
      </w:r>
    </w:p>
    <w:bookmarkEnd w:id="2"/>
    <w:bookmarkEnd w:id="3"/>
    <w:bookmarkEnd w:id="4"/>
    <w:bookmarkEnd w:id="5"/>
    <w:bookmarkEnd w:id="6"/>
    <w:p w14:paraId="57AFFB7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本项目所有文档最终必须向</w:t>
      </w:r>
      <w:r>
        <w:rPr>
          <w:rFonts w:hint="eastAsia" w:ascii="宋体" w:hAnsi="宋体" w:eastAsia="宋体" w:cs="宋体"/>
          <w:color w:val="auto"/>
          <w:sz w:val="24"/>
          <w:szCs w:val="24"/>
          <w:highlight w:val="none"/>
          <w:lang w:val="en-US" w:eastAsia="zh-CN"/>
        </w:rPr>
        <w:t>采购方</w:t>
      </w:r>
      <w:r>
        <w:rPr>
          <w:rFonts w:hint="eastAsia" w:ascii="宋体" w:hAnsi="宋体" w:eastAsia="宋体" w:cs="宋体"/>
          <w:color w:val="auto"/>
          <w:sz w:val="24"/>
          <w:szCs w:val="24"/>
          <w:highlight w:val="none"/>
        </w:rPr>
        <w:t>提供纸质文档和电子文档。供应商必须设置专人在项目建设期间对文档进行检查和管理，并随时供</w:t>
      </w:r>
      <w:r>
        <w:rPr>
          <w:rFonts w:hint="eastAsia" w:ascii="宋体" w:hAnsi="宋体" w:eastAsia="宋体" w:cs="宋体"/>
          <w:color w:val="auto"/>
          <w:sz w:val="24"/>
          <w:szCs w:val="24"/>
          <w:highlight w:val="none"/>
          <w:lang w:val="en-US" w:eastAsia="zh-CN"/>
        </w:rPr>
        <w:t>采购方</w:t>
      </w:r>
      <w:r>
        <w:rPr>
          <w:rFonts w:hint="eastAsia" w:ascii="宋体" w:hAnsi="宋体" w:eastAsia="宋体" w:cs="宋体"/>
          <w:color w:val="auto"/>
          <w:sz w:val="24"/>
          <w:szCs w:val="24"/>
          <w:highlight w:val="none"/>
        </w:rPr>
        <w:t>查阅，项目最终验收后全部移交</w:t>
      </w:r>
      <w:r>
        <w:rPr>
          <w:rFonts w:hint="eastAsia" w:ascii="宋体" w:hAnsi="宋体" w:eastAsia="宋体" w:cs="宋体"/>
          <w:color w:val="auto"/>
          <w:sz w:val="24"/>
          <w:szCs w:val="24"/>
          <w:highlight w:val="none"/>
          <w:lang w:val="en-US" w:eastAsia="zh-CN"/>
        </w:rPr>
        <w:t>采购方，</w:t>
      </w:r>
      <w:r>
        <w:rPr>
          <w:rFonts w:hint="eastAsia" w:ascii="宋体" w:hAnsi="宋体" w:eastAsia="宋体" w:cs="宋体"/>
          <w:color w:val="auto"/>
          <w:sz w:val="24"/>
          <w:szCs w:val="24"/>
          <w:highlight w:val="none"/>
        </w:rPr>
        <w:t>定期汇总编制运维月报、年报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管理维护好运维场地、设备、工具等资源。</w:t>
      </w:r>
    </w:p>
    <w:p w14:paraId="1A5DDEF8">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8.服务管理及相关说明</w:t>
      </w:r>
    </w:p>
    <w:p w14:paraId="5E0D075E">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（1）要求建立服务管理，提供优质、专业的报障受理、跟进服务；</w:t>
      </w:r>
    </w:p>
    <w:p w14:paraId="36D368A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（2）跟踪处理进度，确保服务时效；</w:t>
      </w:r>
    </w:p>
    <w:p w14:paraId="4F88D0A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（3）及时进行用户回访，调查用户满意度；</w:t>
      </w:r>
    </w:p>
    <w:p w14:paraId="69ADCEA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（4）对于用户的一般性服务需求进行分析处理，如无法解决，按照运维管理规范予以处理；</w:t>
      </w:r>
    </w:p>
    <w:p w14:paraId="4158AB4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）维护人员日常</w:t>
      </w:r>
      <w:r>
        <w:rPr>
          <w:rFonts w:hint="default" w:ascii="宋体" w:hAnsi="宋体" w:cs="宋体"/>
          <w:color w:val="auto"/>
          <w:sz w:val="24"/>
          <w:szCs w:val="24"/>
          <w:highlight w:val="none"/>
        </w:rPr>
        <w:t>运维</w:t>
      </w:r>
      <w:r>
        <w:rPr>
          <w:rFonts w:hint="eastAsia" w:ascii="宋体" w:hAnsi="宋体" w:eastAsia="宋体" w:cs="宋体"/>
          <w:color w:val="auto"/>
          <w:sz w:val="24"/>
          <w:szCs w:val="24"/>
          <w:highlight w:val="none"/>
        </w:rPr>
        <w:t>使用的电脑由供应商自行配备，并接受</w:t>
      </w:r>
      <w:r>
        <w:rPr>
          <w:rFonts w:hint="eastAsia" w:ascii="宋体" w:hAnsi="宋体" w:eastAsia="宋体" w:cs="宋体"/>
          <w:color w:val="auto"/>
          <w:sz w:val="24"/>
          <w:szCs w:val="24"/>
          <w:highlight w:val="none"/>
          <w:lang w:val="en-US" w:eastAsia="zh-CN"/>
        </w:rPr>
        <w:t>采购方</w:t>
      </w:r>
      <w:r>
        <w:rPr>
          <w:rFonts w:hint="eastAsia" w:ascii="宋体" w:hAnsi="宋体" w:eastAsia="宋体" w:cs="宋体"/>
          <w:color w:val="auto"/>
          <w:sz w:val="24"/>
          <w:szCs w:val="24"/>
          <w:highlight w:val="none"/>
        </w:rPr>
        <w:t>的管理。合同签订后，所承诺的办公/维修设备必须全部配备到位。</w:t>
      </w:r>
    </w:p>
    <w:p w14:paraId="5F83CC3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）维护设备配备：供应商必须给</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名驻场维护人员至少配备</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套以上的必要的设备维修、保养、检测工具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合同签订后，所承诺的设备维修、保养、检测工具必须全部配备到位。如增加1名驻点人员，配套工具需同步增加1套。</w:t>
      </w:r>
    </w:p>
    <w:p w14:paraId="63712CD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）交通费用：供应商需配备必要的交通工具</w:t>
      </w:r>
      <w:r>
        <w:rPr>
          <w:rFonts w:hint="eastAsia" w:ascii="宋体" w:hAnsi="宋体" w:cs="宋体"/>
          <w:color w:val="auto"/>
          <w:sz w:val="24"/>
          <w:szCs w:val="24"/>
          <w:highlight w:val="none"/>
          <w:lang w:eastAsia="zh-CN"/>
        </w:rPr>
        <w:t>或交通费用补偿</w:t>
      </w:r>
      <w:r>
        <w:rPr>
          <w:rFonts w:hint="eastAsia" w:ascii="宋体" w:hAnsi="宋体" w:eastAsia="宋体" w:cs="宋体"/>
          <w:color w:val="auto"/>
          <w:sz w:val="24"/>
          <w:szCs w:val="24"/>
          <w:highlight w:val="none"/>
        </w:rPr>
        <w:t>以便维护人员前往</w:t>
      </w:r>
      <w:r>
        <w:rPr>
          <w:rFonts w:hint="eastAsia" w:ascii="宋体" w:hAnsi="宋体" w:cs="宋体"/>
          <w:color w:val="auto"/>
          <w:sz w:val="24"/>
          <w:szCs w:val="24"/>
          <w:highlight w:val="none"/>
          <w:lang w:eastAsia="zh-CN"/>
        </w:rPr>
        <w:t>交通管理支队</w:t>
      </w:r>
      <w:r>
        <w:rPr>
          <w:rFonts w:hint="eastAsia" w:ascii="宋体" w:hAnsi="宋体" w:eastAsia="宋体" w:cs="宋体"/>
          <w:color w:val="auto"/>
          <w:sz w:val="24"/>
          <w:szCs w:val="24"/>
          <w:highlight w:val="none"/>
        </w:rPr>
        <w:t>下属单位进行维护。</w:t>
      </w:r>
    </w:p>
    <w:p w14:paraId="54C83A9A">
      <w:pPr>
        <w:pStyle w:val="2"/>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）备品备件：供应商承诺提供备品备件的，根据清单在下达中标通知书后7日内将备品备件存放至</w:t>
      </w:r>
      <w:r>
        <w:rPr>
          <w:rFonts w:hint="eastAsia" w:ascii="宋体" w:hAnsi="宋体" w:cs="宋体"/>
          <w:color w:val="auto"/>
          <w:sz w:val="24"/>
          <w:szCs w:val="24"/>
          <w:highlight w:val="none"/>
          <w:lang w:val="en-US" w:eastAsia="zh-CN"/>
        </w:rPr>
        <w:t>采购人指定</w:t>
      </w:r>
      <w:r>
        <w:rPr>
          <w:rFonts w:hint="eastAsia" w:ascii="宋体" w:hAnsi="宋体" w:eastAsia="宋体" w:cs="宋体"/>
          <w:color w:val="auto"/>
          <w:sz w:val="24"/>
          <w:szCs w:val="24"/>
          <w:highlight w:val="none"/>
        </w:rPr>
        <w:t>地点。</w:t>
      </w:r>
    </w:p>
    <w:p w14:paraId="0B3E20F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供应商应提供相应的服务质量保障承诺文件，且必须对以下问题提出解决方案和承诺：</w:t>
      </w:r>
    </w:p>
    <w:p w14:paraId="2862721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①</w:t>
      </w:r>
      <w:r>
        <w:rPr>
          <w:rFonts w:hint="eastAsia" w:ascii="宋体" w:hAnsi="宋体" w:eastAsia="宋体" w:cs="宋体"/>
          <w:b w:val="0"/>
          <w:bCs w:val="0"/>
          <w:color w:val="auto"/>
          <w:sz w:val="24"/>
          <w:szCs w:val="24"/>
          <w:highlight w:val="none"/>
        </w:rPr>
        <w:t>电脑硬盘、移动硬盘、U盘等公安相关数据泄密的罚则；</w:t>
      </w:r>
    </w:p>
    <w:p w14:paraId="6084B47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②</w:t>
      </w:r>
      <w:r>
        <w:rPr>
          <w:rFonts w:hint="eastAsia" w:ascii="宋体" w:hAnsi="宋体" w:eastAsia="宋体" w:cs="宋体"/>
          <w:b w:val="0"/>
          <w:bCs w:val="0"/>
          <w:color w:val="auto"/>
          <w:sz w:val="24"/>
          <w:szCs w:val="24"/>
          <w:highlight w:val="none"/>
        </w:rPr>
        <w:t>对故障判断错误的罚则；</w:t>
      </w:r>
    </w:p>
    <w:p w14:paraId="66A6662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③</w:t>
      </w:r>
      <w:r>
        <w:rPr>
          <w:rFonts w:hint="eastAsia" w:ascii="宋体" w:hAnsi="宋体" w:eastAsia="宋体" w:cs="宋体"/>
          <w:b w:val="0"/>
          <w:bCs w:val="0"/>
          <w:color w:val="auto"/>
          <w:sz w:val="24"/>
          <w:szCs w:val="24"/>
          <w:highlight w:val="none"/>
        </w:rPr>
        <w:t>月度累计有效投诉次数及罚则；</w:t>
      </w:r>
    </w:p>
    <w:p w14:paraId="5BE9B7CE">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④</w:t>
      </w:r>
      <w:r>
        <w:rPr>
          <w:rFonts w:hint="eastAsia" w:ascii="宋体" w:hAnsi="宋体" w:eastAsia="宋体" w:cs="宋体"/>
          <w:b w:val="0"/>
          <w:bCs w:val="0"/>
          <w:color w:val="auto"/>
          <w:sz w:val="24"/>
          <w:szCs w:val="24"/>
          <w:highlight w:val="none"/>
        </w:rPr>
        <w:t>服务响应度、故障解决率、用户满意度的罚则；</w:t>
      </w:r>
    </w:p>
    <w:p w14:paraId="7BAC264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⑤</w:t>
      </w:r>
      <w:r>
        <w:rPr>
          <w:rFonts w:hint="eastAsia" w:ascii="宋体" w:hAnsi="宋体" w:eastAsia="宋体" w:cs="宋体"/>
          <w:b w:val="0"/>
          <w:bCs w:val="0"/>
          <w:color w:val="auto"/>
          <w:sz w:val="24"/>
          <w:szCs w:val="24"/>
          <w:highlight w:val="none"/>
        </w:rPr>
        <w:t>驻场人员违反市局相关管理规定的罚则。</w:t>
      </w:r>
    </w:p>
    <w:p w14:paraId="40297450">
      <w:pPr>
        <w:pStyle w:val="2"/>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righ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9.违约责任</w:t>
      </w:r>
    </w:p>
    <w:p w14:paraId="4AD4EF9B">
      <w:pPr>
        <w:pStyle w:val="2"/>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（1）中标人</w:t>
      </w:r>
      <w:r>
        <w:rPr>
          <w:rFonts w:hint="eastAsia" w:ascii="宋体" w:hAnsi="宋体" w:cs="宋体"/>
          <w:color w:val="auto"/>
          <w:sz w:val="24"/>
          <w:szCs w:val="24"/>
          <w:highlight w:val="none"/>
          <w:lang w:val="en-US" w:eastAsia="zh-CN"/>
        </w:rPr>
        <w:t>未及时响</w:t>
      </w:r>
      <w:r>
        <w:rPr>
          <w:rFonts w:hint="eastAsia" w:ascii="宋体" w:hAnsi="宋体" w:eastAsia="宋体" w:cs="宋体"/>
          <w:color w:val="auto"/>
          <w:sz w:val="24"/>
          <w:szCs w:val="24"/>
          <w:highlight w:val="none"/>
          <w:lang w:val="en-US" w:eastAsia="zh-CN"/>
        </w:rPr>
        <w:t>应采购人维护服务要求的，每发生一次承担500元的违约责任；超过三次及以上未响应，每发生一次承担1000元的违约责任；超过五次未响应的，采购人有权解除合同，违约责任按本条中的第六款处理。</w:t>
      </w:r>
    </w:p>
    <w:p w14:paraId="5722637A">
      <w:pPr>
        <w:pStyle w:val="2"/>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人有权定期或不定期检查维护服务质量，对中标人提供的服务不符合招标要求的，每发生一次承担500元的违约责任；超过三次及以上，每发生一次承担1000元的违约责任；超过五次的，采购人有权解除合同，违约责任按本条中的第六款处理。</w:t>
      </w:r>
    </w:p>
    <w:p w14:paraId="53045300">
      <w:pPr>
        <w:pStyle w:val="2"/>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（3）驻点人员无正当理由的未按照要求上下班的，每发生一次承担300元的违约责任，超过三次及以上，每发生一次承担1000元的违约责任；超过五次的，采购人有权解除合同，违约责任按本条中的第六款处理。</w:t>
      </w:r>
    </w:p>
    <w:p w14:paraId="7E832297">
      <w:pPr>
        <w:pStyle w:val="2"/>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中标人必须按国家的劳动法律法规规定企业员工确立合法的劳资关系，签订用工劳务合同，为企业员工办理养老、医疗等基本社会保险，并为作业人员办理有关工伤人身意外保险手续。若员工在作业过程中发生意外事故，必须按有关规定处理，一切经济损失和各项费用由中标人承担，与采购人无关。</w:t>
      </w:r>
    </w:p>
    <w:p w14:paraId="5C76720E">
      <w:pPr>
        <w:pStyle w:val="2"/>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zh-CN" w:eastAsia="zh-CN"/>
        </w:rPr>
        <w:t>未能如期提供服务的，每日向</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CN" w:eastAsia="zh-CN"/>
        </w:rPr>
        <w:t>支付合同款项的万分之五作为违约金。</w:t>
      </w:r>
      <w:r>
        <w:rPr>
          <w:rFonts w:hint="eastAsia" w:ascii="宋体" w:hAnsi="宋体" w:eastAsia="宋体" w:cs="宋体"/>
          <w:color w:val="auto"/>
          <w:sz w:val="24"/>
          <w:szCs w:val="24"/>
          <w:highlight w:val="none"/>
          <w:lang w:val="en-US" w:eastAsia="zh-CN"/>
        </w:rPr>
        <w:t>合同签订后</w:t>
      </w: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eastAsia="zh-CN"/>
        </w:rPr>
        <w:t>个工作日</w:t>
      </w:r>
      <w:r>
        <w:rPr>
          <w:rFonts w:hint="eastAsia" w:ascii="宋体" w:hAnsi="宋体" w:eastAsia="宋体" w:cs="宋体"/>
          <w:color w:val="auto"/>
          <w:sz w:val="24"/>
          <w:szCs w:val="24"/>
          <w:highlight w:val="none"/>
          <w:lang w:val="en-US" w:eastAsia="zh-CN"/>
        </w:rPr>
        <w:t>后中标人</w:t>
      </w:r>
      <w:r>
        <w:rPr>
          <w:rFonts w:hint="eastAsia" w:ascii="宋体" w:hAnsi="宋体" w:eastAsia="宋体" w:cs="宋体"/>
          <w:color w:val="auto"/>
          <w:sz w:val="24"/>
          <w:szCs w:val="24"/>
          <w:highlight w:val="none"/>
          <w:lang w:val="zh-CN" w:eastAsia="zh-CN"/>
        </w:rPr>
        <w:t>仍不能</w:t>
      </w:r>
      <w:r>
        <w:rPr>
          <w:rFonts w:hint="eastAsia" w:ascii="宋体" w:hAnsi="宋体" w:eastAsia="宋体" w:cs="宋体"/>
          <w:color w:val="auto"/>
          <w:sz w:val="24"/>
          <w:szCs w:val="24"/>
          <w:highlight w:val="none"/>
          <w:lang w:val="en-US" w:eastAsia="zh-CN"/>
        </w:rPr>
        <w:t>开始</w:t>
      </w:r>
      <w:r>
        <w:rPr>
          <w:rFonts w:hint="eastAsia" w:ascii="宋体" w:hAnsi="宋体" w:eastAsia="宋体" w:cs="宋体"/>
          <w:color w:val="auto"/>
          <w:sz w:val="24"/>
          <w:szCs w:val="24"/>
          <w:highlight w:val="none"/>
          <w:lang w:val="zh-CN" w:eastAsia="zh-CN"/>
        </w:rPr>
        <w:t>提供服务的，本合同自动解除，</w:t>
      </w:r>
      <w:r>
        <w:rPr>
          <w:rFonts w:hint="eastAsia" w:ascii="宋体" w:hAnsi="宋体" w:eastAsia="宋体" w:cs="宋体"/>
          <w:color w:val="auto"/>
          <w:sz w:val="24"/>
          <w:szCs w:val="24"/>
          <w:highlight w:val="none"/>
          <w:lang w:val="en-US" w:eastAsia="zh-CN"/>
        </w:rPr>
        <w:t>违约责任按本条中的第六款处理。</w:t>
      </w:r>
      <w:r>
        <w:rPr>
          <w:rFonts w:hint="eastAsia" w:ascii="宋体" w:hAnsi="宋体" w:eastAsia="宋体" w:cs="宋体"/>
          <w:color w:val="auto"/>
          <w:sz w:val="24"/>
          <w:szCs w:val="24"/>
          <w:highlight w:val="none"/>
          <w:lang w:val="zh-CN" w:eastAsia="zh-CN"/>
        </w:rPr>
        <w:t>。</w:t>
      </w:r>
    </w:p>
    <w:p w14:paraId="597FF112">
      <w:pPr>
        <w:pStyle w:val="2"/>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因</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zh-CN" w:eastAsia="zh-CN"/>
        </w:rPr>
        <w:t>原因导致合同解除的，</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zh-CN" w:eastAsia="zh-CN"/>
        </w:rPr>
        <w:t>应向</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CN" w:eastAsia="zh-CN"/>
        </w:rPr>
        <w:t>支付合同总值的百分之三十违约金，如造成</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CN" w:eastAsia="zh-CN"/>
        </w:rPr>
        <w:t>损失超过违约金的，超出部分由</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zh-CN" w:eastAsia="zh-CN"/>
        </w:rPr>
        <w:t>继续承担赔偿责任，同时</w:t>
      </w:r>
      <w:r>
        <w:rPr>
          <w:rFonts w:hint="eastAsia" w:ascii="宋体" w:hAnsi="宋体" w:eastAsia="宋体" w:cs="宋体"/>
          <w:color w:val="auto"/>
          <w:sz w:val="24"/>
          <w:szCs w:val="24"/>
          <w:highlight w:val="none"/>
          <w:lang w:val="en-US" w:eastAsia="zh-CN"/>
        </w:rPr>
        <w:t>采购人有权自行委托第三方完成中标人未履行部分的服务，中标人承诺承担采购人因委托第三方履行服务所产生的一切合理费用</w:t>
      </w:r>
      <w:r>
        <w:rPr>
          <w:rFonts w:hint="eastAsia" w:ascii="宋体" w:hAnsi="宋体" w:eastAsia="宋体" w:cs="宋体"/>
          <w:color w:val="auto"/>
          <w:sz w:val="24"/>
          <w:szCs w:val="24"/>
          <w:highlight w:val="none"/>
          <w:lang w:val="zh-CN" w:eastAsia="zh-CN"/>
        </w:rPr>
        <w:t>。</w:t>
      </w:r>
    </w:p>
    <w:p w14:paraId="392A6974">
      <w:pPr>
        <w:pStyle w:val="2"/>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（7）未经采购人事先同意，中标人调换驻点人员3人次（含）以下者，每人次扣除合同金额的1%；调换人次达4人次（含）以上者，采购人有权解除合同，违约责任按本条中的第六款处理。</w:t>
      </w:r>
    </w:p>
    <w:p w14:paraId="6E1CB182">
      <w:pPr>
        <w:pStyle w:val="52"/>
        <w:numPr>
          <w:ilvl w:val="0"/>
          <w:numId w:val="7"/>
        </w:numPr>
        <w:spacing w:line="360" w:lineRule="auto"/>
        <w:ind w:firstLineChars="0"/>
        <w:rPr>
          <w:rFonts w:hint="eastAsia" w:asciiTheme="majorEastAsia" w:hAnsiTheme="majorEastAsia" w:eastAsiaTheme="majorEastAsia" w:cstheme="minorBidi"/>
          <w:b/>
          <w:bCs/>
          <w:color w:val="auto"/>
          <w:kern w:val="0"/>
          <w:sz w:val="30"/>
          <w:szCs w:val="30"/>
          <w:highlight w:val="none"/>
          <w:lang w:val="en-US" w:eastAsia="zh-CN"/>
        </w:rPr>
      </w:pPr>
      <w:r>
        <w:rPr>
          <w:rFonts w:hint="eastAsia" w:asciiTheme="majorEastAsia" w:hAnsiTheme="majorEastAsia" w:eastAsiaTheme="majorEastAsia" w:cstheme="minorBidi"/>
          <w:b/>
          <w:bCs/>
          <w:color w:val="auto"/>
          <w:kern w:val="0"/>
          <w:sz w:val="30"/>
          <w:szCs w:val="30"/>
          <w:highlight w:val="none"/>
          <w:lang w:val="en-US" w:eastAsia="zh-CN"/>
        </w:rPr>
        <w:t>商务需求</w:t>
      </w:r>
    </w:p>
    <w:p w14:paraId="6A966893">
      <w:pPr>
        <w:tabs>
          <w:tab w:val="left" w:pos="0"/>
        </w:tabs>
        <w:spacing w:line="360" w:lineRule="auto"/>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1.服务期：合同签订后一年</w:t>
      </w:r>
      <w:r>
        <w:rPr>
          <w:rFonts w:hint="eastAsia" w:ascii="宋体" w:hAnsi="宋体" w:cs="宋体"/>
          <w:b/>
          <w:bCs/>
          <w:color w:val="auto"/>
          <w:sz w:val="24"/>
          <w:highlight w:val="none"/>
          <w:lang w:eastAsia="zh-CN"/>
        </w:rPr>
        <w:t>。</w:t>
      </w:r>
    </w:p>
    <w:p w14:paraId="08403266">
      <w:pPr>
        <w:pStyle w:val="3"/>
        <w:spacing w:line="360" w:lineRule="auto"/>
        <w:ind w:left="0" w:leftChars="0"/>
        <w:rPr>
          <w:rFonts w:ascii="宋体" w:hAnsi="宋体" w:cs="宋体"/>
          <w:color w:val="auto"/>
          <w:sz w:val="24"/>
          <w:highlight w:val="none"/>
        </w:rPr>
      </w:pPr>
      <w:r>
        <w:rPr>
          <w:rFonts w:hint="eastAsia" w:ascii="宋体" w:hAnsi="宋体" w:cs="宋体"/>
          <w:b/>
          <w:bCs/>
          <w:color w:val="auto"/>
          <w:sz w:val="24"/>
          <w:highlight w:val="none"/>
        </w:rPr>
        <w:t>2.履约保证金：</w:t>
      </w:r>
      <w:r>
        <w:rPr>
          <w:rFonts w:hint="eastAsia" w:ascii="宋体" w:hAnsi="宋体" w:cs="宋体"/>
          <w:color w:val="auto"/>
          <w:sz w:val="24"/>
          <w:highlight w:val="none"/>
        </w:rPr>
        <w:t>无</w:t>
      </w:r>
    </w:p>
    <w:p w14:paraId="5896CC69">
      <w:pPr>
        <w:spacing w:line="360" w:lineRule="auto"/>
        <w:rPr>
          <w:rFonts w:hint="eastAsia" w:ascii="宋体" w:hAnsi="宋体" w:eastAsia="宋体" w:cs="宋体"/>
          <w:color w:val="auto"/>
          <w:sz w:val="24"/>
          <w:highlight w:val="none"/>
        </w:rPr>
      </w:pPr>
      <w:r>
        <w:rPr>
          <w:rFonts w:hint="eastAsia" w:ascii="宋体" w:hAnsi="宋体" w:cs="宋体"/>
          <w:b/>
          <w:bCs/>
          <w:color w:val="auto"/>
          <w:sz w:val="24"/>
          <w:highlight w:val="none"/>
        </w:rPr>
        <w:t>3.付款方式：</w:t>
      </w:r>
      <w:r>
        <w:rPr>
          <w:rFonts w:hint="eastAsia" w:ascii="宋体" w:hAnsi="宋体" w:cs="宋体"/>
          <w:color w:val="auto"/>
          <w:sz w:val="24"/>
          <w:highlight w:val="none"/>
        </w:rPr>
        <w:t>在合同签订生效后支付合同金额的40%作为预付款；服务期满</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个月支付合同金额的30%；剩余合同</w:t>
      </w:r>
      <w:r>
        <w:rPr>
          <w:rFonts w:hint="eastAsia" w:ascii="宋体" w:hAnsi="宋体" w:eastAsia="宋体" w:cs="宋体"/>
          <w:color w:val="auto"/>
          <w:sz w:val="24"/>
          <w:highlight w:val="none"/>
        </w:rPr>
        <w:t>金额于服务期结束、通过验收并移交所有维保服务成果</w:t>
      </w:r>
      <w:r>
        <w:rPr>
          <w:rFonts w:hint="eastAsia" w:ascii="宋体" w:hAnsi="宋体" w:eastAsia="宋体" w:cs="宋体"/>
          <w:color w:val="auto"/>
          <w:sz w:val="24"/>
          <w:highlight w:val="none"/>
          <w:lang w:val="en-US" w:eastAsia="zh-CN"/>
        </w:rPr>
        <w:t>后</w:t>
      </w:r>
      <w:r>
        <w:rPr>
          <w:rFonts w:hint="eastAsia" w:ascii="宋体" w:hAnsi="宋体" w:eastAsia="宋体" w:cs="宋体"/>
          <w:color w:val="auto"/>
          <w:sz w:val="24"/>
          <w:highlight w:val="none"/>
        </w:rPr>
        <w:t>支付完毕（以上付款条件是在采购人所在地财政资金下达且收到供应商正式发票后7个工作日内支付）</w:t>
      </w:r>
    </w:p>
    <w:p w14:paraId="423A694C">
      <w:pPr>
        <w:pStyle w:val="52"/>
        <w:spacing w:line="360" w:lineRule="auto"/>
        <w:ind w:firstLine="0" w:firstLineChars="0"/>
        <w:rPr>
          <w:rFonts w:ascii="宋体" w:hAnsi="宋体" w:cs="宋体"/>
          <w:b/>
          <w:bCs/>
          <w:color w:val="auto"/>
          <w:sz w:val="24"/>
          <w:szCs w:val="24"/>
          <w:highlight w:val="none"/>
        </w:rPr>
      </w:pPr>
      <w:r>
        <w:rPr>
          <w:rFonts w:hint="eastAsia" w:ascii="宋体" w:hAnsi="宋体" w:cs="宋体"/>
          <w:b/>
          <w:bCs/>
          <w:color w:val="auto"/>
          <w:sz w:val="24"/>
          <w:szCs w:val="24"/>
          <w:highlight w:val="none"/>
        </w:rPr>
        <w:t>4.其他说明：</w:t>
      </w:r>
    </w:p>
    <w:p w14:paraId="167F5FC5">
      <w:pPr>
        <w:pStyle w:val="8"/>
        <w:spacing w:line="360" w:lineRule="auto"/>
        <w:ind w:firstLine="480"/>
        <w:rPr>
          <w:rFonts w:ascii="宋体" w:hAnsi="宋体" w:cs="宋体"/>
          <w:color w:val="auto"/>
          <w:kern w:val="0"/>
          <w:highlight w:val="none"/>
        </w:rPr>
      </w:pPr>
      <w:r>
        <w:rPr>
          <w:rFonts w:hint="eastAsia"/>
          <w:color w:val="auto"/>
          <w:kern w:val="0"/>
          <w:sz w:val="24"/>
          <w:highlight w:val="none"/>
        </w:rPr>
        <w:t>所有产品均采用人民币报价。</w:t>
      </w:r>
      <w:r>
        <w:rPr>
          <w:rFonts w:hint="eastAsia" w:hAnsi="宋体" w:cs="宋体"/>
          <w:color w:val="auto"/>
          <w:kern w:val="0"/>
          <w:sz w:val="24"/>
          <w:szCs w:val="21"/>
          <w:highlight w:val="none"/>
        </w:rPr>
        <w:t>投标报价应是招标文件所确定的招标范围内全部工作内容的价格表现。其应包含实现本项目的所有功能及安全保障工作所需费用，其应包括（但不限于）开发、标准附件、备品备件、服务、专用工具、安装、调试、检验、培训、运输、保险、税款、验收、劳务、人员工资、奖金、各种加班费、食宿与交通、安全、管理、质保、保险、利润、税金、政策性文件规定及合同包含的所有风险、责任等所有费用，供应商认为必需的费用，也应综合考虑。</w:t>
      </w:r>
    </w:p>
    <w:p w14:paraId="713BE46B">
      <w:pPr>
        <w:pStyle w:val="5"/>
        <w:numPr>
          <w:ilvl w:val="1"/>
          <w:numId w:val="0"/>
        </w:numPr>
        <w:spacing w:line="360" w:lineRule="auto"/>
        <w:rPr>
          <w:rFonts w:ascii="宋体" w:hAnsi="宋体"/>
          <w:color w:val="auto"/>
          <w:sz w:val="24"/>
          <w:szCs w:val="24"/>
          <w:highlight w:val="none"/>
        </w:rPr>
        <w:sectPr>
          <w:headerReference r:id="rId5" w:type="default"/>
          <w:footerReference r:id="rId6" w:type="default"/>
          <w:pgSz w:w="11906" w:h="16838"/>
          <w:pgMar w:top="1440" w:right="1803" w:bottom="1440" w:left="1803" w:header="851" w:footer="992" w:gutter="0"/>
          <w:pgNumType w:fmt="numberInDash"/>
          <w:cols w:space="0" w:num="1"/>
          <w:docGrid w:type="lines" w:linePitch="332" w:charSpace="0"/>
        </w:sectPr>
      </w:pPr>
    </w:p>
    <w:bookmarkEnd w:id="1"/>
    <w:p w14:paraId="5B4CB0D5">
      <w:pPr>
        <w:numPr>
          <w:ilvl w:val="0"/>
          <w:numId w:val="5"/>
        </w:num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政府采购合同主要条款</w:t>
      </w:r>
    </w:p>
    <w:p w14:paraId="655CEF0D">
      <w:pPr>
        <w:widowControl/>
        <w:shd w:val="clear" w:color="auto" w:fill="FFFFFF"/>
        <w:spacing w:line="360" w:lineRule="auto"/>
        <w:ind w:firstLine="480"/>
        <w:jc w:val="left"/>
        <w:textAlignment w:val="baseline"/>
        <w:rPr>
          <w:rFonts w:ascii="宋体" w:hAnsi="宋体" w:cs="宋体"/>
          <w:color w:val="auto"/>
          <w:sz w:val="24"/>
          <w:highlight w:val="none"/>
        </w:rPr>
      </w:pPr>
      <w:r>
        <w:rPr>
          <w:rFonts w:hint="eastAsia" w:ascii="宋体" w:hAnsi="宋体" w:cs="宋体"/>
          <w:color w:val="auto"/>
          <w:sz w:val="24"/>
          <w:highlight w:val="none"/>
        </w:rPr>
        <w:t>以下为成交后签订本项目合同的通用条款，成交供应商不得提出实质性的修改，如有特殊条款将由采购人与成交供应商结合本项目具体情况协商后签订。</w:t>
      </w:r>
    </w:p>
    <w:p w14:paraId="00D3B8C8">
      <w:pPr>
        <w:pStyle w:val="22"/>
        <w:spacing w:line="360" w:lineRule="auto"/>
        <w:textAlignment w:val="baseline"/>
        <w:rPr>
          <w:rFonts w:hint="eastAsia" w:hAnsi="宋体" w:eastAsia="宋体" w:cs="宋体"/>
          <w:color w:val="auto"/>
          <w:sz w:val="24"/>
          <w:highlight w:val="none"/>
          <w:lang w:eastAsia="zh-CN"/>
        </w:rPr>
      </w:pPr>
      <w:r>
        <w:rPr>
          <w:rFonts w:hint="eastAsia" w:hAnsi="宋体" w:cs="宋体"/>
          <w:color w:val="auto"/>
          <w:sz w:val="24"/>
          <w:highlight w:val="none"/>
        </w:rPr>
        <w:t>项目名称：</w:t>
      </w:r>
      <w:r>
        <w:rPr>
          <w:rFonts w:hint="eastAsia" w:hAnsi="宋体" w:cs="宋体"/>
          <w:color w:val="auto"/>
          <w:sz w:val="24"/>
          <w:highlight w:val="none"/>
          <w:lang w:eastAsia="zh-CN"/>
        </w:rPr>
        <w:t>台州市公安局交通管理支队2025年信息化办公驻点维护项目</w:t>
      </w:r>
    </w:p>
    <w:p w14:paraId="1AA2AA10">
      <w:pPr>
        <w:pStyle w:val="22"/>
        <w:spacing w:line="360" w:lineRule="auto"/>
        <w:textAlignment w:val="baseline"/>
        <w:rPr>
          <w:rFonts w:hAnsi="宋体" w:cs="宋体"/>
          <w:color w:val="auto"/>
          <w:sz w:val="24"/>
          <w:highlight w:val="none"/>
        </w:rPr>
      </w:pPr>
      <w:r>
        <w:rPr>
          <w:rFonts w:hint="eastAsia" w:hAnsi="宋体" w:cs="宋体"/>
          <w:color w:val="auto"/>
          <w:sz w:val="24"/>
          <w:highlight w:val="none"/>
        </w:rPr>
        <w:t>项目编号：</w:t>
      </w:r>
    </w:p>
    <w:p w14:paraId="2D5EE190">
      <w:pPr>
        <w:pStyle w:val="22"/>
        <w:spacing w:line="360" w:lineRule="auto"/>
        <w:textAlignment w:val="baseline"/>
        <w:rPr>
          <w:rFonts w:hAnsi="宋体" w:cs="宋体"/>
          <w:color w:val="auto"/>
          <w:sz w:val="24"/>
          <w:highlight w:val="none"/>
        </w:rPr>
      </w:pPr>
      <w:r>
        <w:rPr>
          <w:rFonts w:hint="eastAsia" w:hAnsi="宋体" w:cs="宋体"/>
          <w:color w:val="auto"/>
          <w:sz w:val="24"/>
          <w:highlight w:val="none"/>
        </w:rPr>
        <w:t xml:space="preserve">甲方：（采购单位）                            所在地：                              </w:t>
      </w:r>
    </w:p>
    <w:p w14:paraId="6726A8CF">
      <w:pPr>
        <w:pStyle w:val="22"/>
        <w:spacing w:line="360" w:lineRule="auto"/>
        <w:textAlignment w:val="baseline"/>
        <w:rPr>
          <w:rFonts w:hAnsi="宋体" w:cs="宋体"/>
          <w:color w:val="auto"/>
          <w:sz w:val="24"/>
          <w:highlight w:val="none"/>
        </w:rPr>
      </w:pPr>
      <w:r>
        <w:rPr>
          <w:rFonts w:hint="eastAsia" w:hAnsi="宋体" w:cs="宋体"/>
          <w:color w:val="auto"/>
          <w:sz w:val="24"/>
          <w:highlight w:val="none"/>
        </w:rPr>
        <w:t>乙方：（中标供应商）                          所在地：</w:t>
      </w:r>
    </w:p>
    <w:p w14:paraId="72FAD90A">
      <w:pPr>
        <w:pStyle w:val="22"/>
        <w:spacing w:line="360" w:lineRule="auto"/>
        <w:textAlignment w:val="baseline"/>
        <w:rPr>
          <w:rFonts w:hAnsi="宋体" w:cs="宋体"/>
          <w:b/>
          <w:color w:val="auto"/>
          <w:sz w:val="24"/>
          <w:highlight w:val="none"/>
        </w:rPr>
      </w:pPr>
      <w:r>
        <w:rPr>
          <w:rFonts w:hint="eastAsia" w:hAnsi="宋体" w:cs="宋体"/>
          <w:color w:val="auto"/>
          <w:sz w:val="24"/>
          <w:highlight w:val="none"/>
        </w:rPr>
        <w:t>甲、乙双方根据</w:t>
      </w:r>
      <w:r>
        <w:rPr>
          <w:rFonts w:hint="eastAsia" w:hAnsi="宋体" w:cs="宋体"/>
          <w:color w:val="auto"/>
          <w:sz w:val="24"/>
          <w:highlight w:val="none"/>
          <w:lang w:eastAsia="zh-CN"/>
        </w:rPr>
        <w:t>台州市公安局交通管理支队2025年信息化办公驻点维护项目</w:t>
      </w:r>
      <w:r>
        <w:rPr>
          <w:rFonts w:hint="eastAsia" w:hAnsi="宋体" w:cs="宋体"/>
          <w:color w:val="auto"/>
          <w:sz w:val="24"/>
          <w:highlight w:val="none"/>
        </w:rPr>
        <w:t>公开招标的结果，签署本合同。</w:t>
      </w:r>
    </w:p>
    <w:p w14:paraId="65B2A6E8">
      <w:pPr>
        <w:spacing w:line="360" w:lineRule="auto"/>
        <w:textAlignment w:val="baseline"/>
        <w:rPr>
          <w:rFonts w:ascii="宋体" w:hAnsi="宋体" w:cs="宋体"/>
          <w:color w:val="auto"/>
          <w:sz w:val="24"/>
          <w:highlight w:val="none"/>
          <w:lang w:val="zh-CN"/>
        </w:rPr>
      </w:pPr>
      <w:r>
        <w:rPr>
          <w:rFonts w:hint="eastAsia" w:ascii="宋体" w:hAnsi="宋体" w:cs="宋体"/>
          <w:b/>
          <w:bCs/>
          <w:color w:val="auto"/>
          <w:sz w:val="24"/>
          <w:highlight w:val="none"/>
          <w:lang w:val="zh-CN"/>
        </w:rPr>
        <w:t>一、合同文件：</w:t>
      </w:r>
      <w:r>
        <w:rPr>
          <w:rFonts w:hint="eastAsia" w:ascii="宋体" w:hAnsi="宋体" w:cs="宋体"/>
          <w:color w:val="auto"/>
          <w:sz w:val="24"/>
          <w:highlight w:val="none"/>
          <w:lang w:val="zh-CN"/>
        </w:rPr>
        <w:t xml:space="preserve"> </w:t>
      </w:r>
    </w:p>
    <w:p w14:paraId="452C6262">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1.合同条款。</w:t>
      </w:r>
    </w:p>
    <w:p w14:paraId="34C45BA3">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2.中标通知书。</w:t>
      </w:r>
    </w:p>
    <w:p w14:paraId="1DDFE6E3">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3.更正补充文件。</w:t>
      </w:r>
    </w:p>
    <w:p w14:paraId="494432FA">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4.招标文件。</w:t>
      </w:r>
    </w:p>
    <w:p w14:paraId="12E76528">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rPr>
        <w:t>5.</w:t>
      </w:r>
      <w:r>
        <w:rPr>
          <w:rFonts w:hint="eastAsia" w:ascii="宋体" w:hAnsi="宋体" w:cs="宋体"/>
          <w:color w:val="auto"/>
          <w:sz w:val="24"/>
          <w:highlight w:val="none"/>
          <w:lang w:val="zh-CN"/>
        </w:rPr>
        <w:t>中标供应商投标文件。</w:t>
      </w:r>
    </w:p>
    <w:p w14:paraId="4117833F">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rPr>
        <w:t>6</w:t>
      </w:r>
      <w:r>
        <w:rPr>
          <w:rFonts w:hint="eastAsia" w:ascii="宋体" w:hAnsi="宋体" w:cs="宋体"/>
          <w:color w:val="auto"/>
          <w:sz w:val="24"/>
          <w:highlight w:val="none"/>
          <w:lang w:val="zh-CN"/>
        </w:rPr>
        <w:t>.其他。</w:t>
      </w:r>
    </w:p>
    <w:p w14:paraId="630783D6">
      <w:pPr>
        <w:pStyle w:val="22"/>
        <w:spacing w:line="360" w:lineRule="auto"/>
        <w:ind w:firstLine="480" w:firstLineChars="200"/>
        <w:textAlignment w:val="baseline"/>
        <w:rPr>
          <w:rFonts w:hAnsi="宋体" w:cs="宋体"/>
          <w:color w:val="auto"/>
          <w:sz w:val="24"/>
          <w:highlight w:val="none"/>
          <w:lang w:val="zh-CN"/>
        </w:rPr>
      </w:pPr>
      <w:r>
        <w:rPr>
          <w:rFonts w:hint="eastAsia" w:hAnsi="宋体" w:cs="宋体"/>
          <w:color w:val="auto"/>
          <w:sz w:val="24"/>
          <w:highlight w:val="none"/>
          <w:lang w:val="zh-CN"/>
        </w:rPr>
        <w:t>上述所指合同文件应认为是互相补充和解释的，但是有模棱两可或互相矛盾之处，以其所列内容顺序为准。</w:t>
      </w:r>
    </w:p>
    <w:p w14:paraId="5B6A6801">
      <w:pPr>
        <w:pStyle w:val="22"/>
        <w:numPr>
          <w:ilvl w:val="0"/>
          <w:numId w:val="3"/>
        </w:numPr>
        <w:spacing w:line="360" w:lineRule="auto"/>
        <w:textAlignment w:val="baseline"/>
        <w:rPr>
          <w:rFonts w:hAnsi="宋体" w:cs="宋体"/>
          <w:color w:val="auto"/>
          <w:sz w:val="24"/>
          <w:highlight w:val="none"/>
        </w:rPr>
      </w:pPr>
      <w:r>
        <w:rPr>
          <w:rFonts w:hint="eastAsia" w:hAnsi="宋体" w:cs="宋体"/>
          <w:b/>
          <w:color w:val="auto"/>
          <w:sz w:val="24"/>
          <w:highlight w:val="none"/>
        </w:rPr>
        <w:t>服务内容、形式及要求</w:t>
      </w:r>
    </w:p>
    <w:p w14:paraId="467569A0">
      <w:pPr>
        <w:pStyle w:val="23"/>
        <w:spacing w:line="360" w:lineRule="auto"/>
        <w:ind w:left="0" w:leftChars="0" w:firstLine="480" w:firstLineChars="200"/>
        <w:textAlignment w:val="baseline"/>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根据采购内容及乙方投标承诺确定</w:t>
      </w:r>
    </w:p>
    <w:p w14:paraId="7348B38D">
      <w:pPr>
        <w:pStyle w:val="22"/>
        <w:numPr>
          <w:ilvl w:val="0"/>
          <w:numId w:val="3"/>
        </w:numPr>
        <w:spacing w:line="360" w:lineRule="auto"/>
        <w:textAlignment w:val="baseline"/>
        <w:rPr>
          <w:rFonts w:hAnsi="宋体" w:cs="宋体"/>
          <w:color w:val="auto"/>
          <w:sz w:val="24"/>
          <w:highlight w:val="none"/>
        </w:rPr>
      </w:pPr>
      <w:r>
        <w:rPr>
          <w:rFonts w:hint="eastAsia" w:hAnsi="宋体" w:cs="宋体"/>
          <w:b/>
          <w:color w:val="auto"/>
          <w:sz w:val="24"/>
          <w:highlight w:val="none"/>
        </w:rPr>
        <w:t>合同金额</w:t>
      </w:r>
    </w:p>
    <w:p w14:paraId="22C0F156">
      <w:pPr>
        <w:pStyle w:val="22"/>
        <w:spacing w:line="360" w:lineRule="auto"/>
        <w:textAlignment w:val="baseline"/>
        <w:rPr>
          <w:rFonts w:hAnsi="宋体" w:cs="宋体"/>
          <w:color w:val="auto"/>
          <w:sz w:val="24"/>
          <w:highlight w:val="none"/>
        </w:rPr>
      </w:pPr>
      <w:r>
        <w:rPr>
          <w:rFonts w:hint="eastAsia" w:hAnsi="宋体" w:cs="宋体"/>
          <w:color w:val="auto"/>
          <w:sz w:val="24"/>
          <w:highlight w:val="none"/>
        </w:rPr>
        <w:t>1.本合同金额为（大写）：_____________元（￥________元）人民币。</w:t>
      </w:r>
    </w:p>
    <w:p w14:paraId="5A4EAA4B">
      <w:pPr>
        <w:pStyle w:val="22"/>
        <w:spacing w:line="360" w:lineRule="auto"/>
        <w:textAlignment w:val="baseline"/>
        <w:rPr>
          <w:rFonts w:hAnsi="宋体" w:cs="宋体"/>
          <w:color w:val="auto"/>
          <w:kern w:val="0"/>
          <w:sz w:val="24"/>
          <w:szCs w:val="21"/>
          <w:highlight w:val="none"/>
        </w:rPr>
      </w:pPr>
      <w:r>
        <w:rPr>
          <w:rFonts w:hint="eastAsia" w:hAnsi="宋体" w:cs="宋体"/>
          <w:color w:val="auto"/>
          <w:sz w:val="24"/>
          <w:highlight w:val="none"/>
        </w:rPr>
        <w:t>2.</w:t>
      </w:r>
      <w:r>
        <w:rPr>
          <w:rFonts w:hint="eastAsia" w:hAnsi="宋体" w:cs="宋体"/>
          <w:color w:val="auto"/>
          <w:kern w:val="0"/>
          <w:sz w:val="24"/>
          <w:szCs w:val="21"/>
          <w:highlight w:val="none"/>
        </w:rPr>
        <w:t>本合同金额</w:t>
      </w:r>
      <w:r>
        <w:rPr>
          <w:rFonts w:hint="eastAsia" w:hAnsi="宋体" w:cs="宋体"/>
          <w:bCs/>
          <w:color w:val="auto"/>
          <w:sz w:val="24"/>
          <w:highlight w:val="none"/>
        </w:rPr>
        <w:t>包含实现设备原有技术要求所有功能的一切费用，含软件、全部附件、辅材、备品备件、专用工具等整套设备、验收费用及售后服务等</w:t>
      </w:r>
      <w:r>
        <w:rPr>
          <w:rFonts w:hint="eastAsia" w:hAnsi="宋体" w:cs="宋体"/>
          <w:color w:val="auto"/>
          <w:kern w:val="0"/>
          <w:sz w:val="24"/>
          <w:szCs w:val="21"/>
          <w:highlight w:val="none"/>
        </w:rPr>
        <w:t>全部费用已包含在</w:t>
      </w:r>
      <w:r>
        <w:rPr>
          <w:rFonts w:hint="eastAsia" w:hAnsi="宋体" w:cs="宋体"/>
          <w:color w:val="auto"/>
          <w:sz w:val="24"/>
          <w:highlight w:val="none"/>
        </w:rPr>
        <w:t>本合同金额中。</w:t>
      </w:r>
    </w:p>
    <w:p w14:paraId="6EEE5284">
      <w:pPr>
        <w:pStyle w:val="22"/>
        <w:spacing w:line="360" w:lineRule="auto"/>
        <w:ind w:left="410" w:hanging="410" w:hangingChars="170"/>
        <w:textAlignment w:val="baseline"/>
        <w:rPr>
          <w:rFonts w:hAnsi="宋体" w:cs="宋体"/>
          <w:b/>
          <w:color w:val="auto"/>
          <w:sz w:val="24"/>
          <w:highlight w:val="none"/>
        </w:rPr>
      </w:pPr>
      <w:r>
        <w:rPr>
          <w:rFonts w:hint="eastAsia" w:hAnsi="宋体" w:cs="宋体"/>
          <w:b/>
          <w:color w:val="auto"/>
          <w:sz w:val="24"/>
          <w:highlight w:val="none"/>
        </w:rPr>
        <w:t>四、履约保证金：无</w:t>
      </w:r>
    </w:p>
    <w:p w14:paraId="2A983579">
      <w:pPr>
        <w:spacing w:line="360" w:lineRule="auto"/>
        <w:ind w:left="2168" w:hanging="2168" w:hangingChars="900"/>
        <w:textAlignment w:val="baseline"/>
        <w:rPr>
          <w:rFonts w:ascii="宋体" w:hAnsi="宋体" w:cs="宋体"/>
          <w:b/>
          <w:bCs/>
          <w:color w:val="auto"/>
          <w:sz w:val="24"/>
          <w:highlight w:val="none"/>
        </w:rPr>
      </w:pPr>
      <w:r>
        <w:rPr>
          <w:rFonts w:hint="eastAsia" w:ascii="宋体" w:hAnsi="宋体" w:cs="宋体"/>
          <w:b/>
          <w:bCs/>
          <w:color w:val="auto"/>
          <w:sz w:val="24"/>
          <w:highlight w:val="none"/>
        </w:rPr>
        <w:t>五、款项支付：</w:t>
      </w:r>
    </w:p>
    <w:p w14:paraId="6E8F5973">
      <w:pPr>
        <w:spacing w:line="360" w:lineRule="auto"/>
        <w:textAlignment w:val="baseline"/>
        <w:rPr>
          <w:rFonts w:ascii="宋体" w:hAnsi="宋体"/>
          <w:color w:val="auto"/>
          <w:sz w:val="24"/>
          <w:highlight w:val="none"/>
        </w:rPr>
      </w:pPr>
      <w:r>
        <w:rPr>
          <w:rFonts w:hint="eastAsia" w:ascii="宋体" w:hAnsi="宋体" w:cs="宋体"/>
          <w:color w:val="auto"/>
          <w:sz w:val="24"/>
          <w:highlight w:val="none"/>
        </w:rPr>
        <w:t>在合同签订生效后支付合同金额的40%作为预付款；服务期满</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个月支付合同金额的30%；剩余合同</w:t>
      </w:r>
      <w:r>
        <w:rPr>
          <w:rFonts w:hint="eastAsia" w:ascii="宋体" w:hAnsi="宋体" w:eastAsia="宋体" w:cs="宋体"/>
          <w:color w:val="auto"/>
          <w:sz w:val="24"/>
          <w:highlight w:val="none"/>
        </w:rPr>
        <w:t>金额于服务期结束、通过验收并移交所有维保服务成果</w:t>
      </w:r>
      <w:r>
        <w:rPr>
          <w:rFonts w:hint="eastAsia" w:ascii="宋体" w:hAnsi="宋体" w:eastAsia="宋体" w:cs="宋体"/>
          <w:color w:val="auto"/>
          <w:sz w:val="24"/>
          <w:highlight w:val="none"/>
          <w:lang w:val="en-US" w:eastAsia="zh-CN"/>
        </w:rPr>
        <w:t>后</w:t>
      </w:r>
      <w:r>
        <w:rPr>
          <w:rFonts w:hint="eastAsia" w:ascii="宋体" w:hAnsi="宋体" w:eastAsia="宋体" w:cs="宋体"/>
          <w:color w:val="auto"/>
          <w:sz w:val="24"/>
          <w:highlight w:val="none"/>
        </w:rPr>
        <w:t>支付完毕</w:t>
      </w:r>
      <w:r>
        <w:rPr>
          <w:rFonts w:hint="eastAsia" w:ascii="宋体" w:hAnsi="宋体"/>
          <w:color w:val="auto"/>
          <w:sz w:val="24"/>
          <w:highlight w:val="none"/>
        </w:rPr>
        <w:t>（以上付款条件是在</w:t>
      </w:r>
      <w:r>
        <w:rPr>
          <w:rFonts w:hint="eastAsia" w:ascii="宋体" w:hAnsi="宋体"/>
          <w:color w:val="auto"/>
          <w:sz w:val="24"/>
          <w:highlight w:val="none"/>
          <w:lang w:val="en-US" w:eastAsia="zh-CN"/>
        </w:rPr>
        <w:t>甲方</w:t>
      </w:r>
      <w:r>
        <w:rPr>
          <w:rFonts w:hint="eastAsia" w:ascii="宋体" w:hAnsi="宋体"/>
          <w:color w:val="auto"/>
          <w:sz w:val="24"/>
          <w:highlight w:val="none"/>
        </w:rPr>
        <w:t>所在地财政资金下达且收到乙方正式发票后7个工作日内支付）</w:t>
      </w:r>
    </w:p>
    <w:p w14:paraId="2E864E53">
      <w:pPr>
        <w:spacing w:line="360" w:lineRule="auto"/>
        <w:textAlignment w:val="baseline"/>
        <w:rPr>
          <w:rFonts w:ascii="宋体" w:hAnsi="宋体" w:cs="宋体"/>
          <w:b/>
          <w:color w:val="auto"/>
          <w:sz w:val="24"/>
          <w:highlight w:val="none"/>
        </w:rPr>
      </w:pPr>
      <w:r>
        <w:rPr>
          <w:rFonts w:hint="eastAsia" w:ascii="宋体" w:hAnsi="宋体" w:cs="宋体"/>
          <w:b/>
          <w:color w:val="auto"/>
          <w:sz w:val="24"/>
          <w:highlight w:val="none"/>
        </w:rPr>
        <w:t>六、税费</w:t>
      </w:r>
    </w:p>
    <w:p w14:paraId="0697CA2C">
      <w:pPr>
        <w:spacing w:line="360" w:lineRule="auto"/>
        <w:textAlignment w:val="baseline"/>
        <w:rPr>
          <w:color w:val="auto"/>
          <w:sz w:val="20"/>
          <w:highlight w:val="none"/>
        </w:rPr>
      </w:pPr>
      <w:r>
        <w:rPr>
          <w:rFonts w:hint="eastAsia" w:ascii="宋体" w:hAnsi="宋体" w:cs="宋体"/>
          <w:color w:val="auto"/>
          <w:sz w:val="24"/>
          <w:highlight w:val="none"/>
        </w:rPr>
        <w:t>本合同执行中相关的一切税费均由乙方负担。</w:t>
      </w:r>
    </w:p>
    <w:p w14:paraId="30562C33">
      <w:pPr>
        <w:pStyle w:val="2"/>
        <w:spacing w:after="0" w:line="360" w:lineRule="auto"/>
        <w:ind w:left="0" w:leftChars="0" w:firstLine="0" w:firstLineChars="0"/>
        <w:textAlignment w:val="baseline"/>
        <w:rPr>
          <w:rFonts w:ascii="宋体" w:hAnsi="宋体" w:cs="宋体"/>
          <w:b/>
          <w:bCs/>
          <w:color w:val="auto"/>
          <w:sz w:val="24"/>
          <w:highlight w:val="none"/>
        </w:rPr>
      </w:pPr>
      <w:r>
        <w:rPr>
          <w:rFonts w:hint="eastAsia" w:ascii="宋体" w:hAnsi="宋体" w:cs="宋体"/>
          <w:b/>
          <w:bCs/>
          <w:color w:val="auto"/>
          <w:sz w:val="24"/>
          <w:highlight w:val="none"/>
        </w:rPr>
        <w:t>七、服务期</w:t>
      </w:r>
    </w:p>
    <w:p w14:paraId="17F8B629">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lang w:val="en-US" w:eastAsia="zh-CN"/>
        </w:rPr>
        <w:t>合同签订后一年</w:t>
      </w:r>
      <w:r>
        <w:rPr>
          <w:rFonts w:hint="eastAsia" w:ascii="宋体" w:hAnsi="宋体" w:cs="宋体"/>
          <w:color w:val="auto"/>
          <w:sz w:val="24"/>
          <w:highlight w:val="none"/>
        </w:rPr>
        <w:t>。</w:t>
      </w:r>
    </w:p>
    <w:p w14:paraId="51F921C1">
      <w:pPr>
        <w:spacing w:line="360" w:lineRule="auto"/>
        <w:textAlignment w:val="baseline"/>
        <w:rPr>
          <w:rFonts w:ascii="宋体" w:hAnsi="宋体" w:cs="宋体"/>
          <w:b/>
          <w:color w:val="auto"/>
          <w:sz w:val="24"/>
          <w:highlight w:val="none"/>
        </w:rPr>
      </w:pPr>
      <w:r>
        <w:rPr>
          <w:rFonts w:hint="eastAsia" w:ascii="宋体" w:hAnsi="宋体" w:cs="宋体"/>
          <w:b/>
          <w:color w:val="auto"/>
          <w:sz w:val="24"/>
          <w:highlight w:val="none"/>
        </w:rPr>
        <w:t>九、成果提供</w:t>
      </w:r>
    </w:p>
    <w:p w14:paraId="4B2E3DF2">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1.根据采购内容及乙方投标承诺确定。</w:t>
      </w:r>
    </w:p>
    <w:p w14:paraId="0CD746D3">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2.相关成果文档格式应满足国家和行业相关规范。</w:t>
      </w:r>
    </w:p>
    <w:p w14:paraId="449B417E">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3.乙方提交的服务成果，包括维护范围内项目配套的维护管理文件和维护基础资料，维护文档须按照相关标准和要求进行编制，应真实、准确。</w:t>
      </w:r>
    </w:p>
    <w:p w14:paraId="6F63489A">
      <w:pPr>
        <w:spacing w:line="360" w:lineRule="auto"/>
        <w:textAlignment w:val="baseline"/>
        <w:rPr>
          <w:rFonts w:ascii="宋体" w:hAnsi="宋体" w:cs="宋体"/>
          <w:b/>
          <w:color w:val="auto"/>
          <w:sz w:val="24"/>
          <w:highlight w:val="none"/>
        </w:rPr>
      </w:pPr>
      <w:r>
        <w:rPr>
          <w:rFonts w:hint="eastAsia" w:ascii="宋体" w:hAnsi="宋体" w:cs="宋体"/>
          <w:b/>
          <w:bCs/>
          <w:color w:val="auto"/>
          <w:sz w:val="24"/>
          <w:highlight w:val="none"/>
        </w:rPr>
        <w:t>十、</w:t>
      </w:r>
      <w:r>
        <w:rPr>
          <w:rFonts w:hint="eastAsia" w:ascii="宋体" w:hAnsi="宋体" w:cs="宋体"/>
          <w:b/>
          <w:color w:val="auto"/>
          <w:sz w:val="24"/>
          <w:highlight w:val="none"/>
        </w:rPr>
        <w:t>知识产权</w:t>
      </w:r>
    </w:p>
    <w:p w14:paraId="614B2FBF">
      <w:pPr>
        <w:spacing w:line="360" w:lineRule="auto"/>
        <w:ind w:firstLine="480" w:firstLineChars="200"/>
        <w:textAlignment w:val="baseline"/>
        <w:rPr>
          <w:rFonts w:ascii="宋体" w:hAnsi="宋体" w:cs="宋体"/>
          <w:bCs/>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乙方应保证提供服务过程中不会侵犯任何第三方的知识产权</w:t>
      </w:r>
      <w:r>
        <w:rPr>
          <w:rFonts w:hint="eastAsia" w:ascii="宋体" w:hAnsi="宋体" w:cs="宋体"/>
          <w:bCs/>
          <w:color w:val="auto"/>
          <w:sz w:val="24"/>
          <w:highlight w:val="none"/>
        </w:rPr>
        <w:t>。</w:t>
      </w:r>
    </w:p>
    <w:p w14:paraId="1C4B6346">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本项目所有成果的版权属甲方所有，乙方不得以任何形式向第三方提供，否则，按国家法律和有关规定追究乙方的一切责任。</w:t>
      </w:r>
    </w:p>
    <w:p w14:paraId="2E4F6364">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3.乙方应保证全部提交物在中国境内或境外不侵犯他人的知识产权（包括但不限于版权、商标权、专利权）、专有技术和商业秘密。乙方应保证，如果其提交物使用包含他人的知识产权或专有技术或商业秘密，乙方必须已经获得权利人的适当授权。如果</w:t>
      </w:r>
      <w:r>
        <w:rPr>
          <w:rFonts w:ascii="宋体" w:hAnsi="宋体" w:cs="宋体"/>
          <w:color w:val="auto"/>
          <w:sz w:val="24"/>
          <w:highlight w:val="none"/>
        </w:rPr>
        <w:t>甲方</w:t>
      </w:r>
      <w:r>
        <w:rPr>
          <w:rFonts w:hint="eastAsia" w:ascii="宋体" w:hAnsi="宋体" w:cs="宋体"/>
          <w:color w:val="auto"/>
          <w:sz w:val="24"/>
          <w:highlight w:val="none"/>
        </w:rPr>
        <w:t>使用乙方提交物在中国境内或境外侵犯了他人的知识产权（包括但不限于版权、商标权、专利权）、专有技术、商业秘密，乙方应当使甲方免于承担因被指控侵犯上述权利而产生的任何责任，并赔偿</w:t>
      </w:r>
      <w:r>
        <w:rPr>
          <w:rFonts w:ascii="宋体" w:hAnsi="宋体" w:cs="宋体"/>
          <w:color w:val="auto"/>
          <w:sz w:val="24"/>
          <w:highlight w:val="none"/>
        </w:rPr>
        <w:t>甲方</w:t>
      </w:r>
      <w:r>
        <w:rPr>
          <w:rFonts w:hint="eastAsia" w:ascii="宋体" w:hAnsi="宋体" w:cs="宋体"/>
          <w:color w:val="auto"/>
          <w:sz w:val="24"/>
          <w:highlight w:val="none"/>
        </w:rPr>
        <w:t>由此发生的所有成本、费用和损失。</w:t>
      </w:r>
    </w:p>
    <w:p w14:paraId="27D743AB">
      <w:pPr>
        <w:spacing w:line="360" w:lineRule="auto"/>
        <w:ind w:firstLine="482" w:firstLineChars="200"/>
        <w:textAlignment w:val="baseline"/>
        <w:rPr>
          <w:rFonts w:ascii="宋体" w:hAnsi="宋体" w:cs="宋体"/>
          <w:color w:val="auto"/>
          <w:sz w:val="24"/>
          <w:highlight w:val="none"/>
        </w:rPr>
      </w:pPr>
      <w:r>
        <w:rPr>
          <w:rFonts w:hint="eastAsia" w:ascii="宋体" w:hAnsi="宋体" w:cs="宋体"/>
          <w:b/>
          <w:color w:val="auto"/>
          <w:sz w:val="24"/>
          <w:highlight w:val="none"/>
        </w:rPr>
        <w:t>十一、质量保证及后续服务</w:t>
      </w:r>
    </w:p>
    <w:p w14:paraId="5ACB30C9">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乙方应按招标文件规定向甲方提供服务，项目成果提交并通过甲方</w:t>
      </w:r>
      <w:r>
        <w:rPr>
          <w:rFonts w:hint="eastAsia" w:ascii="宋体" w:hAnsi="宋体" w:cs="宋体"/>
          <w:color w:val="auto"/>
          <w:sz w:val="24"/>
          <w:highlight w:val="none"/>
        </w:rPr>
        <w:t>验收</w:t>
      </w:r>
      <w:r>
        <w:rPr>
          <w:rFonts w:ascii="宋体" w:hAnsi="宋体" w:cs="宋体"/>
          <w:color w:val="auto"/>
          <w:sz w:val="24"/>
          <w:highlight w:val="none"/>
        </w:rPr>
        <w:t>后，也需要提供及时的后续免费技术服务。</w:t>
      </w:r>
    </w:p>
    <w:p w14:paraId="52AA2673">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乙方提供的服务成果在后续需要跟进服务的，乙方应负责免费提供后续服务。</w:t>
      </w:r>
    </w:p>
    <w:p w14:paraId="68523FD2">
      <w:pPr>
        <w:spacing w:line="360" w:lineRule="auto"/>
        <w:textAlignment w:val="baseline"/>
        <w:rPr>
          <w:rFonts w:hAnsi="宋体" w:cs="宋体"/>
          <w:b/>
          <w:color w:val="auto"/>
          <w:sz w:val="24"/>
          <w:highlight w:val="none"/>
        </w:rPr>
      </w:pPr>
      <w:r>
        <w:rPr>
          <w:rFonts w:hint="eastAsia" w:ascii="宋体" w:hAnsi="宋体" w:cs="宋体"/>
          <w:b/>
          <w:color w:val="auto"/>
          <w:sz w:val="24"/>
          <w:highlight w:val="none"/>
        </w:rPr>
        <w:t>十二、违约责任</w:t>
      </w:r>
    </w:p>
    <w:p w14:paraId="1D9BCCA4">
      <w:pPr>
        <w:pStyle w:val="8"/>
        <w:spacing w:line="360" w:lineRule="auto"/>
        <w:ind w:firstLine="480" w:firstLineChars="200"/>
        <w:textAlignment w:val="baseline"/>
        <w:rPr>
          <w:rFonts w:ascii="宋体" w:hAnsi="宋体" w:cs="宋体"/>
          <w:color w:val="auto"/>
          <w:highlight w:val="none"/>
        </w:rPr>
      </w:pPr>
      <w:r>
        <w:rPr>
          <w:rFonts w:hint="eastAsia" w:ascii="宋体" w:hAnsi="宋体" w:cs="宋体"/>
          <w:color w:val="auto"/>
          <w:highlight w:val="none"/>
        </w:rPr>
        <w:t>1.甲方无正当理由拒绝接受服务的，甲方向乙方偿付合同款项5%作为违约金。</w:t>
      </w:r>
    </w:p>
    <w:p w14:paraId="5D424794">
      <w:pPr>
        <w:pStyle w:val="8"/>
        <w:spacing w:line="360" w:lineRule="auto"/>
        <w:ind w:firstLine="480" w:firstLineChars="200"/>
        <w:textAlignment w:val="baseline"/>
        <w:rPr>
          <w:rFonts w:ascii="宋体" w:hAnsi="宋体" w:cs="宋体"/>
          <w:color w:val="auto"/>
          <w:highlight w:val="none"/>
        </w:rPr>
      </w:pPr>
      <w:r>
        <w:rPr>
          <w:rFonts w:hint="eastAsia" w:ascii="宋体" w:hAnsi="宋体" w:cs="宋体"/>
          <w:color w:val="auto"/>
          <w:highlight w:val="none"/>
        </w:rPr>
        <w:t>2.甲方无故逾期验收和办理款项支付手续的，甲方应按逾期付款总额每日万分之五向乙方支付违约金。</w:t>
      </w:r>
    </w:p>
    <w:p w14:paraId="7868C39D">
      <w:pPr>
        <w:pStyle w:val="22"/>
        <w:widowControl/>
        <w:tabs>
          <w:tab w:val="left" w:pos="360"/>
        </w:tabs>
        <w:spacing w:line="360" w:lineRule="auto"/>
        <w:ind w:right="-1" w:firstLine="480" w:firstLineChars="200"/>
        <w:jc w:val="left"/>
        <w:textAlignment w:val="baseline"/>
        <w:rPr>
          <w:rFonts w:hAnsi="宋体" w:cs="宋体"/>
          <w:color w:val="auto"/>
          <w:sz w:val="24"/>
          <w:highlight w:val="none"/>
        </w:rPr>
      </w:pPr>
      <w:r>
        <w:rPr>
          <w:rFonts w:hint="eastAsia" w:hAnsi="宋体" w:cs="宋体"/>
          <w:color w:val="auto"/>
          <w:sz w:val="24"/>
          <w:highlight w:val="none"/>
        </w:rPr>
        <w:t>3.乙方未能提供服务的，每日向甲方支付合同款项的千分之五作为违约金。乙方超过约定日期</w:t>
      </w:r>
      <w:r>
        <w:rPr>
          <w:rFonts w:hAnsi="宋体" w:cs="宋体"/>
          <w:color w:val="auto"/>
          <w:sz w:val="24"/>
          <w:highlight w:val="none"/>
        </w:rPr>
        <w:t xml:space="preserve">10个工作日仍不能提供服务的，甲方可解除本合同。乙方因未能提供服务或因其他违约行为导致甲方解除合同的，乙方应向甲方支付合同总值5%的违约金，如造成甲方损失超过违约金的，超出部分由乙方继续承担赔偿责任。 </w:t>
      </w:r>
    </w:p>
    <w:p w14:paraId="0BE51C23">
      <w:pPr>
        <w:pStyle w:val="95"/>
        <w:spacing w:line="360" w:lineRule="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4.乙方</w:t>
      </w:r>
      <w:r>
        <w:rPr>
          <w:rFonts w:hint="eastAsia" w:asciiTheme="minorEastAsia" w:hAnsiTheme="minorEastAsia" w:eastAsiaTheme="minorEastAsia" w:cstheme="minorEastAsia"/>
          <w:b w:val="0"/>
          <w:bCs/>
          <w:color w:val="auto"/>
          <w:sz w:val="24"/>
          <w:szCs w:val="24"/>
          <w:highlight w:val="none"/>
        </w:rPr>
        <w:t>不得全部转让或委托其应履行的合同义务。否则取消其资格并要求赔偿相关损失。</w:t>
      </w:r>
    </w:p>
    <w:p w14:paraId="1A4D9E52">
      <w:pPr>
        <w:pStyle w:val="2"/>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woUserID w:val="1"/>
        </w:rPr>
      </w:pPr>
      <w:r>
        <w:rPr>
          <w:rFonts w:hint="eastAsia" w:ascii="宋体" w:hAnsi="宋体" w:eastAsia="宋体" w:cs="宋体"/>
          <w:color w:val="auto"/>
          <w:sz w:val="24"/>
          <w:szCs w:val="24"/>
          <w:highlight w:val="none"/>
          <w:lang w:val="en-US" w:eastAsia="zh"/>
          <w:woUserID w:val="1"/>
        </w:rPr>
        <w:t>5.乙方</w:t>
      </w:r>
      <w:r>
        <w:rPr>
          <w:rFonts w:hint="eastAsia" w:ascii="宋体" w:hAnsi="宋体" w:cs="宋体"/>
          <w:color w:val="auto"/>
          <w:sz w:val="24"/>
          <w:szCs w:val="24"/>
          <w:highlight w:val="none"/>
          <w:lang w:val="en-US" w:eastAsia="zh-CN"/>
          <w:woUserID w:val="1"/>
        </w:rPr>
        <w:t>未及时响</w:t>
      </w:r>
      <w:r>
        <w:rPr>
          <w:rFonts w:hint="eastAsia" w:ascii="宋体" w:hAnsi="宋体" w:eastAsia="宋体" w:cs="宋体"/>
          <w:color w:val="auto"/>
          <w:sz w:val="24"/>
          <w:szCs w:val="24"/>
          <w:highlight w:val="none"/>
          <w:lang w:val="en-US" w:eastAsia="zh-CN"/>
          <w:woUserID w:val="1"/>
        </w:rPr>
        <w:t>应</w:t>
      </w:r>
      <w:r>
        <w:rPr>
          <w:rFonts w:hint="eastAsia" w:ascii="宋体" w:hAnsi="宋体" w:eastAsia="宋体" w:cs="宋体"/>
          <w:color w:val="auto"/>
          <w:sz w:val="24"/>
          <w:szCs w:val="24"/>
          <w:highlight w:val="none"/>
          <w:lang w:val="en-US" w:eastAsia="zh"/>
          <w:woUserID w:val="1"/>
        </w:rPr>
        <w:t>甲方</w:t>
      </w:r>
      <w:r>
        <w:rPr>
          <w:rFonts w:hint="eastAsia" w:ascii="宋体" w:hAnsi="宋体" w:eastAsia="宋体" w:cs="宋体"/>
          <w:color w:val="auto"/>
          <w:sz w:val="24"/>
          <w:szCs w:val="24"/>
          <w:highlight w:val="none"/>
          <w:lang w:val="en-US" w:eastAsia="zh-CN"/>
          <w:woUserID w:val="1"/>
        </w:rPr>
        <w:t>维护服务要求的，每发生一次承担500元的违约责任；超过三次及以上未响应，每发生一次承担1000元的违约责任；超过五次未响应的，</w:t>
      </w:r>
      <w:r>
        <w:rPr>
          <w:rFonts w:hint="eastAsia" w:ascii="宋体" w:hAnsi="宋体" w:eastAsia="宋体" w:cs="宋体"/>
          <w:color w:val="auto"/>
          <w:sz w:val="24"/>
          <w:szCs w:val="24"/>
          <w:highlight w:val="none"/>
          <w:lang w:val="en-US" w:eastAsia="zh"/>
          <w:woUserID w:val="1"/>
        </w:rPr>
        <w:t>甲方</w:t>
      </w:r>
      <w:r>
        <w:rPr>
          <w:rFonts w:hint="eastAsia" w:ascii="宋体" w:hAnsi="宋体" w:eastAsia="宋体" w:cs="宋体"/>
          <w:color w:val="auto"/>
          <w:sz w:val="24"/>
          <w:szCs w:val="24"/>
          <w:highlight w:val="none"/>
          <w:lang w:val="en-US" w:eastAsia="zh-CN"/>
          <w:woUserID w:val="1"/>
        </w:rPr>
        <w:t>有权解除合同，违约责任按本条中的第六款处理。</w:t>
      </w:r>
    </w:p>
    <w:p w14:paraId="3AB3C3A3">
      <w:pPr>
        <w:pStyle w:val="2"/>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woUserID w:val="1"/>
        </w:rPr>
      </w:pPr>
      <w:r>
        <w:rPr>
          <w:rFonts w:hint="eastAsia" w:ascii="宋体" w:hAnsi="宋体" w:eastAsia="宋体" w:cs="宋体"/>
          <w:color w:val="auto"/>
          <w:sz w:val="24"/>
          <w:szCs w:val="24"/>
          <w:highlight w:val="none"/>
          <w:lang w:val="en-US" w:eastAsia="zh"/>
          <w:woUserID w:val="1"/>
        </w:rPr>
        <w:t>6.甲方</w:t>
      </w:r>
      <w:r>
        <w:rPr>
          <w:rFonts w:hint="eastAsia" w:ascii="宋体" w:hAnsi="宋体" w:eastAsia="宋体" w:cs="宋体"/>
          <w:color w:val="auto"/>
          <w:sz w:val="24"/>
          <w:szCs w:val="24"/>
          <w:highlight w:val="none"/>
          <w:lang w:val="en-US" w:eastAsia="zh-CN"/>
          <w:woUserID w:val="1"/>
        </w:rPr>
        <w:t>有权定期或不定期检查维护服务质量，对</w:t>
      </w:r>
      <w:r>
        <w:rPr>
          <w:rFonts w:hint="eastAsia" w:ascii="宋体" w:hAnsi="宋体" w:eastAsia="宋体" w:cs="宋体"/>
          <w:color w:val="auto"/>
          <w:sz w:val="24"/>
          <w:szCs w:val="24"/>
          <w:highlight w:val="none"/>
          <w:lang w:val="en-US" w:eastAsia="zh"/>
          <w:woUserID w:val="1"/>
        </w:rPr>
        <w:t>乙方</w:t>
      </w:r>
      <w:r>
        <w:rPr>
          <w:rFonts w:hint="eastAsia" w:ascii="宋体" w:hAnsi="宋体" w:eastAsia="宋体" w:cs="宋体"/>
          <w:color w:val="auto"/>
          <w:sz w:val="24"/>
          <w:szCs w:val="24"/>
          <w:highlight w:val="none"/>
          <w:lang w:val="en-US" w:eastAsia="zh-CN"/>
          <w:woUserID w:val="1"/>
        </w:rPr>
        <w:t>提供的服务不符合招标要求的，每发生一次承担500元的违约责任；超过三次及以上，每发生一次承担1000元的违约责任；超过五次的，</w:t>
      </w:r>
      <w:r>
        <w:rPr>
          <w:rFonts w:hint="eastAsia" w:ascii="宋体" w:hAnsi="宋体" w:eastAsia="宋体" w:cs="宋体"/>
          <w:color w:val="auto"/>
          <w:sz w:val="24"/>
          <w:szCs w:val="24"/>
          <w:highlight w:val="none"/>
          <w:lang w:val="en-US" w:eastAsia="zh"/>
          <w:woUserID w:val="1"/>
        </w:rPr>
        <w:t>甲方</w:t>
      </w:r>
      <w:r>
        <w:rPr>
          <w:rFonts w:hint="eastAsia" w:ascii="宋体" w:hAnsi="宋体" w:eastAsia="宋体" w:cs="宋体"/>
          <w:color w:val="auto"/>
          <w:sz w:val="24"/>
          <w:szCs w:val="24"/>
          <w:highlight w:val="none"/>
          <w:lang w:val="en-US" w:eastAsia="zh-CN"/>
          <w:woUserID w:val="1"/>
        </w:rPr>
        <w:t>有权解除合同，违约责任按本条中的第六款处理。</w:t>
      </w:r>
    </w:p>
    <w:p w14:paraId="09B800C7">
      <w:pPr>
        <w:pStyle w:val="2"/>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woUserID w:val="1"/>
        </w:rPr>
      </w:pPr>
      <w:r>
        <w:rPr>
          <w:rFonts w:hint="eastAsia" w:ascii="宋体" w:hAnsi="宋体" w:eastAsia="宋体" w:cs="宋体"/>
          <w:color w:val="auto"/>
          <w:sz w:val="24"/>
          <w:szCs w:val="24"/>
          <w:highlight w:val="none"/>
          <w:lang w:val="en-US" w:eastAsia="zh"/>
          <w:woUserID w:val="1"/>
        </w:rPr>
        <w:t>7.</w:t>
      </w:r>
      <w:r>
        <w:rPr>
          <w:rFonts w:hint="eastAsia" w:ascii="宋体" w:hAnsi="宋体" w:eastAsia="宋体" w:cs="宋体"/>
          <w:color w:val="auto"/>
          <w:sz w:val="24"/>
          <w:szCs w:val="24"/>
          <w:highlight w:val="none"/>
          <w:lang w:val="en-US" w:eastAsia="zh-CN"/>
          <w:woUserID w:val="1"/>
        </w:rPr>
        <w:t>驻点人员无正当理由的未按照要求上下班的，每发生一次承担300元的违约责任，超过三次及以上，每发生一次承担1000元的违约责任；超过五次的，采购人有权解除合同，违约责任按本条中的第六款处理。</w:t>
      </w:r>
    </w:p>
    <w:p w14:paraId="6DC71514">
      <w:pPr>
        <w:pStyle w:val="2"/>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woUserID w:val="1"/>
        </w:rPr>
      </w:pPr>
      <w:r>
        <w:rPr>
          <w:rFonts w:hint="eastAsia" w:ascii="宋体" w:hAnsi="宋体" w:eastAsia="宋体" w:cs="宋体"/>
          <w:color w:val="auto"/>
          <w:sz w:val="24"/>
          <w:szCs w:val="24"/>
          <w:highlight w:val="none"/>
          <w:lang w:val="en-US" w:eastAsia="zh"/>
          <w:woUserID w:val="1"/>
        </w:rPr>
        <w:t>8.乙方</w:t>
      </w:r>
      <w:r>
        <w:rPr>
          <w:rFonts w:hint="eastAsia" w:ascii="宋体" w:hAnsi="宋体" w:eastAsia="宋体" w:cs="宋体"/>
          <w:color w:val="auto"/>
          <w:sz w:val="24"/>
          <w:szCs w:val="24"/>
          <w:highlight w:val="none"/>
          <w:lang w:val="en-US" w:eastAsia="zh-CN"/>
          <w:woUserID w:val="1"/>
        </w:rPr>
        <w:t>必须按国家的劳动法律法规规定企业员工确立合法的劳资关系，签订用工劳务合同，为企业员工办理养老、医疗等基本社会保险，并为作业人员办理有关工伤人身意外保险手续。若员工在作业过程中发生意外事故，必须按有关规定处理，一切经济损失和各项费用由中标人承担，与</w:t>
      </w:r>
      <w:r>
        <w:rPr>
          <w:rFonts w:hint="eastAsia" w:ascii="宋体" w:hAnsi="宋体" w:eastAsia="宋体" w:cs="宋体"/>
          <w:color w:val="auto"/>
          <w:sz w:val="24"/>
          <w:szCs w:val="24"/>
          <w:highlight w:val="none"/>
          <w:lang w:val="en-US" w:eastAsia="zh"/>
          <w:woUserID w:val="1"/>
        </w:rPr>
        <w:t>甲方</w:t>
      </w:r>
      <w:r>
        <w:rPr>
          <w:rFonts w:hint="eastAsia" w:ascii="宋体" w:hAnsi="宋体" w:eastAsia="宋体" w:cs="宋体"/>
          <w:color w:val="auto"/>
          <w:sz w:val="24"/>
          <w:szCs w:val="24"/>
          <w:highlight w:val="none"/>
          <w:lang w:val="en-US" w:eastAsia="zh-CN"/>
          <w:woUserID w:val="1"/>
        </w:rPr>
        <w:t>无关。</w:t>
      </w:r>
    </w:p>
    <w:p w14:paraId="667AD3C1">
      <w:pPr>
        <w:pStyle w:val="2"/>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woUserID w:val="1"/>
        </w:rPr>
      </w:pPr>
      <w:r>
        <w:rPr>
          <w:rFonts w:hint="eastAsia" w:ascii="宋体" w:hAnsi="宋体" w:eastAsia="宋体" w:cs="宋体"/>
          <w:color w:val="auto"/>
          <w:sz w:val="24"/>
          <w:szCs w:val="24"/>
          <w:highlight w:val="none"/>
          <w:lang w:val="zh-CN" w:eastAsia="zh"/>
          <w:woUserID w:val="1"/>
        </w:rPr>
        <w:t>9.乙方</w:t>
      </w:r>
      <w:r>
        <w:rPr>
          <w:rFonts w:hint="eastAsia" w:ascii="宋体" w:hAnsi="宋体" w:eastAsia="宋体" w:cs="宋体"/>
          <w:color w:val="auto"/>
          <w:sz w:val="24"/>
          <w:szCs w:val="24"/>
          <w:highlight w:val="none"/>
          <w:lang w:val="zh-CN" w:eastAsia="zh-CN"/>
          <w:woUserID w:val="1"/>
        </w:rPr>
        <w:t>未能如期提供服务的，每日向</w:t>
      </w:r>
      <w:r>
        <w:rPr>
          <w:rFonts w:hint="eastAsia" w:ascii="宋体" w:hAnsi="宋体" w:eastAsia="宋体" w:cs="宋体"/>
          <w:color w:val="auto"/>
          <w:sz w:val="24"/>
          <w:szCs w:val="24"/>
          <w:highlight w:val="none"/>
          <w:lang w:val="zh-CN" w:eastAsia="zh"/>
          <w:woUserID w:val="1"/>
        </w:rPr>
        <w:t>甲方</w:t>
      </w:r>
      <w:r>
        <w:rPr>
          <w:rFonts w:hint="eastAsia" w:ascii="宋体" w:hAnsi="宋体" w:eastAsia="宋体" w:cs="宋体"/>
          <w:color w:val="auto"/>
          <w:sz w:val="24"/>
          <w:szCs w:val="24"/>
          <w:highlight w:val="none"/>
          <w:lang w:val="zh-CN" w:eastAsia="zh-CN"/>
          <w:woUserID w:val="1"/>
        </w:rPr>
        <w:t>支付合同款项的万分之五作为违约金。</w:t>
      </w:r>
      <w:r>
        <w:rPr>
          <w:rFonts w:hint="eastAsia" w:ascii="宋体" w:hAnsi="宋体" w:eastAsia="宋体" w:cs="宋体"/>
          <w:color w:val="auto"/>
          <w:sz w:val="24"/>
          <w:szCs w:val="24"/>
          <w:highlight w:val="none"/>
          <w:lang w:val="en-US" w:eastAsia="zh-CN"/>
          <w:woUserID w:val="1"/>
        </w:rPr>
        <w:t>合同签订后</w:t>
      </w:r>
      <w:r>
        <w:rPr>
          <w:rFonts w:hint="eastAsia" w:ascii="宋体" w:hAnsi="宋体" w:eastAsia="宋体" w:cs="宋体"/>
          <w:color w:val="auto"/>
          <w:sz w:val="24"/>
          <w:szCs w:val="24"/>
          <w:highlight w:val="none"/>
          <w:lang w:val="zh-CN" w:eastAsia="zh-CN"/>
          <w:woUserID w:val="1"/>
        </w:rPr>
        <w:t>1</w:t>
      </w:r>
      <w:r>
        <w:rPr>
          <w:rFonts w:hint="eastAsia" w:ascii="宋体" w:hAnsi="宋体" w:eastAsia="宋体" w:cs="宋体"/>
          <w:color w:val="auto"/>
          <w:sz w:val="24"/>
          <w:szCs w:val="24"/>
          <w:highlight w:val="none"/>
          <w:lang w:val="en-US" w:eastAsia="zh-CN"/>
          <w:woUserID w:val="1"/>
        </w:rPr>
        <w:t>0</w:t>
      </w:r>
      <w:r>
        <w:rPr>
          <w:rFonts w:hint="eastAsia" w:ascii="宋体" w:hAnsi="宋体" w:eastAsia="宋体" w:cs="宋体"/>
          <w:color w:val="auto"/>
          <w:sz w:val="24"/>
          <w:szCs w:val="24"/>
          <w:highlight w:val="none"/>
          <w:lang w:val="zh-CN" w:eastAsia="zh-CN"/>
          <w:woUserID w:val="1"/>
        </w:rPr>
        <w:t>个工作日</w:t>
      </w:r>
      <w:r>
        <w:rPr>
          <w:rFonts w:hint="eastAsia" w:ascii="宋体" w:hAnsi="宋体" w:eastAsia="宋体" w:cs="宋体"/>
          <w:color w:val="auto"/>
          <w:sz w:val="24"/>
          <w:szCs w:val="24"/>
          <w:highlight w:val="none"/>
          <w:lang w:val="en-US" w:eastAsia="zh-CN"/>
          <w:woUserID w:val="1"/>
        </w:rPr>
        <w:t>后</w:t>
      </w:r>
      <w:r>
        <w:rPr>
          <w:rFonts w:hint="eastAsia" w:ascii="宋体" w:hAnsi="宋体" w:eastAsia="宋体" w:cs="宋体"/>
          <w:color w:val="auto"/>
          <w:sz w:val="24"/>
          <w:szCs w:val="24"/>
          <w:highlight w:val="none"/>
          <w:lang w:val="en-US" w:eastAsia="zh"/>
          <w:woUserID w:val="1"/>
        </w:rPr>
        <w:t>乙方</w:t>
      </w:r>
      <w:r>
        <w:rPr>
          <w:rFonts w:hint="eastAsia" w:ascii="宋体" w:hAnsi="宋体" w:eastAsia="宋体" w:cs="宋体"/>
          <w:color w:val="auto"/>
          <w:sz w:val="24"/>
          <w:szCs w:val="24"/>
          <w:highlight w:val="none"/>
          <w:lang w:val="zh-CN" w:eastAsia="zh-CN"/>
          <w:woUserID w:val="1"/>
        </w:rPr>
        <w:t>仍不能</w:t>
      </w:r>
      <w:r>
        <w:rPr>
          <w:rFonts w:hint="eastAsia" w:ascii="宋体" w:hAnsi="宋体" w:eastAsia="宋体" w:cs="宋体"/>
          <w:color w:val="auto"/>
          <w:sz w:val="24"/>
          <w:szCs w:val="24"/>
          <w:highlight w:val="none"/>
          <w:lang w:val="en-US" w:eastAsia="zh-CN"/>
          <w:woUserID w:val="1"/>
        </w:rPr>
        <w:t>开始</w:t>
      </w:r>
      <w:r>
        <w:rPr>
          <w:rFonts w:hint="eastAsia" w:ascii="宋体" w:hAnsi="宋体" w:eastAsia="宋体" w:cs="宋体"/>
          <w:color w:val="auto"/>
          <w:sz w:val="24"/>
          <w:szCs w:val="24"/>
          <w:highlight w:val="none"/>
          <w:lang w:val="zh-CN" w:eastAsia="zh-CN"/>
          <w:woUserID w:val="1"/>
        </w:rPr>
        <w:t>提供服务的，本合同自动解除，</w:t>
      </w:r>
      <w:r>
        <w:rPr>
          <w:rFonts w:hint="eastAsia" w:ascii="宋体" w:hAnsi="宋体" w:eastAsia="宋体" w:cs="宋体"/>
          <w:color w:val="auto"/>
          <w:sz w:val="24"/>
          <w:szCs w:val="24"/>
          <w:highlight w:val="none"/>
          <w:lang w:val="en-US" w:eastAsia="zh-CN"/>
          <w:woUserID w:val="1"/>
        </w:rPr>
        <w:t>违约责任按本条中的第</w:t>
      </w:r>
      <w:r>
        <w:rPr>
          <w:rFonts w:hint="eastAsia" w:ascii="宋体" w:hAnsi="宋体" w:eastAsia="宋体" w:cs="宋体"/>
          <w:color w:val="auto"/>
          <w:sz w:val="24"/>
          <w:szCs w:val="24"/>
          <w:highlight w:val="none"/>
          <w:lang w:val="en-US" w:eastAsia="zh"/>
          <w:woUserID w:val="1"/>
        </w:rPr>
        <w:t>10</w:t>
      </w:r>
      <w:r>
        <w:rPr>
          <w:rFonts w:hint="eastAsia" w:ascii="宋体" w:hAnsi="宋体" w:eastAsia="宋体" w:cs="宋体"/>
          <w:color w:val="auto"/>
          <w:sz w:val="24"/>
          <w:szCs w:val="24"/>
          <w:highlight w:val="none"/>
          <w:lang w:val="en-US" w:eastAsia="zh-CN"/>
          <w:woUserID w:val="1"/>
        </w:rPr>
        <w:t>款处理。</w:t>
      </w:r>
    </w:p>
    <w:p w14:paraId="2F39E26F">
      <w:pPr>
        <w:pStyle w:val="2"/>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lang w:val="zh-CN" w:eastAsia="zh-CN"/>
          <w:woUserID w:val="1"/>
        </w:rPr>
      </w:pPr>
      <w:r>
        <w:rPr>
          <w:rFonts w:hint="eastAsia" w:ascii="宋体" w:hAnsi="宋体" w:eastAsia="宋体" w:cs="宋体"/>
          <w:color w:val="auto"/>
          <w:sz w:val="24"/>
          <w:szCs w:val="24"/>
          <w:highlight w:val="none"/>
          <w:lang w:val="zh-CN" w:eastAsia="zh"/>
          <w:woUserID w:val="1"/>
        </w:rPr>
        <w:t>10.</w:t>
      </w:r>
      <w:r>
        <w:rPr>
          <w:rFonts w:hint="eastAsia" w:ascii="宋体" w:hAnsi="宋体" w:eastAsia="宋体" w:cs="宋体"/>
          <w:color w:val="auto"/>
          <w:sz w:val="24"/>
          <w:szCs w:val="24"/>
          <w:highlight w:val="none"/>
          <w:lang w:val="zh-CN" w:eastAsia="zh-CN"/>
          <w:woUserID w:val="1"/>
        </w:rPr>
        <w:t>因</w:t>
      </w:r>
      <w:r>
        <w:rPr>
          <w:rFonts w:hint="eastAsia" w:ascii="宋体" w:hAnsi="宋体" w:eastAsia="宋体" w:cs="宋体"/>
          <w:color w:val="auto"/>
          <w:sz w:val="24"/>
          <w:szCs w:val="24"/>
          <w:highlight w:val="none"/>
          <w:lang w:val="zh-CN" w:eastAsia="zh"/>
          <w:woUserID w:val="1"/>
        </w:rPr>
        <w:t>乙方</w:t>
      </w:r>
      <w:r>
        <w:rPr>
          <w:rFonts w:hint="eastAsia" w:ascii="宋体" w:hAnsi="宋体" w:eastAsia="宋体" w:cs="宋体"/>
          <w:color w:val="auto"/>
          <w:sz w:val="24"/>
          <w:szCs w:val="24"/>
          <w:highlight w:val="none"/>
          <w:lang w:val="zh-CN" w:eastAsia="zh-CN"/>
          <w:woUserID w:val="1"/>
        </w:rPr>
        <w:t>原因导致合同解除的，</w:t>
      </w:r>
      <w:r>
        <w:rPr>
          <w:rFonts w:hint="eastAsia" w:ascii="宋体" w:hAnsi="宋体" w:eastAsia="宋体" w:cs="宋体"/>
          <w:color w:val="auto"/>
          <w:sz w:val="24"/>
          <w:szCs w:val="24"/>
          <w:highlight w:val="none"/>
          <w:lang w:val="zh-CN" w:eastAsia="zh"/>
          <w:woUserID w:val="1"/>
        </w:rPr>
        <w:t>乙方</w:t>
      </w:r>
      <w:r>
        <w:rPr>
          <w:rFonts w:hint="eastAsia" w:ascii="宋体" w:hAnsi="宋体" w:eastAsia="宋体" w:cs="宋体"/>
          <w:color w:val="auto"/>
          <w:sz w:val="24"/>
          <w:szCs w:val="24"/>
          <w:highlight w:val="none"/>
          <w:lang w:val="zh-CN" w:eastAsia="zh-CN"/>
          <w:woUserID w:val="1"/>
        </w:rPr>
        <w:t>应向</w:t>
      </w:r>
      <w:r>
        <w:rPr>
          <w:rFonts w:hint="eastAsia" w:ascii="宋体" w:hAnsi="宋体" w:eastAsia="宋体" w:cs="宋体"/>
          <w:color w:val="auto"/>
          <w:sz w:val="24"/>
          <w:szCs w:val="24"/>
          <w:highlight w:val="none"/>
          <w:lang w:val="zh-CN" w:eastAsia="zh"/>
          <w:woUserID w:val="1"/>
        </w:rPr>
        <w:t>甲方</w:t>
      </w:r>
      <w:r>
        <w:rPr>
          <w:rFonts w:hint="eastAsia" w:ascii="宋体" w:hAnsi="宋体" w:eastAsia="宋体" w:cs="宋体"/>
          <w:color w:val="auto"/>
          <w:sz w:val="24"/>
          <w:szCs w:val="24"/>
          <w:highlight w:val="none"/>
          <w:lang w:val="zh-CN" w:eastAsia="zh-CN"/>
          <w:woUserID w:val="1"/>
        </w:rPr>
        <w:t>支付合同总值的百分之三十违约金，如造成</w:t>
      </w:r>
      <w:r>
        <w:rPr>
          <w:rFonts w:hint="eastAsia" w:ascii="宋体" w:hAnsi="宋体" w:eastAsia="宋体" w:cs="宋体"/>
          <w:color w:val="auto"/>
          <w:sz w:val="24"/>
          <w:szCs w:val="24"/>
          <w:highlight w:val="none"/>
          <w:lang w:val="zh-CN" w:eastAsia="zh"/>
          <w:woUserID w:val="1"/>
        </w:rPr>
        <w:t>甲方</w:t>
      </w:r>
      <w:r>
        <w:rPr>
          <w:rFonts w:hint="eastAsia" w:ascii="宋体" w:hAnsi="宋体" w:eastAsia="宋体" w:cs="宋体"/>
          <w:color w:val="auto"/>
          <w:sz w:val="24"/>
          <w:szCs w:val="24"/>
          <w:highlight w:val="none"/>
          <w:lang w:val="zh-CN" w:eastAsia="zh-CN"/>
          <w:woUserID w:val="1"/>
        </w:rPr>
        <w:t>损失超过违约金的，超出部分由</w:t>
      </w:r>
      <w:r>
        <w:rPr>
          <w:rFonts w:hint="eastAsia" w:ascii="宋体" w:hAnsi="宋体" w:eastAsia="宋体" w:cs="宋体"/>
          <w:color w:val="auto"/>
          <w:sz w:val="24"/>
          <w:szCs w:val="24"/>
          <w:highlight w:val="none"/>
          <w:lang w:val="zh-CN" w:eastAsia="zh"/>
          <w:woUserID w:val="1"/>
        </w:rPr>
        <w:t>乙方</w:t>
      </w:r>
      <w:r>
        <w:rPr>
          <w:rFonts w:hint="eastAsia" w:ascii="宋体" w:hAnsi="宋体" w:eastAsia="宋体" w:cs="宋体"/>
          <w:color w:val="auto"/>
          <w:sz w:val="24"/>
          <w:szCs w:val="24"/>
          <w:highlight w:val="none"/>
          <w:lang w:val="zh-CN" w:eastAsia="zh-CN"/>
          <w:woUserID w:val="1"/>
        </w:rPr>
        <w:t>继续承担赔偿责任，同时</w:t>
      </w:r>
      <w:r>
        <w:rPr>
          <w:rFonts w:hint="eastAsia" w:ascii="宋体" w:hAnsi="宋体" w:eastAsia="宋体" w:cs="宋体"/>
          <w:color w:val="auto"/>
          <w:sz w:val="24"/>
          <w:szCs w:val="24"/>
          <w:highlight w:val="none"/>
          <w:lang w:val="zh-CN" w:eastAsia="zh"/>
          <w:woUserID w:val="1"/>
        </w:rPr>
        <w:t>甲方</w:t>
      </w:r>
      <w:r>
        <w:rPr>
          <w:rFonts w:hint="eastAsia" w:ascii="宋体" w:hAnsi="宋体" w:eastAsia="宋体" w:cs="宋体"/>
          <w:color w:val="auto"/>
          <w:sz w:val="24"/>
          <w:szCs w:val="24"/>
          <w:highlight w:val="none"/>
          <w:lang w:val="en-US" w:eastAsia="zh-CN"/>
          <w:woUserID w:val="1"/>
        </w:rPr>
        <w:t>有权自行委托第三方完成</w:t>
      </w:r>
      <w:r>
        <w:rPr>
          <w:rFonts w:hint="eastAsia" w:ascii="宋体" w:hAnsi="宋体" w:eastAsia="宋体" w:cs="宋体"/>
          <w:color w:val="auto"/>
          <w:sz w:val="24"/>
          <w:szCs w:val="24"/>
          <w:highlight w:val="none"/>
          <w:lang w:val="en-US" w:eastAsia="zh"/>
          <w:woUserID w:val="1"/>
        </w:rPr>
        <w:t>乙方</w:t>
      </w:r>
      <w:r>
        <w:rPr>
          <w:rFonts w:hint="eastAsia" w:ascii="宋体" w:hAnsi="宋体" w:eastAsia="宋体" w:cs="宋体"/>
          <w:color w:val="auto"/>
          <w:sz w:val="24"/>
          <w:szCs w:val="24"/>
          <w:highlight w:val="none"/>
          <w:lang w:val="en-US" w:eastAsia="zh-CN"/>
          <w:woUserID w:val="1"/>
        </w:rPr>
        <w:t>未履行部分的服务，</w:t>
      </w:r>
      <w:r>
        <w:rPr>
          <w:rFonts w:hint="eastAsia" w:ascii="宋体" w:hAnsi="宋体" w:eastAsia="宋体" w:cs="宋体"/>
          <w:color w:val="auto"/>
          <w:sz w:val="24"/>
          <w:szCs w:val="24"/>
          <w:highlight w:val="none"/>
          <w:lang w:val="en-US" w:eastAsia="zh"/>
          <w:woUserID w:val="1"/>
        </w:rPr>
        <w:t>乙方</w:t>
      </w:r>
      <w:r>
        <w:rPr>
          <w:rFonts w:hint="eastAsia" w:ascii="宋体" w:hAnsi="宋体" w:eastAsia="宋体" w:cs="宋体"/>
          <w:color w:val="auto"/>
          <w:sz w:val="24"/>
          <w:szCs w:val="24"/>
          <w:highlight w:val="none"/>
          <w:lang w:val="en-US" w:eastAsia="zh-CN"/>
          <w:woUserID w:val="1"/>
        </w:rPr>
        <w:t>承诺承担</w:t>
      </w:r>
      <w:r>
        <w:rPr>
          <w:rFonts w:hint="eastAsia" w:ascii="宋体" w:hAnsi="宋体" w:eastAsia="宋体" w:cs="宋体"/>
          <w:color w:val="auto"/>
          <w:sz w:val="24"/>
          <w:szCs w:val="24"/>
          <w:highlight w:val="none"/>
          <w:lang w:val="en-US" w:eastAsia="zh"/>
          <w:woUserID w:val="1"/>
        </w:rPr>
        <w:t>甲方</w:t>
      </w:r>
      <w:r>
        <w:rPr>
          <w:rFonts w:hint="eastAsia" w:ascii="宋体" w:hAnsi="宋体" w:eastAsia="宋体" w:cs="宋体"/>
          <w:color w:val="auto"/>
          <w:sz w:val="24"/>
          <w:szCs w:val="24"/>
          <w:highlight w:val="none"/>
          <w:lang w:val="en-US" w:eastAsia="zh-CN"/>
          <w:woUserID w:val="1"/>
        </w:rPr>
        <w:t>因委托第三方履行服务所产生的一切合理费用</w:t>
      </w:r>
      <w:r>
        <w:rPr>
          <w:rFonts w:hint="eastAsia" w:ascii="宋体" w:hAnsi="宋体" w:eastAsia="宋体" w:cs="宋体"/>
          <w:color w:val="auto"/>
          <w:sz w:val="24"/>
          <w:szCs w:val="24"/>
          <w:highlight w:val="none"/>
          <w:lang w:val="zh-CN" w:eastAsia="zh-CN"/>
          <w:woUserID w:val="1"/>
        </w:rPr>
        <w:t>。</w:t>
      </w:r>
    </w:p>
    <w:p w14:paraId="45E42967">
      <w:pPr>
        <w:pStyle w:val="2"/>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right="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宋体" w:hAnsi="宋体" w:eastAsia="宋体" w:cs="宋体"/>
          <w:color w:val="auto"/>
          <w:sz w:val="24"/>
          <w:szCs w:val="24"/>
          <w:highlight w:val="none"/>
          <w:lang w:val="en-US" w:eastAsia="zh"/>
          <w:woUserID w:val="1"/>
        </w:rPr>
        <w:t>11.</w:t>
      </w:r>
      <w:r>
        <w:rPr>
          <w:rFonts w:hint="eastAsia" w:ascii="宋体" w:hAnsi="宋体" w:eastAsia="宋体" w:cs="宋体"/>
          <w:color w:val="auto"/>
          <w:sz w:val="24"/>
          <w:szCs w:val="24"/>
          <w:highlight w:val="none"/>
          <w:lang w:val="en-US" w:eastAsia="zh-CN"/>
          <w:woUserID w:val="1"/>
        </w:rPr>
        <w:t>未经</w:t>
      </w:r>
      <w:r>
        <w:rPr>
          <w:rFonts w:hint="eastAsia" w:ascii="宋体" w:hAnsi="宋体" w:eastAsia="宋体" w:cs="宋体"/>
          <w:color w:val="auto"/>
          <w:sz w:val="24"/>
          <w:szCs w:val="24"/>
          <w:highlight w:val="none"/>
          <w:lang w:val="en-US" w:eastAsia="zh"/>
          <w:woUserID w:val="1"/>
        </w:rPr>
        <w:t>甲方</w:t>
      </w:r>
      <w:r>
        <w:rPr>
          <w:rFonts w:hint="eastAsia" w:ascii="宋体" w:hAnsi="宋体" w:eastAsia="宋体" w:cs="宋体"/>
          <w:color w:val="auto"/>
          <w:sz w:val="24"/>
          <w:szCs w:val="24"/>
          <w:highlight w:val="none"/>
          <w:lang w:val="en-US" w:eastAsia="zh-CN"/>
          <w:woUserID w:val="1"/>
        </w:rPr>
        <w:t>事先同意，</w:t>
      </w:r>
      <w:r>
        <w:rPr>
          <w:rFonts w:hint="eastAsia" w:ascii="宋体" w:hAnsi="宋体" w:eastAsia="宋体" w:cs="宋体"/>
          <w:color w:val="auto"/>
          <w:sz w:val="24"/>
          <w:szCs w:val="24"/>
          <w:highlight w:val="none"/>
          <w:lang w:val="en-US" w:eastAsia="zh"/>
          <w:woUserID w:val="1"/>
        </w:rPr>
        <w:t>乙方</w:t>
      </w:r>
      <w:r>
        <w:rPr>
          <w:rFonts w:hint="eastAsia" w:ascii="宋体" w:hAnsi="宋体" w:eastAsia="宋体" w:cs="宋体"/>
          <w:color w:val="auto"/>
          <w:sz w:val="24"/>
          <w:szCs w:val="24"/>
          <w:highlight w:val="none"/>
          <w:lang w:val="en-US" w:eastAsia="zh-CN"/>
          <w:woUserID w:val="1"/>
        </w:rPr>
        <w:t>调换驻点人员3人次（含）以下者，每人次扣除合同金额的1%；调换人次达4人次（含）以上者，</w:t>
      </w:r>
      <w:r>
        <w:rPr>
          <w:rFonts w:hint="eastAsia" w:ascii="宋体" w:hAnsi="宋体" w:eastAsia="宋体" w:cs="宋体"/>
          <w:color w:val="auto"/>
          <w:sz w:val="24"/>
          <w:szCs w:val="24"/>
          <w:highlight w:val="none"/>
          <w:lang w:val="en-US" w:eastAsia="zh"/>
          <w:woUserID w:val="1"/>
        </w:rPr>
        <w:t>甲方</w:t>
      </w:r>
      <w:r>
        <w:rPr>
          <w:rFonts w:hint="eastAsia" w:ascii="宋体" w:hAnsi="宋体" w:eastAsia="宋体" w:cs="宋体"/>
          <w:color w:val="auto"/>
          <w:sz w:val="24"/>
          <w:szCs w:val="24"/>
          <w:highlight w:val="none"/>
          <w:lang w:val="en-US" w:eastAsia="zh-CN"/>
          <w:woUserID w:val="1"/>
        </w:rPr>
        <w:t>有权解除合同，违约责任按本条中的第</w:t>
      </w:r>
      <w:r>
        <w:rPr>
          <w:rFonts w:hint="eastAsia" w:ascii="宋体" w:hAnsi="宋体" w:eastAsia="宋体" w:cs="宋体"/>
          <w:color w:val="auto"/>
          <w:sz w:val="24"/>
          <w:szCs w:val="24"/>
          <w:highlight w:val="none"/>
          <w:lang w:val="en-US" w:eastAsia="zh"/>
          <w:woUserID w:val="1"/>
        </w:rPr>
        <w:t>10</w:t>
      </w:r>
      <w:r>
        <w:rPr>
          <w:rFonts w:hint="eastAsia" w:ascii="宋体" w:hAnsi="宋体" w:eastAsia="宋体" w:cs="宋体"/>
          <w:color w:val="auto"/>
          <w:sz w:val="24"/>
          <w:szCs w:val="24"/>
          <w:highlight w:val="none"/>
          <w:lang w:val="en-US" w:eastAsia="zh-CN"/>
          <w:woUserID w:val="1"/>
        </w:rPr>
        <w:t>款处理。</w:t>
      </w:r>
    </w:p>
    <w:p w14:paraId="350A5F5E">
      <w:pPr>
        <w:spacing w:line="360" w:lineRule="auto"/>
        <w:textAlignment w:val="baseline"/>
        <w:rPr>
          <w:rFonts w:ascii="宋体" w:hAnsi="宋体" w:cs="宋体"/>
          <w:b/>
          <w:color w:val="auto"/>
          <w:sz w:val="24"/>
          <w:highlight w:val="none"/>
        </w:rPr>
      </w:pPr>
      <w:r>
        <w:rPr>
          <w:rFonts w:hint="eastAsia" w:ascii="宋体" w:hAnsi="宋体" w:cs="宋体"/>
          <w:b/>
          <w:color w:val="auto"/>
          <w:sz w:val="24"/>
          <w:highlight w:val="none"/>
        </w:rPr>
        <w:t>十三、不可抗力事件处理</w:t>
      </w:r>
    </w:p>
    <w:p w14:paraId="2547F033">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在合同有效期内，任何一方因不可抗力事件导致不能履行合同，则合同履行期可延长，其延长期与不可抗力影响期相同。</w:t>
      </w:r>
    </w:p>
    <w:p w14:paraId="2BE43F5D">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不可抗力事件发生后，应立即通知对方，并寄送有关权威机构出具的证明。</w:t>
      </w:r>
    </w:p>
    <w:p w14:paraId="15F34971">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不可抗力事件延续120天以上，双方应通过友好协商，确定是否继续履行合同。</w:t>
      </w:r>
    </w:p>
    <w:p w14:paraId="6BA1C507">
      <w:pPr>
        <w:spacing w:line="360" w:lineRule="auto"/>
        <w:textAlignment w:val="baseline"/>
        <w:rPr>
          <w:rFonts w:ascii="宋体" w:hAnsi="宋体" w:cs="宋体"/>
          <w:b/>
          <w:color w:val="auto"/>
          <w:sz w:val="24"/>
          <w:highlight w:val="none"/>
        </w:rPr>
      </w:pPr>
      <w:r>
        <w:rPr>
          <w:rFonts w:hint="eastAsia" w:ascii="宋体" w:hAnsi="宋体" w:cs="宋体"/>
          <w:b/>
          <w:color w:val="auto"/>
          <w:sz w:val="24"/>
          <w:highlight w:val="none"/>
        </w:rPr>
        <w:t>十四、诉讼</w:t>
      </w:r>
    </w:p>
    <w:p w14:paraId="54C22240">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双方在执行合同中所发生的一切争议，应通过友好协商解决。如协商不成，可向甲方所在地的人民法院起诉。</w:t>
      </w:r>
    </w:p>
    <w:p w14:paraId="134816DB">
      <w:pPr>
        <w:spacing w:line="360" w:lineRule="auto"/>
        <w:textAlignment w:val="baseline"/>
        <w:rPr>
          <w:rFonts w:ascii="宋体" w:hAnsi="宋体" w:cs="宋体"/>
          <w:b/>
          <w:color w:val="auto"/>
          <w:sz w:val="24"/>
          <w:highlight w:val="none"/>
        </w:rPr>
      </w:pPr>
      <w:r>
        <w:rPr>
          <w:rFonts w:hint="eastAsia" w:ascii="宋体" w:hAnsi="宋体" w:cs="宋体"/>
          <w:b/>
          <w:color w:val="auto"/>
          <w:sz w:val="24"/>
          <w:highlight w:val="none"/>
        </w:rPr>
        <w:t>十五、合同生效及其它</w:t>
      </w:r>
    </w:p>
    <w:p w14:paraId="7EAC9DA9">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合同经双方法定代表人或授权委托代理人签字或盖章并加盖单位公章或合同专用章后生效。</w:t>
      </w:r>
    </w:p>
    <w:p w14:paraId="5FC69172">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如需调整完善或补充合同内容，经协商，双方应签署书面调整完善或补充协议，该协议将作为本合同的一个组成部分。</w:t>
      </w:r>
    </w:p>
    <w:p w14:paraId="7256BAA2">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本合同未尽事宜，遵照《中华人民共和国民法典》有关条文执行。</w:t>
      </w:r>
    </w:p>
    <w:p w14:paraId="39A9C90A">
      <w:pPr>
        <w:spacing w:line="360" w:lineRule="auto"/>
        <w:ind w:firstLine="480" w:firstLineChars="200"/>
        <w:textAlignment w:val="baseline"/>
        <w:rPr>
          <w:rFonts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本合同一式</w:t>
      </w:r>
      <w:r>
        <w:rPr>
          <w:rFonts w:hint="eastAsia" w:ascii="宋体" w:hAnsi="宋体" w:cs="宋体"/>
          <w:color w:val="auto"/>
          <w:kern w:val="0"/>
          <w:sz w:val="24"/>
          <w:highlight w:val="none"/>
          <w:u w:val="single" w:color="000000"/>
        </w:rPr>
        <w:t>捌</w:t>
      </w:r>
      <w:r>
        <w:rPr>
          <w:rFonts w:hint="eastAsia" w:ascii="宋体" w:hAnsi="宋体" w:cs="宋体"/>
          <w:color w:val="auto"/>
          <w:kern w:val="0"/>
          <w:sz w:val="24"/>
          <w:highlight w:val="none"/>
        </w:rPr>
        <w:t>份。甲方执</w:t>
      </w:r>
      <w:r>
        <w:rPr>
          <w:rFonts w:hint="eastAsia" w:ascii="宋体" w:hAnsi="宋体" w:cs="宋体"/>
          <w:color w:val="auto"/>
          <w:kern w:val="0"/>
          <w:sz w:val="24"/>
          <w:highlight w:val="none"/>
          <w:u w:val="single" w:color="000000"/>
        </w:rPr>
        <w:t>叁</w:t>
      </w:r>
      <w:r>
        <w:rPr>
          <w:rFonts w:hint="eastAsia" w:ascii="宋体" w:hAnsi="宋体" w:cs="宋体"/>
          <w:color w:val="auto"/>
          <w:kern w:val="0"/>
          <w:sz w:val="24"/>
          <w:highlight w:val="none"/>
        </w:rPr>
        <w:t>份、乙方执</w:t>
      </w:r>
      <w:r>
        <w:rPr>
          <w:rFonts w:hint="eastAsia" w:ascii="宋体" w:hAnsi="宋体" w:cs="宋体"/>
          <w:color w:val="auto"/>
          <w:kern w:val="0"/>
          <w:sz w:val="24"/>
          <w:highlight w:val="none"/>
          <w:u w:val="single" w:color="000000"/>
        </w:rPr>
        <w:t>叁</w:t>
      </w:r>
      <w:r>
        <w:rPr>
          <w:rFonts w:hint="eastAsia" w:ascii="宋体" w:hAnsi="宋体" w:cs="宋体"/>
          <w:color w:val="auto"/>
          <w:kern w:val="0"/>
          <w:sz w:val="24"/>
          <w:highlight w:val="none"/>
        </w:rPr>
        <w:t>份，招标代理服务公司及政府采购监管部门各执壹份。本项目未尽事宜以招标文件、投标文件及澄清文件等为准，相互间表述不一致的地方应作出以利于甲方的解释。</w:t>
      </w:r>
    </w:p>
    <w:p w14:paraId="059FD695">
      <w:pPr>
        <w:spacing w:line="360" w:lineRule="auto"/>
        <w:textAlignment w:val="baseline"/>
        <w:rPr>
          <w:rFonts w:ascii="宋体" w:hAnsi="宋体" w:cs="宋体"/>
          <w:color w:val="auto"/>
          <w:sz w:val="24"/>
          <w:highlight w:val="none"/>
        </w:rPr>
      </w:pPr>
    </w:p>
    <w:p w14:paraId="117460EB">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甲方（章）                                       乙方（章）</w:t>
      </w:r>
    </w:p>
    <w:p w14:paraId="394D6AC8">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法定代表人：                                     法定代表人：</w:t>
      </w:r>
    </w:p>
    <w:p w14:paraId="5F7BC420">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委托代理人：                                     委托代理人：</w:t>
      </w:r>
    </w:p>
    <w:p w14:paraId="642E7E32">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联系电话：                                       联系电话：</w:t>
      </w:r>
    </w:p>
    <w:p w14:paraId="25C4EBE3">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开户银行：                                       开户银行：</w:t>
      </w:r>
    </w:p>
    <w:p w14:paraId="58B81945">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帐号：                                           帐号：</w:t>
      </w:r>
    </w:p>
    <w:p w14:paraId="7407DE56">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地址及邮编：                                     地址及邮编：</w:t>
      </w:r>
    </w:p>
    <w:p w14:paraId="66D85743">
      <w:pPr>
        <w:spacing w:line="360" w:lineRule="auto"/>
        <w:rPr>
          <w:rFonts w:asciiTheme="minorEastAsia" w:hAnsiTheme="minorEastAsia" w:eastAsiaTheme="minorEastAsia"/>
          <w:color w:val="auto"/>
          <w:sz w:val="24"/>
          <w:highlight w:val="none"/>
        </w:rPr>
      </w:pPr>
    </w:p>
    <w:p w14:paraId="5E8E14A6">
      <w:pPr>
        <w:spacing w:line="360" w:lineRule="auto"/>
        <w:rPr>
          <w:rFonts w:asciiTheme="minorEastAsia" w:hAnsiTheme="minorEastAsia" w:eastAsiaTheme="minorEastAsia"/>
          <w:color w:val="auto"/>
          <w:sz w:val="24"/>
          <w:highlight w:val="none"/>
        </w:rPr>
      </w:pPr>
    </w:p>
    <w:p w14:paraId="25A2CAD4">
      <w:pPr>
        <w:autoSpaceDE w:val="0"/>
        <w:autoSpaceDN w:val="0"/>
        <w:adjustRightInd w:val="0"/>
        <w:spacing w:line="360" w:lineRule="auto"/>
        <w:rPr>
          <w:rFonts w:ascii="宋体" w:hAnsi="宋体"/>
          <w:b/>
          <w:color w:val="auto"/>
          <w:kern w:val="0"/>
          <w:sz w:val="30"/>
          <w:highlight w:val="none"/>
        </w:rPr>
      </w:pPr>
      <w:r>
        <w:rPr>
          <w:rFonts w:hint="eastAsia" w:asciiTheme="minorEastAsia" w:hAnsiTheme="minorEastAsia" w:eastAsiaTheme="minorEastAsia"/>
          <w:color w:val="auto"/>
          <w:sz w:val="24"/>
          <w:highlight w:val="none"/>
        </w:rPr>
        <w:t>签订时间：    年   月    日</w:t>
      </w:r>
    </w:p>
    <w:p w14:paraId="5C4DFE1C">
      <w:pPr>
        <w:pStyle w:val="2"/>
        <w:ind w:firstLine="482"/>
        <w:rPr>
          <w:rFonts w:ascii="宋体" w:hAnsi="宋体" w:cs="宋体"/>
          <w:b/>
          <w:snapToGrid w:val="0"/>
          <w:color w:val="auto"/>
          <w:kern w:val="0"/>
          <w:sz w:val="24"/>
          <w:highlight w:val="none"/>
        </w:rPr>
      </w:pPr>
    </w:p>
    <w:p w14:paraId="4F7941AF">
      <w:pPr>
        <w:jc w:val="center"/>
        <w:rPr>
          <w:rFonts w:ascii="宋体" w:hAnsi="宋体"/>
          <w:color w:val="auto"/>
          <w:highlight w:val="none"/>
        </w:rPr>
      </w:pPr>
    </w:p>
    <w:p w14:paraId="124991B7">
      <w:pPr>
        <w:pStyle w:val="2"/>
        <w:ind w:left="0" w:leftChars="0" w:firstLine="0" w:firstLineChars="0"/>
        <w:rPr>
          <w:color w:val="auto"/>
          <w:highlight w:val="none"/>
        </w:rPr>
      </w:pPr>
    </w:p>
    <w:p w14:paraId="2CEC3BB1">
      <w:pPr>
        <w:pStyle w:val="4"/>
        <w:rPr>
          <w:rFonts w:eastAsia="黑体"/>
          <w:color w:val="auto"/>
          <w:sz w:val="32"/>
          <w:szCs w:val="32"/>
          <w:highlight w:val="none"/>
        </w:rPr>
      </w:pPr>
    </w:p>
    <w:p w14:paraId="1E69E33F">
      <w:pPr>
        <w:rPr>
          <w:rFonts w:eastAsia="黑体"/>
          <w:color w:val="auto"/>
          <w:sz w:val="32"/>
          <w:szCs w:val="32"/>
          <w:highlight w:val="none"/>
        </w:rPr>
      </w:pPr>
    </w:p>
    <w:p w14:paraId="472500AC">
      <w:pPr>
        <w:pStyle w:val="47"/>
        <w:rPr>
          <w:rFonts w:eastAsia="黑体"/>
          <w:color w:val="auto"/>
          <w:sz w:val="32"/>
          <w:szCs w:val="32"/>
          <w:highlight w:val="none"/>
        </w:rPr>
      </w:pPr>
    </w:p>
    <w:p w14:paraId="709FB4F3">
      <w:pPr>
        <w:pStyle w:val="8"/>
        <w:rPr>
          <w:rFonts w:eastAsia="黑体"/>
          <w:color w:val="auto"/>
          <w:sz w:val="32"/>
          <w:szCs w:val="32"/>
          <w:highlight w:val="none"/>
        </w:rPr>
      </w:pPr>
    </w:p>
    <w:p w14:paraId="1C224A55">
      <w:pPr>
        <w:pStyle w:val="9"/>
        <w:ind w:firstLine="210"/>
        <w:rPr>
          <w:color w:val="auto"/>
          <w:highlight w:val="none"/>
        </w:rPr>
      </w:pPr>
    </w:p>
    <w:p w14:paraId="641F8DF7">
      <w:pPr>
        <w:rPr>
          <w:rFonts w:ascii="宋体" w:hAnsi="宋体" w:cs="宋体"/>
          <w:b/>
          <w:bCs/>
          <w:color w:val="auto"/>
          <w:sz w:val="24"/>
          <w:highlight w:val="none"/>
        </w:rPr>
      </w:pPr>
    </w:p>
    <w:p w14:paraId="6696EB31">
      <w:pPr>
        <w:rPr>
          <w:rFonts w:ascii="宋体" w:hAnsi="宋体" w:cs="宋体"/>
          <w:b/>
          <w:bCs/>
          <w:color w:val="auto"/>
          <w:sz w:val="24"/>
          <w:highlight w:val="none"/>
        </w:rPr>
      </w:pPr>
    </w:p>
    <w:p w14:paraId="326A874C">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957CE78">
      <w:pPr>
        <w:rPr>
          <w:rFonts w:ascii="宋体" w:hAnsi="宋体" w:cs="宋体"/>
          <w:b/>
          <w:bCs/>
          <w:color w:val="auto"/>
          <w:sz w:val="28"/>
          <w:szCs w:val="28"/>
          <w:highlight w:val="none"/>
        </w:rPr>
      </w:pPr>
      <w:r>
        <w:rPr>
          <w:rFonts w:hint="eastAsia" w:ascii="宋体" w:hAnsi="宋体" w:cs="宋体"/>
          <w:b/>
          <w:bCs/>
          <w:color w:val="auto"/>
          <w:sz w:val="28"/>
          <w:szCs w:val="28"/>
          <w:highlight w:val="none"/>
        </w:rPr>
        <w:t>合同附件一</w:t>
      </w:r>
    </w:p>
    <w:p w14:paraId="1F885862">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公安网络与信息安全保密协议</w:t>
      </w:r>
    </w:p>
    <w:p w14:paraId="444180BA">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甲方：</w:t>
      </w:r>
      <w:r>
        <w:rPr>
          <w:rFonts w:hint="eastAsia" w:ascii="宋体" w:hAnsi="宋体" w:cs="宋体"/>
          <w:color w:val="auto"/>
          <w:sz w:val="24"/>
          <w:highlight w:val="none"/>
          <w:u w:val="single"/>
          <w:lang w:eastAsia="zh-CN"/>
        </w:rPr>
        <w:t>台州市公安局交通管理支队</w:t>
      </w:r>
    </w:p>
    <w:p w14:paraId="4E480D8E">
      <w:pPr>
        <w:rPr>
          <w:rFonts w:ascii="宋体" w:hAnsi="宋体" w:cs="宋体"/>
          <w:color w:val="auto"/>
          <w:sz w:val="24"/>
          <w:highlight w:val="none"/>
        </w:rPr>
      </w:pPr>
      <w:r>
        <w:rPr>
          <w:rFonts w:hint="eastAsia" w:ascii="宋体" w:hAnsi="宋体" w:cs="宋体"/>
          <w:color w:val="auto"/>
          <w:sz w:val="24"/>
          <w:highlight w:val="none"/>
        </w:rPr>
        <w:t>乙方：</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26CF3864">
      <w:pPr>
        <w:ind w:firstLine="480" w:firstLineChars="200"/>
        <w:rPr>
          <w:rFonts w:ascii="宋体" w:hAnsi="宋体" w:cs="宋体"/>
          <w:color w:val="auto"/>
          <w:sz w:val="24"/>
          <w:highlight w:val="none"/>
        </w:rPr>
      </w:pPr>
      <w:r>
        <w:rPr>
          <w:rFonts w:hint="eastAsia" w:ascii="宋体" w:hAnsi="宋体" w:cs="宋体"/>
          <w:color w:val="auto"/>
          <w:sz w:val="24"/>
          <w:highlight w:val="none"/>
        </w:rPr>
        <w:t>为切实保障公安网络和信息安全保密，根据《中华人民共和国保守国家秘密法》和有关法律、法规之规定，为确保甲方所涉及的国家秘密和警务工作秘密的网络与信息安全，双方同意签订如下保密协议：</w:t>
      </w:r>
    </w:p>
    <w:p w14:paraId="3857B342">
      <w:pPr>
        <w:ind w:firstLine="480" w:firstLineChars="200"/>
        <w:rPr>
          <w:rFonts w:ascii="宋体" w:hAnsi="宋体" w:cs="宋体"/>
          <w:color w:val="auto"/>
          <w:sz w:val="24"/>
          <w:highlight w:val="none"/>
        </w:rPr>
      </w:pPr>
      <w:r>
        <w:rPr>
          <w:rFonts w:hint="eastAsia" w:ascii="宋体" w:hAnsi="宋体" w:cs="宋体"/>
          <w:color w:val="auto"/>
          <w:sz w:val="24"/>
          <w:highlight w:val="none"/>
        </w:rPr>
        <w:t>一、保密范围</w:t>
      </w:r>
    </w:p>
    <w:p w14:paraId="47B57520">
      <w:pPr>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乙方为甲方提供技术咨询、技术服务、系统建设而了解、掌握的甲方公安信息网络系统的拓扑结构、安全保密措施、各项参数等，以及甲方场地环境、硬件、软件、电子信息和所有资料内容（以上简称专有信息）。</w:t>
      </w:r>
    </w:p>
    <w:p w14:paraId="1888DF37">
      <w:pPr>
        <w:ind w:firstLine="480" w:firstLineChars="200"/>
        <w:rPr>
          <w:rFonts w:ascii="宋体" w:hAnsi="宋体" w:cs="宋体"/>
          <w:color w:val="auto"/>
          <w:sz w:val="24"/>
          <w:highlight w:val="none"/>
        </w:rPr>
      </w:pPr>
      <w:r>
        <w:rPr>
          <w:rFonts w:hint="eastAsia" w:ascii="宋体" w:hAnsi="宋体" w:cs="宋体"/>
          <w:color w:val="auto"/>
          <w:sz w:val="24"/>
          <w:highlight w:val="none"/>
        </w:rPr>
        <w:t>二、保密责任</w:t>
      </w:r>
    </w:p>
    <w:p w14:paraId="3CF03287">
      <w:pPr>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乙方须确定项目开发与维护的专门人员，并将有关人员情况报甲方备案并须通过甲方审查和书面确认。其中，对涉密数据加载运行后承担系统维护的人员，甲乙双方须按照各自职责进行更为严格的审查。</w:t>
      </w:r>
    </w:p>
    <w:p w14:paraId="709B9712">
      <w:pPr>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乙方须在签订本保密协议后，才可使用甲方提供的有关专有信息开展相关工作。</w:t>
      </w:r>
    </w:p>
    <w:p w14:paraId="307B4B81">
      <w:pPr>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ascii="宋体" w:hAnsi="宋体" w:cs="宋体"/>
          <w:color w:val="auto"/>
          <w:sz w:val="24"/>
          <w:highlight w:val="none"/>
        </w:rPr>
        <w:t>乙方须与参加项目的有关人员签订《保密协议》，经常对有关人员进行保密教育，监督个人履约情况；未经甲方书面确认，乙方不得随意增减、更换有关技术人员。</w:t>
      </w:r>
    </w:p>
    <w:p w14:paraId="66C0DF57">
      <w:pPr>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rPr>
        <w:t>乙方须严格控制使用甲方的专有信息，保证不向第三方泄露甲方提供的任何专有信息，并对专有信息提供管理良好的安全保密措施。乙方不能将甲方的专有信息用于其他任何目的。除乙方直接参与本项目工程的员工之外，不将专有信息透露给其他任何人，禁止无关人员介入或了解项目相关情况。乙方及其参与本项工作的员工严禁在系统建设中私设“后门”，非法访问系统。</w:t>
      </w:r>
    </w:p>
    <w:p w14:paraId="00E2F6E0">
      <w:pPr>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ascii="宋体" w:hAnsi="宋体" w:cs="宋体"/>
          <w:color w:val="auto"/>
          <w:sz w:val="24"/>
          <w:highlight w:val="none"/>
        </w:rPr>
        <w:t>建设涉密信息系统，乙方须具有国家保密工作部门核发的《资质证书》，制定甲方认可的安全保密管理方案，并采用适当的安全保密技术和措施对涉密系统进行集成。</w:t>
      </w:r>
    </w:p>
    <w:p w14:paraId="7371AE25">
      <w:pPr>
        <w:ind w:firstLine="480" w:firstLineChars="200"/>
        <w:rPr>
          <w:rFonts w:ascii="宋体" w:hAnsi="宋体" w:cs="宋体"/>
          <w:color w:val="auto"/>
          <w:sz w:val="24"/>
          <w:highlight w:val="none"/>
        </w:rPr>
      </w:pPr>
      <w:r>
        <w:rPr>
          <w:rFonts w:hint="eastAsia" w:ascii="宋体" w:hAnsi="宋体" w:cs="宋体"/>
          <w:color w:val="auto"/>
          <w:sz w:val="24"/>
          <w:highlight w:val="none"/>
        </w:rPr>
        <w:t>7.</w:t>
      </w:r>
      <w:r>
        <w:rPr>
          <w:rFonts w:ascii="宋体" w:hAnsi="宋体" w:cs="宋体"/>
          <w:color w:val="auto"/>
          <w:sz w:val="24"/>
          <w:highlight w:val="none"/>
        </w:rPr>
        <w:t>对项目实施过程中乙方出现的不符合保密规定的问题，甲方有责任及时指出，并督促乙方纠正。</w:t>
      </w:r>
    </w:p>
    <w:p w14:paraId="4AD9DB64">
      <w:pPr>
        <w:ind w:firstLine="480" w:firstLineChars="2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甲方向乙方提供的所有资料，仅</w:t>
      </w:r>
      <w:r>
        <w:rPr>
          <w:rFonts w:hint="eastAsia" w:ascii="宋体" w:hAnsi="宋体" w:cs="宋体"/>
          <w:color w:val="auto"/>
          <w:sz w:val="24"/>
          <w:highlight w:val="none"/>
        </w:rPr>
        <w:t>供项目小组人员参考使用，乙方须严守资料中所涉及秘密，妥善保管，不得遗失、复制。乙方发现保密范围内的有关事项已经泄露或可能泄露时应当报告甲方，并及时采取补救措施。</w:t>
      </w:r>
    </w:p>
    <w:p w14:paraId="5A9540D4">
      <w:pPr>
        <w:ind w:firstLine="480" w:firstLineChars="200"/>
        <w:rPr>
          <w:rFonts w:ascii="宋体" w:hAnsi="宋体" w:cs="宋体"/>
          <w:color w:val="auto"/>
          <w:sz w:val="24"/>
          <w:highlight w:val="none"/>
        </w:rPr>
      </w:pPr>
      <w:r>
        <w:rPr>
          <w:rFonts w:hint="eastAsia" w:ascii="宋体" w:hAnsi="宋体" w:cs="宋体"/>
          <w:color w:val="auto"/>
          <w:sz w:val="24"/>
          <w:highlight w:val="none"/>
        </w:rPr>
        <w:t>9.</w:t>
      </w:r>
      <w:r>
        <w:rPr>
          <w:rFonts w:ascii="宋体" w:hAnsi="宋体" w:cs="宋体"/>
          <w:color w:val="auto"/>
          <w:sz w:val="24"/>
          <w:highlight w:val="none"/>
        </w:rPr>
        <w:t>当甲方以书面形式要求乙方交回专有信息时，乙方应当立即交回所有书面的或其他形式的专有信息以及所有描述和概括该专有信息的文件资料，不能以任何形式保留或擅自处理。</w:t>
      </w:r>
    </w:p>
    <w:p w14:paraId="3BE15B3B">
      <w:pPr>
        <w:ind w:firstLine="480" w:firstLineChars="200"/>
        <w:rPr>
          <w:rFonts w:ascii="宋体" w:hAnsi="宋体" w:cs="宋体"/>
          <w:color w:val="auto"/>
          <w:sz w:val="24"/>
          <w:highlight w:val="none"/>
        </w:rPr>
      </w:pPr>
      <w:r>
        <w:rPr>
          <w:rFonts w:hint="eastAsia" w:ascii="宋体" w:hAnsi="宋体" w:cs="宋体"/>
          <w:color w:val="auto"/>
          <w:sz w:val="24"/>
          <w:highlight w:val="none"/>
        </w:rPr>
        <w:t>10.</w:t>
      </w:r>
      <w:r>
        <w:rPr>
          <w:rFonts w:ascii="宋体" w:hAnsi="宋体" w:cs="宋体"/>
          <w:color w:val="auto"/>
          <w:sz w:val="24"/>
          <w:highlight w:val="none"/>
        </w:rPr>
        <w:t>乙方在进行现场系统维护时，非经允许，不得使用自行携带的笔记本电脑，应使用甲方提供的工作环境完成现场维护任务。原则上不允许乙方使用U盘、移动硬盘等存储设备；若因特殊情况要使用U盘、移动硬盘等存储设备的，须提出书面申请，通过甲方审查和确认后方可使用；在将移动存储设备带离现场前，须经甲方检查确认。</w:t>
      </w:r>
    </w:p>
    <w:p w14:paraId="3F7396E1">
      <w:pPr>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1.</w:t>
      </w:r>
      <w:r>
        <w:rPr>
          <w:rFonts w:ascii="宋体" w:hAnsi="宋体" w:cs="宋体"/>
          <w:color w:val="auto"/>
          <w:sz w:val="24"/>
          <w:highlight w:val="none"/>
        </w:rPr>
        <w:t>乙方不得在任何场合介绍和演示甲方产品项目的任何信息。</w:t>
      </w:r>
    </w:p>
    <w:p w14:paraId="221D9463">
      <w:pPr>
        <w:ind w:firstLine="480" w:firstLineChars="200"/>
        <w:rPr>
          <w:rFonts w:ascii="宋体" w:hAnsi="宋体" w:cs="宋体"/>
          <w:color w:val="auto"/>
          <w:sz w:val="24"/>
          <w:highlight w:val="none"/>
        </w:rPr>
      </w:pPr>
      <w:r>
        <w:rPr>
          <w:rFonts w:hint="eastAsia" w:ascii="宋体" w:hAnsi="宋体" w:cs="宋体"/>
          <w:color w:val="auto"/>
          <w:sz w:val="24"/>
          <w:highlight w:val="none"/>
        </w:rPr>
        <w:t>三、违约责任</w:t>
      </w:r>
    </w:p>
    <w:p w14:paraId="203B766A">
      <w:pPr>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2.</w:t>
      </w:r>
      <w:r>
        <w:rPr>
          <w:rFonts w:ascii="宋体" w:hAnsi="宋体" w:cs="宋体"/>
          <w:color w:val="auto"/>
          <w:sz w:val="24"/>
          <w:highlight w:val="none"/>
        </w:rPr>
        <w:t>乙方应严格遵守协议的全部内容，凡违反本协议造成失密泄密事件，乙方须承担有关法律责任并视情节追究有关人员责任，并赔偿相应经济损失。给国家安全和国家利益造成严重损害、触犯刑律的，要追究有关人员的刑事责任。</w:t>
      </w:r>
    </w:p>
    <w:p w14:paraId="516E33E0">
      <w:pPr>
        <w:ind w:firstLine="480" w:firstLineChars="200"/>
        <w:rPr>
          <w:rFonts w:ascii="宋体" w:hAnsi="宋体" w:cs="宋体"/>
          <w:color w:val="auto"/>
          <w:sz w:val="24"/>
          <w:highlight w:val="none"/>
        </w:rPr>
      </w:pPr>
      <w:r>
        <w:rPr>
          <w:rFonts w:hint="eastAsia" w:ascii="宋体" w:hAnsi="宋体" w:cs="宋体"/>
          <w:color w:val="auto"/>
          <w:sz w:val="24"/>
          <w:highlight w:val="none"/>
        </w:rPr>
        <w:t>四、保密期限</w:t>
      </w:r>
    </w:p>
    <w:p w14:paraId="4C22BEDB">
      <w:pPr>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3.</w:t>
      </w:r>
      <w:r>
        <w:rPr>
          <w:rFonts w:ascii="宋体" w:hAnsi="宋体" w:cs="宋体"/>
          <w:color w:val="auto"/>
          <w:sz w:val="24"/>
          <w:highlight w:val="none"/>
        </w:rPr>
        <w:t>本协议在双方主合同签字盖章后生效，并长期有效。自本协议生效之日起，双方的合作交流都要符合本协议的条款。除非甲方通过书面通知明确说明对本协议所涉及的某项专有信息予以解密或同意共享，乙方必须按照本协议所承担的保密义务对在各项工作中所掌握的专有信息进行保密。</w:t>
      </w:r>
    </w:p>
    <w:p w14:paraId="4F0F3C8D">
      <w:pP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五、附则</w:t>
      </w:r>
    </w:p>
    <w:p w14:paraId="122C9D77">
      <w:pPr>
        <w:ind w:firstLine="480"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rPr>
        <w:t>4.</w:t>
      </w:r>
      <w:r>
        <w:rPr>
          <w:rFonts w:asciiTheme="minorEastAsia" w:hAnsiTheme="minorEastAsia" w:eastAsiaTheme="minorEastAsia" w:cstheme="minorEastAsia"/>
          <w:color w:val="auto"/>
          <w:sz w:val="24"/>
          <w:highlight w:val="none"/>
        </w:rPr>
        <w:t>本协议是合同有效组成部分。</w:t>
      </w:r>
    </w:p>
    <w:p w14:paraId="66D5AB03">
      <w:pPr>
        <w:pStyle w:val="16"/>
        <w:ind w:firstLine="480"/>
        <w:rPr>
          <w:rFonts w:ascii="Calibri" w:hAnsi="Calibri"/>
          <w:color w:val="auto"/>
          <w:sz w:val="24"/>
          <w:szCs w:val="24"/>
          <w:highlight w:val="none"/>
        </w:rPr>
      </w:pPr>
    </w:p>
    <w:p w14:paraId="2F9901EF">
      <w:pPr>
        <w:spacing w:line="312" w:lineRule="auto"/>
        <w:rPr>
          <w:rFonts w:ascii="宋体" w:hAnsi="宋体" w:cs="宋体"/>
          <w:color w:val="auto"/>
          <w:sz w:val="24"/>
          <w:highlight w:val="none"/>
        </w:rPr>
      </w:pPr>
    </w:p>
    <w:p w14:paraId="7E691098">
      <w:pPr>
        <w:widowControl/>
        <w:spacing w:line="312" w:lineRule="auto"/>
        <w:rPr>
          <w:rFonts w:ascii="宋体" w:hAnsi="宋体" w:cs="宋体"/>
          <w:snapToGrid w:val="0"/>
          <w:color w:val="auto"/>
          <w:sz w:val="24"/>
          <w:highlight w:val="none"/>
        </w:rPr>
        <w:sectPr>
          <w:pgSz w:w="11906" w:h="16838"/>
          <w:pgMar w:top="1440" w:right="1800" w:bottom="1440" w:left="1800" w:header="851" w:footer="992" w:gutter="0"/>
          <w:pgNumType w:fmt="numberInDash"/>
          <w:cols w:space="720" w:num="1"/>
          <w:docGrid w:type="lines" w:linePitch="312" w:charSpace="0"/>
        </w:sectPr>
      </w:pPr>
    </w:p>
    <w:p w14:paraId="7675C31F">
      <w:pPr>
        <w:rPr>
          <w:color w:val="auto"/>
          <w:highlight w:val="none"/>
        </w:rPr>
      </w:pPr>
      <w:r>
        <w:rPr>
          <w:rFonts w:hint="eastAsia" w:ascii="宋体" w:hAnsi="宋体" w:cs="宋体"/>
          <w:b/>
          <w:bCs/>
          <w:color w:val="auto"/>
          <w:sz w:val="28"/>
          <w:szCs w:val="28"/>
          <w:highlight w:val="none"/>
        </w:rPr>
        <w:t>合同附件二</w:t>
      </w:r>
    </w:p>
    <w:p w14:paraId="664C2FE9">
      <w:pPr>
        <w:jc w:val="center"/>
        <w:rPr>
          <w:rFonts w:ascii="Calibri" w:hAnsi="Calibri"/>
          <w:b/>
          <w:bCs/>
          <w:color w:val="auto"/>
          <w:sz w:val="28"/>
          <w:szCs w:val="28"/>
          <w:highlight w:val="none"/>
        </w:rPr>
      </w:pPr>
      <w:r>
        <w:rPr>
          <w:rFonts w:hint="eastAsia" w:ascii="宋体" w:hAnsi="宋体" w:cs="宋体"/>
          <w:b/>
          <w:bCs/>
          <w:color w:val="auto"/>
          <w:sz w:val="28"/>
          <w:szCs w:val="28"/>
          <w:highlight w:val="none"/>
        </w:rPr>
        <w:t>廉洁诚信协议</w:t>
      </w:r>
    </w:p>
    <w:p w14:paraId="409D5E14">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加强台州市公安局政府采购项目廉政建设，预防违法违规行为，确保双方在业务交往中保持廉洁自律，防止各种不正当行为的发生，保证合作双方在业务交往活动中做到诚信廉洁、高效共赢，根据国家相关法律法规及政策规定，经双方协商一致，在签订合同的同时订立本廉洁诚信协议，内容如下：</w:t>
      </w:r>
    </w:p>
    <w:p w14:paraId="37FB1727">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1.双方在整个项目采购、建设活动中，做到公平、公正、公开，不搞暗箱操作，不搞不正当竞争，双方工作人员及亲属不得违反以下规定：</w:t>
      </w:r>
    </w:p>
    <w:p w14:paraId="1EFB771D">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（1）不得收受或向对方馈送现金、贵重物品、有价证券、购物卡、充值卡等，不得收受回扣；</w:t>
      </w:r>
    </w:p>
    <w:p w14:paraId="4DA78B28">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不得介绍亲友或为对方亲友安排从事与双方合作有关的业务活动，甲方项目相关员工及其配偶、父母、子女、利害关系人及控股、参股企业不得在乙方或乙方关联企业中投资入股，甲方员工不得在乙方或乙方关联企业担任兼职，不得以咨询费、服务费或其他任何形式从乙方或乙方关联企业获得收入； </w:t>
      </w:r>
    </w:p>
    <w:p w14:paraId="48702945">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（3）不得接受对方或向对方在住房建修、婚丧嫁娶、出国考察、旅游、攻读学历学位等方面提供资助；</w:t>
      </w:r>
    </w:p>
    <w:p w14:paraId="05F901DD">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（4）不得参加或提供可能影响合作业务公平、公正的娱乐、宴请、健身等活动；</w:t>
      </w:r>
    </w:p>
    <w:p w14:paraId="70982690">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（5）不得报销或为对方报销应由个人支付的费用。</w:t>
      </w:r>
    </w:p>
    <w:p w14:paraId="52E479B7">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2.乙方人员若有违反第1条规定的行为，或者存在其它违反商业道德与市场规则的情况,甲方有义务向对方监察或相应部门举报。</w:t>
      </w:r>
    </w:p>
    <w:p w14:paraId="7B6D7A5B">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3.甲方人员有违反第1条规定的行为，或者存在其它索贿、受贿行为或者徇私舞弊、滥用职权、严重渎职等情况时，乙方有义务向对方监察或相应部门举报。</w:t>
      </w:r>
    </w:p>
    <w:p w14:paraId="53716BA4">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4.双方及相关人员违反上述规定及其他廉洁诚信准则的，愿意接受党纪政纪及法律惩处。</w:t>
      </w:r>
    </w:p>
    <w:p w14:paraId="0E663620">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5.本保证及承诺的有效期与对应的合同或交易事项相同。</w:t>
      </w:r>
    </w:p>
    <w:p w14:paraId="33CA724F">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6.本廉洁承诺约定作为双方签订的合同附件，具有同等法律效力。</w:t>
      </w:r>
    </w:p>
    <w:p w14:paraId="3895D62F">
      <w:pPr>
        <w:spacing w:line="300" w:lineRule="auto"/>
        <w:rPr>
          <w:rFonts w:ascii="宋体" w:hAnsi="宋体" w:cs="宋体"/>
          <w:color w:val="auto"/>
          <w:sz w:val="24"/>
          <w:highlight w:val="none"/>
        </w:rPr>
      </w:pPr>
    </w:p>
    <w:p w14:paraId="5820C5ED">
      <w:pPr>
        <w:pStyle w:val="47"/>
        <w:rPr>
          <w:color w:val="auto"/>
          <w:sz w:val="24"/>
          <w:highlight w:val="none"/>
        </w:rPr>
      </w:pPr>
    </w:p>
    <w:p w14:paraId="4AB9A6F7">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台州市公安局举报渠道：   合作方举报渠道：</w:t>
      </w:r>
    </w:p>
    <w:p w14:paraId="4E871D3F">
      <w:pPr>
        <w:pStyle w:val="16"/>
        <w:spacing w:line="30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电话：12389                        电话：</w:t>
      </w:r>
    </w:p>
    <w:p w14:paraId="4DF28065">
      <w:pPr>
        <w:spacing w:line="360" w:lineRule="auto"/>
        <w:jc w:val="left"/>
        <w:rPr>
          <w:rFonts w:asciiTheme="majorEastAsia" w:hAnsiTheme="majorEastAsia" w:eastAsiaTheme="majorEastAsia"/>
          <w:color w:val="auto"/>
          <w:sz w:val="28"/>
          <w:szCs w:val="28"/>
          <w:highlight w:val="none"/>
        </w:rPr>
        <w:sectPr>
          <w:pgSz w:w="11906" w:h="16838"/>
          <w:pgMar w:top="1440" w:right="1800" w:bottom="1440" w:left="1800" w:header="851" w:footer="992" w:gutter="0"/>
          <w:pgNumType w:fmt="numberInDash"/>
          <w:cols w:space="425" w:num="1"/>
          <w:docGrid w:type="lines" w:linePitch="312" w:charSpace="0"/>
        </w:sectPr>
      </w:pPr>
    </w:p>
    <w:p w14:paraId="6384BAC9">
      <w:pPr>
        <w:numPr>
          <w:ilvl w:val="0"/>
          <w:numId w:val="5"/>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投标文件格式附件</w:t>
      </w:r>
    </w:p>
    <w:p w14:paraId="338D8E17">
      <w:pPr>
        <w:spacing w:line="360" w:lineRule="auto"/>
        <w:rPr>
          <w:rFonts w:ascii="宋体" w:hAnsi="宋体"/>
          <w:b/>
          <w:color w:val="auto"/>
          <w:kern w:val="0"/>
          <w:sz w:val="28"/>
          <w:szCs w:val="28"/>
          <w:highlight w:val="none"/>
        </w:rPr>
      </w:pPr>
    </w:p>
    <w:p w14:paraId="39AE5CF0">
      <w:pPr>
        <w:snapToGrid w:val="0"/>
        <w:spacing w:before="50" w:after="50" w:line="360" w:lineRule="auto"/>
        <w:rPr>
          <w:rFonts w:ascii="仿宋_GB2312" w:hAnsi="宋体" w:eastAsia="仿宋_GB2312"/>
          <w:b/>
          <w:color w:val="auto"/>
          <w:sz w:val="36"/>
          <w:szCs w:val="36"/>
          <w:highlight w:val="none"/>
        </w:rPr>
      </w:pPr>
    </w:p>
    <w:p w14:paraId="6EDB5F88">
      <w:pPr>
        <w:snapToGrid w:val="0"/>
        <w:spacing w:before="50" w:after="50"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资格证明文件目录</w:t>
      </w:r>
    </w:p>
    <w:p w14:paraId="69435DCB">
      <w:pPr>
        <w:snapToGrid w:val="0"/>
        <w:spacing w:before="50" w:after="50" w:line="360" w:lineRule="auto"/>
        <w:jc w:val="center"/>
        <w:rPr>
          <w:rFonts w:ascii="仿宋_GB2312" w:hAnsi="宋体" w:eastAsia="仿宋_GB2312"/>
          <w:b/>
          <w:bCs/>
          <w:color w:val="auto"/>
          <w:sz w:val="36"/>
          <w:szCs w:val="36"/>
          <w:highlight w:val="none"/>
        </w:rPr>
      </w:pPr>
    </w:p>
    <w:p w14:paraId="36E9DA10">
      <w:pPr>
        <w:numPr>
          <w:ilvl w:val="0"/>
          <w:numId w:val="8"/>
        </w:numPr>
        <w:snapToGrid w:val="0"/>
        <w:spacing w:line="360" w:lineRule="auto"/>
        <w:ind w:firstLine="549"/>
        <w:rPr>
          <w:rFonts w:ascii="宋体" w:hAnsi="宋体"/>
          <w:color w:val="auto"/>
          <w:sz w:val="28"/>
          <w:szCs w:val="28"/>
          <w:highlight w:val="none"/>
        </w:rPr>
      </w:pPr>
      <w:r>
        <w:rPr>
          <w:rFonts w:hint="eastAsia" w:ascii="宋体" w:hAnsi="宋体"/>
          <w:color w:val="auto"/>
          <w:sz w:val="28"/>
          <w:szCs w:val="28"/>
          <w:highlight w:val="none"/>
        </w:rPr>
        <w:t>声明书（格式附后）</w:t>
      </w:r>
    </w:p>
    <w:p w14:paraId="59636B6E">
      <w:pPr>
        <w:numPr>
          <w:ilvl w:val="0"/>
          <w:numId w:val="8"/>
        </w:numPr>
        <w:snapToGrid w:val="0"/>
        <w:spacing w:line="360" w:lineRule="auto"/>
        <w:ind w:firstLine="549"/>
        <w:rPr>
          <w:rFonts w:ascii="宋体" w:hAnsi="宋体"/>
          <w:color w:val="auto"/>
          <w:kern w:val="0"/>
          <w:sz w:val="28"/>
          <w:szCs w:val="28"/>
          <w:highlight w:val="none"/>
        </w:rPr>
      </w:pPr>
      <w:r>
        <w:rPr>
          <w:bCs/>
          <w:color w:val="auto"/>
          <w:sz w:val="28"/>
          <w:szCs w:val="28"/>
          <w:highlight w:val="none"/>
        </w:rPr>
        <w:t>授权</w:t>
      </w:r>
      <w:r>
        <w:rPr>
          <w:rFonts w:hint="eastAsia"/>
          <w:bCs/>
          <w:color w:val="auto"/>
          <w:sz w:val="28"/>
          <w:szCs w:val="28"/>
          <w:highlight w:val="none"/>
        </w:rPr>
        <w:t>委托</w:t>
      </w:r>
      <w:r>
        <w:rPr>
          <w:bCs/>
          <w:color w:val="auto"/>
          <w:sz w:val="28"/>
          <w:szCs w:val="28"/>
          <w:highlight w:val="none"/>
        </w:rPr>
        <w:t>书</w:t>
      </w:r>
      <w:r>
        <w:rPr>
          <w:rFonts w:hint="eastAsia" w:ascii="宋体" w:hAnsi="宋体"/>
          <w:bCs/>
          <w:color w:val="auto"/>
          <w:sz w:val="28"/>
          <w:szCs w:val="28"/>
          <w:highlight w:val="none"/>
        </w:rPr>
        <w:t>（格式附后）</w:t>
      </w:r>
    </w:p>
    <w:p w14:paraId="30F04C12">
      <w:pPr>
        <w:numPr>
          <w:ilvl w:val="0"/>
          <w:numId w:val="8"/>
        </w:numPr>
        <w:snapToGrid w:val="0"/>
        <w:spacing w:line="360" w:lineRule="auto"/>
        <w:ind w:firstLine="549"/>
        <w:rPr>
          <w:rFonts w:ascii="宋体" w:hAnsi="宋体"/>
          <w:color w:val="auto"/>
          <w:sz w:val="28"/>
          <w:szCs w:val="28"/>
          <w:highlight w:val="none"/>
        </w:rPr>
      </w:pPr>
      <w:r>
        <w:rPr>
          <w:rFonts w:hint="eastAsia" w:ascii="宋体" w:hAnsi="宋体"/>
          <w:color w:val="auto"/>
          <w:sz w:val="28"/>
          <w:szCs w:val="28"/>
          <w:highlight w:val="none"/>
        </w:rPr>
        <w:t>法人或者其他组织的营业执照等证明文件，自然人的身份证明；</w:t>
      </w:r>
    </w:p>
    <w:p w14:paraId="3EAD8CE3">
      <w:pPr>
        <w:numPr>
          <w:ilvl w:val="0"/>
          <w:numId w:val="8"/>
        </w:numPr>
        <w:snapToGrid w:val="0"/>
        <w:spacing w:line="360" w:lineRule="auto"/>
        <w:ind w:firstLine="549"/>
        <w:rPr>
          <w:rFonts w:hint="eastAsia" w:ascii="宋体" w:hAnsi="宋体"/>
          <w:color w:val="auto"/>
          <w:sz w:val="28"/>
          <w:szCs w:val="28"/>
          <w:highlight w:val="none"/>
        </w:rPr>
      </w:pPr>
      <w:r>
        <w:rPr>
          <w:rFonts w:hint="eastAsia" w:ascii="宋体" w:hAnsi="宋体"/>
          <w:color w:val="auto"/>
          <w:sz w:val="28"/>
          <w:szCs w:val="28"/>
          <w:highlight w:val="none"/>
        </w:rPr>
        <w:t>《中小企业声明函》或《残疾人福利性单位声明函》或《监狱企业资格证明材料》（格式附后）</w:t>
      </w:r>
    </w:p>
    <w:p w14:paraId="1432B4B9">
      <w:pPr>
        <w:numPr>
          <w:ilvl w:val="0"/>
          <w:numId w:val="8"/>
        </w:numPr>
        <w:snapToGrid w:val="0"/>
        <w:spacing w:line="360" w:lineRule="auto"/>
        <w:ind w:firstLine="549"/>
        <w:rPr>
          <w:bCs/>
          <w:color w:val="auto"/>
          <w:sz w:val="28"/>
          <w:szCs w:val="28"/>
          <w:highlight w:val="none"/>
        </w:rPr>
      </w:pPr>
      <w:r>
        <w:rPr>
          <w:rFonts w:hint="eastAsia" w:ascii="宋体" w:hAnsi="宋体"/>
          <w:color w:val="auto"/>
          <w:sz w:val="28"/>
          <w:szCs w:val="28"/>
          <w:highlight w:val="none"/>
        </w:rPr>
        <w:t xml:space="preserve">提供符合资格条件的声明函（声明函格式附后）或同时提供以下四项相关材料：①财务状况报告；②依法缴纳税收；③依法缴纳社会保障资金；④具备履行合同所必需的设备和专业技术能力的证明材料。 </w:t>
      </w:r>
      <w:r>
        <w:rPr>
          <w:rFonts w:hint="eastAsia"/>
          <w:color w:val="auto"/>
          <w:sz w:val="28"/>
          <w:szCs w:val="28"/>
          <w:highlight w:val="none"/>
        </w:rPr>
        <w:t xml:space="preserve"> </w:t>
      </w:r>
    </w:p>
    <w:p w14:paraId="2DEFA816">
      <w:pPr>
        <w:spacing w:line="360" w:lineRule="auto"/>
        <w:rPr>
          <w:rFonts w:ascii="宋体" w:hAnsi="宋体"/>
          <w:b/>
          <w:color w:val="auto"/>
          <w:sz w:val="28"/>
          <w:highlight w:val="none"/>
        </w:rPr>
      </w:pPr>
    </w:p>
    <w:p w14:paraId="43976055">
      <w:pPr>
        <w:rPr>
          <w:rFonts w:ascii="宋体" w:hAnsi="宋体"/>
          <w:b/>
          <w:color w:val="auto"/>
          <w:sz w:val="28"/>
          <w:highlight w:val="none"/>
        </w:rPr>
      </w:pPr>
      <w:r>
        <w:rPr>
          <w:rFonts w:hint="eastAsia" w:ascii="宋体" w:hAnsi="宋体"/>
          <w:b/>
          <w:color w:val="auto"/>
          <w:sz w:val="28"/>
          <w:highlight w:val="none"/>
        </w:rPr>
        <w:br w:type="page"/>
      </w:r>
    </w:p>
    <w:p w14:paraId="31EE8D81">
      <w:pPr>
        <w:spacing w:line="360" w:lineRule="auto"/>
        <w:rPr>
          <w:rFonts w:ascii="宋体" w:hAns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w:t>
      </w:r>
    </w:p>
    <w:p w14:paraId="2AE5FA71">
      <w:pPr>
        <w:adjustRightInd w:val="0"/>
        <w:snapToGrid w:val="0"/>
        <w:spacing w:line="360" w:lineRule="auto"/>
        <w:ind w:right="480"/>
        <w:jc w:val="center"/>
        <w:rPr>
          <w:rFonts w:ascii="宋体" w:hAnsi="宋体"/>
          <w:b/>
          <w:color w:val="auto"/>
          <w:kern w:val="0"/>
          <w:sz w:val="32"/>
          <w:szCs w:val="32"/>
          <w:highlight w:val="none"/>
          <w:lang w:val="zh-CN"/>
        </w:rPr>
      </w:pPr>
      <w:r>
        <w:rPr>
          <w:rFonts w:hint="eastAsia" w:ascii="宋体" w:hAnsi="宋体"/>
          <w:b/>
          <w:color w:val="auto"/>
          <w:kern w:val="0"/>
          <w:sz w:val="32"/>
          <w:szCs w:val="32"/>
          <w:highlight w:val="none"/>
          <w:lang w:val="zh-CN"/>
        </w:rPr>
        <w:t>投标声明书</w:t>
      </w:r>
    </w:p>
    <w:p w14:paraId="21AA44E3">
      <w:pPr>
        <w:snapToGrid w:val="0"/>
        <w:spacing w:before="156" w:beforeLines="50" w:after="50" w:line="360" w:lineRule="exact"/>
        <w:rPr>
          <w:rFonts w:ascii="宋体" w:hAnsi="宋体" w:cs="宋体"/>
          <w:color w:val="auto"/>
          <w:kern w:val="0"/>
          <w:sz w:val="24"/>
          <w:highlight w:val="none"/>
        </w:rPr>
      </w:pPr>
      <w:r>
        <w:rPr>
          <w:rFonts w:hint="eastAsia" w:ascii="宋体" w:hAnsi="宋体" w:cstheme="minorBidi"/>
          <w:color w:val="auto"/>
          <w:sz w:val="24"/>
          <w:highlight w:val="none"/>
          <w:u w:val="single"/>
        </w:rPr>
        <w:t>浙江百和工程咨询有限公司</w:t>
      </w:r>
      <w:r>
        <w:rPr>
          <w:rFonts w:hint="eastAsia" w:ascii="宋体" w:hAnsi="宋体" w:cs="宋体"/>
          <w:color w:val="auto"/>
          <w:kern w:val="0"/>
          <w:sz w:val="24"/>
          <w:highlight w:val="none"/>
        </w:rPr>
        <w:t>：</w:t>
      </w:r>
    </w:p>
    <w:p w14:paraId="0ED2CB57">
      <w:pPr>
        <w:snapToGrid w:val="0"/>
        <w:spacing w:before="156" w:beforeLines="50" w:after="50"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（投标人名称）系中华人民共和国合法企业，经营地址。</w:t>
      </w:r>
    </w:p>
    <w:p w14:paraId="12AD0C67">
      <w:pPr>
        <w:snapToGrid w:val="0"/>
        <w:spacing w:before="156" w:beforeLines="50" w:after="50"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）（编号为）的投标，为此，我公司就本次投标有关事项郑重声明如下：</w:t>
      </w:r>
    </w:p>
    <w:p w14:paraId="2A87E26E">
      <w:pPr>
        <w:snapToGrid w:val="0"/>
        <w:spacing w:before="156" w:beforeLines="50" w:after="50" w:line="360" w:lineRule="exact"/>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1.</w:t>
      </w:r>
      <w:r>
        <w:rPr>
          <w:rFonts w:hint="eastAsia" w:ascii="Arial" w:hAnsi="Arial" w:cs="Arial"/>
          <w:color w:val="auto"/>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4463ECE2">
      <w:pPr>
        <w:snapToGrid w:val="0"/>
        <w:spacing w:before="156" w:beforeLines="50" w:after="50"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2.我公司</w:t>
      </w:r>
      <w:r>
        <w:rPr>
          <w:rFonts w:ascii="宋体" w:hAnsi="宋体" w:cs="宋体"/>
          <w:color w:val="auto"/>
          <w:kern w:val="0"/>
          <w:sz w:val="24"/>
          <w:highlight w:val="none"/>
        </w:rPr>
        <w:t>在参与投标前已</w:t>
      </w:r>
      <w:r>
        <w:rPr>
          <w:rFonts w:hint="eastAsia" w:ascii="宋体" w:hAnsi="宋体" w:cs="宋体"/>
          <w:color w:val="auto"/>
          <w:kern w:val="0"/>
          <w:sz w:val="24"/>
          <w:highlight w:val="none"/>
        </w:rPr>
        <w:t>详细审查</w:t>
      </w:r>
      <w:r>
        <w:rPr>
          <w:rFonts w:ascii="宋体" w:hAnsi="宋体" w:cs="宋体"/>
          <w:color w:val="auto"/>
          <w:kern w:val="0"/>
          <w:sz w:val="24"/>
          <w:highlight w:val="none"/>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auto"/>
          <w:kern w:val="0"/>
          <w:sz w:val="24"/>
          <w:highlight w:val="none"/>
        </w:rPr>
        <w:t>利。</w:t>
      </w:r>
    </w:p>
    <w:p w14:paraId="4E7A0205">
      <w:pPr>
        <w:numPr>
          <w:ilvl w:val="255"/>
          <w:numId w:val="0"/>
        </w:numPr>
        <w:snapToGrid w:val="0"/>
        <w:spacing w:before="156" w:beforeLines="50" w:after="50" w:line="360" w:lineRule="exact"/>
        <w:ind w:firstLine="480" w:firstLineChars="200"/>
        <w:rPr>
          <w:rFonts w:ascii="宋体" w:hAnsi="宋体"/>
          <w:color w:val="auto"/>
          <w:sz w:val="24"/>
          <w:highlight w:val="none"/>
        </w:rPr>
      </w:pPr>
      <w:r>
        <w:rPr>
          <w:rFonts w:hint="eastAsia" w:ascii="宋体" w:hAnsi="宋体"/>
          <w:color w:val="auto"/>
          <w:sz w:val="24"/>
          <w:highlight w:val="none"/>
        </w:rPr>
        <w:t>3.我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不是采购人的附属机构；在获知本项目采购信息后，与采购人聘请的为此项目提供咨询服务的公司及其附属机构没有任何联系。</w:t>
      </w:r>
    </w:p>
    <w:p w14:paraId="73BEE2F5">
      <w:pPr>
        <w:snapToGrid w:val="0"/>
        <w:spacing w:before="156" w:beforeLines="50" w:after="50" w:line="360" w:lineRule="exact"/>
        <w:ind w:firstLine="480" w:firstLineChars="200"/>
        <w:rPr>
          <w:rFonts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495FF666">
      <w:pPr>
        <w:snapToGrid w:val="0"/>
        <w:spacing w:before="156" w:beforeLines="50" w:after="50" w:line="360" w:lineRule="exact"/>
        <w:ind w:firstLine="480" w:firstLineChars="200"/>
        <w:rPr>
          <w:rFonts w:ascii="仿宋_GB2312" w:hAnsi="仿宋_GB2312" w:eastAsia="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7E5AD4B6">
      <w:pPr>
        <w:snapToGrid w:val="0"/>
        <w:spacing w:before="156" w:beforeLines="50" w:after="50" w:line="360" w:lineRule="exact"/>
        <w:ind w:firstLine="480" w:firstLineChars="200"/>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66BBDF84">
      <w:pPr>
        <w:adjustRightInd w:val="0"/>
        <w:snapToGrid w:val="0"/>
        <w:spacing w:line="360" w:lineRule="exact"/>
        <w:ind w:firstLine="480"/>
        <w:rPr>
          <w:rFonts w:ascii="宋体" w:hAnsi="宋体" w:cs="仿宋_GB2312"/>
          <w:color w:val="auto"/>
          <w:kern w:val="0"/>
          <w:sz w:val="24"/>
          <w:highlight w:val="none"/>
        </w:rPr>
      </w:pPr>
    </w:p>
    <w:p w14:paraId="28991E50">
      <w:pPr>
        <w:adjustRightInd w:val="0"/>
        <w:snapToGrid w:val="0"/>
        <w:spacing w:line="360" w:lineRule="exact"/>
        <w:ind w:firstLine="4680" w:firstLineChars="19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投标人名称(公章)：</w:t>
      </w:r>
    </w:p>
    <w:p w14:paraId="078FE32B">
      <w:pPr>
        <w:adjustRightInd w:val="0"/>
        <w:snapToGrid w:val="0"/>
        <w:spacing w:line="360" w:lineRule="exac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法定代表人或授权委托人(签章或签字)：</w:t>
      </w:r>
    </w:p>
    <w:p w14:paraId="4F14DE9F">
      <w:pPr>
        <w:adjustRightInd w:val="0"/>
        <w:snapToGrid w:val="0"/>
        <w:spacing w:line="360" w:lineRule="exact"/>
        <w:ind w:right="480"/>
        <w:jc w:val="center"/>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14:paraId="463DC956">
      <w:pPr>
        <w:adjustRightInd w:val="0"/>
        <w:snapToGrid w:val="0"/>
        <w:spacing w:line="360" w:lineRule="auto"/>
        <w:ind w:right="480"/>
        <w:rPr>
          <w:rFonts w:ascii="宋体" w:hAnsi="宋体"/>
          <w:b/>
          <w:color w:val="auto"/>
          <w:sz w:val="28"/>
          <w:highlight w:val="none"/>
        </w:rPr>
      </w:pPr>
    </w:p>
    <w:p w14:paraId="7EFDB10F">
      <w:pPr>
        <w:adjustRightInd w:val="0"/>
        <w:snapToGrid w:val="0"/>
        <w:spacing w:line="360" w:lineRule="auto"/>
        <w:ind w:right="480"/>
        <w:rPr>
          <w:rFonts w:ascii="宋体" w:hAnsi="宋体"/>
          <w:b/>
          <w:color w:val="auto"/>
          <w:sz w:val="28"/>
          <w:highlight w:val="none"/>
        </w:rPr>
      </w:pPr>
    </w:p>
    <w:p w14:paraId="32FD01A0">
      <w:pPr>
        <w:adjustRightInd w:val="0"/>
        <w:snapToGrid w:val="0"/>
        <w:spacing w:line="360" w:lineRule="auto"/>
        <w:ind w:right="480"/>
        <w:rPr>
          <w:rFonts w:ascii="宋体" w:hAnsi="宋体"/>
          <w:b/>
          <w:color w:val="auto"/>
          <w:sz w:val="28"/>
          <w:highlight w:val="none"/>
        </w:rPr>
        <w:sectPr>
          <w:pgSz w:w="11906" w:h="16838"/>
          <w:pgMar w:top="1440" w:right="1800" w:bottom="1440" w:left="1800" w:header="851" w:footer="992" w:gutter="0"/>
          <w:pgNumType w:fmt="numberInDash"/>
          <w:cols w:space="425" w:num="1"/>
          <w:docGrid w:type="lines" w:linePitch="312" w:charSpace="0"/>
        </w:sectPr>
      </w:pPr>
    </w:p>
    <w:p w14:paraId="33DCDE75">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w:t>
      </w:r>
      <w:r>
        <w:rPr>
          <w:rFonts w:ascii="宋体" w:hAnsi="宋体"/>
          <w:b/>
          <w:color w:val="auto"/>
          <w:sz w:val="28"/>
          <w:highlight w:val="none"/>
        </w:rPr>
        <w:t>2</w:t>
      </w:r>
    </w:p>
    <w:p w14:paraId="7EB9E7FF">
      <w:pPr>
        <w:spacing w:line="360" w:lineRule="auto"/>
        <w:ind w:firstLine="321" w:firstLineChars="100"/>
        <w:jc w:val="center"/>
        <w:rPr>
          <w:rFonts w:hAnsi="宋体"/>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14:paraId="06F0FC22">
      <w:pPr>
        <w:snapToGrid w:val="0"/>
        <w:spacing w:before="156" w:beforeLines="50" w:after="50" w:line="360" w:lineRule="auto"/>
        <w:rPr>
          <w:rFonts w:ascii="宋体" w:hAnsi="宋体" w:cs="宋体"/>
          <w:color w:val="auto"/>
          <w:kern w:val="0"/>
          <w:sz w:val="24"/>
          <w:highlight w:val="none"/>
        </w:rPr>
      </w:pPr>
      <w:r>
        <w:rPr>
          <w:rFonts w:hint="eastAsia" w:ascii="宋体" w:hAnsi="宋体" w:cstheme="minorBidi"/>
          <w:color w:val="auto"/>
          <w:sz w:val="24"/>
          <w:highlight w:val="none"/>
          <w:u w:val="single"/>
        </w:rPr>
        <w:t>浙江百和工程咨询有限公司</w:t>
      </w:r>
      <w:r>
        <w:rPr>
          <w:rFonts w:hint="eastAsia" w:ascii="宋体" w:hAnsi="宋体" w:cs="宋体"/>
          <w:color w:val="auto"/>
          <w:kern w:val="0"/>
          <w:sz w:val="24"/>
          <w:highlight w:val="none"/>
        </w:rPr>
        <w:t>：</w:t>
      </w:r>
    </w:p>
    <w:p w14:paraId="25FAD8B9">
      <w:pPr>
        <w:pStyle w:val="22"/>
        <w:spacing w:line="360" w:lineRule="auto"/>
        <w:ind w:left="240" w:hanging="240" w:hangingChars="1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56A98E97">
      <w:pPr>
        <w:pStyle w:val="22"/>
        <w:spacing w:line="360" w:lineRule="auto"/>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3D98D01F">
      <w:pPr>
        <w:pStyle w:val="22"/>
        <w:spacing w:line="360" w:lineRule="auto"/>
        <w:ind w:left="139" w:leftChars="66" w:firstLine="480" w:firstLineChars="200"/>
        <w:rPr>
          <w:rFonts w:hAnsi="宋体"/>
          <w:color w:val="auto"/>
          <w:sz w:val="24"/>
          <w:highlight w:val="none"/>
        </w:rPr>
      </w:pPr>
      <w:r>
        <w:rPr>
          <w:rFonts w:hint="eastAsia" w:hAnsi="宋体"/>
          <w:color w:val="auto"/>
          <w:sz w:val="24"/>
          <w:highlight w:val="none"/>
        </w:rPr>
        <w:t>全权代表无转委托权，特此委托。</w:t>
      </w:r>
    </w:p>
    <w:p w14:paraId="6B4BD71F">
      <w:pPr>
        <w:spacing w:line="360" w:lineRule="auto"/>
        <w:rPr>
          <w:color w:val="auto"/>
          <w:sz w:val="24"/>
          <w:highlight w:val="none"/>
        </w:rPr>
      </w:pPr>
    </w:p>
    <w:p w14:paraId="5A1484D6">
      <w:pPr>
        <w:spacing w:line="360" w:lineRule="auto"/>
        <w:rPr>
          <w:color w:val="auto"/>
          <w:sz w:val="24"/>
          <w:highlight w:val="none"/>
        </w:rPr>
      </w:pPr>
      <w:r>
        <w:rPr>
          <w:rFonts w:hint="eastAsia" w:ascii="宋体"/>
          <w:color w:val="auto"/>
          <w:sz w:val="24"/>
          <w:highlight w:val="none"/>
        </w:rPr>
        <w:t>法定代表人签字或盖章：</w:t>
      </w:r>
    </w:p>
    <w:p w14:paraId="70C6F798">
      <w:pPr>
        <w:spacing w:line="360" w:lineRule="auto"/>
        <w:rPr>
          <w:color w:val="auto"/>
          <w:sz w:val="24"/>
          <w:highlight w:val="none"/>
        </w:rPr>
      </w:pPr>
    </w:p>
    <w:p w14:paraId="00E74391">
      <w:pPr>
        <w:spacing w:line="360" w:lineRule="auto"/>
        <w:rPr>
          <w:color w:val="auto"/>
          <w:sz w:val="24"/>
          <w:highlight w:val="none"/>
        </w:rPr>
      </w:pPr>
      <w:r>
        <w:rPr>
          <w:rFonts w:hint="eastAsia" w:ascii="宋体"/>
          <w:color w:val="auto"/>
          <w:sz w:val="24"/>
          <w:highlight w:val="none"/>
        </w:rPr>
        <w:t>投标人全称（公章）：                              日期：</w:t>
      </w:r>
    </w:p>
    <w:p w14:paraId="43D9F4FE">
      <w:pPr>
        <w:spacing w:line="360" w:lineRule="auto"/>
        <w:rPr>
          <w:b/>
          <w:color w:val="auto"/>
          <w:sz w:val="24"/>
          <w:highlight w:val="none"/>
        </w:rPr>
      </w:pPr>
      <w:r>
        <w:rPr>
          <w:rFonts w:hint="eastAsia" w:ascii="宋体"/>
          <w:b/>
          <w:color w:val="auto"/>
          <w:sz w:val="24"/>
          <w:highlight w:val="none"/>
        </w:rPr>
        <w:t>附：</w:t>
      </w:r>
    </w:p>
    <w:tbl>
      <w:tblPr>
        <w:tblStyle w:val="3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A51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365423D">
            <w:pPr>
              <w:keepNext w:val="0"/>
              <w:keepLines w:val="0"/>
              <w:suppressLineNumbers w:val="0"/>
              <w:spacing w:before="0" w:beforeAutospacing="0" w:after="0" w:afterAutospacing="0" w:line="360" w:lineRule="auto"/>
              <w:ind w:left="0" w:right="0"/>
              <w:rPr>
                <w:rFonts w:hint="default" w:ascii="宋体"/>
                <w:b/>
                <w:color w:val="auto"/>
                <w:sz w:val="24"/>
                <w:highlight w:val="none"/>
              </w:rPr>
            </w:pPr>
          </w:p>
          <w:p w14:paraId="49F45C46">
            <w:pPr>
              <w:keepNext w:val="0"/>
              <w:keepLines w:val="0"/>
              <w:suppressLineNumbers w:val="0"/>
              <w:spacing w:before="0" w:beforeAutospacing="0" w:after="0" w:afterAutospacing="0" w:line="360" w:lineRule="auto"/>
              <w:ind w:left="0" w:right="0" w:firstLine="361" w:firstLineChars="150"/>
              <w:rPr>
                <w:rFonts w:hint="default" w:ascii="宋体"/>
                <w:b/>
                <w:color w:val="auto"/>
                <w:sz w:val="24"/>
                <w:highlight w:val="none"/>
              </w:rPr>
            </w:pPr>
            <w:r>
              <w:rPr>
                <w:rFonts w:hint="eastAsia" w:ascii="宋体"/>
                <w:b/>
                <w:color w:val="auto"/>
                <w:sz w:val="24"/>
                <w:highlight w:val="none"/>
              </w:rPr>
              <w:t>法定代表身份证扫描件粘帖处</w:t>
            </w:r>
          </w:p>
        </w:tc>
      </w:tr>
    </w:tbl>
    <w:p w14:paraId="1B987A09">
      <w:pPr>
        <w:spacing w:line="360" w:lineRule="auto"/>
        <w:rPr>
          <w:color w:val="auto"/>
          <w:sz w:val="24"/>
          <w:highlight w:val="none"/>
        </w:rPr>
      </w:pPr>
      <w:r>
        <w:rPr>
          <w:rFonts w:hint="eastAsia" w:ascii="宋体"/>
          <w:color w:val="auto"/>
          <w:sz w:val="24"/>
          <w:highlight w:val="none"/>
        </w:rPr>
        <w:t xml:space="preserve">法定代表人姓名：                                 </w:t>
      </w:r>
    </w:p>
    <w:p w14:paraId="7E33CB38">
      <w:pPr>
        <w:spacing w:line="360" w:lineRule="auto"/>
        <w:rPr>
          <w:color w:val="auto"/>
          <w:sz w:val="24"/>
          <w:highlight w:val="none"/>
        </w:rPr>
      </w:pPr>
      <w:r>
        <w:rPr>
          <w:rFonts w:hint="eastAsia" w:ascii="宋体"/>
          <w:color w:val="auto"/>
          <w:sz w:val="24"/>
          <w:highlight w:val="none"/>
        </w:rPr>
        <w:t>传真：</w:t>
      </w:r>
    </w:p>
    <w:p w14:paraId="359E9559">
      <w:pPr>
        <w:spacing w:line="360" w:lineRule="auto"/>
        <w:rPr>
          <w:rFonts w:ascii="宋体"/>
          <w:color w:val="auto"/>
          <w:sz w:val="24"/>
          <w:highlight w:val="none"/>
        </w:rPr>
      </w:pPr>
      <w:r>
        <w:rPr>
          <w:rFonts w:hint="eastAsia" w:ascii="宋体"/>
          <w:color w:val="auto"/>
          <w:sz w:val="24"/>
          <w:highlight w:val="none"/>
        </w:rPr>
        <w:t>电话：</w:t>
      </w:r>
    </w:p>
    <w:p w14:paraId="25BC0CA5">
      <w:pPr>
        <w:spacing w:line="360" w:lineRule="auto"/>
        <w:rPr>
          <w:color w:val="auto"/>
          <w:sz w:val="24"/>
          <w:highlight w:val="none"/>
        </w:rPr>
      </w:pPr>
      <w:r>
        <w:rPr>
          <w:rFonts w:hint="eastAsia" w:ascii="宋体"/>
          <w:color w:val="auto"/>
          <w:sz w:val="24"/>
          <w:highlight w:val="none"/>
        </w:rPr>
        <w:t>详细通讯地址：</w:t>
      </w:r>
    </w:p>
    <w:p w14:paraId="09F5F0AE">
      <w:pPr>
        <w:spacing w:line="360" w:lineRule="auto"/>
        <w:rPr>
          <w:rFonts w:ascii="宋体"/>
          <w:color w:val="auto"/>
          <w:sz w:val="24"/>
          <w:highlight w:val="none"/>
        </w:rPr>
      </w:pPr>
      <w:r>
        <w:rPr>
          <w:rFonts w:hint="eastAsia" w:ascii="宋体"/>
          <w:color w:val="auto"/>
          <w:sz w:val="24"/>
          <w:highlight w:val="none"/>
        </w:rPr>
        <w:t>邮政编码：</w:t>
      </w:r>
    </w:p>
    <w:p w14:paraId="35A64811">
      <w:pPr>
        <w:spacing w:line="360" w:lineRule="auto"/>
        <w:rPr>
          <w:b/>
          <w:color w:val="auto"/>
          <w:sz w:val="24"/>
          <w:highlight w:val="none"/>
        </w:rPr>
      </w:pPr>
    </w:p>
    <w:tbl>
      <w:tblPr>
        <w:tblStyle w:val="3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512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8AD2AE3">
            <w:pPr>
              <w:keepNext w:val="0"/>
              <w:keepLines w:val="0"/>
              <w:suppressLineNumbers w:val="0"/>
              <w:spacing w:before="0" w:beforeAutospacing="0" w:after="0" w:afterAutospacing="0" w:line="360" w:lineRule="auto"/>
              <w:ind w:left="0" w:right="0"/>
              <w:rPr>
                <w:rFonts w:hint="default" w:ascii="宋体"/>
                <w:b/>
                <w:color w:val="auto"/>
                <w:sz w:val="24"/>
                <w:highlight w:val="none"/>
              </w:rPr>
            </w:pPr>
          </w:p>
          <w:p w14:paraId="1A3706D8">
            <w:pPr>
              <w:keepNext w:val="0"/>
              <w:keepLines w:val="0"/>
              <w:suppressLineNumbers w:val="0"/>
              <w:spacing w:before="0" w:beforeAutospacing="0" w:after="0" w:afterAutospacing="0" w:line="360" w:lineRule="auto"/>
              <w:ind w:left="0" w:right="0" w:firstLine="361" w:firstLineChars="150"/>
              <w:rPr>
                <w:rFonts w:hint="default" w:ascii="宋体"/>
                <w:b/>
                <w:color w:val="auto"/>
                <w:sz w:val="24"/>
                <w:highlight w:val="none"/>
              </w:rPr>
            </w:pPr>
            <w:r>
              <w:rPr>
                <w:rFonts w:hint="eastAsia" w:ascii="宋体"/>
                <w:b/>
                <w:color w:val="auto"/>
                <w:sz w:val="24"/>
                <w:highlight w:val="none"/>
              </w:rPr>
              <w:t>全权代表身份证扫描件粘帖处</w:t>
            </w:r>
          </w:p>
        </w:tc>
      </w:tr>
    </w:tbl>
    <w:p w14:paraId="4C82302C">
      <w:pPr>
        <w:spacing w:line="360" w:lineRule="auto"/>
        <w:rPr>
          <w:rFonts w:ascii="宋体"/>
          <w:color w:val="auto"/>
          <w:sz w:val="24"/>
          <w:highlight w:val="none"/>
        </w:rPr>
      </w:pPr>
      <w:r>
        <w:rPr>
          <w:rFonts w:hint="eastAsia" w:ascii="宋体"/>
          <w:color w:val="auto"/>
          <w:sz w:val="24"/>
          <w:highlight w:val="none"/>
        </w:rPr>
        <w:t xml:space="preserve">全权代表姓名：       </w:t>
      </w:r>
    </w:p>
    <w:p w14:paraId="6CB18CF4">
      <w:pPr>
        <w:spacing w:line="360" w:lineRule="auto"/>
        <w:rPr>
          <w:color w:val="auto"/>
          <w:sz w:val="24"/>
          <w:highlight w:val="none"/>
        </w:rPr>
      </w:pPr>
      <w:r>
        <w:rPr>
          <w:rFonts w:hint="eastAsia" w:ascii="宋体"/>
          <w:color w:val="auto"/>
          <w:sz w:val="24"/>
          <w:highlight w:val="none"/>
        </w:rPr>
        <w:t xml:space="preserve">职务：                           </w:t>
      </w:r>
    </w:p>
    <w:p w14:paraId="4AD0C346">
      <w:pPr>
        <w:spacing w:line="360" w:lineRule="auto"/>
        <w:rPr>
          <w:color w:val="auto"/>
          <w:sz w:val="24"/>
          <w:highlight w:val="none"/>
        </w:rPr>
      </w:pPr>
      <w:r>
        <w:rPr>
          <w:rFonts w:hint="eastAsia" w:ascii="宋体"/>
          <w:color w:val="auto"/>
          <w:sz w:val="24"/>
          <w:highlight w:val="none"/>
        </w:rPr>
        <w:t>传真：</w:t>
      </w:r>
    </w:p>
    <w:p w14:paraId="5D3877C9">
      <w:pPr>
        <w:spacing w:line="360" w:lineRule="auto"/>
        <w:rPr>
          <w:rFonts w:ascii="宋体"/>
          <w:color w:val="auto"/>
          <w:sz w:val="24"/>
          <w:highlight w:val="none"/>
        </w:rPr>
      </w:pPr>
      <w:r>
        <w:rPr>
          <w:rFonts w:hint="eastAsia" w:ascii="宋体"/>
          <w:color w:val="auto"/>
          <w:sz w:val="24"/>
          <w:highlight w:val="none"/>
        </w:rPr>
        <w:t>电话：</w:t>
      </w:r>
    </w:p>
    <w:p w14:paraId="4C493F30">
      <w:pPr>
        <w:spacing w:line="360" w:lineRule="auto"/>
        <w:rPr>
          <w:color w:val="auto"/>
          <w:sz w:val="24"/>
          <w:highlight w:val="none"/>
        </w:rPr>
      </w:pPr>
      <w:r>
        <w:rPr>
          <w:rFonts w:hint="eastAsia" w:ascii="宋体"/>
          <w:color w:val="auto"/>
          <w:sz w:val="24"/>
          <w:highlight w:val="none"/>
        </w:rPr>
        <w:t>详细通讯地址：</w:t>
      </w:r>
    </w:p>
    <w:p w14:paraId="2C1978E7">
      <w:pPr>
        <w:spacing w:line="360" w:lineRule="auto"/>
        <w:rPr>
          <w:rFonts w:ascii="宋体"/>
          <w:color w:val="auto"/>
          <w:sz w:val="24"/>
          <w:highlight w:val="none"/>
        </w:rPr>
      </w:pPr>
      <w:r>
        <w:rPr>
          <w:rFonts w:hint="eastAsia" w:ascii="宋体"/>
          <w:color w:val="auto"/>
          <w:sz w:val="24"/>
          <w:highlight w:val="none"/>
        </w:rPr>
        <w:t>邮政编码：</w:t>
      </w:r>
    </w:p>
    <w:p w14:paraId="761E1315">
      <w:pPr>
        <w:widowControl/>
        <w:jc w:val="left"/>
        <w:rPr>
          <w:rFonts w:hint="eastAsia" w:ascii="宋体" w:hAnsi="宋体"/>
          <w:b/>
          <w:color w:val="auto"/>
          <w:sz w:val="28"/>
          <w:highlight w:val="none"/>
        </w:rPr>
      </w:pPr>
      <w:r>
        <w:rPr>
          <w:rFonts w:hint="eastAsia" w:ascii="宋体" w:hAnsi="宋体"/>
          <w:b/>
          <w:bCs/>
          <w:color w:val="auto"/>
          <w:sz w:val="32"/>
          <w:szCs w:val="32"/>
          <w:highlight w:val="none"/>
          <w:lang w:val="zh-CN"/>
        </w:rPr>
        <w:br w:type="page"/>
      </w:r>
      <w:r>
        <w:rPr>
          <w:rFonts w:hint="eastAsia" w:ascii="宋体" w:hAnsi="宋体"/>
          <w:b/>
          <w:color w:val="auto"/>
          <w:sz w:val="28"/>
          <w:highlight w:val="none"/>
        </w:rPr>
        <w:t>附件3</w:t>
      </w:r>
    </w:p>
    <w:p w14:paraId="6D993C37">
      <w:pPr>
        <w:widowControl/>
        <w:jc w:val="center"/>
        <w:textAlignment w:val="baseline"/>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中小企业声明函</w:t>
      </w:r>
    </w:p>
    <w:p w14:paraId="0DF83C7A">
      <w:pPr>
        <w:pStyle w:val="16"/>
        <w:textAlignment w:val="baseline"/>
        <w:rPr>
          <w:rFonts w:ascii="宋体" w:hAnsi="宋体" w:cs="宋体"/>
          <w:color w:val="auto"/>
          <w:highlight w:val="none"/>
        </w:rPr>
      </w:pPr>
    </w:p>
    <w:p w14:paraId="2976D54E">
      <w:pPr>
        <w:widowControl/>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kern w:val="0"/>
          <w:sz w:val="24"/>
          <w:highlight w:val="none"/>
        </w:rPr>
        <w:t>本公司郑重声明，根据《政府采购促进中小企业发展管理办法》（财库﹝2020﹞46 号）的规定，本公司参加</w:t>
      </w:r>
      <w:r>
        <w:rPr>
          <w:rFonts w:hint="eastAsia" w:ascii="宋体" w:hAnsi="宋体" w:cs="宋体"/>
          <w:i/>
          <w:color w:val="auto"/>
          <w:kern w:val="0"/>
          <w:sz w:val="24"/>
          <w:highlight w:val="none"/>
          <w:u w:val="single" w:color="000000"/>
        </w:rPr>
        <w:t>（单位名称）</w:t>
      </w:r>
      <w:r>
        <w:rPr>
          <w:rFonts w:hint="eastAsia" w:ascii="宋体" w:hAnsi="宋体" w:cs="宋体"/>
          <w:color w:val="auto"/>
          <w:kern w:val="0"/>
          <w:sz w:val="24"/>
          <w:highlight w:val="none"/>
        </w:rPr>
        <w:t>的</w:t>
      </w:r>
      <w:r>
        <w:rPr>
          <w:rFonts w:hint="eastAsia" w:ascii="宋体" w:hAnsi="宋体" w:cs="宋体"/>
          <w:i/>
          <w:color w:val="auto"/>
          <w:kern w:val="0"/>
          <w:sz w:val="24"/>
          <w:highlight w:val="none"/>
          <w:u w:val="single" w:color="000000"/>
        </w:rPr>
        <w:t>（项目名称）</w:t>
      </w:r>
      <w:r>
        <w:rPr>
          <w:rFonts w:hint="eastAsia" w:ascii="宋体" w:hAnsi="宋体" w:cs="宋体"/>
          <w:color w:val="auto"/>
          <w:kern w:val="0"/>
          <w:sz w:val="24"/>
          <w:highlight w:val="none"/>
        </w:rPr>
        <w:t>采购活动，全部为符合政策要求的中小企业（或者：服务全部由符合政策要求的中小企业承接）。相关企业的具体情 况如下：</w:t>
      </w:r>
    </w:p>
    <w:p w14:paraId="504FD148">
      <w:pPr>
        <w:widowControl/>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kern w:val="0"/>
          <w:sz w:val="24"/>
          <w:highlight w:val="none"/>
        </w:rPr>
        <w:t xml:space="preserve">1. </w:t>
      </w:r>
      <w:r>
        <w:rPr>
          <w:rFonts w:hint="eastAsia" w:ascii="宋体" w:hAnsi="宋体" w:cs="宋体"/>
          <w:i/>
          <w:color w:val="auto"/>
          <w:kern w:val="0"/>
          <w:sz w:val="24"/>
          <w:highlight w:val="none"/>
          <w:u w:val="single" w:color="000000"/>
        </w:rPr>
        <w:t xml:space="preserve">（标的名称） </w:t>
      </w:r>
      <w:r>
        <w:rPr>
          <w:rFonts w:hint="eastAsia" w:ascii="宋体" w:hAnsi="宋体" w:cs="宋体"/>
          <w:color w:val="auto"/>
          <w:kern w:val="0"/>
          <w:sz w:val="24"/>
          <w:highlight w:val="none"/>
        </w:rPr>
        <w:t>，属于</w:t>
      </w:r>
      <w:r>
        <w:rPr>
          <w:rFonts w:hint="eastAsia" w:ascii="宋体" w:hAnsi="宋体" w:cs="宋体"/>
          <w:i/>
          <w:color w:val="auto"/>
          <w:kern w:val="0"/>
          <w:sz w:val="24"/>
          <w:highlight w:val="none"/>
          <w:u w:val="single" w:color="000000"/>
        </w:rPr>
        <w:t>软件和信息技术服务业</w:t>
      </w:r>
      <w:r>
        <w:rPr>
          <w:rFonts w:hint="eastAsia" w:ascii="宋体" w:hAnsi="宋体" w:cs="宋体"/>
          <w:color w:val="auto"/>
          <w:kern w:val="0"/>
          <w:sz w:val="24"/>
          <w:highlight w:val="none"/>
        </w:rPr>
        <w:t>；承建（承接）企业为</w:t>
      </w:r>
      <w:r>
        <w:rPr>
          <w:rFonts w:hint="eastAsia" w:ascii="宋体" w:hAnsi="宋体" w:cs="宋体"/>
          <w:i/>
          <w:color w:val="auto"/>
          <w:kern w:val="0"/>
          <w:sz w:val="24"/>
          <w:highlight w:val="none"/>
          <w:u w:val="single" w:color="000000"/>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万元，属于</w:t>
      </w:r>
      <w:r>
        <w:rPr>
          <w:rFonts w:hint="eastAsia" w:ascii="宋体" w:hAnsi="宋体" w:cs="宋体"/>
          <w:i/>
          <w:color w:val="auto"/>
          <w:kern w:val="0"/>
          <w:sz w:val="24"/>
          <w:highlight w:val="none"/>
          <w:u w:val="single" w:color="000000"/>
        </w:rPr>
        <w:t>（中型企业、 小型企业、微型企业）</w:t>
      </w:r>
      <w:r>
        <w:rPr>
          <w:rFonts w:hint="eastAsia" w:ascii="宋体" w:hAnsi="宋体" w:cs="宋体"/>
          <w:color w:val="auto"/>
          <w:kern w:val="0"/>
          <w:sz w:val="24"/>
          <w:highlight w:val="none"/>
        </w:rPr>
        <w:t xml:space="preserve">； </w:t>
      </w:r>
    </w:p>
    <w:p w14:paraId="0F2DCD77">
      <w:pPr>
        <w:widowControl/>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kern w:val="0"/>
          <w:sz w:val="24"/>
          <w:highlight w:val="none"/>
        </w:rPr>
        <w:t>……</w:t>
      </w:r>
    </w:p>
    <w:p w14:paraId="704DFDEE">
      <w:pPr>
        <w:widowControl/>
        <w:spacing w:line="360" w:lineRule="auto"/>
        <w:ind w:firstLine="480" w:firstLineChars="200"/>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2D45D94D">
      <w:pPr>
        <w:pStyle w:val="16"/>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注：从业人员、营业收入、资产总额填报上一年度数据，无上一年度数据的新成立企业可不填报。</w:t>
      </w:r>
    </w:p>
    <w:p w14:paraId="7390A6D4">
      <w:pPr>
        <w:pStyle w:val="16"/>
        <w:textAlignment w:val="baseline"/>
        <w:rPr>
          <w:rFonts w:ascii="宋体" w:hAnsi="宋体" w:cs="宋体"/>
          <w:color w:val="auto"/>
          <w:highlight w:val="none"/>
        </w:rPr>
      </w:pPr>
    </w:p>
    <w:p w14:paraId="30D8E92B">
      <w:pPr>
        <w:widowControl/>
        <w:spacing w:line="360" w:lineRule="auto"/>
        <w:jc w:val="center"/>
        <w:textAlignment w:val="baseline"/>
        <w:rPr>
          <w:rFonts w:ascii="宋体" w:hAnsi="宋体" w:cs="宋体"/>
          <w:color w:val="auto"/>
          <w:kern w:val="0"/>
          <w:sz w:val="24"/>
          <w:highlight w:val="none"/>
        </w:rPr>
      </w:pPr>
    </w:p>
    <w:p w14:paraId="12423201">
      <w:pPr>
        <w:widowControl/>
        <w:spacing w:line="360" w:lineRule="auto"/>
        <w:jc w:val="center"/>
        <w:textAlignment w:val="baseline"/>
        <w:rPr>
          <w:rFonts w:ascii="宋体" w:hAnsi="宋体" w:cs="宋体"/>
          <w:color w:val="auto"/>
          <w:sz w:val="24"/>
          <w:highlight w:val="none"/>
        </w:rPr>
      </w:pPr>
      <w:r>
        <w:rPr>
          <w:rFonts w:hint="eastAsia" w:ascii="宋体" w:hAnsi="宋体" w:cs="宋体"/>
          <w:color w:val="auto"/>
          <w:kern w:val="0"/>
          <w:sz w:val="24"/>
          <w:highlight w:val="none"/>
        </w:rPr>
        <w:t xml:space="preserve">                                企业名称（盖章）： </w:t>
      </w:r>
    </w:p>
    <w:p w14:paraId="5CACEAFC">
      <w:pPr>
        <w:widowControl/>
        <w:spacing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 xml:space="preserve">                     日 期：</w:t>
      </w:r>
    </w:p>
    <w:p w14:paraId="4994FC33">
      <w:pPr>
        <w:pStyle w:val="22"/>
        <w:spacing w:line="360" w:lineRule="auto"/>
        <w:jc w:val="center"/>
        <w:outlineLvl w:val="1"/>
        <w:rPr>
          <w:rFonts w:hAnsi="宋体"/>
          <w:b/>
          <w:color w:val="auto"/>
          <w:sz w:val="32"/>
          <w:szCs w:val="32"/>
          <w:highlight w:val="none"/>
          <w:lang w:val="en-GB"/>
        </w:rPr>
      </w:pPr>
    </w:p>
    <w:p w14:paraId="10977AC4">
      <w:pPr>
        <w:widowControl/>
        <w:spacing w:line="360" w:lineRule="auto"/>
        <w:jc w:val="left"/>
        <w:rPr>
          <w:rFonts w:ascii="宋体" w:hAnsi="宋体"/>
          <w:b/>
          <w:color w:val="auto"/>
          <w:sz w:val="32"/>
          <w:szCs w:val="32"/>
          <w:highlight w:val="none"/>
          <w:lang w:val="en-GB"/>
        </w:rPr>
        <w:sectPr>
          <w:pgSz w:w="11906" w:h="16838"/>
          <w:pgMar w:top="1440" w:right="1800" w:bottom="1440" w:left="1800" w:header="851" w:footer="992" w:gutter="0"/>
          <w:pgNumType w:fmt="numberInDash"/>
          <w:cols w:space="720" w:num="1"/>
          <w:docGrid w:type="lines" w:linePitch="312" w:charSpace="0"/>
        </w:sectPr>
      </w:pPr>
    </w:p>
    <w:p w14:paraId="371A0F7A">
      <w:pPr>
        <w:pStyle w:val="22"/>
        <w:spacing w:line="360" w:lineRule="auto"/>
        <w:jc w:val="center"/>
        <w:outlineLvl w:val="1"/>
        <w:rPr>
          <w:rFonts w:hAnsi="宋体"/>
          <w:b/>
          <w:color w:val="auto"/>
          <w:sz w:val="32"/>
          <w:szCs w:val="32"/>
          <w:highlight w:val="none"/>
          <w:lang w:val="en-GB"/>
        </w:rPr>
      </w:pPr>
      <w:r>
        <w:rPr>
          <w:rFonts w:hint="eastAsia" w:hAnsi="宋体"/>
          <w:b/>
          <w:color w:val="auto"/>
          <w:sz w:val="32"/>
          <w:szCs w:val="32"/>
          <w:highlight w:val="none"/>
          <w:lang w:val="en-GB"/>
        </w:rPr>
        <w:t>残疾人福利性单位声明函</w:t>
      </w:r>
    </w:p>
    <w:p w14:paraId="098FCD71">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0C79B3F">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4D8DA4B9">
      <w:pPr>
        <w:tabs>
          <w:tab w:val="left" w:pos="4860"/>
        </w:tabs>
        <w:spacing w:line="588" w:lineRule="exact"/>
        <w:ind w:right="1560" w:firstLine="504" w:firstLineChars="200"/>
        <w:jc w:val="center"/>
        <w:rPr>
          <w:rFonts w:ascii="宋体" w:hAnsi="宋体"/>
          <w:color w:val="auto"/>
          <w:spacing w:val="6"/>
          <w:sz w:val="24"/>
          <w:highlight w:val="none"/>
        </w:rPr>
      </w:pPr>
    </w:p>
    <w:p w14:paraId="7A39A6CC">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单位名称（盖章）：</w:t>
      </w:r>
    </w:p>
    <w:p w14:paraId="6FE20B65">
      <w:pPr>
        <w:tabs>
          <w:tab w:val="left" w:pos="4860"/>
        </w:tabs>
        <w:spacing w:line="588" w:lineRule="exact"/>
        <w:ind w:right="1560" w:firstLine="504" w:firstLineChars="200"/>
        <w:jc w:val="center"/>
        <w:rPr>
          <w:rFonts w:ascii="宋体" w:hAnsi="宋体"/>
          <w:color w:val="auto"/>
          <w:sz w:val="24"/>
          <w:highlight w:val="none"/>
        </w:rPr>
      </w:pPr>
      <w:r>
        <w:rPr>
          <w:rFonts w:hint="eastAsia" w:ascii="宋体" w:hAnsi="宋体"/>
          <w:color w:val="auto"/>
          <w:spacing w:val="6"/>
          <w:sz w:val="24"/>
          <w:highlight w:val="none"/>
        </w:rPr>
        <w:t xml:space="preserve">       日  期：</w:t>
      </w:r>
    </w:p>
    <w:p w14:paraId="2096ED95">
      <w:pPr>
        <w:pStyle w:val="65"/>
        <w:spacing w:line="360" w:lineRule="auto"/>
        <w:rPr>
          <w:rFonts w:ascii="宋体" w:hAnsi="宋体"/>
          <w:b/>
          <w:color w:val="auto"/>
          <w:sz w:val="28"/>
          <w:szCs w:val="28"/>
          <w:highlight w:val="none"/>
        </w:rPr>
      </w:pPr>
    </w:p>
    <w:p w14:paraId="07F9A0AD">
      <w:pPr>
        <w:rPr>
          <w:rFonts w:ascii="宋体" w:hAnsi="宋体" w:cs="宋体"/>
          <w:b/>
          <w:color w:val="auto"/>
          <w:sz w:val="32"/>
          <w:szCs w:val="32"/>
          <w:highlight w:val="none"/>
          <w:lang w:val="en-GB"/>
        </w:rPr>
      </w:pPr>
      <w:r>
        <w:rPr>
          <w:rFonts w:hint="eastAsia" w:ascii="宋体" w:hAnsi="宋体" w:cs="宋体"/>
          <w:b/>
          <w:color w:val="auto"/>
          <w:sz w:val="32"/>
          <w:szCs w:val="32"/>
          <w:highlight w:val="none"/>
          <w:lang w:val="en-GB"/>
        </w:rPr>
        <w:br w:type="page"/>
      </w:r>
    </w:p>
    <w:p w14:paraId="2A6204AD">
      <w:pPr>
        <w:pStyle w:val="46"/>
        <w:jc w:val="center"/>
        <w:rPr>
          <w:rFonts w:ascii="宋体" w:hAnsi="宋体" w:cs="宋体"/>
          <w:color w:val="auto"/>
          <w:sz w:val="24"/>
          <w:highlight w:val="none"/>
        </w:rPr>
      </w:pPr>
      <w:r>
        <w:rPr>
          <w:rFonts w:hint="eastAsia" w:ascii="宋体" w:hAnsi="宋体" w:eastAsia="宋体" w:cs="宋体"/>
          <w:b/>
          <w:color w:val="auto"/>
          <w:kern w:val="2"/>
          <w:sz w:val="32"/>
          <w:szCs w:val="32"/>
          <w:highlight w:val="none"/>
          <w:lang w:val="en-GB"/>
        </w:rPr>
        <w:t>监狱企业资格证明材料</w:t>
      </w:r>
    </w:p>
    <w:p w14:paraId="3822137C">
      <w:pPr>
        <w:spacing w:line="588"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(省级以上监狱管理局、戒毒管理局(含新疆生产建设兵团)出具的属于监狱企业的证明文件)</w:t>
      </w:r>
    </w:p>
    <w:p w14:paraId="5C306F49">
      <w:pPr>
        <w:spacing w:line="588"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说明:监狱企业视同小型、微型企业。</w:t>
      </w:r>
    </w:p>
    <w:p w14:paraId="6A81CFDF">
      <w:pPr>
        <w:spacing w:line="588" w:lineRule="exact"/>
        <w:ind w:firstLine="480" w:firstLineChars="200"/>
        <w:textAlignment w:val="baseline"/>
        <w:rPr>
          <w:rFonts w:ascii="宋体" w:hAnsi="宋体" w:cs="宋体"/>
          <w:color w:val="auto"/>
          <w:sz w:val="24"/>
          <w:highlight w:val="none"/>
        </w:rPr>
      </w:pPr>
    </w:p>
    <w:p w14:paraId="2C17F479">
      <w:pPr>
        <w:spacing w:line="588" w:lineRule="exact"/>
        <w:ind w:firstLine="480" w:firstLineChars="200"/>
        <w:jc w:val="right"/>
        <w:textAlignment w:val="baseline"/>
        <w:rPr>
          <w:rFonts w:ascii="宋体" w:hAnsi="宋体" w:cs="宋体"/>
          <w:color w:val="auto"/>
          <w:sz w:val="24"/>
          <w:highlight w:val="none"/>
        </w:rPr>
      </w:pPr>
      <w:r>
        <w:rPr>
          <w:rFonts w:hint="eastAsia" w:ascii="宋体" w:hAnsi="宋体" w:cs="宋体"/>
          <w:color w:val="auto"/>
          <w:sz w:val="24"/>
          <w:highlight w:val="none"/>
        </w:rPr>
        <w:t>单位名称(单位公章):</w:t>
      </w:r>
    </w:p>
    <w:p w14:paraId="6C3A1A11">
      <w:pPr>
        <w:spacing w:line="588" w:lineRule="exact"/>
        <w:ind w:firstLine="480" w:firstLineChars="200"/>
        <w:jc w:val="right"/>
        <w:textAlignment w:val="baseline"/>
        <w:rPr>
          <w:rFonts w:ascii="宋体" w:hAnsi="宋体" w:cs="宋体"/>
          <w:color w:val="auto"/>
          <w:sz w:val="24"/>
          <w:highlight w:val="none"/>
        </w:rPr>
      </w:pPr>
      <w:r>
        <w:rPr>
          <w:rFonts w:hint="eastAsia" w:ascii="宋体" w:hAnsi="宋体" w:cs="宋体"/>
          <w:color w:val="auto"/>
          <w:sz w:val="24"/>
          <w:highlight w:val="none"/>
        </w:rPr>
        <w:t>日期:  年 月 日</w:t>
      </w:r>
    </w:p>
    <w:p w14:paraId="2EB87AE4">
      <w:pPr>
        <w:pStyle w:val="46"/>
        <w:rPr>
          <w:rFonts w:ascii="宋体" w:hAnsi="宋体" w:eastAsia="宋体" w:cs="宋体"/>
          <w:color w:val="auto"/>
          <w:sz w:val="24"/>
          <w:highlight w:val="none"/>
        </w:rPr>
      </w:pPr>
    </w:p>
    <w:p w14:paraId="72F4DD31">
      <w:pPr>
        <w:pStyle w:val="46"/>
        <w:rPr>
          <w:rFonts w:ascii="宋体" w:hAnsi="宋体" w:eastAsia="宋体" w:cs="宋体"/>
          <w:color w:val="auto"/>
          <w:sz w:val="24"/>
          <w:highlight w:val="none"/>
        </w:rPr>
      </w:pPr>
    </w:p>
    <w:p w14:paraId="05247793">
      <w:pPr>
        <w:pStyle w:val="46"/>
        <w:rPr>
          <w:rFonts w:ascii="宋体" w:hAnsi="宋体" w:eastAsia="宋体" w:cs="宋体"/>
          <w:color w:val="auto"/>
          <w:sz w:val="24"/>
          <w:highlight w:val="none"/>
        </w:rPr>
      </w:pPr>
    </w:p>
    <w:p w14:paraId="4C99235F">
      <w:pPr>
        <w:spacing w:line="588" w:lineRule="exact"/>
        <w:ind w:firstLine="482" w:firstLineChars="200"/>
        <w:textAlignment w:val="baseline"/>
        <w:rPr>
          <w:rFonts w:ascii="宋体" w:hAnsi="宋体" w:cs="宋体"/>
          <w:b/>
          <w:bCs/>
          <w:color w:val="auto"/>
          <w:sz w:val="24"/>
          <w:highlight w:val="none"/>
        </w:rPr>
      </w:pPr>
      <w:r>
        <w:rPr>
          <w:rFonts w:hint="eastAsia" w:ascii="宋体" w:hAnsi="宋体" w:cs="宋体"/>
          <w:b/>
          <w:bCs/>
          <w:color w:val="auto"/>
          <w:sz w:val="24"/>
          <w:highlight w:val="none"/>
        </w:rPr>
        <w:t>投标人不属于中小企业、残疾人福利性单位、监狱企业的，无需提供此声明函，如提供所引起的后果由投标人承担。</w:t>
      </w:r>
    </w:p>
    <w:p w14:paraId="04C565D0">
      <w:pPr>
        <w:pStyle w:val="65"/>
        <w:spacing w:line="360" w:lineRule="auto"/>
        <w:rPr>
          <w:rFonts w:ascii="宋体" w:hAnsi="宋体"/>
          <w:b/>
          <w:color w:val="auto"/>
          <w:sz w:val="28"/>
          <w:szCs w:val="28"/>
          <w:highlight w:val="none"/>
        </w:rPr>
      </w:pPr>
    </w:p>
    <w:p w14:paraId="5E0EAA15">
      <w:pPr>
        <w:spacing w:line="360" w:lineRule="auto"/>
        <w:ind w:right="-110"/>
        <w:jc w:val="center"/>
        <w:rPr>
          <w:color w:val="auto"/>
          <w:highlight w:val="none"/>
        </w:rPr>
      </w:pPr>
    </w:p>
    <w:p w14:paraId="05E3A393">
      <w:pPr>
        <w:pStyle w:val="8"/>
        <w:rPr>
          <w:color w:val="auto"/>
          <w:highlight w:val="none"/>
        </w:rPr>
      </w:pPr>
    </w:p>
    <w:p w14:paraId="5C45F54E">
      <w:pPr>
        <w:pStyle w:val="8"/>
        <w:rPr>
          <w:color w:val="auto"/>
          <w:highlight w:val="none"/>
        </w:rPr>
      </w:pPr>
    </w:p>
    <w:p w14:paraId="7FF84F94">
      <w:pPr>
        <w:pStyle w:val="8"/>
        <w:rPr>
          <w:color w:val="auto"/>
          <w:highlight w:val="none"/>
        </w:rPr>
      </w:pPr>
    </w:p>
    <w:p w14:paraId="410C2C9C">
      <w:pPr>
        <w:pStyle w:val="8"/>
        <w:rPr>
          <w:color w:val="auto"/>
          <w:highlight w:val="none"/>
        </w:rPr>
      </w:pPr>
    </w:p>
    <w:p w14:paraId="397AD2E3">
      <w:pPr>
        <w:pStyle w:val="2"/>
        <w:rPr>
          <w:color w:val="auto"/>
          <w:highlight w:val="none"/>
        </w:rPr>
      </w:pPr>
    </w:p>
    <w:p w14:paraId="469EBBE1">
      <w:pPr>
        <w:pStyle w:val="8"/>
        <w:rPr>
          <w:color w:val="auto"/>
          <w:highlight w:val="none"/>
        </w:rPr>
      </w:pPr>
    </w:p>
    <w:p w14:paraId="3BD092B9">
      <w:pPr>
        <w:pStyle w:val="8"/>
        <w:rPr>
          <w:color w:val="auto"/>
          <w:highlight w:val="none"/>
        </w:rPr>
      </w:pPr>
    </w:p>
    <w:p w14:paraId="3DFA43B0">
      <w:pPr>
        <w:pStyle w:val="8"/>
        <w:rPr>
          <w:color w:val="auto"/>
          <w:highlight w:val="none"/>
        </w:rPr>
      </w:pPr>
    </w:p>
    <w:p w14:paraId="3BD33831">
      <w:pPr>
        <w:pStyle w:val="8"/>
        <w:rPr>
          <w:color w:val="auto"/>
          <w:highlight w:val="none"/>
        </w:rPr>
      </w:pPr>
    </w:p>
    <w:p w14:paraId="0BE60288">
      <w:pPr>
        <w:pStyle w:val="8"/>
        <w:rPr>
          <w:color w:val="auto"/>
          <w:highlight w:val="none"/>
        </w:rPr>
      </w:pPr>
    </w:p>
    <w:p w14:paraId="0F97CE40">
      <w:pPr>
        <w:pStyle w:val="8"/>
        <w:rPr>
          <w:color w:val="auto"/>
          <w:highlight w:val="none"/>
        </w:rPr>
      </w:pPr>
    </w:p>
    <w:p w14:paraId="72ACE604">
      <w:pPr>
        <w:pStyle w:val="8"/>
        <w:rPr>
          <w:color w:val="auto"/>
          <w:highlight w:val="none"/>
        </w:rPr>
      </w:pPr>
    </w:p>
    <w:p w14:paraId="459469EA">
      <w:pPr>
        <w:pStyle w:val="8"/>
        <w:rPr>
          <w:color w:val="auto"/>
          <w:highlight w:val="none"/>
        </w:rPr>
      </w:pPr>
    </w:p>
    <w:p w14:paraId="790B0970">
      <w:pPr>
        <w:pStyle w:val="8"/>
        <w:rPr>
          <w:color w:val="auto"/>
          <w:highlight w:val="none"/>
        </w:rPr>
      </w:pPr>
    </w:p>
    <w:p w14:paraId="5194EACB">
      <w:pPr>
        <w:pStyle w:val="8"/>
        <w:rPr>
          <w:color w:val="auto"/>
          <w:highlight w:val="none"/>
        </w:rPr>
      </w:pPr>
    </w:p>
    <w:p w14:paraId="7DBA2AC5">
      <w:pPr>
        <w:rPr>
          <w:rFonts w:hAnsi="宋体" w:cs="宋体"/>
          <w:b/>
          <w:color w:val="auto"/>
          <w:sz w:val="28"/>
          <w:highlight w:val="none"/>
        </w:rPr>
      </w:pPr>
      <w:r>
        <w:rPr>
          <w:rFonts w:hAnsi="宋体" w:cs="宋体"/>
          <w:b/>
          <w:color w:val="auto"/>
          <w:sz w:val="28"/>
          <w:highlight w:val="none"/>
        </w:rPr>
        <w:br w:type="page"/>
      </w:r>
    </w:p>
    <w:p w14:paraId="78334CA1">
      <w:pPr>
        <w:widowControl/>
        <w:jc w:val="left"/>
        <w:rPr>
          <w:rFonts w:hint="default" w:ascii="宋体" w:hAnsi="宋体" w:eastAsia="宋体" w:cs="Times New Roman"/>
          <w:b/>
          <w:color w:val="auto"/>
          <w:sz w:val="28"/>
          <w:highlight w:val="none"/>
          <w:lang w:val="en-US" w:eastAsia="zh-CN"/>
        </w:rPr>
      </w:pPr>
      <w:r>
        <w:rPr>
          <w:rFonts w:hint="eastAsia" w:ascii="宋体" w:hAnsi="宋体" w:eastAsia="宋体" w:cs="Times New Roman"/>
          <w:b/>
          <w:color w:val="auto"/>
          <w:sz w:val="28"/>
          <w:highlight w:val="none"/>
          <w:lang w:val="en-US" w:eastAsia="zh-CN"/>
        </w:rPr>
        <w:t>附件4</w:t>
      </w:r>
    </w:p>
    <w:p w14:paraId="156A6C36">
      <w:pPr>
        <w:snapToGrid w:val="0"/>
        <w:spacing w:line="500" w:lineRule="exact"/>
        <w:jc w:val="center"/>
        <w:rPr>
          <w:rFonts w:ascii="宋体" w:hAnsi="宋体" w:cs="宋体"/>
          <w:b/>
          <w:bCs/>
          <w:color w:val="auto"/>
          <w:sz w:val="36"/>
          <w:szCs w:val="36"/>
          <w:highlight w:val="none"/>
          <w:lang w:val="zh-CN"/>
        </w:rPr>
      </w:pPr>
      <w:r>
        <w:rPr>
          <w:rFonts w:hint="eastAsia" w:ascii="宋体" w:hAnsi="宋体" w:cs="宋体"/>
          <w:b/>
          <w:bCs/>
          <w:color w:val="auto"/>
          <w:kern w:val="0"/>
          <w:sz w:val="32"/>
          <w:szCs w:val="32"/>
          <w:highlight w:val="none"/>
          <w:lang w:val="zh-CN"/>
        </w:rPr>
        <w:t>符合资格条件的声明函</w:t>
      </w:r>
    </w:p>
    <w:p w14:paraId="550CECDE">
      <w:pPr>
        <w:spacing w:line="500" w:lineRule="exact"/>
        <w:ind w:firstLine="440" w:firstLineChars="200"/>
        <w:jc w:val="left"/>
        <w:rPr>
          <w:rFonts w:ascii="宋体" w:hAnsi="宋体" w:cs="宋体"/>
          <w:color w:val="auto"/>
          <w:kern w:val="0"/>
          <w:sz w:val="22"/>
          <w:szCs w:val="22"/>
          <w:highlight w:val="none"/>
          <w:u w:val="single"/>
        </w:rPr>
      </w:pPr>
    </w:p>
    <w:p w14:paraId="7A86CFEB">
      <w:pPr>
        <w:spacing w:line="520" w:lineRule="exact"/>
        <w:ind w:firstLine="416" w:firstLineChars="200"/>
        <w:jc w:val="left"/>
        <w:rPr>
          <w:rFonts w:ascii="宋体" w:hAnsi="宋体" w:cs="宋体"/>
          <w:color w:val="auto"/>
          <w:spacing w:val="-6"/>
          <w:kern w:val="0"/>
          <w:sz w:val="22"/>
          <w:szCs w:val="22"/>
          <w:highlight w:val="none"/>
        </w:rPr>
      </w:pPr>
      <w:r>
        <w:rPr>
          <w:rFonts w:hint="eastAsia" w:ascii="宋体" w:hAnsi="宋体" w:cs="宋体"/>
          <w:color w:val="auto"/>
          <w:spacing w:val="-6"/>
          <w:kern w:val="0"/>
          <w:sz w:val="22"/>
          <w:szCs w:val="22"/>
          <w:highlight w:val="none"/>
          <w:u w:val="single"/>
        </w:rPr>
        <w:t>浙江百工程咨询有限公司</w:t>
      </w:r>
      <w:r>
        <w:rPr>
          <w:rFonts w:hint="eastAsia" w:ascii="宋体" w:hAnsi="宋体" w:cs="宋体"/>
          <w:color w:val="auto"/>
          <w:spacing w:val="-6"/>
          <w:kern w:val="0"/>
          <w:sz w:val="22"/>
          <w:szCs w:val="22"/>
          <w:highlight w:val="none"/>
        </w:rPr>
        <w:t>（采购代理机构名称）：</w:t>
      </w:r>
    </w:p>
    <w:p w14:paraId="27F55BE2">
      <w:pPr>
        <w:spacing w:line="520" w:lineRule="exact"/>
        <w:ind w:firstLine="416" w:firstLineChars="200"/>
        <w:jc w:val="left"/>
        <w:rPr>
          <w:rFonts w:ascii="宋体" w:hAnsi="宋体" w:cs="宋体"/>
          <w:color w:val="auto"/>
          <w:spacing w:val="-6"/>
          <w:kern w:val="0"/>
          <w:sz w:val="22"/>
          <w:szCs w:val="22"/>
          <w:highlight w:val="none"/>
        </w:rPr>
      </w:pPr>
      <w:r>
        <w:rPr>
          <w:rFonts w:hint="eastAsia" w:ascii="宋体" w:hAnsi="宋体" w:cs="宋体"/>
          <w:color w:val="auto"/>
          <w:spacing w:val="-6"/>
          <w:kern w:val="0"/>
          <w:sz w:val="22"/>
          <w:szCs w:val="22"/>
          <w:highlight w:val="none"/>
        </w:rPr>
        <w:t>截至</w:t>
      </w:r>
      <w:r>
        <w:rPr>
          <w:rFonts w:hint="eastAsia" w:ascii="宋体" w:hAnsi="宋体" w:cs="宋体"/>
          <w:color w:val="auto"/>
          <w:spacing w:val="-6"/>
          <w:kern w:val="0"/>
          <w:sz w:val="22"/>
          <w:szCs w:val="22"/>
          <w:highlight w:val="none"/>
          <w:u w:val="single"/>
        </w:rPr>
        <w:t xml:space="preserve">                </w:t>
      </w:r>
      <w:r>
        <w:rPr>
          <w:rFonts w:hint="eastAsia" w:ascii="宋体" w:hAnsi="宋体" w:cs="宋体"/>
          <w:color w:val="auto"/>
          <w:spacing w:val="-6"/>
          <w:kern w:val="0"/>
          <w:sz w:val="22"/>
          <w:szCs w:val="22"/>
          <w:highlight w:val="none"/>
        </w:rPr>
        <w:t>（采购人）</w:t>
      </w:r>
      <w:r>
        <w:rPr>
          <w:rFonts w:hint="eastAsia" w:ascii="宋体" w:hAnsi="宋体" w:cs="宋体"/>
          <w:color w:val="auto"/>
          <w:spacing w:val="-6"/>
          <w:kern w:val="0"/>
          <w:sz w:val="22"/>
          <w:szCs w:val="22"/>
          <w:highlight w:val="none"/>
          <w:u w:val="single"/>
        </w:rPr>
        <w:t xml:space="preserve">                  </w:t>
      </w:r>
      <w:r>
        <w:rPr>
          <w:rFonts w:hint="eastAsia" w:ascii="宋体" w:hAnsi="宋体" w:cs="宋体"/>
          <w:color w:val="auto"/>
          <w:spacing w:val="-6"/>
          <w:kern w:val="0"/>
          <w:sz w:val="22"/>
          <w:szCs w:val="22"/>
          <w:highlight w:val="none"/>
        </w:rPr>
        <w:t>（项目名称）</w:t>
      </w:r>
      <w:r>
        <w:rPr>
          <w:rFonts w:hint="eastAsia" w:ascii="宋体" w:hAnsi="宋体" w:cs="宋体"/>
          <w:color w:val="auto"/>
          <w:spacing w:val="-6"/>
          <w:kern w:val="0"/>
          <w:sz w:val="22"/>
          <w:szCs w:val="22"/>
          <w:highlight w:val="none"/>
          <w:u w:val="single"/>
        </w:rPr>
        <w:t xml:space="preserve">          </w:t>
      </w:r>
      <w:r>
        <w:rPr>
          <w:rFonts w:hint="eastAsia" w:ascii="宋体" w:hAnsi="宋体" w:cs="宋体"/>
          <w:color w:val="auto"/>
          <w:spacing w:val="-6"/>
          <w:kern w:val="0"/>
          <w:sz w:val="22"/>
          <w:szCs w:val="22"/>
          <w:highlight w:val="none"/>
        </w:rPr>
        <w:t>（项目编号）的投标截止时间，本公司具有良好的商业信誉，依法缴纳税收和社会保障资金，具有履行合同所必需的设备和专业技术能力，未被列入失信被执行人名单、重大税收违法失信主体、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p>
    <w:p w14:paraId="1AA16B8F">
      <w:pPr>
        <w:spacing w:line="520" w:lineRule="exact"/>
        <w:ind w:firstLine="416" w:firstLineChars="200"/>
        <w:jc w:val="left"/>
        <w:rPr>
          <w:rFonts w:ascii="宋体" w:hAnsi="宋体" w:cs="宋体"/>
          <w:color w:val="auto"/>
          <w:spacing w:val="-6"/>
          <w:kern w:val="0"/>
          <w:sz w:val="22"/>
          <w:szCs w:val="22"/>
          <w:highlight w:val="none"/>
        </w:rPr>
      </w:pPr>
      <w:r>
        <w:rPr>
          <w:rFonts w:hint="eastAsia" w:ascii="宋体" w:hAnsi="宋体" w:cs="宋体"/>
          <w:color w:val="auto"/>
          <w:spacing w:val="-6"/>
          <w:kern w:val="0"/>
          <w:sz w:val="22"/>
          <w:szCs w:val="22"/>
          <w:highlight w:val="none"/>
        </w:rPr>
        <w:t>我方对上述声明的真实性负责。如有虚假，愿意承担相应责任，对此无任何异议。</w:t>
      </w:r>
    </w:p>
    <w:p w14:paraId="1FF83F52">
      <w:pPr>
        <w:tabs>
          <w:tab w:val="left" w:pos="4860"/>
        </w:tabs>
        <w:spacing w:line="588" w:lineRule="exact"/>
        <w:ind w:right="1560" w:firstLine="416" w:firstLineChars="200"/>
        <w:jc w:val="left"/>
        <w:rPr>
          <w:rFonts w:ascii="宋体" w:hAnsi="宋体" w:cs="宋体"/>
          <w:color w:val="auto"/>
          <w:spacing w:val="-6"/>
          <w:kern w:val="0"/>
          <w:sz w:val="22"/>
          <w:szCs w:val="22"/>
          <w:highlight w:val="none"/>
        </w:rPr>
      </w:pPr>
      <w:r>
        <w:rPr>
          <w:rFonts w:hint="eastAsia" w:ascii="宋体" w:hAnsi="宋体" w:cs="宋体"/>
          <w:color w:val="auto"/>
          <w:spacing w:val="-6"/>
          <w:kern w:val="0"/>
          <w:sz w:val="22"/>
          <w:szCs w:val="22"/>
          <w:highlight w:val="none"/>
        </w:rPr>
        <w:t>特此声明！</w:t>
      </w:r>
    </w:p>
    <w:p w14:paraId="3F570959">
      <w:pPr>
        <w:tabs>
          <w:tab w:val="left" w:pos="4860"/>
        </w:tabs>
        <w:spacing w:line="588" w:lineRule="exact"/>
        <w:ind w:right="1560" w:firstLine="416" w:firstLineChars="200"/>
        <w:jc w:val="left"/>
        <w:rPr>
          <w:rFonts w:ascii="宋体" w:hAnsi="宋体" w:cs="宋体"/>
          <w:color w:val="auto"/>
          <w:spacing w:val="-6"/>
          <w:kern w:val="0"/>
          <w:sz w:val="22"/>
          <w:szCs w:val="22"/>
          <w:highlight w:val="none"/>
        </w:rPr>
      </w:pPr>
    </w:p>
    <w:p w14:paraId="7921CF43">
      <w:pPr>
        <w:tabs>
          <w:tab w:val="left" w:pos="4860"/>
        </w:tabs>
        <w:spacing w:line="588" w:lineRule="exact"/>
        <w:ind w:right="1560" w:firstLine="416" w:firstLineChars="200"/>
        <w:jc w:val="left"/>
        <w:rPr>
          <w:rFonts w:ascii="宋体" w:hAnsi="宋体" w:cs="宋体"/>
          <w:color w:val="auto"/>
          <w:spacing w:val="-6"/>
          <w:kern w:val="0"/>
          <w:sz w:val="22"/>
          <w:szCs w:val="22"/>
          <w:highlight w:val="none"/>
        </w:rPr>
      </w:pPr>
    </w:p>
    <w:p w14:paraId="430475D9">
      <w:pPr>
        <w:tabs>
          <w:tab w:val="left" w:pos="4860"/>
        </w:tabs>
        <w:spacing w:line="588" w:lineRule="exact"/>
        <w:ind w:right="1560"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投标人名称（单位公章）：</w:t>
      </w:r>
    </w:p>
    <w:p w14:paraId="1A0C9930">
      <w:pPr>
        <w:tabs>
          <w:tab w:val="left" w:pos="4860"/>
        </w:tabs>
        <w:spacing w:line="588" w:lineRule="exact"/>
        <w:ind w:right="1560"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法定代表人或委托代理人（签字或盖章）：</w:t>
      </w:r>
    </w:p>
    <w:p w14:paraId="4AB40EE8">
      <w:pPr>
        <w:tabs>
          <w:tab w:val="left" w:pos="4860"/>
        </w:tabs>
        <w:spacing w:line="588" w:lineRule="exact"/>
        <w:ind w:right="1560"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704B4F3F">
      <w:pPr>
        <w:rPr>
          <w:rFonts w:ascii="宋体" w:hAnsi="宋体" w:cs="宋体"/>
          <w:color w:val="auto"/>
          <w:highlight w:val="none"/>
        </w:rPr>
      </w:pPr>
    </w:p>
    <w:p w14:paraId="6D0F5FFC">
      <w:pPr>
        <w:rPr>
          <w:rFonts w:ascii="宋体" w:hAnsi="宋体" w:cs="宋体"/>
          <w:b/>
          <w:bCs/>
          <w:color w:val="auto"/>
          <w:sz w:val="32"/>
          <w:szCs w:val="32"/>
          <w:highlight w:val="none"/>
          <w:lang w:val="zh-CN"/>
        </w:rPr>
      </w:pPr>
    </w:p>
    <w:p w14:paraId="7D26E72D">
      <w:pPr>
        <w:snapToGrid w:val="0"/>
        <w:spacing w:before="50" w:after="50" w:line="360" w:lineRule="auto"/>
        <w:jc w:val="center"/>
        <w:rPr>
          <w:rFonts w:ascii="宋体" w:hAnsi="宋体"/>
          <w:b/>
          <w:bCs/>
          <w:color w:val="auto"/>
          <w:sz w:val="32"/>
          <w:szCs w:val="32"/>
          <w:highlight w:val="none"/>
          <w:lang w:val="zh-CN"/>
        </w:rPr>
      </w:pPr>
    </w:p>
    <w:p w14:paraId="4C0266AC">
      <w:pPr>
        <w:snapToGrid w:val="0"/>
        <w:spacing w:before="50" w:after="50" w:line="360" w:lineRule="auto"/>
        <w:jc w:val="center"/>
        <w:rPr>
          <w:rFonts w:ascii="宋体" w:hAnsi="宋体"/>
          <w:b/>
          <w:bCs/>
          <w:color w:val="auto"/>
          <w:sz w:val="32"/>
          <w:szCs w:val="32"/>
          <w:highlight w:val="none"/>
          <w:lang w:val="zh-CN"/>
        </w:rPr>
      </w:pPr>
    </w:p>
    <w:p w14:paraId="4FB6E439">
      <w:pPr>
        <w:snapToGrid w:val="0"/>
        <w:spacing w:before="50" w:after="50" w:line="360" w:lineRule="auto"/>
        <w:jc w:val="center"/>
        <w:rPr>
          <w:rFonts w:ascii="宋体" w:hAnsi="宋体"/>
          <w:b/>
          <w:bCs/>
          <w:color w:val="auto"/>
          <w:sz w:val="32"/>
          <w:szCs w:val="32"/>
          <w:highlight w:val="none"/>
          <w:lang w:val="zh-CN"/>
        </w:rPr>
      </w:pPr>
    </w:p>
    <w:p w14:paraId="4F860255">
      <w:pPr>
        <w:snapToGrid w:val="0"/>
        <w:spacing w:before="50" w:after="50" w:line="360" w:lineRule="auto"/>
        <w:jc w:val="center"/>
        <w:rPr>
          <w:rFonts w:ascii="宋体" w:hAnsi="宋体"/>
          <w:b/>
          <w:bCs/>
          <w:color w:val="auto"/>
          <w:sz w:val="32"/>
          <w:szCs w:val="32"/>
          <w:highlight w:val="none"/>
          <w:lang w:val="zh-CN"/>
        </w:rPr>
      </w:pPr>
    </w:p>
    <w:p w14:paraId="3B82FC79">
      <w:pPr>
        <w:snapToGrid w:val="0"/>
        <w:spacing w:before="50" w:after="50" w:line="360" w:lineRule="auto"/>
        <w:jc w:val="center"/>
        <w:rPr>
          <w:rFonts w:ascii="宋体" w:hAnsi="宋体"/>
          <w:b/>
          <w:bCs/>
          <w:color w:val="auto"/>
          <w:sz w:val="32"/>
          <w:szCs w:val="32"/>
          <w:highlight w:val="none"/>
          <w:lang w:val="zh-CN"/>
        </w:rPr>
      </w:pPr>
    </w:p>
    <w:p w14:paraId="1E217295">
      <w:pPr>
        <w:snapToGrid w:val="0"/>
        <w:spacing w:before="50" w:after="50"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lang w:val="zh-CN"/>
        </w:rPr>
        <w:t>商务与技术文件</w:t>
      </w:r>
      <w:r>
        <w:rPr>
          <w:rFonts w:hint="eastAsia" w:ascii="宋体" w:hAnsi="宋体"/>
          <w:b/>
          <w:bCs/>
          <w:color w:val="auto"/>
          <w:sz w:val="32"/>
          <w:szCs w:val="32"/>
          <w:highlight w:val="none"/>
        </w:rPr>
        <w:t>目录</w:t>
      </w:r>
    </w:p>
    <w:p w14:paraId="74A10605">
      <w:pPr>
        <w:snapToGrid w:val="0"/>
        <w:spacing w:line="360" w:lineRule="auto"/>
        <w:rPr>
          <w:rFonts w:ascii="宋体" w:hAnsi="宋体"/>
          <w:color w:val="auto"/>
          <w:sz w:val="24"/>
          <w:highlight w:val="none"/>
        </w:rPr>
      </w:pPr>
    </w:p>
    <w:p w14:paraId="49EFD3FD">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1.供应商基本情况表（格式附后）</w:t>
      </w:r>
    </w:p>
    <w:p w14:paraId="574D69A1">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2.商务及技术需求响应表等（格式附后）；</w:t>
      </w:r>
    </w:p>
    <w:p w14:paraId="595BCB4D">
      <w:pPr>
        <w:adjustRightInd w:val="0"/>
        <w:snapToGrid w:val="0"/>
        <w:spacing w:line="360" w:lineRule="auto"/>
        <w:rPr>
          <w:color w:val="auto"/>
          <w:highlight w:val="none"/>
        </w:rPr>
      </w:pPr>
      <w:r>
        <w:rPr>
          <w:rFonts w:hint="eastAsia" w:ascii="宋体" w:hAnsi="宋体" w:cs="宋体"/>
          <w:color w:val="auto"/>
          <w:sz w:val="24"/>
          <w:highlight w:val="none"/>
        </w:rPr>
        <w:t>3.项目实施人员一览表（格式附后）、项目负责人资格情况表（格式附后）、证书一览表（格式附后）、投标人类似项目实施情况一览表（格式附后）、售后服务情况表（格式附后）（如有）；</w:t>
      </w:r>
    </w:p>
    <w:p w14:paraId="6424B749">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4.其余内容根据评标办法自拟，</w:t>
      </w:r>
      <w:r>
        <w:rPr>
          <w:rFonts w:hint="eastAsia" w:hAnsi="宋体" w:cs="宋体"/>
          <w:color w:val="auto"/>
          <w:sz w:val="24"/>
          <w:highlight w:val="none"/>
        </w:rPr>
        <w:t>招标需求中要求提供的相关证明材料及根据评标办法提供的证明材料均需在投标文件中提供扫描件。</w:t>
      </w:r>
    </w:p>
    <w:p w14:paraId="7B057C1D">
      <w:pPr>
        <w:adjustRightInd w:val="0"/>
        <w:snapToGrid w:val="0"/>
        <w:spacing w:line="360" w:lineRule="auto"/>
        <w:rPr>
          <w:rFonts w:ascii="宋体" w:hAnsi="宋体" w:cs="宋体"/>
          <w:color w:val="auto"/>
          <w:sz w:val="24"/>
          <w:highlight w:val="none"/>
        </w:rPr>
        <w:sectPr>
          <w:pgSz w:w="11906" w:h="16838"/>
          <w:pgMar w:top="1440" w:right="1800" w:bottom="1440" w:left="1800" w:header="851" w:footer="992" w:gutter="0"/>
          <w:pgNumType w:fmt="numberInDash"/>
          <w:cols w:space="425" w:num="1"/>
          <w:docGrid w:type="lines" w:linePitch="312" w:charSpace="0"/>
        </w:sectPr>
      </w:pPr>
    </w:p>
    <w:p w14:paraId="0F1C195E">
      <w:pPr>
        <w:pStyle w:val="55"/>
        <w:shd w:val="clear" w:color="auto" w:fill="FFFFFF"/>
        <w:spacing w:before="0" w:beforeAutospacing="0" w:after="0" w:afterAutospacing="0" w:line="360" w:lineRule="auto"/>
        <w:rPr>
          <w:rFonts w:hint="eastAsia" w:eastAsia="宋体"/>
          <w:b/>
          <w:color w:val="auto"/>
          <w:sz w:val="28"/>
          <w:highlight w:val="none"/>
          <w:lang w:eastAsia="zh-CN"/>
        </w:rPr>
      </w:pPr>
      <w:r>
        <w:rPr>
          <w:rFonts w:hint="eastAsia"/>
          <w:b/>
          <w:color w:val="auto"/>
          <w:sz w:val="28"/>
          <w:highlight w:val="none"/>
        </w:rPr>
        <w:t>附件</w:t>
      </w:r>
      <w:r>
        <w:rPr>
          <w:rFonts w:hint="eastAsia"/>
          <w:b/>
          <w:color w:val="auto"/>
          <w:sz w:val="28"/>
          <w:highlight w:val="none"/>
          <w:lang w:val="en-US" w:eastAsia="zh-CN"/>
        </w:rPr>
        <w:t>5</w:t>
      </w:r>
    </w:p>
    <w:p w14:paraId="4E51750F">
      <w:pPr>
        <w:pStyle w:val="55"/>
        <w:shd w:val="clear" w:color="auto" w:fill="FFFFFF"/>
        <w:spacing w:before="0" w:beforeAutospacing="0" w:after="0" w:afterAutospacing="0" w:line="360" w:lineRule="auto"/>
        <w:jc w:val="center"/>
        <w:rPr>
          <w:b/>
          <w:bCs/>
          <w:color w:val="auto"/>
          <w:spacing w:val="21"/>
          <w:sz w:val="32"/>
          <w:szCs w:val="32"/>
          <w:highlight w:val="none"/>
        </w:rPr>
      </w:pPr>
      <w:r>
        <w:rPr>
          <w:rFonts w:hint="eastAsia"/>
          <w:b/>
          <w:color w:val="auto"/>
          <w:sz w:val="32"/>
          <w:szCs w:val="32"/>
          <w:highlight w:val="none"/>
        </w:rPr>
        <w:t>供应商</w:t>
      </w:r>
      <w:r>
        <w:rPr>
          <w:rFonts w:hint="eastAsia"/>
          <w:b/>
          <w:bCs/>
          <w:color w:val="auto"/>
          <w:spacing w:val="21"/>
          <w:sz w:val="32"/>
          <w:szCs w:val="32"/>
          <w:highlight w:val="none"/>
        </w:rPr>
        <w:t>基本情况表</w:t>
      </w:r>
    </w:p>
    <w:tbl>
      <w:tblPr>
        <w:tblStyle w:val="35"/>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698"/>
        <w:gridCol w:w="904"/>
        <w:gridCol w:w="1155"/>
        <w:gridCol w:w="169"/>
        <w:gridCol w:w="1028"/>
        <w:gridCol w:w="380"/>
        <w:gridCol w:w="1267"/>
        <w:gridCol w:w="339"/>
        <w:gridCol w:w="1267"/>
        <w:gridCol w:w="927"/>
      </w:tblGrid>
      <w:tr w14:paraId="1CDD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14:paraId="549F6E48">
            <w:pPr>
              <w:pStyle w:val="55"/>
              <w:keepNext w:val="0"/>
              <w:keepLines w:val="0"/>
              <w:suppressLineNumbers w:val="0"/>
              <w:shd w:val="clear" w:color="auto" w:fill="FFFFFF"/>
              <w:spacing w:line="360" w:lineRule="auto"/>
              <w:ind w:left="0" w:right="0"/>
              <w:rPr>
                <w:rFonts w:hint="default"/>
                <w:bCs/>
                <w:color w:val="auto"/>
                <w:highlight w:val="none"/>
              </w:rPr>
            </w:pPr>
            <w:r>
              <w:rPr>
                <w:rFonts w:hint="eastAsia"/>
                <w:bCs/>
                <w:color w:val="auto"/>
                <w:spacing w:val="27"/>
                <w:highlight w:val="none"/>
              </w:rPr>
              <w:t>企业名称</w:t>
            </w:r>
          </w:p>
        </w:tc>
        <w:tc>
          <w:tcPr>
            <w:tcW w:w="3979" w:type="dxa"/>
            <w:gridSpan w:val="5"/>
          </w:tcPr>
          <w:p w14:paraId="2F4AD318">
            <w:pPr>
              <w:pStyle w:val="55"/>
              <w:keepNext w:val="0"/>
              <w:keepLines w:val="0"/>
              <w:suppressLineNumbers w:val="0"/>
              <w:shd w:val="clear" w:color="auto" w:fill="FFFFFF"/>
              <w:spacing w:line="360" w:lineRule="auto"/>
              <w:ind w:left="0" w:right="0"/>
              <w:rPr>
                <w:rFonts w:hint="default"/>
                <w:bCs/>
                <w:color w:val="auto"/>
                <w:highlight w:val="none"/>
              </w:rPr>
            </w:pPr>
          </w:p>
        </w:tc>
        <w:tc>
          <w:tcPr>
            <w:tcW w:w="2001" w:type="dxa"/>
            <w:gridSpan w:val="3"/>
          </w:tcPr>
          <w:p w14:paraId="35007EB9">
            <w:pPr>
              <w:pStyle w:val="55"/>
              <w:keepNext w:val="0"/>
              <w:keepLines w:val="0"/>
              <w:suppressLineNumbers w:val="0"/>
              <w:shd w:val="clear" w:color="auto" w:fill="FFFFFF"/>
              <w:spacing w:line="360" w:lineRule="auto"/>
              <w:ind w:left="0" w:right="0"/>
              <w:rPr>
                <w:rFonts w:hint="default"/>
                <w:bCs/>
                <w:color w:val="auto"/>
                <w:highlight w:val="none"/>
              </w:rPr>
            </w:pPr>
            <w:r>
              <w:rPr>
                <w:rFonts w:hint="eastAsia"/>
                <w:bCs/>
                <w:color w:val="auto"/>
                <w:spacing w:val="16"/>
                <w:highlight w:val="none"/>
              </w:rPr>
              <w:t>法人代表</w:t>
            </w:r>
          </w:p>
        </w:tc>
        <w:tc>
          <w:tcPr>
            <w:tcW w:w="2151" w:type="dxa"/>
            <w:gridSpan w:val="2"/>
          </w:tcPr>
          <w:p w14:paraId="1732D018">
            <w:pPr>
              <w:pStyle w:val="55"/>
              <w:keepNext w:val="0"/>
              <w:keepLines w:val="0"/>
              <w:suppressLineNumbers w:val="0"/>
              <w:shd w:val="clear" w:color="auto" w:fill="FFFFFF"/>
              <w:spacing w:line="360" w:lineRule="auto"/>
              <w:ind w:left="0" w:right="0"/>
              <w:rPr>
                <w:rFonts w:hint="default"/>
                <w:bCs/>
                <w:color w:val="auto"/>
                <w:highlight w:val="none"/>
              </w:rPr>
            </w:pPr>
          </w:p>
        </w:tc>
      </w:tr>
      <w:tr w14:paraId="057C6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14:paraId="117874C1">
            <w:pPr>
              <w:pStyle w:val="55"/>
              <w:keepNext w:val="0"/>
              <w:keepLines w:val="0"/>
              <w:suppressLineNumbers w:val="0"/>
              <w:shd w:val="clear" w:color="auto" w:fill="FFFFFF"/>
              <w:spacing w:line="360" w:lineRule="auto"/>
              <w:ind w:left="0" w:right="0"/>
              <w:rPr>
                <w:rFonts w:hint="default"/>
                <w:bCs/>
                <w:color w:val="auto"/>
                <w:spacing w:val="16"/>
                <w:highlight w:val="none"/>
              </w:rPr>
            </w:pPr>
            <w:r>
              <w:rPr>
                <w:rFonts w:hint="eastAsia"/>
                <w:bCs/>
                <w:color w:val="auto"/>
                <w:spacing w:val="27"/>
                <w:highlight w:val="none"/>
              </w:rPr>
              <w:t>地址</w:t>
            </w:r>
          </w:p>
        </w:tc>
        <w:tc>
          <w:tcPr>
            <w:tcW w:w="3979" w:type="dxa"/>
            <w:gridSpan w:val="5"/>
            <w:tcBorders>
              <w:bottom w:val="single" w:color="auto" w:sz="4" w:space="0"/>
            </w:tcBorders>
          </w:tcPr>
          <w:p w14:paraId="62FA9A4F">
            <w:pPr>
              <w:pStyle w:val="55"/>
              <w:keepNext w:val="0"/>
              <w:keepLines w:val="0"/>
              <w:suppressLineNumbers w:val="0"/>
              <w:shd w:val="clear" w:color="auto" w:fill="FFFFFF"/>
              <w:spacing w:line="360" w:lineRule="auto"/>
              <w:ind w:left="0" w:right="0"/>
              <w:rPr>
                <w:rFonts w:hint="default"/>
                <w:bCs/>
                <w:color w:val="auto"/>
                <w:spacing w:val="16"/>
                <w:highlight w:val="none"/>
              </w:rPr>
            </w:pPr>
          </w:p>
        </w:tc>
        <w:tc>
          <w:tcPr>
            <w:tcW w:w="2001" w:type="dxa"/>
            <w:gridSpan w:val="3"/>
          </w:tcPr>
          <w:p w14:paraId="10B6E617">
            <w:pPr>
              <w:pStyle w:val="55"/>
              <w:keepNext w:val="0"/>
              <w:keepLines w:val="0"/>
              <w:suppressLineNumbers w:val="0"/>
              <w:shd w:val="clear" w:color="auto" w:fill="FFFFFF"/>
              <w:spacing w:line="360" w:lineRule="auto"/>
              <w:ind w:left="0" w:right="0"/>
              <w:rPr>
                <w:rFonts w:hint="default"/>
                <w:bCs/>
                <w:color w:val="auto"/>
                <w:spacing w:val="16"/>
                <w:highlight w:val="none"/>
              </w:rPr>
            </w:pPr>
            <w:r>
              <w:rPr>
                <w:rFonts w:hint="eastAsia"/>
                <w:bCs/>
                <w:color w:val="auto"/>
                <w:spacing w:val="16"/>
                <w:highlight w:val="none"/>
              </w:rPr>
              <w:t>企业性质</w:t>
            </w:r>
          </w:p>
        </w:tc>
        <w:tc>
          <w:tcPr>
            <w:tcW w:w="2151" w:type="dxa"/>
            <w:gridSpan w:val="2"/>
          </w:tcPr>
          <w:p w14:paraId="0FBDB4D3">
            <w:pPr>
              <w:pStyle w:val="55"/>
              <w:keepNext w:val="0"/>
              <w:keepLines w:val="0"/>
              <w:suppressLineNumbers w:val="0"/>
              <w:shd w:val="clear" w:color="auto" w:fill="FFFFFF"/>
              <w:spacing w:line="360" w:lineRule="auto"/>
              <w:ind w:left="0" w:right="0"/>
              <w:rPr>
                <w:rFonts w:hint="default"/>
                <w:bCs/>
                <w:color w:val="auto"/>
                <w:spacing w:val="16"/>
                <w:highlight w:val="none"/>
              </w:rPr>
            </w:pPr>
          </w:p>
        </w:tc>
      </w:tr>
      <w:tr w14:paraId="543C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14:paraId="1687BC9F">
            <w:pPr>
              <w:pStyle w:val="55"/>
              <w:keepNext w:val="0"/>
              <w:keepLines w:val="0"/>
              <w:suppressLineNumbers w:val="0"/>
              <w:shd w:val="clear" w:color="auto" w:fill="FFFFFF"/>
              <w:spacing w:line="360" w:lineRule="auto"/>
              <w:ind w:left="0" w:right="0"/>
              <w:rPr>
                <w:rFonts w:hint="default"/>
                <w:bCs/>
                <w:color w:val="auto"/>
                <w:spacing w:val="16"/>
                <w:highlight w:val="none"/>
              </w:rPr>
            </w:pPr>
            <w:r>
              <w:rPr>
                <w:rFonts w:hint="eastAsia"/>
                <w:bCs/>
                <w:color w:val="auto"/>
                <w:spacing w:val="27"/>
                <w:highlight w:val="none"/>
              </w:rPr>
              <w:t>股东姓名</w:t>
            </w:r>
          </w:p>
        </w:tc>
        <w:tc>
          <w:tcPr>
            <w:tcW w:w="701" w:type="dxa"/>
            <w:tcBorders>
              <w:bottom w:val="single" w:color="auto" w:sz="4" w:space="0"/>
            </w:tcBorders>
          </w:tcPr>
          <w:p w14:paraId="405B24C0">
            <w:pPr>
              <w:pStyle w:val="55"/>
              <w:keepNext w:val="0"/>
              <w:keepLines w:val="0"/>
              <w:suppressLineNumbers w:val="0"/>
              <w:shd w:val="clear" w:color="auto" w:fill="FFFFFF"/>
              <w:spacing w:before="0" w:beforeAutospacing="0" w:after="0" w:afterAutospacing="0" w:line="360" w:lineRule="auto"/>
              <w:ind w:left="0" w:right="0"/>
              <w:rPr>
                <w:rFonts w:hint="default"/>
                <w:bCs/>
                <w:color w:val="auto"/>
                <w:spacing w:val="16"/>
                <w:highlight w:val="none"/>
              </w:rPr>
            </w:pPr>
          </w:p>
        </w:tc>
        <w:tc>
          <w:tcPr>
            <w:tcW w:w="910" w:type="dxa"/>
            <w:tcBorders>
              <w:bottom w:val="single" w:color="auto" w:sz="4" w:space="0"/>
            </w:tcBorders>
          </w:tcPr>
          <w:p w14:paraId="2952A401">
            <w:pPr>
              <w:pStyle w:val="55"/>
              <w:keepNext w:val="0"/>
              <w:keepLines w:val="0"/>
              <w:suppressLineNumbers w:val="0"/>
              <w:shd w:val="clear" w:color="auto" w:fill="FFFFFF"/>
              <w:spacing w:line="360" w:lineRule="auto"/>
              <w:ind w:left="0" w:right="0"/>
              <w:rPr>
                <w:rFonts w:hint="default"/>
                <w:bCs/>
                <w:color w:val="auto"/>
                <w:spacing w:val="16"/>
                <w:highlight w:val="none"/>
              </w:rPr>
            </w:pPr>
            <w:r>
              <w:rPr>
                <w:rFonts w:hint="eastAsia"/>
                <w:bCs/>
                <w:color w:val="auto"/>
                <w:spacing w:val="16"/>
                <w:highlight w:val="none"/>
              </w:rPr>
              <w:t>股权结构（%）</w:t>
            </w:r>
          </w:p>
        </w:tc>
        <w:tc>
          <w:tcPr>
            <w:tcW w:w="2368" w:type="dxa"/>
            <w:gridSpan w:val="3"/>
            <w:tcBorders>
              <w:bottom w:val="single" w:color="auto" w:sz="4" w:space="0"/>
            </w:tcBorders>
          </w:tcPr>
          <w:p w14:paraId="67CFF13D">
            <w:pPr>
              <w:keepNext w:val="0"/>
              <w:keepLines w:val="0"/>
              <w:widowControl/>
              <w:suppressLineNumbers w:val="0"/>
              <w:spacing w:before="0" w:beforeAutospacing="0" w:after="0" w:afterAutospacing="0" w:line="360" w:lineRule="auto"/>
              <w:ind w:left="0" w:right="0"/>
              <w:jc w:val="left"/>
              <w:rPr>
                <w:rFonts w:hint="default" w:ascii="宋体" w:hAnsi="宋体" w:cs="宋体"/>
                <w:bCs/>
                <w:color w:val="auto"/>
                <w:spacing w:val="16"/>
                <w:kern w:val="0"/>
                <w:sz w:val="24"/>
                <w:highlight w:val="none"/>
              </w:rPr>
            </w:pPr>
          </w:p>
          <w:p w14:paraId="71A992BF">
            <w:pPr>
              <w:pStyle w:val="55"/>
              <w:keepNext w:val="0"/>
              <w:keepLines w:val="0"/>
              <w:suppressLineNumbers w:val="0"/>
              <w:shd w:val="clear" w:color="auto" w:fill="FFFFFF"/>
              <w:spacing w:line="360" w:lineRule="auto"/>
              <w:ind w:left="0" w:right="0"/>
              <w:rPr>
                <w:rFonts w:hint="default"/>
                <w:bCs/>
                <w:color w:val="auto"/>
                <w:spacing w:val="16"/>
                <w:highlight w:val="none"/>
              </w:rPr>
            </w:pPr>
          </w:p>
        </w:tc>
        <w:tc>
          <w:tcPr>
            <w:tcW w:w="2001" w:type="dxa"/>
            <w:gridSpan w:val="3"/>
          </w:tcPr>
          <w:p w14:paraId="68CEFBFB">
            <w:pPr>
              <w:pStyle w:val="55"/>
              <w:keepNext w:val="0"/>
              <w:keepLines w:val="0"/>
              <w:suppressLineNumbers w:val="0"/>
              <w:shd w:val="clear" w:color="auto" w:fill="FFFFFF"/>
              <w:spacing w:line="360" w:lineRule="auto"/>
              <w:ind w:left="107" w:right="0"/>
              <w:rPr>
                <w:rFonts w:hint="default"/>
                <w:bCs/>
                <w:color w:val="auto"/>
                <w:spacing w:val="16"/>
                <w:highlight w:val="none"/>
              </w:rPr>
            </w:pPr>
            <w:r>
              <w:rPr>
                <w:rFonts w:hint="eastAsia"/>
                <w:bCs/>
                <w:color w:val="auto"/>
                <w:spacing w:val="16"/>
                <w:highlight w:val="none"/>
              </w:rPr>
              <w:t>股东关系</w:t>
            </w:r>
          </w:p>
        </w:tc>
        <w:tc>
          <w:tcPr>
            <w:tcW w:w="2151" w:type="dxa"/>
            <w:gridSpan w:val="2"/>
          </w:tcPr>
          <w:p w14:paraId="2E194FDA">
            <w:pPr>
              <w:pStyle w:val="55"/>
              <w:keepNext w:val="0"/>
              <w:keepLines w:val="0"/>
              <w:suppressLineNumbers w:val="0"/>
              <w:shd w:val="clear" w:color="auto" w:fill="FFFFFF"/>
              <w:spacing w:line="360" w:lineRule="auto"/>
              <w:ind w:left="107" w:right="0"/>
              <w:rPr>
                <w:rFonts w:hint="default"/>
                <w:bCs/>
                <w:color w:val="auto"/>
                <w:spacing w:val="16"/>
                <w:highlight w:val="none"/>
              </w:rPr>
            </w:pPr>
          </w:p>
        </w:tc>
      </w:tr>
      <w:tr w14:paraId="7820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14:paraId="17A4BC06">
            <w:pPr>
              <w:pStyle w:val="55"/>
              <w:keepNext w:val="0"/>
              <w:keepLines w:val="0"/>
              <w:suppressLineNumbers w:val="0"/>
              <w:shd w:val="clear" w:color="auto" w:fill="FFFFFF"/>
              <w:spacing w:line="360" w:lineRule="auto"/>
              <w:ind w:left="0" w:right="0"/>
              <w:rPr>
                <w:rFonts w:hint="default"/>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701" w:type="dxa"/>
            <w:vMerge w:val="restart"/>
            <w:tcBorders>
              <w:top w:val="nil"/>
            </w:tcBorders>
          </w:tcPr>
          <w:p w14:paraId="427B9909">
            <w:pPr>
              <w:pStyle w:val="55"/>
              <w:keepNext w:val="0"/>
              <w:keepLines w:val="0"/>
              <w:suppressLineNumbers w:val="0"/>
              <w:shd w:val="clear" w:color="auto" w:fill="FFFFFF"/>
              <w:spacing w:line="360" w:lineRule="auto"/>
              <w:ind w:left="0" w:right="0"/>
              <w:rPr>
                <w:rFonts w:hint="default"/>
                <w:bCs/>
                <w:color w:val="auto"/>
                <w:spacing w:val="16"/>
                <w:highlight w:val="none"/>
              </w:rPr>
            </w:pPr>
          </w:p>
        </w:tc>
        <w:tc>
          <w:tcPr>
            <w:tcW w:w="910" w:type="dxa"/>
            <w:tcBorders>
              <w:top w:val="nil"/>
              <w:bottom w:val="single" w:color="auto" w:sz="4" w:space="0"/>
            </w:tcBorders>
          </w:tcPr>
          <w:p w14:paraId="76F58517">
            <w:pPr>
              <w:pStyle w:val="55"/>
              <w:keepNext w:val="0"/>
              <w:keepLines w:val="0"/>
              <w:suppressLineNumbers w:val="0"/>
              <w:shd w:val="clear" w:color="auto" w:fill="FFFFFF"/>
              <w:spacing w:line="360" w:lineRule="auto"/>
              <w:ind w:left="0" w:right="0"/>
              <w:rPr>
                <w:rFonts w:hint="default"/>
                <w:bCs/>
                <w:color w:val="auto"/>
                <w:spacing w:val="16"/>
                <w:highlight w:val="none"/>
              </w:rPr>
            </w:pPr>
            <w:r>
              <w:rPr>
                <w:rFonts w:hint="eastAsia"/>
                <w:bCs/>
                <w:color w:val="auto"/>
                <w:spacing w:val="16"/>
                <w:highlight w:val="none"/>
              </w:rPr>
              <w:t>固定电话</w:t>
            </w:r>
          </w:p>
        </w:tc>
        <w:tc>
          <w:tcPr>
            <w:tcW w:w="2368" w:type="dxa"/>
            <w:gridSpan w:val="3"/>
            <w:tcBorders>
              <w:top w:val="nil"/>
              <w:bottom w:val="single" w:color="auto" w:sz="4" w:space="0"/>
            </w:tcBorders>
          </w:tcPr>
          <w:p w14:paraId="78B56136">
            <w:pPr>
              <w:keepNext w:val="0"/>
              <w:keepLines w:val="0"/>
              <w:widowControl/>
              <w:suppressLineNumbers w:val="0"/>
              <w:spacing w:before="0" w:beforeAutospacing="0" w:after="0" w:afterAutospacing="0" w:line="360" w:lineRule="auto"/>
              <w:ind w:left="0" w:right="0"/>
              <w:jc w:val="left"/>
              <w:rPr>
                <w:rFonts w:hint="default" w:ascii="宋体" w:hAnsi="宋体" w:cs="宋体"/>
                <w:bCs/>
                <w:color w:val="auto"/>
                <w:spacing w:val="16"/>
                <w:kern w:val="0"/>
                <w:sz w:val="24"/>
                <w:highlight w:val="none"/>
              </w:rPr>
            </w:pPr>
          </w:p>
          <w:p w14:paraId="4FD1CCC9">
            <w:pPr>
              <w:pStyle w:val="55"/>
              <w:keepNext w:val="0"/>
              <w:keepLines w:val="0"/>
              <w:suppressLineNumbers w:val="0"/>
              <w:shd w:val="clear" w:color="auto" w:fill="FFFFFF"/>
              <w:spacing w:line="360" w:lineRule="auto"/>
              <w:ind w:left="0" w:right="0"/>
              <w:rPr>
                <w:rFonts w:hint="default"/>
                <w:bCs/>
                <w:color w:val="auto"/>
                <w:spacing w:val="16"/>
                <w:highlight w:val="none"/>
              </w:rPr>
            </w:pPr>
          </w:p>
        </w:tc>
        <w:tc>
          <w:tcPr>
            <w:tcW w:w="2001" w:type="dxa"/>
            <w:gridSpan w:val="3"/>
            <w:vMerge w:val="restart"/>
          </w:tcPr>
          <w:p w14:paraId="4774E7B9">
            <w:pPr>
              <w:pStyle w:val="55"/>
              <w:keepNext w:val="0"/>
              <w:keepLines w:val="0"/>
              <w:suppressLineNumbers w:val="0"/>
              <w:shd w:val="clear" w:color="auto" w:fill="FFFFFF"/>
              <w:spacing w:before="0" w:beforeAutospacing="0" w:after="0" w:afterAutospacing="0" w:line="360" w:lineRule="auto"/>
              <w:ind w:left="0" w:right="0"/>
              <w:rPr>
                <w:rFonts w:hint="default"/>
                <w:bCs/>
                <w:color w:val="auto"/>
                <w:spacing w:val="16"/>
                <w:highlight w:val="none"/>
              </w:rPr>
            </w:pPr>
            <w:r>
              <w:rPr>
                <w:rFonts w:hint="eastAsia"/>
                <w:bCs/>
                <w:color w:val="auto"/>
                <w:spacing w:val="16"/>
                <w:highlight w:val="none"/>
              </w:rPr>
              <w:t>传真</w:t>
            </w:r>
          </w:p>
        </w:tc>
        <w:tc>
          <w:tcPr>
            <w:tcW w:w="2151" w:type="dxa"/>
            <w:gridSpan w:val="2"/>
            <w:vMerge w:val="restart"/>
          </w:tcPr>
          <w:p w14:paraId="012CAEAF">
            <w:pPr>
              <w:pStyle w:val="55"/>
              <w:keepNext w:val="0"/>
              <w:keepLines w:val="0"/>
              <w:suppressLineNumbers w:val="0"/>
              <w:shd w:val="clear" w:color="auto" w:fill="FFFFFF"/>
              <w:spacing w:line="360" w:lineRule="auto"/>
              <w:ind w:left="0" w:right="0"/>
              <w:rPr>
                <w:rFonts w:hint="default"/>
                <w:bCs/>
                <w:color w:val="auto"/>
                <w:spacing w:val="16"/>
                <w:highlight w:val="none"/>
              </w:rPr>
            </w:pPr>
          </w:p>
        </w:tc>
      </w:tr>
      <w:tr w14:paraId="105B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14:paraId="089CC5C7">
            <w:pPr>
              <w:pStyle w:val="55"/>
              <w:keepNext w:val="0"/>
              <w:keepLines w:val="0"/>
              <w:suppressLineNumbers w:val="0"/>
              <w:shd w:val="clear" w:color="auto" w:fill="FFFFFF"/>
              <w:spacing w:line="360" w:lineRule="auto"/>
              <w:ind w:left="107" w:right="0"/>
              <w:rPr>
                <w:rFonts w:hint="default"/>
                <w:bCs/>
                <w:color w:val="auto"/>
                <w:highlight w:val="none"/>
              </w:rPr>
            </w:pPr>
          </w:p>
        </w:tc>
        <w:tc>
          <w:tcPr>
            <w:tcW w:w="701" w:type="dxa"/>
            <w:vMerge w:val="continue"/>
            <w:tcBorders>
              <w:bottom w:val="single" w:color="auto" w:sz="4" w:space="0"/>
            </w:tcBorders>
          </w:tcPr>
          <w:p w14:paraId="0FA21EAD">
            <w:pPr>
              <w:pStyle w:val="55"/>
              <w:keepNext w:val="0"/>
              <w:keepLines w:val="0"/>
              <w:suppressLineNumbers w:val="0"/>
              <w:shd w:val="clear" w:color="auto" w:fill="FFFFFF"/>
              <w:spacing w:line="360" w:lineRule="auto"/>
              <w:ind w:left="0" w:right="0"/>
              <w:rPr>
                <w:rFonts w:hint="default"/>
                <w:bCs/>
                <w:color w:val="auto"/>
                <w:spacing w:val="16"/>
                <w:highlight w:val="none"/>
              </w:rPr>
            </w:pPr>
          </w:p>
        </w:tc>
        <w:tc>
          <w:tcPr>
            <w:tcW w:w="910" w:type="dxa"/>
            <w:tcBorders>
              <w:bottom w:val="single" w:color="auto" w:sz="4" w:space="0"/>
            </w:tcBorders>
          </w:tcPr>
          <w:p w14:paraId="044E30FE">
            <w:pPr>
              <w:pStyle w:val="55"/>
              <w:keepNext w:val="0"/>
              <w:keepLines w:val="0"/>
              <w:suppressLineNumbers w:val="0"/>
              <w:shd w:val="clear" w:color="auto" w:fill="FFFFFF"/>
              <w:spacing w:line="360" w:lineRule="auto"/>
              <w:ind w:left="0" w:right="0"/>
              <w:rPr>
                <w:rFonts w:hint="default"/>
                <w:bCs/>
                <w:color w:val="auto"/>
                <w:spacing w:val="16"/>
                <w:highlight w:val="none"/>
              </w:rPr>
            </w:pPr>
            <w:r>
              <w:rPr>
                <w:rFonts w:hint="eastAsia"/>
                <w:bCs/>
                <w:color w:val="auto"/>
                <w:spacing w:val="27"/>
                <w:highlight w:val="none"/>
              </w:rPr>
              <w:t>手机</w:t>
            </w:r>
          </w:p>
        </w:tc>
        <w:tc>
          <w:tcPr>
            <w:tcW w:w="2368" w:type="dxa"/>
            <w:gridSpan w:val="3"/>
            <w:tcBorders>
              <w:bottom w:val="single" w:color="auto" w:sz="4" w:space="0"/>
            </w:tcBorders>
          </w:tcPr>
          <w:p w14:paraId="32CEEC24">
            <w:pPr>
              <w:pStyle w:val="55"/>
              <w:keepNext w:val="0"/>
              <w:keepLines w:val="0"/>
              <w:suppressLineNumbers w:val="0"/>
              <w:shd w:val="clear" w:color="auto" w:fill="FFFFFF"/>
              <w:spacing w:line="360" w:lineRule="auto"/>
              <w:ind w:left="0" w:right="0"/>
              <w:rPr>
                <w:rFonts w:hint="default"/>
                <w:bCs/>
                <w:color w:val="auto"/>
                <w:spacing w:val="16"/>
                <w:highlight w:val="none"/>
              </w:rPr>
            </w:pPr>
          </w:p>
        </w:tc>
        <w:tc>
          <w:tcPr>
            <w:tcW w:w="2001" w:type="dxa"/>
            <w:gridSpan w:val="3"/>
            <w:vMerge w:val="continue"/>
          </w:tcPr>
          <w:p w14:paraId="470B54E0">
            <w:pPr>
              <w:pStyle w:val="55"/>
              <w:keepNext w:val="0"/>
              <w:keepLines w:val="0"/>
              <w:suppressLineNumbers w:val="0"/>
              <w:shd w:val="clear" w:color="auto" w:fill="FFFFFF"/>
              <w:spacing w:line="360" w:lineRule="auto"/>
              <w:ind w:left="0" w:right="0"/>
              <w:rPr>
                <w:rFonts w:hint="default"/>
                <w:bCs/>
                <w:color w:val="auto"/>
                <w:spacing w:val="16"/>
                <w:highlight w:val="none"/>
              </w:rPr>
            </w:pPr>
          </w:p>
        </w:tc>
        <w:tc>
          <w:tcPr>
            <w:tcW w:w="2151" w:type="dxa"/>
            <w:gridSpan w:val="2"/>
            <w:vMerge w:val="continue"/>
          </w:tcPr>
          <w:p w14:paraId="0DA6C204">
            <w:pPr>
              <w:pStyle w:val="55"/>
              <w:keepNext w:val="0"/>
              <w:keepLines w:val="0"/>
              <w:suppressLineNumbers w:val="0"/>
              <w:shd w:val="clear" w:color="auto" w:fill="FFFFFF"/>
              <w:spacing w:line="360" w:lineRule="auto"/>
              <w:ind w:left="0" w:right="0"/>
              <w:rPr>
                <w:rFonts w:hint="default"/>
                <w:bCs/>
                <w:color w:val="auto"/>
                <w:spacing w:val="16"/>
                <w:highlight w:val="none"/>
              </w:rPr>
            </w:pPr>
          </w:p>
        </w:tc>
      </w:tr>
      <w:tr w14:paraId="018E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14:paraId="4FB6E2DD">
            <w:pPr>
              <w:pStyle w:val="55"/>
              <w:keepNext w:val="0"/>
              <w:keepLines w:val="0"/>
              <w:suppressLineNumbers w:val="0"/>
              <w:shd w:val="clear" w:color="auto" w:fill="FFFFFF"/>
              <w:spacing w:line="360" w:lineRule="auto"/>
              <w:ind w:left="107" w:right="0"/>
              <w:rPr>
                <w:rFonts w:hint="default"/>
                <w:bCs/>
                <w:color w:val="auto"/>
                <w:highlight w:val="none"/>
              </w:rPr>
            </w:pPr>
            <w:r>
              <w:rPr>
                <w:rFonts w:hint="default"/>
                <w:bCs/>
                <w:color w:val="auto"/>
                <w:highlight w:val="none"/>
              </w:rPr>
              <w:t>1</w:t>
            </w:r>
            <w:r>
              <w:rPr>
                <w:rFonts w:hint="eastAsia"/>
                <w:bCs/>
                <w:color w:val="auto"/>
                <w:highlight w:val="none"/>
              </w:rPr>
              <w:t>.</w:t>
            </w:r>
          </w:p>
          <w:p w14:paraId="1AE15006">
            <w:pPr>
              <w:pStyle w:val="55"/>
              <w:keepNext w:val="0"/>
              <w:keepLines w:val="0"/>
              <w:suppressLineNumbers w:val="0"/>
              <w:shd w:val="clear" w:color="auto" w:fill="FFFFFF"/>
              <w:spacing w:line="360" w:lineRule="auto"/>
              <w:ind w:left="107" w:right="0"/>
              <w:rPr>
                <w:rFonts w:hint="default"/>
                <w:bCs/>
                <w:color w:val="auto"/>
                <w:highlight w:val="none"/>
              </w:rPr>
            </w:pPr>
            <w:r>
              <w:rPr>
                <w:rFonts w:hint="eastAsia"/>
                <w:bCs/>
                <w:color w:val="auto"/>
                <w:highlight w:val="none"/>
              </w:rPr>
              <w:t>企</w:t>
            </w:r>
          </w:p>
          <w:p w14:paraId="5FB3440B">
            <w:pPr>
              <w:pStyle w:val="55"/>
              <w:keepNext w:val="0"/>
              <w:keepLines w:val="0"/>
              <w:suppressLineNumbers w:val="0"/>
              <w:shd w:val="clear" w:color="auto" w:fill="FFFFFF"/>
              <w:spacing w:line="360" w:lineRule="auto"/>
              <w:ind w:left="107" w:right="0"/>
              <w:rPr>
                <w:rFonts w:hint="default"/>
                <w:bCs/>
                <w:color w:val="auto"/>
                <w:highlight w:val="none"/>
              </w:rPr>
            </w:pPr>
            <w:r>
              <w:rPr>
                <w:rFonts w:hint="eastAsia"/>
                <w:bCs/>
                <w:color w:val="auto"/>
                <w:highlight w:val="none"/>
              </w:rPr>
              <w:t>业</w:t>
            </w:r>
          </w:p>
          <w:p w14:paraId="4C07714A">
            <w:pPr>
              <w:pStyle w:val="55"/>
              <w:keepNext w:val="0"/>
              <w:keepLines w:val="0"/>
              <w:suppressLineNumbers w:val="0"/>
              <w:shd w:val="clear" w:color="auto" w:fill="FFFFFF"/>
              <w:spacing w:line="360" w:lineRule="auto"/>
              <w:ind w:left="107" w:right="0"/>
              <w:rPr>
                <w:rFonts w:hint="default"/>
                <w:bCs/>
                <w:color w:val="auto"/>
                <w:spacing w:val="27"/>
                <w:highlight w:val="none"/>
              </w:rPr>
            </w:pPr>
            <w:r>
              <w:rPr>
                <w:rFonts w:hint="eastAsia"/>
                <w:bCs/>
                <w:color w:val="auto"/>
                <w:spacing w:val="27"/>
                <w:highlight w:val="none"/>
              </w:rPr>
              <w:t>概</w:t>
            </w:r>
          </w:p>
          <w:p w14:paraId="14807310">
            <w:pPr>
              <w:pStyle w:val="55"/>
              <w:keepNext w:val="0"/>
              <w:keepLines w:val="0"/>
              <w:suppressLineNumbers w:val="0"/>
              <w:shd w:val="clear" w:color="auto" w:fill="FFFFFF"/>
              <w:spacing w:line="360" w:lineRule="auto"/>
              <w:ind w:left="107" w:right="0"/>
              <w:rPr>
                <w:rFonts w:hint="default"/>
                <w:bCs/>
                <w:color w:val="auto"/>
                <w:highlight w:val="none"/>
              </w:rPr>
            </w:pPr>
            <w:r>
              <w:rPr>
                <w:rFonts w:hint="eastAsia"/>
                <w:bCs/>
                <w:color w:val="auto"/>
                <w:spacing w:val="27"/>
                <w:highlight w:val="none"/>
              </w:rPr>
              <w:t>况</w:t>
            </w:r>
          </w:p>
        </w:tc>
        <w:tc>
          <w:tcPr>
            <w:tcW w:w="701" w:type="dxa"/>
            <w:tcBorders>
              <w:top w:val="nil"/>
            </w:tcBorders>
          </w:tcPr>
          <w:p w14:paraId="1382E620">
            <w:pPr>
              <w:pStyle w:val="55"/>
              <w:keepNext w:val="0"/>
              <w:keepLines w:val="0"/>
              <w:suppressLineNumbers w:val="0"/>
              <w:shd w:val="clear" w:color="auto" w:fill="FFFFFF"/>
              <w:spacing w:line="360" w:lineRule="auto"/>
              <w:ind w:left="0" w:right="0"/>
              <w:rPr>
                <w:rFonts w:hint="default"/>
                <w:bCs/>
                <w:color w:val="auto"/>
                <w:spacing w:val="16"/>
                <w:highlight w:val="none"/>
              </w:rPr>
            </w:pPr>
            <w:r>
              <w:rPr>
                <w:rFonts w:hint="eastAsia"/>
                <w:bCs/>
                <w:color w:val="auto"/>
                <w:spacing w:val="16"/>
                <w:highlight w:val="none"/>
              </w:rPr>
              <w:t>职工人数</w:t>
            </w:r>
          </w:p>
        </w:tc>
        <w:tc>
          <w:tcPr>
            <w:tcW w:w="910" w:type="dxa"/>
            <w:tcBorders>
              <w:top w:val="nil"/>
            </w:tcBorders>
          </w:tcPr>
          <w:p w14:paraId="071FFFBB">
            <w:pPr>
              <w:pStyle w:val="55"/>
              <w:keepNext w:val="0"/>
              <w:keepLines w:val="0"/>
              <w:suppressLineNumbers w:val="0"/>
              <w:shd w:val="clear" w:color="auto" w:fill="FFFFFF"/>
              <w:spacing w:line="360" w:lineRule="auto"/>
              <w:ind w:left="0" w:right="0"/>
              <w:rPr>
                <w:rFonts w:hint="default"/>
                <w:bCs/>
                <w:color w:val="auto"/>
                <w:spacing w:val="16"/>
                <w:highlight w:val="none"/>
              </w:rPr>
            </w:pPr>
          </w:p>
        </w:tc>
        <w:tc>
          <w:tcPr>
            <w:tcW w:w="1163" w:type="dxa"/>
            <w:tcBorders>
              <w:top w:val="nil"/>
            </w:tcBorders>
          </w:tcPr>
          <w:p w14:paraId="70139426">
            <w:pPr>
              <w:pStyle w:val="55"/>
              <w:keepNext w:val="0"/>
              <w:keepLines w:val="0"/>
              <w:suppressLineNumbers w:val="0"/>
              <w:shd w:val="clear" w:color="auto" w:fill="FFFFFF"/>
              <w:spacing w:before="0" w:beforeAutospacing="0" w:after="0" w:afterAutospacing="0" w:line="360" w:lineRule="auto"/>
              <w:ind w:left="0" w:right="0"/>
              <w:rPr>
                <w:rFonts w:hint="default"/>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205" w:type="dxa"/>
            <w:gridSpan w:val="2"/>
            <w:tcBorders>
              <w:top w:val="nil"/>
            </w:tcBorders>
          </w:tcPr>
          <w:p w14:paraId="7ECD1D32">
            <w:pPr>
              <w:keepNext w:val="0"/>
              <w:keepLines w:val="0"/>
              <w:widowControl/>
              <w:suppressLineNumbers w:val="0"/>
              <w:spacing w:before="0" w:beforeAutospacing="0" w:after="0" w:afterAutospacing="0" w:line="360" w:lineRule="auto"/>
              <w:ind w:left="0" w:right="0"/>
              <w:jc w:val="left"/>
              <w:rPr>
                <w:rFonts w:hint="default" w:ascii="宋体" w:hAnsi="宋体" w:cs="宋体"/>
                <w:bCs/>
                <w:color w:val="auto"/>
                <w:spacing w:val="16"/>
                <w:kern w:val="0"/>
                <w:sz w:val="24"/>
                <w:highlight w:val="none"/>
              </w:rPr>
            </w:pPr>
          </w:p>
          <w:p w14:paraId="663D29B8">
            <w:pPr>
              <w:keepNext w:val="0"/>
              <w:keepLines w:val="0"/>
              <w:widowControl/>
              <w:suppressLineNumbers w:val="0"/>
              <w:spacing w:before="0" w:beforeAutospacing="0" w:after="0" w:afterAutospacing="0" w:line="360" w:lineRule="auto"/>
              <w:ind w:left="0" w:right="0"/>
              <w:jc w:val="left"/>
              <w:rPr>
                <w:rFonts w:hint="default" w:ascii="宋体" w:hAnsi="宋体" w:cs="宋体"/>
                <w:bCs/>
                <w:color w:val="auto"/>
                <w:spacing w:val="16"/>
                <w:kern w:val="0"/>
                <w:sz w:val="24"/>
                <w:highlight w:val="none"/>
              </w:rPr>
            </w:pPr>
          </w:p>
          <w:p w14:paraId="35A05790">
            <w:pPr>
              <w:pStyle w:val="55"/>
              <w:keepNext w:val="0"/>
              <w:keepLines w:val="0"/>
              <w:suppressLineNumbers w:val="0"/>
              <w:shd w:val="clear" w:color="auto" w:fill="FFFFFF"/>
              <w:spacing w:line="360" w:lineRule="auto"/>
              <w:ind w:left="0" w:right="0"/>
              <w:rPr>
                <w:rFonts w:hint="default"/>
                <w:bCs/>
                <w:color w:val="auto"/>
                <w:spacing w:val="16"/>
                <w:highlight w:val="none"/>
              </w:rPr>
            </w:pPr>
          </w:p>
        </w:tc>
        <w:tc>
          <w:tcPr>
            <w:tcW w:w="2001" w:type="dxa"/>
            <w:gridSpan w:val="3"/>
          </w:tcPr>
          <w:p w14:paraId="4C9862EC">
            <w:pPr>
              <w:pStyle w:val="55"/>
              <w:keepNext w:val="0"/>
              <w:keepLines w:val="0"/>
              <w:suppressLineNumbers w:val="0"/>
              <w:shd w:val="clear" w:color="auto" w:fill="FFFFFF"/>
              <w:spacing w:line="360" w:lineRule="auto"/>
              <w:ind w:left="0" w:right="0"/>
              <w:rPr>
                <w:rFonts w:hint="default"/>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151" w:type="dxa"/>
            <w:gridSpan w:val="2"/>
          </w:tcPr>
          <w:p w14:paraId="3FEDA6BF">
            <w:pPr>
              <w:keepNext w:val="0"/>
              <w:keepLines w:val="0"/>
              <w:widowControl/>
              <w:suppressLineNumbers w:val="0"/>
              <w:spacing w:before="0" w:beforeAutospacing="0" w:after="0" w:afterAutospacing="0" w:line="360" w:lineRule="auto"/>
              <w:ind w:left="0" w:right="0"/>
              <w:jc w:val="left"/>
              <w:rPr>
                <w:rFonts w:hint="default" w:ascii="宋体" w:hAnsi="宋体" w:cs="宋体"/>
                <w:bCs/>
                <w:color w:val="auto"/>
                <w:spacing w:val="16"/>
                <w:kern w:val="0"/>
                <w:sz w:val="24"/>
                <w:highlight w:val="none"/>
              </w:rPr>
            </w:pPr>
          </w:p>
          <w:p w14:paraId="43056F86">
            <w:pPr>
              <w:pStyle w:val="55"/>
              <w:keepNext w:val="0"/>
              <w:keepLines w:val="0"/>
              <w:suppressLineNumbers w:val="0"/>
              <w:shd w:val="clear" w:color="auto" w:fill="FFFFFF"/>
              <w:spacing w:line="360" w:lineRule="auto"/>
              <w:ind w:left="0" w:right="0"/>
              <w:rPr>
                <w:rFonts w:hint="default"/>
                <w:bCs/>
                <w:color w:val="auto"/>
                <w:spacing w:val="16"/>
                <w:highlight w:val="none"/>
              </w:rPr>
            </w:pPr>
          </w:p>
        </w:tc>
      </w:tr>
      <w:tr w14:paraId="516E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14:paraId="5A196319">
            <w:pPr>
              <w:pStyle w:val="55"/>
              <w:keepNext w:val="0"/>
              <w:keepLines w:val="0"/>
              <w:suppressLineNumbers w:val="0"/>
              <w:shd w:val="clear" w:color="auto" w:fill="FFFFFF"/>
              <w:spacing w:line="360" w:lineRule="auto"/>
              <w:ind w:left="107" w:right="0"/>
              <w:rPr>
                <w:rFonts w:hint="default"/>
                <w:bCs/>
                <w:color w:val="auto"/>
                <w:highlight w:val="none"/>
              </w:rPr>
            </w:pPr>
          </w:p>
        </w:tc>
        <w:tc>
          <w:tcPr>
            <w:tcW w:w="701" w:type="dxa"/>
          </w:tcPr>
          <w:p w14:paraId="4E10C977">
            <w:pPr>
              <w:pStyle w:val="55"/>
              <w:keepNext w:val="0"/>
              <w:keepLines w:val="0"/>
              <w:suppressLineNumbers w:val="0"/>
              <w:shd w:val="clear" w:color="auto" w:fill="FFFFFF"/>
              <w:spacing w:line="360" w:lineRule="auto"/>
              <w:ind w:left="0" w:right="0"/>
              <w:rPr>
                <w:rFonts w:hint="default"/>
                <w:bCs/>
                <w:color w:val="auto"/>
                <w:highlight w:val="none"/>
              </w:rPr>
            </w:pPr>
            <w:r>
              <w:rPr>
                <w:rFonts w:hint="eastAsia"/>
                <w:bCs/>
                <w:color w:val="auto"/>
                <w:spacing w:val="16"/>
                <w:highlight w:val="none"/>
              </w:rPr>
              <w:t>占地面积</w:t>
            </w:r>
          </w:p>
        </w:tc>
        <w:tc>
          <w:tcPr>
            <w:tcW w:w="910" w:type="dxa"/>
          </w:tcPr>
          <w:p w14:paraId="19060867">
            <w:pPr>
              <w:pStyle w:val="55"/>
              <w:keepNext w:val="0"/>
              <w:keepLines w:val="0"/>
              <w:suppressLineNumbers w:val="0"/>
              <w:shd w:val="clear" w:color="auto" w:fill="FFFFFF"/>
              <w:spacing w:line="360" w:lineRule="auto"/>
              <w:ind w:left="0" w:right="0"/>
              <w:rPr>
                <w:rFonts w:hint="default"/>
                <w:bCs/>
                <w:color w:val="auto"/>
                <w:highlight w:val="none"/>
              </w:rPr>
            </w:pPr>
          </w:p>
        </w:tc>
        <w:tc>
          <w:tcPr>
            <w:tcW w:w="1163" w:type="dxa"/>
          </w:tcPr>
          <w:p w14:paraId="6F0C7250">
            <w:pPr>
              <w:pStyle w:val="55"/>
              <w:keepNext w:val="0"/>
              <w:keepLines w:val="0"/>
              <w:suppressLineNumbers w:val="0"/>
              <w:shd w:val="clear" w:color="auto" w:fill="FFFFFF"/>
              <w:spacing w:line="360" w:lineRule="auto"/>
              <w:ind w:left="0" w:right="0"/>
              <w:rPr>
                <w:rFonts w:hint="default"/>
                <w:bCs/>
                <w:color w:val="auto"/>
                <w:highlight w:val="none"/>
              </w:rPr>
            </w:pPr>
            <w:r>
              <w:rPr>
                <w:rFonts w:hint="eastAsia"/>
                <w:bCs/>
                <w:color w:val="auto"/>
                <w:spacing w:val="16"/>
                <w:highlight w:val="none"/>
              </w:rPr>
              <w:t>建筑面积</w:t>
            </w:r>
          </w:p>
        </w:tc>
        <w:tc>
          <w:tcPr>
            <w:tcW w:w="1205" w:type="dxa"/>
            <w:gridSpan w:val="2"/>
          </w:tcPr>
          <w:p w14:paraId="516E2A49">
            <w:pPr>
              <w:pStyle w:val="55"/>
              <w:keepNext w:val="0"/>
              <w:keepLines w:val="0"/>
              <w:suppressLineNumbers w:val="0"/>
              <w:shd w:val="clear" w:color="auto" w:fill="FFFFFF"/>
              <w:spacing w:line="360" w:lineRule="auto"/>
              <w:ind w:left="0" w:right="0" w:firstLine="480" w:firstLineChars="200"/>
              <w:rPr>
                <w:rFonts w:hint="default"/>
                <w:bCs/>
                <w:color w:val="auto"/>
                <w:highlight w:val="none"/>
              </w:rPr>
            </w:pPr>
            <w:r>
              <w:rPr>
                <w:rFonts w:hint="eastAsia"/>
                <w:bCs/>
                <w:color w:val="auto"/>
                <w:highlight w:val="none"/>
              </w:rPr>
              <w:t xml:space="preserve">平方米 </w:t>
            </w:r>
          </w:p>
          <w:p w14:paraId="055D9906">
            <w:pPr>
              <w:pStyle w:val="55"/>
              <w:keepNext w:val="0"/>
              <w:keepLines w:val="0"/>
              <w:suppressLineNumbers w:val="0"/>
              <w:shd w:val="clear" w:color="auto" w:fill="FFFFFF"/>
              <w:spacing w:line="360" w:lineRule="auto"/>
              <w:ind w:left="0" w:right="0"/>
              <w:rPr>
                <w:rFonts w:hint="default"/>
                <w:bCs/>
                <w:color w:val="auto"/>
                <w:highlight w:val="none"/>
              </w:rPr>
            </w:pPr>
            <w:r>
              <w:rPr>
                <w:rFonts w:hint="eastAsia"/>
                <w:bCs/>
                <w:color w:val="auto"/>
                <w:spacing w:val="16"/>
                <w:highlight w:val="none"/>
              </w:rPr>
              <w:t>□自有□租賃</w:t>
            </w:r>
          </w:p>
        </w:tc>
        <w:tc>
          <w:tcPr>
            <w:tcW w:w="2001" w:type="dxa"/>
            <w:gridSpan w:val="3"/>
          </w:tcPr>
          <w:p w14:paraId="47047AA3">
            <w:pPr>
              <w:pStyle w:val="55"/>
              <w:keepNext w:val="0"/>
              <w:keepLines w:val="0"/>
              <w:suppressLineNumbers w:val="0"/>
              <w:shd w:val="clear" w:color="auto" w:fill="FFFFFF"/>
              <w:spacing w:line="360" w:lineRule="auto"/>
              <w:ind w:left="0" w:right="0"/>
              <w:rPr>
                <w:rFonts w:hint="default"/>
                <w:bCs/>
                <w:color w:val="auto"/>
                <w:highlight w:val="none"/>
              </w:rPr>
            </w:pPr>
            <w:r>
              <w:rPr>
                <w:rFonts w:hint="eastAsia"/>
                <w:bCs/>
                <w:color w:val="auto"/>
                <w:spacing w:val="16"/>
                <w:highlight w:val="none"/>
              </w:rPr>
              <w:t>生产经营场所及场所的设施与设备</w:t>
            </w:r>
          </w:p>
        </w:tc>
        <w:tc>
          <w:tcPr>
            <w:tcW w:w="2151" w:type="dxa"/>
            <w:gridSpan w:val="2"/>
          </w:tcPr>
          <w:p w14:paraId="7337583D">
            <w:pPr>
              <w:pStyle w:val="55"/>
              <w:keepNext w:val="0"/>
              <w:keepLines w:val="0"/>
              <w:suppressLineNumbers w:val="0"/>
              <w:shd w:val="clear" w:color="auto" w:fill="FFFFFF"/>
              <w:spacing w:before="0" w:beforeAutospacing="0" w:after="0" w:afterAutospacing="0" w:line="360" w:lineRule="auto"/>
              <w:ind w:left="0" w:right="0"/>
              <w:rPr>
                <w:rFonts w:hint="default"/>
                <w:bCs/>
                <w:color w:val="auto"/>
                <w:spacing w:val="16"/>
                <w:highlight w:val="none"/>
              </w:rPr>
            </w:pPr>
          </w:p>
        </w:tc>
      </w:tr>
      <w:tr w14:paraId="266C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14:paraId="2E6DCBBA">
            <w:pPr>
              <w:pStyle w:val="55"/>
              <w:keepNext w:val="0"/>
              <w:keepLines w:val="0"/>
              <w:suppressLineNumbers w:val="0"/>
              <w:shd w:val="clear" w:color="auto" w:fill="FFFFFF"/>
              <w:spacing w:line="360" w:lineRule="auto"/>
              <w:ind w:left="107" w:right="0"/>
              <w:rPr>
                <w:rFonts w:hint="default"/>
                <w:bCs/>
                <w:color w:val="auto"/>
                <w:highlight w:val="none"/>
              </w:rPr>
            </w:pPr>
          </w:p>
        </w:tc>
        <w:tc>
          <w:tcPr>
            <w:tcW w:w="701" w:type="dxa"/>
          </w:tcPr>
          <w:p w14:paraId="3EC4C54B">
            <w:pPr>
              <w:pStyle w:val="55"/>
              <w:keepNext w:val="0"/>
              <w:keepLines w:val="0"/>
              <w:suppressLineNumbers w:val="0"/>
              <w:shd w:val="clear" w:color="auto" w:fill="FFFFFF"/>
              <w:spacing w:line="360" w:lineRule="auto"/>
              <w:ind w:left="2" w:right="0"/>
              <w:rPr>
                <w:rFonts w:hint="default"/>
                <w:bCs/>
                <w:color w:val="auto"/>
                <w:spacing w:val="16"/>
                <w:highlight w:val="none"/>
              </w:rPr>
            </w:pPr>
            <w:r>
              <w:rPr>
                <w:rFonts w:hint="eastAsia"/>
                <w:bCs/>
                <w:color w:val="auto"/>
                <w:spacing w:val="16"/>
                <w:highlight w:val="none"/>
              </w:rPr>
              <w:t>注册资金</w:t>
            </w:r>
          </w:p>
        </w:tc>
        <w:tc>
          <w:tcPr>
            <w:tcW w:w="910" w:type="dxa"/>
          </w:tcPr>
          <w:p w14:paraId="2111D7F8">
            <w:pPr>
              <w:pStyle w:val="55"/>
              <w:keepNext w:val="0"/>
              <w:keepLines w:val="0"/>
              <w:suppressLineNumbers w:val="0"/>
              <w:shd w:val="clear" w:color="auto" w:fill="FFFFFF"/>
              <w:spacing w:line="360" w:lineRule="auto"/>
              <w:ind w:left="2" w:right="0"/>
              <w:rPr>
                <w:rFonts w:hint="default"/>
                <w:bCs/>
                <w:color w:val="auto"/>
                <w:highlight w:val="none"/>
              </w:rPr>
            </w:pPr>
          </w:p>
        </w:tc>
        <w:tc>
          <w:tcPr>
            <w:tcW w:w="1163" w:type="dxa"/>
          </w:tcPr>
          <w:p w14:paraId="0D08A010">
            <w:pPr>
              <w:pStyle w:val="55"/>
              <w:keepNext w:val="0"/>
              <w:keepLines w:val="0"/>
              <w:suppressLineNumbers w:val="0"/>
              <w:shd w:val="clear" w:color="auto" w:fill="FFFFFF"/>
              <w:spacing w:line="360" w:lineRule="auto"/>
              <w:ind w:left="107" w:right="0"/>
              <w:rPr>
                <w:rFonts w:hint="default"/>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3206" w:type="dxa"/>
            <w:gridSpan w:val="5"/>
          </w:tcPr>
          <w:p w14:paraId="0771D2C5">
            <w:pPr>
              <w:keepNext w:val="0"/>
              <w:keepLines w:val="0"/>
              <w:widowControl/>
              <w:suppressLineNumbers w:val="0"/>
              <w:spacing w:before="0" w:beforeAutospacing="0" w:after="0" w:afterAutospacing="0" w:line="360" w:lineRule="auto"/>
              <w:ind w:left="0" w:right="0"/>
              <w:jc w:val="left"/>
              <w:rPr>
                <w:rFonts w:hint="default" w:ascii="宋体" w:hAnsi="宋体" w:cs="宋体"/>
                <w:bCs/>
                <w:color w:val="auto"/>
                <w:kern w:val="0"/>
                <w:sz w:val="24"/>
                <w:highlight w:val="none"/>
              </w:rPr>
            </w:pPr>
          </w:p>
          <w:p w14:paraId="6A3B18AF">
            <w:pPr>
              <w:pStyle w:val="55"/>
              <w:keepNext w:val="0"/>
              <w:keepLines w:val="0"/>
              <w:suppressLineNumbers w:val="0"/>
              <w:shd w:val="clear" w:color="auto" w:fill="FFFFFF"/>
              <w:spacing w:line="360" w:lineRule="auto"/>
              <w:ind w:left="107" w:right="0"/>
              <w:rPr>
                <w:rFonts w:hint="default"/>
                <w:bCs/>
                <w:color w:val="auto"/>
                <w:highlight w:val="none"/>
              </w:rPr>
            </w:pPr>
          </w:p>
        </w:tc>
        <w:tc>
          <w:tcPr>
            <w:tcW w:w="1218" w:type="dxa"/>
          </w:tcPr>
          <w:p w14:paraId="6154E421">
            <w:pPr>
              <w:pStyle w:val="55"/>
              <w:keepNext w:val="0"/>
              <w:keepLines w:val="0"/>
              <w:suppressLineNumbers w:val="0"/>
              <w:shd w:val="clear" w:color="auto" w:fill="FFFFFF"/>
              <w:spacing w:line="360" w:lineRule="auto"/>
              <w:ind w:left="107" w:right="0"/>
              <w:rPr>
                <w:rFonts w:hint="default"/>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tcPr>
          <w:p w14:paraId="60F4EA54">
            <w:pPr>
              <w:pStyle w:val="55"/>
              <w:keepNext w:val="0"/>
              <w:keepLines w:val="0"/>
              <w:suppressLineNumbers w:val="0"/>
              <w:shd w:val="clear" w:color="auto" w:fill="FFFFFF"/>
              <w:spacing w:line="360" w:lineRule="auto"/>
              <w:ind w:left="107" w:right="0"/>
              <w:rPr>
                <w:rFonts w:hint="default"/>
                <w:bCs/>
                <w:color w:val="auto"/>
                <w:highlight w:val="none"/>
              </w:rPr>
            </w:pPr>
          </w:p>
        </w:tc>
      </w:tr>
      <w:tr w14:paraId="64D0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14:paraId="7D9D5B4F">
            <w:pPr>
              <w:pStyle w:val="55"/>
              <w:keepNext w:val="0"/>
              <w:keepLines w:val="0"/>
              <w:suppressLineNumbers w:val="0"/>
              <w:shd w:val="clear" w:color="auto" w:fill="FFFFFF"/>
              <w:spacing w:line="360" w:lineRule="auto"/>
              <w:ind w:left="107" w:right="0"/>
              <w:rPr>
                <w:rFonts w:hint="default"/>
                <w:bCs/>
                <w:color w:val="auto"/>
                <w:highlight w:val="none"/>
              </w:rPr>
            </w:pPr>
          </w:p>
        </w:tc>
        <w:tc>
          <w:tcPr>
            <w:tcW w:w="701" w:type="dxa"/>
          </w:tcPr>
          <w:p w14:paraId="77446730">
            <w:pPr>
              <w:pStyle w:val="55"/>
              <w:keepNext w:val="0"/>
              <w:keepLines w:val="0"/>
              <w:suppressLineNumbers w:val="0"/>
              <w:shd w:val="clear" w:color="auto" w:fill="FFFFFF"/>
              <w:spacing w:line="360" w:lineRule="auto"/>
              <w:ind w:left="2" w:right="0"/>
              <w:rPr>
                <w:rFonts w:hint="default"/>
                <w:bCs/>
                <w:color w:val="auto"/>
                <w:highlight w:val="none"/>
              </w:rPr>
            </w:pPr>
            <w:r>
              <w:rPr>
                <w:rFonts w:hint="eastAsia"/>
                <w:bCs/>
                <w:color w:val="auto"/>
                <w:highlight w:val="none"/>
              </w:rPr>
              <w:t>核准经营范围</w:t>
            </w:r>
          </w:p>
        </w:tc>
        <w:tc>
          <w:tcPr>
            <w:tcW w:w="7430" w:type="dxa"/>
            <w:gridSpan w:val="9"/>
          </w:tcPr>
          <w:p w14:paraId="585372A0">
            <w:pPr>
              <w:pStyle w:val="55"/>
              <w:keepNext w:val="0"/>
              <w:keepLines w:val="0"/>
              <w:suppressLineNumbers w:val="0"/>
              <w:shd w:val="clear" w:color="auto" w:fill="FFFFFF"/>
              <w:spacing w:line="360" w:lineRule="auto"/>
              <w:ind w:left="107" w:right="0"/>
              <w:rPr>
                <w:rFonts w:hint="default"/>
                <w:bCs/>
                <w:color w:val="auto"/>
                <w:highlight w:val="none"/>
              </w:rPr>
            </w:pPr>
          </w:p>
        </w:tc>
      </w:tr>
      <w:tr w14:paraId="3D98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14:paraId="12D614F3">
            <w:pPr>
              <w:pStyle w:val="55"/>
              <w:keepNext w:val="0"/>
              <w:keepLines w:val="0"/>
              <w:suppressLineNumbers w:val="0"/>
              <w:shd w:val="clear" w:color="auto" w:fill="FFFFFF"/>
              <w:spacing w:line="360" w:lineRule="auto"/>
              <w:ind w:left="107" w:right="0"/>
              <w:rPr>
                <w:rFonts w:hint="default"/>
                <w:bCs/>
                <w:color w:val="auto"/>
                <w:highlight w:val="none"/>
              </w:rPr>
            </w:pPr>
          </w:p>
        </w:tc>
        <w:tc>
          <w:tcPr>
            <w:tcW w:w="8131" w:type="dxa"/>
            <w:gridSpan w:val="10"/>
          </w:tcPr>
          <w:p w14:paraId="67ED05A0">
            <w:pPr>
              <w:pStyle w:val="55"/>
              <w:keepNext w:val="0"/>
              <w:keepLines w:val="0"/>
              <w:suppressLineNumbers w:val="0"/>
              <w:shd w:val="clear" w:color="auto" w:fill="FFFFFF"/>
              <w:spacing w:line="360" w:lineRule="auto"/>
              <w:ind w:left="0" w:right="0"/>
              <w:rPr>
                <w:rFonts w:hint="default"/>
                <w:bCs/>
                <w:color w:val="auto"/>
                <w:spacing w:val="13"/>
                <w:highlight w:val="none"/>
              </w:rPr>
            </w:pPr>
            <w:r>
              <w:rPr>
                <w:rFonts w:hint="eastAsia"/>
                <w:bCs/>
                <w:color w:val="auto"/>
                <w:spacing w:val="13"/>
                <w:highlight w:val="none"/>
              </w:rPr>
              <w:t>发展历程及主要荣誉：</w:t>
            </w:r>
          </w:p>
        </w:tc>
      </w:tr>
      <w:tr w14:paraId="0822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14:paraId="3B6C29EC">
            <w:pPr>
              <w:pStyle w:val="55"/>
              <w:keepNext w:val="0"/>
              <w:keepLines w:val="0"/>
              <w:suppressLineNumbers w:val="0"/>
              <w:shd w:val="clear" w:color="auto" w:fill="FFFFFF"/>
              <w:spacing w:line="360" w:lineRule="auto"/>
              <w:ind w:left="107" w:right="0"/>
              <w:rPr>
                <w:rFonts w:hint="default"/>
                <w:bCs/>
                <w:color w:val="auto"/>
                <w:highlight w:val="none"/>
              </w:rPr>
            </w:pPr>
            <w:r>
              <w:rPr>
                <w:rFonts w:hint="default"/>
                <w:bCs/>
                <w:color w:val="auto"/>
                <w:highlight w:val="none"/>
              </w:rPr>
              <w:t>2</w:t>
            </w:r>
            <w:r>
              <w:rPr>
                <w:rFonts w:hint="eastAsia"/>
                <w:bCs/>
                <w:color w:val="auto"/>
                <w:highlight w:val="none"/>
              </w:rPr>
              <w:t>．</w:t>
            </w:r>
          </w:p>
          <w:p w14:paraId="647FEE65">
            <w:pPr>
              <w:pStyle w:val="55"/>
              <w:keepNext w:val="0"/>
              <w:keepLines w:val="0"/>
              <w:suppressLineNumbers w:val="0"/>
              <w:shd w:val="clear" w:color="auto" w:fill="FFFFFF"/>
              <w:spacing w:line="360" w:lineRule="auto"/>
              <w:ind w:left="107" w:right="0"/>
              <w:rPr>
                <w:rFonts w:hint="default"/>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553" w:type="dxa"/>
            <w:gridSpan w:val="2"/>
            <w:vMerge w:val="restart"/>
          </w:tcPr>
          <w:p w14:paraId="22A2974B">
            <w:pPr>
              <w:pStyle w:val="55"/>
              <w:keepNext w:val="0"/>
              <w:keepLines w:val="0"/>
              <w:suppressLineNumbers w:val="0"/>
              <w:shd w:val="clear" w:color="auto" w:fill="FFFFFF"/>
              <w:spacing w:before="0" w:beforeAutospacing="0" w:after="0" w:afterAutospacing="0" w:line="360" w:lineRule="auto"/>
              <w:ind w:left="0" w:right="0"/>
              <w:rPr>
                <w:rFonts w:hint="default"/>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2"/>
          </w:tcPr>
          <w:p w14:paraId="59C0E357">
            <w:pPr>
              <w:pStyle w:val="55"/>
              <w:keepNext w:val="0"/>
              <w:keepLines w:val="0"/>
              <w:suppressLineNumbers w:val="0"/>
              <w:shd w:val="clear" w:color="auto" w:fill="FFFFFF"/>
              <w:spacing w:line="360" w:lineRule="auto"/>
              <w:ind w:left="0" w:right="-78" w:rightChars="-37"/>
              <w:rPr>
                <w:rFonts w:hint="default"/>
                <w:bCs/>
                <w:color w:val="auto"/>
                <w:spacing w:val="16"/>
                <w:highlight w:val="none"/>
              </w:rPr>
            </w:pPr>
            <w:r>
              <w:rPr>
                <w:rFonts w:hint="eastAsia"/>
                <w:bCs/>
                <w:color w:val="auto"/>
                <w:spacing w:val="16"/>
                <w:highlight w:val="none"/>
              </w:rPr>
              <w:t>产品名称</w:t>
            </w:r>
          </w:p>
        </w:tc>
        <w:tc>
          <w:tcPr>
            <w:tcW w:w="1418" w:type="dxa"/>
            <w:gridSpan w:val="2"/>
          </w:tcPr>
          <w:p w14:paraId="6365AF3C">
            <w:pPr>
              <w:pStyle w:val="55"/>
              <w:keepNext w:val="0"/>
              <w:keepLines w:val="0"/>
              <w:suppressLineNumbers w:val="0"/>
              <w:shd w:val="clear" w:color="auto" w:fill="FFFFFF"/>
              <w:spacing w:before="0" w:beforeAutospacing="0" w:after="0" w:afterAutospacing="0" w:line="360" w:lineRule="auto"/>
              <w:ind w:left="0" w:right="0"/>
              <w:rPr>
                <w:rFonts w:hint="default"/>
                <w:bCs/>
                <w:color w:val="auto"/>
                <w:highlight w:val="none"/>
              </w:rPr>
            </w:pPr>
            <w:r>
              <w:rPr>
                <w:rFonts w:hint="eastAsia"/>
                <w:bCs/>
                <w:color w:val="auto"/>
                <w:spacing w:val="16"/>
                <w:highlight w:val="none"/>
              </w:rPr>
              <w:t>发证机关</w:t>
            </w:r>
          </w:p>
        </w:tc>
        <w:tc>
          <w:tcPr>
            <w:tcW w:w="1276" w:type="dxa"/>
          </w:tcPr>
          <w:p w14:paraId="6D42DBE2">
            <w:pPr>
              <w:pStyle w:val="55"/>
              <w:keepNext w:val="0"/>
              <w:keepLines w:val="0"/>
              <w:suppressLineNumbers w:val="0"/>
              <w:shd w:val="clear" w:color="auto" w:fill="FFFFFF"/>
              <w:spacing w:line="360" w:lineRule="auto"/>
              <w:ind w:left="0" w:right="0"/>
              <w:jc w:val="center"/>
              <w:rPr>
                <w:rFonts w:hint="default"/>
                <w:bCs/>
                <w:color w:val="auto"/>
                <w:highlight w:val="none"/>
              </w:rPr>
            </w:pPr>
            <w:r>
              <w:rPr>
                <w:rFonts w:hint="eastAsia"/>
                <w:bCs/>
                <w:color w:val="auto"/>
                <w:spacing w:val="27"/>
                <w:highlight w:val="none"/>
              </w:rPr>
              <w:t>编号</w:t>
            </w:r>
          </w:p>
        </w:tc>
        <w:tc>
          <w:tcPr>
            <w:tcW w:w="1618" w:type="dxa"/>
            <w:gridSpan w:val="2"/>
          </w:tcPr>
          <w:p w14:paraId="33E5995E">
            <w:pPr>
              <w:pStyle w:val="55"/>
              <w:keepNext w:val="0"/>
              <w:keepLines w:val="0"/>
              <w:suppressLineNumbers w:val="0"/>
              <w:shd w:val="clear" w:color="auto" w:fill="FFFFFF"/>
              <w:spacing w:line="360" w:lineRule="auto"/>
              <w:ind w:left="0" w:right="0"/>
              <w:jc w:val="center"/>
              <w:rPr>
                <w:rFonts w:hint="default"/>
                <w:bCs/>
                <w:color w:val="auto"/>
                <w:highlight w:val="none"/>
              </w:rPr>
            </w:pPr>
            <w:r>
              <w:rPr>
                <w:rFonts w:hint="eastAsia"/>
                <w:bCs/>
                <w:color w:val="auto"/>
                <w:spacing w:val="16"/>
                <w:highlight w:val="none"/>
              </w:rPr>
              <w:t>发证时间</w:t>
            </w:r>
          </w:p>
        </w:tc>
        <w:tc>
          <w:tcPr>
            <w:tcW w:w="933" w:type="dxa"/>
          </w:tcPr>
          <w:p w14:paraId="53EDFA45">
            <w:pPr>
              <w:pStyle w:val="55"/>
              <w:keepNext w:val="0"/>
              <w:keepLines w:val="0"/>
              <w:suppressLineNumbers w:val="0"/>
              <w:shd w:val="clear" w:color="auto" w:fill="FFFFFF"/>
              <w:spacing w:before="0" w:beforeAutospacing="0" w:after="0" w:afterAutospacing="0" w:line="360" w:lineRule="auto"/>
              <w:ind w:left="0" w:right="0"/>
              <w:jc w:val="center"/>
              <w:rPr>
                <w:rFonts w:hint="default"/>
                <w:bCs/>
                <w:color w:val="auto"/>
                <w:highlight w:val="none"/>
              </w:rPr>
            </w:pPr>
            <w:r>
              <w:rPr>
                <w:rFonts w:hint="eastAsia"/>
                <w:bCs/>
                <w:color w:val="auto"/>
                <w:spacing w:val="27"/>
                <w:highlight w:val="none"/>
              </w:rPr>
              <w:t>期限</w:t>
            </w:r>
          </w:p>
        </w:tc>
      </w:tr>
      <w:tr w14:paraId="288C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14:paraId="20181C82">
            <w:pPr>
              <w:pStyle w:val="55"/>
              <w:keepNext w:val="0"/>
              <w:keepLines w:val="0"/>
              <w:suppressLineNumbers w:val="0"/>
              <w:shd w:val="clear" w:color="auto" w:fill="FFFFFF"/>
              <w:spacing w:line="360" w:lineRule="auto"/>
              <w:ind w:left="107" w:right="0"/>
              <w:rPr>
                <w:rFonts w:hint="default"/>
                <w:bCs/>
                <w:color w:val="auto"/>
                <w:highlight w:val="none"/>
              </w:rPr>
            </w:pPr>
          </w:p>
        </w:tc>
        <w:tc>
          <w:tcPr>
            <w:tcW w:w="1553" w:type="dxa"/>
            <w:gridSpan w:val="2"/>
            <w:vMerge w:val="continue"/>
          </w:tcPr>
          <w:p w14:paraId="16A6A9C9">
            <w:pPr>
              <w:pStyle w:val="55"/>
              <w:keepNext w:val="0"/>
              <w:keepLines w:val="0"/>
              <w:suppressLineNumbers w:val="0"/>
              <w:shd w:val="clear" w:color="auto" w:fill="FFFFFF"/>
              <w:spacing w:line="360" w:lineRule="auto"/>
              <w:ind w:left="0" w:right="0"/>
              <w:rPr>
                <w:rFonts w:hint="default"/>
                <w:bCs/>
                <w:color w:val="auto"/>
                <w:highlight w:val="none"/>
              </w:rPr>
            </w:pPr>
          </w:p>
        </w:tc>
        <w:tc>
          <w:tcPr>
            <w:tcW w:w="1333" w:type="dxa"/>
            <w:gridSpan w:val="2"/>
          </w:tcPr>
          <w:p w14:paraId="0D68712E">
            <w:pPr>
              <w:pStyle w:val="55"/>
              <w:keepNext w:val="0"/>
              <w:keepLines w:val="0"/>
              <w:suppressLineNumbers w:val="0"/>
              <w:shd w:val="clear" w:color="auto" w:fill="FFFFFF"/>
              <w:spacing w:line="360" w:lineRule="auto"/>
              <w:ind w:left="0" w:right="0"/>
              <w:rPr>
                <w:rFonts w:hint="default"/>
                <w:bCs/>
                <w:color w:val="auto"/>
                <w:highlight w:val="none"/>
              </w:rPr>
            </w:pPr>
          </w:p>
        </w:tc>
        <w:tc>
          <w:tcPr>
            <w:tcW w:w="1418" w:type="dxa"/>
            <w:gridSpan w:val="2"/>
          </w:tcPr>
          <w:p w14:paraId="72178FFE">
            <w:pPr>
              <w:pStyle w:val="55"/>
              <w:keepNext w:val="0"/>
              <w:keepLines w:val="0"/>
              <w:suppressLineNumbers w:val="0"/>
              <w:shd w:val="clear" w:color="auto" w:fill="FFFFFF"/>
              <w:spacing w:line="360" w:lineRule="auto"/>
              <w:ind w:left="0" w:right="0"/>
              <w:rPr>
                <w:rFonts w:hint="default"/>
                <w:bCs/>
                <w:color w:val="auto"/>
                <w:highlight w:val="none"/>
              </w:rPr>
            </w:pPr>
          </w:p>
        </w:tc>
        <w:tc>
          <w:tcPr>
            <w:tcW w:w="1276" w:type="dxa"/>
          </w:tcPr>
          <w:p w14:paraId="6E0AEE7B">
            <w:pPr>
              <w:pStyle w:val="55"/>
              <w:keepNext w:val="0"/>
              <w:keepLines w:val="0"/>
              <w:suppressLineNumbers w:val="0"/>
              <w:shd w:val="clear" w:color="auto" w:fill="FFFFFF"/>
              <w:spacing w:line="360" w:lineRule="auto"/>
              <w:ind w:left="0" w:right="0"/>
              <w:rPr>
                <w:rFonts w:hint="default"/>
                <w:bCs/>
                <w:color w:val="auto"/>
                <w:highlight w:val="none"/>
              </w:rPr>
            </w:pPr>
          </w:p>
        </w:tc>
        <w:tc>
          <w:tcPr>
            <w:tcW w:w="2551" w:type="dxa"/>
            <w:gridSpan w:val="3"/>
          </w:tcPr>
          <w:p w14:paraId="7D186803">
            <w:pPr>
              <w:pStyle w:val="55"/>
              <w:keepNext w:val="0"/>
              <w:keepLines w:val="0"/>
              <w:suppressLineNumbers w:val="0"/>
              <w:shd w:val="clear" w:color="auto" w:fill="FFFFFF"/>
              <w:spacing w:line="360" w:lineRule="auto"/>
              <w:ind w:left="0" w:right="0"/>
              <w:rPr>
                <w:rFonts w:hint="default"/>
                <w:bCs/>
                <w:color w:val="auto"/>
                <w:highlight w:val="none"/>
              </w:rPr>
            </w:pPr>
          </w:p>
        </w:tc>
      </w:tr>
      <w:tr w14:paraId="008F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14:paraId="2BECC86F">
            <w:pPr>
              <w:pStyle w:val="55"/>
              <w:keepNext w:val="0"/>
              <w:keepLines w:val="0"/>
              <w:suppressLineNumbers w:val="0"/>
              <w:shd w:val="clear" w:color="auto" w:fill="FFFFFF"/>
              <w:spacing w:line="360" w:lineRule="auto"/>
              <w:ind w:left="107" w:right="0"/>
              <w:rPr>
                <w:rFonts w:hint="default"/>
                <w:bCs/>
                <w:color w:val="auto"/>
                <w:spacing w:val="16"/>
                <w:highlight w:val="none"/>
              </w:rPr>
            </w:pPr>
          </w:p>
        </w:tc>
        <w:tc>
          <w:tcPr>
            <w:tcW w:w="1553" w:type="dxa"/>
            <w:gridSpan w:val="2"/>
          </w:tcPr>
          <w:p w14:paraId="7BE0AE6B">
            <w:pPr>
              <w:pStyle w:val="55"/>
              <w:keepNext w:val="0"/>
              <w:keepLines w:val="0"/>
              <w:suppressLineNumbers w:val="0"/>
              <w:shd w:val="clear" w:color="auto" w:fill="FFFFFF"/>
              <w:spacing w:before="0" w:beforeAutospacing="0" w:after="0" w:afterAutospacing="0" w:line="360" w:lineRule="auto"/>
              <w:ind w:left="0" w:right="-107" w:rightChars="-51"/>
              <w:rPr>
                <w:rFonts w:hint="default"/>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8"/>
          </w:tcPr>
          <w:p w14:paraId="0CAEEBFB">
            <w:pPr>
              <w:pStyle w:val="55"/>
              <w:keepNext w:val="0"/>
              <w:keepLines w:val="0"/>
              <w:suppressLineNumbers w:val="0"/>
              <w:shd w:val="clear" w:color="auto" w:fill="FFFFFF"/>
              <w:spacing w:line="360" w:lineRule="auto"/>
              <w:ind w:left="0" w:right="0"/>
              <w:rPr>
                <w:rFonts w:hint="default"/>
                <w:bCs/>
                <w:color w:val="auto"/>
                <w:spacing w:val="16"/>
                <w:highlight w:val="none"/>
              </w:rPr>
            </w:pPr>
          </w:p>
        </w:tc>
      </w:tr>
      <w:tr w14:paraId="5357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14:paraId="1B9B7988">
            <w:pPr>
              <w:pStyle w:val="55"/>
              <w:keepNext w:val="0"/>
              <w:keepLines w:val="0"/>
              <w:suppressLineNumbers w:val="0"/>
              <w:shd w:val="clear" w:color="auto" w:fill="FFFFFF"/>
              <w:spacing w:line="360" w:lineRule="auto"/>
              <w:ind w:left="107" w:right="0"/>
              <w:rPr>
                <w:rFonts w:hint="default"/>
                <w:bCs/>
                <w:color w:val="auto"/>
                <w:spacing w:val="27"/>
                <w:highlight w:val="none"/>
              </w:rPr>
            </w:pPr>
          </w:p>
        </w:tc>
        <w:tc>
          <w:tcPr>
            <w:tcW w:w="1553" w:type="dxa"/>
            <w:gridSpan w:val="2"/>
          </w:tcPr>
          <w:p w14:paraId="08D25BDF">
            <w:pPr>
              <w:pStyle w:val="55"/>
              <w:keepNext w:val="0"/>
              <w:keepLines w:val="0"/>
              <w:suppressLineNumbers w:val="0"/>
              <w:shd w:val="clear" w:color="auto" w:fill="FFFFFF"/>
              <w:spacing w:line="360" w:lineRule="auto"/>
              <w:ind w:left="0" w:right="0"/>
              <w:rPr>
                <w:rFonts w:hint="default"/>
                <w:bCs/>
                <w:color w:val="auto"/>
                <w:spacing w:val="16"/>
                <w:highlight w:val="none"/>
              </w:rPr>
            </w:pPr>
            <w:r>
              <w:rPr>
                <w:rFonts w:hint="eastAsia"/>
                <w:bCs/>
                <w:color w:val="auto"/>
                <w:spacing w:val="10"/>
                <w:highlight w:val="none"/>
              </w:rPr>
              <w:t>企业获得专利情况</w:t>
            </w:r>
          </w:p>
        </w:tc>
        <w:tc>
          <w:tcPr>
            <w:tcW w:w="6578" w:type="dxa"/>
            <w:gridSpan w:val="8"/>
          </w:tcPr>
          <w:p w14:paraId="58435093">
            <w:pPr>
              <w:pStyle w:val="55"/>
              <w:keepNext w:val="0"/>
              <w:keepLines w:val="0"/>
              <w:suppressLineNumbers w:val="0"/>
              <w:shd w:val="clear" w:color="auto" w:fill="FFFFFF"/>
              <w:spacing w:line="360" w:lineRule="auto"/>
              <w:ind w:left="0" w:right="0"/>
              <w:rPr>
                <w:rFonts w:hint="default"/>
                <w:bCs/>
                <w:color w:val="auto"/>
                <w:spacing w:val="16"/>
                <w:highlight w:val="none"/>
              </w:rPr>
            </w:pPr>
          </w:p>
        </w:tc>
      </w:tr>
    </w:tbl>
    <w:p w14:paraId="43D6B216">
      <w:pPr>
        <w:pStyle w:val="55"/>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68751196">
      <w:pPr>
        <w:pStyle w:val="55"/>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488E000E">
      <w:pPr>
        <w:spacing w:line="360" w:lineRule="auto"/>
        <w:rPr>
          <w:rFonts w:ascii="宋体" w:hAnsi="宋体"/>
          <w:color w:val="auto"/>
          <w:sz w:val="24"/>
          <w:highlight w:val="none"/>
        </w:rPr>
      </w:pPr>
    </w:p>
    <w:p w14:paraId="0D8A7E64">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73863AA0">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投标人代表签字或盖章：</w:t>
      </w:r>
    </w:p>
    <w:p w14:paraId="52D043A7">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5F87FEF0">
      <w:pPr>
        <w:pStyle w:val="55"/>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14:paraId="0E9D0FB3">
      <w:pPr>
        <w:spacing w:line="360" w:lineRule="auto"/>
        <w:rPr>
          <w:rFonts w:ascii="宋体" w:hAnsi="宋体"/>
          <w:b/>
          <w:color w:val="auto"/>
          <w:sz w:val="24"/>
          <w:highlight w:val="none"/>
        </w:rPr>
      </w:pPr>
    </w:p>
    <w:p w14:paraId="5BEF8E77">
      <w:pPr>
        <w:spacing w:line="360" w:lineRule="auto"/>
        <w:ind w:firstLine="435"/>
        <w:rPr>
          <w:rFonts w:ascii="宋体" w:hAnsi="宋体"/>
          <w:b/>
          <w:color w:val="auto"/>
          <w:sz w:val="28"/>
          <w:highlight w:val="none"/>
        </w:rPr>
        <w:sectPr>
          <w:pgSz w:w="11906" w:h="16838"/>
          <w:pgMar w:top="1440" w:right="1800" w:bottom="1440" w:left="1800" w:header="851" w:footer="992" w:gutter="0"/>
          <w:pgNumType w:fmt="numberInDash"/>
          <w:cols w:space="425" w:num="1"/>
          <w:docGrid w:type="lines" w:linePitch="312" w:charSpace="0"/>
        </w:sectPr>
      </w:pPr>
    </w:p>
    <w:p w14:paraId="608CB049">
      <w:pPr>
        <w:spacing w:line="360" w:lineRule="auto"/>
        <w:ind w:firstLine="435"/>
        <w:rPr>
          <w:rFonts w:hint="eastAsia" w:ascii="宋体" w:hAnsi="宋体" w:eastAsia="宋体"/>
          <w:color w:val="auto"/>
          <w:sz w:val="24"/>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6</w:t>
      </w:r>
    </w:p>
    <w:p w14:paraId="605BEE4F">
      <w:pPr>
        <w:snapToGrid w:val="0"/>
        <w:spacing w:before="156" w:beforeLines="50" w:after="50"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项目实施人员一览表（标段）</w:t>
      </w:r>
    </w:p>
    <w:p w14:paraId="45E415EA">
      <w:pPr>
        <w:snapToGrid w:val="0"/>
        <w:spacing w:before="156" w:beforeLines="50" w:after="50" w:line="360" w:lineRule="auto"/>
        <w:ind w:firstLine="2400" w:firstLineChars="1000"/>
        <w:rPr>
          <w:rFonts w:ascii="宋体" w:hAnsi="宋体"/>
          <w:color w:val="auto"/>
          <w:sz w:val="24"/>
          <w:highlight w:val="none"/>
        </w:rPr>
      </w:pPr>
      <w:r>
        <w:rPr>
          <w:rFonts w:hint="eastAsia" w:ascii="宋体" w:hAnsi="宋体"/>
          <w:color w:val="auto"/>
          <w:sz w:val="24"/>
          <w:highlight w:val="none"/>
        </w:rPr>
        <w:t>（主要从业人员及其技术资格）</w:t>
      </w:r>
    </w:p>
    <w:tbl>
      <w:tblPr>
        <w:tblStyle w:val="35"/>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47A52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53131AEB">
            <w:pPr>
              <w:keepNext w:val="0"/>
              <w:keepLines w:val="0"/>
              <w:suppressLineNumbers w:val="0"/>
              <w:snapToGrid w:val="0"/>
              <w:spacing w:before="156" w:beforeLines="50" w:beforeAutospacing="0" w:after="50" w:afterAutospacing="0" w:line="360" w:lineRule="auto"/>
              <w:ind w:left="0" w:right="0"/>
              <w:jc w:val="center"/>
              <w:rPr>
                <w:rFonts w:hint="default" w:ascii="宋体" w:hAnsi="宋体"/>
                <w:b/>
                <w:color w:val="auto"/>
                <w:sz w:val="24"/>
                <w:szCs w:val="20"/>
                <w:highlight w:val="none"/>
              </w:rPr>
            </w:pPr>
            <w:r>
              <w:rPr>
                <w:rFonts w:hint="eastAsia" w:ascii="宋体" w:hAns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45B31F8F">
            <w:pPr>
              <w:keepNext w:val="0"/>
              <w:keepLines w:val="0"/>
              <w:suppressLineNumbers w:val="0"/>
              <w:snapToGrid w:val="0"/>
              <w:spacing w:before="156" w:beforeLines="50" w:beforeAutospacing="0" w:after="50" w:afterAutospacing="0" w:line="360" w:lineRule="auto"/>
              <w:ind w:left="0" w:right="0"/>
              <w:jc w:val="center"/>
              <w:rPr>
                <w:rFonts w:hint="default"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020453C8">
            <w:pPr>
              <w:keepNext w:val="0"/>
              <w:keepLines w:val="0"/>
              <w:suppressLineNumbers w:val="0"/>
              <w:snapToGrid w:val="0"/>
              <w:spacing w:before="156" w:beforeLines="50" w:beforeAutospacing="0" w:after="50" w:afterAutospacing="0" w:line="360" w:lineRule="auto"/>
              <w:ind w:left="0" w:right="0"/>
              <w:jc w:val="center"/>
              <w:rPr>
                <w:rFonts w:hint="default"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2617B7AD">
            <w:pPr>
              <w:keepNext w:val="0"/>
              <w:keepLines w:val="0"/>
              <w:suppressLineNumbers w:val="0"/>
              <w:snapToGrid w:val="0"/>
              <w:spacing w:before="156" w:beforeLines="50" w:beforeAutospacing="0" w:after="50" w:afterAutospacing="0" w:line="360" w:lineRule="auto"/>
              <w:ind w:left="0" w:right="0"/>
              <w:jc w:val="center"/>
              <w:rPr>
                <w:rFonts w:hint="default"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6EA49597">
            <w:pPr>
              <w:keepNext w:val="0"/>
              <w:keepLines w:val="0"/>
              <w:suppressLineNumbers w:val="0"/>
              <w:snapToGrid w:val="0"/>
              <w:spacing w:before="156" w:beforeLines="50" w:beforeAutospacing="0" w:after="50" w:afterAutospacing="0" w:line="360" w:lineRule="auto"/>
              <w:ind w:left="0" w:right="0"/>
              <w:jc w:val="center"/>
              <w:rPr>
                <w:rFonts w:hint="default"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7FE36D32">
            <w:pPr>
              <w:keepNext w:val="0"/>
              <w:keepLines w:val="0"/>
              <w:suppressLineNumbers w:val="0"/>
              <w:snapToGrid w:val="0"/>
              <w:spacing w:before="156" w:beforeLines="50" w:beforeAutospacing="0" w:after="50" w:afterAutospacing="0" w:line="360" w:lineRule="auto"/>
              <w:ind w:left="0" w:right="0"/>
              <w:jc w:val="center"/>
              <w:rPr>
                <w:rFonts w:hint="default" w:ascii="宋体" w:hAnsi="宋体"/>
                <w:b/>
                <w:color w:val="auto"/>
                <w:sz w:val="24"/>
                <w:szCs w:val="20"/>
                <w:highlight w:val="none"/>
              </w:rPr>
            </w:pPr>
            <w:r>
              <w:rPr>
                <w:rFonts w:hint="eastAsia" w:ascii="宋体" w:hAnsi="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766714DD">
            <w:pPr>
              <w:keepNext w:val="0"/>
              <w:keepLines w:val="0"/>
              <w:suppressLineNumbers w:val="0"/>
              <w:snapToGrid w:val="0"/>
              <w:spacing w:before="156" w:beforeLines="50" w:beforeAutospacing="0" w:after="50" w:afterAutospacing="0" w:line="360" w:lineRule="auto"/>
              <w:ind w:left="0" w:right="0"/>
              <w:jc w:val="center"/>
              <w:rPr>
                <w:rFonts w:hint="default"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64B48F62">
            <w:pPr>
              <w:keepNext w:val="0"/>
              <w:keepLines w:val="0"/>
              <w:suppressLineNumbers w:val="0"/>
              <w:snapToGrid w:val="0"/>
              <w:spacing w:before="156" w:beforeLines="50" w:beforeAutospacing="0" w:after="50" w:afterAutospacing="0" w:line="360" w:lineRule="auto"/>
              <w:ind w:left="0" w:right="0"/>
              <w:jc w:val="center"/>
              <w:rPr>
                <w:rFonts w:hint="default" w:ascii="宋体" w:hAnsi="宋体"/>
                <w:b/>
                <w:bCs/>
                <w:color w:val="auto"/>
                <w:sz w:val="24"/>
                <w:szCs w:val="20"/>
                <w:highlight w:val="none"/>
              </w:rPr>
            </w:pPr>
            <w:r>
              <w:rPr>
                <w:rFonts w:hint="eastAsia" w:ascii="宋体" w:hAnsi="宋体"/>
                <w:b/>
                <w:color w:val="auto"/>
                <w:sz w:val="24"/>
                <w:highlight w:val="none"/>
              </w:rPr>
              <w:t>劳动合同编号</w:t>
            </w:r>
          </w:p>
        </w:tc>
      </w:tr>
      <w:tr w14:paraId="60972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2886C0BC">
            <w:pPr>
              <w:keepNext w:val="0"/>
              <w:keepLines w:val="0"/>
              <w:suppressLineNumbers w:val="0"/>
              <w:snapToGrid w:val="0"/>
              <w:spacing w:before="156" w:beforeLines="50" w:beforeAutospacing="0" w:after="50" w:afterAutospacing="0" w:line="360" w:lineRule="auto"/>
              <w:ind w:left="0" w:right="0"/>
              <w:rPr>
                <w:rFonts w:hint="default"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5465099">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7AB2A5C">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00F8060">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0700893">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F7566CC">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F877B2B">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8C8F774">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r>
      <w:tr w14:paraId="4EC6D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63463418">
            <w:pPr>
              <w:keepNext w:val="0"/>
              <w:keepLines w:val="0"/>
              <w:suppressLineNumbers w:val="0"/>
              <w:snapToGrid w:val="0"/>
              <w:spacing w:before="156" w:beforeLines="50" w:beforeAutospacing="0" w:after="50" w:afterAutospacing="0" w:line="360" w:lineRule="auto"/>
              <w:ind w:left="0" w:right="0"/>
              <w:rPr>
                <w:rFonts w:hint="default"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77AB25A">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80086D1">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CE16163">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2675BB1">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9472B06">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5A63BA9">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30E8440D">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r>
      <w:tr w14:paraId="64739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3EB8A2F4">
            <w:pPr>
              <w:keepNext w:val="0"/>
              <w:keepLines w:val="0"/>
              <w:suppressLineNumbers w:val="0"/>
              <w:snapToGrid w:val="0"/>
              <w:spacing w:before="156" w:beforeLines="50" w:beforeAutospacing="0" w:after="50" w:afterAutospacing="0" w:line="360" w:lineRule="auto"/>
              <w:ind w:left="0" w:right="0"/>
              <w:rPr>
                <w:rFonts w:hint="default"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EE1343C">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8317373">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1BE5F2A">
            <w:pPr>
              <w:pStyle w:val="23"/>
              <w:keepNext w:val="0"/>
              <w:keepLines w:val="0"/>
              <w:suppressLineNumbers w:val="0"/>
              <w:snapToGrid w:val="0"/>
              <w:spacing w:before="156" w:beforeLines="50" w:beforeAutospacing="0" w:after="50" w:afterAutospacing="0" w:line="360" w:lineRule="auto"/>
              <w:ind w:left="5250" w:right="0"/>
              <w:rPr>
                <w:rFonts w:hint="default"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6252DC2">
            <w:pPr>
              <w:pStyle w:val="23"/>
              <w:keepNext w:val="0"/>
              <w:keepLines w:val="0"/>
              <w:suppressLineNumbers w:val="0"/>
              <w:snapToGrid w:val="0"/>
              <w:spacing w:before="156" w:beforeLines="50" w:beforeAutospacing="0" w:after="50" w:afterAutospacing="0" w:line="360" w:lineRule="auto"/>
              <w:ind w:left="5250" w:right="0"/>
              <w:rPr>
                <w:rFonts w:hint="default" w:ascii="宋体" w:hAns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144DE015">
            <w:pPr>
              <w:pStyle w:val="23"/>
              <w:keepNext w:val="0"/>
              <w:keepLines w:val="0"/>
              <w:suppressLineNumbers w:val="0"/>
              <w:spacing w:before="0" w:beforeAutospacing="0" w:after="0" w:afterAutospacing="0" w:line="360" w:lineRule="auto"/>
              <w:ind w:left="5250" w:right="0"/>
              <w:rPr>
                <w:rFonts w:hint="default"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BD49BE9">
            <w:pPr>
              <w:keepNext w:val="0"/>
              <w:keepLines w:val="0"/>
              <w:suppressLineNumbers w:val="0"/>
              <w:snapToGrid w:val="0"/>
              <w:spacing w:before="156" w:beforeLines="50" w:beforeAutospacing="0" w:after="50" w:afterAutospacing="0" w:line="360" w:lineRule="auto"/>
              <w:ind w:left="0" w:right="0"/>
              <w:rPr>
                <w:rFonts w:hint="default" w:ascii="宋体" w:hAnsi="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25945AF">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r>
      <w:tr w14:paraId="15A1C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543C09DD">
            <w:pPr>
              <w:keepNext w:val="0"/>
              <w:keepLines w:val="0"/>
              <w:suppressLineNumbers w:val="0"/>
              <w:snapToGrid w:val="0"/>
              <w:spacing w:before="156" w:beforeLines="50" w:beforeAutospacing="0" w:after="50" w:afterAutospacing="0" w:line="360" w:lineRule="auto"/>
              <w:ind w:left="0" w:right="0"/>
              <w:rPr>
                <w:rFonts w:hint="default"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1974925">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07F0F84">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42FB936C">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6BC90428">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456173DF">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A724388">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7A184FE5">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r>
      <w:tr w14:paraId="74E78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240E21D0">
            <w:pPr>
              <w:keepNext w:val="0"/>
              <w:keepLines w:val="0"/>
              <w:suppressLineNumbers w:val="0"/>
              <w:snapToGrid w:val="0"/>
              <w:spacing w:before="156" w:beforeLines="50" w:beforeAutospacing="0" w:after="50" w:afterAutospacing="0" w:line="360" w:lineRule="auto"/>
              <w:ind w:left="0" w:right="0"/>
              <w:rPr>
                <w:rFonts w:hint="default"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4BC2EA0C">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E36A486">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2A13A88">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32D6C1D">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1F51988">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E96F7C8">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A1F2155">
            <w:pPr>
              <w:keepNext w:val="0"/>
              <w:keepLines w:val="0"/>
              <w:suppressLineNumbers w:val="0"/>
              <w:snapToGrid w:val="0"/>
              <w:spacing w:before="156" w:beforeLines="50" w:beforeAutospacing="0" w:after="50" w:afterAutospacing="0" w:line="360" w:lineRule="auto"/>
              <w:ind w:left="0" w:right="0"/>
              <w:rPr>
                <w:rFonts w:hint="default" w:ascii="宋体" w:hAnsi="宋体"/>
                <w:b/>
                <w:color w:val="auto"/>
                <w:kern w:val="44"/>
                <w:sz w:val="24"/>
                <w:szCs w:val="20"/>
                <w:highlight w:val="none"/>
              </w:rPr>
            </w:pPr>
          </w:p>
        </w:tc>
      </w:tr>
    </w:tbl>
    <w:p w14:paraId="247352DD">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6FA74CC0">
      <w:pPr>
        <w:spacing w:line="360" w:lineRule="auto"/>
        <w:ind w:left="437"/>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在填写时，如本表格不适合投标单位的实际情况，可根据本表格式自行划表填写。</w:t>
      </w:r>
    </w:p>
    <w:p w14:paraId="49E32ADC">
      <w:pPr>
        <w:pStyle w:val="56"/>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2.附人员证书扫描件；</w:t>
      </w:r>
    </w:p>
    <w:p w14:paraId="44D15EC9">
      <w:pPr>
        <w:pStyle w:val="56"/>
        <w:spacing w:line="360" w:lineRule="auto"/>
        <w:ind w:left="424" w:hanging="424" w:hangingChars="202"/>
        <w:rPr>
          <w:rFonts w:ascii="宋体" w:hAnsi="宋体"/>
          <w:color w:val="auto"/>
          <w:szCs w:val="21"/>
          <w:highlight w:val="none"/>
        </w:rPr>
      </w:pPr>
      <w:r>
        <w:rPr>
          <w:rFonts w:hint="eastAsia" w:ascii="宋体" w:hAnsi="宋体"/>
          <w:color w:val="auto"/>
          <w:szCs w:val="21"/>
          <w:highlight w:val="none"/>
        </w:rPr>
        <w:t>　　3.出具上述人员在本单位服务的外部证明，如：投标截止日前近一个月的代缴个税税单</w:t>
      </w:r>
      <w:r>
        <w:rPr>
          <w:rFonts w:hint="eastAsia" w:ascii="宋体" w:hAnsi="宋体"/>
          <w:color w:val="auto"/>
          <w:szCs w:val="21"/>
          <w:highlight w:val="none"/>
          <w:lang w:val="en-US" w:eastAsia="zh-CN"/>
        </w:rPr>
        <w:t>或</w:t>
      </w:r>
      <w:r>
        <w:rPr>
          <w:rFonts w:hint="eastAsia" w:ascii="宋体" w:hAnsi="宋体"/>
          <w:color w:val="auto"/>
          <w:szCs w:val="21"/>
          <w:highlight w:val="none"/>
        </w:rPr>
        <w:t>参加社会保险的《投保单》或《社会保险参保人员证明》等。</w:t>
      </w:r>
    </w:p>
    <w:p w14:paraId="1267752E">
      <w:pPr>
        <w:snapToGrid w:val="0"/>
        <w:spacing w:before="50" w:after="156" w:afterLines="50" w:line="360" w:lineRule="auto"/>
        <w:jc w:val="left"/>
        <w:rPr>
          <w:rFonts w:ascii="宋体" w:hAnsi="宋体"/>
          <w:color w:val="auto"/>
          <w:sz w:val="24"/>
          <w:szCs w:val="20"/>
          <w:highlight w:val="none"/>
        </w:rPr>
      </w:pPr>
    </w:p>
    <w:p w14:paraId="3774101E">
      <w:pPr>
        <w:snapToGrid w:val="0"/>
        <w:spacing w:before="50" w:after="156" w:afterLines="50" w:line="360" w:lineRule="auto"/>
        <w:jc w:val="left"/>
        <w:rPr>
          <w:rFonts w:ascii="宋体" w:hAnsi="宋体"/>
          <w:color w:val="auto"/>
          <w:sz w:val="24"/>
          <w:szCs w:val="20"/>
          <w:highlight w:val="none"/>
        </w:rPr>
      </w:pPr>
    </w:p>
    <w:p w14:paraId="137ECC42">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2F0C26C3">
      <w:pPr>
        <w:spacing w:line="360" w:lineRule="auto"/>
        <w:ind w:left="420"/>
        <w:rPr>
          <w:rFonts w:ascii="宋体" w:hAnsi="宋体"/>
          <w:color w:val="auto"/>
          <w:sz w:val="24"/>
          <w:highlight w:val="none"/>
        </w:rPr>
      </w:pPr>
    </w:p>
    <w:p w14:paraId="698553BB">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14:paraId="24790B5E">
      <w:pPr>
        <w:spacing w:line="360" w:lineRule="auto"/>
        <w:ind w:firstLine="435"/>
        <w:rPr>
          <w:rFonts w:ascii="宋体" w:hAnsi="宋体"/>
          <w:color w:val="auto"/>
          <w:sz w:val="24"/>
          <w:highlight w:val="none"/>
        </w:rPr>
      </w:pPr>
    </w:p>
    <w:p w14:paraId="63D3CF05">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6419A343">
      <w:pPr>
        <w:spacing w:line="360" w:lineRule="auto"/>
        <w:ind w:firstLine="435"/>
        <w:rPr>
          <w:rFonts w:ascii="宋体" w:hAnsi="宋体"/>
          <w:color w:val="auto"/>
          <w:sz w:val="24"/>
          <w:highlight w:val="none"/>
        </w:rPr>
      </w:pPr>
    </w:p>
    <w:p w14:paraId="7977E1C7">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15F62B51">
      <w:pPr>
        <w:spacing w:line="360" w:lineRule="auto"/>
        <w:ind w:firstLine="435"/>
        <w:rPr>
          <w:rFonts w:hint="eastAsia" w:ascii="宋体" w:hAnsi="宋体" w:eastAsia="宋体"/>
          <w:color w:val="auto"/>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7</w:t>
      </w:r>
    </w:p>
    <w:p w14:paraId="36F174E2">
      <w:pPr>
        <w:spacing w:before="156" w:beforeLines="50" w:after="156"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p w14:paraId="18F3AE83">
      <w:pPr>
        <w:spacing w:line="360" w:lineRule="auto"/>
        <w:rPr>
          <w:rFonts w:ascii="宋体" w:hAnsi="宋体"/>
          <w:color w:val="auto"/>
          <w:highlight w:val="none"/>
        </w:rPr>
      </w:pPr>
      <w:r>
        <w:rPr>
          <w:rFonts w:hint="eastAsia" w:ascii="宋体" w:hAnsi="宋体"/>
          <w:color w:val="auto"/>
          <w:highlight w:val="none"/>
        </w:rPr>
        <w:t>采购项目：                                            标段</w:t>
      </w:r>
      <w:r>
        <w:rPr>
          <w:rFonts w:ascii="宋体" w:hAnsi="宋体"/>
          <w:color w:val="auto"/>
          <w:highlight w:val="none"/>
        </w:rPr>
        <w:t>号</w:t>
      </w:r>
      <w:r>
        <w:rPr>
          <w:rFonts w:hint="eastAsia" w:ascii="宋体" w:hAnsi="宋体"/>
          <w:color w:val="auto"/>
          <w:highlight w:val="none"/>
        </w:rPr>
        <w:t>：</w:t>
      </w:r>
    </w:p>
    <w:tbl>
      <w:tblPr>
        <w:tblStyle w:val="35"/>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D47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72CC2F8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36094D6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olor w:val="auto"/>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20FC932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b/>
                <w:bCs/>
                <w:color w:val="auto"/>
                <w:highlight w:val="none"/>
                <w:lang w:val="zh-CN"/>
              </w:rPr>
            </w:pPr>
            <w:r>
              <w:rPr>
                <w:rFonts w:hint="eastAsia" w:ascii="宋体" w:hAnsi="宋体"/>
                <w:b/>
                <w:bCs/>
                <w:color w:val="auto"/>
                <w:highlight w:val="none"/>
                <w:lang w:val="zh-CN"/>
              </w:rPr>
              <w:t>近年来主要工作业绩</w:t>
            </w:r>
          </w:p>
        </w:tc>
      </w:tr>
      <w:tr w14:paraId="0B1F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838786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652722C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olor w:val="auto"/>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7C67D9F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olor w:val="auto"/>
                <w:highlight w:val="none"/>
              </w:rPr>
            </w:pPr>
            <w:r>
              <w:rPr>
                <w:rFonts w:hint="eastAsia" w:ascii="宋体" w:hAnsi="宋体"/>
                <w:color w:val="auto"/>
                <w:highlight w:val="none"/>
              </w:rPr>
              <w:t>注：业绩证明应提供旁证材料</w:t>
            </w:r>
          </w:p>
          <w:p w14:paraId="3B67C00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olor w:val="auto"/>
                <w:highlight w:val="none"/>
                <w:lang w:val="zh-CN"/>
              </w:rPr>
            </w:pPr>
            <w:r>
              <w:rPr>
                <w:rFonts w:hint="eastAsia" w:ascii="宋体" w:hAnsi="宋体"/>
                <w:color w:val="auto"/>
                <w:highlight w:val="none"/>
              </w:rPr>
              <w:t>（用人单位工作证明或劳务合同）。</w:t>
            </w:r>
          </w:p>
        </w:tc>
      </w:tr>
      <w:tr w14:paraId="551E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0801357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3D5F7CB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3EE58A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olor w:val="auto"/>
                <w:highlight w:val="none"/>
                <w:lang w:val="zh-CN"/>
              </w:rPr>
            </w:pPr>
          </w:p>
        </w:tc>
      </w:tr>
      <w:tr w14:paraId="0A08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A8C609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49851BA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2C4348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olor w:val="auto"/>
                <w:highlight w:val="none"/>
                <w:lang w:val="zh-CN"/>
              </w:rPr>
            </w:pPr>
          </w:p>
        </w:tc>
      </w:tr>
      <w:tr w14:paraId="17E0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AD1842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398B975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E19F55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olor w:val="auto"/>
                <w:highlight w:val="none"/>
                <w:lang w:val="zh-CN"/>
              </w:rPr>
            </w:pPr>
          </w:p>
        </w:tc>
      </w:tr>
      <w:tr w14:paraId="1A4A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9E38E9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2A73A54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97BBF1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olor w:val="auto"/>
                <w:highlight w:val="none"/>
                <w:lang w:val="zh-CN"/>
              </w:rPr>
            </w:pPr>
          </w:p>
        </w:tc>
      </w:tr>
      <w:tr w14:paraId="0BBD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456D17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0A5F072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36A7DD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olor w:val="auto"/>
                <w:highlight w:val="none"/>
                <w:lang w:val="zh-CN"/>
              </w:rPr>
            </w:pPr>
          </w:p>
        </w:tc>
      </w:tr>
      <w:tr w14:paraId="5FDF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7081DE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3AA8D62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95936D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olor w:val="auto"/>
                <w:highlight w:val="none"/>
                <w:lang w:val="zh-CN"/>
              </w:rPr>
            </w:pPr>
          </w:p>
        </w:tc>
      </w:tr>
      <w:tr w14:paraId="5667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14:paraId="2CD81DE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6250F52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olor w:val="auto"/>
                <w:highlight w:val="none"/>
                <w:lang w:val="zh-CN"/>
              </w:rPr>
            </w:pPr>
          </w:p>
        </w:tc>
      </w:tr>
    </w:tbl>
    <w:p w14:paraId="6210F028">
      <w:pPr>
        <w:spacing w:line="360" w:lineRule="auto"/>
        <w:ind w:left="420"/>
        <w:rPr>
          <w:rFonts w:ascii="宋体" w:hAnsi="宋体"/>
          <w:color w:val="auto"/>
          <w:sz w:val="24"/>
          <w:highlight w:val="none"/>
        </w:rPr>
      </w:pPr>
    </w:p>
    <w:p w14:paraId="520964D9">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投标人名称（公章）：</w:t>
      </w:r>
    </w:p>
    <w:p w14:paraId="56F7B0FB">
      <w:pPr>
        <w:spacing w:line="360" w:lineRule="auto"/>
        <w:ind w:left="420"/>
        <w:rPr>
          <w:rFonts w:ascii="宋体" w:hAnsi="宋体"/>
          <w:color w:val="auto"/>
          <w:sz w:val="24"/>
          <w:highlight w:val="none"/>
        </w:rPr>
      </w:pPr>
    </w:p>
    <w:p w14:paraId="52630C2A">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14:paraId="1A09614D">
      <w:pPr>
        <w:spacing w:line="360" w:lineRule="auto"/>
        <w:ind w:firstLine="435"/>
        <w:rPr>
          <w:rFonts w:ascii="宋体" w:hAnsi="宋体"/>
          <w:color w:val="auto"/>
          <w:sz w:val="24"/>
          <w:highlight w:val="none"/>
        </w:rPr>
      </w:pPr>
    </w:p>
    <w:p w14:paraId="58743DD3">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7ACBFEF0">
      <w:pPr>
        <w:spacing w:line="360" w:lineRule="auto"/>
        <w:ind w:firstLine="435"/>
        <w:rPr>
          <w:rFonts w:ascii="宋体" w:hAnsi="宋体"/>
          <w:color w:val="auto"/>
          <w:sz w:val="24"/>
          <w:highlight w:val="none"/>
        </w:rPr>
      </w:pPr>
    </w:p>
    <w:p w14:paraId="2582B998">
      <w:pPr>
        <w:spacing w:line="360" w:lineRule="auto"/>
        <w:ind w:firstLine="435"/>
        <w:rPr>
          <w:rFonts w:ascii="宋体" w:hAnsi="宋体"/>
          <w:b/>
          <w:color w:val="auto"/>
          <w:sz w:val="28"/>
          <w:highlight w:val="none"/>
        </w:rPr>
        <w:sectPr>
          <w:pgSz w:w="11906" w:h="16838"/>
          <w:pgMar w:top="1440" w:right="1800" w:bottom="1440" w:left="1800" w:header="851" w:footer="992" w:gutter="0"/>
          <w:cols w:space="425" w:num="1"/>
          <w:docGrid w:type="lines" w:linePitch="312" w:charSpace="0"/>
        </w:sectPr>
      </w:pPr>
      <w:r>
        <w:rPr>
          <w:rFonts w:hint="eastAsia" w:ascii="宋体" w:hAnsi="宋体"/>
          <w:color w:val="auto"/>
          <w:sz w:val="24"/>
          <w:highlight w:val="none"/>
        </w:rPr>
        <w:t>日        期：</w:t>
      </w:r>
    </w:p>
    <w:p w14:paraId="4F76FCE9">
      <w:pPr>
        <w:spacing w:line="360" w:lineRule="auto"/>
        <w:jc w:val="left"/>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14:paraId="5684F663">
      <w:pPr>
        <w:snapToGrid w:val="0"/>
        <w:spacing w:before="50" w:after="50" w:line="360" w:lineRule="auto"/>
        <w:rPr>
          <w:rFonts w:ascii="宋体" w:hAnsi="宋体"/>
          <w:b/>
          <w:color w:val="auto"/>
          <w:sz w:val="28"/>
          <w:highlight w:val="none"/>
        </w:rPr>
      </w:pPr>
    </w:p>
    <w:p w14:paraId="202CB44C">
      <w:pPr>
        <w:pStyle w:val="22"/>
        <w:adjustRightInd w:val="0"/>
        <w:snapToGrid w:val="0"/>
        <w:spacing w:line="360" w:lineRule="auto"/>
        <w:jc w:val="center"/>
        <w:rPr>
          <w:rFonts w:hAnsi="宋体"/>
          <w:b/>
          <w:color w:val="auto"/>
          <w:sz w:val="32"/>
          <w:szCs w:val="32"/>
          <w:highlight w:val="none"/>
        </w:rPr>
      </w:pPr>
      <w:r>
        <w:rPr>
          <w:rFonts w:hint="eastAsia" w:hAnsi="宋体"/>
          <w:b/>
          <w:color w:val="auto"/>
          <w:sz w:val="32"/>
          <w:szCs w:val="32"/>
          <w:highlight w:val="none"/>
        </w:rPr>
        <w:t>商务及技术需求响应表</w:t>
      </w:r>
    </w:p>
    <w:p w14:paraId="11433DD9">
      <w:pPr>
        <w:pStyle w:val="22"/>
        <w:adjustRightInd w:val="0"/>
        <w:snapToGrid w:val="0"/>
        <w:spacing w:line="360" w:lineRule="auto"/>
        <w:jc w:val="left"/>
        <w:rPr>
          <w:rFonts w:hAnsi="宋体" w:cs="Tahoma"/>
          <w:b/>
          <w:color w:val="auto"/>
          <w:sz w:val="24"/>
          <w:highlight w:val="none"/>
        </w:rPr>
      </w:pPr>
      <w:r>
        <w:rPr>
          <w:rFonts w:hint="eastAsia" w:hAnsi="宋体"/>
          <w:b/>
          <w:bCs/>
          <w:color w:val="auto"/>
          <w:sz w:val="24"/>
          <w:highlight w:val="none"/>
        </w:rPr>
        <w:t>项目名称及编号：</w:t>
      </w:r>
    </w:p>
    <w:tbl>
      <w:tblPr>
        <w:tblStyle w:val="35"/>
        <w:tblW w:w="8739" w:type="dxa"/>
        <w:tblInd w:w="0" w:type="dxa"/>
        <w:tblLayout w:type="fixed"/>
        <w:tblCellMar>
          <w:top w:w="0" w:type="dxa"/>
          <w:left w:w="108" w:type="dxa"/>
          <w:bottom w:w="0" w:type="dxa"/>
          <w:right w:w="108" w:type="dxa"/>
        </w:tblCellMar>
      </w:tblPr>
      <w:tblGrid>
        <w:gridCol w:w="1195"/>
        <w:gridCol w:w="2171"/>
        <w:gridCol w:w="2001"/>
        <w:gridCol w:w="1971"/>
        <w:gridCol w:w="1401"/>
      </w:tblGrid>
      <w:tr w14:paraId="10E3B0EB">
        <w:tblPrEx>
          <w:tblCellMar>
            <w:top w:w="0" w:type="dxa"/>
            <w:left w:w="108" w:type="dxa"/>
            <w:bottom w:w="0" w:type="dxa"/>
            <w:right w:w="108" w:type="dxa"/>
          </w:tblCellMar>
        </w:tblPrEx>
        <w:trPr>
          <w:trHeight w:val="809" w:hRule="atLeast"/>
        </w:trPr>
        <w:tc>
          <w:tcPr>
            <w:tcW w:w="1195" w:type="dxa"/>
            <w:tcBorders>
              <w:top w:val="single" w:color="auto" w:sz="4" w:space="0"/>
              <w:left w:val="single" w:color="auto" w:sz="4" w:space="0"/>
              <w:bottom w:val="single" w:color="auto" w:sz="4" w:space="0"/>
              <w:right w:val="single" w:color="auto" w:sz="4" w:space="0"/>
            </w:tcBorders>
            <w:vAlign w:val="center"/>
          </w:tcPr>
          <w:p w14:paraId="6ECAC959">
            <w:pPr>
              <w:pStyle w:val="22"/>
              <w:keepNext w:val="0"/>
              <w:keepLines w:val="0"/>
              <w:suppressLineNumbers w:val="0"/>
              <w:adjustRightInd w:val="0"/>
              <w:snapToGrid w:val="0"/>
              <w:spacing w:before="0" w:beforeAutospacing="0" w:after="0" w:afterAutospacing="0" w:line="360" w:lineRule="auto"/>
              <w:ind w:left="0" w:right="0"/>
              <w:jc w:val="center"/>
              <w:rPr>
                <w:rFonts w:hint="default" w:hAnsi="宋体" w:cs="楷体_GB2312"/>
                <w:bCs/>
                <w:color w:val="auto"/>
                <w:spacing w:val="10"/>
                <w:kern w:val="0"/>
                <w:sz w:val="24"/>
                <w:szCs w:val="22"/>
                <w:highlight w:val="none"/>
              </w:rPr>
            </w:pPr>
            <w:r>
              <w:rPr>
                <w:rFonts w:hint="eastAsia" w:hAnsi="宋体" w:cs="楷体_GB2312"/>
                <w:bCs/>
                <w:color w:val="auto"/>
                <w:spacing w:val="10"/>
                <w:kern w:val="0"/>
                <w:sz w:val="24"/>
                <w:szCs w:val="22"/>
                <w:highlight w:val="none"/>
              </w:rPr>
              <w:t>类别</w:t>
            </w:r>
          </w:p>
        </w:tc>
        <w:tc>
          <w:tcPr>
            <w:tcW w:w="2171" w:type="dxa"/>
            <w:tcBorders>
              <w:top w:val="single" w:color="auto" w:sz="4" w:space="0"/>
              <w:left w:val="single" w:color="auto" w:sz="4" w:space="0"/>
              <w:bottom w:val="single" w:color="auto" w:sz="4" w:space="0"/>
              <w:right w:val="single" w:color="auto" w:sz="4" w:space="0"/>
            </w:tcBorders>
            <w:vAlign w:val="center"/>
          </w:tcPr>
          <w:p w14:paraId="4014E102">
            <w:pPr>
              <w:pStyle w:val="22"/>
              <w:keepNext w:val="0"/>
              <w:keepLines w:val="0"/>
              <w:suppressLineNumbers w:val="0"/>
              <w:adjustRightInd w:val="0"/>
              <w:snapToGrid w:val="0"/>
              <w:spacing w:before="0" w:beforeAutospacing="0" w:after="0" w:afterAutospacing="0" w:line="360" w:lineRule="auto"/>
              <w:ind w:left="0" w:right="0"/>
              <w:jc w:val="center"/>
              <w:rPr>
                <w:rFonts w:hint="default" w:hAnsi="宋体" w:cs="楷体_GB2312"/>
                <w:bCs/>
                <w:color w:val="auto"/>
                <w:spacing w:val="10"/>
                <w:kern w:val="0"/>
                <w:sz w:val="24"/>
                <w:szCs w:val="22"/>
                <w:highlight w:val="none"/>
              </w:rPr>
            </w:pPr>
            <w:r>
              <w:rPr>
                <w:rFonts w:hint="eastAsia" w:hAnsi="宋体" w:cs="楷体_GB2312"/>
                <w:bCs/>
                <w:color w:val="auto"/>
                <w:spacing w:val="10"/>
                <w:kern w:val="0"/>
                <w:sz w:val="24"/>
                <w:szCs w:val="22"/>
                <w:highlight w:val="none"/>
              </w:rPr>
              <w:t>内容</w:t>
            </w:r>
          </w:p>
        </w:tc>
        <w:tc>
          <w:tcPr>
            <w:tcW w:w="2001" w:type="dxa"/>
            <w:tcBorders>
              <w:top w:val="single" w:color="auto" w:sz="4" w:space="0"/>
              <w:left w:val="single" w:color="auto" w:sz="4" w:space="0"/>
              <w:bottom w:val="single" w:color="auto" w:sz="4" w:space="0"/>
              <w:right w:val="single" w:color="auto" w:sz="4" w:space="0"/>
            </w:tcBorders>
            <w:vAlign w:val="center"/>
          </w:tcPr>
          <w:p w14:paraId="78EBFA12">
            <w:pPr>
              <w:pStyle w:val="22"/>
              <w:keepNext w:val="0"/>
              <w:keepLines w:val="0"/>
              <w:suppressLineNumbers w:val="0"/>
              <w:adjustRightInd w:val="0"/>
              <w:snapToGrid w:val="0"/>
              <w:spacing w:before="0" w:beforeAutospacing="0" w:after="0" w:afterAutospacing="0" w:line="360" w:lineRule="auto"/>
              <w:ind w:left="0" w:right="0"/>
              <w:jc w:val="center"/>
              <w:rPr>
                <w:rFonts w:hint="default" w:hAnsi="宋体" w:cs="楷体_GB2312"/>
                <w:bCs/>
                <w:color w:val="auto"/>
                <w:spacing w:val="10"/>
                <w:kern w:val="0"/>
                <w:sz w:val="24"/>
                <w:szCs w:val="22"/>
                <w:highlight w:val="none"/>
              </w:rPr>
            </w:pPr>
            <w:r>
              <w:rPr>
                <w:rFonts w:hint="eastAsia" w:hAnsi="宋体" w:cs="楷体_GB2312"/>
                <w:bCs/>
                <w:color w:val="auto"/>
                <w:spacing w:val="10"/>
                <w:kern w:val="0"/>
                <w:sz w:val="24"/>
                <w:szCs w:val="22"/>
                <w:highlight w:val="none"/>
              </w:rPr>
              <w:t>招标文件技术（或</w:t>
            </w:r>
            <w:r>
              <w:rPr>
                <w:rFonts w:hint="default" w:hAnsi="宋体" w:cs="楷体_GB2312"/>
                <w:bCs/>
                <w:color w:val="auto"/>
                <w:spacing w:val="10"/>
                <w:kern w:val="0"/>
                <w:sz w:val="24"/>
                <w:szCs w:val="22"/>
                <w:highlight w:val="none"/>
              </w:rPr>
              <w:t>商务</w:t>
            </w:r>
            <w:r>
              <w:rPr>
                <w:rFonts w:hint="eastAsia" w:hAnsi="宋体" w:cs="楷体_GB2312"/>
                <w:bCs/>
                <w:color w:val="auto"/>
                <w:spacing w:val="10"/>
                <w:kern w:val="0"/>
                <w:sz w:val="24"/>
                <w:szCs w:val="22"/>
                <w:highlight w:val="none"/>
              </w:rPr>
              <w:t>）要求</w:t>
            </w:r>
          </w:p>
        </w:tc>
        <w:tc>
          <w:tcPr>
            <w:tcW w:w="1971" w:type="dxa"/>
            <w:tcBorders>
              <w:top w:val="single" w:color="auto" w:sz="4" w:space="0"/>
              <w:left w:val="single" w:color="auto" w:sz="4" w:space="0"/>
              <w:bottom w:val="single" w:color="auto" w:sz="4" w:space="0"/>
              <w:right w:val="single" w:color="auto" w:sz="4" w:space="0"/>
            </w:tcBorders>
            <w:vAlign w:val="center"/>
          </w:tcPr>
          <w:p w14:paraId="0A149521">
            <w:pPr>
              <w:pStyle w:val="22"/>
              <w:keepNext w:val="0"/>
              <w:keepLines w:val="0"/>
              <w:suppressLineNumbers w:val="0"/>
              <w:adjustRightInd w:val="0"/>
              <w:snapToGrid w:val="0"/>
              <w:spacing w:before="0" w:beforeAutospacing="0" w:after="0" w:afterAutospacing="0" w:line="360" w:lineRule="auto"/>
              <w:ind w:left="0" w:right="0"/>
              <w:jc w:val="center"/>
              <w:rPr>
                <w:rFonts w:hint="default" w:hAnsi="宋体" w:cs="楷体_GB2312"/>
                <w:bCs/>
                <w:color w:val="auto"/>
                <w:spacing w:val="10"/>
                <w:kern w:val="0"/>
                <w:sz w:val="24"/>
                <w:szCs w:val="22"/>
                <w:highlight w:val="none"/>
              </w:rPr>
            </w:pPr>
            <w:r>
              <w:rPr>
                <w:rFonts w:hint="eastAsia" w:hAnsi="宋体" w:cs="楷体_GB2312"/>
                <w:bCs/>
                <w:color w:val="auto"/>
                <w:spacing w:val="10"/>
                <w:kern w:val="0"/>
                <w:sz w:val="24"/>
                <w:szCs w:val="22"/>
                <w:highlight w:val="none"/>
              </w:rPr>
              <w:t>投标文件技术（或</w:t>
            </w:r>
            <w:r>
              <w:rPr>
                <w:rFonts w:hint="default" w:hAnsi="宋体" w:cs="楷体_GB2312"/>
                <w:bCs/>
                <w:color w:val="auto"/>
                <w:spacing w:val="10"/>
                <w:kern w:val="0"/>
                <w:sz w:val="24"/>
                <w:szCs w:val="22"/>
                <w:highlight w:val="none"/>
              </w:rPr>
              <w:t>商务</w:t>
            </w:r>
            <w:r>
              <w:rPr>
                <w:rFonts w:hint="eastAsia" w:hAnsi="宋体" w:cs="楷体_GB2312"/>
                <w:bCs/>
                <w:color w:val="auto"/>
                <w:spacing w:val="10"/>
                <w:kern w:val="0"/>
                <w:sz w:val="24"/>
                <w:szCs w:val="22"/>
                <w:highlight w:val="none"/>
              </w:rPr>
              <w:t>）响应</w:t>
            </w:r>
          </w:p>
        </w:tc>
        <w:tc>
          <w:tcPr>
            <w:tcW w:w="1401" w:type="dxa"/>
            <w:tcBorders>
              <w:top w:val="single" w:color="auto" w:sz="4" w:space="0"/>
              <w:left w:val="single" w:color="auto" w:sz="4" w:space="0"/>
              <w:bottom w:val="single" w:color="auto" w:sz="4" w:space="0"/>
              <w:right w:val="single" w:color="auto" w:sz="4" w:space="0"/>
            </w:tcBorders>
            <w:vAlign w:val="center"/>
          </w:tcPr>
          <w:p w14:paraId="2A390AD9">
            <w:pPr>
              <w:pStyle w:val="22"/>
              <w:keepNext w:val="0"/>
              <w:keepLines w:val="0"/>
              <w:suppressLineNumbers w:val="0"/>
              <w:adjustRightInd w:val="0"/>
              <w:snapToGrid w:val="0"/>
              <w:spacing w:before="0" w:beforeAutospacing="0" w:after="0" w:afterAutospacing="0" w:line="360" w:lineRule="auto"/>
              <w:ind w:left="0" w:right="0"/>
              <w:jc w:val="center"/>
              <w:rPr>
                <w:rFonts w:hint="default" w:hAnsi="宋体" w:cs="楷体_GB2312"/>
                <w:bCs/>
                <w:color w:val="auto"/>
                <w:spacing w:val="10"/>
                <w:kern w:val="0"/>
                <w:sz w:val="24"/>
                <w:szCs w:val="22"/>
                <w:highlight w:val="none"/>
              </w:rPr>
            </w:pPr>
            <w:r>
              <w:rPr>
                <w:rFonts w:hint="eastAsia" w:hAnsi="宋体" w:cs="楷体_GB2312"/>
                <w:bCs/>
                <w:color w:val="auto"/>
                <w:spacing w:val="10"/>
                <w:kern w:val="0"/>
                <w:sz w:val="24"/>
                <w:szCs w:val="22"/>
                <w:highlight w:val="none"/>
              </w:rPr>
              <w:t>偏离情况</w:t>
            </w:r>
          </w:p>
        </w:tc>
      </w:tr>
      <w:tr w14:paraId="5BCCE842">
        <w:tblPrEx>
          <w:tblCellMar>
            <w:top w:w="0" w:type="dxa"/>
            <w:left w:w="108" w:type="dxa"/>
            <w:bottom w:w="0" w:type="dxa"/>
            <w:right w:w="108" w:type="dxa"/>
          </w:tblCellMar>
        </w:tblPrEx>
        <w:trPr>
          <w:trHeight w:val="206" w:hRule="atLeast"/>
        </w:trPr>
        <w:tc>
          <w:tcPr>
            <w:tcW w:w="1195" w:type="dxa"/>
            <w:vMerge w:val="restart"/>
            <w:tcBorders>
              <w:top w:val="single" w:color="auto" w:sz="4" w:space="0"/>
              <w:left w:val="single" w:color="auto" w:sz="4" w:space="0"/>
              <w:right w:val="single" w:color="auto" w:sz="4" w:space="0"/>
            </w:tcBorders>
            <w:vAlign w:val="center"/>
          </w:tcPr>
          <w:p w14:paraId="3967607F">
            <w:pPr>
              <w:keepNext w:val="0"/>
              <w:keepLines w:val="0"/>
              <w:widowControl/>
              <w:suppressLineNumbers w:val="0"/>
              <w:spacing w:before="0" w:beforeAutospacing="0" w:after="0" w:afterAutospacing="0"/>
              <w:ind w:left="0" w:right="0"/>
              <w:jc w:val="center"/>
              <w:rPr>
                <w:rFonts w:hint="default" w:ascii="宋体" w:hAnsi="宋体" w:cs="楷体_GB2312"/>
                <w:color w:val="auto"/>
                <w:kern w:val="0"/>
                <w:sz w:val="22"/>
                <w:szCs w:val="22"/>
                <w:highlight w:val="none"/>
              </w:rPr>
            </w:pPr>
            <w:r>
              <w:rPr>
                <w:rFonts w:hint="eastAsia" w:ascii="宋体" w:hAnsi="宋体" w:cs="楷体_GB2312"/>
                <w:color w:val="auto"/>
                <w:kern w:val="0"/>
                <w:sz w:val="22"/>
                <w:szCs w:val="22"/>
                <w:highlight w:val="none"/>
              </w:rPr>
              <w:t>响应情况</w:t>
            </w:r>
          </w:p>
        </w:tc>
        <w:tc>
          <w:tcPr>
            <w:tcW w:w="2171" w:type="dxa"/>
            <w:tcBorders>
              <w:top w:val="single" w:color="auto" w:sz="4" w:space="0"/>
              <w:left w:val="single" w:color="auto" w:sz="4" w:space="0"/>
              <w:bottom w:val="single" w:color="auto" w:sz="4" w:space="0"/>
              <w:right w:val="single" w:color="auto" w:sz="4" w:space="0"/>
            </w:tcBorders>
            <w:vAlign w:val="center"/>
          </w:tcPr>
          <w:p w14:paraId="0115C4C9">
            <w:pPr>
              <w:keepNext w:val="0"/>
              <w:keepLines w:val="0"/>
              <w:widowControl/>
              <w:suppressLineNumbers w:val="0"/>
              <w:spacing w:before="0" w:beforeAutospacing="0" w:after="0" w:afterAutospacing="0"/>
              <w:ind w:left="0" w:right="0"/>
              <w:jc w:val="center"/>
              <w:rPr>
                <w:rFonts w:hint="default" w:ascii="宋体" w:hAnsi="宋体" w:cs="楷体_GB2312"/>
                <w:bCs/>
                <w:color w:val="auto"/>
                <w:spacing w:val="10"/>
                <w:kern w:val="0"/>
                <w:sz w:val="24"/>
                <w:szCs w:val="22"/>
                <w:highlight w:val="none"/>
              </w:rPr>
            </w:pPr>
            <w:r>
              <w:rPr>
                <w:rFonts w:hint="eastAsia" w:ascii="宋体" w:hAnsi="宋体" w:cs="楷体_GB2312"/>
                <w:bCs/>
                <w:color w:val="auto"/>
                <w:spacing w:val="10"/>
                <w:kern w:val="0"/>
                <w:sz w:val="24"/>
                <w:szCs w:val="22"/>
                <w:highlight w:val="none"/>
              </w:rPr>
              <w:t>服务期</w:t>
            </w:r>
          </w:p>
        </w:tc>
        <w:tc>
          <w:tcPr>
            <w:tcW w:w="2001" w:type="dxa"/>
            <w:tcBorders>
              <w:top w:val="single" w:color="auto" w:sz="4" w:space="0"/>
              <w:left w:val="single" w:color="auto" w:sz="4" w:space="0"/>
              <w:bottom w:val="single" w:color="auto" w:sz="4" w:space="0"/>
              <w:right w:val="single" w:color="auto" w:sz="4" w:space="0"/>
            </w:tcBorders>
          </w:tcPr>
          <w:p w14:paraId="77FAD760">
            <w:pPr>
              <w:pStyle w:val="22"/>
              <w:keepNext w:val="0"/>
              <w:keepLines w:val="0"/>
              <w:suppressLineNumbers w:val="0"/>
              <w:adjustRightInd w:val="0"/>
              <w:snapToGrid w:val="0"/>
              <w:spacing w:before="0" w:beforeAutospacing="0" w:after="0" w:afterAutospacing="0" w:line="360" w:lineRule="auto"/>
              <w:ind w:left="0" w:right="0"/>
              <w:jc w:val="center"/>
              <w:rPr>
                <w:rFonts w:hint="default" w:hAnsi="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09E93C1E">
            <w:pPr>
              <w:pStyle w:val="22"/>
              <w:keepNext w:val="0"/>
              <w:keepLines w:val="0"/>
              <w:suppressLineNumbers w:val="0"/>
              <w:adjustRightInd w:val="0"/>
              <w:snapToGrid w:val="0"/>
              <w:spacing w:before="0" w:beforeAutospacing="0" w:after="0" w:afterAutospacing="0" w:line="360" w:lineRule="auto"/>
              <w:ind w:left="0" w:right="0"/>
              <w:jc w:val="center"/>
              <w:rPr>
                <w:rFonts w:hint="default" w:hAnsi="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05569D9D">
            <w:pPr>
              <w:pStyle w:val="22"/>
              <w:keepNext w:val="0"/>
              <w:keepLines w:val="0"/>
              <w:suppressLineNumbers w:val="0"/>
              <w:adjustRightInd w:val="0"/>
              <w:snapToGrid w:val="0"/>
              <w:spacing w:before="0" w:beforeAutospacing="0" w:after="0" w:afterAutospacing="0" w:line="360" w:lineRule="auto"/>
              <w:ind w:left="0" w:right="0"/>
              <w:jc w:val="center"/>
              <w:rPr>
                <w:rFonts w:hint="default" w:hAnsi="宋体"/>
                <w:color w:val="auto"/>
                <w:spacing w:val="20"/>
                <w:sz w:val="24"/>
                <w:highlight w:val="none"/>
              </w:rPr>
            </w:pPr>
          </w:p>
        </w:tc>
      </w:tr>
      <w:tr w14:paraId="40FBC296">
        <w:tblPrEx>
          <w:tblCellMar>
            <w:top w:w="0" w:type="dxa"/>
            <w:left w:w="108" w:type="dxa"/>
            <w:bottom w:w="0" w:type="dxa"/>
            <w:right w:w="108" w:type="dxa"/>
          </w:tblCellMar>
        </w:tblPrEx>
        <w:trPr>
          <w:trHeight w:val="624" w:hRule="atLeast"/>
        </w:trPr>
        <w:tc>
          <w:tcPr>
            <w:tcW w:w="1195" w:type="dxa"/>
            <w:vMerge w:val="continue"/>
            <w:tcBorders>
              <w:left w:val="single" w:color="auto" w:sz="4" w:space="0"/>
              <w:right w:val="single" w:color="auto" w:sz="4" w:space="0"/>
            </w:tcBorders>
            <w:vAlign w:val="center"/>
          </w:tcPr>
          <w:p w14:paraId="663B4553">
            <w:pPr>
              <w:keepNext w:val="0"/>
              <w:keepLines w:val="0"/>
              <w:widowControl/>
              <w:suppressLineNumbers w:val="0"/>
              <w:spacing w:before="0" w:beforeAutospacing="0" w:after="0" w:afterAutospacing="0"/>
              <w:ind w:left="0" w:right="0"/>
              <w:jc w:val="center"/>
              <w:rPr>
                <w:rFonts w:hint="default" w:ascii="宋体" w:hAnsi="宋体" w:cs="楷体_GB2312"/>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5079B75A">
            <w:pPr>
              <w:keepNext w:val="0"/>
              <w:keepLines w:val="0"/>
              <w:widowControl/>
              <w:suppressLineNumbers w:val="0"/>
              <w:spacing w:before="0" w:beforeAutospacing="0" w:after="0" w:afterAutospacing="0"/>
              <w:ind w:left="0" w:right="0"/>
              <w:jc w:val="center"/>
              <w:rPr>
                <w:rFonts w:hint="default" w:ascii="宋体" w:hAnsi="宋体" w:eastAsia="宋体" w:cs="楷体_GB2312"/>
                <w:bCs/>
                <w:color w:val="auto"/>
                <w:spacing w:val="10"/>
                <w:kern w:val="0"/>
                <w:sz w:val="24"/>
                <w:szCs w:val="22"/>
                <w:highlight w:val="none"/>
                <w:lang w:val="en-US" w:eastAsia="zh-CN"/>
              </w:rPr>
            </w:pPr>
            <w:r>
              <w:rPr>
                <w:rFonts w:hint="eastAsia" w:ascii="宋体" w:hAnsi="宋体" w:cs="楷体_GB2312"/>
                <w:bCs/>
                <w:color w:val="auto"/>
                <w:spacing w:val="10"/>
                <w:kern w:val="0"/>
                <w:sz w:val="24"/>
                <w:szCs w:val="22"/>
                <w:highlight w:val="none"/>
                <w:lang w:val="en-US" w:eastAsia="zh-CN"/>
              </w:rPr>
              <w:t>履约保证金</w:t>
            </w:r>
          </w:p>
        </w:tc>
        <w:tc>
          <w:tcPr>
            <w:tcW w:w="2001" w:type="dxa"/>
            <w:tcBorders>
              <w:top w:val="single" w:color="auto" w:sz="4" w:space="0"/>
              <w:left w:val="single" w:color="auto" w:sz="4" w:space="0"/>
              <w:bottom w:val="single" w:color="auto" w:sz="4" w:space="0"/>
              <w:right w:val="single" w:color="auto" w:sz="4" w:space="0"/>
            </w:tcBorders>
          </w:tcPr>
          <w:p w14:paraId="38AD38EC">
            <w:pPr>
              <w:pStyle w:val="22"/>
              <w:keepNext w:val="0"/>
              <w:keepLines w:val="0"/>
              <w:suppressLineNumbers w:val="0"/>
              <w:adjustRightInd w:val="0"/>
              <w:snapToGrid w:val="0"/>
              <w:spacing w:before="0" w:beforeAutospacing="0" w:after="0" w:afterAutospacing="0" w:line="360" w:lineRule="auto"/>
              <w:ind w:left="0" w:right="0"/>
              <w:jc w:val="center"/>
              <w:rPr>
                <w:rFonts w:hint="default" w:hAnsi="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1927A66F">
            <w:pPr>
              <w:pStyle w:val="22"/>
              <w:keepNext w:val="0"/>
              <w:keepLines w:val="0"/>
              <w:suppressLineNumbers w:val="0"/>
              <w:adjustRightInd w:val="0"/>
              <w:snapToGrid w:val="0"/>
              <w:spacing w:before="0" w:beforeAutospacing="0" w:after="0" w:afterAutospacing="0" w:line="360" w:lineRule="auto"/>
              <w:ind w:left="0" w:right="0"/>
              <w:jc w:val="center"/>
              <w:rPr>
                <w:rFonts w:hint="default" w:hAnsi="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77F87BDD">
            <w:pPr>
              <w:pStyle w:val="22"/>
              <w:keepNext w:val="0"/>
              <w:keepLines w:val="0"/>
              <w:suppressLineNumbers w:val="0"/>
              <w:adjustRightInd w:val="0"/>
              <w:snapToGrid w:val="0"/>
              <w:spacing w:before="0" w:beforeAutospacing="0" w:after="0" w:afterAutospacing="0" w:line="360" w:lineRule="auto"/>
              <w:ind w:left="0" w:right="0"/>
              <w:jc w:val="center"/>
              <w:rPr>
                <w:rFonts w:hint="default" w:hAnsi="宋体"/>
                <w:color w:val="auto"/>
                <w:spacing w:val="20"/>
                <w:sz w:val="24"/>
                <w:highlight w:val="none"/>
              </w:rPr>
            </w:pPr>
          </w:p>
        </w:tc>
      </w:tr>
      <w:tr w14:paraId="56822BA9">
        <w:tblPrEx>
          <w:tblCellMar>
            <w:top w:w="0" w:type="dxa"/>
            <w:left w:w="108" w:type="dxa"/>
            <w:bottom w:w="0" w:type="dxa"/>
            <w:right w:w="108" w:type="dxa"/>
          </w:tblCellMar>
        </w:tblPrEx>
        <w:trPr>
          <w:trHeight w:val="238" w:hRule="atLeast"/>
        </w:trPr>
        <w:tc>
          <w:tcPr>
            <w:tcW w:w="1195" w:type="dxa"/>
            <w:vMerge w:val="continue"/>
            <w:tcBorders>
              <w:left w:val="single" w:color="auto" w:sz="4" w:space="0"/>
              <w:right w:val="single" w:color="auto" w:sz="4" w:space="0"/>
            </w:tcBorders>
            <w:vAlign w:val="center"/>
          </w:tcPr>
          <w:p w14:paraId="5564D43B">
            <w:pPr>
              <w:keepNext w:val="0"/>
              <w:keepLines w:val="0"/>
              <w:widowControl/>
              <w:suppressLineNumbers w:val="0"/>
              <w:spacing w:before="0" w:beforeAutospacing="0" w:after="0" w:afterAutospacing="0"/>
              <w:ind w:left="0" w:right="0"/>
              <w:jc w:val="center"/>
              <w:rPr>
                <w:rFonts w:hint="default" w:ascii="宋体" w:hAnsi="宋体" w:cs="楷体_GB2312"/>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1344E603">
            <w:pPr>
              <w:keepNext w:val="0"/>
              <w:keepLines w:val="0"/>
              <w:suppressLineNumbers w:val="0"/>
              <w:snapToGrid w:val="0"/>
              <w:spacing w:before="0" w:beforeAutospacing="0" w:after="0" w:afterAutospacing="0" w:line="360" w:lineRule="auto"/>
              <w:ind w:left="0" w:right="0"/>
              <w:jc w:val="center"/>
              <w:rPr>
                <w:rFonts w:hint="default" w:ascii="宋体" w:hAnsi="宋体" w:cs="楷体_GB2312"/>
                <w:bCs/>
                <w:color w:val="auto"/>
                <w:spacing w:val="10"/>
                <w:kern w:val="0"/>
                <w:sz w:val="24"/>
                <w:szCs w:val="22"/>
                <w:highlight w:val="none"/>
              </w:rPr>
            </w:pPr>
            <w:r>
              <w:rPr>
                <w:rFonts w:hint="eastAsia" w:ascii="宋体" w:hAnsi="宋体" w:cs="楷体_GB2312"/>
                <w:bCs/>
                <w:color w:val="auto"/>
                <w:spacing w:val="10"/>
                <w:kern w:val="0"/>
                <w:sz w:val="24"/>
                <w:szCs w:val="22"/>
                <w:highlight w:val="none"/>
              </w:rPr>
              <w:t>……</w:t>
            </w:r>
          </w:p>
        </w:tc>
        <w:tc>
          <w:tcPr>
            <w:tcW w:w="2001" w:type="dxa"/>
            <w:tcBorders>
              <w:top w:val="single" w:color="auto" w:sz="4" w:space="0"/>
              <w:left w:val="single" w:color="auto" w:sz="4" w:space="0"/>
              <w:bottom w:val="single" w:color="auto" w:sz="4" w:space="0"/>
              <w:right w:val="single" w:color="auto" w:sz="4" w:space="0"/>
            </w:tcBorders>
          </w:tcPr>
          <w:p w14:paraId="739547C2">
            <w:pPr>
              <w:pStyle w:val="22"/>
              <w:keepNext w:val="0"/>
              <w:keepLines w:val="0"/>
              <w:suppressLineNumbers w:val="0"/>
              <w:adjustRightInd w:val="0"/>
              <w:snapToGrid w:val="0"/>
              <w:spacing w:before="0" w:beforeAutospacing="0" w:after="0" w:afterAutospacing="0" w:line="360" w:lineRule="auto"/>
              <w:ind w:left="0" w:right="0"/>
              <w:jc w:val="center"/>
              <w:rPr>
                <w:rFonts w:hint="default" w:hAnsi="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7563B20D">
            <w:pPr>
              <w:pStyle w:val="22"/>
              <w:keepNext w:val="0"/>
              <w:keepLines w:val="0"/>
              <w:suppressLineNumbers w:val="0"/>
              <w:adjustRightInd w:val="0"/>
              <w:snapToGrid w:val="0"/>
              <w:spacing w:before="0" w:beforeAutospacing="0" w:after="0" w:afterAutospacing="0" w:line="360" w:lineRule="auto"/>
              <w:ind w:left="0" w:right="0"/>
              <w:jc w:val="center"/>
              <w:rPr>
                <w:rFonts w:hint="default" w:hAnsi="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5998C406">
            <w:pPr>
              <w:pStyle w:val="22"/>
              <w:keepNext w:val="0"/>
              <w:keepLines w:val="0"/>
              <w:suppressLineNumbers w:val="0"/>
              <w:adjustRightInd w:val="0"/>
              <w:snapToGrid w:val="0"/>
              <w:spacing w:before="0" w:beforeAutospacing="0" w:after="0" w:afterAutospacing="0" w:line="360" w:lineRule="auto"/>
              <w:ind w:left="0" w:right="0"/>
              <w:jc w:val="center"/>
              <w:rPr>
                <w:rFonts w:hint="default" w:hAnsi="宋体"/>
                <w:color w:val="auto"/>
                <w:spacing w:val="20"/>
                <w:sz w:val="24"/>
                <w:highlight w:val="none"/>
              </w:rPr>
            </w:pPr>
          </w:p>
        </w:tc>
      </w:tr>
      <w:tr w14:paraId="38B5A0C0">
        <w:tblPrEx>
          <w:tblCellMar>
            <w:top w:w="0" w:type="dxa"/>
            <w:left w:w="108" w:type="dxa"/>
            <w:bottom w:w="0" w:type="dxa"/>
            <w:right w:w="108" w:type="dxa"/>
          </w:tblCellMar>
        </w:tblPrEx>
        <w:trPr>
          <w:trHeight w:val="173" w:hRule="atLeast"/>
        </w:trPr>
        <w:tc>
          <w:tcPr>
            <w:tcW w:w="1195" w:type="dxa"/>
            <w:vMerge w:val="continue"/>
            <w:tcBorders>
              <w:left w:val="single" w:color="auto" w:sz="4" w:space="0"/>
              <w:right w:val="single" w:color="auto" w:sz="4" w:space="0"/>
            </w:tcBorders>
            <w:vAlign w:val="center"/>
          </w:tcPr>
          <w:p w14:paraId="25E75FC4">
            <w:pPr>
              <w:keepNext w:val="0"/>
              <w:keepLines w:val="0"/>
              <w:widowControl/>
              <w:suppressLineNumbers w:val="0"/>
              <w:spacing w:before="0" w:beforeAutospacing="0" w:after="0" w:afterAutospacing="0"/>
              <w:ind w:left="0" w:right="0"/>
              <w:jc w:val="center"/>
              <w:rPr>
                <w:rFonts w:hint="default" w:ascii="宋体" w:hAnsi="宋体" w:cs="楷体_GB2312"/>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15D2115B">
            <w:pPr>
              <w:keepNext w:val="0"/>
              <w:keepLines w:val="0"/>
              <w:suppressLineNumbers w:val="0"/>
              <w:spacing w:before="0" w:beforeAutospacing="0" w:after="0" w:afterAutospacing="0"/>
              <w:ind w:left="0" w:right="0"/>
              <w:jc w:val="center"/>
              <w:rPr>
                <w:rFonts w:hint="default" w:ascii="宋体" w:hAnsi="宋体" w:cs="楷体_GB2312"/>
                <w:bCs/>
                <w:color w:val="auto"/>
                <w:spacing w:val="10"/>
                <w:kern w:val="0"/>
                <w:sz w:val="24"/>
                <w:szCs w:val="22"/>
                <w:highlight w:val="none"/>
              </w:rPr>
            </w:pPr>
            <w:r>
              <w:rPr>
                <w:rFonts w:hint="eastAsia" w:ascii="宋体" w:hAnsi="宋体" w:cs="楷体_GB2312"/>
                <w:bCs/>
                <w:color w:val="auto"/>
                <w:spacing w:val="10"/>
                <w:kern w:val="0"/>
                <w:sz w:val="24"/>
                <w:szCs w:val="22"/>
                <w:highlight w:val="none"/>
              </w:rPr>
              <w:t>（技术需求响应内容）</w:t>
            </w:r>
          </w:p>
        </w:tc>
        <w:tc>
          <w:tcPr>
            <w:tcW w:w="2001" w:type="dxa"/>
            <w:tcBorders>
              <w:top w:val="single" w:color="auto" w:sz="4" w:space="0"/>
              <w:left w:val="single" w:color="auto" w:sz="4" w:space="0"/>
              <w:bottom w:val="single" w:color="auto" w:sz="4" w:space="0"/>
              <w:right w:val="single" w:color="auto" w:sz="4" w:space="0"/>
            </w:tcBorders>
          </w:tcPr>
          <w:p w14:paraId="6BA7A5E8">
            <w:pPr>
              <w:pStyle w:val="22"/>
              <w:keepNext w:val="0"/>
              <w:keepLines w:val="0"/>
              <w:suppressLineNumbers w:val="0"/>
              <w:adjustRightInd w:val="0"/>
              <w:snapToGrid w:val="0"/>
              <w:spacing w:before="0" w:beforeAutospacing="0" w:after="0" w:afterAutospacing="0" w:line="360" w:lineRule="auto"/>
              <w:ind w:left="0" w:right="0"/>
              <w:jc w:val="center"/>
              <w:rPr>
                <w:rFonts w:hint="default" w:hAnsi="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1046BFBF">
            <w:pPr>
              <w:pStyle w:val="22"/>
              <w:keepNext w:val="0"/>
              <w:keepLines w:val="0"/>
              <w:suppressLineNumbers w:val="0"/>
              <w:adjustRightInd w:val="0"/>
              <w:snapToGrid w:val="0"/>
              <w:spacing w:before="0" w:beforeAutospacing="0" w:after="0" w:afterAutospacing="0" w:line="360" w:lineRule="auto"/>
              <w:ind w:left="0" w:right="0"/>
              <w:jc w:val="center"/>
              <w:rPr>
                <w:rFonts w:hint="default" w:hAnsi="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294A99DF">
            <w:pPr>
              <w:pStyle w:val="22"/>
              <w:keepNext w:val="0"/>
              <w:keepLines w:val="0"/>
              <w:suppressLineNumbers w:val="0"/>
              <w:adjustRightInd w:val="0"/>
              <w:snapToGrid w:val="0"/>
              <w:spacing w:before="0" w:beforeAutospacing="0" w:after="0" w:afterAutospacing="0" w:line="360" w:lineRule="auto"/>
              <w:ind w:left="0" w:right="0"/>
              <w:jc w:val="center"/>
              <w:rPr>
                <w:rFonts w:hint="default" w:hAnsi="宋体"/>
                <w:color w:val="auto"/>
                <w:spacing w:val="20"/>
                <w:sz w:val="24"/>
                <w:highlight w:val="none"/>
              </w:rPr>
            </w:pPr>
          </w:p>
        </w:tc>
      </w:tr>
      <w:tr w14:paraId="0D3F2C83">
        <w:tblPrEx>
          <w:tblCellMar>
            <w:top w:w="0" w:type="dxa"/>
            <w:left w:w="108" w:type="dxa"/>
            <w:bottom w:w="0" w:type="dxa"/>
            <w:right w:w="108" w:type="dxa"/>
          </w:tblCellMar>
        </w:tblPrEx>
        <w:trPr>
          <w:trHeight w:val="227" w:hRule="atLeast"/>
        </w:trPr>
        <w:tc>
          <w:tcPr>
            <w:tcW w:w="1195" w:type="dxa"/>
            <w:vMerge w:val="continue"/>
            <w:tcBorders>
              <w:left w:val="single" w:color="auto" w:sz="4" w:space="0"/>
              <w:right w:val="single" w:color="auto" w:sz="4" w:space="0"/>
            </w:tcBorders>
            <w:vAlign w:val="center"/>
          </w:tcPr>
          <w:p w14:paraId="00FC00F0">
            <w:pPr>
              <w:keepNext w:val="0"/>
              <w:keepLines w:val="0"/>
              <w:widowControl/>
              <w:suppressLineNumbers w:val="0"/>
              <w:spacing w:before="0" w:beforeAutospacing="0" w:after="0" w:afterAutospacing="0"/>
              <w:ind w:left="0" w:right="0"/>
              <w:jc w:val="center"/>
              <w:rPr>
                <w:rFonts w:hint="default" w:ascii="宋体" w:hAnsi="宋体" w:cs="楷体_GB2312"/>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75C94F9A">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hAnsi="宋体"/>
                <w:color w:val="auto"/>
                <w:sz w:val="24"/>
                <w:highlight w:val="none"/>
              </w:rPr>
              <w:t>……</w:t>
            </w:r>
          </w:p>
        </w:tc>
        <w:tc>
          <w:tcPr>
            <w:tcW w:w="2001" w:type="dxa"/>
            <w:tcBorders>
              <w:top w:val="single" w:color="auto" w:sz="4" w:space="0"/>
              <w:left w:val="single" w:color="auto" w:sz="4" w:space="0"/>
              <w:bottom w:val="single" w:color="auto" w:sz="4" w:space="0"/>
              <w:right w:val="single" w:color="auto" w:sz="4" w:space="0"/>
            </w:tcBorders>
          </w:tcPr>
          <w:p w14:paraId="6D72E1CE">
            <w:pPr>
              <w:pStyle w:val="22"/>
              <w:keepNext w:val="0"/>
              <w:keepLines w:val="0"/>
              <w:suppressLineNumbers w:val="0"/>
              <w:adjustRightInd w:val="0"/>
              <w:snapToGrid w:val="0"/>
              <w:spacing w:before="0" w:beforeAutospacing="0" w:after="0" w:afterAutospacing="0" w:line="360" w:lineRule="auto"/>
              <w:ind w:left="0" w:right="0"/>
              <w:jc w:val="center"/>
              <w:rPr>
                <w:rFonts w:hint="default" w:hAnsi="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736A70AB">
            <w:pPr>
              <w:pStyle w:val="22"/>
              <w:keepNext w:val="0"/>
              <w:keepLines w:val="0"/>
              <w:suppressLineNumbers w:val="0"/>
              <w:adjustRightInd w:val="0"/>
              <w:snapToGrid w:val="0"/>
              <w:spacing w:before="0" w:beforeAutospacing="0" w:after="0" w:afterAutospacing="0" w:line="360" w:lineRule="auto"/>
              <w:ind w:left="0" w:right="0"/>
              <w:jc w:val="center"/>
              <w:rPr>
                <w:rFonts w:hint="default" w:hAnsi="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2C2F68BA">
            <w:pPr>
              <w:pStyle w:val="22"/>
              <w:keepNext w:val="0"/>
              <w:keepLines w:val="0"/>
              <w:suppressLineNumbers w:val="0"/>
              <w:adjustRightInd w:val="0"/>
              <w:snapToGrid w:val="0"/>
              <w:spacing w:before="0" w:beforeAutospacing="0" w:after="0" w:afterAutospacing="0" w:line="360" w:lineRule="auto"/>
              <w:ind w:left="0" w:right="0"/>
              <w:jc w:val="center"/>
              <w:rPr>
                <w:rFonts w:hint="default" w:hAnsi="宋体"/>
                <w:color w:val="auto"/>
                <w:spacing w:val="20"/>
                <w:sz w:val="24"/>
                <w:highlight w:val="none"/>
              </w:rPr>
            </w:pPr>
          </w:p>
        </w:tc>
      </w:tr>
      <w:tr w14:paraId="4238C694">
        <w:tblPrEx>
          <w:tblCellMar>
            <w:top w:w="0" w:type="dxa"/>
            <w:left w:w="108" w:type="dxa"/>
            <w:bottom w:w="0" w:type="dxa"/>
            <w:right w:w="108" w:type="dxa"/>
          </w:tblCellMar>
        </w:tblPrEx>
        <w:trPr>
          <w:trHeight w:val="90" w:hRule="atLeast"/>
        </w:trPr>
        <w:tc>
          <w:tcPr>
            <w:tcW w:w="1195" w:type="dxa"/>
            <w:vMerge w:val="continue"/>
            <w:tcBorders>
              <w:left w:val="single" w:color="auto" w:sz="4" w:space="0"/>
              <w:right w:val="single" w:color="auto" w:sz="4" w:space="0"/>
            </w:tcBorders>
            <w:vAlign w:val="center"/>
          </w:tcPr>
          <w:p w14:paraId="1AE32F48">
            <w:pPr>
              <w:keepNext w:val="0"/>
              <w:keepLines w:val="0"/>
              <w:widowControl/>
              <w:suppressLineNumbers w:val="0"/>
              <w:spacing w:before="0" w:beforeAutospacing="0" w:after="0" w:afterAutospacing="0"/>
              <w:ind w:left="0" w:right="0"/>
              <w:jc w:val="center"/>
              <w:rPr>
                <w:rFonts w:hint="default" w:ascii="宋体" w:hAnsi="宋体"/>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7400FCCB">
            <w:pPr>
              <w:keepNext w:val="0"/>
              <w:keepLines w:val="0"/>
              <w:suppressLineNumbers w:val="0"/>
              <w:spacing w:before="0" w:beforeAutospacing="0" w:after="0" w:afterAutospacing="0"/>
              <w:ind w:left="0" w:right="0"/>
              <w:jc w:val="center"/>
              <w:rPr>
                <w:rFonts w:hint="default" w:ascii="宋体" w:hAnsi="宋体"/>
                <w:color w:val="auto"/>
                <w:sz w:val="24"/>
                <w:highlight w:val="none"/>
              </w:rPr>
            </w:pPr>
          </w:p>
        </w:tc>
        <w:tc>
          <w:tcPr>
            <w:tcW w:w="2001" w:type="dxa"/>
            <w:tcBorders>
              <w:top w:val="single" w:color="auto" w:sz="4" w:space="0"/>
              <w:left w:val="single" w:color="auto" w:sz="4" w:space="0"/>
              <w:bottom w:val="single" w:color="auto" w:sz="4" w:space="0"/>
              <w:right w:val="single" w:color="auto" w:sz="4" w:space="0"/>
            </w:tcBorders>
          </w:tcPr>
          <w:p w14:paraId="662697A7">
            <w:pPr>
              <w:pStyle w:val="22"/>
              <w:keepNext w:val="0"/>
              <w:keepLines w:val="0"/>
              <w:suppressLineNumbers w:val="0"/>
              <w:adjustRightInd w:val="0"/>
              <w:snapToGrid w:val="0"/>
              <w:spacing w:before="0" w:beforeAutospacing="0" w:after="0" w:afterAutospacing="0" w:line="360" w:lineRule="auto"/>
              <w:ind w:left="0" w:right="0"/>
              <w:jc w:val="center"/>
              <w:rPr>
                <w:rFonts w:hint="default" w:hAnsi="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172F8C9D">
            <w:pPr>
              <w:pStyle w:val="22"/>
              <w:keepNext w:val="0"/>
              <w:keepLines w:val="0"/>
              <w:suppressLineNumbers w:val="0"/>
              <w:adjustRightInd w:val="0"/>
              <w:snapToGrid w:val="0"/>
              <w:spacing w:before="0" w:beforeAutospacing="0" w:after="0" w:afterAutospacing="0" w:line="360" w:lineRule="auto"/>
              <w:ind w:left="0" w:right="0"/>
              <w:jc w:val="center"/>
              <w:rPr>
                <w:rFonts w:hint="default" w:hAnsi="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10BD7F70">
            <w:pPr>
              <w:pStyle w:val="22"/>
              <w:keepNext w:val="0"/>
              <w:keepLines w:val="0"/>
              <w:suppressLineNumbers w:val="0"/>
              <w:adjustRightInd w:val="0"/>
              <w:snapToGrid w:val="0"/>
              <w:spacing w:before="0" w:beforeAutospacing="0" w:after="0" w:afterAutospacing="0" w:line="360" w:lineRule="auto"/>
              <w:ind w:left="0" w:right="0"/>
              <w:jc w:val="center"/>
              <w:rPr>
                <w:rFonts w:hint="default" w:hAnsi="宋体"/>
                <w:color w:val="auto"/>
                <w:spacing w:val="20"/>
                <w:sz w:val="24"/>
                <w:highlight w:val="none"/>
              </w:rPr>
            </w:pPr>
          </w:p>
        </w:tc>
      </w:tr>
      <w:tr w14:paraId="3233ADFD">
        <w:tblPrEx>
          <w:tblCellMar>
            <w:top w:w="0" w:type="dxa"/>
            <w:left w:w="108" w:type="dxa"/>
            <w:bottom w:w="0" w:type="dxa"/>
            <w:right w:w="108" w:type="dxa"/>
          </w:tblCellMar>
        </w:tblPrEx>
        <w:trPr>
          <w:trHeight w:val="624" w:hRule="atLeast"/>
        </w:trPr>
        <w:tc>
          <w:tcPr>
            <w:tcW w:w="1195" w:type="dxa"/>
            <w:vMerge w:val="continue"/>
            <w:tcBorders>
              <w:left w:val="single" w:color="auto" w:sz="4" w:space="0"/>
              <w:right w:val="single" w:color="auto" w:sz="4" w:space="0"/>
            </w:tcBorders>
            <w:vAlign w:val="center"/>
          </w:tcPr>
          <w:p w14:paraId="59F9CD55">
            <w:pPr>
              <w:keepNext w:val="0"/>
              <w:keepLines w:val="0"/>
              <w:widowControl/>
              <w:suppressLineNumbers w:val="0"/>
              <w:spacing w:before="0" w:beforeAutospacing="0" w:after="0" w:afterAutospacing="0"/>
              <w:ind w:left="0" w:right="0"/>
              <w:jc w:val="center"/>
              <w:rPr>
                <w:rFonts w:hint="default" w:ascii="宋体" w:hAnsi="宋体"/>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2D6CECD1">
            <w:pPr>
              <w:keepNext w:val="0"/>
              <w:keepLines w:val="0"/>
              <w:suppressLineNumbers w:val="0"/>
              <w:spacing w:before="0" w:beforeAutospacing="0" w:after="0" w:afterAutospacing="0"/>
              <w:ind w:left="0" w:right="0"/>
              <w:jc w:val="center"/>
              <w:rPr>
                <w:rFonts w:hint="default" w:ascii="宋体" w:hAnsi="宋体"/>
                <w:color w:val="auto"/>
                <w:sz w:val="24"/>
                <w:highlight w:val="none"/>
              </w:rPr>
            </w:pPr>
          </w:p>
        </w:tc>
        <w:tc>
          <w:tcPr>
            <w:tcW w:w="2001" w:type="dxa"/>
            <w:tcBorders>
              <w:top w:val="single" w:color="auto" w:sz="4" w:space="0"/>
              <w:left w:val="single" w:color="auto" w:sz="4" w:space="0"/>
              <w:bottom w:val="single" w:color="auto" w:sz="4" w:space="0"/>
              <w:right w:val="single" w:color="auto" w:sz="4" w:space="0"/>
            </w:tcBorders>
          </w:tcPr>
          <w:p w14:paraId="62F565A4">
            <w:pPr>
              <w:pStyle w:val="22"/>
              <w:keepNext w:val="0"/>
              <w:keepLines w:val="0"/>
              <w:suppressLineNumbers w:val="0"/>
              <w:adjustRightInd w:val="0"/>
              <w:snapToGrid w:val="0"/>
              <w:spacing w:before="0" w:beforeAutospacing="0" w:after="0" w:afterAutospacing="0" w:line="360" w:lineRule="auto"/>
              <w:ind w:left="0" w:right="0"/>
              <w:jc w:val="center"/>
              <w:rPr>
                <w:rFonts w:hint="default" w:hAnsi="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01203524">
            <w:pPr>
              <w:pStyle w:val="22"/>
              <w:keepNext w:val="0"/>
              <w:keepLines w:val="0"/>
              <w:suppressLineNumbers w:val="0"/>
              <w:adjustRightInd w:val="0"/>
              <w:snapToGrid w:val="0"/>
              <w:spacing w:before="0" w:beforeAutospacing="0" w:after="0" w:afterAutospacing="0" w:line="360" w:lineRule="auto"/>
              <w:ind w:left="0" w:right="0"/>
              <w:jc w:val="center"/>
              <w:rPr>
                <w:rFonts w:hint="default" w:hAnsi="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03ADF72E">
            <w:pPr>
              <w:pStyle w:val="22"/>
              <w:keepNext w:val="0"/>
              <w:keepLines w:val="0"/>
              <w:suppressLineNumbers w:val="0"/>
              <w:adjustRightInd w:val="0"/>
              <w:snapToGrid w:val="0"/>
              <w:spacing w:before="0" w:beforeAutospacing="0" w:after="0" w:afterAutospacing="0" w:line="360" w:lineRule="auto"/>
              <w:ind w:left="0" w:right="0"/>
              <w:jc w:val="center"/>
              <w:rPr>
                <w:rFonts w:hint="default" w:hAnsi="宋体"/>
                <w:color w:val="auto"/>
                <w:spacing w:val="20"/>
                <w:sz w:val="24"/>
                <w:highlight w:val="none"/>
              </w:rPr>
            </w:pPr>
          </w:p>
        </w:tc>
      </w:tr>
      <w:tr w14:paraId="4B2A7C82">
        <w:tblPrEx>
          <w:tblCellMar>
            <w:top w:w="0" w:type="dxa"/>
            <w:left w:w="108" w:type="dxa"/>
            <w:bottom w:w="0" w:type="dxa"/>
            <w:right w:w="108" w:type="dxa"/>
          </w:tblCellMar>
        </w:tblPrEx>
        <w:trPr>
          <w:trHeight w:val="237" w:hRule="atLeast"/>
        </w:trPr>
        <w:tc>
          <w:tcPr>
            <w:tcW w:w="1195" w:type="dxa"/>
            <w:vMerge w:val="continue"/>
            <w:tcBorders>
              <w:left w:val="single" w:color="auto" w:sz="4" w:space="0"/>
              <w:bottom w:val="single" w:color="auto" w:sz="4" w:space="0"/>
              <w:right w:val="single" w:color="auto" w:sz="4" w:space="0"/>
            </w:tcBorders>
            <w:vAlign w:val="center"/>
          </w:tcPr>
          <w:p w14:paraId="7DA59A7E">
            <w:pPr>
              <w:keepNext w:val="0"/>
              <w:keepLines w:val="0"/>
              <w:widowControl/>
              <w:suppressLineNumbers w:val="0"/>
              <w:spacing w:before="0" w:beforeAutospacing="0" w:after="0" w:afterAutospacing="0"/>
              <w:ind w:left="0" w:right="0"/>
              <w:jc w:val="center"/>
              <w:rPr>
                <w:rFonts w:hint="default" w:ascii="宋体" w:hAnsi="宋体"/>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6AF43799">
            <w:pPr>
              <w:keepNext w:val="0"/>
              <w:keepLines w:val="0"/>
              <w:suppressLineNumbers w:val="0"/>
              <w:spacing w:before="0" w:beforeAutospacing="0" w:after="0" w:afterAutospacing="0"/>
              <w:ind w:left="0" w:right="0"/>
              <w:jc w:val="center"/>
              <w:rPr>
                <w:rFonts w:hint="default" w:hAnsi="宋体"/>
                <w:color w:val="auto"/>
                <w:spacing w:val="20"/>
                <w:sz w:val="24"/>
                <w:highlight w:val="none"/>
              </w:rPr>
            </w:pPr>
          </w:p>
        </w:tc>
        <w:tc>
          <w:tcPr>
            <w:tcW w:w="2001" w:type="dxa"/>
            <w:tcBorders>
              <w:top w:val="single" w:color="auto" w:sz="4" w:space="0"/>
              <w:left w:val="single" w:color="auto" w:sz="4" w:space="0"/>
              <w:bottom w:val="single" w:color="auto" w:sz="4" w:space="0"/>
              <w:right w:val="single" w:color="auto" w:sz="4" w:space="0"/>
            </w:tcBorders>
          </w:tcPr>
          <w:p w14:paraId="06B8D050">
            <w:pPr>
              <w:pStyle w:val="22"/>
              <w:keepNext w:val="0"/>
              <w:keepLines w:val="0"/>
              <w:suppressLineNumbers w:val="0"/>
              <w:adjustRightInd w:val="0"/>
              <w:snapToGrid w:val="0"/>
              <w:spacing w:before="0" w:beforeAutospacing="0" w:after="0" w:afterAutospacing="0" w:line="360" w:lineRule="auto"/>
              <w:ind w:left="0" w:right="0"/>
              <w:jc w:val="center"/>
              <w:rPr>
                <w:rFonts w:hint="default" w:hAnsi="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6496616D">
            <w:pPr>
              <w:pStyle w:val="22"/>
              <w:keepNext w:val="0"/>
              <w:keepLines w:val="0"/>
              <w:suppressLineNumbers w:val="0"/>
              <w:adjustRightInd w:val="0"/>
              <w:snapToGrid w:val="0"/>
              <w:spacing w:before="0" w:beforeAutospacing="0" w:after="0" w:afterAutospacing="0" w:line="360" w:lineRule="auto"/>
              <w:ind w:left="0" w:right="0"/>
              <w:jc w:val="center"/>
              <w:rPr>
                <w:rFonts w:hint="default" w:hAnsi="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5B3F508C">
            <w:pPr>
              <w:pStyle w:val="22"/>
              <w:keepNext w:val="0"/>
              <w:keepLines w:val="0"/>
              <w:suppressLineNumbers w:val="0"/>
              <w:adjustRightInd w:val="0"/>
              <w:snapToGrid w:val="0"/>
              <w:spacing w:before="0" w:beforeAutospacing="0" w:after="0" w:afterAutospacing="0" w:line="360" w:lineRule="auto"/>
              <w:ind w:left="0" w:right="0"/>
              <w:jc w:val="center"/>
              <w:rPr>
                <w:rFonts w:hint="default" w:hAnsi="宋体"/>
                <w:color w:val="auto"/>
                <w:spacing w:val="20"/>
                <w:sz w:val="24"/>
                <w:highlight w:val="none"/>
              </w:rPr>
            </w:pPr>
          </w:p>
        </w:tc>
      </w:tr>
    </w:tbl>
    <w:p w14:paraId="3AA51050">
      <w:pPr>
        <w:pStyle w:val="57"/>
        <w:tabs>
          <w:tab w:val="left" w:pos="360"/>
        </w:tabs>
        <w:spacing w:line="360" w:lineRule="auto"/>
        <w:ind w:right="84" w:rightChars="40" w:firstLine="422" w:firstLineChars="200"/>
        <w:rPr>
          <w:rFonts w:ascii="宋体"/>
          <w:color w:val="auto"/>
          <w:szCs w:val="21"/>
          <w:highlight w:val="none"/>
        </w:rPr>
      </w:pPr>
      <w:r>
        <w:rPr>
          <w:rFonts w:hint="eastAsia" w:ascii="宋体"/>
          <w:b/>
          <w:color w:val="auto"/>
          <w:szCs w:val="21"/>
          <w:highlight w:val="none"/>
        </w:rPr>
        <w:t>要求：</w:t>
      </w:r>
      <w:r>
        <w:rPr>
          <w:rFonts w:hint="eastAsia" w:ascii="宋体"/>
          <w:color w:val="auto"/>
          <w:szCs w:val="21"/>
          <w:highlight w:val="none"/>
        </w:rPr>
        <w:t>1. 本表参照本招标文件第四章“公开招标需求”填制，投标人应根据招标需求</w:t>
      </w:r>
      <w:r>
        <w:rPr>
          <w:rFonts w:ascii="宋体"/>
          <w:color w:val="auto"/>
          <w:szCs w:val="21"/>
          <w:highlight w:val="none"/>
        </w:rPr>
        <w:t>的</w:t>
      </w:r>
      <w:r>
        <w:rPr>
          <w:rFonts w:hint="eastAsia" w:ascii="宋体"/>
          <w:color w:val="auto"/>
          <w:szCs w:val="21"/>
          <w:highlight w:val="none"/>
        </w:rPr>
        <w:t>服务指标，对照招标文件要求在“偏离情况”栏注明“正偏离”、“负偏离”或“无偏离”。</w:t>
      </w:r>
    </w:p>
    <w:p w14:paraId="2A83338B">
      <w:pPr>
        <w:pStyle w:val="57"/>
        <w:tabs>
          <w:tab w:val="left" w:pos="360"/>
        </w:tabs>
        <w:spacing w:line="360" w:lineRule="auto"/>
        <w:ind w:right="84" w:rightChars="40" w:firstLine="420" w:firstLineChars="200"/>
        <w:rPr>
          <w:rFonts w:ascii="宋体"/>
          <w:color w:val="auto"/>
          <w:szCs w:val="21"/>
          <w:highlight w:val="none"/>
        </w:rPr>
      </w:pPr>
      <w:r>
        <w:rPr>
          <w:rFonts w:hint="eastAsia" w:ascii="宋体"/>
          <w:color w:val="auto"/>
          <w:szCs w:val="21"/>
          <w:highlight w:val="none"/>
        </w:rPr>
        <w:t>2.</w:t>
      </w:r>
      <w:r>
        <w:rPr>
          <w:rFonts w:hint="eastAsia"/>
          <w:color w:val="auto"/>
          <w:highlight w:val="none"/>
        </w:rPr>
        <w:t xml:space="preserve"> </w:t>
      </w:r>
      <w:r>
        <w:rPr>
          <w:rFonts w:hint="eastAsia" w:ascii="宋体"/>
          <w:color w:val="auto"/>
          <w:szCs w:val="21"/>
          <w:highlight w:val="none"/>
        </w:rPr>
        <w:t>如未提供或未填写均视为完全相应采购需求内容。</w:t>
      </w:r>
    </w:p>
    <w:p w14:paraId="3109A9DA">
      <w:pPr>
        <w:pStyle w:val="57"/>
        <w:tabs>
          <w:tab w:val="left" w:pos="360"/>
        </w:tabs>
        <w:spacing w:line="360" w:lineRule="auto"/>
        <w:ind w:right="84" w:rightChars="40"/>
        <w:rPr>
          <w:rFonts w:ascii="宋体" w:hAnsi="宋体"/>
          <w:color w:val="auto"/>
          <w:sz w:val="24"/>
          <w:highlight w:val="none"/>
        </w:rPr>
      </w:pPr>
    </w:p>
    <w:p w14:paraId="7DD2A4B9">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3B34C78B">
      <w:pPr>
        <w:spacing w:line="360" w:lineRule="auto"/>
        <w:ind w:left="420"/>
        <w:rPr>
          <w:rFonts w:ascii="宋体" w:hAnsi="宋体"/>
          <w:color w:val="auto"/>
          <w:sz w:val="24"/>
          <w:highlight w:val="none"/>
        </w:rPr>
      </w:pPr>
    </w:p>
    <w:p w14:paraId="2B15DDAC">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14:paraId="57678BE0">
      <w:pPr>
        <w:spacing w:line="360" w:lineRule="auto"/>
        <w:ind w:firstLine="435"/>
        <w:rPr>
          <w:rFonts w:ascii="宋体" w:hAnsi="宋体"/>
          <w:color w:val="auto"/>
          <w:sz w:val="24"/>
          <w:highlight w:val="none"/>
        </w:rPr>
      </w:pPr>
    </w:p>
    <w:p w14:paraId="4F8EFC40">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227462BF">
      <w:pPr>
        <w:spacing w:line="360" w:lineRule="auto"/>
        <w:rPr>
          <w:rFonts w:ascii="宋体" w:hAnsi="宋体"/>
          <w:color w:val="auto"/>
          <w:sz w:val="24"/>
          <w:highlight w:val="none"/>
        </w:rPr>
      </w:pPr>
    </w:p>
    <w:p w14:paraId="2F26F325">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5B168EB7">
      <w:pPr>
        <w:pStyle w:val="58"/>
        <w:spacing w:line="360" w:lineRule="auto"/>
        <w:jc w:val="left"/>
        <w:rPr>
          <w:rFonts w:ascii="宋体" w:hAnsi="宋体"/>
          <w:b/>
          <w:color w:val="auto"/>
          <w:sz w:val="28"/>
          <w:highlight w:val="none"/>
        </w:rPr>
        <w:sectPr>
          <w:pgSz w:w="11906" w:h="16838"/>
          <w:pgMar w:top="1440" w:right="1800" w:bottom="1440" w:left="1800" w:header="851" w:footer="992" w:gutter="0"/>
          <w:pgNumType w:fmt="numberInDash"/>
          <w:cols w:space="425" w:num="1"/>
          <w:docGrid w:type="lines" w:linePitch="312" w:charSpace="0"/>
        </w:sectPr>
      </w:pPr>
    </w:p>
    <w:p w14:paraId="33B230B4">
      <w:pPr>
        <w:pStyle w:val="58"/>
        <w:spacing w:line="360" w:lineRule="auto"/>
        <w:jc w:val="left"/>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14:paraId="0C027CBB">
      <w:pPr>
        <w:pStyle w:val="59"/>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证书一览表</w:t>
      </w:r>
    </w:p>
    <w:p w14:paraId="732D92C4">
      <w:pPr>
        <w:pStyle w:val="59"/>
        <w:spacing w:line="360" w:lineRule="auto"/>
        <w:jc w:val="center"/>
        <w:rPr>
          <w:rFonts w:ascii="宋体" w:hAnsi="宋体" w:cs="Arial"/>
          <w:color w:val="auto"/>
          <w:sz w:val="28"/>
          <w:szCs w:val="28"/>
          <w:highlight w:val="none"/>
        </w:rPr>
      </w:pPr>
    </w:p>
    <w:tbl>
      <w:tblPr>
        <w:tblStyle w:val="35"/>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935B3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7FD6EF20">
            <w:pPr>
              <w:pStyle w:val="59"/>
              <w:keepNext w:val="0"/>
              <w:keepLines w:val="0"/>
              <w:suppressLineNumbers w:val="0"/>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single" w:color="auto" w:sz="4" w:space="0"/>
              <w:bottom w:val="single" w:color="auto" w:sz="4" w:space="0"/>
            </w:tcBorders>
          </w:tcPr>
          <w:p w14:paraId="22A5E7C2">
            <w:pPr>
              <w:pStyle w:val="59"/>
              <w:keepNext w:val="0"/>
              <w:keepLines w:val="0"/>
              <w:suppressLineNumbers w:val="0"/>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tcPr>
          <w:p w14:paraId="2C0D11CE">
            <w:pPr>
              <w:pStyle w:val="59"/>
              <w:keepNext w:val="0"/>
              <w:keepLines w:val="0"/>
              <w:suppressLineNumbers w:val="0"/>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tcPr>
          <w:p w14:paraId="506B2115">
            <w:pPr>
              <w:pStyle w:val="59"/>
              <w:keepNext w:val="0"/>
              <w:keepLines w:val="0"/>
              <w:suppressLineNumbers w:val="0"/>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证书有效期</w:t>
            </w:r>
          </w:p>
        </w:tc>
      </w:tr>
      <w:tr w14:paraId="432E86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50998F79">
            <w:pPr>
              <w:pStyle w:val="59"/>
              <w:keepNext w:val="0"/>
              <w:keepLines w:val="0"/>
              <w:suppressLineNumbers w:val="0"/>
              <w:spacing w:before="0" w:beforeAutospacing="0" w:after="0" w:afterAutospacing="0" w:line="360" w:lineRule="auto"/>
              <w:ind w:left="0" w:right="0"/>
              <w:jc w:val="center"/>
              <w:rPr>
                <w:rFonts w:hint="default" w:ascii="宋体" w:hAnsi="宋体" w:cs="Arial"/>
                <w:color w:val="auto"/>
                <w:szCs w:val="21"/>
                <w:highlight w:val="none"/>
              </w:rPr>
            </w:pPr>
          </w:p>
        </w:tc>
        <w:tc>
          <w:tcPr>
            <w:tcW w:w="2258" w:type="dxa"/>
            <w:tcBorders>
              <w:top w:val="single" w:color="auto" w:sz="4" w:space="0"/>
            </w:tcBorders>
          </w:tcPr>
          <w:p w14:paraId="114D4BD2">
            <w:pPr>
              <w:pStyle w:val="59"/>
              <w:keepNext w:val="0"/>
              <w:keepLines w:val="0"/>
              <w:suppressLineNumbers w:val="0"/>
              <w:spacing w:before="0" w:beforeAutospacing="0" w:after="0" w:afterAutospacing="0" w:line="360" w:lineRule="auto"/>
              <w:ind w:left="0" w:right="0"/>
              <w:jc w:val="center"/>
              <w:rPr>
                <w:rFonts w:hint="default" w:ascii="宋体" w:hAnsi="宋体" w:cs="Arial"/>
                <w:color w:val="auto"/>
                <w:szCs w:val="21"/>
                <w:highlight w:val="none"/>
              </w:rPr>
            </w:pPr>
          </w:p>
        </w:tc>
        <w:tc>
          <w:tcPr>
            <w:tcW w:w="2260" w:type="dxa"/>
            <w:tcBorders>
              <w:top w:val="single" w:color="auto" w:sz="4" w:space="0"/>
            </w:tcBorders>
          </w:tcPr>
          <w:p w14:paraId="2289836B">
            <w:pPr>
              <w:pStyle w:val="59"/>
              <w:keepNext w:val="0"/>
              <w:keepLines w:val="0"/>
              <w:suppressLineNumbers w:val="0"/>
              <w:spacing w:before="0" w:beforeAutospacing="0" w:after="0" w:afterAutospacing="0" w:line="360" w:lineRule="auto"/>
              <w:ind w:left="0" w:right="0"/>
              <w:jc w:val="center"/>
              <w:rPr>
                <w:rFonts w:hint="default" w:ascii="宋体" w:hAnsi="宋体" w:cs="Arial"/>
                <w:color w:val="auto"/>
                <w:szCs w:val="21"/>
                <w:highlight w:val="none"/>
              </w:rPr>
            </w:pPr>
          </w:p>
        </w:tc>
        <w:tc>
          <w:tcPr>
            <w:tcW w:w="2047" w:type="dxa"/>
            <w:tcBorders>
              <w:top w:val="single" w:color="auto" w:sz="4" w:space="0"/>
              <w:right w:val="single" w:color="auto" w:sz="4" w:space="0"/>
            </w:tcBorders>
          </w:tcPr>
          <w:p w14:paraId="5FAE1321">
            <w:pPr>
              <w:pStyle w:val="59"/>
              <w:keepNext w:val="0"/>
              <w:keepLines w:val="0"/>
              <w:suppressLineNumbers w:val="0"/>
              <w:spacing w:before="0" w:beforeAutospacing="0" w:after="0" w:afterAutospacing="0" w:line="360" w:lineRule="auto"/>
              <w:ind w:left="0" w:right="0"/>
              <w:jc w:val="center"/>
              <w:rPr>
                <w:rFonts w:hint="default" w:ascii="宋体" w:hAnsi="宋体" w:cs="Arial"/>
                <w:color w:val="auto"/>
                <w:szCs w:val="21"/>
                <w:highlight w:val="none"/>
              </w:rPr>
            </w:pPr>
          </w:p>
        </w:tc>
      </w:tr>
      <w:tr w14:paraId="2CBD04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B617085">
            <w:pPr>
              <w:pStyle w:val="59"/>
              <w:keepNext w:val="0"/>
              <w:keepLines w:val="0"/>
              <w:suppressLineNumbers w:val="0"/>
              <w:spacing w:before="0" w:beforeAutospacing="0" w:after="0" w:afterAutospacing="0" w:line="360" w:lineRule="auto"/>
              <w:ind w:left="0" w:right="0"/>
              <w:jc w:val="center"/>
              <w:rPr>
                <w:rFonts w:hint="default" w:ascii="宋体" w:hAnsi="宋体" w:cs="Arial"/>
                <w:color w:val="auto"/>
                <w:szCs w:val="21"/>
                <w:highlight w:val="none"/>
              </w:rPr>
            </w:pPr>
          </w:p>
        </w:tc>
        <w:tc>
          <w:tcPr>
            <w:tcW w:w="2258" w:type="dxa"/>
          </w:tcPr>
          <w:p w14:paraId="340574CB">
            <w:pPr>
              <w:pStyle w:val="59"/>
              <w:keepNext w:val="0"/>
              <w:keepLines w:val="0"/>
              <w:suppressLineNumbers w:val="0"/>
              <w:spacing w:before="0" w:beforeAutospacing="0" w:after="0" w:afterAutospacing="0" w:line="360" w:lineRule="auto"/>
              <w:ind w:left="0" w:right="0"/>
              <w:jc w:val="center"/>
              <w:rPr>
                <w:rFonts w:hint="default" w:ascii="宋体" w:hAnsi="宋体" w:cs="Arial"/>
                <w:color w:val="auto"/>
                <w:szCs w:val="21"/>
                <w:highlight w:val="none"/>
              </w:rPr>
            </w:pPr>
          </w:p>
        </w:tc>
        <w:tc>
          <w:tcPr>
            <w:tcW w:w="2260" w:type="dxa"/>
          </w:tcPr>
          <w:p w14:paraId="1202E2EB">
            <w:pPr>
              <w:pStyle w:val="59"/>
              <w:keepNext w:val="0"/>
              <w:keepLines w:val="0"/>
              <w:suppressLineNumbers w:val="0"/>
              <w:spacing w:before="0" w:beforeAutospacing="0" w:after="0" w:afterAutospacing="0" w:line="360" w:lineRule="auto"/>
              <w:ind w:left="0" w:right="0"/>
              <w:jc w:val="center"/>
              <w:rPr>
                <w:rFonts w:hint="default" w:ascii="宋体" w:hAnsi="宋体" w:cs="Arial"/>
                <w:color w:val="auto"/>
                <w:szCs w:val="21"/>
                <w:highlight w:val="none"/>
              </w:rPr>
            </w:pPr>
          </w:p>
        </w:tc>
        <w:tc>
          <w:tcPr>
            <w:tcW w:w="2047" w:type="dxa"/>
            <w:tcBorders>
              <w:right w:val="single" w:color="auto" w:sz="4" w:space="0"/>
            </w:tcBorders>
          </w:tcPr>
          <w:p w14:paraId="44235F99">
            <w:pPr>
              <w:pStyle w:val="59"/>
              <w:keepNext w:val="0"/>
              <w:keepLines w:val="0"/>
              <w:suppressLineNumbers w:val="0"/>
              <w:spacing w:before="0" w:beforeAutospacing="0" w:after="0" w:afterAutospacing="0" w:line="360" w:lineRule="auto"/>
              <w:ind w:left="0" w:right="0"/>
              <w:jc w:val="center"/>
              <w:rPr>
                <w:rFonts w:hint="default" w:ascii="宋体" w:hAnsi="宋体" w:cs="Arial"/>
                <w:color w:val="auto"/>
                <w:szCs w:val="21"/>
                <w:highlight w:val="none"/>
              </w:rPr>
            </w:pPr>
          </w:p>
        </w:tc>
      </w:tr>
      <w:tr w14:paraId="48936A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7B62636">
            <w:pPr>
              <w:pStyle w:val="59"/>
              <w:keepNext w:val="0"/>
              <w:keepLines w:val="0"/>
              <w:suppressLineNumbers w:val="0"/>
              <w:spacing w:before="0" w:beforeAutospacing="0" w:after="0" w:afterAutospacing="0" w:line="360" w:lineRule="auto"/>
              <w:ind w:left="0" w:right="0"/>
              <w:jc w:val="center"/>
              <w:rPr>
                <w:rFonts w:hint="default" w:ascii="宋体" w:hAnsi="宋体" w:cs="Arial"/>
                <w:color w:val="auto"/>
                <w:szCs w:val="21"/>
                <w:highlight w:val="none"/>
              </w:rPr>
            </w:pPr>
          </w:p>
        </w:tc>
        <w:tc>
          <w:tcPr>
            <w:tcW w:w="2258" w:type="dxa"/>
          </w:tcPr>
          <w:p w14:paraId="3871FC93">
            <w:pPr>
              <w:pStyle w:val="59"/>
              <w:keepNext w:val="0"/>
              <w:keepLines w:val="0"/>
              <w:suppressLineNumbers w:val="0"/>
              <w:spacing w:before="0" w:beforeAutospacing="0" w:after="0" w:afterAutospacing="0" w:line="360" w:lineRule="auto"/>
              <w:ind w:left="0" w:right="0"/>
              <w:jc w:val="center"/>
              <w:rPr>
                <w:rFonts w:hint="default" w:ascii="宋体" w:hAnsi="宋体" w:cs="Arial"/>
                <w:color w:val="auto"/>
                <w:szCs w:val="21"/>
                <w:highlight w:val="none"/>
              </w:rPr>
            </w:pPr>
          </w:p>
        </w:tc>
        <w:tc>
          <w:tcPr>
            <w:tcW w:w="2260" w:type="dxa"/>
          </w:tcPr>
          <w:p w14:paraId="4F44D65F">
            <w:pPr>
              <w:pStyle w:val="59"/>
              <w:keepNext w:val="0"/>
              <w:keepLines w:val="0"/>
              <w:suppressLineNumbers w:val="0"/>
              <w:spacing w:before="0" w:beforeAutospacing="0" w:after="0" w:afterAutospacing="0" w:line="360" w:lineRule="auto"/>
              <w:ind w:left="0" w:right="0"/>
              <w:jc w:val="center"/>
              <w:rPr>
                <w:rFonts w:hint="default" w:ascii="宋体" w:hAnsi="宋体" w:cs="Arial"/>
                <w:color w:val="auto"/>
                <w:szCs w:val="21"/>
                <w:highlight w:val="none"/>
              </w:rPr>
            </w:pPr>
          </w:p>
        </w:tc>
        <w:tc>
          <w:tcPr>
            <w:tcW w:w="2047" w:type="dxa"/>
            <w:tcBorders>
              <w:right w:val="single" w:color="auto" w:sz="4" w:space="0"/>
            </w:tcBorders>
          </w:tcPr>
          <w:p w14:paraId="310BE913">
            <w:pPr>
              <w:pStyle w:val="59"/>
              <w:keepNext w:val="0"/>
              <w:keepLines w:val="0"/>
              <w:suppressLineNumbers w:val="0"/>
              <w:spacing w:before="0" w:beforeAutospacing="0" w:after="0" w:afterAutospacing="0" w:line="360" w:lineRule="auto"/>
              <w:ind w:left="0" w:right="0"/>
              <w:jc w:val="center"/>
              <w:rPr>
                <w:rFonts w:hint="default" w:ascii="宋体" w:hAnsi="宋体" w:cs="Arial"/>
                <w:color w:val="auto"/>
                <w:szCs w:val="21"/>
                <w:highlight w:val="none"/>
              </w:rPr>
            </w:pPr>
          </w:p>
        </w:tc>
      </w:tr>
      <w:tr w14:paraId="70B592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BE78DB9">
            <w:pPr>
              <w:pStyle w:val="59"/>
              <w:keepNext w:val="0"/>
              <w:keepLines w:val="0"/>
              <w:suppressLineNumbers w:val="0"/>
              <w:spacing w:before="0" w:beforeAutospacing="0" w:after="0" w:afterAutospacing="0" w:line="360" w:lineRule="auto"/>
              <w:ind w:left="0" w:right="0"/>
              <w:jc w:val="center"/>
              <w:rPr>
                <w:rFonts w:hint="default" w:ascii="宋体" w:hAnsi="宋体" w:cs="Arial"/>
                <w:color w:val="auto"/>
                <w:szCs w:val="21"/>
                <w:highlight w:val="none"/>
              </w:rPr>
            </w:pPr>
          </w:p>
        </w:tc>
        <w:tc>
          <w:tcPr>
            <w:tcW w:w="2258" w:type="dxa"/>
          </w:tcPr>
          <w:p w14:paraId="5244F7B2">
            <w:pPr>
              <w:pStyle w:val="59"/>
              <w:keepNext w:val="0"/>
              <w:keepLines w:val="0"/>
              <w:suppressLineNumbers w:val="0"/>
              <w:spacing w:before="0" w:beforeAutospacing="0" w:after="0" w:afterAutospacing="0" w:line="360" w:lineRule="auto"/>
              <w:ind w:left="0" w:right="0"/>
              <w:jc w:val="center"/>
              <w:rPr>
                <w:rFonts w:hint="default" w:ascii="宋体" w:hAnsi="宋体" w:cs="Arial"/>
                <w:color w:val="auto"/>
                <w:szCs w:val="21"/>
                <w:highlight w:val="none"/>
              </w:rPr>
            </w:pPr>
          </w:p>
        </w:tc>
        <w:tc>
          <w:tcPr>
            <w:tcW w:w="2260" w:type="dxa"/>
          </w:tcPr>
          <w:p w14:paraId="4626EA14">
            <w:pPr>
              <w:pStyle w:val="59"/>
              <w:keepNext w:val="0"/>
              <w:keepLines w:val="0"/>
              <w:suppressLineNumbers w:val="0"/>
              <w:spacing w:before="0" w:beforeAutospacing="0" w:after="0" w:afterAutospacing="0" w:line="360" w:lineRule="auto"/>
              <w:ind w:left="0" w:right="0"/>
              <w:jc w:val="center"/>
              <w:rPr>
                <w:rFonts w:hint="default" w:ascii="宋体" w:hAnsi="宋体" w:cs="Arial"/>
                <w:color w:val="auto"/>
                <w:szCs w:val="21"/>
                <w:highlight w:val="none"/>
              </w:rPr>
            </w:pPr>
          </w:p>
        </w:tc>
        <w:tc>
          <w:tcPr>
            <w:tcW w:w="2047" w:type="dxa"/>
            <w:tcBorders>
              <w:right w:val="single" w:color="auto" w:sz="4" w:space="0"/>
            </w:tcBorders>
          </w:tcPr>
          <w:p w14:paraId="0EEC8465">
            <w:pPr>
              <w:pStyle w:val="59"/>
              <w:keepNext w:val="0"/>
              <w:keepLines w:val="0"/>
              <w:suppressLineNumbers w:val="0"/>
              <w:spacing w:before="0" w:beforeAutospacing="0" w:after="0" w:afterAutospacing="0" w:line="360" w:lineRule="auto"/>
              <w:ind w:left="0" w:right="0"/>
              <w:jc w:val="center"/>
              <w:rPr>
                <w:rFonts w:hint="default" w:ascii="宋体" w:hAnsi="宋体" w:cs="Arial"/>
                <w:color w:val="auto"/>
                <w:szCs w:val="21"/>
                <w:highlight w:val="none"/>
              </w:rPr>
            </w:pPr>
          </w:p>
        </w:tc>
      </w:tr>
      <w:tr w14:paraId="507A74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D0C9938">
            <w:pPr>
              <w:pStyle w:val="59"/>
              <w:keepNext w:val="0"/>
              <w:keepLines w:val="0"/>
              <w:suppressLineNumbers w:val="0"/>
              <w:spacing w:before="0" w:beforeAutospacing="0" w:after="0" w:afterAutospacing="0" w:line="360" w:lineRule="auto"/>
              <w:ind w:left="0" w:right="0"/>
              <w:jc w:val="center"/>
              <w:rPr>
                <w:rFonts w:hint="default" w:ascii="宋体" w:hAnsi="宋体" w:cs="Arial"/>
                <w:color w:val="auto"/>
                <w:szCs w:val="21"/>
                <w:highlight w:val="none"/>
              </w:rPr>
            </w:pPr>
          </w:p>
        </w:tc>
        <w:tc>
          <w:tcPr>
            <w:tcW w:w="2258" w:type="dxa"/>
          </w:tcPr>
          <w:p w14:paraId="54377E8E">
            <w:pPr>
              <w:pStyle w:val="59"/>
              <w:keepNext w:val="0"/>
              <w:keepLines w:val="0"/>
              <w:suppressLineNumbers w:val="0"/>
              <w:spacing w:before="0" w:beforeAutospacing="0" w:after="0" w:afterAutospacing="0" w:line="360" w:lineRule="auto"/>
              <w:ind w:left="0" w:right="0"/>
              <w:jc w:val="center"/>
              <w:rPr>
                <w:rFonts w:hint="default" w:ascii="宋体" w:hAnsi="宋体" w:cs="Arial"/>
                <w:color w:val="auto"/>
                <w:szCs w:val="21"/>
                <w:highlight w:val="none"/>
              </w:rPr>
            </w:pPr>
          </w:p>
        </w:tc>
        <w:tc>
          <w:tcPr>
            <w:tcW w:w="2260" w:type="dxa"/>
          </w:tcPr>
          <w:p w14:paraId="3BCCBDC1">
            <w:pPr>
              <w:pStyle w:val="59"/>
              <w:keepNext w:val="0"/>
              <w:keepLines w:val="0"/>
              <w:suppressLineNumbers w:val="0"/>
              <w:spacing w:before="0" w:beforeAutospacing="0" w:after="0" w:afterAutospacing="0" w:line="360" w:lineRule="auto"/>
              <w:ind w:left="0" w:right="0"/>
              <w:jc w:val="center"/>
              <w:rPr>
                <w:rFonts w:hint="default" w:ascii="宋体" w:hAnsi="宋体" w:cs="Arial"/>
                <w:color w:val="auto"/>
                <w:szCs w:val="21"/>
                <w:highlight w:val="none"/>
              </w:rPr>
            </w:pPr>
          </w:p>
        </w:tc>
        <w:tc>
          <w:tcPr>
            <w:tcW w:w="2047" w:type="dxa"/>
            <w:tcBorders>
              <w:right w:val="single" w:color="auto" w:sz="4" w:space="0"/>
            </w:tcBorders>
          </w:tcPr>
          <w:p w14:paraId="14CA3534">
            <w:pPr>
              <w:pStyle w:val="59"/>
              <w:keepNext w:val="0"/>
              <w:keepLines w:val="0"/>
              <w:suppressLineNumbers w:val="0"/>
              <w:spacing w:before="0" w:beforeAutospacing="0" w:after="0" w:afterAutospacing="0" w:line="360" w:lineRule="auto"/>
              <w:ind w:left="0" w:right="0"/>
              <w:jc w:val="center"/>
              <w:rPr>
                <w:rFonts w:hint="default" w:ascii="宋体" w:hAnsi="宋体" w:cs="Arial"/>
                <w:color w:val="auto"/>
                <w:szCs w:val="21"/>
                <w:highlight w:val="none"/>
              </w:rPr>
            </w:pPr>
          </w:p>
        </w:tc>
      </w:tr>
      <w:tr w14:paraId="0D8718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077C869">
            <w:pPr>
              <w:pStyle w:val="59"/>
              <w:keepNext w:val="0"/>
              <w:keepLines w:val="0"/>
              <w:suppressLineNumbers w:val="0"/>
              <w:spacing w:before="0" w:beforeAutospacing="0" w:after="0" w:afterAutospacing="0" w:line="360" w:lineRule="auto"/>
              <w:ind w:left="0" w:right="0"/>
              <w:jc w:val="center"/>
              <w:rPr>
                <w:rFonts w:hint="default" w:ascii="宋体" w:hAnsi="宋体" w:cs="Arial"/>
                <w:color w:val="auto"/>
                <w:szCs w:val="21"/>
                <w:highlight w:val="none"/>
              </w:rPr>
            </w:pPr>
          </w:p>
        </w:tc>
        <w:tc>
          <w:tcPr>
            <w:tcW w:w="2258" w:type="dxa"/>
          </w:tcPr>
          <w:p w14:paraId="5C5A54EF">
            <w:pPr>
              <w:pStyle w:val="59"/>
              <w:keepNext w:val="0"/>
              <w:keepLines w:val="0"/>
              <w:suppressLineNumbers w:val="0"/>
              <w:spacing w:before="0" w:beforeAutospacing="0" w:after="0" w:afterAutospacing="0" w:line="360" w:lineRule="auto"/>
              <w:ind w:left="0" w:right="0"/>
              <w:jc w:val="center"/>
              <w:rPr>
                <w:rFonts w:hint="default" w:ascii="宋体" w:hAnsi="宋体" w:cs="Arial"/>
                <w:color w:val="auto"/>
                <w:szCs w:val="21"/>
                <w:highlight w:val="none"/>
              </w:rPr>
            </w:pPr>
          </w:p>
        </w:tc>
        <w:tc>
          <w:tcPr>
            <w:tcW w:w="2260" w:type="dxa"/>
          </w:tcPr>
          <w:p w14:paraId="5D8E3B5D">
            <w:pPr>
              <w:pStyle w:val="59"/>
              <w:keepNext w:val="0"/>
              <w:keepLines w:val="0"/>
              <w:suppressLineNumbers w:val="0"/>
              <w:spacing w:before="0" w:beforeAutospacing="0" w:after="0" w:afterAutospacing="0" w:line="360" w:lineRule="auto"/>
              <w:ind w:left="0" w:right="0"/>
              <w:jc w:val="center"/>
              <w:rPr>
                <w:rFonts w:hint="default" w:ascii="宋体" w:hAnsi="宋体" w:cs="Arial"/>
                <w:color w:val="auto"/>
                <w:szCs w:val="21"/>
                <w:highlight w:val="none"/>
              </w:rPr>
            </w:pPr>
          </w:p>
        </w:tc>
        <w:tc>
          <w:tcPr>
            <w:tcW w:w="2047" w:type="dxa"/>
            <w:tcBorders>
              <w:right w:val="single" w:color="auto" w:sz="4" w:space="0"/>
            </w:tcBorders>
          </w:tcPr>
          <w:p w14:paraId="766A3FD1">
            <w:pPr>
              <w:pStyle w:val="59"/>
              <w:keepNext w:val="0"/>
              <w:keepLines w:val="0"/>
              <w:suppressLineNumbers w:val="0"/>
              <w:spacing w:before="0" w:beforeAutospacing="0" w:after="0" w:afterAutospacing="0" w:line="360" w:lineRule="auto"/>
              <w:ind w:left="0" w:right="0"/>
              <w:jc w:val="center"/>
              <w:rPr>
                <w:rFonts w:hint="default" w:ascii="宋体" w:hAnsi="宋体" w:cs="Arial"/>
                <w:color w:val="auto"/>
                <w:szCs w:val="21"/>
                <w:highlight w:val="none"/>
              </w:rPr>
            </w:pPr>
          </w:p>
        </w:tc>
      </w:tr>
      <w:tr w14:paraId="481865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431A13D5">
            <w:pPr>
              <w:pStyle w:val="59"/>
              <w:keepNext w:val="0"/>
              <w:keepLines w:val="0"/>
              <w:suppressLineNumbers w:val="0"/>
              <w:spacing w:before="0" w:beforeAutospacing="0" w:after="0" w:afterAutospacing="0" w:line="360" w:lineRule="auto"/>
              <w:ind w:left="0" w:right="0"/>
              <w:jc w:val="center"/>
              <w:rPr>
                <w:rFonts w:hint="default" w:ascii="宋体" w:hAnsi="宋体" w:cs="Arial"/>
                <w:color w:val="auto"/>
                <w:szCs w:val="21"/>
                <w:highlight w:val="none"/>
              </w:rPr>
            </w:pPr>
          </w:p>
        </w:tc>
        <w:tc>
          <w:tcPr>
            <w:tcW w:w="2258" w:type="dxa"/>
            <w:tcBorders>
              <w:bottom w:val="single" w:color="auto" w:sz="4" w:space="0"/>
            </w:tcBorders>
          </w:tcPr>
          <w:p w14:paraId="2F1DFF0F">
            <w:pPr>
              <w:pStyle w:val="59"/>
              <w:keepNext w:val="0"/>
              <w:keepLines w:val="0"/>
              <w:suppressLineNumbers w:val="0"/>
              <w:spacing w:before="0" w:beforeAutospacing="0" w:after="0" w:afterAutospacing="0" w:line="360" w:lineRule="auto"/>
              <w:ind w:left="0" w:right="0"/>
              <w:jc w:val="center"/>
              <w:rPr>
                <w:rFonts w:hint="default" w:ascii="宋体" w:hAnsi="宋体" w:cs="Arial"/>
                <w:color w:val="auto"/>
                <w:szCs w:val="21"/>
                <w:highlight w:val="none"/>
              </w:rPr>
            </w:pPr>
          </w:p>
        </w:tc>
        <w:tc>
          <w:tcPr>
            <w:tcW w:w="2260" w:type="dxa"/>
            <w:tcBorders>
              <w:bottom w:val="single" w:color="auto" w:sz="4" w:space="0"/>
            </w:tcBorders>
          </w:tcPr>
          <w:p w14:paraId="21533892">
            <w:pPr>
              <w:pStyle w:val="59"/>
              <w:keepNext w:val="0"/>
              <w:keepLines w:val="0"/>
              <w:suppressLineNumbers w:val="0"/>
              <w:spacing w:before="0" w:beforeAutospacing="0" w:after="0" w:afterAutospacing="0" w:line="360" w:lineRule="auto"/>
              <w:ind w:left="0" w:right="0"/>
              <w:jc w:val="center"/>
              <w:rPr>
                <w:rFonts w:hint="default" w:ascii="宋体" w:hAnsi="宋体" w:cs="Arial"/>
                <w:color w:val="auto"/>
                <w:szCs w:val="21"/>
                <w:highlight w:val="none"/>
              </w:rPr>
            </w:pPr>
          </w:p>
        </w:tc>
        <w:tc>
          <w:tcPr>
            <w:tcW w:w="2047" w:type="dxa"/>
            <w:tcBorders>
              <w:bottom w:val="single" w:color="auto" w:sz="4" w:space="0"/>
              <w:right w:val="single" w:color="auto" w:sz="4" w:space="0"/>
            </w:tcBorders>
          </w:tcPr>
          <w:p w14:paraId="2668ED79">
            <w:pPr>
              <w:pStyle w:val="59"/>
              <w:keepNext w:val="0"/>
              <w:keepLines w:val="0"/>
              <w:suppressLineNumbers w:val="0"/>
              <w:spacing w:before="0" w:beforeAutospacing="0" w:after="0" w:afterAutospacing="0" w:line="360" w:lineRule="auto"/>
              <w:ind w:left="0" w:right="0"/>
              <w:jc w:val="center"/>
              <w:rPr>
                <w:rFonts w:hint="default" w:ascii="宋体" w:hAnsi="宋体" w:cs="Arial"/>
                <w:color w:val="auto"/>
                <w:szCs w:val="21"/>
                <w:highlight w:val="none"/>
              </w:rPr>
            </w:pPr>
          </w:p>
        </w:tc>
      </w:tr>
    </w:tbl>
    <w:p w14:paraId="025498E9">
      <w:pPr>
        <w:pStyle w:val="59"/>
        <w:tabs>
          <w:tab w:val="left" w:pos="1050"/>
        </w:tabs>
        <w:spacing w:line="360" w:lineRule="auto"/>
        <w:rPr>
          <w:rFonts w:ascii="仿宋_GB2312" w:hAnsi="宋体" w:eastAsia="仿宋_GB2312"/>
          <w:color w:val="auto"/>
          <w:sz w:val="24"/>
          <w:highlight w:val="none"/>
        </w:rPr>
      </w:pPr>
    </w:p>
    <w:p w14:paraId="5B15F3C5">
      <w:pPr>
        <w:pStyle w:val="59"/>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048031A2">
      <w:pPr>
        <w:pStyle w:val="59"/>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1.填写投标人获得资质、认证或企业信誉证书；</w:t>
      </w:r>
    </w:p>
    <w:p w14:paraId="7122F65B">
      <w:pPr>
        <w:pStyle w:val="59"/>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2.附所列证书扫描件或其他证明材料。</w:t>
      </w:r>
    </w:p>
    <w:p w14:paraId="63D13586">
      <w:pPr>
        <w:pStyle w:val="59"/>
        <w:tabs>
          <w:tab w:val="left" w:pos="1050"/>
        </w:tabs>
        <w:spacing w:line="360" w:lineRule="auto"/>
        <w:ind w:firstLine="720" w:firstLineChars="300"/>
        <w:rPr>
          <w:rFonts w:ascii="仿宋_GB2312" w:hAnsi="宋体" w:eastAsia="仿宋_GB2312"/>
          <w:color w:val="auto"/>
          <w:sz w:val="24"/>
          <w:highlight w:val="none"/>
        </w:rPr>
      </w:pPr>
    </w:p>
    <w:p w14:paraId="6BC5E734">
      <w:pPr>
        <w:pStyle w:val="59"/>
        <w:tabs>
          <w:tab w:val="left" w:pos="1050"/>
        </w:tabs>
        <w:spacing w:line="360" w:lineRule="auto"/>
        <w:ind w:firstLine="720" w:firstLineChars="300"/>
        <w:rPr>
          <w:rFonts w:ascii="仿宋_GB2312" w:hAnsi="宋体" w:eastAsia="仿宋_GB2312"/>
          <w:color w:val="auto"/>
          <w:sz w:val="24"/>
          <w:highlight w:val="none"/>
        </w:rPr>
      </w:pPr>
    </w:p>
    <w:p w14:paraId="61EE2C34">
      <w:pPr>
        <w:pStyle w:val="59"/>
        <w:tabs>
          <w:tab w:val="left" w:pos="1050"/>
        </w:tabs>
        <w:spacing w:line="360" w:lineRule="auto"/>
        <w:ind w:firstLine="720" w:firstLineChars="300"/>
        <w:rPr>
          <w:rFonts w:ascii="仿宋_GB2312" w:hAnsi="宋体" w:eastAsia="仿宋_GB2312"/>
          <w:color w:val="auto"/>
          <w:sz w:val="24"/>
          <w:highlight w:val="none"/>
        </w:rPr>
      </w:pPr>
    </w:p>
    <w:p w14:paraId="5DA1277D">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64CFB574">
      <w:pPr>
        <w:spacing w:line="360" w:lineRule="auto"/>
        <w:ind w:left="420"/>
        <w:rPr>
          <w:rFonts w:ascii="宋体" w:hAnsi="宋体"/>
          <w:color w:val="auto"/>
          <w:sz w:val="24"/>
          <w:highlight w:val="none"/>
        </w:rPr>
      </w:pPr>
    </w:p>
    <w:p w14:paraId="4FB7EDC5">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投标人代表签字或盖章：</w:t>
      </w:r>
    </w:p>
    <w:p w14:paraId="099EF7D6">
      <w:pPr>
        <w:spacing w:line="360" w:lineRule="auto"/>
        <w:ind w:firstLine="435"/>
        <w:rPr>
          <w:rFonts w:ascii="宋体" w:hAnsi="宋体"/>
          <w:color w:val="auto"/>
          <w:sz w:val="24"/>
          <w:highlight w:val="none"/>
        </w:rPr>
      </w:pPr>
    </w:p>
    <w:p w14:paraId="00E71196">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职        务：</w:t>
      </w:r>
    </w:p>
    <w:p w14:paraId="1AD1C0C2">
      <w:pPr>
        <w:spacing w:line="360" w:lineRule="auto"/>
        <w:ind w:firstLine="424" w:firstLineChars="177"/>
        <w:rPr>
          <w:rFonts w:ascii="宋体" w:hAnsi="宋体"/>
          <w:color w:val="auto"/>
          <w:sz w:val="24"/>
          <w:highlight w:val="none"/>
        </w:rPr>
      </w:pPr>
    </w:p>
    <w:p w14:paraId="1871C46D">
      <w:pPr>
        <w:spacing w:line="360" w:lineRule="auto"/>
        <w:ind w:firstLine="371" w:firstLineChars="177"/>
        <w:rPr>
          <w:b/>
          <w:bCs/>
          <w:color w:val="auto"/>
          <w:spacing w:val="11"/>
          <w:highlight w:val="none"/>
        </w:rPr>
      </w:pPr>
      <w:r>
        <w:rPr>
          <w:rFonts w:hint="eastAsia"/>
          <w:color w:val="auto"/>
          <w:highlight w:val="none"/>
        </w:rPr>
        <w:t>日        期：：</w:t>
      </w:r>
    </w:p>
    <w:p w14:paraId="3B3A4F95">
      <w:pPr>
        <w:spacing w:line="360" w:lineRule="auto"/>
        <w:rPr>
          <w:rFonts w:ascii="宋体" w:hAnsi="宋体"/>
          <w:b/>
          <w:color w:val="auto"/>
          <w:sz w:val="28"/>
          <w:highlight w:val="none"/>
        </w:rPr>
      </w:pPr>
    </w:p>
    <w:p w14:paraId="24875901">
      <w:pPr>
        <w:spacing w:line="360" w:lineRule="auto"/>
        <w:rPr>
          <w:rFonts w:ascii="宋体" w:hAnsi="宋体"/>
          <w:b/>
          <w:color w:val="auto"/>
          <w:sz w:val="28"/>
          <w:highlight w:val="none"/>
        </w:rPr>
      </w:pPr>
    </w:p>
    <w:p w14:paraId="5753696A">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14:paraId="540AFCAF">
      <w:pPr>
        <w:pStyle w:val="58"/>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投标人类似项目实施情况一览表</w:t>
      </w:r>
    </w:p>
    <w:p w14:paraId="45752062">
      <w:pPr>
        <w:pStyle w:val="58"/>
        <w:spacing w:line="360" w:lineRule="auto"/>
        <w:jc w:val="center"/>
        <w:rPr>
          <w:rFonts w:ascii="仿宋_GB2312" w:eastAsia="仿宋_GB2312"/>
          <w:b/>
          <w:color w:val="auto"/>
          <w:sz w:val="28"/>
          <w:szCs w:val="28"/>
          <w:highlight w:val="none"/>
        </w:rPr>
      </w:pPr>
    </w:p>
    <w:tbl>
      <w:tblPr>
        <w:tblStyle w:val="35"/>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45336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100F3533">
            <w:pPr>
              <w:pStyle w:val="58"/>
              <w:keepNext w:val="0"/>
              <w:keepLines w:val="0"/>
              <w:suppressLineNumbers w:val="0"/>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0104F494">
            <w:pPr>
              <w:pStyle w:val="58"/>
              <w:keepNext w:val="0"/>
              <w:keepLines w:val="0"/>
              <w:suppressLineNumbers w:val="0"/>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2C143E41">
            <w:pPr>
              <w:pStyle w:val="58"/>
              <w:keepNext w:val="0"/>
              <w:keepLines w:val="0"/>
              <w:suppressLineNumbers w:val="0"/>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2C22CDCC">
            <w:pPr>
              <w:pStyle w:val="58"/>
              <w:keepNext w:val="0"/>
              <w:keepLines w:val="0"/>
              <w:suppressLineNumbers w:val="0"/>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01DC3361">
            <w:pPr>
              <w:pStyle w:val="58"/>
              <w:keepNext w:val="0"/>
              <w:keepLines w:val="0"/>
              <w:suppressLineNumbers w:val="0"/>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24A44743">
            <w:pPr>
              <w:pStyle w:val="58"/>
              <w:keepNext w:val="0"/>
              <w:keepLines w:val="0"/>
              <w:suppressLineNumbers w:val="0"/>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4A243953">
            <w:pPr>
              <w:pStyle w:val="58"/>
              <w:keepNext w:val="0"/>
              <w:keepLines w:val="0"/>
              <w:suppressLineNumbers w:val="0"/>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14:paraId="75A4B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44785530">
            <w:pPr>
              <w:pStyle w:val="58"/>
              <w:keepNext w:val="0"/>
              <w:keepLines w:val="0"/>
              <w:suppressLineNumbers w:val="0"/>
              <w:spacing w:before="0" w:beforeAutospacing="0" w:after="0" w:afterAutospacing="0" w:line="360" w:lineRule="auto"/>
              <w:ind w:left="0" w:right="0"/>
              <w:jc w:val="center"/>
              <w:rPr>
                <w:rFonts w:hint="default" w:ascii="宋体" w:hAnsi="宋体" w:cs="Arial"/>
                <w:color w:val="auto"/>
                <w:sz w:val="24"/>
                <w:highlight w:val="none"/>
              </w:rPr>
            </w:pPr>
            <w:r>
              <w:rPr>
                <w:rFonts w:hint="eastAsia"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586E4596">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78211D4">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40452C2">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7C6CF15">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60ECCCE">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0E7190E">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r>
      <w:tr w14:paraId="5D49B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7C3B7850">
            <w:pPr>
              <w:pStyle w:val="58"/>
              <w:keepNext w:val="0"/>
              <w:keepLines w:val="0"/>
              <w:suppressLineNumbers w:val="0"/>
              <w:spacing w:before="0" w:beforeAutospacing="0" w:after="0" w:afterAutospacing="0" w:line="360" w:lineRule="auto"/>
              <w:ind w:left="0" w:right="0"/>
              <w:jc w:val="center"/>
              <w:rPr>
                <w:rFonts w:hint="default" w:ascii="宋体" w:hAnsi="宋体" w:cs="Arial"/>
                <w:color w:val="auto"/>
                <w:sz w:val="24"/>
                <w:highlight w:val="none"/>
              </w:rPr>
            </w:pPr>
            <w:r>
              <w:rPr>
                <w:rFonts w:hint="eastAsia"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08641BD9">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67689E90">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A538AA1">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8FCA48B">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D232A2B">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5C55B1F">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r>
      <w:tr w14:paraId="19032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5B21E7A4">
            <w:pPr>
              <w:pStyle w:val="58"/>
              <w:keepNext w:val="0"/>
              <w:keepLines w:val="0"/>
              <w:suppressLineNumbers w:val="0"/>
              <w:spacing w:before="0" w:beforeAutospacing="0" w:after="0" w:afterAutospacing="0" w:line="360" w:lineRule="auto"/>
              <w:ind w:left="0" w:right="0"/>
              <w:jc w:val="center"/>
              <w:rPr>
                <w:rFonts w:hint="default" w:ascii="宋体" w:hAnsi="宋体" w:cs="Arial"/>
                <w:color w:val="auto"/>
                <w:sz w:val="24"/>
                <w:highlight w:val="none"/>
              </w:rPr>
            </w:pPr>
            <w:r>
              <w:rPr>
                <w:rFonts w:hint="eastAsia"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2931DEF0">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0BAE96D">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1E87F80">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D1962C4">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8AFBB58">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F835484">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r>
      <w:tr w14:paraId="70807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499D64D">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3313B8CF">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385321E">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C508F33">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8542140">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CB29A26">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4F96053">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r>
      <w:tr w14:paraId="12949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D76FFBD">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7D3CA17E">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80D2E80">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D56AE99">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5847484">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C658ED6">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54ED339">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r>
      <w:tr w14:paraId="3FA7B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A4BDC8A">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762921E8">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50CBA0C">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D602351">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B4688CF">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1A9825B">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5D44BB5">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r>
      <w:tr w14:paraId="58436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B436E14">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34F53628">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668826F4">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EF66854">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DEDDBAF">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B6C487F">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361D429">
            <w:pPr>
              <w:pStyle w:val="58"/>
              <w:keepNext w:val="0"/>
              <w:keepLines w:val="0"/>
              <w:suppressLineNumbers w:val="0"/>
              <w:spacing w:before="0" w:beforeAutospacing="0" w:after="0" w:afterAutospacing="0" w:line="360" w:lineRule="auto"/>
              <w:ind w:left="0" w:right="0"/>
              <w:rPr>
                <w:rFonts w:hint="default" w:ascii="宋体" w:hAnsi="宋体" w:cs="Arial"/>
                <w:color w:val="auto"/>
                <w:sz w:val="24"/>
                <w:highlight w:val="none"/>
              </w:rPr>
            </w:pPr>
          </w:p>
        </w:tc>
      </w:tr>
    </w:tbl>
    <w:p w14:paraId="2A4836AD">
      <w:pPr>
        <w:autoSpaceDE w:val="0"/>
        <w:autoSpaceDN w:val="0"/>
        <w:adjustRightInd w:val="0"/>
        <w:spacing w:before="156"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4AD0639F">
      <w:pPr>
        <w:autoSpaceDE w:val="0"/>
        <w:autoSpaceDN w:val="0"/>
        <w:adjustRightInd w:val="0"/>
        <w:spacing w:before="156" w:beforeLines="50" w:line="360" w:lineRule="auto"/>
        <w:ind w:firstLine="424" w:firstLineChars="202"/>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扫描件可只提供首页、含金额页、盖章页并加盖投标人公章</w:t>
      </w:r>
      <w:r>
        <w:rPr>
          <w:rFonts w:ascii="宋体" w:hAnsi="宋体" w:cs="Arial"/>
          <w:color w:val="auto"/>
          <w:szCs w:val="21"/>
          <w:highlight w:val="none"/>
        </w:rPr>
        <w:t>）；</w:t>
      </w:r>
    </w:p>
    <w:p w14:paraId="5B627E45">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.报价供应商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403D7D74">
      <w:pPr>
        <w:spacing w:line="360" w:lineRule="auto"/>
        <w:rPr>
          <w:rFonts w:ascii="宋体" w:hAnsi="宋体"/>
          <w:color w:val="auto"/>
          <w:sz w:val="22"/>
          <w:szCs w:val="22"/>
          <w:highlight w:val="none"/>
        </w:rPr>
      </w:pPr>
    </w:p>
    <w:p w14:paraId="3FAB3B37">
      <w:pPr>
        <w:spacing w:line="360" w:lineRule="auto"/>
        <w:rPr>
          <w:rFonts w:ascii="宋体" w:hAnsi="宋体"/>
          <w:color w:val="auto"/>
          <w:sz w:val="22"/>
          <w:szCs w:val="22"/>
          <w:highlight w:val="none"/>
        </w:rPr>
      </w:pPr>
    </w:p>
    <w:p w14:paraId="67DF6A3B">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2A435230">
      <w:pPr>
        <w:spacing w:line="360" w:lineRule="auto"/>
        <w:ind w:left="420"/>
        <w:rPr>
          <w:rFonts w:ascii="宋体" w:hAnsi="宋体"/>
          <w:color w:val="auto"/>
          <w:sz w:val="24"/>
          <w:highlight w:val="none"/>
        </w:rPr>
      </w:pPr>
    </w:p>
    <w:p w14:paraId="1858A927">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14:paraId="1AB1AD24">
      <w:pPr>
        <w:spacing w:line="360" w:lineRule="auto"/>
        <w:ind w:firstLine="435"/>
        <w:rPr>
          <w:rFonts w:ascii="宋体" w:hAnsi="宋体"/>
          <w:color w:val="auto"/>
          <w:sz w:val="24"/>
          <w:highlight w:val="none"/>
        </w:rPr>
      </w:pPr>
    </w:p>
    <w:p w14:paraId="4C23981E">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218A892A">
      <w:pPr>
        <w:spacing w:line="360" w:lineRule="auto"/>
        <w:rPr>
          <w:rFonts w:ascii="宋体" w:hAnsi="宋体"/>
          <w:color w:val="auto"/>
          <w:sz w:val="24"/>
          <w:highlight w:val="none"/>
        </w:rPr>
      </w:pPr>
    </w:p>
    <w:p w14:paraId="38B2A2A6">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00045127">
      <w:pPr>
        <w:spacing w:line="360" w:lineRule="auto"/>
        <w:jc w:val="center"/>
        <w:outlineLvl w:val="2"/>
        <w:rPr>
          <w:rFonts w:ascii="宋体" w:hAnsi="宋体" w:cs="宋体"/>
          <w:color w:val="auto"/>
          <w:sz w:val="24"/>
          <w:highlight w:val="none"/>
          <w:u w:val="single"/>
        </w:rPr>
      </w:pPr>
    </w:p>
    <w:p w14:paraId="0BAF6282">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1</w:t>
      </w:r>
    </w:p>
    <w:p w14:paraId="3D51D43E">
      <w:pPr>
        <w:spacing w:line="360" w:lineRule="auto"/>
        <w:ind w:firstLine="435"/>
        <w:jc w:val="center"/>
        <w:rPr>
          <w:rFonts w:ascii="宋体" w:hAnsi="宋体"/>
          <w:b/>
          <w:color w:val="auto"/>
          <w:sz w:val="32"/>
          <w:szCs w:val="32"/>
          <w:highlight w:val="none"/>
        </w:rPr>
      </w:pPr>
      <w:r>
        <w:rPr>
          <w:rFonts w:hint="eastAsia" w:ascii="宋体" w:hAnsi="宋体"/>
          <w:b/>
          <w:color w:val="auto"/>
          <w:sz w:val="32"/>
          <w:szCs w:val="32"/>
          <w:highlight w:val="none"/>
        </w:rPr>
        <w:t>售后服务情况表</w:t>
      </w:r>
    </w:p>
    <w:p w14:paraId="0B32C7AD">
      <w:pPr>
        <w:spacing w:line="360" w:lineRule="auto"/>
        <w:ind w:firstLine="435"/>
        <w:jc w:val="center"/>
        <w:rPr>
          <w:rFonts w:ascii="宋体" w:hAnsi="宋体"/>
          <w:b/>
          <w:color w:val="auto"/>
          <w:sz w:val="36"/>
          <w:szCs w:val="36"/>
          <w:highlight w:val="none"/>
        </w:rPr>
      </w:pPr>
    </w:p>
    <w:tbl>
      <w:tblPr>
        <w:tblStyle w:val="35"/>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83C84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2074F8A5">
            <w:pPr>
              <w:pStyle w:val="60"/>
              <w:keepNext w:val="0"/>
              <w:keepLines w:val="0"/>
              <w:suppressLineNumbers w:val="0"/>
              <w:spacing w:before="0" w:beforeAutospacing="0" w:after="0" w:afterAutospacing="0" w:line="360" w:lineRule="auto"/>
              <w:ind w:left="0" w:right="0"/>
              <w:jc w:val="center"/>
              <w:rPr>
                <w:rFonts w:hint="default" w:ascii="宋体" w:hAnsi="宋体" w:cs="Arial"/>
                <w:b/>
                <w:color w:val="auto"/>
                <w:sz w:val="24"/>
                <w:highlight w:val="none"/>
              </w:rPr>
            </w:pPr>
            <w:r>
              <w:rPr>
                <w:rFonts w:hint="eastAsia" w:ascii="宋体" w:hAnsi="宋体" w:cs="Arial"/>
                <w:b/>
                <w:color w:val="auto"/>
                <w:sz w:val="24"/>
                <w:highlight w:val="none"/>
              </w:rPr>
              <w:t>序号</w:t>
            </w:r>
          </w:p>
        </w:tc>
        <w:tc>
          <w:tcPr>
            <w:tcW w:w="2355" w:type="dxa"/>
            <w:vAlign w:val="center"/>
          </w:tcPr>
          <w:p w14:paraId="751BA9B6">
            <w:pPr>
              <w:pStyle w:val="60"/>
              <w:keepNext w:val="0"/>
              <w:keepLines w:val="0"/>
              <w:suppressLineNumbers w:val="0"/>
              <w:spacing w:before="0" w:beforeAutospacing="0" w:after="0" w:afterAutospacing="0" w:line="360" w:lineRule="auto"/>
              <w:ind w:left="0" w:right="0"/>
              <w:jc w:val="center"/>
              <w:rPr>
                <w:rFonts w:hint="default" w:ascii="宋体" w:hAnsi="宋体" w:cs="Arial"/>
                <w:b/>
                <w:color w:val="auto"/>
                <w:sz w:val="24"/>
                <w:highlight w:val="none"/>
              </w:rPr>
            </w:pPr>
            <w:r>
              <w:rPr>
                <w:rFonts w:hint="eastAsia" w:ascii="宋体" w:hAnsi="宋体" w:cs="Arial"/>
                <w:b/>
                <w:color w:val="auto"/>
                <w:sz w:val="24"/>
                <w:highlight w:val="none"/>
              </w:rPr>
              <w:t>项目</w:t>
            </w:r>
          </w:p>
        </w:tc>
        <w:tc>
          <w:tcPr>
            <w:tcW w:w="4061" w:type="dxa"/>
            <w:vAlign w:val="center"/>
          </w:tcPr>
          <w:p w14:paraId="55D997D6">
            <w:pPr>
              <w:pStyle w:val="60"/>
              <w:keepNext w:val="0"/>
              <w:keepLines w:val="0"/>
              <w:suppressLineNumbers w:val="0"/>
              <w:spacing w:before="0" w:beforeAutospacing="0" w:after="0" w:afterAutospacing="0" w:line="360" w:lineRule="auto"/>
              <w:ind w:left="0" w:right="0"/>
              <w:jc w:val="center"/>
              <w:rPr>
                <w:rFonts w:hint="default" w:ascii="宋体" w:hAnsi="宋体" w:cs="Arial"/>
                <w:b/>
                <w:color w:val="auto"/>
                <w:sz w:val="24"/>
                <w:highlight w:val="none"/>
              </w:rPr>
            </w:pPr>
            <w:r>
              <w:rPr>
                <w:rFonts w:hint="eastAsia" w:ascii="宋体" w:hAnsi="宋体" w:cs="Arial"/>
                <w:b/>
                <w:color w:val="auto"/>
                <w:sz w:val="24"/>
                <w:highlight w:val="none"/>
              </w:rPr>
              <w:t>投标人情况</w:t>
            </w:r>
          </w:p>
        </w:tc>
        <w:tc>
          <w:tcPr>
            <w:tcW w:w="1373" w:type="dxa"/>
            <w:vAlign w:val="center"/>
          </w:tcPr>
          <w:p w14:paraId="16839A27">
            <w:pPr>
              <w:pStyle w:val="60"/>
              <w:keepNext w:val="0"/>
              <w:keepLines w:val="0"/>
              <w:suppressLineNumbers w:val="0"/>
              <w:spacing w:before="0" w:beforeAutospacing="0" w:after="0" w:afterAutospacing="0" w:line="360" w:lineRule="auto"/>
              <w:ind w:left="0" w:right="0"/>
              <w:jc w:val="center"/>
              <w:rPr>
                <w:rFonts w:hint="default" w:ascii="宋体" w:hAnsi="宋体" w:cs="Arial"/>
                <w:b/>
                <w:color w:val="auto"/>
                <w:sz w:val="24"/>
                <w:highlight w:val="none"/>
              </w:rPr>
            </w:pPr>
            <w:r>
              <w:rPr>
                <w:rFonts w:hint="eastAsia" w:ascii="宋体" w:hAnsi="宋体" w:cs="Arial"/>
                <w:b/>
                <w:color w:val="auto"/>
                <w:sz w:val="24"/>
                <w:highlight w:val="none"/>
              </w:rPr>
              <w:t>备注</w:t>
            </w:r>
          </w:p>
        </w:tc>
      </w:tr>
      <w:tr w14:paraId="71BB29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69C6BDC3">
            <w:pPr>
              <w:pStyle w:val="60"/>
              <w:keepNext w:val="0"/>
              <w:keepLines w:val="0"/>
              <w:suppressLineNumbers w:val="0"/>
              <w:spacing w:before="0" w:beforeAutospacing="0" w:after="0" w:afterAutospacing="0" w:line="360" w:lineRule="auto"/>
              <w:ind w:left="0" w:right="0"/>
              <w:jc w:val="center"/>
              <w:rPr>
                <w:rFonts w:hint="default" w:ascii="宋体" w:hAnsi="宋体" w:cs="Arial"/>
                <w:bCs/>
                <w:color w:val="auto"/>
                <w:sz w:val="24"/>
                <w:highlight w:val="none"/>
              </w:rPr>
            </w:pPr>
            <w:r>
              <w:rPr>
                <w:rFonts w:hint="eastAsia" w:ascii="宋体" w:hAnsi="宋体" w:cs="Arial"/>
                <w:bCs/>
                <w:color w:val="auto"/>
                <w:sz w:val="24"/>
                <w:highlight w:val="none"/>
              </w:rPr>
              <w:t>1</w:t>
            </w:r>
          </w:p>
        </w:tc>
        <w:tc>
          <w:tcPr>
            <w:tcW w:w="2355" w:type="dxa"/>
            <w:vMerge w:val="restart"/>
            <w:vAlign w:val="center"/>
          </w:tcPr>
          <w:p w14:paraId="40D0239B">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color w:val="auto"/>
                <w:sz w:val="24"/>
                <w:highlight w:val="none"/>
              </w:rPr>
            </w:pPr>
            <w:r>
              <w:rPr>
                <w:rFonts w:hint="eastAsia" w:ascii="宋体" w:hAnsi="宋体" w:cs="Arial"/>
                <w:bCs/>
                <w:color w:val="auto"/>
                <w:sz w:val="24"/>
                <w:highlight w:val="none"/>
              </w:rPr>
              <w:t>服务期内服务情况(</w:t>
            </w:r>
            <w:r>
              <w:rPr>
                <w:rFonts w:hint="default" w:ascii="宋体" w:hAnsi="宋体" w:cs="Arial"/>
                <w:bCs/>
                <w:color w:val="auto"/>
                <w:sz w:val="24"/>
                <w:highlight w:val="none"/>
              </w:rPr>
              <w:t>服务</w:t>
            </w:r>
            <w:r>
              <w:rPr>
                <w:rFonts w:hint="eastAsia" w:ascii="宋体" w:hAnsi="宋体" w:cs="Arial"/>
                <w:bCs/>
                <w:color w:val="auto"/>
                <w:sz w:val="24"/>
                <w:highlight w:val="none"/>
              </w:rPr>
              <w:t>方式、服务网点</w:t>
            </w:r>
            <w:r>
              <w:rPr>
                <w:rFonts w:hint="default" w:ascii="宋体" w:hAnsi="宋体" w:cs="Arial"/>
                <w:bCs/>
                <w:color w:val="auto"/>
                <w:sz w:val="24"/>
                <w:highlight w:val="none"/>
              </w:rPr>
              <w:t>、售后服务的内容和措施</w:t>
            </w:r>
            <w:r>
              <w:rPr>
                <w:rFonts w:hint="eastAsia" w:ascii="宋体" w:hAnsi="宋体" w:cs="Arial"/>
                <w:bCs/>
                <w:color w:val="auto"/>
                <w:sz w:val="24"/>
                <w:highlight w:val="none"/>
              </w:rPr>
              <w:t>等等，可用附页和宣传材料)</w:t>
            </w:r>
          </w:p>
        </w:tc>
        <w:tc>
          <w:tcPr>
            <w:tcW w:w="4061" w:type="dxa"/>
          </w:tcPr>
          <w:p w14:paraId="6EE166E5">
            <w:pPr>
              <w:pStyle w:val="60"/>
              <w:keepNext w:val="0"/>
              <w:keepLines w:val="0"/>
              <w:suppressLineNumbers w:val="0"/>
              <w:spacing w:before="0" w:beforeAutospacing="0" w:after="0" w:afterAutospacing="0" w:line="360" w:lineRule="auto"/>
              <w:ind w:left="0" w:right="0"/>
              <w:rPr>
                <w:rFonts w:hint="default" w:ascii="宋体" w:hAnsi="宋体" w:cs="Arial"/>
                <w:bCs/>
                <w:color w:val="auto"/>
                <w:sz w:val="24"/>
                <w:highlight w:val="none"/>
              </w:rPr>
            </w:pPr>
            <w:r>
              <w:rPr>
                <w:rFonts w:hint="eastAsia" w:ascii="宋体" w:hAnsi="宋体" w:cs="Arial"/>
                <w:bCs/>
                <w:color w:val="auto"/>
                <w:sz w:val="24"/>
                <w:highlight w:val="none"/>
              </w:rPr>
              <w:t>服务期内服务情况：</w:t>
            </w:r>
          </w:p>
        </w:tc>
        <w:tc>
          <w:tcPr>
            <w:tcW w:w="1373" w:type="dxa"/>
          </w:tcPr>
          <w:p w14:paraId="141F2DE0">
            <w:pPr>
              <w:pStyle w:val="60"/>
              <w:keepNext w:val="0"/>
              <w:keepLines w:val="0"/>
              <w:suppressLineNumbers w:val="0"/>
              <w:spacing w:before="0" w:beforeAutospacing="0" w:after="0" w:afterAutospacing="0" w:line="360" w:lineRule="auto"/>
              <w:ind w:left="0" w:right="0"/>
              <w:rPr>
                <w:rFonts w:hint="default" w:ascii="宋体" w:hAnsi="宋体" w:cs="Arial"/>
                <w:bCs/>
                <w:color w:val="auto"/>
                <w:sz w:val="24"/>
                <w:highlight w:val="none"/>
              </w:rPr>
            </w:pPr>
          </w:p>
        </w:tc>
      </w:tr>
      <w:tr w14:paraId="78D17A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3BA558E6">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color w:val="auto"/>
                <w:sz w:val="24"/>
                <w:highlight w:val="none"/>
              </w:rPr>
            </w:pPr>
          </w:p>
        </w:tc>
        <w:tc>
          <w:tcPr>
            <w:tcW w:w="2355" w:type="dxa"/>
            <w:vMerge w:val="continue"/>
            <w:vAlign w:val="center"/>
          </w:tcPr>
          <w:p w14:paraId="56418DC5">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color w:val="auto"/>
                <w:sz w:val="24"/>
                <w:highlight w:val="none"/>
              </w:rPr>
            </w:pPr>
          </w:p>
        </w:tc>
        <w:tc>
          <w:tcPr>
            <w:tcW w:w="4061" w:type="dxa"/>
          </w:tcPr>
          <w:p w14:paraId="2B03A615">
            <w:pPr>
              <w:pStyle w:val="60"/>
              <w:keepNext w:val="0"/>
              <w:keepLines w:val="0"/>
              <w:suppressLineNumbers w:val="0"/>
              <w:spacing w:before="0" w:beforeAutospacing="0" w:after="0" w:afterAutospacing="0" w:line="360" w:lineRule="auto"/>
              <w:ind w:left="0" w:right="0"/>
              <w:rPr>
                <w:rFonts w:hint="default" w:ascii="宋体" w:hAns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14:paraId="71B155F0">
            <w:pPr>
              <w:pStyle w:val="60"/>
              <w:keepNext w:val="0"/>
              <w:keepLines w:val="0"/>
              <w:suppressLineNumbers w:val="0"/>
              <w:spacing w:before="0" w:beforeAutospacing="0" w:after="0" w:afterAutospacing="0" w:line="360" w:lineRule="auto"/>
              <w:ind w:left="0" w:right="0"/>
              <w:jc w:val="left"/>
              <w:rPr>
                <w:rFonts w:hint="default" w:ascii="宋体" w:hAnsi="宋体" w:cs="Arial"/>
                <w:bCs/>
                <w:color w:val="auto"/>
                <w:sz w:val="24"/>
                <w:highlight w:val="none"/>
              </w:rPr>
            </w:pPr>
          </w:p>
        </w:tc>
      </w:tr>
      <w:tr w14:paraId="11F5F4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62" w:hRule="exact"/>
          <w:jc w:val="center"/>
        </w:trPr>
        <w:tc>
          <w:tcPr>
            <w:tcW w:w="739" w:type="dxa"/>
            <w:vAlign w:val="center"/>
          </w:tcPr>
          <w:p w14:paraId="03FA17B4">
            <w:pPr>
              <w:pStyle w:val="60"/>
              <w:keepNext w:val="0"/>
              <w:keepLines w:val="0"/>
              <w:suppressLineNumbers w:val="0"/>
              <w:spacing w:before="0" w:beforeAutospacing="0" w:after="0" w:afterAutospacing="0" w:line="360" w:lineRule="auto"/>
              <w:ind w:left="0" w:right="0"/>
              <w:jc w:val="center"/>
              <w:rPr>
                <w:rFonts w:hint="default" w:ascii="宋体" w:hAnsi="宋体" w:cs="Arial"/>
                <w:bCs/>
                <w:color w:val="auto"/>
                <w:sz w:val="24"/>
                <w:highlight w:val="none"/>
              </w:rPr>
            </w:pPr>
            <w:r>
              <w:rPr>
                <w:rFonts w:hint="eastAsia" w:ascii="宋体" w:hAnsi="宋体" w:cs="Arial"/>
                <w:bCs/>
                <w:color w:val="auto"/>
                <w:sz w:val="24"/>
                <w:highlight w:val="none"/>
              </w:rPr>
              <w:t>2</w:t>
            </w:r>
          </w:p>
        </w:tc>
        <w:tc>
          <w:tcPr>
            <w:tcW w:w="2355" w:type="dxa"/>
            <w:vAlign w:val="center"/>
          </w:tcPr>
          <w:p w14:paraId="1F4242D5">
            <w:pPr>
              <w:pStyle w:val="60"/>
              <w:keepNext w:val="0"/>
              <w:keepLines w:val="0"/>
              <w:suppressLineNumbers w:val="0"/>
              <w:spacing w:before="0" w:beforeAutospacing="0" w:after="0" w:afterAutospacing="0" w:line="360" w:lineRule="auto"/>
              <w:ind w:left="0" w:right="0"/>
              <w:rPr>
                <w:rFonts w:hint="default" w:ascii="宋体" w:hAnsi="宋体" w:cs="Arial"/>
                <w:bCs/>
                <w:color w:val="auto"/>
                <w:sz w:val="24"/>
                <w:highlight w:val="none"/>
              </w:rPr>
            </w:pPr>
            <w:r>
              <w:rPr>
                <w:rFonts w:hint="eastAsia" w:ascii="宋体" w:hAnsi="宋体" w:cs="Arial"/>
                <w:bCs/>
                <w:color w:val="auto"/>
                <w:sz w:val="24"/>
                <w:highlight w:val="none"/>
              </w:rPr>
              <w:t>服务期结束后服务</w:t>
            </w:r>
          </w:p>
        </w:tc>
        <w:tc>
          <w:tcPr>
            <w:tcW w:w="4061" w:type="dxa"/>
          </w:tcPr>
          <w:p w14:paraId="6F5FC841">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color w:val="auto"/>
                <w:sz w:val="24"/>
                <w:highlight w:val="none"/>
              </w:rPr>
            </w:pPr>
          </w:p>
          <w:p w14:paraId="6F67FFF7">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color w:val="auto"/>
                <w:sz w:val="24"/>
                <w:highlight w:val="none"/>
              </w:rPr>
            </w:pPr>
          </w:p>
          <w:p w14:paraId="39D07238">
            <w:pPr>
              <w:pStyle w:val="60"/>
              <w:keepNext w:val="0"/>
              <w:keepLines w:val="0"/>
              <w:suppressLineNumbers w:val="0"/>
              <w:spacing w:before="0" w:beforeAutospacing="0" w:after="0" w:afterAutospacing="0" w:line="360" w:lineRule="auto"/>
              <w:ind w:left="0" w:right="0"/>
              <w:rPr>
                <w:rFonts w:hint="default" w:ascii="宋体" w:hAnsi="宋体" w:cs="Arial"/>
                <w:bCs/>
                <w:color w:val="auto"/>
                <w:sz w:val="24"/>
                <w:highlight w:val="none"/>
              </w:rPr>
            </w:pPr>
          </w:p>
        </w:tc>
        <w:tc>
          <w:tcPr>
            <w:tcW w:w="1373" w:type="dxa"/>
          </w:tcPr>
          <w:p w14:paraId="38FBF89F">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color w:val="auto"/>
                <w:sz w:val="24"/>
                <w:highlight w:val="none"/>
              </w:rPr>
            </w:pPr>
          </w:p>
          <w:p w14:paraId="7B0BA1CF">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color w:val="auto"/>
                <w:sz w:val="24"/>
                <w:highlight w:val="none"/>
              </w:rPr>
            </w:pPr>
          </w:p>
          <w:p w14:paraId="1F65C5B0">
            <w:pPr>
              <w:pStyle w:val="60"/>
              <w:keepNext w:val="0"/>
              <w:keepLines w:val="0"/>
              <w:suppressLineNumbers w:val="0"/>
              <w:spacing w:before="0" w:beforeAutospacing="0" w:after="0" w:afterAutospacing="0" w:line="360" w:lineRule="auto"/>
              <w:ind w:left="0" w:right="0"/>
              <w:rPr>
                <w:rFonts w:hint="default" w:ascii="宋体" w:hAnsi="宋体" w:cs="Arial"/>
                <w:bCs/>
                <w:color w:val="auto"/>
                <w:sz w:val="24"/>
                <w:highlight w:val="none"/>
              </w:rPr>
            </w:pPr>
          </w:p>
        </w:tc>
      </w:tr>
      <w:tr w14:paraId="3D626A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9" w:hRule="exact"/>
          <w:jc w:val="center"/>
        </w:trPr>
        <w:tc>
          <w:tcPr>
            <w:tcW w:w="739" w:type="dxa"/>
            <w:vAlign w:val="center"/>
          </w:tcPr>
          <w:p w14:paraId="2035D7DE">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color w:val="auto"/>
                <w:sz w:val="24"/>
                <w:highlight w:val="none"/>
              </w:rPr>
            </w:pPr>
            <w:r>
              <w:rPr>
                <w:rFonts w:hint="eastAsia" w:ascii="宋体" w:hAnsi="宋体" w:cs="Arial"/>
                <w:bCs/>
                <w:color w:val="auto"/>
                <w:sz w:val="24"/>
                <w:highlight w:val="none"/>
              </w:rPr>
              <w:t xml:space="preserve"> 3</w:t>
            </w:r>
          </w:p>
        </w:tc>
        <w:tc>
          <w:tcPr>
            <w:tcW w:w="2355" w:type="dxa"/>
            <w:vAlign w:val="center"/>
          </w:tcPr>
          <w:p w14:paraId="0F63022F">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color w:val="auto"/>
                <w:sz w:val="24"/>
                <w:highlight w:val="none"/>
              </w:rPr>
            </w:pPr>
          </w:p>
        </w:tc>
        <w:tc>
          <w:tcPr>
            <w:tcW w:w="4061" w:type="dxa"/>
          </w:tcPr>
          <w:p w14:paraId="2CDB2AD5">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i/>
                <w:color w:val="auto"/>
                <w:sz w:val="24"/>
                <w:highlight w:val="none"/>
              </w:rPr>
            </w:pPr>
          </w:p>
          <w:p w14:paraId="7ED6AD68">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i/>
                <w:color w:val="auto"/>
                <w:sz w:val="24"/>
                <w:highlight w:val="none"/>
              </w:rPr>
            </w:pPr>
          </w:p>
        </w:tc>
        <w:tc>
          <w:tcPr>
            <w:tcW w:w="1373" w:type="dxa"/>
          </w:tcPr>
          <w:p w14:paraId="236BF392">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i/>
                <w:color w:val="auto"/>
                <w:sz w:val="24"/>
                <w:highlight w:val="none"/>
              </w:rPr>
            </w:pPr>
          </w:p>
          <w:p w14:paraId="499C36C2">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i/>
                <w:color w:val="auto"/>
                <w:sz w:val="24"/>
                <w:highlight w:val="none"/>
              </w:rPr>
            </w:pPr>
          </w:p>
          <w:p w14:paraId="6AE6B15C">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i/>
                <w:color w:val="auto"/>
                <w:sz w:val="24"/>
                <w:highlight w:val="none"/>
              </w:rPr>
            </w:pPr>
          </w:p>
        </w:tc>
      </w:tr>
      <w:tr w14:paraId="521EEB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541FAF7D">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color w:val="auto"/>
                <w:sz w:val="24"/>
                <w:highlight w:val="none"/>
              </w:rPr>
            </w:pPr>
            <w:r>
              <w:rPr>
                <w:rFonts w:hint="default" w:ascii="宋体" w:hAnsi="宋体" w:cs="Arial"/>
                <w:bCs/>
                <w:color w:val="auto"/>
                <w:sz w:val="24"/>
                <w:highlight w:val="none"/>
              </w:rPr>
              <w:t>……</w:t>
            </w:r>
          </w:p>
        </w:tc>
        <w:tc>
          <w:tcPr>
            <w:tcW w:w="2355" w:type="dxa"/>
            <w:vAlign w:val="center"/>
          </w:tcPr>
          <w:p w14:paraId="4B1E73F0">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color w:val="auto"/>
                <w:sz w:val="24"/>
                <w:highlight w:val="none"/>
              </w:rPr>
            </w:pPr>
            <w:r>
              <w:rPr>
                <w:rFonts w:hint="default" w:ascii="宋体" w:hAnsi="宋体" w:cs="Arial"/>
                <w:bCs/>
                <w:color w:val="auto"/>
                <w:sz w:val="24"/>
                <w:highlight w:val="none"/>
              </w:rPr>
              <w:t>……</w:t>
            </w:r>
          </w:p>
        </w:tc>
        <w:tc>
          <w:tcPr>
            <w:tcW w:w="4061" w:type="dxa"/>
          </w:tcPr>
          <w:p w14:paraId="4BF5FA15">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color w:val="auto"/>
                <w:sz w:val="24"/>
                <w:highlight w:val="none"/>
              </w:rPr>
            </w:pPr>
          </w:p>
        </w:tc>
        <w:tc>
          <w:tcPr>
            <w:tcW w:w="1373" w:type="dxa"/>
          </w:tcPr>
          <w:p w14:paraId="19828D29">
            <w:pPr>
              <w:pStyle w:val="60"/>
              <w:keepNext w:val="0"/>
              <w:keepLines w:val="0"/>
              <w:widowControl/>
              <w:suppressLineNumbers w:val="0"/>
              <w:spacing w:before="0" w:beforeAutospacing="0" w:after="0" w:afterAutospacing="0" w:line="360" w:lineRule="auto"/>
              <w:ind w:left="0" w:right="0"/>
              <w:jc w:val="left"/>
              <w:rPr>
                <w:rFonts w:hint="default" w:ascii="宋体" w:hAnsi="宋体" w:cs="Arial"/>
                <w:bCs/>
                <w:color w:val="auto"/>
                <w:sz w:val="24"/>
                <w:highlight w:val="none"/>
              </w:rPr>
            </w:pPr>
          </w:p>
        </w:tc>
      </w:tr>
    </w:tbl>
    <w:p w14:paraId="10E94B57">
      <w:pPr>
        <w:spacing w:line="360" w:lineRule="auto"/>
        <w:ind w:left="420"/>
        <w:rPr>
          <w:rFonts w:ascii="宋体" w:hAnsi="宋体"/>
          <w:color w:val="auto"/>
          <w:sz w:val="24"/>
          <w:highlight w:val="none"/>
        </w:rPr>
      </w:pPr>
    </w:p>
    <w:p w14:paraId="095ED9AE">
      <w:pPr>
        <w:spacing w:line="360" w:lineRule="auto"/>
        <w:ind w:left="420"/>
        <w:rPr>
          <w:rFonts w:ascii="宋体" w:hAnsi="宋体"/>
          <w:color w:val="auto"/>
          <w:sz w:val="24"/>
          <w:highlight w:val="none"/>
        </w:rPr>
      </w:pPr>
    </w:p>
    <w:p w14:paraId="6FD02BB6">
      <w:pPr>
        <w:spacing w:line="360" w:lineRule="auto"/>
        <w:ind w:left="420"/>
        <w:rPr>
          <w:rFonts w:ascii="宋体" w:hAnsi="宋体"/>
          <w:color w:val="auto"/>
          <w:sz w:val="24"/>
          <w:highlight w:val="none"/>
        </w:rPr>
      </w:pPr>
    </w:p>
    <w:p w14:paraId="1AAE448E">
      <w:pPr>
        <w:spacing w:line="360" w:lineRule="auto"/>
        <w:ind w:left="420"/>
        <w:rPr>
          <w:rFonts w:ascii="宋体" w:hAnsi="宋体"/>
          <w:color w:val="auto"/>
          <w:sz w:val="24"/>
          <w:highlight w:val="none"/>
        </w:rPr>
      </w:pPr>
    </w:p>
    <w:p w14:paraId="6E873212">
      <w:pPr>
        <w:spacing w:line="360" w:lineRule="auto"/>
        <w:ind w:left="420"/>
        <w:rPr>
          <w:rFonts w:ascii="宋体" w:hAnsi="宋体"/>
          <w:color w:val="auto"/>
          <w:sz w:val="24"/>
          <w:highlight w:val="none"/>
        </w:rPr>
      </w:pPr>
    </w:p>
    <w:p w14:paraId="146A6117">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14049131">
      <w:pPr>
        <w:spacing w:line="360" w:lineRule="auto"/>
        <w:ind w:left="420"/>
        <w:rPr>
          <w:rFonts w:ascii="宋体" w:hAnsi="宋体"/>
          <w:color w:val="auto"/>
          <w:sz w:val="24"/>
          <w:highlight w:val="none"/>
        </w:rPr>
      </w:pPr>
    </w:p>
    <w:p w14:paraId="65AC7B74">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14:paraId="08F450B3">
      <w:pPr>
        <w:spacing w:line="360" w:lineRule="auto"/>
        <w:ind w:firstLine="435"/>
        <w:rPr>
          <w:rFonts w:ascii="宋体" w:hAnsi="宋体"/>
          <w:color w:val="auto"/>
          <w:sz w:val="24"/>
          <w:highlight w:val="none"/>
        </w:rPr>
      </w:pPr>
    </w:p>
    <w:p w14:paraId="3D2C19B8">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7F5465F1">
      <w:pPr>
        <w:spacing w:line="360" w:lineRule="auto"/>
        <w:ind w:firstLine="435"/>
        <w:rPr>
          <w:rFonts w:ascii="宋体" w:hAnsi="宋体"/>
          <w:color w:val="auto"/>
          <w:sz w:val="24"/>
          <w:highlight w:val="none"/>
        </w:rPr>
      </w:pPr>
    </w:p>
    <w:p w14:paraId="1AA57B44">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51C4AC0D">
      <w:pPr>
        <w:pStyle w:val="46"/>
        <w:rPr>
          <w:rFonts w:ascii="仿宋_GB2312" w:hAnsi="宋体" w:eastAsia="仿宋_GB2312"/>
          <w:b/>
          <w:color w:val="auto"/>
          <w:sz w:val="36"/>
          <w:szCs w:val="36"/>
          <w:highlight w:val="none"/>
        </w:rPr>
      </w:pPr>
    </w:p>
    <w:p w14:paraId="0273128C">
      <w:pPr>
        <w:rPr>
          <w:rFonts w:ascii="宋体" w:hAnsi="宋体"/>
          <w:b/>
          <w:color w:val="auto"/>
          <w:sz w:val="32"/>
          <w:szCs w:val="32"/>
          <w:highlight w:val="none"/>
        </w:rPr>
      </w:pPr>
      <w:r>
        <w:rPr>
          <w:rFonts w:hint="eastAsia" w:ascii="宋体" w:hAnsi="宋体"/>
          <w:b/>
          <w:color w:val="auto"/>
          <w:sz w:val="32"/>
          <w:szCs w:val="32"/>
          <w:highlight w:val="none"/>
        </w:rPr>
        <w:br w:type="page"/>
      </w:r>
    </w:p>
    <w:p w14:paraId="583BF45A">
      <w:pPr>
        <w:spacing w:line="360" w:lineRule="auto"/>
        <w:ind w:right="-108"/>
        <w:jc w:val="center"/>
        <w:rPr>
          <w:rFonts w:ascii="宋体" w:hAnsi="宋体"/>
          <w:b/>
          <w:color w:val="auto"/>
          <w:sz w:val="32"/>
          <w:szCs w:val="32"/>
          <w:highlight w:val="none"/>
        </w:rPr>
      </w:pPr>
      <w:r>
        <w:rPr>
          <w:rFonts w:hint="eastAsia" w:ascii="宋体" w:hAnsi="宋体"/>
          <w:b/>
          <w:color w:val="auto"/>
          <w:sz w:val="32"/>
          <w:szCs w:val="32"/>
          <w:highlight w:val="none"/>
        </w:rPr>
        <w:t>报价文件目录</w:t>
      </w:r>
    </w:p>
    <w:p w14:paraId="24B154CF">
      <w:pPr>
        <w:spacing w:line="360" w:lineRule="auto"/>
        <w:ind w:right="-108"/>
        <w:jc w:val="center"/>
        <w:rPr>
          <w:rFonts w:ascii="仿宋_GB2312" w:hAnsi="宋体" w:eastAsia="仿宋_GB2312"/>
          <w:b/>
          <w:color w:val="auto"/>
          <w:sz w:val="36"/>
          <w:szCs w:val="36"/>
          <w:highlight w:val="none"/>
        </w:rPr>
      </w:pPr>
    </w:p>
    <w:p w14:paraId="5145B7CC">
      <w:pPr>
        <w:spacing w:line="360" w:lineRule="auto"/>
        <w:rPr>
          <w:rFonts w:ascii="宋体" w:hAnsi="宋体"/>
          <w:color w:val="auto"/>
          <w:sz w:val="24"/>
          <w:highlight w:val="none"/>
        </w:rPr>
      </w:pPr>
    </w:p>
    <w:p w14:paraId="30ADF313">
      <w:pPr>
        <w:numPr>
          <w:ilvl w:val="0"/>
          <w:numId w:val="9"/>
        </w:numPr>
        <w:spacing w:line="360" w:lineRule="auto"/>
        <w:rPr>
          <w:rFonts w:ascii="宋体" w:hAnsi="宋体"/>
          <w:color w:val="auto"/>
          <w:sz w:val="24"/>
          <w:highlight w:val="none"/>
        </w:rPr>
      </w:pPr>
      <w:r>
        <w:rPr>
          <w:rFonts w:hint="eastAsia" w:ascii="宋体" w:hAnsi="宋体"/>
          <w:color w:val="auto"/>
          <w:sz w:val="24"/>
          <w:highlight w:val="none"/>
        </w:rPr>
        <w:t>开标一览表（格式附后）；</w:t>
      </w:r>
    </w:p>
    <w:p w14:paraId="163C0B48">
      <w:pPr>
        <w:numPr>
          <w:ilvl w:val="0"/>
          <w:numId w:val="0"/>
        </w:numPr>
        <w:spacing w:line="360" w:lineRule="auto"/>
        <w:rPr>
          <w:rFonts w:ascii="宋体" w:hAnsi="宋体"/>
          <w:color w:val="auto"/>
          <w:kern w:val="0"/>
          <w:sz w:val="24"/>
          <w:highlight w:val="none"/>
        </w:rPr>
      </w:pP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.供应商认为其</w:t>
      </w:r>
      <w:r>
        <w:rPr>
          <w:rFonts w:hint="eastAsia" w:ascii="宋体" w:hAnsi="宋体"/>
          <w:color w:val="auto"/>
          <w:sz w:val="24"/>
          <w:highlight w:val="none"/>
        </w:rPr>
        <w:t>他需要说明的内容</w:t>
      </w:r>
      <w:r>
        <w:rPr>
          <w:rFonts w:hint="eastAsia" w:hAnsi="宋体"/>
          <w:color w:val="auto"/>
          <w:sz w:val="24"/>
          <w:highlight w:val="none"/>
        </w:rPr>
        <w:t>，</w:t>
      </w:r>
      <w:r>
        <w:rPr>
          <w:rFonts w:hint="eastAsia" w:ascii="宋体" w:hAnsi="宋体" w:cs="宋体"/>
          <w:bCs/>
          <w:color w:val="auto"/>
          <w:kern w:val="0"/>
          <w:sz w:val="24"/>
          <w:highlight w:val="none"/>
        </w:rPr>
        <w:t>如《中小企业声明函》（格式附后）</w:t>
      </w:r>
      <w:r>
        <w:rPr>
          <w:rFonts w:hint="eastAsia" w:asciiTheme="minorEastAsia" w:hAnsiTheme="minorEastAsia" w:eastAsiaTheme="minorEastAsia"/>
          <w:bCs/>
          <w:color w:val="auto"/>
          <w:kern w:val="0"/>
          <w:sz w:val="24"/>
          <w:highlight w:val="none"/>
        </w:rPr>
        <w:t>等</w:t>
      </w:r>
      <w:r>
        <w:rPr>
          <w:rFonts w:hint="eastAsia" w:ascii="宋体" w:hAnsi="宋体"/>
          <w:bCs/>
          <w:color w:val="auto"/>
          <w:kern w:val="0"/>
          <w:sz w:val="24"/>
          <w:highlight w:val="none"/>
        </w:rPr>
        <w:t>。</w:t>
      </w:r>
    </w:p>
    <w:p w14:paraId="0A22F6E5">
      <w:pPr>
        <w:spacing w:line="360" w:lineRule="auto"/>
        <w:rPr>
          <w:rFonts w:ascii="宋体" w:hAnsi="宋体"/>
          <w:b/>
          <w:color w:val="auto"/>
          <w:sz w:val="28"/>
          <w:highlight w:val="none"/>
        </w:rPr>
      </w:pPr>
    </w:p>
    <w:p w14:paraId="5D684688">
      <w:pPr>
        <w:spacing w:line="360" w:lineRule="auto"/>
        <w:ind w:left="480"/>
        <w:rPr>
          <w:rFonts w:ascii="宋体" w:hAnsi="宋体"/>
          <w:b/>
          <w:color w:val="auto"/>
          <w:sz w:val="28"/>
          <w:highlight w:val="none"/>
        </w:rPr>
      </w:pPr>
    </w:p>
    <w:p w14:paraId="741CD698">
      <w:pPr>
        <w:spacing w:line="360" w:lineRule="auto"/>
        <w:ind w:left="480"/>
        <w:rPr>
          <w:rFonts w:ascii="宋体" w:hAnsi="宋体"/>
          <w:b/>
          <w:color w:val="auto"/>
          <w:sz w:val="28"/>
          <w:highlight w:val="none"/>
        </w:rPr>
      </w:pPr>
    </w:p>
    <w:p w14:paraId="6BC48DA6">
      <w:pPr>
        <w:spacing w:line="360" w:lineRule="auto"/>
        <w:ind w:left="480"/>
        <w:rPr>
          <w:rFonts w:ascii="宋体" w:hAnsi="宋体"/>
          <w:b/>
          <w:color w:val="auto"/>
          <w:sz w:val="28"/>
          <w:highlight w:val="none"/>
        </w:rPr>
      </w:pPr>
    </w:p>
    <w:p w14:paraId="20952BB3">
      <w:pPr>
        <w:spacing w:line="360" w:lineRule="auto"/>
        <w:ind w:left="480"/>
        <w:rPr>
          <w:rFonts w:ascii="宋体" w:hAnsi="宋体"/>
          <w:b/>
          <w:color w:val="auto"/>
          <w:sz w:val="28"/>
          <w:highlight w:val="none"/>
        </w:rPr>
      </w:pPr>
    </w:p>
    <w:p w14:paraId="5F80723E">
      <w:pPr>
        <w:spacing w:line="360" w:lineRule="auto"/>
        <w:ind w:left="480"/>
        <w:rPr>
          <w:rFonts w:ascii="宋体" w:hAnsi="宋体"/>
          <w:b/>
          <w:color w:val="auto"/>
          <w:sz w:val="28"/>
          <w:highlight w:val="none"/>
        </w:rPr>
      </w:pPr>
    </w:p>
    <w:p w14:paraId="69DC1AAD">
      <w:pPr>
        <w:spacing w:line="360" w:lineRule="auto"/>
        <w:ind w:left="480"/>
        <w:rPr>
          <w:rFonts w:ascii="宋体" w:hAnsi="宋体"/>
          <w:b/>
          <w:color w:val="auto"/>
          <w:sz w:val="28"/>
          <w:highlight w:val="none"/>
        </w:rPr>
      </w:pPr>
    </w:p>
    <w:p w14:paraId="19DC5CE9">
      <w:pPr>
        <w:spacing w:line="360" w:lineRule="auto"/>
        <w:ind w:left="480"/>
        <w:rPr>
          <w:rFonts w:ascii="宋体" w:hAnsi="宋体"/>
          <w:b/>
          <w:color w:val="auto"/>
          <w:sz w:val="28"/>
          <w:highlight w:val="none"/>
        </w:rPr>
      </w:pPr>
    </w:p>
    <w:p w14:paraId="54498D7C">
      <w:pPr>
        <w:spacing w:line="360" w:lineRule="auto"/>
        <w:ind w:left="480"/>
        <w:rPr>
          <w:rFonts w:ascii="宋体" w:hAnsi="宋体"/>
          <w:b/>
          <w:color w:val="auto"/>
          <w:sz w:val="28"/>
          <w:highlight w:val="none"/>
        </w:rPr>
      </w:pPr>
    </w:p>
    <w:p w14:paraId="55F779CB">
      <w:pPr>
        <w:spacing w:line="360" w:lineRule="auto"/>
        <w:ind w:left="480"/>
        <w:rPr>
          <w:rFonts w:ascii="宋体" w:hAnsi="宋体"/>
          <w:b/>
          <w:color w:val="auto"/>
          <w:sz w:val="28"/>
          <w:highlight w:val="none"/>
        </w:rPr>
      </w:pPr>
    </w:p>
    <w:p w14:paraId="6C4A2FEC">
      <w:pPr>
        <w:spacing w:line="360" w:lineRule="auto"/>
        <w:ind w:left="480"/>
        <w:rPr>
          <w:rFonts w:ascii="宋体" w:hAnsi="宋体"/>
          <w:b/>
          <w:color w:val="auto"/>
          <w:sz w:val="28"/>
          <w:highlight w:val="none"/>
        </w:rPr>
      </w:pPr>
    </w:p>
    <w:p w14:paraId="4692AA44">
      <w:pPr>
        <w:spacing w:line="360" w:lineRule="auto"/>
        <w:ind w:left="480"/>
        <w:rPr>
          <w:rFonts w:ascii="宋体" w:hAnsi="宋体"/>
          <w:b/>
          <w:color w:val="auto"/>
          <w:sz w:val="28"/>
          <w:highlight w:val="none"/>
        </w:rPr>
      </w:pPr>
    </w:p>
    <w:p w14:paraId="1E9C16E2">
      <w:pPr>
        <w:spacing w:line="360" w:lineRule="auto"/>
        <w:ind w:left="480"/>
        <w:rPr>
          <w:rFonts w:ascii="宋体" w:hAnsi="宋体"/>
          <w:b/>
          <w:color w:val="auto"/>
          <w:sz w:val="28"/>
          <w:highlight w:val="none"/>
        </w:rPr>
      </w:pPr>
    </w:p>
    <w:p w14:paraId="32E77788">
      <w:pPr>
        <w:spacing w:line="360" w:lineRule="auto"/>
        <w:ind w:left="480"/>
        <w:rPr>
          <w:rFonts w:ascii="宋体" w:hAnsi="宋体"/>
          <w:b/>
          <w:color w:val="auto"/>
          <w:sz w:val="28"/>
          <w:highlight w:val="none"/>
        </w:rPr>
      </w:pPr>
    </w:p>
    <w:p w14:paraId="62355A29">
      <w:pPr>
        <w:spacing w:line="360" w:lineRule="auto"/>
        <w:rPr>
          <w:rFonts w:ascii="宋体" w:hAnsi="宋体"/>
          <w:b/>
          <w:color w:val="auto"/>
          <w:sz w:val="28"/>
          <w:highlight w:val="none"/>
        </w:rPr>
        <w:sectPr>
          <w:pgSz w:w="11906" w:h="16838"/>
          <w:pgMar w:top="1440" w:right="1800" w:bottom="1440" w:left="1800" w:header="851" w:footer="992" w:gutter="0"/>
          <w:pgNumType w:fmt="numberInDash"/>
          <w:cols w:space="425" w:num="1"/>
          <w:docGrid w:type="lines" w:linePitch="312" w:charSpace="0"/>
        </w:sectPr>
      </w:pPr>
    </w:p>
    <w:p w14:paraId="051EE7A5">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2</w:t>
      </w:r>
    </w:p>
    <w:p w14:paraId="1E997EEC">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开标一览表</w:t>
      </w:r>
    </w:p>
    <w:p w14:paraId="3442B047">
      <w:pPr>
        <w:pStyle w:val="22"/>
        <w:spacing w:line="360" w:lineRule="auto"/>
        <w:rPr>
          <w:rFonts w:hAnsi="宋体"/>
          <w:b/>
          <w:color w:val="auto"/>
          <w:sz w:val="24"/>
          <w:highlight w:val="none"/>
        </w:rPr>
      </w:pPr>
      <w:r>
        <w:rPr>
          <w:rFonts w:hAnsi="宋体"/>
          <w:b/>
          <w:color w:val="auto"/>
          <w:sz w:val="24"/>
          <w:highlight w:val="none"/>
        </w:rPr>
        <w:t>项目编号：</w:t>
      </w:r>
    </w:p>
    <w:p w14:paraId="01AECF1E">
      <w:pPr>
        <w:pStyle w:val="64"/>
        <w:spacing w:line="360" w:lineRule="auto"/>
        <w:ind w:right="480"/>
        <w:jc w:val="left"/>
        <w:rPr>
          <w:rFonts w:ascii="宋体" w:hAnsi="宋体"/>
          <w:color w:val="auto"/>
          <w:sz w:val="24"/>
          <w:highlight w:val="none"/>
        </w:rPr>
      </w:pPr>
      <w:r>
        <w:rPr>
          <w:rFonts w:hAnsi="宋体"/>
          <w:b/>
          <w:color w:val="auto"/>
          <w:sz w:val="24"/>
          <w:highlight w:val="none"/>
        </w:rPr>
        <w:t>项目名称：</w:t>
      </w:r>
      <w:r>
        <w:rPr>
          <w:rFonts w:hint="eastAsia" w:hAnsi="宋体"/>
          <w:b/>
          <w:color w:val="auto"/>
          <w:sz w:val="24"/>
          <w:highlight w:val="none"/>
        </w:rPr>
        <w:t xml:space="preserve">                               </w:t>
      </w:r>
      <w:r>
        <w:rPr>
          <w:rFonts w:ascii="宋体" w:hAnsi="宋体"/>
          <w:color w:val="auto"/>
          <w:sz w:val="24"/>
          <w:highlight w:val="none"/>
        </w:rPr>
        <w:t>〔</w:t>
      </w:r>
      <w:r>
        <w:rPr>
          <w:rFonts w:hint="eastAsia" w:ascii="宋体" w:hAnsi="宋体"/>
          <w:color w:val="auto"/>
          <w:sz w:val="24"/>
          <w:highlight w:val="none"/>
        </w:rPr>
        <w:t>货币单位：</w:t>
      </w:r>
      <w:r>
        <w:rPr>
          <w:rFonts w:hint="eastAsia" w:ascii="宋体" w:hAnsi="宋体"/>
          <w:color w:val="auto"/>
          <w:sz w:val="24"/>
          <w:highlight w:val="none"/>
          <w:u w:val="single"/>
        </w:rPr>
        <w:t>人民币元</w:t>
      </w:r>
      <w:r>
        <w:rPr>
          <w:rFonts w:ascii="宋体" w:hAnsi="宋体"/>
          <w:color w:val="auto"/>
          <w:sz w:val="24"/>
          <w:highlight w:val="none"/>
        </w:rPr>
        <w:t>〕</w:t>
      </w:r>
    </w:p>
    <w:tbl>
      <w:tblPr>
        <w:tblStyle w:val="35"/>
        <w:tblW w:w="87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715"/>
        <w:gridCol w:w="1359"/>
        <w:gridCol w:w="4665"/>
      </w:tblGrid>
      <w:tr w14:paraId="2792780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50" w:hRule="atLeast"/>
          <w:jc w:val="center"/>
        </w:trPr>
        <w:tc>
          <w:tcPr>
            <w:tcW w:w="2715" w:type="dxa"/>
            <w:vMerge w:val="restart"/>
            <w:tcBorders>
              <w:top w:val="single" w:color="auto" w:sz="12" w:space="0"/>
              <w:left w:val="single" w:color="auto" w:sz="12" w:space="0"/>
              <w:bottom w:val="single" w:color="auto" w:sz="4" w:space="0"/>
              <w:right w:val="single" w:color="auto" w:sz="4" w:space="0"/>
            </w:tcBorders>
            <w:vAlign w:val="center"/>
          </w:tcPr>
          <w:p w14:paraId="14B7E3CC">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color w:val="auto"/>
                <w:sz w:val="24"/>
                <w:highlight w:val="none"/>
              </w:rPr>
            </w:pPr>
            <w:r>
              <w:rPr>
                <w:rFonts w:hint="eastAsia" w:ascii="宋体" w:hAnsi="宋体"/>
                <w:color w:val="auto"/>
                <w:sz w:val="24"/>
                <w:highlight w:val="none"/>
              </w:rPr>
              <w:t>总报价(元)</w:t>
            </w:r>
          </w:p>
        </w:tc>
        <w:tc>
          <w:tcPr>
            <w:tcW w:w="1359" w:type="dxa"/>
            <w:tcBorders>
              <w:top w:val="single" w:color="auto" w:sz="12" w:space="0"/>
              <w:left w:val="single" w:color="auto" w:sz="4" w:space="0"/>
              <w:bottom w:val="single" w:color="auto" w:sz="4" w:space="0"/>
              <w:right w:val="single" w:color="auto" w:sz="4" w:space="0"/>
            </w:tcBorders>
            <w:vAlign w:val="center"/>
          </w:tcPr>
          <w:p w14:paraId="0355013C">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color w:val="auto"/>
                <w:sz w:val="24"/>
                <w:highlight w:val="none"/>
              </w:rPr>
            </w:pPr>
            <w:r>
              <w:rPr>
                <w:rFonts w:hint="eastAsia" w:ascii="宋体" w:hAnsi="宋体"/>
                <w:color w:val="auto"/>
                <w:sz w:val="24"/>
                <w:highlight w:val="none"/>
              </w:rPr>
              <w:t>大写</w:t>
            </w:r>
          </w:p>
        </w:tc>
        <w:tc>
          <w:tcPr>
            <w:tcW w:w="4665" w:type="dxa"/>
            <w:tcBorders>
              <w:top w:val="single" w:color="auto" w:sz="12" w:space="0"/>
              <w:left w:val="single" w:color="auto" w:sz="4" w:space="0"/>
              <w:bottom w:val="single" w:color="auto" w:sz="4" w:space="0"/>
              <w:right w:val="single" w:color="auto" w:sz="12" w:space="0"/>
            </w:tcBorders>
            <w:vAlign w:val="center"/>
          </w:tcPr>
          <w:p w14:paraId="39FDCA32">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color w:val="auto"/>
                <w:sz w:val="24"/>
                <w:highlight w:val="none"/>
              </w:rPr>
            </w:pPr>
          </w:p>
        </w:tc>
      </w:tr>
      <w:tr w14:paraId="1A3FC47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99" w:hRule="atLeast"/>
          <w:jc w:val="center"/>
        </w:trPr>
        <w:tc>
          <w:tcPr>
            <w:tcW w:w="2715" w:type="dxa"/>
            <w:vMerge w:val="continue"/>
            <w:tcBorders>
              <w:top w:val="single" w:color="auto" w:sz="12" w:space="0"/>
              <w:left w:val="single" w:color="auto" w:sz="12" w:space="0"/>
              <w:bottom w:val="single" w:color="auto" w:sz="4" w:space="0"/>
              <w:right w:val="single" w:color="auto" w:sz="4" w:space="0"/>
            </w:tcBorders>
            <w:vAlign w:val="center"/>
          </w:tcPr>
          <w:p w14:paraId="579F1E73">
            <w:pPr>
              <w:keepNext w:val="0"/>
              <w:keepLines w:val="0"/>
              <w:suppressLineNumbers w:val="0"/>
              <w:spacing w:before="0" w:beforeAutospacing="0" w:after="0" w:afterAutospacing="0"/>
              <w:ind w:left="0" w:right="0"/>
              <w:rPr>
                <w:rFonts w:hint="default" w:ascii="宋体" w:hAnsi="宋体"/>
                <w:color w:val="auto"/>
                <w:sz w:val="24"/>
                <w:highlight w:val="none"/>
              </w:rPr>
            </w:pPr>
          </w:p>
        </w:tc>
        <w:tc>
          <w:tcPr>
            <w:tcW w:w="1359" w:type="dxa"/>
            <w:tcBorders>
              <w:top w:val="single" w:color="auto" w:sz="4" w:space="0"/>
              <w:left w:val="single" w:color="auto" w:sz="4" w:space="0"/>
              <w:bottom w:val="single" w:color="auto" w:sz="4" w:space="0"/>
              <w:right w:val="single" w:color="auto" w:sz="4" w:space="0"/>
            </w:tcBorders>
            <w:vAlign w:val="center"/>
          </w:tcPr>
          <w:p w14:paraId="27ED53FF">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color w:val="auto"/>
                <w:sz w:val="24"/>
                <w:highlight w:val="none"/>
              </w:rPr>
            </w:pPr>
            <w:r>
              <w:rPr>
                <w:rFonts w:hint="eastAsia" w:ascii="宋体" w:hAnsi="宋体"/>
                <w:color w:val="auto"/>
                <w:sz w:val="24"/>
                <w:highlight w:val="none"/>
              </w:rPr>
              <w:t>小写</w:t>
            </w:r>
          </w:p>
        </w:tc>
        <w:tc>
          <w:tcPr>
            <w:tcW w:w="4665" w:type="dxa"/>
            <w:tcBorders>
              <w:top w:val="single" w:color="auto" w:sz="4" w:space="0"/>
              <w:left w:val="single" w:color="auto" w:sz="4" w:space="0"/>
              <w:bottom w:val="single" w:color="auto" w:sz="4" w:space="0"/>
              <w:right w:val="single" w:color="auto" w:sz="12" w:space="0"/>
            </w:tcBorders>
            <w:vAlign w:val="center"/>
          </w:tcPr>
          <w:p w14:paraId="5D119C81">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color w:val="auto"/>
                <w:sz w:val="24"/>
                <w:highlight w:val="none"/>
              </w:rPr>
            </w:pPr>
          </w:p>
        </w:tc>
      </w:tr>
    </w:tbl>
    <w:p w14:paraId="43E10D7A">
      <w:pPr>
        <w:pStyle w:val="64"/>
        <w:spacing w:line="360" w:lineRule="auto"/>
        <w:ind w:right="480"/>
        <w:jc w:val="left"/>
        <w:rPr>
          <w:rFonts w:ascii="宋体" w:hAnsi="宋体"/>
          <w:color w:val="auto"/>
          <w:sz w:val="24"/>
          <w:highlight w:val="none"/>
        </w:rPr>
      </w:pPr>
    </w:p>
    <w:p w14:paraId="4B834D84">
      <w:pPr>
        <w:spacing w:line="360" w:lineRule="auto"/>
        <w:rPr>
          <w:rFonts w:ascii="宋体" w:hAnsi="宋体"/>
          <w:color w:val="auto"/>
          <w:sz w:val="24"/>
          <w:highlight w:val="none"/>
        </w:rPr>
      </w:pPr>
      <w:r>
        <w:rPr>
          <w:rFonts w:hint="eastAsia" w:ascii="宋体" w:hAnsi="宋体"/>
          <w:b/>
          <w:color w:val="auto"/>
          <w:szCs w:val="21"/>
          <w:highlight w:val="none"/>
        </w:rPr>
        <w:t>填报要求：</w:t>
      </w:r>
    </w:p>
    <w:p w14:paraId="5DF777B5">
      <w:pPr>
        <w:numPr>
          <w:ilvl w:val="0"/>
          <w:numId w:val="10"/>
        </w:numPr>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所有产品均采用人民币报价。投标报价应是招标文件所确定的招标范围内全部工作内容的价格表现。其应包含实现本项目的所有功能及安全保障工作所需费用，其应包括（但不限于）开发、标准附件、备品备件、服务、专用工具、安装、调试、检验、培训、运输、保险、税款、验收、劳务、人员工资、奖金、各种加班费、食宿与交通、安全、管理、质保、保险、利润、税金、政策性文件规定及合同包含的所有风险、责任等所有费用，供应商认为必需的费用，也应综合考虑。</w:t>
      </w:r>
    </w:p>
    <w:p w14:paraId="2746E66C">
      <w:pPr>
        <w:numPr>
          <w:ilvl w:val="0"/>
          <w:numId w:val="10"/>
        </w:numPr>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报价一经涂改，应在涂改处加盖单位公章，或者由法定代表人或全权代表签字或盖章，否则其投标作无效标处理。</w:t>
      </w:r>
    </w:p>
    <w:p w14:paraId="03D61477">
      <w:pPr>
        <w:pStyle w:val="2"/>
        <w:rPr>
          <w:color w:val="auto"/>
          <w:szCs w:val="21"/>
          <w:highlight w:val="none"/>
        </w:rPr>
      </w:pPr>
    </w:p>
    <w:p w14:paraId="01C4ECA3">
      <w:pPr>
        <w:spacing w:line="360" w:lineRule="auto"/>
        <w:ind w:left="420"/>
        <w:rPr>
          <w:rFonts w:ascii="宋体" w:hAnsi="宋体"/>
          <w:color w:val="auto"/>
          <w:szCs w:val="21"/>
          <w:highlight w:val="none"/>
        </w:rPr>
      </w:pPr>
      <w:r>
        <w:rPr>
          <w:rFonts w:hint="eastAsia" w:ascii="宋体" w:hAnsi="宋体"/>
          <w:color w:val="auto"/>
          <w:szCs w:val="21"/>
          <w:highlight w:val="none"/>
        </w:rPr>
        <w:t>投标人名称（公章）：</w:t>
      </w:r>
    </w:p>
    <w:p w14:paraId="4D63F03A">
      <w:pPr>
        <w:spacing w:line="360" w:lineRule="auto"/>
        <w:ind w:firstLine="435"/>
        <w:rPr>
          <w:rFonts w:ascii="宋体" w:hAnsi="宋体"/>
          <w:color w:val="auto"/>
          <w:szCs w:val="21"/>
          <w:highlight w:val="none"/>
        </w:rPr>
      </w:pPr>
      <w:r>
        <w:rPr>
          <w:rFonts w:hint="eastAsia" w:ascii="宋体" w:hAnsi="宋体"/>
          <w:color w:val="auto"/>
          <w:szCs w:val="21"/>
          <w:highlight w:val="none"/>
        </w:rPr>
        <w:t>投标人代表签字或盖章：</w:t>
      </w:r>
    </w:p>
    <w:p w14:paraId="7AA56E49">
      <w:pPr>
        <w:spacing w:line="360" w:lineRule="auto"/>
        <w:ind w:firstLine="435"/>
        <w:rPr>
          <w:rFonts w:ascii="宋体" w:hAnsi="宋体"/>
          <w:color w:val="auto"/>
          <w:szCs w:val="21"/>
          <w:highlight w:val="none"/>
        </w:rPr>
      </w:pPr>
      <w:r>
        <w:rPr>
          <w:rFonts w:hint="eastAsia" w:ascii="宋体" w:hAnsi="宋体"/>
          <w:color w:val="auto"/>
          <w:szCs w:val="21"/>
          <w:highlight w:val="none"/>
        </w:rPr>
        <w:t>职</w:t>
      </w:r>
      <w:r>
        <w:rPr>
          <w:rFonts w:ascii="宋体" w:hAnsi="宋体"/>
          <w:color w:val="auto"/>
          <w:szCs w:val="21"/>
          <w:highlight w:val="none"/>
        </w:rPr>
        <w:t xml:space="preserve">        </w:t>
      </w:r>
      <w:r>
        <w:rPr>
          <w:rFonts w:hint="eastAsia" w:ascii="宋体" w:hAnsi="宋体"/>
          <w:color w:val="auto"/>
          <w:szCs w:val="21"/>
          <w:highlight w:val="none"/>
        </w:rPr>
        <w:t>务：</w:t>
      </w:r>
    </w:p>
    <w:p w14:paraId="5DDA40C6">
      <w:pPr>
        <w:spacing w:line="360" w:lineRule="auto"/>
        <w:ind w:firstLine="435"/>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4F79EDFD">
      <w:pPr>
        <w:snapToGrid w:val="0"/>
        <w:spacing w:before="156" w:beforeLines="50" w:after="50" w:line="360" w:lineRule="auto"/>
        <w:rPr>
          <w:rFonts w:ascii="宋体" w:hAnsi="宋体"/>
          <w:b/>
          <w:color w:val="auto"/>
          <w:sz w:val="28"/>
          <w:highlight w:val="none"/>
        </w:rPr>
      </w:pPr>
    </w:p>
    <w:p w14:paraId="1A42C1D4">
      <w:pPr>
        <w:snapToGrid w:val="0"/>
        <w:spacing w:before="156" w:beforeLines="50" w:after="50" w:line="360" w:lineRule="auto"/>
        <w:rPr>
          <w:rFonts w:ascii="宋体" w:hAnsi="宋体"/>
          <w:b/>
          <w:color w:val="auto"/>
          <w:sz w:val="28"/>
          <w:highlight w:val="none"/>
        </w:rPr>
      </w:pPr>
    </w:p>
    <w:p w14:paraId="120890FC">
      <w:pPr>
        <w:snapToGrid w:val="0"/>
        <w:spacing w:before="156" w:beforeLines="50" w:after="50" w:line="360" w:lineRule="auto"/>
        <w:rPr>
          <w:rFonts w:ascii="宋体" w:hAnsi="宋体"/>
          <w:b/>
          <w:color w:val="auto"/>
          <w:sz w:val="28"/>
          <w:highlight w:val="none"/>
        </w:rPr>
      </w:pPr>
    </w:p>
    <w:p w14:paraId="6D81C476">
      <w:pPr>
        <w:pStyle w:val="46"/>
        <w:rPr>
          <w:rFonts w:ascii="宋体" w:hAnsi="宋体"/>
          <w:b/>
          <w:color w:val="auto"/>
          <w:sz w:val="28"/>
          <w:highlight w:val="none"/>
        </w:rPr>
      </w:pPr>
    </w:p>
    <w:p w14:paraId="6336A99D">
      <w:pPr>
        <w:pStyle w:val="46"/>
        <w:rPr>
          <w:rFonts w:ascii="宋体" w:hAnsi="宋体"/>
          <w:b/>
          <w:color w:val="auto"/>
          <w:sz w:val="28"/>
          <w:highlight w:val="none"/>
        </w:rPr>
      </w:pPr>
    </w:p>
    <w:p w14:paraId="7355814D">
      <w:pPr>
        <w:pStyle w:val="112"/>
        <w:widowControl w:val="0"/>
        <w:snapToGrid w:val="0"/>
        <w:rPr>
          <w:rFonts w:hint="eastAsia" w:hAnsi="宋体" w:eastAsia="宋体" w:cs="宋体"/>
          <w:b/>
          <w:color w:val="auto"/>
          <w:sz w:val="28"/>
          <w:highlight w:val="none"/>
          <w:lang w:eastAsia="zh-CN"/>
        </w:rPr>
      </w:pPr>
      <w:r>
        <w:rPr>
          <w:rFonts w:hAnsi="宋体" w:cs="宋体"/>
          <w:b/>
          <w:color w:val="auto"/>
          <w:sz w:val="28"/>
          <w:highlight w:val="none"/>
        </w:rPr>
        <w:t>附件</w:t>
      </w:r>
      <w:r>
        <w:rPr>
          <w:rFonts w:hint="eastAsia" w:hAnsi="宋体" w:cs="宋体"/>
          <w:b/>
          <w:color w:val="auto"/>
          <w:sz w:val="28"/>
          <w:highlight w:val="none"/>
        </w:rPr>
        <w:t>1</w:t>
      </w:r>
      <w:r>
        <w:rPr>
          <w:rFonts w:hint="eastAsia" w:hAnsi="宋体" w:cs="宋体"/>
          <w:b/>
          <w:color w:val="auto"/>
          <w:sz w:val="28"/>
          <w:highlight w:val="none"/>
          <w:lang w:val="en-US" w:eastAsia="zh-CN"/>
        </w:rPr>
        <w:t>3</w:t>
      </w:r>
    </w:p>
    <w:p w14:paraId="194389A8">
      <w:pPr>
        <w:pStyle w:val="112"/>
        <w:widowControl w:val="0"/>
        <w:snapToGrid w:val="0"/>
        <w:rPr>
          <w:rFonts w:hAnsi="宋体" w:cs="宋体"/>
          <w:b/>
          <w:color w:val="auto"/>
          <w:sz w:val="24"/>
          <w:szCs w:val="24"/>
          <w:highlight w:val="none"/>
        </w:rPr>
      </w:pPr>
      <w:r>
        <w:rPr>
          <w:rFonts w:hAnsi="宋体" w:cs="宋体"/>
          <w:b/>
          <w:color w:val="auto"/>
          <w:sz w:val="24"/>
          <w:szCs w:val="24"/>
          <w:highlight w:val="none"/>
        </w:rPr>
        <w:t>（参加本项目采购活动的供应商须在开标后填写“政府采购活动现场确认声明书”并将扫描件发送至邮箱</w:t>
      </w:r>
      <w:r>
        <w:rPr>
          <w:rFonts w:hint="eastAsia" w:hAnsi="宋体" w:cs="宋体"/>
          <w:b/>
          <w:color w:val="auto"/>
          <w:sz w:val="24"/>
          <w:szCs w:val="24"/>
          <w:highlight w:val="none"/>
        </w:rPr>
        <w:t>599034843</w:t>
      </w:r>
      <w:r>
        <w:rPr>
          <w:rFonts w:hAnsi="宋体" w:cs="宋体"/>
          <w:b/>
          <w:color w:val="auto"/>
          <w:sz w:val="24"/>
          <w:szCs w:val="24"/>
          <w:highlight w:val="none"/>
        </w:rPr>
        <w:t>@qq.com）</w:t>
      </w:r>
    </w:p>
    <w:p w14:paraId="0ABE7DC7">
      <w:pPr>
        <w:pStyle w:val="112"/>
        <w:widowControl w:val="0"/>
        <w:snapToGrid w:val="0"/>
        <w:jc w:val="center"/>
        <w:rPr>
          <w:rFonts w:ascii="方正小标宋简体" w:hAnsi="方正小标宋简体" w:eastAsia="方正小标宋简体" w:cs="方正小标宋简体"/>
          <w:color w:val="auto"/>
          <w:sz w:val="36"/>
          <w:szCs w:val="36"/>
          <w:highlight w:val="none"/>
        </w:rPr>
      </w:pPr>
      <w:r>
        <w:rPr>
          <w:rFonts w:ascii="方正小标宋简体" w:hAnsi="方正小标宋简体" w:eastAsia="方正小标宋简体" w:cs="方正小标宋简体"/>
          <w:color w:val="auto"/>
          <w:sz w:val="36"/>
          <w:szCs w:val="36"/>
          <w:highlight w:val="none"/>
        </w:rPr>
        <w:t>政府采购活动现场确认声明书</w:t>
      </w:r>
    </w:p>
    <w:p w14:paraId="49F34597">
      <w:pPr>
        <w:pStyle w:val="112"/>
        <w:widowControl w:val="0"/>
        <w:snapToGrid w:val="0"/>
        <w:jc w:val="center"/>
        <w:rPr>
          <w:rFonts w:ascii="方正小标宋简体" w:hAnsi="方正小标宋简体" w:eastAsia="方正小标宋简体" w:cs="方正小标宋简体"/>
          <w:color w:val="auto"/>
          <w:sz w:val="36"/>
          <w:szCs w:val="36"/>
          <w:highlight w:val="none"/>
        </w:rPr>
      </w:pPr>
    </w:p>
    <w:p w14:paraId="0BED9766">
      <w:pPr>
        <w:pStyle w:val="112"/>
        <w:widowControl w:val="0"/>
        <w:snapToGrid w:val="0"/>
        <w:spacing w:line="360" w:lineRule="auto"/>
        <w:jc w:val="both"/>
        <w:rPr>
          <w:rFonts w:ascii="仿宋" w:hAnsi="仿宋"/>
          <w:b/>
          <w:color w:val="auto"/>
          <w:sz w:val="24"/>
          <w:szCs w:val="24"/>
          <w:highlight w:val="none"/>
        </w:rPr>
      </w:pPr>
      <w:r>
        <w:rPr>
          <w:rFonts w:hint="eastAsia" w:ascii="仿宋" w:hAnsi="仿宋"/>
          <w:color w:val="auto"/>
          <w:sz w:val="24"/>
          <w:szCs w:val="24"/>
          <w:highlight w:val="none"/>
          <w:u w:val="single"/>
          <w:lang w:eastAsia="zh-CN"/>
        </w:rPr>
        <w:t>台州市公安局交通管理支队</w:t>
      </w:r>
      <w:r>
        <w:rPr>
          <w:rFonts w:ascii="仿宋" w:hAnsi="仿宋"/>
          <w:color w:val="auto"/>
          <w:sz w:val="24"/>
          <w:szCs w:val="24"/>
          <w:highlight w:val="none"/>
          <w:u w:val="single"/>
        </w:rPr>
        <w:t>/ 浙江百和工程咨询有限公司</w:t>
      </w:r>
      <w:r>
        <w:rPr>
          <w:rFonts w:ascii="仿宋" w:hAnsi="仿宋"/>
          <w:color w:val="auto"/>
          <w:sz w:val="24"/>
          <w:szCs w:val="24"/>
          <w:highlight w:val="none"/>
        </w:rPr>
        <w:t>：</w:t>
      </w:r>
    </w:p>
    <w:p w14:paraId="3C75918B">
      <w:pPr>
        <w:pStyle w:val="112"/>
        <w:widowControl w:val="0"/>
        <w:snapToGrid w:val="0"/>
        <w:spacing w:line="360" w:lineRule="auto"/>
        <w:ind w:firstLine="504" w:firstLineChars="200"/>
        <w:jc w:val="both"/>
        <w:rPr>
          <w:rFonts w:ascii="仿宋" w:hAnsi="仿宋"/>
          <w:color w:val="auto"/>
          <w:spacing w:val="6"/>
          <w:sz w:val="24"/>
          <w:szCs w:val="24"/>
          <w:highlight w:val="none"/>
        </w:rPr>
      </w:pPr>
      <w:r>
        <w:rPr>
          <w:rFonts w:ascii="仿宋" w:hAnsi="仿宋"/>
          <w:color w:val="auto"/>
          <w:spacing w:val="6"/>
          <w:sz w:val="24"/>
          <w:szCs w:val="24"/>
          <w:highlight w:val="none"/>
        </w:rPr>
        <w:t>本人经由</w:t>
      </w:r>
      <w:r>
        <w:rPr>
          <w:rFonts w:ascii="仿宋" w:hAnsi="仿宋"/>
          <w:color w:val="auto"/>
          <w:spacing w:val="6"/>
          <w:sz w:val="24"/>
          <w:szCs w:val="24"/>
          <w:highlight w:val="none"/>
          <w:u w:val="single"/>
        </w:rPr>
        <w:t xml:space="preserve">                     （单位）</w:t>
      </w:r>
      <w:r>
        <w:rPr>
          <w:rFonts w:ascii="仿宋" w:hAnsi="仿宋"/>
          <w:color w:val="auto"/>
          <w:spacing w:val="6"/>
          <w:sz w:val="24"/>
          <w:szCs w:val="24"/>
          <w:highlight w:val="none"/>
        </w:rPr>
        <w:t>负责人</w:t>
      </w:r>
      <w:r>
        <w:rPr>
          <w:rFonts w:ascii="仿宋" w:hAnsi="仿宋"/>
          <w:color w:val="auto"/>
          <w:spacing w:val="6"/>
          <w:sz w:val="24"/>
          <w:szCs w:val="24"/>
          <w:highlight w:val="none"/>
          <w:u w:val="single"/>
        </w:rPr>
        <w:t xml:space="preserve">         （姓名）</w:t>
      </w:r>
      <w:r>
        <w:rPr>
          <w:rFonts w:ascii="仿宋" w:hAnsi="仿宋"/>
          <w:color w:val="auto"/>
          <w:spacing w:val="6"/>
          <w:sz w:val="24"/>
          <w:szCs w:val="24"/>
          <w:highlight w:val="none"/>
        </w:rPr>
        <w:t>合法授权参加</w:t>
      </w:r>
      <w:r>
        <w:rPr>
          <w:rFonts w:hint="eastAsia" w:ascii="仿宋" w:hAnsi="仿宋"/>
          <w:color w:val="auto"/>
          <w:spacing w:val="6"/>
          <w:sz w:val="24"/>
          <w:szCs w:val="24"/>
          <w:highlight w:val="none"/>
          <w:lang w:eastAsia="zh-CN"/>
        </w:rPr>
        <w:t>台州市公安局交通管理支队2025年信息化办公驻点维护项目</w:t>
      </w:r>
      <w:r>
        <w:rPr>
          <w:rFonts w:ascii="仿宋" w:hAnsi="仿宋"/>
          <w:color w:val="auto"/>
          <w:spacing w:val="6"/>
          <w:sz w:val="24"/>
          <w:szCs w:val="24"/>
          <w:highlight w:val="none"/>
        </w:rPr>
        <w:t>（</w:t>
      </w:r>
      <w:r>
        <w:rPr>
          <w:rFonts w:hint="eastAsia" w:ascii="仿宋" w:hAnsi="仿宋"/>
          <w:color w:val="auto"/>
          <w:spacing w:val="6"/>
          <w:sz w:val="24"/>
          <w:szCs w:val="24"/>
          <w:highlight w:val="none"/>
        </w:rPr>
        <w:t>编号：台财采确[2025]2948号）政府</w:t>
      </w:r>
      <w:r>
        <w:rPr>
          <w:rFonts w:ascii="仿宋" w:hAnsi="仿宋"/>
          <w:color w:val="auto"/>
          <w:spacing w:val="6"/>
          <w:sz w:val="24"/>
          <w:szCs w:val="24"/>
          <w:highlight w:val="none"/>
        </w:rPr>
        <w:t xml:space="preserve">采购活动，经与本单位法人代表（负责人）联系确认，现就有关公平竞争事项郑重声明如下： </w:t>
      </w:r>
    </w:p>
    <w:p w14:paraId="048945A3">
      <w:pPr>
        <w:pStyle w:val="79"/>
        <w:widowControl/>
        <w:numPr>
          <w:ilvl w:val="0"/>
          <w:numId w:val="11"/>
        </w:numPr>
        <w:snapToGrid w:val="0"/>
        <w:ind w:firstLine="453" w:firstLineChars="189"/>
        <w:rPr>
          <w:rFonts w:ascii="仿宋" w:hAnsi="仿宋"/>
          <w:color w:val="auto"/>
          <w:sz w:val="24"/>
          <w:szCs w:val="24"/>
          <w:highlight w:val="none"/>
        </w:rPr>
      </w:pPr>
      <w:r>
        <w:rPr>
          <w:rFonts w:ascii="仿宋" w:hAnsi="仿宋"/>
          <w:color w:val="auto"/>
          <w:sz w:val="24"/>
          <w:szCs w:val="24"/>
          <w:highlight w:val="none"/>
        </w:rPr>
        <w:t xml:space="preserve">本单位与采购人之间 </w:t>
      </w:r>
      <w:r>
        <w:rPr>
          <w:rFonts w:hAnsi="宋体" w:cs="宋体"/>
          <w:color w:val="auto"/>
          <w:sz w:val="24"/>
          <w:szCs w:val="24"/>
          <w:highlight w:val="none"/>
        </w:rPr>
        <w:t>□</w:t>
      </w:r>
      <w:r>
        <w:rPr>
          <w:rFonts w:ascii="仿宋" w:hAnsi="仿宋"/>
          <w:color w:val="auto"/>
          <w:sz w:val="24"/>
          <w:szCs w:val="24"/>
          <w:highlight w:val="none"/>
        </w:rPr>
        <w:t xml:space="preserve">不存在利害关系 </w:t>
      </w:r>
      <w:r>
        <w:rPr>
          <w:rFonts w:hAnsi="宋体" w:cs="宋体"/>
          <w:color w:val="auto"/>
          <w:sz w:val="24"/>
          <w:szCs w:val="24"/>
          <w:highlight w:val="none"/>
        </w:rPr>
        <w:t>□</w:t>
      </w:r>
      <w:r>
        <w:rPr>
          <w:rFonts w:ascii="仿宋" w:hAnsi="仿宋"/>
          <w:color w:val="auto"/>
          <w:sz w:val="24"/>
          <w:szCs w:val="24"/>
          <w:highlight w:val="none"/>
        </w:rPr>
        <w:t>存在下列利害关系</w:t>
      </w:r>
      <w:r>
        <w:rPr>
          <w:rFonts w:ascii="仿宋" w:hAnsi="仿宋"/>
          <w:color w:val="auto"/>
          <w:sz w:val="24"/>
          <w:szCs w:val="24"/>
          <w:highlight w:val="none"/>
          <w:u w:val="single"/>
        </w:rPr>
        <w:t xml:space="preserve">           </w:t>
      </w:r>
      <w:r>
        <w:rPr>
          <w:rFonts w:ascii="仿宋" w:hAnsi="仿宋"/>
          <w:color w:val="auto"/>
          <w:sz w:val="24"/>
          <w:szCs w:val="24"/>
          <w:highlight w:val="none"/>
        </w:rPr>
        <w:t>：</w:t>
      </w:r>
    </w:p>
    <w:p w14:paraId="2B4337D8">
      <w:pPr>
        <w:pStyle w:val="79"/>
        <w:widowControl/>
        <w:snapToGrid w:val="0"/>
        <w:rPr>
          <w:rFonts w:ascii="仿宋" w:hAnsi="仿宋"/>
          <w:color w:val="auto"/>
          <w:sz w:val="24"/>
          <w:szCs w:val="24"/>
          <w:highlight w:val="none"/>
        </w:rPr>
      </w:pPr>
      <w:r>
        <w:rPr>
          <w:rFonts w:ascii="仿宋" w:hAnsi="仿宋"/>
          <w:color w:val="auto"/>
          <w:sz w:val="24"/>
          <w:szCs w:val="24"/>
          <w:highlight w:val="none"/>
        </w:rPr>
        <w:t xml:space="preserve">  A.投资关系    B.行政隶属关系    C.业务指导关系</w:t>
      </w:r>
    </w:p>
    <w:p w14:paraId="3E792467">
      <w:pPr>
        <w:pStyle w:val="79"/>
        <w:widowControl/>
        <w:snapToGrid w:val="0"/>
        <w:rPr>
          <w:rFonts w:ascii="仿宋" w:hAnsi="仿宋"/>
          <w:color w:val="auto"/>
          <w:sz w:val="24"/>
          <w:szCs w:val="24"/>
          <w:highlight w:val="none"/>
        </w:rPr>
      </w:pPr>
      <w:r>
        <w:rPr>
          <w:rFonts w:ascii="仿宋" w:hAnsi="仿宋"/>
          <w:color w:val="auto"/>
          <w:sz w:val="24"/>
          <w:szCs w:val="24"/>
          <w:highlight w:val="none"/>
        </w:rPr>
        <w:t xml:space="preserve">  D.其他可能影响采购公正的利害关系</w:t>
      </w:r>
      <w:r>
        <w:rPr>
          <w:rFonts w:ascii="仿宋" w:hAnsi="仿宋"/>
          <w:color w:val="auto"/>
          <w:sz w:val="24"/>
          <w:szCs w:val="24"/>
          <w:highlight w:val="none"/>
          <w:u w:val="single"/>
        </w:rPr>
        <w:t xml:space="preserve">（如有，请如实说明）                 </w:t>
      </w:r>
      <w:r>
        <w:rPr>
          <w:rFonts w:ascii="仿宋" w:hAnsi="仿宋"/>
          <w:color w:val="auto"/>
          <w:sz w:val="24"/>
          <w:szCs w:val="24"/>
          <w:highlight w:val="none"/>
        </w:rPr>
        <w:t>。</w:t>
      </w:r>
    </w:p>
    <w:p w14:paraId="74951B89">
      <w:pPr>
        <w:pStyle w:val="79"/>
        <w:widowControl/>
        <w:snapToGrid w:val="0"/>
        <w:rPr>
          <w:rFonts w:ascii="仿宋" w:hAnsi="仿宋"/>
          <w:color w:val="auto"/>
          <w:sz w:val="24"/>
          <w:szCs w:val="24"/>
          <w:highlight w:val="none"/>
        </w:rPr>
      </w:pPr>
      <w:r>
        <w:rPr>
          <w:rFonts w:ascii="仿宋" w:hAnsi="仿宋"/>
          <w:color w:val="auto"/>
          <w:spacing w:val="6"/>
          <w:sz w:val="24"/>
          <w:szCs w:val="24"/>
          <w:highlight w:val="none"/>
        </w:rPr>
        <w:t xml:space="preserve">  二、</w:t>
      </w:r>
      <w:r>
        <w:rPr>
          <w:rFonts w:ascii="仿宋" w:hAnsi="仿宋"/>
          <w:color w:val="auto"/>
          <w:sz w:val="24"/>
          <w:szCs w:val="24"/>
          <w:highlight w:val="none"/>
        </w:rPr>
        <w:t xml:space="preserve">现已清楚知道参加本项目采购活动的其他所有供应商名称，本单位 </w:t>
      </w:r>
      <w:r>
        <w:rPr>
          <w:rFonts w:hAnsi="宋体" w:cs="宋体"/>
          <w:color w:val="auto"/>
          <w:sz w:val="24"/>
          <w:szCs w:val="24"/>
          <w:highlight w:val="none"/>
        </w:rPr>
        <w:t>□与其他所有供应商之间均</w:t>
      </w:r>
      <w:r>
        <w:rPr>
          <w:rFonts w:ascii="仿宋" w:hAnsi="仿宋"/>
          <w:color w:val="auto"/>
          <w:sz w:val="24"/>
          <w:szCs w:val="24"/>
          <w:highlight w:val="none"/>
        </w:rPr>
        <w:t xml:space="preserve">不存在利害关系 </w:t>
      </w:r>
      <w:r>
        <w:rPr>
          <w:rFonts w:hAnsi="宋体" w:cs="宋体"/>
          <w:color w:val="auto"/>
          <w:sz w:val="24"/>
          <w:szCs w:val="24"/>
          <w:highlight w:val="none"/>
        </w:rPr>
        <w:t>□与</w:t>
      </w:r>
      <w:r>
        <w:rPr>
          <w:rFonts w:hAnsi="宋体" w:cs="宋体"/>
          <w:color w:val="auto"/>
          <w:sz w:val="24"/>
          <w:szCs w:val="24"/>
          <w:highlight w:val="none"/>
          <w:u w:val="single"/>
        </w:rPr>
        <w:t xml:space="preserve">           （供应商名称）</w:t>
      </w:r>
      <w:r>
        <w:rPr>
          <w:rFonts w:hAnsi="宋体" w:cs="宋体"/>
          <w:color w:val="auto"/>
          <w:sz w:val="24"/>
          <w:szCs w:val="24"/>
          <w:highlight w:val="none"/>
        </w:rPr>
        <w:t>之间</w:t>
      </w:r>
      <w:r>
        <w:rPr>
          <w:rFonts w:ascii="仿宋" w:hAnsi="仿宋"/>
          <w:color w:val="auto"/>
          <w:sz w:val="24"/>
          <w:szCs w:val="24"/>
          <w:highlight w:val="none"/>
        </w:rPr>
        <w:t>存在下列利害关系</w:t>
      </w:r>
      <w:r>
        <w:rPr>
          <w:rFonts w:ascii="仿宋" w:hAnsi="仿宋"/>
          <w:color w:val="auto"/>
          <w:sz w:val="24"/>
          <w:szCs w:val="24"/>
          <w:highlight w:val="none"/>
          <w:u w:val="single"/>
        </w:rPr>
        <w:t xml:space="preserve">          </w:t>
      </w:r>
      <w:r>
        <w:rPr>
          <w:rFonts w:ascii="仿宋" w:hAnsi="仿宋"/>
          <w:color w:val="auto"/>
          <w:sz w:val="24"/>
          <w:szCs w:val="24"/>
          <w:highlight w:val="none"/>
        </w:rPr>
        <w:t>：</w:t>
      </w:r>
    </w:p>
    <w:p w14:paraId="087D6575">
      <w:pPr>
        <w:pStyle w:val="112"/>
        <w:widowControl w:val="0"/>
        <w:snapToGrid w:val="0"/>
        <w:jc w:val="both"/>
        <w:rPr>
          <w:rFonts w:ascii="仿宋" w:hAnsi="仿宋"/>
          <w:color w:val="auto"/>
          <w:sz w:val="24"/>
          <w:szCs w:val="24"/>
          <w:highlight w:val="none"/>
        </w:rPr>
      </w:pPr>
      <w:r>
        <w:rPr>
          <w:rFonts w:ascii="仿宋" w:hAnsi="仿宋"/>
          <w:color w:val="auto"/>
          <w:sz w:val="24"/>
          <w:szCs w:val="24"/>
          <w:highlight w:val="none"/>
        </w:rPr>
        <w:t xml:space="preserve">  A.法定代表人或负责人或实际控制人是同一人</w:t>
      </w:r>
    </w:p>
    <w:p w14:paraId="62EE07C7">
      <w:pPr>
        <w:pStyle w:val="112"/>
        <w:widowControl w:val="0"/>
        <w:snapToGrid w:val="0"/>
        <w:jc w:val="both"/>
        <w:rPr>
          <w:rFonts w:ascii="仿宋" w:hAnsi="仿宋"/>
          <w:color w:val="auto"/>
          <w:spacing w:val="6"/>
          <w:sz w:val="24"/>
          <w:szCs w:val="24"/>
          <w:highlight w:val="none"/>
        </w:rPr>
      </w:pPr>
      <w:r>
        <w:rPr>
          <w:rFonts w:ascii="仿宋" w:hAnsi="仿宋"/>
          <w:color w:val="auto"/>
          <w:sz w:val="24"/>
          <w:szCs w:val="24"/>
          <w:highlight w:val="none"/>
        </w:rPr>
        <w:t xml:space="preserve">  B.法定代表人或负责人或实际控制人是夫妻关系</w:t>
      </w:r>
    </w:p>
    <w:p w14:paraId="11394D67">
      <w:pPr>
        <w:pStyle w:val="112"/>
        <w:widowControl w:val="0"/>
        <w:snapToGrid w:val="0"/>
        <w:jc w:val="both"/>
        <w:rPr>
          <w:rFonts w:ascii="仿宋" w:hAnsi="仿宋"/>
          <w:color w:val="auto"/>
          <w:spacing w:val="6"/>
          <w:sz w:val="24"/>
          <w:szCs w:val="24"/>
          <w:highlight w:val="none"/>
        </w:rPr>
      </w:pPr>
      <w:r>
        <w:rPr>
          <w:rFonts w:ascii="仿宋" w:hAnsi="仿宋"/>
          <w:color w:val="auto"/>
          <w:sz w:val="24"/>
          <w:szCs w:val="24"/>
          <w:highlight w:val="none"/>
        </w:rPr>
        <w:t xml:space="preserve">  C.法定代表人或负责人或实际控制人是直系血亲关系</w:t>
      </w:r>
    </w:p>
    <w:p w14:paraId="24B3C485">
      <w:pPr>
        <w:pStyle w:val="112"/>
        <w:widowControl w:val="0"/>
        <w:snapToGrid w:val="0"/>
        <w:jc w:val="both"/>
        <w:rPr>
          <w:rFonts w:ascii="仿宋" w:hAnsi="仿宋"/>
          <w:color w:val="auto"/>
          <w:spacing w:val="6"/>
          <w:sz w:val="24"/>
          <w:szCs w:val="24"/>
          <w:highlight w:val="none"/>
        </w:rPr>
      </w:pPr>
      <w:r>
        <w:rPr>
          <w:rFonts w:ascii="仿宋" w:hAnsi="仿宋"/>
          <w:color w:val="auto"/>
          <w:sz w:val="24"/>
          <w:szCs w:val="24"/>
          <w:highlight w:val="none"/>
        </w:rPr>
        <w:t xml:space="preserve">  D.法定代表人或负责人或实际控制人存在三代以内旁系血亲关系</w:t>
      </w:r>
    </w:p>
    <w:p w14:paraId="384E6946">
      <w:pPr>
        <w:pStyle w:val="112"/>
        <w:widowControl w:val="0"/>
        <w:snapToGrid w:val="0"/>
        <w:jc w:val="both"/>
        <w:rPr>
          <w:rFonts w:ascii="仿宋" w:hAnsi="仿宋"/>
          <w:color w:val="auto"/>
          <w:sz w:val="24"/>
          <w:szCs w:val="24"/>
          <w:highlight w:val="none"/>
        </w:rPr>
      </w:pPr>
      <w:r>
        <w:rPr>
          <w:rFonts w:ascii="仿宋" w:hAnsi="仿宋"/>
          <w:color w:val="auto"/>
          <w:sz w:val="24"/>
          <w:szCs w:val="24"/>
          <w:highlight w:val="none"/>
        </w:rPr>
        <w:t xml:space="preserve">  E.法定代表人或负责人或实际控制人存在近姻亲关系</w:t>
      </w:r>
    </w:p>
    <w:p w14:paraId="5D2E6EC4">
      <w:pPr>
        <w:pStyle w:val="112"/>
        <w:widowControl w:val="0"/>
        <w:snapToGrid w:val="0"/>
        <w:jc w:val="both"/>
        <w:rPr>
          <w:rFonts w:ascii="仿宋" w:hAnsi="仿宋"/>
          <w:color w:val="auto"/>
          <w:sz w:val="24"/>
          <w:szCs w:val="24"/>
          <w:highlight w:val="none"/>
        </w:rPr>
      </w:pPr>
      <w:r>
        <w:rPr>
          <w:rFonts w:ascii="仿宋" w:hAnsi="仿宋"/>
          <w:color w:val="auto"/>
          <w:sz w:val="24"/>
          <w:szCs w:val="24"/>
          <w:highlight w:val="none"/>
        </w:rPr>
        <w:t xml:space="preserve">  F.法定代表人或负责人或实际控制人存在股份控制或实际控制关系</w:t>
      </w:r>
    </w:p>
    <w:p w14:paraId="1E74FE3C">
      <w:pPr>
        <w:pStyle w:val="112"/>
        <w:widowControl w:val="0"/>
        <w:snapToGrid w:val="0"/>
        <w:jc w:val="both"/>
        <w:outlineLvl w:val="0"/>
        <w:rPr>
          <w:rFonts w:ascii="仿宋" w:hAnsi="仿宋"/>
          <w:color w:val="auto"/>
          <w:sz w:val="24"/>
          <w:szCs w:val="24"/>
          <w:highlight w:val="none"/>
        </w:rPr>
      </w:pPr>
      <w:r>
        <w:rPr>
          <w:rFonts w:ascii="仿宋" w:hAnsi="仿宋"/>
          <w:color w:val="auto"/>
          <w:sz w:val="24"/>
          <w:szCs w:val="24"/>
          <w:highlight w:val="none"/>
        </w:rPr>
        <w:t xml:space="preserve">  G.存在共同直接或间接投资设立子公司、联营企业和合营企业情况</w:t>
      </w:r>
    </w:p>
    <w:p w14:paraId="36C6FF98">
      <w:pPr>
        <w:pStyle w:val="112"/>
        <w:widowControl w:val="0"/>
        <w:snapToGrid w:val="0"/>
        <w:jc w:val="both"/>
        <w:rPr>
          <w:rFonts w:ascii="仿宋" w:hAnsi="仿宋"/>
          <w:color w:val="auto"/>
          <w:sz w:val="24"/>
          <w:szCs w:val="24"/>
          <w:highlight w:val="none"/>
        </w:rPr>
      </w:pPr>
      <w:r>
        <w:rPr>
          <w:rFonts w:ascii="仿宋" w:hAnsi="仿宋"/>
          <w:color w:val="auto"/>
          <w:sz w:val="24"/>
          <w:szCs w:val="24"/>
          <w:highlight w:val="none"/>
        </w:rPr>
        <w:t xml:space="preserve">  H.存在分级代理或代销关系、同一生产制造商关系、管理关系、重要业务（占主营业务收入50%以上）或重要财务往来关系（如融资）等其他实质性控制关系</w:t>
      </w:r>
    </w:p>
    <w:p w14:paraId="38EF8243">
      <w:pPr>
        <w:pStyle w:val="112"/>
        <w:widowControl w:val="0"/>
        <w:snapToGrid w:val="0"/>
        <w:jc w:val="both"/>
        <w:rPr>
          <w:rFonts w:ascii="仿宋" w:hAnsi="仿宋"/>
          <w:color w:val="auto"/>
          <w:spacing w:val="6"/>
          <w:sz w:val="24"/>
          <w:szCs w:val="24"/>
          <w:highlight w:val="none"/>
        </w:rPr>
      </w:pPr>
      <w:r>
        <w:rPr>
          <w:rFonts w:ascii="仿宋" w:hAnsi="仿宋"/>
          <w:color w:val="auto"/>
          <w:sz w:val="24"/>
          <w:szCs w:val="24"/>
          <w:highlight w:val="none"/>
        </w:rPr>
        <w:t xml:space="preserve">    I.其他利害关系情况</w:t>
      </w:r>
      <w:r>
        <w:rPr>
          <w:rFonts w:ascii="仿宋" w:hAnsi="仿宋"/>
          <w:color w:val="auto"/>
          <w:sz w:val="24"/>
          <w:szCs w:val="24"/>
          <w:highlight w:val="none"/>
          <w:u w:val="single"/>
        </w:rPr>
        <w:t xml:space="preserve">                              </w:t>
      </w:r>
      <w:r>
        <w:rPr>
          <w:rFonts w:ascii="仿宋" w:hAnsi="仿宋"/>
          <w:color w:val="auto"/>
          <w:sz w:val="24"/>
          <w:szCs w:val="24"/>
          <w:highlight w:val="none"/>
        </w:rPr>
        <w:t>。</w:t>
      </w:r>
    </w:p>
    <w:p w14:paraId="750D6436">
      <w:pPr>
        <w:pStyle w:val="79"/>
        <w:widowControl/>
        <w:numPr>
          <w:ilvl w:val="0"/>
          <w:numId w:val="12"/>
        </w:numPr>
        <w:snapToGrid w:val="0"/>
        <w:ind w:firstLine="453" w:firstLineChars="189"/>
        <w:rPr>
          <w:rFonts w:ascii="仿宋" w:hAnsi="仿宋"/>
          <w:color w:val="auto"/>
          <w:sz w:val="24"/>
          <w:szCs w:val="24"/>
          <w:highlight w:val="none"/>
        </w:rPr>
      </w:pPr>
      <w:r>
        <w:rPr>
          <w:rFonts w:ascii="仿宋" w:hAnsi="仿宋"/>
          <w:color w:val="auto"/>
          <w:sz w:val="24"/>
          <w:szCs w:val="24"/>
          <w:highlight w:val="none"/>
        </w:rPr>
        <w:t>现已清楚知道并严格遵守政府采购法律法规和现场纪律。</w:t>
      </w:r>
    </w:p>
    <w:p w14:paraId="447B974F">
      <w:pPr>
        <w:pStyle w:val="79"/>
        <w:widowControl/>
        <w:numPr>
          <w:ilvl w:val="0"/>
          <w:numId w:val="12"/>
        </w:numPr>
        <w:snapToGrid w:val="0"/>
        <w:ind w:firstLine="453" w:firstLineChars="189"/>
        <w:rPr>
          <w:rFonts w:ascii="仿宋" w:hAnsi="仿宋"/>
          <w:color w:val="auto"/>
          <w:sz w:val="24"/>
          <w:szCs w:val="24"/>
          <w:highlight w:val="none"/>
        </w:rPr>
      </w:pPr>
      <w:r>
        <w:rPr>
          <w:rFonts w:ascii="仿宋" w:hAnsi="仿宋"/>
          <w:color w:val="auto"/>
          <w:sz w:val="24"/>
          <w:szCs w:val="24"/>
          <w:highlight w:val="none"/>
        </w:rPr>
        <w:t>我发现</w:t>
      </w:r>
      <w:r>
        <w:rPr>
          <w:rFonts w:ascii="仿宋" w:hAnsi="仿宋"/>
          <w:color w:val="auto"/>
          <w:sz w:val="24"/>
          <w:szCs w:val="24"/>
          <w:highlight w:val="none"/>
          <w:u w:val="single"/>
        </w:rPr>
        <w:t xml:space="preserve">                    </w:t>
      </w:r>
      <w:r>
        <w:rPr>
          <w:rFonts w:ascii="仿宋" w:hAnsi="仿宋"/>
          <w:color w:val="auto"/>
          <w:sz w:val="24"/>
          <w:szCs w:val="24"/>
          <w:highlight w:val="none"/>
        </w:rPr>
        <w:t>供应商之间存在或可能存在上述第二条第</w:t>
      </w:r>
      <w:r>
        <w:rPr>
          <w:rFonts w:ascii="仿宋" w:hAnsi="仿宋"/>
          <w:color w:val="auto"/>
          <w:sz w:val="24"/>
          <w:szCs w:val="24"/>
          <w:highlight w:val="none"/>
          <w:u w:val="single"/>
        </w:rPr>
        <w:t xml:space="preserve">        </w:t>
      </w:r>
      <w:r>
        <w:rPr>
          <w:rFonts w:ascii="仿宋" w:hAnsi="仿宋"/>
          <w:color w:val="auto"/>
          <w:sz w:val="24"/>
          <w:szCs w:val="24"/>
          <w:highlight w:val="none"/>
        </w:rPr>
        <w:t>项利害关系。</w:t>
      </w:r>
    </w:p>
    <w:p w14:paraId="5B077A56">
      <w:pPr>
        <w:pStyle w:val="112"/>
        <w:widowControl w:val="0"/>
        <w:snapToGrid w:val="0"/>
        <w:ind w:firstLine="480" w:firstLineChars="200"/>
        <w:jc w:val="both"/>
        <w:rPr>
          <w:rFonts w:ascii="仿宋" w:hAnsi="仿宋"/>
          <w:color w:val="auto"/>
          <w:sz w:val="24"/>
          <w:szCs w:val="24"/>
          <w:highlight w:val="none"/>
        </w:rPr>
      </w:pPr>
    </w:p>
    <w:p w14:paraId="32C78E5A">
      <w:pPr>
        <w:pStyle w:val="112"/>
        <w:widowControl w:val="0"/>
        <w:snapToGrid w:val="0"/>
        <w:ind w:firstLine="480" w:firstLineChars="200"/>
        <w:jc w:val="both"/>
        <w:rPr>
          <w:rFonts w:ascii="仿宋" w:hAnsi="仿宋"/>
          <w:color w:val="auto"/>
          <w:sz w:val="24"/>
          <w:szCs w:val="24"/>
          <w:highlight w:val="none"/>
        </w:rPr>
      </w:pPr>
      <w:r>
        <w:rPr>
          <w:rFonts w:ascii="仿宋" w:hAnsi="仿宋"/>
          <w:color w:val="auto"/>
          <w:sz w:val="24"/>
          <w:szCs w:val="24"/>
          <w:highlight w:val="none"/>
        </w:rPr>
        <w:t xml:space="preserve">                    </w:t>
      </w:r>
    </w:p>
    <w:p w14:paraId="34D2DBA0">
      <w:pPr>
        <w:pStyle w:val="112"/>
        <w:widowControl w:val="0"/>
        <w:snapToGrid w:val="0"/>
        <w:ind w:firstLine="480" w:firstLineChars="200"/>
        <w:jc w:val="both"/>
        <w:rPr>
          <w:rFonts w:ascii="仿宋" w:hAnsi="仿宋"/>
          <w:color w:val="auto"/>
          <w:sz w:val="24"/>
          <w:szCs w:val="24"/>
          <w:highlight w:val="none"/>
        </w:rPr>
      </w:pPr>
    </w:p>
    <w:p w14:paraId="0F8633AB">
      <w:pPr>
        <w:pStyle w:val="112"/>
        <w:widowControl w:val="0"/>
        <w:snapToGrid w:val="0"/>
        <w:ind w:firstLine="480" w:firstLineChars="200"/>
        <w:jc w:val="center"/>
        <w:rPr>
          <w:rFonts w:ascii="仿宋" w:hAnsi="仿宋"/>
          <w:color w:val="auto"/>
          <w:sz w:val="24"/>
          <w:highlight w:val="none"/>
        </w:rPr>
      </w:pPr>
      <w:r>
        <w:rPr>
          <w:rFonts w:ascii="仿宋" w:hAnsi="仿宋"/>
          <w:color w:val="auto"/>
          <w:sz w:val="24"/>
          <w:szCs w:val="24"/>
          <w:highlight w:val="none"/>
        </w:rPr>
        <w:t xml:space="preserve">                           供应商代表签名：</w:t>
      </w:r>
      <w:r>
        <w:rPr>
          <w:rFonts w:ascii="仿宋" w:hAnsi="仿宋"/>
          <w:color w:val="auto"/>
          <w:sz w:val="24"/>
          <w:szCs w:val="24"/>
          <w:highlight w:val="none"/>
          <w:u w:val="single"/>
        </w:rPr>
        <w:t xml:space="preserve">                   </w:t>
      </w:r>
    </w:p>
    <w:p w14:paraId="136417CB">
      <w:pPr>
        <w:snapToGrid w:val="0"/>
        <w:spacing w:before="156" w:beforeLines="50" w:after="50" w:line="360" w:lineRule="auto"/>
        <w:jc w:val="right"/>
        <w:rPr>
          <w:rFonts w:ascii="宋体" w:hAnsi="宋体" w:cs="宋体"/>
          <w:bCs/>
          <w:color w:val="auto"/>
          <w:sz w:val="30"/>
          <w:szCs w:val="30"/>
          <w:highlight w:val="none"/>
        </w:rPr>
      </w:pPr>
      <w:r>
        <w:rPr>
          <w:rFonts w:hint="eastAsia" w:ascii="仿宋" w:hAnsi="仿宋"/>
          <w:color w:val="auto"/>
          <w:sz w:val="24"/>
          <w:highlight w:val="none"/>
        </w:rPr>
        <w:t xml:space="preserve"> </w:t>
      </w:r>
      <w:r>
        <w:rPr>
          <w:rFonts w:ascii="仿宋" w:hAnsi="仿宋"/>
          <w:color w:val="auto"/>
          <w:sz w:val="24"/>
          <w:highlight w:val="none"/>
        </w:rPr>
        <w:t>年</w:t>
      </w:r>
      <w:r>
        <w:rPr>
          <w:rFonts w:hint="eastAsia" w:ascii="仿宋" w:hAnsi="仿宋"/>
          <w:color w:val="auto"/>
          <w:sz w:val="24"/>
          <w:highlight w:val="none"/>
        </w:rPr>
        <w:t xml:space="preserve">  </w:t>
      </w:r>
      <w:r>
        <w:rPr>
          <w:rFonts w:ascii="仿宋" w:hAnsi="仿宋"/>
          <w:color w:val="auto"/>
          <w:sz w:val="24"/>
          <w:highlight w:val="none"/>
        </w:rPr>
        <w:t>月</w:t>
      </w:r>
      <w:r>
        <w:rPr>
          <w:rFonts w:hint="eastAsia" w:ascii="仿宋" w:hAnsi="仿宋"/>
          <w:color w:val="auto"/>
          <w:sz w:val="24"/>
          <w:highlight w:val="none"/>
        </w:rPr>
        <w:t xml:space="preserve"> </w:t>
      </w:r>
      <w:r>
        <w:rPr>
          <w:rFonts w:ascii="仿宋" w:hAnsi="仿宋"/>
          <w:color w:val="auto"/>
          <w:sz w:val="24"/>
          <w:highlight w:val="none"/>
        </w:rPr>
        <w:t>日</w:t>
      </w:r>
    </w:p>
    <w:p w14:paraId="307F6885">
      <w:pPr>
        <w:pStyle w:val="8"/>
        <w:rPr>
          <w:color w:val="auto"/>
          <w:highlight w:val="none"/>
        </w:rPr>
      </w:pPr>
    </w:p>
    <w:p w14:paraId="6D4DA2A2">
      <w:pPr>
        <w:rPr>
          <w:color w:val="auto"/>
          <w:highlight w:val="none"/>
        </w:rPr>
      </w:pPr>
    </w:p>
    <w:p w14:paraId="585FD538">
      <w:pPr>
        <w:rPr>
          <w:color w:val="auto"/>
          <w:highlight w:val="none"/>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苹方 中等"/>
    <w:panose1 w:val="00000000000000000000"/>
    <w:charset w:val="00"/>
    <w:family w:val="auto"/>
    <w:pitch w:val="default"/>
    <w:sig w:usb0="00000000" w:usb1="00000000" w:usb2="00000000" w:usb3="00000000" w:csb0="00040001" w:csb1="00000000"/>
  </w:font>
  <w:font w:name="苹方 中等">
    <w:panose1 w:val="020B0400000000000000"/>
    <w:charset w:val="86"/>
    <w:family w:val="auto"/>
    <w:pitch w:val="default"/>
    <w:sig w:usb0="A00002FF" w:usb1="7ACFFCFB"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0A35F">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001CE7">
                          <w:pPr>
                            <w:pStyle w:val="25"/>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8001CE7">
                    <w:pPr>
                      <w:pStyle w:val="25"/>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A6F0D">
    <w:pPr>
      <w:pStyle w:val="2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86435" cy="147955"/>
              <wp:effectExtent l="0" t="0" r="12065" b="0"/>
              <wp:wrapNone/>
              <wp:docPr id="1" name="文本框 10"/>
              <wp:cNvGraphicFramePr/>
              <a:graphic xmlns:a="http://schemas.openxmlformats.org/drawingml/2006/main">
                <a:graphicData uri="http://schemas.microsoft.com/office/word/2010/wordprocessingShape">
                  <wps:wsp>
                    <wps:cNvSpPr txBox="1"/>
                    <wps:spPr>
                      <a:xfrm>
                        <a:off x="0" y="0"/>
                        <a:ext cx="686435" cy="147955"/>
                      </a:xfrm>
                      <a:prstGeom prst="rect">
                        <a:avLst/>
                      </a:prstGeom>
                      <a:noFill/>
                      <a:ln w="6350">
                        <a:noFill/>
                      </a:ln>
                      <a:effectLst/>
                    </wps:spPr>
                    <wps:txbx>
                      <w:txbxContent>
                        <w:p w14:paraId="206DAAD7">
                          <w:pPr>
                            <w:pStyle w:val="25"/>
                            <w:ind w:firstLine="360"/>
                            <w:rPr>
                              <w:highlight w:val="yellow"/>
                            </w:rPr>
                          </w:pPr>
                          <w:r>
                            <w:fldChar w:fldCharType="begin"/>
                          </w:r>
                          <w:r>
                            <w:instrText xml:space="preserve"> PAGE  \* MERGEFORMAT </w:instrText>
                          </w:r>
                          <w:r>
                            <w:fldChar w:fldCharType="separate"/>
                          </w:r>
                          <w:r>
                            <w:t>- 55 -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26" o:spt="202" type="#_x0000_t202" style="position:absolute;left:0pt;margin-top:0pt;height:11.65pt;width:54.05pt;mso-position-horizontal:center;mso-position-horizontal-relative:margin;mso-wrap-style:none;z-index:251659264;mso-width-relative:page;mso-height-relative:page;" filled="f" stroked="f" coordsize="21600,21600" o:gfxdata="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qR6aLSAAAABAEAAA8AAAAAAAAAAQAgAAAAIgAAAGRycy9kb3ducmV2LnhtbFBL&#10;AQIUABQAAAAIAIdO4kDSs1pTNQIAAGIEAAAOAAAAAAAAAAEAIAAAACEBAABkcnMvZTJvRG9jLnht&#10;bFBLBQYAAAAABgAGAFkBAADIBQAAAAA=&#10;">
              <v:fill on="f" focussize="0,0"/>
              <v:stroke on="f" weight="0.5pt"/>
              <v:imagedata o:title=""/>
              <o:lock v:ext="edit" aspectratio="f"/>
              <v:textbox inset="0mm,0mm,0mm,0mm" style="mso-fit-shape-to-text:t;">
                <w:txbxContent>
                  <w:p w14:paraId="206DAAD7">
                    <w:pPr>
                      <w:pStyle w:val="25"/>
                      <w:ind w:firstLine="360"/>
                      <w:rPr>
                        <w:highlight w:val="yellow"/>
                      </w:rPr>
                    </w:pPr>
                    <w:r>
                      <w:fldChar w:fldCharType="begin"/>
                    </w:r>
                    <w:r>
                      <w:instrText xml:space="preserve"> PAGE  \* MERGEFORMAT </w:instrText>
                    </w:r>
                    <w:r>
                      <w:fldChar w:fldCharType="separate"/>
                    </w:r>
                    <w:r>
                      <w:t>- 55 -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27D63">
    <w:pPr>
      <w:spacing w:line="20" w:lineRule="atLeast"/>
      <w:rPr>
        <w:b/>
        <w:color w:val="000000" w:themeColor="text1"/>
        <w:sz w:val="10"/>
        <w:u w:val="single"/>
        <w14:textFill>
          <w14:solidFill>
            <w14:schemeClr w14:val="tx1"/>
          </w14:solidFill>
        </w14:textFill>
      </w:rPr>
    </w:pPr>
    <w:r>
      <w:rPr>
        <w:b/>
        <w:i/>
        <w:color w:val="000000" w:themeColor="text1"/>
        <w:kern w:val="0"/>
        <w:sz w:val="18"/>
        <w:u w:val="single"/>
        <w14:textFill>
          <w14:solidFill>
            <w14:schemeClr w14:val="tx1"/>
          </w14:solidFill>
        </w14:textFill>
      </w:rPr>
      <w:t>采购招标文件</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- 6 -</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A540">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pPr>
        <w:ind w:left="-549"/>
      </w:pPr>
    </w:lvl>
  </w:abstractNum>
  <w:abstractNum w:abstractNumId="1">
    <w:nsid w:val="9FC77B98"/>
    <w:multiLevelType w:val="singleLevel"/>
    <w:tmpl w:val="9FC77B98"/>
    <w:lvl w:ilvl="0" w:tentative="0">
      <w:start w:val="1"/>
      <w:numFmt w:val="chineseCounting"/>
      <w:suff w:val="nothing"/>
      <w:lvlText w:val="%1、"/>
      <w:lvlJc w:val="left"/>
      <w:rPr>
        <w:rFonts w:hint="eastAsia"/>
      </w:rPr>
    </w:lvl>
  </w:abstractNum>
  <w:abstractNum w:abstractNumId="2">
    <w:nsid w:val="AE2D8F7B"/>
    <w:multiLevelType w:val="multilevel"/>
    <w:tmpl w:val="AE2D8F7B"/>
    <w:lvl w:ilvl="0" w:tentative="0">
      <w:start w:val="1"/>
      <w:numFmt w:val="decimal"/>
      <w:pStyle w:val="15"/>
      <w:lvlText w:val="%1."/>
      <w:lvlJc w:val="left"/>
      <w:pPr>
        <w:tabs>
          <w:tab w:val="left" w:pos="360"/>
        </w:tabs>
        <w:ind w:left="360" w:hanging="360"/>
      </w:pPr>
    </w:lvl>
    <w:lvl w:ilvl="1" w:tentative="0">
      <w:start w:val="8"/>
      <w:numFmt w:val="decimal"/>
      <w:isLgl/>
      <w:lvlText w:val="%1.%2"/>
      <w:lvlJc w:val="left"/>
      <w:pPr>
        <w:ind w:left="840" w:hanging="360"/>
      </w:pPr>
      <w:rPr>
        <w:rFonts w:hint="default"/>
      </w:rPr>
    </w:lvl>
    <w:lvl w:ilvl="2" w:tentative="0">
      <w:start w:val="1"/>
      <w:numFmt w:val="decimal"/>
      <w:isLgl/>
      <w:lvlText w:val="%1.%2.%3"/>
      <w:lvlJc w:val="left"/>
      <w:pPr>
        <w:ind w:left="168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3000" w:hanging="1080"/>
      </w:pPr>
      <w:rPr>
        <w:rFonts w:hint="default"/>
      </w:rPr>
    </w:lvl>
    <w:lvl w:ilvl="5" w:tentative="0">
      <w:start w:val="1"/>
      <w:numFmt w:val="decimal"/>
      <w:isLgl/>
      <w:lvlText w:val="%1.%2.%3.%4.%5.%6"/>
      <w:lvlJc w:val="left"/>
      <w:pPr>
        <w:ind w:left="3840" w:hanging="1440"/>
      </w:pPr>
      <w:rPr>
        <w:rFonts w:hint="default"/>
      </w:rPr>
    </w:lvl>
    <w:lvl w:ilvl="6" w:tentative="0">
      <w:start w:val="1"/>
      <w:numFmt w:val="decimal"/>
      <w:isLgl/>
      <w:lvlText w:val="%1.%2.%3.%4.%5.%6.%7"/>
      <w:lvlJc w:val="left"/>
      <w:pPr>
        <w:ind w:left="4680" w:hanging="1800"/>
      </w:pPr>
      <w:rPr>
        <w:rFonts w:hint="default"/>
      </w:rPr>
    </w:lvl>
    <w:lvl w:ilvl="7" w:tentative="0">
      <w:start w:val="1"/>
      <w:numFmt w:val="decimal"/>
      <w:isLgl/>
      <w:lvlText w:val="%1.%2.%3.%4.%5.%6.%7.%8"/>
      <w:lvlJc w:val="left"/>
      <w:pPr>
        <w:ind w:left="5160" w:hanging="1800"/>
      </w:pPr>
      <w:rPr>
        <w:rFonts w:hint="default"/>
      </w:rPr>
    </w:lvl>
    <w:lvl w:ilvl="8" w:tentative="0">
      <w:start w:val="1"/>
      <w:numFmt w:val="decimal"/>
      <w:isLgl/>
      <w:lvlText w:val="%1.%2.%3.%4.%5.%6.%7.%8.%9"/>
      <w:lvlJc w:val="left"/>
      <w:pPr>
        <w:ind w:left="6000" w:hanging="2160"/>
      </w:pPr>
      <w:rPr>
        <w:rFonts w:hint="default"/>
      </w:rPr>
    </w:lvl>
  </w:abstractNum>
  <w:abstractNum w:abstractNumId="3">
    <w:nsid w:val="B49AFF90"/>
    <w:multiLevelType w:val="singleLevel"/>
    <w:tmpl w:val="B49AFF90"/>
    <w:lvl w:ilvl="0" w:tentative="0">
      <w:start w:val="1"/>
      <w:numFmt w:val="decimal"/>
      <w:suff w:val="space"/>
      <w:lvlText w:val="%1."/>
      <w:lvlJc w:val="left"/>
    </w:lvl>
  </w:abstractNum>
  <w:abstractNum w:abstractNumId="4">
    <w:nsid w:val="E922FDBF"/>
    <w:multiLevelType w:val="singleLevel"/>
    <w:tmpl w:val="E922FDBF"/>
    <w:lvl w:ilvl="0" w:tentative="0">
      <w:start w:val="1"/>
      <w:numFmt w:val="decimal"/>
      <w:lvlText w:val="%1."/>
      <w:lvlJc w:val="left"/>
      <w:pPr>
        <w:tabs>
          <w:tab w:val="left" w:pos="312"/>
        </w:tabs>
      </w:pPr>
    </w:lvl>
  </w:abstractNum>
  <w:abstractNum w:abstractNumId="5">
    <w:nsid w:val="17CE76C7"/>
    <w:multiLevelType w:val="multilevel"/>
    <w:tmpl w:val="17CE76C7"/>
    <w:lvl w:ilvl="0" w:tentative="0">
      <w:start w:val="1"/>
      <w:numFmt w:val="japaneseCounting"/>
      <w:lvlText w:val="%1、"/>
      <w:lvlJc w:val="left"/>
      <w:pPr>
        <w:ind w:left="761" w:hanging="6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1D128D2"/>
    <w:multiLevelType w:val="singleLevel"/>
    <w:tmpl w:val="41D128D2"/>
    <w:lvl w:ilvl="0" w:tentative="0">
      <w:start w:val="1"/>
      <w:numFmt w:val="chineseCounting"/>
      <w:suff w:val="nothing"/>
      <w:lvlText w:val="（%1）"/>
      <w:lvlJc w:val="left"/>
      <w:pPr>
        <w:ind w:left="-52"/>
      </w:pPr>
      <w:rPr>
        <w:rFonts w:hint="eastAsia"/>
      </w:rPr>
    </w:lvl>
  </w:abstractNum>
  <w:abstractNum w:abstractNumId="7">
    <w:nsid w:val="4446E81D"/>
    <w:multiLevelType w:val="singleLevel"/>
    <w:tmpl w:val="4446E81D"/>
    <w:lvl w:ilvl="0" w:tentative="0">
      <w:start w:val="9"/>
      <w:numFmt w:val="chineseCounting"/>
      <w:suff w:val="nothing"/>
      <w:lvlText w:val="%1、"/>
      <w:lvlJc w:val="left"/>
      <w:rPr>
        <w:rFonts w:hint="eastAsia"/>
      </w:rPr>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471E06A1"/>
    <w:multiLevelType w:val="singleLevel"/>
    <w:tmpl w:val="471E06A1"/>
    <w:lvl w:ilvl="0" w:tentative="0">
      <w:start w:val="1"/>
      <w:numFmt w:val="japaneseCounting"/>
      <w:lvlText w:val="%1、"/>
      <w:lvlJc w:val="left"/>
      <w:pPr>
        <w:tabs>
          <w:tab w:val="left" w:pos="2159"/>
        </w:tabs>
        <w:ind w:left="2159" w:hanging="600"/>
      </w:pPr>
      <w:rPr>
        <w:rFonts w:hint="eastAsia"/>
        <w:lang w:val="en-US"/>
      </w:rPr>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num w:numId="1">
    <w:abstractNumId w:val="2"/>
  </w:num>
  <w:num w:numId="2">
    <w:abstractNumId w:val="9"/>
  </w:num>
  <w:num w:numId="3">
    <w:abstractNumId w:val="1"/>
  </w:num>
  <w:num w:numId="4">
    <w:abstractNumId w:val="7"/>
  </w:num>
  <w:num w:numId="5">
    <w:abstractNumId w:val="8"/>
  </w:num>
  <w:num w:numId="6">
    <w:abstractNumId w:val="6"/>
  </w:num>
  <w:num w:numId="7">
    <w:abstractNumId w:val="5"/>
  </w:num>
  <w:num w:numId="8">
    <w:abstractNumId w:val="0"/>
  </w:num>
  <w:num w:numId="9">
    <w:abstractNumId w:val="4"/>
  </w:num>
  <w:num w:numId="10">
    <w:abstractNumId w:val="3"/>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jNDc4ZmI3MTY1NTFkYjFiMTY5ODUzMmIxZjViZjMifQ=="/>
  </w:docVars>
  <w:rsids>
    <w:rsidRoot w:val="0E970358"/>
    <w:rsid w:val="00000A1F"/>
    <w:rsid w:val="000012EE"/>
    <w:rsid w:val="00002B91"/>
    <w:rsid w:val="00004407"/>
    <w:rsid w:val="000179A6"/>
    <w:rsid w:val="00023EC8"/>
    <w:rsid w:val="00025500"/>
    <w:rsid w:val="000324EE"/>
    <w:rsid w:val="00034A5D"/>
    <w:rsid w:val="00036EB7"/>
    <w:rsid w:val="00037D40"/>
    <w:rsid w:val="00040F7E"/>
    <w:rsid w:val="000411B5"/>
    <w:rsid w:val="0004278A"/>
    <w:rsid w:val="00042F56"/>
    <w:rsid w:val="0004485D"/>
    <w:rsid w:val="000462DE"/>
    <w:rsid w:val="00054DFA"/>
    <w:rsid w:val="00055A66"/>
    <w:rsid w:val="0006294D"/>
    <w:rsid w:val="00062AB3"/>
    <w:rsid w:val="00063A0C"/>
    <w:rsid w:val="00067D20"/>
    <w:rsid w:val="00081D5D"/>
    <w:rsid w:val="00085264"/>
    <w:rsid w:val="000860EE"/>
    <w:rsid w:val="00093A6A"/>
    <w:rsid w:val="00094EC0"/>
    <w:rsid w:val="00097196"/>
    <w:rsid w:val="000975EF"/>
    <w:rsid w:val="000A267A"/>
    <w:rsid w:val="000A2F82"/>
    <w:rsid w:val="000B492F"/>
    <w:rsid w:val="000C1187"/>
    <w:rsid w:val="000C7B93"/>
    <w:rsid w:val="000D2FA7"/>
    <w:rsid w:val="000D742E"/>
    <w:rsid w:val="000E57DA"/>
    <w:rsid w:val="000E6703"/>
    <w:rsid w:val="000F112C"/>
    <w:rsid w:val="000F64DB"/>
    <w:rsid w:val="0010241D"/>
    <w:rsid w:val="00107BF6"/>
    <w:rsid w:val="001101D9"/>
    <w:rsid w:val="00117E9B"/>
    <w:rsid w:val="0012463E"/>
    <w:rsid w:val="001271B9"/>
    <w:rsid w:val="00131F54"/>
    <w:rsid w:val="00137471"/>
    <w:rsid w:val="00142789"/>
    <w:rsid w:val="00147E99"/>
    <w:rsid w:val="00156972"/>
    <w:rsid w:val="00157617"/>
    <w:rsid w:val="00165F2A"/>
    <w:rsid w:val="00180F2C"/>
    <w:rsid w:val="00182316"/>
    <w:rsid w:val="00183948"/>
    <w:rsid w:val="001845AB"/>
    <w:rsid w:val="00184FFD"/>
    <w:rsid w:val="00192BF8"/>
    <w:rsid w:val="00197A9B"/>
    <w:rsid w:val="001A1F03"/>
    <w:rsid w:val="001A4CFB"/>
    <w:rsid w:val="001A5F7E"/>
    <w:rsid w:val="001A7C2A"/>
    <w:rsid w:val="001B13E5"/>
    <w:rsid w:val="001B4896"/>
    <w:rsid w:val="001C1770"/>
    <w:rsid w:val="001C4B89"/>
    <w:rsid w:val="001D2294"/>
    <w:rsid w:val="001E21D9"/>
    <w:rsid w:val="001F1A45"/>
    <w:rsid w:val="001F3769"/>
    <w:rsid w:val="001F591C"/>
    <w:rsid w:val="001F7B03"/>
    <w:rsid w:val="00201D62"/>
    <w:rsid w:val="002036AD"/>
    <w:rsid w:val="002107B6"/>
    <w:rsid w:val="0021318F"/>
    <w:rsid w:val="00213A85"/>
    <w:rsid w:val="00216708"/>
    <w:rsid w:val="002208A0"/>
    <w:rsid w:val="00221F01"/>
    <w:rsid w:val="002342F4"/>
    <w:rsid w:val="00243095"/>
    <w:rsid w:val="0024785A"/>
    <w:rsid w:val="00252867"/>
    <w:rsid w:val="002542FC"/>
    <w:rsid w:val="00254ED6"/>
    <w:rsid w:val="002622FF"/>
    <w:rsid w:val="0026707C"/>
    <w:rsid w:val="00267D72"/>
    <w:rsid w:val="0027022A"/>
    <w:rsid w:val="00272065"/>
    <w:rsid w:val="00272B16"/>
    <w:rsid w:val="0027310E"/>
    <w:rsid w:val="00273FC5"/>
    <w:rsid w:val="00273FDD"/>
    <w:rsid w:val="00277160"/>
    <w:rsid w:val="002778CC"/>
    <w:rsid w:val="00287053"/>
    <w:rsid w:val="0029463B"/>
    <w:rsid w:val="00297EEF"/>
    <w:rsid w:val="002A1620"/>
    <w:rsid w:val="002B1184"/>
    <w:rsid w:val="002B1EB9"/>
    <w:rsid w:val="002C60A1"/>
    <w:rsid w:val="002D01AA"/>
    <w:rsid w:val="002D31FE"/>
    <w:rsid w:val="002F109C"/>
    <w:rsid w:val="002F4191"/>
    <w:rsid w:val="002F556B"/>
    <w:rsid w:val="00306BFC"/>
    <w:rsid w:val="003102FB"/>
    <w:rsid w:val="0031338C"/>
    <w:rsid w:val="003166FE"/>
    <w:rsid w:val="00324A16"/>
    <w:rsid w:val="0033170B"/>
    <w:rsid w:val="00331F05"/>
    <w:rsid w:val="00332E30"/>
    <w:rsid w:val="003337C2"/>
    <w:rsid w:val="003451F4"/>
    <w:rsid w:val="0035596F"/>
    <w:rsid w:val="00356DC0"/>
    <w:rsid w:val="003575C0"/>
    <w:rsid w:val="00363E40"/>
    <w:rsid w:val="00377A88"/>
    <w:rsid w:val="00384E5C"/>
    <w:rsid w:val="003944D3"/>
    <w:rsid w:val="0039612E"/>
    <w:rsid w:val="003A2D6C"/>
    <w:rsid w:val="003A66AD"/>
    <w:rsid w:val="003A66B4"/>
    <w:rsid w:val="003A7196"/>
    <w:rsid w:val="003B53DF"/>
    <w:rsid w:val="003C5E00"/>
    <w:rsid w:val="003D5072"/>
    <w:rsid w:val="003D539D"/>
    <w:rsid w:val="003F11E6"/>
    <w:rsid w:val="003F595C"/>
    <w:rsid w:val="003F723C"/>
    <w:rsid w:val="003F78E0"/>
    <w:rsid w:val="00402F87"/>
    <w:rsid w:val="004040C2"/>
    <w:rsid w:val="0040449F"/>
    <w:rsid w:val="00406045"/>
    <w:rsid w:val="0041210F"/>
    <w:rsid w:val="0041251C"/>
    <w:rsid w:val="004153B8"/>
    <w:rsid w:val="00420378"/>
    <w:rsid w:val="00423623"/>
    <w:rsid w:val="004254CB"/>
    <w:rsid w:val="00432077"/>
    <w:rsid w:val="00441FAE"/>
    <w:rsid w:val="00442C98"/>
    <w:rsid w:val="004435F8"/>
    <w:rsid w:val="00446CEF"/>
    <w:rsid w:val="004503D1"/>
    <w:rsid w:val="004531A2"/>
    <w:rsid w:val="004607C0"/>
    <w:rsid w:val="00460C1E"/>
    <w:rsid w:val="004610FC"/>
    <w:rsid w:val="004618FD"/>
    <w:rsid w:val="00464864"/>
    <w:rsid w:val="0046588B"/>
    <w:rsid w:val="00474D5F"/>
    <w:rsid w:val="00484FEC"/>
    <w:rsid w:val="00491459"/>
    <w:rsid w:val="00491BDF"/>
    <w:rsid w:val="00495885"/>
    <w:rsid w:val="004A1AC9"/>
    <w:rsid w:val="004A2700"/>
    <w:rsid w:val="004A4AAB"/>
    <w:rsid w:val="004B1663"/>
    <w:rsid w:val="004B38BE"/>
    <w:rsid w:val="004B3D32"/>
    <w:rsid w:val="004B4165"/>
    <w:rsid w:val="004B58C6"/>
    <w:rsid w:val="004C13DF"/>
    <w:rsid w:val="004C3A97"/>
    <w:rsid w:val="004D27DB"/>
    <w:rsid w:val="004E1E28"/>
    <w:rsid w:val="004E300F"/>
    <w:rsid w:val="004E32A5"/>
    <w:rsid w:val="004F252C"/>
    <w:rsid w:val="004F4484"/>
    <w:rsid w:val="004F55B1"/>
    <w:rsid w:val="005019EF"/>
    <w:rsid w:val="00503ED5"/>
    <w:rsid w:val="0050703E"/>
    <w:rsid w:val="0051189A"/>
    <w:rsid w:val="00517957"/>
    <w:rsid w:val="00520E9A"/>
    <w:rsid w:val="005259DF"/>
    <w:rsid w:val="0052783C"/>
    <w:rsid w:val="005307B2"/>
    <w:rsid w:val="00541B64"/>
    <w:rsid w:val="00547DA9"/>
    <w:rsid w:val="00553EB4"/>
    <w:rsid w:val="00554AE6"/>
    <w:rsid w:val="00554B41"/>
    <w:rsid w:val="005576EA"/>
    <w:rsid w:val="00565754"/>
    <w:rsid w:val="005711C3"/>
    <w:rsid w:val="0059262A"/>
    <w:rsid w:val="00593E09"/>
    <w:rsid w:val="00596269"/>
    <w:rsid w:val="005D053F"/>
    <w:rsid w:val="005D091B"/>
    <w:rsid w:val="005D3C85"/>
    <w:rsid w:val="005D5FEE"/>
    <w:rsid w:val="005E11F2"/>
    <w:rsid w:val="005E2B1F"/>
    <w:rsid w:val="005E6389"/>
    <w:rsid w:val="005F3941"/>
    <w:rsid w:val="00602664"/>
    <w:rsid w:val="00606584"/>
    <w:rsid w:val="00607F05"/>
    <w:rsid w:val="00616E31"/>
    <w:rsid w:val="0062552F"/>
    <w:rsid w:val="00632ADB"/>
    <w:rsid w:val="00633EB3"/>
    <w:rsid w:val="00635533"/>
    <w:rsid w:val="00640EE0"/>
    <w:rsid w:val="0064292E"/>
    <w:rsid w:val="00643B65"/>
    <w:rsid w:val="0064589F"/>
    <w:rsid w:val="00655E3C"/>
    <w:rsid w:val="0065692F"/>
    <w:rsid w:val="00664258"/>
    <w:rsid w:val="00666037"/>
    <w:rsid w:val="0066667C"/>
    <w:rsid w:val="00666A22"/>
    <w:rsid w:val="00674C42"/>
    <w:rsid w:val="006778B5"/>
    <w:rsid w:val="00677C02"/>
    <w:rsid w:val="006846AD"/>
    <w:rsid w:val="00692EE3"/>
    <w:rsid w:val="00693638"/>
    <w:rsid w:val="006B631C"/>
    <w:rsid w:val="006C44D8"/>
    <w:rsid w:val="006C4FA8"/>
    <w:rsid w:val="006D1134"/>
    <w:rsid w:val="006D77EB"/>
    <w:rsid w:val="006E04A5"/>
    <w:rsid w:val="006E1082"/>
    <w:rsid w:val="006E3914"/>
    <w:rsid w:val="006F47B5"/>
    <w:rsid w:val="006F4DFE"/>
    <w:rsid w:val="006F6A03"/>
    <w:rsid w:val="007029EF"/>
    <w:rsid w:val="0071353E"/>
    <w:rsid w:val="00716B82"/>
    <w:rsid w:val="007171B8"/>
    <w:rsid w:val="0072140C"/>
    <w:rsid w:val="007319D9"/>
    <w:rsid w:val="00742512"/>
    <w:rsid w:val="00742530"/>
    <w:rsid w:val="00744975"/>
    <w:rsid w:val="0074545E"/>
    <w:rsid w:val="00745D9F"/>
    <w:rsid w:val="00750E30"/>
    <w:rsid w:val="007568CC"/>
    <w:rsid w:val="00761020"/>
    <w:rsid w:val="007627E4"/>
    <w:rsid w:val="0078297B"/>
    <w:rsid w:val="007954B3"/>
    <w:rsid w:val="007A1062"/>
    <w:rsid w:val="007A1962"/>
    <w:rsid w:val="007A2629"/>
    <w:rsid w:val="007B2E48"/>
    <w:rsid w:val="007B59B8"/>
    <w:rsid w:val="007C0D59"/>
    <w:rsid w:val="007C1005"/>
    <w:rsid w:val="007C3036"/>
    <w:rsid w:val="007C3BE0"/>
    <w:rsid w:val="007C53C4"/>
    <w:rsid w:val="007D0DA6"/>
    <w:rsid w:val="007D461F"/>
    <w:rsid w:val="007D5E11"/>
    <w:rsid w:val="007E6164"/>
    <w:rsid w:val="007E64EA"/>
    <w:rsid w:val="007F25B7"/>
    <w:rsid w:val="007F4C4D"/>
    <w:rsid w:val="00802325"/>
    <w:rsid w:val="00804D84"/>
    <w:rsid w:val="008124FD"/>
    <w:rsid w:val="0081782E"/>
    <w:rsid w:val="00820E0C"/>
    <w:rsid w:val="00823D14"/>
    <w:rsid w:val="00831F74"/>
    <w:rsid w:val="00836212"/>
    <w:rsid w:val="008379C8"/>
    <w:rsid w:val="00843D2E"/>
    <w:rsid w:val="00847BE5"/>
    <w:rsid w:val="00866189"/>
    <w:rsid w:val="00866534"/>
    <w:rsid w:val="00867908"/>
    <w:rsid w:val="0088066B"/>
    <w:rsid w:val="008928B3"/>
    <w:rsid w:val="00893240"/>
    <w:rsid w:val="008962E7"/>
    <w:rsid w:val="008966EE"/>
    <w:rsid w:val="008A1344"/>
    <w:rsid w:val="008A5975"/>
    <w:rsid w:val="008A5CD2"/>
    <w:rsid w:val="008A6B8A"/>
    <w:rsid w:val="008B64E4"/>
    <w:rsid w:val="008C12A7"/>
    <w:rsid w:val="008C2A5D"/>
    <w:rsid w:val="008D0189"/>
    <w:rsid w:val="008D2BF2"/>
    <w:rsid w:val="008E040E"/>
    <w:rsid w:val="008E3FD4"/>
    <w:rsid w:val="008E7A9E"/>
    <w:rsid w:val="008F28E6"/>
    <w:rsid w:val="008F3149"/>
    <w:rsid w:val="008F515D"/>
    <w:rsid w:val="00901C1A"/>
    <w:rsid w:val="00902762"/>
    <w:rsid w:val="00912983"/>
    <w:rsid w:val="00912B5A"/>
    <w:rsid w:val="00913B03"/>
    <w:rsid w:val="00923F81"/>
    <w:rsid w:val="00925B52"/>
    <w:rsid w:val="00925D02"/>
    <w:rsid w:val="009321C2"/>
    <w:rsid w:val="009435E4"/>
    <w:rsid w:val="00943F6C"/>
    <w:rsid w:val="00945123"/>
    <w:rsid w:val="0095626E"/>
    <w:rsid w:val="009672B8"/>
    <w:rsid w:val="009700BA"/>
    <w:rsid w:val="00970BCC"/>
    <w:rsid w:val="00981951"/>
    <w:rsid w:val="00984085"/>
    <w:rsid w:val="00986042"/>
    <w:rsid w:val="00986698"/>
    <w:rsid w:val="00994986"/>
    <w:rsid w:val="009A0C81"/>
    <w:rsid w:val="009A0DB9"/>
    <w:rsid w:val="009A50EE"/>
    <w:rsid w:val="009A7C4B"/>
    <w:rsid w:val="009B3E22"/>
    <w:rsid w:val="009B65CE"/>
    <w:rsid w:val="009B79BC"/>
    <w:rsid w:val="009C0219"/>
    <w:rsid w:val="009C571B"/>
    <w:rsid w:val="009C65B2"/>
    <w:rsid w:val="009D7AF6"/>
    <w:rsid w:val="009E33AD"/>
    <w:rsid w:val="009E7BE7"/>
    <w:rsid w:val="009F1F54"/>
    <w:rsid w:val="009F314A"/>
    <w:rsid w:val="009F3459"/>
    <w:rsid w:val="009F503B"/>
    <w:rsid w:val="00A01FC4"/>
    <w:rsid w:val="00A046FE"/>
    <w:rsid w:val="00A1276F"/>
    <w:rsid w:val="00A15388"/>
    <w:rsid w:val="00A17C2A"/>
    <w:rsid w:val="00A2069B"/>
    <w:rsid w:val="00A30B75"/>
    <w:rsid w:val="00A43AD1"/>
    <w:rsid w:val="00A45775"/>
    <w:rsid w:val="00A5273F"/>
    <w:rsid w:val="00A5296A"/>
    <w:rsid w:val="00A643F5"/>
    <w:rsid w:val="00A722C5"/>
    <w:rsid w:val="00A730CA"/>
    <w:rsid w:val="00A73235"/>
    <w:rsid w:val="00A81F26"/>
    <w:rsid w:val="00A8332F"/>
    <w:rsid w:val="00A934F6"/>
    <w:rsid w:val="00A942FA"/>
    <w:rsid w:val="00A94FED"/>
    <w:rsid w:val="00AA77BB"/>
    <w:rsid w:val="00AB5BD7"/>
    <w:rsid w:val="00AC0B7B"/>
    <w:rsid w:val="00AC4DC2"/>
    <w:rsid w:val="00AC602B"/>
    <w:rsid w:val="00AD0601"/>
    <w:rsid w:val="00AD670C"/>
    <w:rsid w:val="00AD797E"/>
    <w:rsid w:val="00AE26B1"/>
    <w:rsid w:val="00AE4F22"/>
    <w:rsid w:val="00AF634F"/>
    <w:rsid w:val="00B1425E"/>
    <w:rsid w:val="00B15902"/>
    <w:rsid w:val="00B20006"/>
    <w:rsid w:val="00B27BF4"/>
    <w:rsid w:val="00B31221"/>
    <w:rsid w:val="00B323E3"/>
    <w:rsid w:val="00B45AA3"/>
    <w:rsid w:val="00B466AF"/>
    <w:rsid w:val="00B4751C"/>
    <w:rsid w:val="00B569F5"/>
    <w:rsid w:val="00B56ECF"/>
    <w:rsid w:val="00B61496"/>
    <w:rsid w:val="00B63877"/>
    <w:rsid w:val="00B70711"/>
    <w:rsid w:val="00B71328"/>
    <w:rsid w:val="00B86BD6"/>
    <w:rsid w:val="00B87585"/>
    <w:rsid w:val="00BA53C8"/>
    <w:rsid w:val="00BA63AC"/>
    <w:rsid w:val="00BB245E"/>
    <w:rsid w:val="00BC4F46"/>
    <w:rsid w:val="00BD5108"/>
    <w:rsid w:val="00BD6AD7"/>
    <w:rsid w:val="00BF3315"/>
    <w:rsid w:val="00BF6342"/>
    <w:rsid w:val="00C117CC"/>
    <w:rsid w:val="00C305C0"/>
    <w:rsid w:val="00C33BF9"/>
    <w:rsid w:val="00C33D4A"/>
    <w:rsid w:val="00C36079"/>
    <w:rsid w:val="00C422FA"/>
    <w:rsid w:val="00C43769"/>
    <w:rsid w:val="00C50152"/>
    <w:rsid w:val="00C52E14"/>
    <w:rsid w:val="00C623C9"/>
    <w:rsid w:val="00C65728"/>
    <w:rsid w:val="00C65B85"/>
    <w:rsid w:val="00C65FFC"/>
    <w:rsid w:val="00C7249A"/>
    <w:rsid w:val="00C738ED"/>
    <w:rsid w:val="00C767D4"/>
    <w:rsid w:val="00C80A63"/>
    <w:rsid w:val="00C8359C"/>
    <w:rsid w:val="00C94719"/>
    <w:rsid w:val="00CA5FD7"/>
    <w:rsid w:val="00CA6401"/>
    <w:rsid w:val="00CA6EE9"/>
    <w:rsid w:val="00CB2C5C"/>
    <w:rsid w:val="00CB38A0"/>
    <w:rsid w:val="00CB717E"/>
    <w:rsid w:val="00CB78AC"/>
    <w:rsid w:val="00CC009A"/>
    <w:rsid w:val="00CC232E"/>
    <w:rsid w:val="00CC69F5"/>
    <w:rsid w:val="00CD1804"/>
    <w:rsid w:val="00CE1F1D"/>
    <w:rsid w:val="00CF3E88"/>
    <w:rsid w:val="00CF57AD"/>
    <w:rsid w:val="00CF5F65"/>
    <w:rsid w:val="00D00953"/>
    <w:rsid w:val="00D05408"/>
    <w:rsid w:val="00D05438"/>
    <w:rsid w:val="00D133C3"/>
    <w:rsid w:val="00D15657"/>
    <w:rsid w:val="00D15E7E"/>
    <w:rsid w:val="00D17C0D"/>
    <w:rsid w:val="00D4621C"/>
    <w:rsid w:val="00D55B6B"/>
    <w:rsid w:val="00D56DBA"/>
    <w:rsid w:val="00D60A62"/>
    <w:rsid w:val="00D6132C"/>
    <w:rsid w:val="00D73F2C"/>
    <w:rsid w:val="00D81DEA"/>
    <w:rsid w:val="00D82E2D"/>
    <w:rsid w:val="00D86328"/>
    <w:rsid w:val="00D86CE8"/>
    <w:rsid w:val="00D91FF6"/>
    <w:rsid w:val="00D93227"/>
    <w:rsid w:val="00D96DCD"/>
    <w:rsid w:val="00DB1742"/>
    <w:rsid w:val="00DB43BB"/>
    <w:rsid w:val="00DB5CF0"/>
    <w:rsid w:val="00DC3C4B"/>
    <w:rsid w:val="00DD33E3"/>
    <w:rsid w:val="00DD51EB"/>
    <w:rsid w:val="00DE4DA0"/>
    <w:rsid w:val="00DE6209"/>
    <w:rsid w:val="00DE651D"/>
    <w:rsid w:val="00DF0AC9"/>
    <w:rsid w:val="00DF75A0"/>
    <w:rsid w:val="00DF7827"/>
    <w:rsid w:val="00E017E1"/>
    <w:rsid w:val="00E027A8"/>
    <w:rsid w:val="00E10555"/>
    <w:rsid w:val="00E11093"/>
    <w:rsid w:val="00E1554C"/>
    <w:rsid w:val="00E319E7"/>
    <w:rsid w:val="00E356FD"/>
    <w:rsid w:val="00E40A83"/>
    <w:rsid w:val="00E412DC"/>
    <w:rsid w:val="00E46879"/>
    <w:rsid w:val="00E55978"/>
    <w:rsid w:val="00E64767"/>
    <w:rsid w:val="00E72C84"/>
    <w:rsid w:val="00E7769D"/>
    <w:rsid w:val="00E77804"/>
    <w:rsid w:val="00E81909"/>
    <w:rsid w:val="00E86D5C"/>
    <w:rsid w:val="00E90A7C"/>
    <w:rsid w:val="00E936F8"/>
    <w:rsid w:val="00E96871"/>
    <w:rsid w:val="00E96D7B"/>
    <w:rsid w:val="00EA76F8"/>
    <w:rsid w:val="00EB0956"/>
    <w:rsid w:val="00EB4631"/>
    <w:rsid w:val="00EB6475"/>
    <w:rsid w:val="00ED0E77"/>
    <w:rsid w:val="00ED362A"/>
    <w:rsid w:val="00ED3B7D"/>
    <w:rsid w:val="00EF2797"/>
    <w:rsid w:val="00EF50B7"/>
    <w:rsid w:val="00EF51AE"/>
    <w:rsid w:val="00F0010A"/>
    <w:rsid w:val="00F019AD"/>
    <w:rsid w:val="00F069F5"/>
    <w:rsid w:val="00F10BC1"/>
    <w:rsid w:val="00F127FF"/>
    <w:rsid w:val="00F24C9C"/>
    <w:rsid w:val="00F3099D"/>
    <w:rsid w:val="00F44969"/>
    <w:rsid w:val="00F57489"/>
    <w:rsid w:val="00F613E4"/>
    <w:rsid w:val="00F7133B"/>
    <w:rsid w:val="00F71D82"/>
    <w:rsid w:val="00F928F5"/>
    <w:rsid w:val="00F955AA"/>
    <w:rsid w:val="00FB283E"/>
    <w:rsid w:val="00FB35A2"/>
    <w:rsid w:val="00FC3306"/>
    <w:rsid w:val="00FC4319"/>
    <w:rsid w:val="00FD0715"/>
    <w:rsid w:val="00FD384F"/>
    <w:rsid w:val="00FD794F"/>
    <w:rsid w:val="00FE2036"/>
    <w:rsid w:val="00FE3FA4"/>
    <w:rsid w:val="00FF58C4"/>
    <w:rsid w:val="01534644"/>
    <w:rsid w:val="017F54C9"/>
    <w:rsid w:val="01935887"/>
    <w:rsid w:val="01C8787F"/>
    <w:rsid w:val="01ED6097"/>
    <w:rsid w:val="020866C9"/>
    <w:rsid w:val="026D2CF5"/>
    <w:rsid w:val="0295684C"/>
    <w:rsid w:val="02D724F2"/>
    <w:rsid w:val="042A635A"/>
    <w:rsid w:val="04CC341D"/>
    <w:rsid w:val="05137CD7"/>
    <w:rsid w:val="053E1375"/>
    <w:rsid w:val="0551648B"/>
    <w:rsid w:val="060B26E0"/>
    <w:rsid w:val="07784620"/>
    <w:rsid w:val="08D44BB4"/>
    <w:rsid w:val="08ED4683"/>
    <w:rsid w:val="0A1B5D5B"/>
    <w:rsid w:val="0A9B318E"/>
    <w:rsid w:val="0BA75866"/>
    <w:rsid w:val="0C1E2BA0"/>
    <w:rsid w:val="0C765CB2"/>
    <w:rsid w:val="0C9135A2"/>
    <w:rsid w:val="0D8363F3"/>
    <w:rsid w:val="0E0C768A"/>
    <w:rsid w:val="0E492EB6"/>
    <w:rsid w:val="0E970358"/>
    <w:rsid w:val="0EEC722A"/>
    <w:rsid w:val="0F244197"/>
    <w:rsid w:val="0F895C37"/>
    <w:rsid w:val="10392EAE"/>
    <w:rsid w:val="10706EC2"/>
    <w:rsid w:val="10BF4BAA"/>
    <w:rsid w:val="115617D0"/>
    <w:rsid w:val="11B60EE2"/>
    <w:rsid w:val="125D6AE4"/>
    <w:rsid w:val="126E79AB"/>
    <w:rsid w:val="12807280"/>
    <w:rsid w:val="136364E5"/>
    <w:rsid w:val="136D3EEE"/>
    <w:rsid w:val="148463E6"/>
    <w:rsid w:val="14BB4799"/>
    <w:rsid w:val="14D20D9B"/>
    <w:rsid w:val="153907F5"/>
    <w:rsid w:val="154D0613"/>
    <w:rsid w:val="156D3E9E"/>
    <w:rsid w:val="15A72BED"/>
    <w:rsid w:val="15E74C42"/>
    <w:rsid w:val="1621170E"/>
    <w:rsid w:val="162C5ACE"/>
    <w:rsid w:val="16AE3EDD"/>
    <w:rsid w:val="170A0CBB"/>
    <w:rsid w:val="181E495F"/>
    <w:rsid w:val="185A2EBA"/>
    <w:rsid w:val="187A3323"/>
    <w:rsid w:val="18B91D2B"/>
    <w:rsid w:val="18C40414"/>
    <w:rsid w:val="1A6A6D44"/>
    <w:rsid w:val="1A817123"/>
    <w:rsid w:val="1C046337"/>
    <w:rsid w:val="1C093ECB"/>
    <w:rsid w:val="1C191887"/>
    <w:rsid w:val="1C1C383E"/>
    <w:rsid w:val="1CE4433A"/>
    <w:rsid w:val="1DAB1B09"/>
    <w:rsid w:val="1EE84AA8"/>
    <w:rsid w:val="1FAF7B7A"/>
    <w:rsid w:val="204F69BE"/>
    <w:rsid w:val="20626A40"/>
    <w:rsid w:val="20F623E3"/>
    <w:rsid w:val="211B7C1C"/>
    <w:rsid w:val="21AD2085"/>
    <w:rsid w:val="228447E5"/>
    <w:rsid w:val="22DD65CD"/>
    <w:rsid w:val="22E31918"/>
    <w:rsid w:val="230372B7"/>
    <w:rsid w:val="23424F53"/>
    <w:rsid w:val="236E14E2"/>
    <w:rsid w:val="2425476E"/>
    <w:rsid w:val="249E0994"/>
    <w:rsid w:val="25282BE5"/>
    <w:rsid w:val="261131BE"/>
    <w:rsid w:val="261D6E25"/>
    <w:rsid w:val="263C3CB4"/>
    <w:rsid w:val="264B0C65"/>
    <w:rsid w:val="275B19A0"/>
    <w:rsid w:val="27755208"/>
    <w:rsid w:val="282D017E"/>
    <w:rsid w:val="2859493D"/>
    <w:rsid w:val="286544BA"/>
    <w:rsid w:val="28976A12"/>
    <w:rsid w:val="28E63DFF"/>
    <w:rsid w:val="292F0E60"/>
    <w:rsid w:val="29715A7D"/>
    <w:rsid w:val="29CB12E0"/>
    <w:rsid w:val="29D148D0"/>
    <w:rsid w:val="29FB6C4C"/>
    <w:rsid w:val="2A286E6B"/>
    <w:rsid w:val="2A461B11"/>
    <w:rsid w:val="2A867302"/>
    <w:rsid w:val="2AC803DC"/>
    <w:rsid w:val="2B724B78"/>
    <w:rsid w:val="2C2B5583"/>
    <w:rsid w:val="2D0C7F84"/>
    <w:rsid w:val="2D2C28CC"/>
    <w:rsid w:val="2E2C396C"/>
    <w:rsid w:val="2E900C87"/>
    <w:rsid w:val="2E9F6BB1"/>
    <w:rsid w:val="2F046151"/>
    <w:rsid w:val="2F736E8D"/>
    <w:rsid w:val="3008763A"/>
    <w:rsid w:val="30143D85"/>
    <w:rsid w:val="306055E9"/>
    <w:rsid w:val="316A2A0E"/>
    <w:rsid w:val="31752B09"/>
    <w:rsid w:val="31840F63"/>
    <w:rsid w:val="32563B0A"/>
    <w:rsid w:val="326D2337"/>
    <w:rsid w:val="32C75101"/>
    <w:rsid w:val="33611797"/>
    <w:rsid w:val="33D851B7"/>
    <w:rsid w:val="341548E3"/>
    <w:rsid w:val="3496343F"/>
    <w:rsid w:val="34F379D5"/>
    <w:rsid w:val="34FC2B7C"/>
    <w:rsid w:val="35FC7B89"/>
    <w:rsid w:val="372853CE"/>
    <w:rsid w:val="37712A39"/>
    <w:rsid w:val="378A13B7"/>
    <w:rsid w:val="38674F17"/>
    <w:rsid w:val="38A03468"/>
    <w:rsid w:val="38B259C2"/>
    <w:rsid w:val="39A03FBB"/>
    <w:rsid w:val="3A603D3B"/>
    <w:rsid w:val="3AB766DE"/>
    <w:rsid w:val="3ACE29B8"/>
    <w:rsid w:val="3AE50133"/>
    <w:rsid w:val="3B345EA5"/>
    <w:rsid w:val="3CAA6BF6"/>
    <w:rsid w:val="3CF45622"/>
    <w:rsid w:val="3DA37B3A"/>
    <w:rsid w:val="3DB531EC"/>
    <w:rsid w:val="3DC80855"/>
    <w:rsid w:val="3DFC5F8B"/>
    <w:rsid w:val="405E3F93"/>
    <w:rsid w:val="40E60642"/>
    <w:rsid w:val="412B6739"/>
    <w:rsid w:val="412F5503"/>
    <w:rsid w:val="41A05778"/>
    <w:rsid w:val="41CB585D"/>
    <w:rsid w:val="4299450D"/>
    <w:rsid w:val="42CD69DF"/>
    <w:rsid w:val="43036342"/>
    <w:rsid w:val="43CE762F"/>
    <w:rsid w:val="44054428"/>
    <w:rsid w:val="44FB6774"/>
    <w:rsid w:val="4563730C"/>
    <w:rsid w:val="45DE0FD7"/>
    <w:rsid w:val="4669448D"/>
    <w:rsid w:val="471D1C37"/>
    <w:rsid w:val="47E66134"/>
    <w:rsid w:val="48387B1F"/>
    <w:rsid w:val="48694FA0"/>
    <w:rsid w:val="488E768B"/>
    <w:rsid w:val="48956277"/>
    <w:rsid w:val="48A96A9C"/>
    <w:rsid w:val="48E40DF2"/>
    <w:rsid w:val="49602E3D"/>
    <w:rsid w:val="49CF2035"/>
    <w:rsid w:val="49F41D5E"/>
    <w:rsid w:val="4B1E31F7"/>
    <w:rsid w:val="4B510AB3"/>
    <w:rsid w:val="4BCB3573"/>
    <w:rsid w:val="4BCC3F4A"/>
    <w:rsid w:val="4BF43B03"/>
    <w:rsid w:val="4C0A5953"/>
    <w:rsid w:val="4CE75373"/>
    <w:rsid w:val="4D6016CE"/>
    <w:rsid w:val="4D8D03D2"/>
    <w:rsid w:val="4DD90E9F"/>
    <w:rsid w:val="4E1A4E14"/>
    <w:rsid w:val="4E567B2D"/>
    <w:rsid w:val="4ECA6EC3"/>
    <w:rsid w:val="4F2F7D09"/>
    <w:rsid w:val="507E1D4D"/>
    <w:rsid w:val="50951FC0"/>
    <w:rsid w:val="50FB3C65"/>
    <w:rsid w:val="51A14175"/>
    <w:rsid w:val="523B4D24"/>
    <w:rsid w:val="52BC7C45"/>
    <w:rsid w:val="52E76E84"/>
    <w:rsid w:val="534D1624"/>
    <w:rsid w:val="535254ED"/>
    <w:rsid w:val="536D628A"/>
    <w:rsid w:val="53DD723A"/>
    <w:rsid w:val="545860EF"/>
    <w:rsid w:val="54B92EF5"/>
    <w:rsid w:val="550431EE"/>
    <w:rsid w:val="55AF409C"/>
    <w:rsid w:val="561D3FD0"/>
    <w:rsid w:val="566D4B95"/>
    <w:rsid w:val="57174BC2"/>
    <w:rsid w:val="572656D4"/>
    <w:rsid w:val="57815330"/>
    <w:rsid w:val="579079D1"/>
    <w:rsid w:val="58727DC0"/>
    <w:rsid w:val="58762147"/>
    <w:rsid w:val="59AD06A4"/>
    <w:rsid w:val="59F35AC8"/>
    <w:rsid w:val="5A08683D"/>
    <w:rsid w:val="5A4D586D"/>
    <w:rsid w:val="5A6249B0"/>
    <w:rsid w:val="5AA212E4"/>
    <w:rsid w:val="5B9A59F0"/>
    <w:rsid w:val="5C1811A1"/>
    <w:rsid w:val="5C1B7CE1"/>
    <w:rsid w:val="5CC971EE"/>
    <w:rsid w:val="5EA0562A"/>
    <w:rsid w:val="5EA177CB"/>
    <w:rsid w:val="5EE84C68"/>
    <w:rsid w:val="5F380864"/>
    <w:rsid w:val="5F975218"/>
    <w:rsid w:val="602B5C6E"/>
    <w:rsid w:val="6137591E"/>
    <w:rsid w:val="617A66D9"/>
    <w:rsid w:val="61A62571"/>
    <w:rsid w:val="621D5BA4"/>
    <w:rsid w:val="62E6539D"/>
    <w:rsid w:val="63251B8E"/>
    <w:rsid w:val="635B6748"/>
    <w:rsid w:val="63723CD7"/>
    <w:rsid w:val="63947A95"/>
    <w:rsid w:val="6418757C"/>
    <w:rsid w:val="645E09EC"/>
    <w:rsid w:val="64732BB5"/>
    <w:rsid w:val="65741555"/>
    <w:rsid w:val="65B360AB"/>
    <w:rsid w:val="66887A4F"/>
    <w:rsid w:val="67004944"/>
    <w:rsid w:val="671F55B7"/>
    <w:rsid w:val="67610DE4"/>
    <w:rsid w:val="67B167D1"/>
    <w:rsid w:val="67D00D43"/>
    <w:rsid w:val="685071A0"/>
    <w:rsid w:val="685F1C50"/>
    <w:rsid w:val="68C53CC0"/>
    <w:rsid w:val="699022E9"/>
    <w:rsid w:val="69CA10F4"/>
    <w:rsid w:val="6A212235"/>
    <w:rsid w:val="6A5E2961"/>
    <w:rsid w:val="6A714498"/>
    <w:rsid w:val="6C0C7CAF"/>
    <w:rsid w:val="6D492C3B"/>
    <w:rsid w:val="6D5A4128"/>
    <w:rsid w:val="6D792BC6"/>
    <w:rsid w:val="6D866381"/>
    <w:rsid w:val="6DF82FDB"/>
    <w:rsid w:val="6E28130C"/>
    <w:rsid w:val="6EFD3264"/>
    <w:rsid w:val="6F7E486E"/>
    <w:rsid w:val="714319BE"/>
    <w:rsid w:val="723830F9"/>
    <w:rsid w:val="72832E49"/>
    <w:rsid w:val="72A66323"/>
    <w:rsid w:val="73183955"/>
    <w:rsid w:val="73455674"/>
    <w:rsid w:val="73744288"/>
    <w:rsid w:val="745919C6"/>
    <w:rsid w:val="74593CC3"/>
    <w:rsid w:val="74702A9A"/>
    <w:rsid w:val="749A609F"/>
    <w:rsid w:val="758A1998"/>
    <w:rsid w:val="761C2BBB"/>
    <w:rsid w:val="761D6562"/>
    <w:rsid w:val="7631727E"/>
    <w:rsid w:val="764F58A1"/>
    <w:rsid w:val="765036D1"/>
    <w:rsid w:val="76F50009"/>
    <w:rsid w:val="77156DEB"/>
    <w:rsid w:val="776A1DE8"/>
    <w:rsid w:val="781C7C32"/>
    <w:rsid w:val="785D00CA"/>
    <w:rsid w:val="78D17096"/>
    <w:rsid w:val="791A6622"/>
    <w:rsid w:val="796864EC"/>
    <w:rsid w:val="79FE67EB"/>
    <w:rsid w:val="7A413431"/>
    <w:rsid w:val="7A667F42"/>
    <w:rsid w:val="7ADB3745"/>
    <w:rsid w:val="7B9C456D"/>
    <w:rsid w:val="7C8C60FC"/>
    <w:rsid w:val="7CC44ED1"/>
    <w:rsid w:val="7DDD6CEA"/>
    <w:rsid w:val="7E636E14"/>
    <w:rsid w:val="7EC83A66"/>
    <w:rsid w:val="7F5F120C"/>
    <w:rsid w:val="7F8B369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1"/>
    <w:autoRedefine/>
    <w:qFormat/>
    <w:uiPriority w:val="0"/>
    <w:pPr>
      <w:outlineLvl w:val="0"/>
    </w:pPr>
    <w:rPr>
      <w:color w:val="000000"/>
      <w:kern w:val="0"/>
      <w:sz w:val="20"/>
      <w:shd w:val="clear" w:color="auto" w:fill="FFFFFF"/>
    </w:rPr>
  </w:style>
  <w:style w:type="paragraph" w:styleId="5">
    <w:name w:val="heading 2"/>
    <w:basedOn w:val="1"/>
    <w:next w:val="1"/>
    <w:link w:val="50"/>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6">
    <w:name w:val="heading 3"/>
    <w:basedOn w:val="1"/>
    <w:next w:val="1"/>
    <w:link w:val="90"/>
    <w:autoRedefine/>
    <w:unhideWhenUsed/>
    <w:qFormat/>
    <w:uiPriority w:val="0"/>
    <w:pPr>
      <w:keepNext/>
      <w:keepLines/>
      <w:spacing w:before="260" w:after="260" w:line="416" w:lineRule="auto"/>
      <w:outlineLvl w:val="2"/>
    </w:pPr>
    <w:rPr>
      <w:b/>
      <w:bCs/>
      <w:sz w:val="32"/>
      <w:szCs w:val="32"/>
    </w:rPr>
  </w:style>
  <w:style w:type="paragraph" w:styleId="7">
    <w:name w:val="heading 4"/>
    <w:basedOn w:val="1"/>
    <w:next w:val="8"/>
    <w:link w:val="49"/>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0">
    <w:name w:val="heading 5"/>
    <w:basedOn w:val="1"/>
    <w:next w:val="1"/>
    <w:link w:val="89"/>
    <w:autoRedefine/>
    <w:unhideWhenUsed/>
    <w:qFormat/>
    <w:uiPriority w:val="0"/>
    <w:pPr>
      <w:keepNext/>
      <w:keepLines/>
      <w:spacing w:before="280" w:after="290" w:line="376" w:lineRule="auto"/>
      <w:outlineLvl w:val="4"/>
    </w:pPr>
    <w:rPr>
      <w:b/>
      <w:bCs/>
      <w:sz w:val="28"/>
      <w:szCs w:val="28"/>
    </w:rPr>
  </w:style>
  <w:style w:type="paragraph" w:styleId="11">
    <w:name w:val="heading 6"/>
    <w:basedOn w:val="1"/>
    <w:next w:val="1"/>
    <w:link w:val="97"/>
    <w:autoRedefine/>
    <w:unhideWhenUsed/>
    <w:qFormat/>
    <w:uiPriority w:val="0"/>
    <w:pPr>
      <w:keepNext/>
      <w:keepLines/>
      <w:spacing w:line="360" w:lineRule="auto"/>
      <w:outlineLvl w:val="5"/>
    </w:pPr>
    <w:rPr>
      <w:b/>
      <w:sz w:val="24"/>
    </w:rPr>
  </w:style>
  <w:style w:type="paragraph" w:styleId="12">
    <w:name w:val="heading 7"/>
    <w:basedOn w:val="1"/>
    <w:next w:val="1"/>
    <w:link w:val="94"/>
    <w:autoRedefine/>
    <w:unhideWhenUsed/>
    <w:qFormat/>
    <w:uiPriority w:val="0"/>
    <w:pPr>
      <w:keepNext/>
      <w:keepLines/>
      <w:spacing w:before="240" w:after="64" w:line="320" w:lineRule="auto"/>
      <w:outlineLvl w:val="6"/>
    </w:pPr>
    <w:rPr>
      <w:b/>
      <w:bCs/>
      <w:sz w:val="24"/>
    </w:rPr>
  </w:style>
  <w:style w:type="paragraph" w:styleId="13">
    <w:name w:val="heading 8"/>
    <w:next w:val="1"/>
    <w:link w:val="98"/>
    <w:autoRedefine/>
    <w:semiHidden/>
    <w:unhideWhenUsed/>
    <w:qFormat/>
    <w:uiPriority w:val="0"/>
    <w:pPr>
      <w:keepNext/>
      <w:keepLines/>
      <w:spacing w:line="360" w:lineRule="auto"/>
      <w:outlineLvl w:val="7"/>
    </w:pPr>
    <w:rPr>
      <w:rFonts w:ascii="Times New Roman" w:hAnsi="Times New Roman" w:eastAsia="宋体" w:cs="Times New Roman"/>
      <w:b/>
      <w:sz w:val="24"/>
      <w:lang w:val="en-US" w:eastAsia="zh-CN" w:bidi="ar-SA"/>
    </w:rPr>
  </w:style>
  <w:style w:type="paragraph" w:styleId="14">
    <w:name w:val="heading 9"/>
    <w:basedOn w:val="1"/>
    <w:next w:val="1"/>
    <w:link w:val="99"/>
    <w:autoRedefine/>
    <w:semiHidden/>
    <w:unhideWhenUsed/>
    <w:qFormat/>
    <w:uiPriority w:val="0"/>
    <w:pPr>
      <w:keepNext/>
      <w:keepLines/>
      <w:spacing w:before="240" w:after="64" w:line="317" w:lineRule="auto"/>
      <w:ind w:left="1583"/>
      <w:outlineLvl w:val="8"/>
    </w:pPr>
    <w:rPr>
      <w:rFonts w:ascii="Arial" w:hAnsi="Arial" w:eastAsia="黑体" w:cstheme="minorBidi"/>
    </w:rPr>
  </w:style>
  <w:style w:type="character" w:default="1" w:styleId="37">
    <w:name w:val="Default Paragraph Font"/>
    <w:autoRedefine/>
    <w:semiHidden/>
    <w:unhideWhenUsed/>
    <w:qFormat/>
    <w:uiPriority w:val="1"/>
  </w:style>
  <w:style w:type="table" w:default="1" w:styleId="3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link w:val="70"/>
    <w:autoRedefine/>
    <w:qFormat/>
    <w:uiPriority w:val="0"/>
    <w:pPr>
      <w:spacing w:after="120"/>
      <w:ind w:left="420" w:leftChars="200"/>
    </w:pPr>
  </w:style>
  <w:style w:type="paragraph" w:styleId="8">
    <w:name w:val="Body Text"/>
    <w:basedOn w:val="1"/>
    <w:next w:val="9"/>
    <w:link w:val="77"/>
    <w:autoRedefine/>
    <w:qFormat/>
    <w:uiPriority w:val="0"/>
    <w:pPr>
      <w:spacing w:line="360" w:lineRule="exact"/>
    </w:pPr>
    <w:rPr>
      <w:sz w:val="24"/>
    </w:rPr>
  </w:style>
  <w:style w:type="paragraph" w:styleId="9">
    <w:name w:val="Body Text First Indent"/>
    <w:basedOn w:val="8"/>
    <w:link w:val="93"/>
    <w:autoRedefine/>
    <w:qFormat/>
    <w:uiPriority w:val="0"/>
    <w:pPr>
      <w:spacing w:after="120" w:line="240" w:lineRule="auto"/>
      <w:ind w:firstLine="420" w:firstLineChars="100"/>
    </w:pPr>
    <w:rPr>
      <w:sz w:val="21"/>
    </w:rPr>
  </w:style>
  <w:style w:type="paragraph" w:styleId="15">
    <w:name w:val="List Number"/>
    <w:basedOn w:val="1"/>
    <w:autoRedefine/>
    <w:qFormat/>
    <w:uiPriority w:val="0"/>
    <w:pPr>
      <w:numPr>
        <w:ilvl w:val="0"/>
        <w:numId w:val="1"/>
      </w:numPr>
    </w:pPr>
  </w:style>
  <w:style w:type="paragraph" w:styleId="16">
    <w:name w:val="Normal Indent"/>
    <w:basedOn w:val="1"/>
    <w:link w:val="105"/>
    <w:autoRedefine/>
    <w:qFormat/>
    <w:uiPriority w:val="0"/>
    <w:pPr>
      <w:ind w:firstLine="420"/>
    </w:pPr>
    <w:rPr>
      <w:szCs w:val="20"/>
    </w:rPr>
  </w:style>
  <w:style w:type="paragraph" w:styleId="17">
    <w:name w:val="Document Map"/>
    <w:basedOn w:val="1"/>
    <w:link w:val="72"/>
    <w:autoRedefine/>
    <w:semiHidden/>
    <w:qFormat/>
    <w:uiPriority w:val="99"/>
    <w:pPr>
      <w:shd w:val="clear" w:color="auto" w:fill="000080"/>
    </w:pPr>
    <w:rPr>
      <w:kern w:val="0"/>
      <w:sz w:val="2"/>
    </w:rPr>
  </w:style>
  <w:style w:type="paragraph" w:styleId="18">
    <w:name w:val="annotation text"/>
    <w:basedOn w:val="1"/>
    <w:link w:val="67"/>
    <w:autoRedefine/>
    <w:qFormat/>
    <w:uiPriority w:val="0"/>
    <w:pPr>
      <w:jc w:val="left"/>
    </w:pPr>
  </w:style>
  <w:style w:type="paragraph" w:styleId="19">
    <w:name w:val="Closing"/>
    <w:basedOn w:val="1"/>
    <w:autoRedefine/>
    <w:semiHidden/>
    <w:qFormat/>
    <w:uiPriority w:val="0"/>
    <w:pPr>
      <w:ind w:left="4320"/>
    </w:pPr>
    <w:rPr>
      <w:kern w:val="1"/>
    </w:rPr>
  </w:style>
  <w:style w:type="paragraph" w:styleId="20">
    <w:name w:val="Block Text"/>
    <w:basedOn w:val="1"/>
    <w:autoRedefine/>
    <w:qFormat/>
    <w:uiPriority w:val="0"/>
    <w:pPr>
      <w:autoSpaceDE w:val="0"/>
      <w:autoSpaceDN w:val="0"/>
      <w:adjustRightInd w:val="0"/>
      <w:spacing w:line="240" w:lineRule="atLeast"/>
      <w:ind w:left="1797" w:right="857" w:rightChars="857" w:firstLine="542" w:firstLineChars="226"/>
      <w:jc w:val="left"/>
    </w:pPr>
    <w:rPr>
      <w:rFonts w:hint="eastAsia" w:ascii="宋体" w:hAnsi="Calibri"/>
      <w:color w:val="000000"/>
      <w:kern w:val="0"/>
      <w:sz w:val="24"/>
    </w:rPr>
  </w:style>
  <w:style w:type="paragraph" w:styleId="21">
    <w:name w:val="toc 3"/>
    <w:next w:val="1"/>
    <w:autoRedefine/>
    <w:qFormat/>
    <w:uiPriority w:val="0"/>
    <w:pPr>
      <w:ind w:left="840" w:leftChars="400"/>
    </w:pPr>
    <w:rPr>
      <w:rFonts w:ascii="Times New Roman" w:hAnsi="Times New Roman" w:eastAsia="宋体" w:cs="Times New Roman"/>
      <w:sz w:val="24"/>
      <w:lang w:val="en-US" w:eastAsia="zh-CN" w:bidi="ar-SA"/>
    </w:rPr>
  </w:style>
  <w:style w:type="paragraph" w:styleId="22">
    <w:name w:val="Plain Text"/>
    <w:basedOn w:val="1"/>
    <w:next w:val="23"/>
    <w:link w:val="85"/>
    <w:autoRedefine/>
    <w:qFormat/>
    <w:uiPriority w:val="0"/>
    <w:rPr>
      <w:rFonts w:ascii="宋体" w:hAnsi="Courier New" w:cstheme="minorBidi"/>
    </w:rPr>
  </w:style>
  <w:style w:type="paragraph" w:styleId="23">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24">
    <w:name w:val="Balloon Text"/>
    <w:basedOn w:val="1"/>
    <w:link w:val="69"/>
    <w:autoRedefine/>
    <w:qFormat/>
    <w:uiPriority w:val="0"/>
    <w:rPr>
      <w:sz w:val="18"/>
      <w:szCs w:val="18"/>
    </w:rPr>
  </w:style>
  <w:style w:type="paragraph" w:styleId="25">
    <w:name w:val="footer"/>
    <w:basedOn w:val="1"/>
    <w:link w:val="74"/>
    <w:autoRedefine/>
    <w:qFormat/>
    <w:uiPriority w:val="0"/>
    <w:pPr>
      <w:tabs>
        <w:tab w:val="center" w:pos="4153"/>
        <w:tab w:val="right" w:pos="8306"/>
      </w:tabs>
      <w:snapToGrid w:val="0"/>
      <w:jc w:val="left"/>
    </w:pPr>
    <w:rPr>
      <w:sz w:val="18"/>
    </w:rPr>
  </w:style>
  <w:style w:type="paragraph" w:styleId="26">
    <w:name w:val="header"/>
    <w:basedOn w:val="1"/>
    <w:link w:val="7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7">
    <w:name w:val="toc 1"/>
    <w:basedOn w:val="1"/>
    <w:next w:val="1"/>
    <w:autoRedefine/>
    <w:qFormat/>
    <w:uiPriority w:val="0"/>
    <w:rPr>
      <w:sz w:val="24"/>
    </w:rPr>
  </w:style>
  <w:style w:type="paragraph" w:styleId="28">
    <w:name w:val="Subtitle"/>
    <w:basedOn w:val="1"/>
    <w:next w:val="1"/>
    <w:link w:val="82"/>
    <w:autoRedefine/>
    <w:qFormat/>
    <w:uiPriority w:val="0"/>
    <w:pPr>
      <w:spacing w:before="240" w:after="60" w:line="312" w:lineRule="auto"/>
      <w:jc w:val="center"/>
      <w:outlineLvl w:val="1"/>
    </w:pPr>
    <w:rPr>
      <w:rFonts w:ascii="等线 Light" w:hAnsi="等线 Light"/>
      <w:b/>
      <w:bCs/>
      <w:kern w:val="28"/>
      <w:sz w:val="32"/>
      <w:szCs w:val="32"/>
    </w:rPr>
  </w:style>
  <w:style w:type="paragraph" w:styleId="29">
    <w:name w:val="toc 6"/>
    <w:basedOn w:val="1"/>
    <w:next w:val="1"/>
    <w:autoRedefine/>
    <w:qFormat/>
    <w:uiPriority w:val="39"/>
    <w:pPr>
      <w:ind w:left="1050"/>
      <w:jc w:val="left"/>
    </w:pPr>
    <w:rPr>
      <w:rFonts w:ascii="Calibri" w:hAnsi="Calibri" w:cs="Calibri"/>
      <w:sz w:val="18"/>
      <w:szCs w:val="18"/>
    </w:rPr>
  </w:style>
  <w:style w:type="paragraph" w:styleId="30">
    <w:name w:val="toc 2"/>
    <w:basedOn w:val="1"/>
    <w:next w:val="1"/>
    <w:autoRedefine/>
    <w:qFormat/>
    <w:uiPriority w:val="0"/>
    <w:pPr>
      <w:ind w:left="420" w:leftChars="200"/>
    </w:pPr>
    <w:rPr>
      <w:sz w:val="24"/>
    </w:rPr>
  </w:style>
  <w:style w:type="paragraph" w:styleId="31">
    <w:name w:val="HTML Preformatted"/>
    <w:basedOn w:val="1"/>
    <w:link w:val="8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2">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33">
    <w:name w:val="Title"/>
    <w:basedOn w:val="1"/>
    <w:next w:val="1"/>
    <w:link w:val="81"/>
    <w:autoRedefine/>
    <w:qFormat/>
    <w:uiPriority w:val="0"/>
    <w:pPr>
      <w:spacing w:before="240" w:after="60"/>
      <w:jc w:val="center"/>
      <w:outlineLvl w:val="0"/>
    </w:pPr>
    <w:rPr>
      <w:rFonts w:ascii="等线 Light" w:hAnsi="等线 Light"/>
      <w:b/>
      <w:bCs/>
      <w:sz w:val="32"/>
      <w:szCs w:val="32"/>
    </w:rPr>
  </w:style>
  <w:style w:type="paragraph" w:styleId="34">
    <w:name w:val="annotation subject"/>
    <w:basedOn w:val="18"/>
    <w:next w:val="18"/>
    <w:link w:val="68"/>
    <w:autoRedefine/>
    <w:qFormat/>
    <w:uiPriority w:val="0"/>
    <w:rPr>
      <w:b/>
      <w:bCs/>
    </w:rPr>
  </w:style>
  <w:style w:type="table" w:styleId="36">
    <w:name w:val="Table Grid"/>
    <w:basedOn w:val="35"/>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0"/>
    <w:rPr>
      <w:b/>
      <w:bCs/>
    </w:rPr>
  </w:style>
  <w:style w:type="character" w:styleId="39">
    <w:name w:val="page number"/>
    <w:basedOn w:val="37"/>
    <w:autoRedefine/>
    <w:qFormat/>
    <w:uiPriority w:val="0"/>
  </w:style>
  <w:style w:type="character" w:styleId="40">
    <w:name w:val="FollowedHyperlink"/>
    <w:autoRedefine/>
    <w:qFormat/>
    <w:uiPriority w:val="0"/>
    <w:rPr>
      <w:color w:val="800080"/>
      <w:u w:val="none"/>
    </w:rPr>
  </w:style>
  <w:style w:type="character" w:styleId="41">
    <w:name w:val="Emphasis"/>
    <w:autoRedefine/>
    <w:qFormat/>
    <w:uiPriority w:val="0"/>
    <w:rPr>
      <w:i/>
      <w:iCs/>
    </w:rPr>
  </w:style>
  <w:style w:type="character" w:styleId="42">
    <w:name w:val="HTML Typewriter"/>
    <w:qFormat/>
    <w:uiPriority w:val="0"/>
    <w:rPr>
      <w:rFonts w:hint="eastAsia" w:ascii="黑体" w:hAnsi="Courier New" w:eastAsia="黑体" w:cs="Times New Roman"/>
      <w:sz w:val="14"/>
      <w:szCs w:val="24"/>
    </w:rPr>
  </w:style>
  <w:style w:type="character" w:styleId="43">
    <w:name w:val="Hyperlink"/>
    <w:autoRedefine/>
    <w:qFormat/>
    <w:uiPriority w:val="0"/>
    <w:rPr>
      <w:color w:val="0000FF"/>
      <w:u w:val="single"/>
    </w:rPr>
  </w:style>
  <w:style w:type="character" w:styleId="44">
    <w:name w:val="annotation reference"/>
    <w:basedOn w:val="37"/>
    <w:autoRedefine/>
    <w:qFormat/>
    <w:uiPriority w:val="0"/>
    <w:rPr>
      <w:sz w:val="21"/>
      <w:szCs w:val="21"/>
    </w:rPr>
  </w:style>
  <w:style w:type="paragraph" w:customStyle="1" w:styleId="45">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46">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customStyle="1" w:styleId="47">
    <w:name w:val="表格文字"/>
    <w:basedOn w:val="48"/>
    <w:next w:val="8"/>
    <w:autoRedefine/>
    <w:qFormat/>
    <w:uiPriority w:val="0"/>
    <w:pPr>
      <w:adjustRightInd w:val="0"/>
      <w:spacing w:line="420" w:lineRule="atLeast"/>
      <w:textAlignment w:val="baseline"/>
    </w:pPr>
  </w:style>
  <w:style w:type="paragraph" w:customStyle="1" w:styleId="48">
    <w:name w:val="表格文字（两侧对齐）"/>
    <w:basedOn w:val="1"/>
    <w:autoRedefine/>
    <w:qFormat/>
    <w:uiPriority w:val="0"/>
    <w:pPr>
      <w:snapToGrid w:val="0"/>
      <w:jc w:val="left"/>
    </w:pPr>
    <w:rPr>
      <w:sz w:val="20"/>
    </w:rPr>
  </w:style>
  <w:style w:type="character" w:customStyle="1" w:styleId="49">
    <w:name w:val="标题 4 字符"/>
    <w:basedOn w:val="37"/>
    <w:link w:val="7"/>
    <w:autoRedefine/>
    <w:qFormat/>
    <w:uiPriority w:val="0"/>
    <w:rPr>
      <w:rFonts w:asciiTheme="majorHAnsi" w:hAnsiTheme="majorHAnsi" w:eastAsiaTheme="majorEastAsia" w:cstheme="majorBidi"/>
      <w:b/>
      <w:bCs/>
      <w:kern w:val="2"/>
      <w:sz w:val="28"/>
      <w:szCs w:val="28"/>
    </w:rPr>
  </w:style>
  <w:style w:type="character" w:customStyle="1" w:styleId="50">
    <w:name w:val="标题 2 字符"/>
    <w:basedOn w:val="37"/>
    <w:link w:val="5"/>
    <w:autoRedefine/>
    <w:qFormat/>
    <w:uiPriority w:val="0"/>
    <w:rPr>
      <w:rFonts w:ascii="Arial" w:hAnsi="Arial" w:eastAsia="黑体"/>
      <w:b/>
      <w:bCs/>
      <w:kern w:val="2"/>
      <w:sz w:val="32"/>
      <w:szCs w:val="32"/>
    </w:rPr>
  </w:style>
  <w:style w:type="paragraph" w:customStyle="1" w:styleId="51">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styleId="52">
    <w:name w:val="List Paragraph"/>
    <w:basedOn w:val="1"/>
    <w:link w:val="91"/>
    <w:autoRedefine/>
    <w:qFormat/>
    <w:uiPriority w:val="34"/>
    <w:pPr>
      <w:ind w:firstLine="420" w:firstLineChars="200"/>
    </w:pPr>
    <w:rPr>
      <w:rFonts w:ascii="Calibri" w:hAnsi="Calibri"/>
      <w:szCs w:val="22"/>
    </w:rPr>
  </w:style>
  <w:style w:type="paragraph" w:customStyle="1" w:styleId="53">
    <w:name w:val="列出段落1"/>
    <w:basedOn w:val="1"/>
    <w:autoRedefine/>
    <w:qFormat/>
    <w:uiPriority w:val="34"/>
    <w:pPr>
      <w:ind w:firstLine="420" w:firstLineChars="200"/>
    </w:pPr>
    <w:rPr>
      <w:rFonts w:ascii="Calibri" w:hAnsi="Calibri"/>
      <w:kern w:val="0"/>
      <w:szCs w:val="20"/>
    </w:rPr>
  </w:style>
  <w:style w:type="paragraph" w:customStyle="1" w:styleId="54">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5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6">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14"/>
    <w:autoRedefine/>
    <w:qFormat/>
    <w:uiPriority w:val="0"/>
    <w:rPr>
      <w:rFonts w:ascii="Times New Roman" w:hAnsi="Times New Roman" w:eastAsia="宋体" w:cs="Times New Roman"/>
      <w:sz w:val="21"/>
      <w:szCs w:val="22"/>
      <w:lang w:val="en-US" w:eastAsia="zh-CN" w:bidi="ar-SA"/>
    </w:rPr>
  </w:style>
  <w:style w:type="paragraph" w:customStyle="1" w:styleId="58">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纯文本_3"/>
    <w:basedOn w:val="60"/>
    <w:autoRedefine/>
    <w:qFormat/>
    <w:uiPriority w:val="0"/>
    <w:pPr>
      <w:widowControl/>
      <w:jc w:val="left"/>
    </w:pPr>
    <w:rPr>
      <w:rFonts w:ascii="宋体" w:hAnsi="Courier New" w:eastAsiaTheme="minorEastAsia" w:cstheme="minorBidi"/>
      <w:szCs w:val="21"/>
    </w:rPr>
  </w:style>
  <w:style w:type="paragraph" w:customStyle="1" w:styleId="62">
    <w:name w:val="纯文本_0_1"/>
    <w:basedOn w:val="1"/>
    <w:autoRedefine/>
    <w:qFormat/>
    <w:uiPriority w:val="0"/>
    <w:pPr>
      <w:widowControl/>
      <w:jc w:val="left"/>
    </w:pPr>
    <w:rPr>
      <w:rFonts w:ascii="宋体" w:hAnsi="Courier New" w:eastAsiaTheme="minorEastAsia" w:cstheme="minorBidi"/>
      <w:szCs w:val="21"/>
    </w:rPr>
  </w:style>
  <w:style w:type="paragraph" w:customStyle="1" w:styleId="63">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7">
    <w:name w:val="批注文字 字符1"/>
    <w:basedOn w:val="37"/>
    <w:link w:val="18"/>
    <w:autoRedefine/>
    <w:qFormat/>
    <w:uiPriority w:val="0"/>
    <w:rPr>
      <w:rFonts w:ascii="Times New Roman" w:hAnsi="Times New Roman" w:eastAsia="宋体" w:cs="Times New Roman"/>
      <w:kern w:val="2"/>
      <w:sz w:val="21"/>
      <w:szCs w:val="24"/>
    </w:rPr>
  </w:style>
  <w:style w:type="character" w:customStyle="1" w:styleId="68">
    <w:name w:val="批注主题 字符"/>
    <w:basedOn w:val="67"/>
    <w:link w:val="34"/>
    <w:autoRedefine/>
    <w:qFormat/>
    <w:uiPriority w:val="0"/>
    <w:rPr>
      <w:rFonts w:ascii="Times New Roman" w:hAnsi="Times New Roman" w:eastAsia="宋体" w:cs="Times New Roman"/>
      <w:b/>
      <w:bCs/>
      <w:kern w:val="2"/>
      <w:sz w:val="21"/>
      <w:szCs w:val="24"/>
    </w:rPr>
  </w:style>
  <w:style w:type="character" w:customStyle="1" w:styleId="69">
    <w:name w:val="批注框文本 字符1"/>
    <w:basedOn w:val="37"/>
    <w:link w:val="24"/>
    <w:autoRedefine/>
    <w:qFormat/>
    <w:uiPriority w:val="0"/>
    <w:rPr>
      <w:rFonts w:ascii="Times New Roman" w:hAnsi="Times New Roman" w:eastAsia="宋体" w:cs="Times New Roman"/>
      <w:kern w:val="2"/>
      <w:sz w:val="18"/>
      <w:szCs w:val="18"/>
    </w:rPr>
  </w:style>
  <w:style w:type="character" w:customStyle="1" w:styleId="70">
    <w:name w:val="正文文本缩进 字符"/>
    <w:basedOn w:val="37"/>
    <w:link w:val="3"/>
    <w:autoRedefine/>
    <w:qFormat/>
    <w:uiPriority w:val="0"/>
    <w:rPr>
      <w:kern w:val="2"/>
      <w:sz w:val="21"/>
      <w:szCs w:val="24"/>
    </w:rPr>
  </w:style>
  <w:style w:type="character" w:customStyle="1" w:styleId="71">
    <w:name w:val="标题 1 字符1"/>
    <w:basedOn w:val="37"/>
    <w:link w:val="4"/>
    <w:autoRedefine/>
    <w:qFormat/>
    <w:uiPriority w:val="0"/>
    <w:rPr>
      <w:color w:val="000000"/>
      <w:szCs w:val="24"/>
    </w:rPr>
  </w:style>
  <w:style w:type="character" w:customStyle="1" w:styleId="72">
    <w:name w:val="文档结构图 字符"/>
    <w:basedOn w:val="37"/>
    <w:link w:val="17"/>
    <w:autoRedefine/>
    <w:semiHidden/>
    <w:qFormat/>
    <w:uiPriority w:val="99"/>
    <w:rPr>
      <w:sz w:val="2"/>
      <w:szCs w:val="24"/>
      <w:shd w:val="clear" w:color="auto" w:fill="000080"/>
    </w:rPr>
  </w:style>
  <w:style w:type="character" w:customStyle="1" w:styleId="73">
    <w:name w:val="页眉 字符"/>
    <w:link w:val="26"/>
    <w:autoRedefine/>
    <w:qFormat/>
    <w:locked/>
    <w:uiPriority w:val="0"/>
    <w:rPr>
      <w:kern w:val="2"/>
      <w:sz w:val="18"/>
      <w:szCs w:val="24"/>
    </w:rPr>
  </w:style>
  <w:style w:type="character" w:customStyle="1" w:styleId="74">
    <w:name w:val="页脚 字符"/>
    <w:link w:val="25"/>
    <w:autoRedefine/>
    <w:qFormat/>
    <w:locked/>
    <w:uiPriority w:val="0"/>
    <w:rPr>
      <w:kern w:val="2"/>
      <w:sz w:val="18"/>
      <w:szCs w:val="24"/>
    </w:rPr>
  </w:style>
  <w:style w:type="paragraph" w:customStyle="1" w:styleId="75">
    <w:name w:val="图"/>
    <w:basedOn w:val="1"/>
    <w:autoRedefine/>
    <w:qFormat/>
    <w:uiPriority w:val="99"/>
    <w:pPr>
      <w:keepNext/>
      <w:adjustRightInd w:val="0"/>
      <w:snapToGrid w:val="0"/>
      <w:spacing w:before="60" w:after="60" w:line="300" w:lineRule="auto"/>
      <w:jc w:val="center"/>
    </w:pPr>
    <w:rPr>
      <w:spacing w:val="20"/>
      <w:kern w:val="0"/>
      <w:sz w:val="24"/>
      <w:szCs w:val="20"/>
    </w:rPr>
  </w:style>
  <w:style w:type="paragraph" w:customStyle="1" w:styleId="76">
    <w:name w:val="[Normal]"/>
    <w:autoRedefine/>
    <w:qFormat/>
    <w:uiPriority w:val="99"/>
    <w:pPr>
      <w:widowControl w:val="0"/>
      <w:autoSpaceDE w:val="0"/>
      <w:autoSpaceDN w:val="0"/>
      <w:adjustRightInd w:val="0"/>
    </w:pPr>
    <w:rPr>
      <w:rFonts w:ascii="Arial" w:hAnsi="Arial" w:eastAsia="宋体" w:cs="Arial"/>
      <w:sz w:val="24"/>
      <w:szCs w:val="24"/>
      <w:shd w:val="clear" w:color="auto" w:fill="FFFFFF"/>
      <w:lang w:val="de-DE" w:eastAsia="zh-CN" w:bidi="ar-SA"/>
    </w:rPr>
  </w:style>
  <w:style w:type="character" w:customStyle="1" w:styleId="77">
    <w:name w:val="正文文本 字符"/>
    <w:link w:val="8"/>
    <w:autoRedefine/>
    <w:qFormat/>
    <w:locked/>
    <w:uiPriority w:val="99"/>
    <w:rPr>
      <w:kern w:val="2"/>
      <w:sz w:val="24"/>
      <w:szCs w:val="24"/>
    </w:rPr>
  </w:style>
  <w:style w:type="paragraph" w:customStyle="1" w:styleId="78">
    <w:name w:val="KTG"/>
    <w:next w:val="1"/>
    <w:autoRedefine/>
    <w:qFormat/>
    <w:uiPriority w:val="99"/>
    <w:pPr>
      <w:widowControl w:val="0"/>
      <w:tabs>
        <w:tab w:val="left" w:pos="1134"/>
      </w:tabs>
      <w:autoSpaceDE w:val="0"/>
      <w:autoSpaceDN w:val="0"/>
      <w:adjustRightInd w:val="0"/>
    </w:pPr>
    <w:rPr>
      <w:rFonts w:ascii="Arial" w:hAnsi="Arial" w:eastAsia="宋体" w:cs="Times New Roman"/>
      <w:sz w:val="22"/>
      <w:szCs w:val="22"/>
      <w:lang w:val="de-DE" w:eastAsia="zh-CN" w:bidi="ar-SA"/>
    </w:rPr>
  </w:style>
  <w:style w:type="paragraph" w:customStyle="1" w:styleId="7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0">
    <w:name w:val="_Style 2"/>
    <w:basedOn w:val="1"/>
    <w:autoRedefine/>
    <w:qFormat/>
    <w:uiPriority w:val="99"/>
    <w:pPr>
      <w:ind w:firstLine="420" w:firstLineChars="200"/>
    </w:pPr>
  </w:style>
  <w:style w:type="character" w:customStyle="1" w:styleId="81">
    <w:name w:val="标题 字符"/>
    <w:basedOn w:val="37"/>
    <w:link w:val="33"/>
    <w:autoRedefine/>
    <w:qFormat/>
    <w:uiPriority w:val="0"/>
    <w:rPr>
      <w:rFonts w:ascii="等线 Light" w:hAnsi="等线 Light"/>
      <w:b/>
      <w:bCs/>
      <w:kern w:val="2"/>
      <w:sz w:val="32"/>
      <w:szCs w:val="32"/>
    </w:rPr>
  </w:style>
  <w:style w:type="character" w:customStyle="1" w:styleId="82">
    <w:name w:val="副标题 字符"/>
    <w:basedOn w:val="37"/>
    <w:link w:val="28"/>
    <w:autoRedefine/>
    <w:qFormat/>
    <w:uiPriority w:val="0"/>
    <w:rPr>
      <w:rFonts w:ascii="等线 Light" w:hAnsi="等线 Light"/>
      <w:b/>
      <w:bCs/>
      <w:kern w:val="28"/>
      <w:sz w:val="32"/>
      <w:szCs w:val="32"/>
    </w:rPr>
  </w:style>
  <w:style w:type="table" w:customStyle="1" w:styleId="83">
    <w:name w:val="网格型1"/>
    <w:basedOn w:val="35"/>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4">
    <w:name w:val="HTML 预设格式 字符"/>
    <w:basedOn w:val="37"/>
    <w:link w:val="31"/>
    <w:autoRedefine/>
    <w:qFormat/>
    <w:uiPriority w:val="0"/>
    <w:rPr>
      <w:rFonts w:ascii="黑体" w:hAnsi="Courier New" w:eastAsia="黑体" w:cs="Courier New"/>
    </w:rPr>
  </w:style>
  <w:style w:type="character" w:customStyle="1" w:styleId="85">
    <w:name w:val="纯文本 字符"/>
    <w:basedOn w:val="37"/>
    <w:link w:val="22"/>
    <w:autoRedefine/>
    <w:qFormat/>
    <w:uiPriority w:val="0"/>
    <w:rPr>
      <w:rFonts w:ascii="宋体" w:hAnsi="Courier New" w:cstheme="minorBidi"/>
      <w:kern w:val="2"/>
      <w:sz w:val="21"/>
      <w:szCs w:val="24"/>
    </w:rPr>
  </w:style>
  <w:style w:type="paragraph" w:customStyle="1" w:styleId="86">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87">
    <w:name w:val="my正文"/>
    <w:basedOn w:val="1"/>
    <w:autoRedefine/>
    <w:qFormat/>
    <w:uiPriority w:val="0"/>
    <w:pPr>
      <w:widowControl/>
      <w:ind w:firstLine="480"/>
    </w:pPr>
    <w:rPr>
      <w:rFonts w:ascii="Calibri" w:hAnsi="Calibri"/>
      <w:lang w:val="zh-CN"/>
    </w:rPr>
  </w:style>
  <w:style w:type="table" w:customStyle="1" w:styleId="88">
    <w:name w:val="网格型3"/>
    <w:basedOn w:val="35"/>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
    <w:name w:val="标题 5 字符"/>
    <w:basedOn w:val="37"/>
    <w:link w:val="10"/>
    <w:autoRedefine/>
    <w:qFormat/>
    <w:uiPriority w:val="0"/>
    <w:rPr>
      <w:b/>
      <w:bCs/>
      <w:kern w:val="2"/>
      <w:sz w:val="28"/>
      <w:szCs w:val="28"/>
    </w:rPr>
  </w:style>
  <w:style w:type="character" w:customStyle="1" w:styleId="90">
    <w:name w:val="标题 3 字符"/>
    <w:basedOn w:val="37"/>
    <w:link w:val="6"/>
    <w:autoRedefine/>
    <w:qFormat/>
    <w:uiPriority w:val="0"/>
    <w:rPr>
      <w:b/>
      <w:bCs/>
      <w:kern w:val="2"/>
      <w:sz w:val="32"/>
      <w:szCs w:val="32"/>
    </w:rPr>
  </w:style>
  <w:style w:type="character" w:customStyle="1" w:styleId="91">
    <w:name w:val="列表段落 字符"/>
    <w:link w:val="52"/>
    <w:autoRedefine/>
    <w:qFormat/>
    <w:locked/>
    <w:uiPriority w:val="34"/>
    <w:rPr>
      <w:rFonts w:ascii="Calibri" w:hAnsi="Calibri"/>
      <w:kern w:val="2"/>
      <w:sz w:val="21"/>
      <w:szCs w:val="22"/>
    </w:rPr>
  </w:style>
  <w:style w:type="paragraph" w:customStyle="1" w:styleId="92">
    <w:name w:val="列出段落2"/>
    <w:basedOn w:val="1"/>
    <w:autoRedefine/>
    <w:qFormat/>
    <w:uiPriority w:val="99"/>
    <w:pPr>
      <w:ind w:firstLine="420" w:firstLineChars="200"/>
    </w:pPr>
    <w:rPr>
      <w:rFonts w:ascii="Calibri" w:hAnsi="Calibri"/>
      <w:szCs w:val="22"/>
    </w:rPr>
  </w:style>
  <w:style w:type="character" w:customStyle="1" w:styleId="93">
    <w:name w:val="正文文本首行缩进 字符"/>
    <w:basedOn w:val="77"/>
    <w:link w:val="9"/>
    <w:autoRedefine/>
    <w:qFormat/>
    <w:uiPriority w:val="0"/>
    <w:rPr>
      <w:kern w:val="2"/>
      <w:sz w:val="21"/>
      <w:szCs w:val="24"/>
    </w:rPr>
  </w:style>
  <w:style w:type="character" w:customStyle="1" w:styleId="94">
    <w:name w:val="标题 7 字符"/>
    <w:basedOn w:val="37"/>
    <w:link w:val="12"/>
    <w:autoRedefine/>
    <w:qFormat/>
    <w:uiPriority w:val="0"/>
    <w:rPr>
      <w:b/>
      <w:bCs/>
      <w:kern w:val="2"/>
      <w:sz w:val="24"/>
      <w:szCs w:val="24"/>
    </w:rPr>
  </w:style>
  <w:style w:type="paragraph" w:customStyle="1" w:styleId="95">
    <w:name w:val="*正文"/>
    <w:basedOn w:val="1"/>
    <w:link w:val="96"/>
    <w:autoRedefine/>
    <w:qFormat/>
    <w:uiPriority w:val="0"/>
    <w:pPr>
      <w:spacing w:line="360" w:lineRule="auto"/>
      <w:ind w:firstLine="560" w:firstLineChars="200"/>
    </w:pPr>
    <w:rPr>
      <w:rFonts w:eastAsia="仿宋_GB2312"/>
      <w:color w:val="000000"/>
      <w:sz w:val="28"/>
      <w:szCs w:val="28"/>
      <w:lang w:val="zh-CN"/>
    </w:rPr>
  </w:style>
  <w:style w:type="character" w:customStyle="1" w:styleId="96">
    <w:name w:val="*正文 Char"/>
    <w:link w:val="95"/>
    <w:autoRedefine/>
    <w:qFormat/>
    <w:uiPriority w:val="0"/>
    <w:rPr>
      <w:rFonts w:eastAsia="仿宋_GB2312"/>
      <w:color w:val="000000"/>
      <w:kern w:val="2"/>
      <w:sz w:val="28"/>
      <w:szCs w:val="28"/>
      <w:lang w:val="zh-CN"/>
    </w:rPr>
  </w:style>
  <w:style w:type="character" w:customStyle="1" w:styleId="97">
    <w:name w:val="标题 6 字符"/>
    <w:basedOn w:val="37"/>
    <w:link w:val="11"/>
    <w:autoRedefine/>
    <w:qFormat/>
    <w:uiPriority w:val="0"/>
    <w:rPr>
      <w:b/>
      <w:sz w:val="24"/>
    </w:rPr>
  </w:style>
  <w:style w:type="character" w:customStyle="1" w:styleId="98">
    <w:name w:val="标题 8 字符"/>
    <w:basedOn w:val="37"/>
    <w:link w:val="13"/>
    <w:autoRedefine/>
    <w:semiHidden/>
    <w:qFormat/>
    <w:uiPriority w:val="0"/>
    <w:rPr>
      <w:b/>
      <w:sz w:val="24"/>
    </w:rPr>
  </w:style>
  <w:style w:type="character" w:customStyle="1" w:styleId="99">
    <w:name w:val="标题 9 字符"/>
    <w:basedOn w:val="37"/>
    <w:link w:val="14"/>
    <w:autoRedefine/>
    <w:semiHidden/>
    <w:qFormat/>
    <w:uiPriority w:val="0"/>
    <w:rPr>
      <w:rFonts w:ascii="Arial" w:hAnsi="Arial" w:eastAsia="黑体" w:cstheme="minorBidi"/>
      <w:kern w:val="2"/>
      <w:sz w:val="21"/>
      <w:szCs w:val="24"/>
    </w:rPr>
  </w:style>
  <w:style w:type="table" w:customStyle="1" w:styleId="100">
    <w:name w:val="网格型2"/>
    <w:basedOn w:val="3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
    <w:name w:val="_Style 94"/>
    <w:next w:val="1"/>
    <w:autoRedefine/>
    <w:qFormat/>
    <w:uiPriority w:val="0"/>
    <w:pPr>
      <w:ind w:left="420" w:leftChars="200"/>
    </w:pPr>
    <w:rPr>
      <w:rFonts w:ascii="Times New Roman" w:hAnsi="Times New Roman" w:eastAsia="宋体" w:cs="Times New Roman"/>
      <w:sz w:val="24"/>
      <w:lang w:val="en-US" w:eastAsia="zh-CN" w:bidi="ar-SA"/>
    </w:rPr>
  </w:style>
  <w:style w:type="character" w:customStyle="1" w:styleId="102">
    <w:name w:val="标题 1 字符"/>
    <w:autoRedefine/>
    <w:qFormat/>
    <w:uiPriority w:val="0"/>
    <w:rPr>
      <w:rFonts w:ascii="Calibri" w:hAnsi="Calibri" w:eastAsia="宋体"/>
      <w:b/>
      <w:kern w:val="44"/>
      <w:sz w:val="30"/>
    </w:rPr>
  </w:style>
  <w:style w:type="character" w:customStyle="1" w:styleId="103">
    <w:name w:val="批注框文本 字符"/>
    <w:autoRedefine/>
    <w:qFormat/>
    <w:uiPriority w:val="0"/>
    <w:rPr>
      <w:rFonts w:cs="Times New Roman"/>
      <w:kern w:val="2"/>
      <w:sz w:val="18"/>
      <w:szCs w:val="18"/>
    </w:rPr>
  </w:style>
  <w:style w:type="character" w:customStyle="1" w:styleId="104">
    <w:name w:val="批注文字 字符"/>
    <w:autoRedefine/>
    <w:qFormat/>
    <w:uiPriority w:val="0"/>
    <w:rPr>
      <w:rFonts w:cs="Times New Roman"/>
      <w:kern w:val="2"/>
      <w:sz w:val="24"/>
      <w:szCs w:val="24"/>
    </w:rPr>
  </w:style>
  <w:style w:type="character" w:customStyle="1" w:styleId="105">
    <w:name w:val="正文缩进 字符"/>
    <w:link w:val="16"/>
    <w:autoRedefine/>
    <w:qFormat/>
    <w:locked/>
    <w:uiPriority w:val="0"/>
    <w:rPr>
      <w:kern w:val="2"/>
      <w:sz w:val="21"/>
    </w:rPr>
  </w:style>
  <w:style w:type="character" w:customStyle="1" w:styleId="106">
    <w:name w:val="纯文本 字符1"/>
    <w:autoRedefine/>
    <w:semiHidden/>
    <w:qFormat/>
    <w:locked/>
    <w:uiPriority w:val="0"/>
    <w:rPr>
      <w:rFonts w:ascii="宋体" w:hAnsi="Courier New"/>
      <w:kern w:val="2"/>
      <w:sz w:val="21"/>
      <w:szCs w:val="24"/>
      <w:lang w:val="zh-CN" w:eastAsia="zh-CN"/>
    </w:rPr>
  </w:style>
  <w:style w:type="paragraph" w:customStyle="1" w:styleId="107">
    <w:name w:val="_Style 941"/>
    <w:next w:val="1"/>
    <w:autoRedefine/>
    <w:qFormat/>
    <w:uiPriority w:val="0"/>
    <w:pPr>
      <w:ind w:left="420" w:leftChars="200"/>
    </w:pPr>
    <w:rPr>
      <w:rFonts w:ascii="Times New Roman" w:hAnsi="Times New Roman" w:eastAsia="宋体" w:cs="Times New Roman"/>
      <w:sz w:val="24"/>
      <w:lang w:val="en-US" w:eastAsia="zh-CN" w:bidi="ar-SA"/>
    </w:rPr>
  </w:style>
  <w:style w:type="paragraph" w:customStyle="1" w:styleId="108">
    <w:name w:val="正文空格"/>
    <w:basedOn w:val="1"/>
    <w:next w:val="1"/>
    <w:autoRedefine/>
    <w:qFormat/>
    <w:uiPriority w:val="0"/>
    <w:pPr>
      <w:spacing w:line="400" w:lineRule="exact"/>
      <w:ind w:firstLine="200" w:firstLineChars="200"/>
    </w:pPr>
    <w:rPr>
      <w:rFonts w:asciiTheme="minorHAnsi" w:hAnsiTheme="minorHAnsi" w:eastAsiaTheme="minorEastAsia" w:cstheme="minorBidi"/>
      <w:szCs w:val="22"/>
    </w:rPr>
  </w:style>
  <w:style w:type="paragraph" w:customStyle="1" w:styleId="109">
    <w:name w:val="纯文本11"/>
    <w:basedOn w:val="1"/>
    <w:autoRedefine/>
    <w:qFormat/>
    <w:uiPriority w:val="0"/>
    <w:rPr>
      <w:rFonts w:ascii="宋体" w:hAnsi="Courier New"/>
    </w:rPr>
  </w:style>
  <w:style w:type="paragraph" w:customStyle="1" w:styleId="11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1">
    <w:name w:val="首行缩进"/>
    <w:basedOn w:val="1"/>
    <w:autoRedefine/>
    <w:qFormat/>
    <w:uiPriority w:val="0"/>
    <w:pPr>
      <w:spacing w:line="360" w:lineRule="auto"/>
      <w:ind w:firstLine="480" w:firstLineChars="200"/>
    </w:pPr>
    <w:rPr>
      <w:rFonts w:ascii="宋体" w:hAnsi="宋体" w:cs="宋体"/>
      <w:kern w:val="0"/>
      <w:sz w:val="24"/>
    </w:rPr>
  </w:style>
  <w:style w:type="paragraph" w:customStyle="1" w:styleId="112">
    <w:name w:val="纯文本1"/>
    <w:basedOn w:val="79"/>
    <w:autoRedefine/>
    <w:qFormat/>
    <w:uiPriority w:val="0"/>
    <w:pPr>
      <w:widowControl/>
      <w:jc w:val="left"/>
    </w:pPr>
    <w:rPr>
      <w:rFonts w:hAnsi="Courier New"/>
    </w:rPr>
  </w:style>
  <w:style w:type="paragraph" w:customStyle="1" w:styleId="113">
    <w:name w:val="正文首行缩进二字符"/>
    <w:basedOn w:val="1"/>
    <w:autoRedefine/>
    <w:qFormat/>
    <w:uiPriority w:val="0"/>
    <w:pPr>
      <w:autoSpaceDE w:val="0"/>
      <w:autoSpaceDN w:val="0"/>
      <w:adjustRightInd w:val="0"/>
      <w:spacing w:line="360" w:lineRule="auto"/>
      <w:ind w:firstLine="200" w:firstLineChars="200"/>
    </w:pPr>
    <w:rPr>
      <w:sz w:val="24"/>
    </w:rPr>
  </w:style>
  <w:style w:type="paragraph" w:customStyle="1" w:styleId="114">
    <w:name w:val="p0"/>
    <w:basedOn w:val="1"/>
    <w:autoRedefine/>
    <w:qFormat/>
    <w:uiPriority w:val="0"/>
    <w:pPr>
      <w:widowControl/>
    </w:pPr>
    <w:rPr>
      <w:rFonts w:ascii="宋体" w:hAnsi="宋体" w:cs="宋体"/>
      <w:kern w:val="0"/>
      <w:szCs w:val="21"/>
    </w:rPr>
  </w:style>
  <w:style w:type="character" w:customStyle="1" w:styleId="115">
    <w:name w:val="font11"/>
    <w:basedOn w:val="37"/>
    <w:autoRedefine/>
    <w:qFormat/>
    <w:uiPriority w:val="0"/>
    <w:rPr>
      <w:rFonts w:hint="eastAsia" w:ascii="宋体" w:hAnsi="宋体" w:eastAsia="宋体" w:cs="宋体"/>
      <w:b/>
      <w:bCs/>
      <w:color w:val="000000"/>
      <w:sz w:val="18"/>
      <w:szCs w:val="18"/>
      <w:u w:val="none"/>
    </w:rPr>
  </w:style>
  <w:style w:type="character" w:customStyle="1" w:styleId="116">
    <w:name w:val="font21"/>
    <w:basedOn w:val="37"/>
    <w:autoRedefine/>
    <w:qFormat/>
    <w:uiPriority w:val="0"/>
    <w:rPr>
      <w:rFonts w:hint="eastAsia" w:ascii="宋体" w:hAnsi="宋体" w:eastAsia="宋体" w:cs="宋体"/>
      <w:color w:val="000000"/>
      <w:sz w:val="18"/>
      <w:szCs w:val="18"/>
      <w:u w:val="none"/>
    </w:rPr>
  </w:style>
  <w:style w:type="character" w:customStyle="1" w:styleId="117">
    <w:name w:val="font31"/>
    <w:basedOn w:val="37"/>
    <w:autoRedefine/>
    <w:qFormat/>
    <w:uiPriority w:val="0"/>
    <w:rPr>
      <w:rFonts w:hint="eastAsia" w:ascii="宋体" w:hAnsi="宋体" w:eastAsia="宋体" w:cs="宋体"/>
      <w:b/>
      <w:bCs/>
      <w:color w:val="FF0000"/>
      <w:sz w:val="18"/>
      <w:szCs w:val="18"/>
      <w:u w:val="none"/>
    </w:rPr>
  </w:style>
  <w:style w:type="character" w:customStyle="1" w:styleId="118">
    <w:name w:val="font161"/>
    <w:autoRedefine/>
    <w:qFormat/>
    <w:uiPriority w:val="0"/>
    <w:rPr>
      <w:rFonts w:hint="eastAsia" w:ascii="宋体" w:hAnsi="宋体" w:eastAsia="宋体" w:cs="宋体"/>
      <w:color w:val="000000"/>
      <w:sz w:val="18"/>
      <w:szCs w:val="18"/>
      <w:u w:val="none"/>
    </w:rPr>
  </w:style>
  <w:style w:type="character" w:customStyle="1" w:styleId="119">
    <w:name w:val="font81"/>
    <w:qFormat/>
    <w:uiPriority w:val="0"/>
    <w:rPr>
      <w:rFonts w:ascii="ˎ̥" w:hAnsi="ˎ̥" w:eastAsia="ˎ̥" w:cs="ˎ̥"/>
      <w:color w:val="000000"/>
      <w:sz w:val="20"/>
      <w:szCs w:val="20"/>
      <w:u w:val="none"/>
    </w:rPr>
  </w:style>
  <w:style w:type="paragraph" w:customStyle="1" w:styleId="120">
    <w:name w:val="￥正文"/>
    <w:basedOn w:val="1"/>
    <w:autoRedefine/>
    <w:qFormat/>
    <w:uiPriority w:val="0"/>
    <w:pPr>
      <w:spacing w:line="360" w:lineRule="auto"/>
      <w:ind w:firstLine="200" w:firstLineChars="200"/>
    </w:pPr>
    <w:rPr>
      <w:rFonts w:ascii="Calibri" w:hAnsi="Calibri"/>
    </w:rPr>
  </w:style>
  <w:style w:type="paragraph" w:customStyle="1" w:styleId="121">
    <w:name w:val="表格专用wjk"/>
    <w:basedOn w:val="1"/>
    <w:qFormat/>
    <w:uiPriority w:val="0"/>
    <w:pPr>
      <w:jc w:val="center"/>
    </w:pPr>
    <w:rPr>
      <w:rFonts w:hint="eastAsia" w:ascii="宋体" w:hAnsi="宋体" w:cs="宋体"/>
    </w:rPr>
  </w:style>
  <w:style w:type="character" w:customStyle="1" w:styleId="122">
    <w:name w:val="font51"/>
    <w:basedOn w:val="37"/>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599DC1-5088-4EAB-880F-F02336F081B5}">
  <ds:schemaRefs/>
</ds:datastoreItem>
</file>

<file path=docProps/app.xml><?xml version="1.0" encoding="utf-8"?>
<Properties xmlns="http://schemas.openxmlformats.org/officeDocument/2006/extended-properties" xmlns:vt="http://schemas.openxmlformats.org/officeDocument/2006/docPropsVTypes">
  <Pages>62</Pages>
  <Words>8462</Words>
  <Characters>9339</Characters>
  <Lines>533</Lines>
  <Paragraphs>150</Paragraphs>
  <TotalTime>14</TotalTime>
  <ScaleCrop>false</ScaleCrop>
  <LinksUpToDate>false</LinksUpToDate>
  <CharactersWithSpaces>9560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2023-10-25T14:57:00Z</dcterms:created>
  <dc:creator>Administrator</dc:creator>
  <cp:lastModifiedBy>Miss sherlock</cp:lastModifiedBy>
  <cp:lastPrinted>2023-10-31T16:16:00Z</cp:lastPrinted>
  <dcterms:modified xsi:type="dcterms:W3CDTF">2025-07-09T12:43:42Z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12890DF5BB6A5E3FDE4E5B68C78937B2_43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1698214736</vt:lpwstr>
  </property>
  <property fmtid="{D5CDD505-2E9C-101B-9397-08002B2CF9AE}" pid="8" name="KSOTemplateDocerSaveRecord">
    <vt:lpwstr>eyJoZGlkIjoiMzEwNTM5NzYwMDRjMzkwZTVkZjY2ODkwMGIxNGU0OTUiLCJ1c2VySWQiOiI5MzA1OTQwNzgifQ==</vt:lpwstr>
  </property>
</Properties>
</file>