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3"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w:t>
      </w:r>
      <w:r>
        <w:rPr>
          <w:rFonts w:hint="eastAsia" w:ascii="宋体"/>
          <w:b/>
          <w:kern w:val="0"/>
          <w:sz w:val="32"/>
          <w:lang w:val="en-US" w:eastAsia="zh-CN"/>
        </w:rPr>
        <w:t>-2024-GK005</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eastAsia" w:ascii="宋体"/>
          <w:kern w:val="0"/>
          <w:sz w:val="28"/>
        </w:rPr>
      </w:pPr>
      <w:r>
        <w:rPr>
          <w:rFonts w:hint="eastAsia" w:ascii="宋体"/>
          <w:kern w:val="0"/>
          <w:sz w:val="28"/>
        </w:rPr>
        <w:t>采购项目：台州市博物馆改造提升（台州浙东唐诗之路文化体验馆）</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lang w:val="en-US" w:eastAsia="zh-CN"/>
        </w:rPr>
        <w:t>LED显示及相关设备</w:t>
      </w:r>
      <w:r>
        <w:rPr>
          <w:rFonts w:hint="eastAsia" w:ascii="宋体"/>
          <w:kern w:val="0"/>
          <w:sz w:val="28"/>
        </w:rPr>
        <w:t>采购项目</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人：台州市博物馆</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color w:val="auto"/>
          <w:kern w:val="0"/>
          <w:sz w:val="28"/>
          <w:szCs w:val="28"/>
        </w:rPr>
        <w:t xml:space="preserve">年 </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 xml:space="preserve"> 月 </w:t>
      </w:r>
      <w:r>
        <w:rPr>
          <w:rFonts w:hint="eastAsia" w:ascii="宋体" w:hAnsi="宋体" w:cs="宋体"/>
          <w:color w:val="auto"/>
          <w:kern w:val="0"/>
          <w:sz w:val="28"/>
          <w:szCs w:val="28"/>
          <w:lang w:val="en-US" w:eastAsia="zh-CN"/>
        </w:rPr>
        <w:t>12</w:t>
      </w:r>
      <w:r>
        <w:rPr>
          <w:rFonts w:hint="eastAsia" w:ascii="宋体" w:hAnsi="宋体" w:cs="宋体"/>
          <w:color w:val="auto"/>
          <w:kern w:val="0"/>
          <w:sz w:val="28"/>
          <w:szCs w:val="28"/>
        </w:rPr>
        <w:t xml:space="preserve"> 日</w:t>
      </w:r>
    </w:p>
    <w:p>
      <w:pPr>
        <w:spacing w:line="360" w:lineRule="auto"/>
      </w:pPr>
    </w:p>
    <w:p>
      <w:pPr>
        <w:pStyle w:val="20"/>
      </w:pPr>
    </w:p>
    <w:p>
      <w:pPr>
        <w:pStyle w:val="20"/>
      </w:pPr>
    </w:p>
    <w:p>
      <w:pPr>
        <w:pStyle w:val="20"/>
      </w:pPr>
    </w:p>
    <w:p>
      <w:pPr>
        <w:pStyle w:val="20"/>
      </w:pPr>
    </w:p>
    <w:p>
      <w:pPr>
        <w:pStyle w:val="20"/>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20"/>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lang w:val="en-US" w:eastAsia="zh-CN"/>
            </w:rPr>
            <w:t>4</w:t>
          </w:r>
          <w:r>
            <w:rPr>
              <w:rFonts w:hint="eastAsia" w:eastAsiaTheme="minorEastAsia" w:cstheme="minorBidi"/>
              <w:sz w:val="28"/>
              <w:szCs w:val="28"/>
            </w:rPr>
            <w:t>2</w:t>
          </w:r>
          <w:bookmarkEnd w:id="2"/>
          <w:r>
            <w:rPr>
              <w:rFonts w:hint="eastAsia" w:eastAsiaTheme="minorEastAsia" w:cstheme="minorBidi"/>
              <w:sz w:val="28"/>
              <w:szCs w:val="28"/>
            </w:rPr>
            <w:fldChar w:fldCharType="end"/>
          </w:r>
        </w:p>
        <w:p>
          <w:pPr>
            <w:pStyle w:val="18"/>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lang w:val="en-US" w:eastAsia="zh-CN"/>
            </w:rPr>
            <w:t>5</w:t>
          </w:r>
          <w:r>
            <w:rPr>
              <w:rFonts w:hint="eastAsia" w:eastAsiaTheme="minorEastAsia" w:cstheme="minorBidi"/>
              <w:sz w:val="28"/>
              <w:szCs w:val="28"/>
            </w:rPr>
            <w:fldChar w:fldCharType="end"/>
          </w:r>
          <w:r>
            <w:rPr>
              <w:rFonts w:hint="eastAsia" w:eastAsiaTheme="minorEastAsia" w:cstheme="minorBidi"/>
              <w:sz w:val="28"/>
              <w:szCs w:val="28"/>
              <w:lang w:val="en-US" w:eastAsia="zh-CN"/>
            </w:rPr>
            <w:t>0</w:t>
          </w:r>
        </w:p>
        <w:p>
          <w:pPr>
            <w:pStyle w:val="18"/>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r>
            <w:rPr>
              <w:rFonts w:hint="eastAsia" w:eastAsiaTheme="minorEastAsia" w:cstheme="minorBidi"/>
              <w:sz w:val="28"/>
              <w:szCs w:val="28"/>
              <w:lang w:val="en-US" w:eastAsia="zh-CN"/>
            </w:rPr>
            <w:t>5</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hint="eastAsia" w:ascii="宋体" w:hAnsi="宋体" w:cs="宋体"/>
          <w:b/>
          <w:kern w:val="0"/>
          <w:sz w:val="36"/>
          <w:szCs w:val="36"/>
        </w:rPr>
        <w:t>投标邀请</w:t>
      </w:r>
      <w:bookmarkEnd w:id="3"/>
    </w:p>
    <w:p>
      <w:pPr>
        <w:pStyle w:val="6"/>
        <w:ind w:firstLine="480" w:firstLineChars="200"/>
        <w:rPr>
          <w:rFonts w:cs="宋体"/>
          <w:b w:val="0"/>
          <w:sz w:val="24"/>
          <w:szCs w:val="24"/>
        </w:rPr>
      </w:pPr>
      <w:bookmarkStart w:id="4" w:name="_Toc35393621"/>
      <w:bookmarkStart w:id="5" w:name="_Toc28359079"/>
      <w:bookmarkStart w:id="6" w:name="_Toc35393790"/>
      <w:bookmarkStart w:id="7" w:name="_Toc28359002"/>
      <w:bookmarkStart w:id="8"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rPr>
        <w:t>受台州市博物馆委托，就台州市博物馆改造提升（台州浙东唐诗之路文化体验馆）LED显示及相关设备采购项目进行公开招标，欢迎符合资格条件的国内投标人参加投标。</w:t>
      </w:r>
    </w:p>
    <w:p>
      <w:pPr>
        <w:pStyle w:val="6"/>
        <w:ind w:firstLine="482" w:firstLineChars="200"/>
        <w:rPr>
          <w:rFonts w:cs="宋体"/>
          <w:bCs/>
          <w:sz w:val="24"/>
          <w:szCs w:val="24"/>
        </w:rPr>
      </w:pPr>
      <w:r>
        <w:rPr>
          <w:rFonts w:hint="eastAsia" w:cs="宋体"/>
          <w:bCs/>
          <w:sz w:val="24"/>
          <w:szCs w:val="24"/>
        </w:rPr>
        <w:t>一、项目基本情况</w:t>
      </w:r>
      <w:bookmarkEnd w:id="4"/>
      <w:bookmarkEnd w:id="5"/>
      <w:bookmarkEnd w:id="6"/>
      <w:bookmarkEnd w:id="7"/>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K005</w:t>
      </w:r>
      <w:r>
        <w:rPr>
          <w:rFonts w:hint="eastAsia" w:asciiTheme="minorEastAsia" w:hAnsiTheme="minorEastAsia" w:eastAsiaTheme="minorEastAsia" w:cstheme="minorEastAsia"/>
          <w:sz w:val="24"/>
        </w:rPr>
        <w:t>号</w:t>
      </w:r>
      <w:bookmarkStart w:id="121" w:name="_GoBack"/>
      <w:bookmarkEnd w:id="121"/>
    </w:p>
    <w:bookmarkEnd w:id="8"/>
    <w:p>
      <w:pPr>
        <w:spacing w:line="360" w:lineRule="auto"/>
        <w:ind w:firstLine="480" w:firstLineChars="200"/>
        <w:rPr>
          <w:rFonts w:hint="eastAsia" w:ascii="宋体" w:hAnsi="宋体" w:cs="宋体"/>
          <w:color w:val="FF0000"/>
          <w:kern w:val="0"/>
          <w:sz w:val="24"/>
        </w:rPr>
      </w:pPr>
      <w:r>
        <w:rPr>
          <w:rFonts w:hint="eastAsia" w:ascii="宋体" w:hAnsi="宋体" w:cs="宋体"/>
          <w:sz w:val="24"/>
        </w:rPr>
        <w:t>项目名称：台州市博物馆改造提升（台州浙东唐诗之路文化体验馆）LED显示及相关设备采购项目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cs="宋体"/>
                <w:b w:val="0"/>
                <w:bCs/>
                <w:sz w:val="21"/>
                <w:szCs w:val="21"/>
              </w:rPr>
              <w:t>LED显示</w:t>
            </w:r>
            <w:r>
              <w:rPr>
                <w:rFonts w:hint="eastAsia" w:ascii="宋体" w:hAnsi="宋体" w:cs="宋体"/>
                <w:b w:val="0"/>
                <w:bCs/>
                <w:sz w:val="21"/>
                <w:szCs w:val="21"/>
                <w:lang w:val="en-US" w:eastAsia="zh-CN"/>
              </w:rPr>
              <w:t>及相关</w:t>
            </w:r>
            <w:r>
              <w:rPr>
                <w:rFonts w:hint="eastAsia" w:ascii="宋体" w:hAnsi="宋体" w:cs="宋体"/>
                <w:b w:val="0"/>
                <w:bCs/>
                <w:sz w:val="21"/>
                <w:szCs w:val="21"/>
              </w:rPr>
              <w:t>设备</w:t>
            </w:r>
          </w:p>
        </w:tc>
        <w:tc>
          <w:tcPr>
            <w:tcW w:w="99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批</w:t>
            </w:r>
          </w:p>
        </w:tc>
        <w:tc>
          <w:tcPr>
            <w:tcW w:w="1303"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280</w:t>
            </w:r>
          </w:p>
        </w:tc>
        <w:tc>
          <w:tcPr>
            <w:tcW w:w="1585"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280</w:t>
            </w:r>
          </w:p>
        </w:tc>
      </w:tr>
    </w:tbl>
    <w:p>
      <w:pPr>
        <w:pStyle w:val="6"/>
        <w:ind w:right="0" w:firstLine="482" w:firstLineChars="200"/>
        <w:rPr>
          <w:rFonts w:cs="宋体"/>
          <w:bCs/>
          <w:sz w:val="24"/>
          <w:szCs w:val="24"/>
        </w:rPr>
      </w:pPr>
      <w:bookmarkStart w:id="9" w:name="_Toc28359003"/>
      <w:bookmarkStart w:id="10" w:name="_Toc28359080"/>
      <w:bookmarkStart w:id="11" w:name="_Toc35393622"/>
      <w:bookmarkStart w:id="12" w:name="_Toc35393791"/>
      <w:r>
        <w:rPr>
          <w:rFonts w:hint="eastAsia" w:cs="宋体"/>
          <w:bCs/>
          <w:sz w:val="24"/>
          <w:szCs w:val="24"/>
        </w:rPr>
        <w:t>二、投标人的资格要求</w:t>
      </w:r>
      <w:bookmarkEnd w:id="9"/>
      <w:bookmarkEnd w:id="10"/>
      <w:bookmarkEnd w:id="11"/>
      <w:bookmarkEnd w:id="12"/>
    </w:p>
    <w:p>
      <w:pPr>
        <w:spacing w:line="360" w:lineRule="auto"/>
        <w:ind w:firstLine="480" w:firstLineChars="200"/>
        <w:rPr>
          <w:rFonts w:ascii="宋体" w:hAnsi="宋体" w:cs="宋体"/>
          <w:color w:val="auto"/>
          <w:sz w:val="24"/>
        </w:rPr>
      </w:pPr>
      <w:r>
        <w:rPr>
          <w:rFonts w:hint="eastAsia" w:ascii="宋体" w:hAnsi="宋体" w:cs="宋体"/>
          <w:color w:val="auto"/>
          <w:sz w:val="24"/>
        </w:rPr>
        <w:t>（一）满足《中华人民共和国政府采购法》第二十二条规定</w:t>
      </w:r>
      <w:bookmarkStart w:id="13" w:name="_Toc35393792"/>
      <w:bookmarkStart w:id="14" w:name="_Toc28359081"/>
      <w:bookmarkStart w:id="15" w:name="_Toc28359004"/>
      <w:bookmarkStart w:id="16" w:name="_Toc35393623"/>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（二）本项目的特定资格要求：</w:t>
      </w:r>
      <w:r>
        <w:rPr>
          <w:rFonts w:hint="eastAsia" w:ascii="宋体" w:hAnsi="宋体" w:cs="宋体"/>
          <w:color w:val="auto"/>
          <w:sz w:val="24"/>
          <w:lang w:val="en-US" w:eastAsia="zh-CN"/>
        </w:rPr>
        <w:t>无</w:t>
      </w:r>
      <w:r>
        <w:rPr>
          <w:rFonts w:hint="eastAsia" w:ascii="宋体"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color w:val="auto"/>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w:t>
      </w:r>
      <w:r>
        <w:rPr>
          <w:rFonts w:hint="eastAsia" w:ascii="宋体" w:hAnsi="宋体" w:cs="宋体"/>
          <w:color w:val="auto"/>
          <w:sz w:val="24"/>
        </w:rPr>
        <w:t>足该条款）。</w:t>
      </w:r>
    </w:p>
    <w:p>
      <w:pPr>
        <w:pStyle w:val="6"/>
        <w:ind w:right="0" w:firstLine="482" w:firstLineChars="200"/>
        <w:rPr>
          <w:rFonts w:cs="宋体"/>
          <w:bCs/>
          <w:color w:val="auto"/>
          <w:sz w:val="24"/>
          <w:szCs w:val="24"/>
        </w:rPr>
      </w:pPr>
      <w:r>
        <w:rPr>
          <w:rFonts w:hint="eastAsia" w:cs="宋体"/>
          <w:bCs/>
          <w:color w:val="auto"/>
          <w:sz w:val="24"/>
          <w:szCs w:val="24"/>
        </w:rPr>
        <w:t>三、获取招标文件</w:t>
      </w:r>
      <w:bookmarkEnd w:id="13"/>
      <w:bookmarkEnd w:id="14"/>
      <w:bookmarkEnd w:id="15"/>
      <w:bookmarkEnd w:id="16"/>
    </w:p>
    <w:p>
      <w:pPr>
        <w:spacing w:line="360" w:lineRule="auto"/>
        <w:ind w:firstLine="480" w:firstLineChars="200"/>
        <w:rPr>
          <w:rFonts w:ascii="宋体" w:hAnsi="宋体" w:cs="宋体"/>
          <w:color w:val="auto"/>
          <w:sz w:val="24"/>
        </w:rPr>
      </w:pPr>
      <w:r>
        <w:rPr>
          <w:rFonts w:hint="eastAsia" w:ascii="宋体" w:hAnsi="宋体" w:cs="宋体"/>
          <w:color w:val="auto"/>
          <w:sz w:val="24"/>
        </w:rPr>
        <w:t>（一）时间：</w:t>
      </w:r>
      <w:r>
        <w:rPr>
          <w:rFonts w:hint="eastAsia" w:ascii="宋体" w:hAnsi="宋体" w:cs="宋体"/>
          <w:color w:val="auto"/>
          <w:sz w:val="24"/>
          <w:u w:val="single"/>
          <w:lang w:val="en-US"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lang w:val="en-US"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19</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6"/>
        <w:ind w:right="0" w:firstLine="482" w:firstLineChars="200"/>
        <w:rPr>
          <w:rFonts w:cs="宋体"/>
          <w:bCs/>
          <w:color w:val="auto"/>
          <w:sz w:val="24"/>
          <w:szCs w:val="24"/>
        </w:rPr>
      </w:pPr>
      <w:bookmarkStart w:id="17" w:name="_Toc35393793"/>
      <w:bookmarkStart w:id="18" w:name="_Toc28359005"/>
      <w:bookmarkStart w:id="19" w:name="_Toc28359082"/>
      <w:bookmarkStart w:id="20" w:name="_Toc35393624"/>
      <w:r>
        <w:rPr>
          <w:rFonts w:hint="eastAsia" w:cs="宋体"/>
          <w:bCs/>
          <w:color w:val="auto"/>
          <w:sz w:val="24"/>
          <w:szCs w:val="24"/>
        </w:rPr>
        <w:t>四、提交投标文件</w:t>
      </w:r>
      <w:bookmarkEnd w:id="17"/>
      <w:bookmarkEnd w:id="18"/>
      <w:bookmarkEnd w:id="19"/>
      <w:bookmarkEnd w:id="20"/>
    </w:p>
    <w:p>
      <w:pPr>
        <w:spacing w:line="360" w:lineRule="auto"/>
        <w:ind w:firstLine="480" w:firstLineChars="200"/>
        <w:rPr>
          <w:rFonts w:ascii="宋体" w:hAnsi="宋体" w:cs="宋体"/>
          <w:iCs/>
          <w:sz w:val="24"/>
          <w:u w:val="single"/>
        </w:rPr>
      </w:pPr>
      <w:bookmarkStart w:id="21" w:name="_Toc35393794"/>
      <w:bookmarkStart w:id="22" w:name="_Toc35393625"/>
      <w:bookmarkStart w:id="23" w:name="_Toc28359007"/>
      <w:bookmarkStart w:id="24" w:name="_Toc28359084"/>
      <w:r>
        <w:rPr>
          <w:rFonts w:hint="eastAsia" w:ascii="宋体" w:hAnsi="宋体" w:cs="宋体"/>
          <w:color w:val="auto"/>
          <w:sz w:val="24"/>
        </w:rPr>
        <w:t>（一）截止时间（开标时间）：</w:t>
      </w:r>
      <w:r>
        <w:rPr>
          <w:rFonts w:hint="eastAsia" w:ascii="宋体" w:hAnsi="宋体" w:cs="宋体"/>
          <w:bCs/>
          <w:color w:val="auto"/>
          <w:sz w:val="24"/>
          <w:u w:val="single"/>
          <w:lang w:val="en-US" w:eastAsia="zh-CN"/>
        </w:rPr>
        <w:t>2024</w:t>
      </w:r>
      <w:r>
        <w:rPr>
          <w:rFonts w:hint="eastAsia" w:ascii="宋体" w:hAnsi="宋体" w:cs="宋体"/>
          <w:bCs/>
          <w:color w:val="auto"/>
          <w:sz w:val="24"/>
          <w:u w:val="single"/>
        </w:rPr>
        <w:t>年</w:t>
      </w:r>
      <w:r>
        <w:rPr>
          <w:rFonts w:hint="eastAsia" w:ascii="宋体" w:hAnsi="宋体" w:cs="宋体"/>
          <w:bCs/>
          <w:color w:val="auto"/>
          <w:sz w:val="24"/>
          <w:u w:val="single"/>
          <w:lang w:val="en-US" w:eastAsia="zh-CN"/>
        </w:rPr>
        <w:t>4</w:t>
      </w:r>
      <w:r>
        <w:rPr>
          <w:rFonts w:hint="eastAsia" w:ascii="宋体" w:hAnsi="宋体" w:cs="宋体"/>
          <w:bCs/>
          <w:color w:val="auto"/>
          <w:sz w:val="24"/>
          <w:u w:val="single"/>
        </w:rPr>
        <w:t>月</w:t>
      </w:r>
      <w:r>
        <w:rPr>
          <w:rFonts w:hint="eastAsia" w:ascii="宋体" w:hAnsi="宋体" w:cs="宋体"/>
          <w:color w:val="auto"/>
          <w:sz w:val="24"/>
          <w:u w:val="single"/>
          <w:lang w:val="en-US" w:eastAsia="zh-CN"/>
        </w:rPr>
        <w:t>8</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 xml:space="preserve"> 9</w:t>
      </w:r>
      <w:r>
        <w:rPr>
          <w:rFonts w:hint="eastAsia" w:ascii="宋体" w:hAnsi="宋体" w:cs="宋体"/>
          <w:bCs/>
          <w:color w:val="auto"/>
          <w:sz w:val="24"/>
          <w:u w:val="single"/>
        </w:rPr>
        <w:t>点整</w:t>
      </w:r>
      <w:r>
        <w:rPr>
          <w:rFonts w:hint="eastAsia" w:ascii="宋体" w:hAnsi="宋体" w:cs="宋体"/>
          <w:bCs/>
          <w:color w:val="auto"/>
          <w:sz w:val="24"/>
        </w:rPr>
        <w:t>（北京时</w:t>
      </w:r>
      <w:r>
        <w:rPr>
          <w:rFonts w:hint="eastAsia" w:ascii="宋体" w:hAnsi="宋体" w:cs="宋体"/>
          <w:bCs/>
          <w:sz w:val="24"/>
        </w:rPr>
        <w:t>间）</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1"/>
    <w:bookmarkEnd w:id="22"/>
    <w:bookmarkEnd w:id="23"/>
    <w:bookmarkEnd w:id="24"/>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5" w:name="_Toc35393795"/>
      <w:bookmarkStart w:id="26" w:name="_Toc35393626"/>
      <w:r>
        <w:rPr>
          <w:rFonts w:hint="eastAsia" w:cs="宋体"/>
          <w:bCs/>
          <w:sz w:val="24"/>
          <w:szCs w:val="24"/>
        </w:rPr>
        <w:t>六、</w:t>
      </w:r>
      <w:bookmarkEnd w:id="25"/>
      <w:bookmarkEnd w:id="26"/>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投标人需登录浙江省政府采购网（https://zfcg.czt.zj.gov.cn/）进行注册报名。</w:t>
      </w:r>
    </w:p>
    <w:p>
      <w:pPr>
        <w:pStyle w:val="6"/>
        <w:ind w:right="0" w:firstLine="482" w:firstLineChars="200"/>
        <w:rPr>
          <w:rFonts w:cs="宋体"/>
          <w:bCs/>
          <w:sz w:val="24"/>
          <w:szCs w:val="24"/>
        </w:rPr>
      </w:pPr>
      <w:bookmarkStart w:id="27" w:name="_Toc35393796"/>
      <w:bookmarkStart w:id="28" w:name="_Toc28359008"/>
      <w:bookmarkStart w:id="29" w:name="_Toc28359085"/>
      <w:bookmarkStart w:id="30" w:name="_Toc35393627"/>
      <w:r>
        <w:rPr>
          <w:rFonts w:hint="eastAsia" w:cs="宋体"/>
          <w:bCs/>
          <w:sz w:val="24"/>
          <w:szCs w:val="24"/>
        </w:rPr>
        <w:t>七、联系</w:t>
      </w:r>
      <w:bookmarkEnd w:id="27"/>
      <w:bookmarkEnd w:id="28"/>
      <w:bookmarkEnd w:id="29"/>
      <w:bookmarkEnd w:id="30"/>
      <w:r>
        <w:rPr>
          <w:rFonts w:hint="eastAsia" w:cs="宋体"/>
          <w:bCs/>
          <w:sz w:val="24"/>
          <w:szCs w:val="24"/>
        </w:rPr>
        <w:t>方式</w:t>
      </w:r>
    </w:p>
    <w:p>
      <w:pPr>
        <w:snapToGrid w:val="0"/>
        <w:spacing w:line="360" w:lineRule="auto"/>
        <w:ind w:firstLine="482" w:firstLineChars="200"/>
        <w:rPr>
          <w:rFonts w:ascii="宋体" w:hAnsi="宋体" w:cs="宋体"/>
          <w:b/>
          <w:bCs/>
          <w:sz w:val="24"/>
        </w:rPr>
      </w:pPr>
      <w:bookmarkStart w:id="31" w:name="_Toc28359087"/>
      <w:bookmarkStart w:id="32" w:name="_Toc28359010"/>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cs="宋体"/>
          <w:b w:val="0"/>
          <w:sz w:val="24"/>
          <w:szCs w:val="24"/>
        </w:rPr>
        <w:t>台州市博物馆</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eastAsia="宋体" w:cs="宋体"/>
          <w:sz w:val="24"/>
          <w:szCs w:val="24"/>
          <w:lang w:val="en-US" w:eastAsia="zh-CN"/>
        </w:rPr>
        <w:t>台州市椒江区爱华路168号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lang w:val="en-US" w:eastAsia="zh-CN"/>
        </w:rPr>
        <w:t>杨</w:t>
      </w:r>
      <w:r>
        <w:rPr>
          <w:rFonts w:hint="eastAsia" w:ascii="宋体" w:hAnsi="宋体" w:cs="宋体"/>
          <w:sz w:val="24"/>
          <w:highlight w:val="none"/>
          <w:lang w:val="en-US" w:eastAsia="zh-CN"/>
        </w:rPr>
        <w:t>先生</w:t>
      </w:r>
      <w:bookmarkStart w:id="33" w:name="_Toc28359086"/>
      <w:bookmarkStart w:id="34" w:name="_Toc28359009"/>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eastAsia="宋体" w:cs="宋体"/>
          <w:sz w:val="24"/>
          <w:szCs w:val="24"/>
          <w:lang w:val="en-US" w:eastAsia="zh-CN"/>
        </w:rPr>
        <w:t>0576-88851175</w:t>
      </w:r>
    </w:p>
    <w:bookmarkEnd w:id="33"/>
    <w:bookmarkEnd w:id="34"/>
    <w:p>
      <w:pPr>
        <w:spacing w:line="360" w:lineRule="auto"/>
        <w:ind w:firstLine="482" w:firstLineChars="200"/>
        <w:jc w:val="left"/>
        <w:rPr>
          <w:rFonts w:ascii="宋体" w:hAnsi="宋体" w:cs="宋体"/>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技术人员：徐</w:t>
      </w:r>
      <w:r>
        <w:rPr>
          <w:rFonts w:hint="eastAsia" w:ascii="宋体" w:hAnsi="宋体" w:cs="宋体"/>
          <w:sz w:val="24"/>
          <w:lang w:val="en-US" w:eastAsia="zh-CN"/>
        </w:rPr>
        <w:t>女士</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名 称：台州市财政局政府采购监管处</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u w:val="none"/>
        </w:rPr>
      </w:pPr>
      <w:r>
        <w:rPr>
          <w:rFonts w:hint="eastAsia" w:ascii="宋体" w:hAnsi="宋体" w:cs="宋体"/>
          <w:b/>
          <w:sz w:val="24"/>
          <w:u w:val="none"/>
        </w:rPr>
        <w:t>（四）政采云平台</w:t>
      </w:r>
    </w:p>
    <w:p>
      <w:pPr>
        <w:spacing w:line="360" w:lineRule="auto"/>
        <w:ind w:firstLine="480" w:firstLineChars="200"/>
        <w:jc w:val="left"/>
        <w:rPr>
          <w:rFonts w:ascii="宋体" w:hAnsi="宋体" w:cs="宋体"/>
          <w:sz w:val="24"/>
        </w:rPr>
      </w:pPr>
      <w:r>
        <w:rPr>
          <w:rFonts w:hint="eastAsia" w:ascii="宋体" w:hAnsi="宋体" w:cs="宋体"/>
          <w:sz w:val="24"/>
          <w:u w:val="none"/>
        </w:rPr>
        <w:t>联系电话：</w:t>
      </w:r>
      <w:r>
        <w:rPr>
          <w:rFonts w:hint="eastAsia" w:ascii="宋体" w:hAnsi="宋体" w:cs="宋体"/>
          <w:sz w:val="24"/>
          <w:u w:val="none"/>
          <w:lang w:val="en-US" w:eastAsia="zh-CN"/>
        </w:rPr>
        <w:t>95763</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sz w:val="24"/>
          <w:shd w:val="clear" w:color="auto" w:fill="FFFFFF"/>
          <w:lang w:val="en-US" w:eastAsia="zh-CN"/>
        </w:rPr>
        <w:t>台州市</w:t>
      </w:r>
      <w:r>
        <w:rPr>
          <w:rFonts w:hint="eastAsia" w:ascii="宋体" w:hAnsi="宋体" w:cs="宋体"/>
          <w:color w:val="auto"/>
          <w:sz w:val="24"/>
          <w:shd w:val="clear" w:color="auto" w:fill="FFFFFF"/>
        </w:rPr>
        <w:t>政府采购中心</w:t>
      </w:r>
      <w:r>
        <w:rPr>
          <w:rFonts w:hint="eastAsia" w:ascii="宋体" w:hAnsi="宋体" w:cs="宋体"/>
          <w:color w:val="auto"/>
          <w:kern w:val="0"/>
          <w:sz w:val="24"/>
        </w:rPr>
        <w:t xml:space="preserve">  </w:t>
      </w:r>
    </w:p>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lang w:val="en-US" w:eastAsia="zh-CN"/>
        </w:rPr>
        <w:t>2024</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12</w:t>
      </w:r>
      <w:r>
        <w:rPr>
          <w:rFonts w:hint="eastAsia" w:asciiTheme="minorEastAsia" w:hAnsiTheme="minorEastAsia" w:eastAsiaTheme="minorEastAsia" w:cstheme="minorEastAsia"/>
          <w:color w:val="auto"/>
          <w:kern w:val="0"/>
          <w:sz w:val="24"/>
        </w:rPr>
        <w:t>日</w:t>
      </w:r>
    </w:p>
    <w:p>
      <w:pPr>
        <w:pStyle w:val="20"/>
      </w:pPr>
    </w:p>
    <w:bookmarkEnd w:id="31"/>
    <w:bookmarkEnd w:id="32"/>
    <w:p>
      <w:pPr>
        <w:numPr>
          <w:ilvl w:val="0"/>
          <w:numId w:val="4"/>
        </w:numPr>
        <w:spacing w:line="360" w:lineRule="auto"/>
        <w:jc w:val="center"/>
        <w:rPr>
          <w:rFonts w:asciiTheme="minorEastAsia" w:hAnsiTheme="minorEastAsia" w:eastAsiaTheme="minorEastAsia"/>
          <w:b/>
          <w:sz w:val="36"/>
          <w:szCs w:val="36"/>
        </w:rPr>
      </w:pPr>
      <w:bookmarkStart w:id="35" w:name="_Toc25017_WPSOffice_Level1"/>
      <w:r>
        <w:rPr>
          <w:rFonts w:hint="eastAsia" w:asciiTheme="minorEastAsia" w:hAnsiTheme="minorEastAsia" w:eastAsiaTheme="minorEastAsia"/>
          <w:b/>
          <w:sz w:val="36"/>
          <w:szCs w:val="36"/>
        </w:rPr>
        <w:t>投标人须知</w:t>
      </w:r>
      <w:bookmarkEnd w:id="35"/>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 /</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cs="宋体"/>
                <w:lang w:val="en-US" w:eastAsia="zh-CN"/>
              </w:rPr>
              <w:t>是否需要提供预付款保函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是（具体清单见招标需求）/</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cs="宋体"/>
                <w:sz w:val="21"/>
                <w:szCs w:val="21"/>
                <w:u w:val="none"/>
                <w:lang w:val="en-US" w:eastAsia="zh-CN"/>
              </w:rPr>
              <w:t>（</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9"/>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keepNext w:val="0"/>
              <w:keepLines w:val="0"/>
              <w:pageBreakBefore w:val="0"/>
              <w:kinsoku/>
              <w:wordWrap/>
              <w:overflowPunct/>
              <w:topLinePunct w:val="0"/>
              <w:bidi w:val="0"/>
              <w:adjustRightInd/>
              <w:snapToGrid/>
              <w:spacing w:line="300" w:lineRule="auto"/>
              <w:ind w:firstLine="420" w:firstLineChars="200"/>
              <w:jc w:val="both"/>
              <w:textAlignment w:val="auto"/>
              <w:rPr>
                <w:rFonts w:hint="eastAsia" w:ascii="宋体" w:hAnsi="宋体" w:eastAsia="宋体" w:cs="宋体"/>
                <w:color w:val="auto"/>
                <w:kern w:val="0"/>
                <w:sz w:val="21"/>
                <w:szCs w:val="21"/>
                <w:lang w:eastAsia="zh-CN"/>
              </w:rPr>
            </w:pPr>
            <w:r>
              <w:rPr>
                <w:rFonts w:hint="eastAsia" w:ascii="宋体" w:hAnsi="宋体" w:cs="宋体"/>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3"/>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根据《政府采购促进中小企业发展管理办法》</w:t>
            </w:r>
            <w:r>
              <w:rPr>
                <w:rFonts w:hint="eastAsia" w:ascii="宋体" w:hAnsi="宋体" w:cs="宋体"/>
                <w:szCs w:val="21"/>
                <w:lang w:eastAsia="zh-CN"/>
              </w:rPr>
              <w:t>（</w:t>
            </w:r>
            <w:r>
              <w:rPr>
                <w:rFonts w:hint="eastAsia" w:ascii="宋体" w:hAnsi="宋体" w:eastAsia="宋体" w:cs="宋体"/>
                <w:szCs w:val="21"/>
              </w:rPr>
              <w:t>财库〔2020〕46号</w:t>
            </w:r>
            <w:r>
              <w:rPr>
                <w:rFonts w:hint="eastAsia" w:ascii="宋体" w:hAnsi="宋体" w:cs="宋体"/>
                <w:szCs w:val="21"/>
                <w:lang w:eastAsia="zh-CN"/>
              </w:rPr>
              <w:t>）</w:t>
            </w:r>
            <w:r>
              <w:rPr>
                <w:rFonts w:hint="eastAsia" w:ascii="宋体" w:hAnsi="宋体" w:eastAsia="宋体" w:cs="宋体"/>
                <w:szCs w:val="21"/>
              </w:rPr>
              <w:t>文件的规定，本项目(□是 /</w:t>
            </w:r>
            <w:r>
              <w:rPr>
                <w:rFonts w:hint="eastAsia" w:ascii="宋体" w:hAnsi="宋体" w:cs="宋体"/>
                <w:szCs w:val="21"/>
                <w:lang w:eastAsia="zh-CN"/>
              </w:rPr>
              <w:t>☑</w:t>
            </w:r>
            <w:r>
              <w:rPr>
                <w:rFonts w:hint="eastAsia" w:ascii="宋体" w:hAnsi="宋体" w:eastAsia="宋体" w:cs="宋体"/>
                <w:szCs w:val="21"/>
              </w:rPr>
              <w:t xml:space="preserve"> 否</w:t>
            </w:r>
            <w:r>
              <w:rPr>
                <w:rFonts w:hint="eastAsia" w:ascii="宋体" w:hAnsi="宋体" w:eastAsia="宋体" w:cs="宋体"/>
                <w:szCs w:val="21"/>
                <w:shd w:val="clear" w:color="auto" w:fill="FFFFFF"/>
              </w:rPr>
              <w:t>)</w:t>
            </w:r>
            <w:r>
              <w:rPr>
                <w:rFonts w:hint="eastAsia" w:ascii="宋体" w:hAnsi="宋体" w:eastAsia="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eastAsia="宋体" w:cs="宋体"/>
                <w:szCs w:val="21"/>
                <w:u w:val="single"/>
              </w:rPr>
              <w:t>LED显示设备</w:t>
            </w:r>
            <w:r>
              <w:rPr>
                <w:rFonts w:hint="eastAsia" w:ascii="宋体" w:hAnsi="宋体" w:eastAsia="宋体" w:cs="宋体"/>
                <w:szCs w:val="21"/>
              </w:rPr>
              <w:t>，所属行业：</w:t>
            </w:r>
            <w:r>
              <w:rPr>
                <w:rFonts w:hint="eastAsia" w:ascii="宋体" w:hAnsi="宋体" w:cs="宋体"/>
                <w:szCs w:val="21"/>
                <w:u w:val="single"/>
                <w:lang w:val="en-US" w:eastAsia="zh-CN"/>
              </w:rPr>
              <w:t>制造业</w:t>
            </w:r>
            <w:r>
              <w:rPr>
                <w:rFonts w:hint="eastAsia" w:ascii="宋体" w:hAnsi="宋体" w:eastAsia="宋体" w:cs="宋体"/>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3"/>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20"/>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bCs w:val="0"/>
          <w:sz w:val="24"/>
          <w:szCs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3"/>
        <w:snapToGrid w:val="0"/>
        <w:spacing w:line="360" w:lineRule="auto"/>
        <w:ind w:firstLine="482" w:firstLineChars="200"/>
        <w:rPr>
          <w:rFonts w:hAnsi="宋体" w:cs="宋体"/>
          <w:b/>
          <w:sz w:val="24"/>
        </w:rPr>
      </w:pPr>
      <w:r>
        <w:rPr>
          <w:rFonts w:hint="eastAsia" w:hAnsi="宋体" w:cs="宋体"/>
          <w:b/>
          <w:sz w:val="24"/>
        </w:rPr>
        <w:t>（七）特别说明</w:t>
      </w:r>
    </w:p>
    <w:p>
      <w:pPr>
        <w:pStyle w:val="13"/>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highlight w:val="none"/>
        </w:rPr>
      </w:pPr>
      <w:r>
        <w:rPr>
          <w:rFonts w:hint="eastAsia" w:ascii="宋体" w:hAnsi="宋体" w:cs="宋体" w:eastAsiaTheme="minorEastAsia"/>
          <w:b/>
          <w:sz w:val="24"/>
          <w:lang w:val="en-US" w:eastAsia="zh-CN"/>
        </w:rPr>
        <w:t xml:space="preserve"> </w:t>
      </w:r>
      <w:r>
        <w:rPr>
          <w:rFonts w:hint="eastAsia" w:asciiTheme="minorEastAsia" w:hAnsiTheme="minorEastAsia" w:eastAsiaTheme="minorEastAsia"/>
          <w:b/>
          <w:sz w:val="24"/>
        </w:rPr>
        <w:t>1.资</w:t>
      </w:r>
      <w:r>
        <w:rPr>
          <w:rFonts w:hint="eastAsia" w:asciiTheme="minorEastAsia" w:hAnsiTheme="minorEastAsia" w:eastAsiaTheme="minorEastAsia"/>
          <w:b/>
          <w:sz w:val="24"/>
          <w:highlight w:val="none"/>
        </w:rPr>
        <w:t>格证明</w:t>
      </w:r>
      <w:r>
        <w:rPr>
          <w:rFonts w:asciiTheme="minorEastAsia" w:hAnsiTheme="minorEastAsia" w:eastAsiaTheme="minorEastAsia"/>
          <w:b/>
          <w:sz w:val="24"/>
          <w:highlight w:val="none"/>
        </w:rPr>
        <w:t>文件</w:t>
      </w:r>
      <w:r>
        <w:rPr>
          <w:rFonts w:hint="eastAsia" w:ascii="宋体" w:hAnsi="宋体"/>
          <w:b/>
          <w:sz w:val="24"/>
          <w:highlight w:val="none"/>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9"/>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w:t>
      </w:r>
      <w:r>
        <w:rPr>
          <w:rFonts w:hint="eastAsia" w:ascii="宋体" w:hAnsi="宋体" w:cs="宋体"/>
          <w:sz w:val="24"/>
          <w:szCs w:val="24"/>
          <w:highlight w:val="none"/>
        </w:rPr>
        <w:t>（包括</w:t>
      </w:r>
      <w:r>
        <w:rPr>
          <w:rFonts w:hint="eastAsia" w:ascii="宋体" w:hAnsi="宋体" w:cs="宋体"/>
          <w:sz w:val="24"/>
          <w:szCs w:val="24"/>
          <w:highlight w:val="none"/>
          <w:lang w:val="en-US" w:eastAsia="zh-CN"/>
        </w:rPr>
        <w:t>分包方案、</w:t>
      </w:r>
      <w:r>
        <w:rPr>
          <w:rFonts w:hint="eastAsia" w:ascii="宋体" w:hAnsi="宋体" w:cs="宋体"/>
          <w:sz w:val="24"/>
          <w:szCs w:val="24"/>
          <w:highlight w:val="none"/>
        </w:rPr>
        <w:t>项目工期、确保项目供货的措施或方案、项目实施进度安排、项目实施人员及项目负责人</w:t>
      </w:r>
      <w:r>
        <w:rPr>
          <w:rFonts w:hint="eastAsia" w:ascii="宋体" w:hAnsi="宋体" w:cs="宋体"/>
          <w:sz w:val="24"/>
          <w:szCs w:val="24"/>
        </w:rPr>
        <w:t>的资质、类似经验及社保证明等）；</w:t>
      </w:r>
    </w:p>
    <w:p>
      <w:pPr>
        <w:pStyle w:val="9"/>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9"/>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9"/>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9"/>
        <w:widowControl/>
        <w:adjustRightInd w:val="0"/>
        <w:snapToGrid w:val="0"/>
        <w:spacing w:line="360" w:lineRule="auto"/>
        <w:ind w:firstLine="480" w:firstLineChars="200"/>
        <w:rPr>
          <w:sz w:val="24"/>
        </w:rPr>
      </w:pPr>
      <w:r>
        <w:rPr>
          <w:rFonts w:hint="eastAsia"/>
          <w:sz w:val="24"/>
        </w:rPr>
        <w:t>②技术需求响应表；</w:t>
      </w:r>
    </w:p>
    <w:p>
      <w:pPr>
        <w:pStyle w:val="9"/>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9"/>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9"/>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w:t>
      </w:r>
      <w:r>
        <w:rPr>
          <w:rFonts w:hint="eastAsia" w:asciiTheme="minorEastAsia" w:hAnsiTheme="minorEastAsia" w:eastAsiaTheme="minorEastAsia"/>
          <w:kern w:val="0"/>
          <w:sz w:val="24"/>
          <w:highlight w:val="none"/>
        </w:rPr>
        <w:t>机构</w:t>
      </w:r>
      <w:r>
        <w:rPr>
          <w:rFonts w:hint="eastAsia" w:asciiTheme="minorEastAsia" w:hAnsiTheme="minorEastAsia" w:eastAsiaTheme="minorEastAsia"/>
          <w:kern w:val="0"/>
          <w:sz w:val="24"/>
          <w:highlight w:val="none"/>
          <w:lang w:val="en-US" w:eastAsia="zh-CN"/>
        </w:rPr>
        <w:t>顺延</w:t>
      </w:r>
      <w:r>
        <w:rPr>
          <w:rFonts w:hint="eastAsia" w:asciiTheme="minorEastAsia" w:hAnsiTheme="minorEastAsia" w:eastAsiaTheme="minorEastAsia"/>
          <w:kern w:val="0"/>
          <w:sz w:val="24"/>
          <w:highlight w:val="none"/>
        </w:rPr>
        <w:t>截止时</w:t>
      </w:r>
      <w:r>
        <w:rPr>
          <w:rFonts w:hint="eastAsia" w:asciiTheme="minorEastAsia" w:hAnsiTheme="minorEastAsia" w:eastAsiaTheme="minorEastAsia"/>
          <w:kern w:val="0"/>
          <w:sz w:val="24"/>
        </w:rPr>
        <w:t>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9"/>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6"/>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11"/>
        <w:numPr>
          <w:ilvl w:val="0"/>
          <w:numId w:val="6"/>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11"/>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9"/>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9"/>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1"/>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cs="宋体"/>
                <w:b w:val="0"/>
                <w:bCs/>
                <w:sz w:val="21"/>
                <w:szCs w:val="21"/>
              </w:rPr>
              <w:t>LED显示设备</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批</w:t>
            </w:r>
          </w:p>
        </w:tc>
        <w:tc>
          <w:tcPr>
            <w:tcW w:w="1142"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280</w:t>
            </w:r>
          </w:p>
        </w:tc>
        <w:tc>
          <w:tcPr>
            <w:tcW w:w="1203" w:type="dxa"/>
            <w:vAlign w:val="center"/>
          </w:tcPr>
          <w:p>
            <w:pPr>
              <w:tabs>
                <w:tab w:val="left" w:pos="8280"/>
              </w:tabs>
              <w:autoSpaceDE w:val="0"/>
              <w:autoSpaceDN w:val="0"/>
              <w:adjustRightIn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280</w:t>
            </w:r>
          </w:p>
        </w:tc>
      </w:tr>
    </w:tbl>
    <w:p>
      <w:pPr>
        <w:tabs>
          <w:tab w:val="left" w:pos="8280"/>
        </w:tabs>
        <w:autoSpaceDE w:val="0"/>
        <w:autoSpaceDN w:val="0"/>
        <w:adjustRightIn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二、技术需求</w:t>
      </w:r>
    </w:p>
    <w:p>
      <w:pPr>
        <w:tabs>
          <w:tab w:val="left" w:pos="8280"/>
        </w:tabs>
        <w:autoSpaceDE w:val="0"/>
        <w:autoSpaceDN w:val="0"/>
        <w:adjustRightInd w:val="0"/>
        <w:spacing w:line="360" w:lineRule="auto"/>
        <w:ind w:firstLine="482" w:firstLineChars="200"/>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一</w:t>
      </w: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采购内容一览表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10"/>
        <w:gridCol w:w="1310"/>
        <w:gridCol w:w="1310"/>
        <w:gridCol w:w="1310"/>
        <w:gridCol w:w="13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序号</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采购内容</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数量</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单位</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是否为核心产品</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是否为主要产品</w:t>
            </w:r>
          </w:p>
        </w:tc>
        <w:tc>
          <w:tcPr>
            <w:tcW w:w="1310" w:type="dxa"/>
            <w:vMerge w:val="restart"/>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c>
          <w:tcPr>
            <w:tcW w:w="1310" w:type="dxa"/>
            <w:vMerge w:val="continue"/>
            <w:shd w:val="clear" w:color="auto" w:fill="CFCECE" w:themeFill="background2" w:themeFillShade="E5"/>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LED屏</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47.2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LED钢结构</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47.2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智能控制盒</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视频拼接处理器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配电柜</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55寸一体机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一体机落地式支架</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前级处理器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全频音响</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时序电源</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LED屏 单元</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LED钢结构</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智能控制盒</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视频处理器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配电柜</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前级处理器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音响</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LED屏</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LED钢结构</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智能控制盒</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视频处理器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55”拼接屏</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拼控器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壁挂支架</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红外触摸框</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吸顶/船型音响</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logo灯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投影仪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播放盒</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触控屏</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边缘计算单元</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55寸拼接屏</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拼控器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显示屏支架</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红外触摸边框</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音响</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数字人对话一体机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LED屏幕</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LED钢结构</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智能控制盒</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视频处理器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配电柜</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前级处理器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音响</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智能感应交互模块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激光投影机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投影机镜头</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地面服务主机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墙面服务主机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纱幕服务主机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四屏拓展仪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5.1声道音频系统</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电动升降纱幕</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墙面感应雷达</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视频延长器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投影机支架</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中央控制系统主机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平板电脑</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智能开关模块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运维控制主机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linux管理主机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串口服务器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机柜</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无线AP</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交换机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77</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POE交换机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78</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时序电源</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79</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防火墙AP管理路由器</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PDU</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WIFI开关</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82</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UPS主机</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台</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83</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电池</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节</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84</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电池箱</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85</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辅材</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批</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86</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系统集成</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批</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是</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否</w:t>
            </w:r>
          </w:p>
        </w:tc>
      </w:tr>
    </w:tbl>
    <w:p>
      <w:pPr>
        <w:pStyle w:val="9"/>
        <w:spacing w:line="360" w:lineRule="auto"/>
        <w:ind w:firstLine="482" w:firstLineChars="200"/>
        <w:rPr>
          <w:rFonts w:hint="default" w:asciiTheme="minorEastAsia" w:hAnsiTheme="minorEastAsia" w:eastAsiaTheme="minorEastAsia"/>
          <w:b/>
          <w:color w:val="000000" w:themeColor="text1"/>
          <w:kern w:val="0"/>
          <w:sz w:val="24"/>
          <w:lang w:val="en-US" w:eastAsia="zh-CN"/>
          <w14:textFill>
            <w14:solidFill>
              <w14:schemeClr w14:val="tx1"/>
            </w14:solidFill>
          </w14:textFill>
        </w:rPr>
      </w:pP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p>
    <w:p>
      <w:pPr>
        <w:pStyle w:val="9"/>
        <w:spacing w:line="360" w:lineRule="auto"/>
        <w:ind w:firstLine="482" w:firstLineChars="200"/>
        <w:rPr>
          <w:rFonts w:hint="default" w:asciiTheme="minorEastAsia" w:hAnsiTheme="minorEastAsia" w:eastAsiaTheme="minorEastAsia"/>
          <w:b/>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二</w:t>
      </w: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具体参数需求</w:t>
      </w:r>
    </w:p>
    <w:tbl>
      <w:tblPr>
        <w:tblStyle w:val="21"/>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7"/>
        <w:gridCol w:w="1037"/>
        <w:gridCol w:w="541"/>
        <w:gridCol w:w="52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shd w:val="clear" w:color="auto" w:fill="CFCECE" w:themeFill="background2" w:themeFillShade="E5"/>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jc w:val="center"/>
              <w:textAlignment w:val="center"/>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0"/>
                <w:sz w:val="24"/>
                <w:szCs w:val="24"/>
              </w:rPr>
              <w:t>序号</w:t>
            </w:r>
          </w:p>
        </w:tc>
        <w:tc>
          <w:tcPr>
            <w:tcW w:w="1037" w:type="dxa"/>
            <w:shd w:val="clear" w:color="auto" w:fill="CFCECE" w:themeFill="background2" w:themeFillShade="E5"/>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jc w:val="center"/>
              <w:textAlignment w:val="center"/>
              <w:rPr>
                <w:rFonts w:hint="eastAsia" w:ascii="宋体" w:hAnsi="宋体" w:eastAsia="宋体" w:cs="宋体"/>
                <w:b/>
                <w:bCs w:val="0"/>
                <w:color w:val="auto"/>
                <w:sz w:val="24"/>
                <w:szCs w:val="24"/>
              </w:rPr>
            </w:pPr>
            <w:r>
              <w:rPr>
                <w:rFonts w:hint="eastAsia" w:ascii="宋体" w:hAnsi="宋体" w:eastAsia="宋体" w:cs="宋体"/>
                <w:b/>
                <w:bCs w:val="0"/>
                <w:color w:val="auto"/>
                <w:kern w:val="0"/>
                <w:sz w:val="24"/>
                <w:szCs w:val="24"/>
              </w:rPr>
              <w:t>货物名称</w:t>
            </w:r>
          </w:p>
        </w:tc>
        <w:tc>
          <w:tcPr>
            <w:tcW w:w="541" w:type="dxa"/>
            <w:shd w:val="clear" w:color="auto" w:fill="CFCECE" w:themeFill="background2" w:themeFillShade="E5"/>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jc w:val="center"/>
              <w:textAlignment w:val="center"/>
              <w:rPr>
                <w:rFonts w:hint="eastAsia" w:ascii="宋体" w:hAnsi="宋体" w:eastAsia="宋体" w:cs="宋体"/>
                <w:b/>
                <w:bCs w:val="0"/>
                <w:color w:val="auto"/>
                <w:sz w:val="24"/>
                <w:szCs w:val="24"/>
              </w:rPr>
            </w:pPr>
            <w:r>
              <w:rPr>
                <w:rFonts w:hint="eastAsia" w:ascii="宋体" w:hAnsi="宋体" w:eastAsia="宋体" w:cs="宋体"/>
                <w:b/>
                <w:bCs w:val="0"/>
                <w:color w:val="auto"/>
                <w:kern w:val="0"/>
                <w:sz w:val="24"/>
                <w:szCs w:val="24"/>
              </w:rPr>
              <w:t>数量</w:t>
            </w:r>
          </w:p>
        </w:tc>
        <w:tc>
          <w:tcPr>
            <w:tcW w:w="525" w:type="dxa"/>
            <w:shd w:val="clear" w:color="auto" w:fill="CFCECE" w:themeFill="background2" w:themeFillShade="E5"/>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jc w:val="center"/>
              <w:textAlignment w:val="center"/>
              <w:rPr>
                <w:rFonts w:hint="eastAsia" w:ascii="宋体" w:hAnsi="宋体" w:eastAsia="宋体" w:cs="宋体"/>
                <w:b/>
                <w:bCs w:val="0"/>
                <w:color w:val="auto"/>
                <w:sz w:val="24"/>
                <w:szCs w:val="24"/>
              </w:rPr>
            </w:pPr>
            <w:r>
              <w:rPr>
                <w:rFonts w:hint="eastAsia" w:ascii="宋体" w:hAnsi="宋体" w:eastAsia="宋体" w:cs="宋体"/>
                <w:b/>
                <w:bCs w:val="0"/>
                <w:color w:val="auto"/>
                <w:kern w:val="0"/>
                <w:sz w:val="24"/>
                <w:szCs w:val="24"/>
              </w:rPr>
              <w:t>单位</w:t>
            </w:r>
          </w:p>
        </w:tc>
        <w:tc>
          <w:tcPr>
            <w:tcW w:w="6732" w:type="dxa"/>
            <w:shd w:val="clear" w:color="auto" w:fill="CFCECE" w:themeFill="background2" w:themeFillShade="E5"/>
            <w:noWrap w:val="0"/>
            <w:vAlign w:val="center"/>
          </w:tcPr>
          <w:p>
            <w:pPr>
              <w:pStyle w:val="20"/>
              <w:keepNext w:val="0"/>
              <w:keepLines w:val="0"/>
              <w:pageBreakBefore w:val="0"/>
              <w:kinsoku/>
              <w:wordWrap/>
              <w:overflowPunct/>
              <w:topLinePunct w:val="0"/>
              <w:autoSpaceDE/>
              <w:autoSpaceDN/>
              <w:bidi w:val="0"/>
              <w:adjustRightInd/>
              <w:snapToGrid/>
              <w:spacing w:after="0" w:line="240" w:lineRule="auto"/>
              <w:ind w:left="40" w:leftChars="0" w:right="0" w:rightChars="0" w:firstLine="0" w:firstLineChars="0"/>
              <w:jc w:val="center"/>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6"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w:t>
            </w:r>
          </w:p>
        </w:tc>
        <w:tc>
          <w:tcPr>
            <w:tcW w:w="1037"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LED屏</w:t>
            </w:r>
          </w:p>
        </w:tc>
        <w:tc>
          <w:tcPr>
            <w:tcW w:w="541"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rPr>
            </w:pPr>
            <w:r>
              <w:rPr>
                <w:rFonts w:hint="eastAsia" w:ascii="宋体" w:hAnsi="宋体" w:eastAsia="宋体" w:cs="宋体"/>
                <w:i w:val="0"/>
                <w:iCs w:val="0"/>
                <w:color w:val="auto"/>
                <w:kern w:val="0"/>
                <w:sz w:val="21"/>
                <w:szCs w:val="21"/>
                <w:u w:val="none"/>
                <w:lang w:val="en-US" w:eastAsia="zh-CN" w:bidi="ar"/>
              </w:rPr>
              <w:t>47.2</w:t>
            </w:r>
          </w:p>
        </w:tc>
        <w:tc>
          <w:tcPr>
            <w:tcW w:w="525"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rPr>
            </w:pPr>
            <w:r>
              <w:rPr>
                <w:rFonts w:hint="eastAsia" w:ascii="宋体" w:hAnsi="宋体" w:eastAsia="宋体" w:cs="宋体"/>
                <w:i w:val="0"/>
                <w:iCs w:val="0"/>
                <w:color w:val="auto"/>
                <w:kern w:val="0"/>
                <w:sz w:val="21"/>
                <w:szCs w:val="21"/>
                <w:u w:val="none"/>
                <w:lang w:val="en-US" w:eastAsia="zh-CN" w:bidi="ar"/>
              </w:rPr>
              <w:t>㎡</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rPr>
              <w:t>LED单元尺寸：5.12</w:t>
            </w:r>
            <w:r>
              <w:rPr>
                <w:rFonts w:hint="eastAsia" w:ascii="宋体" w:hAnsi="宋体" w:cs="宋体"/>
                <w:color w:val="auto"/>
                <w:lang w:val="en-US" w:eastAsia="zh-CN"/>
              </w:rPr>
              <w:t>米</w:t>
            </w:r>
            <w:r>
              <w:rPr>
                <w:rFonts w:hint="eastAsia" w:ascii="宋体" w:hAnsi="宋体" w:eastAsia="宋体" w:cs="宋体"/>
                <w:color w:val="auto"/>
              </w:rPr>
              <w:t>*3.04</w:t>
            </w:r>
            <w:r>
              <w:rPr>
                <w:rFonts w:hint="eastAsia" w:ascii="宋体" w:hAnsi="宋体" w:cs="宋体"/>
                <w:color w:val="auto"/>
                <w:lang w:val="en-US" w:eastAsia="zh-CN"/>
              </w:rPr>
              <w:t>米</w:t>
            </w:r>
            <w:r>
              <w:rPr>
                <w:rFonts w:hint="eastAsia" w:ascii="宋体" w:hAnsi="宋体" w:eastAsia="宋体" w:cs="宋体"/>
                <w:color w:val="auto"/>
              </w:rPr>
              <w:t>*3</w:t>
            </w:r>
            <w:r>
              <w:rPr>
                <w:rFonts w:hint="eastAsia" w:ascii="宋体" w:hAnsi="宋体" w:cs="宋体"/>
                <w:color w:val="auto"/>
                <w:lang w:val="en-US" w:eastAsia="zh-CN"/>
              </w:rPr>
              <w:t>块</w:t>
            </w:r>
            <w:r>
              <w:rPr>
                <w:rFonts w:hint="eastAsia" w:ascii="宋体" w:hAnsi="宋体" w:eastAsia="宋体" w:cs="宋体"/>
                <w:color w:val="auto"/>
              </w:rPr>
              <w:t>（</w:t>
            </w: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lang w:eastAsia="zh-CN"/>
              </w:rPr>
              <w:t>提供同批次</w:t>
            </w:r>
            <w:r>
              <w:rPr>
                <w:rFonts w:hint="eastAsia" w:ascii="宋体" w:hAnsi="宋体" w:eastAsia="宋体" w:cs="宋体"/>
                <w:color w:val="auto"/>
              </w:rPr>
              <w:t>备用10块模组）</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rPr>
              <w:t>1、像素间距≤</w:t>
            </w:r>
            <w:r>
              <w:rPr>
                <w:rFonts w:hint="eastAsia" w:ascii="宋体" w:hAnsi="宋体" w:eastAsia="宋体" w:cs="宋体"/>
                <w:color w:val="auto"/>
                <w:lang w:val="en-US" w:eastAsia="zh-CN"/>
              </w:rPr>
              <w:t>1.53</w:t>
            </w:r>
            <w:r>
              <w:rPr>
                <w:rFonts w:hint="eastAsia" w:ascii="宋体" w:hAnsi="宋体" w:eastAsia="宋体" w:cs="宋体"/>
                <w:color w:val="auto"/>
              </w:rPr>
              <w:t>mm，像素密度≥</w:t>
            </w:r>
            <w:r>
              <w:rPr>
                <w:rFonts w:hint="eastAsia" w:ascii="宋体" w:hAnsi="宋体" w:eastAsia="宋体" w:cs="宋体"/>
                <w:color w:val="auto"/>
                <w:lang w:val="en-US" w:eastAsia="zh-CN"/>
              </w:rPr>
              <w:t>422500</w:t>
            </w:r>
            <w:r>
              <w:rPr>
                <w:rFonts w:hint="eastAsia" w:ascii="宋体" w:hAnsi="宋体" w:eastAsia="宋体" w:cs="宋体"/>
                <w:color w:val="auto"/>
              </w:rPr>
              <w:t xml:space="preserve">点/㎡，刷新率不低于3840Hz                                                                                                                2、电路板采用多层PCB设计,采用抗消隐设计,无“毛毛虫、鬼影”跟随现象                                                                                              ★3、模组采用320*160mm标准尺寸，铝底壳工艺，模组立体散热等特点（要求提供带产品规格书彩页照片的报告）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★4、Type-C接口，信电合一，抗干扰，全集成，智能高效数据传输；电源信号可盲插，无需区分方向，安装稳定便利可靠（提供CNAS第三方检测报告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5、最高对比度支持10000：1，支持16bit灰度等级，可实现亮色度校正，支持主动式 3D 显示和 HDR 视频源输入</w:t>
            </w:r>
            <w:r>
              <w:rPr>
                <w:rFonts w:hint="eastAsia" w:ascii="宋体" w:hAnsi="宋体" w:eastAsia="宋体" w:cs="宋体"/>
                <w:color w:val="auto"/>
                <w:lang w:val="en-US" w:eastAsia="zh-CN"/>
              </w:rPr>
              <w:t>.</w:t>
            </w:r>
            <w:r>
              <w:rPr>
                <w:rFonts w:hint="eastAsia" w:ascii="宋体" w:hAnsi="宋体" w:eastAsia="宋体" w:cs="宋体"/>
                <w:color w:val="auto"/>
              </w:rPr>
              <w:t xml:space="preserve">                                                                                                                                                                                                                                                                  6、为适应室内长期观看，显示屏校正后亮度或白平衡亮度≥650nit，亮度均匀性＞98%。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7</w:t>
            </w:r>
            <w:r>
              <w:rPr>
                <w:rFonts w:hint="eastAsia" w:ascii="宋体" w:hAnsi="宋体" w:eastAsia="宋体" w:cs="宋体"/>
                <w:color w:val="auto"/>
              </w:rPr>
              <w:t>、支持设备在正常条件下连续工作168H,未出现机械及操作故障，故障平均修复时间3分钟，像素失控率≤1/100000,出厂为0，无连续失控点，图像轮廓锐利清晰、无拖影、无马赛克、灰尘效应（提供CNAS第三方检测报告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、支持自动gamma校正技术，通过构造非线性校正曲线和色坐标变化系数矩阵实现显示效果的不断改善，如色彩还原、色温调节范围、亮度均匀性、色度均匀性、刷新率、换帧频率等。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、系统支持信号、校正数据、接收卡文件备份；软件支持自检、远程监控，可实现通讯检测、温度检测、电源检测、温度监控等功能，从而保证显示屏的正常运行</w:t>
            </w:r>
            <w:r>
              <w:rPr>
                <w:rFonts w:hint="eastAsia" w:ascii="宋体" w:hAnsi="宋体" w:cs="宋体"/>
                <w:color w:val="auto"/>
                <w:lang w:eastAsia="zh-CN"/>
              </w:rPr>
              <w:t>。</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、屏幕支持亮度、对比度、色度调节、视觉修正等调整功能，具备视频降噪、动态补偿等处理功能。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 xml:space="preserve">11、要求所投LED显示屏厂家具有LED显示屏拼接误差的精度较低的技术（提供相关证明材料）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、支持动态节能降低功耗，产品峰值功耗：≤350W/㎡，平均功耗：≤115W/㎡（提供CNAS第三方检测报告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、为保证良好的观看体验，屏体前后左右方工作噪声声压dBA（距离1米）均≤</w:t>
            </w:r>
            <w:r>
              <w:rPr>
                <w:rFonts w:hint="eastAsia" w:ascii="宋体" w:hAnsi="宋体" w:eastAsia="宋体" w:cs="宋体"/>
                <w:color w:val="auto"/>
                <w:lang w:val="en-US" w:eastAsia="zh-CN"/>
              </w:rPr>
              <w:t>9</w:t>
            </w:r>
            <w:r>
              <w:rPr>
                <w:rFonts w:hint="eastAsia" w:ascii="宋体" w:hAnsi="宋体" w:eastAsia="宋体" w:cs="宋体"/>
                <w:color w:val="auto"/>
              </w:rPr>
              <w:t>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 xml:space="preserve">、防尘等级满足IP5X要求，PCB、塑料面板的阻燃等级达到V-0 级，样品表面无起泡、裂纹、毛刺、锈蚀现象，符合盐雾10级要求；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1</w:t>
            </w:r>
            <w:r>
              <w:rPr>
                <w:rFonts w:hint="eastAsia" w:ascii="宋体" w:hAnsi="宋体" w:eastAsia="宋体" w:cs="宋体"/>
                <w:color w:val="auto"/>
                <w:lang w:val="en-US" w:eastAsia="zh-CN"/>
              </w:rPr>
              <w:t>5</w:t>
            </w:r>
            <w:r>
              <w:rPr>
                <w:rFonts w:hint="eastAsia" w:ascii="宋体" w:hAnsi="宋体" w:eastAsia="宋体" w:cs="宋体"/>
                <w:color w:val="auto"/>
              </w:rPr>
              <w:t>、产品通过</w:t>
            </w:r>
            <w:r>
              <w:rPr>
                <w:rFonts w:hint="eastAsia" w:ascii="宋体" w:hAnsi="宋体" w:eastAsia="宋体" w:cs="宋体"/>
                <w:color w:val="auto"/>
                <w:lang w:val="en-US" w:eastAsia="zh-CN"/>
              </w:rPr>
              <w:t>MTBF平均失效间隔时间</w:t>
            </w:r>
            <w:r>
              <w:rPr>
                <w:rFonts w:hint="eastAsia" w:ascii="宋体" w:hAnsi="宋体" w:eastAsia="宋体" w:cs="宋体"/>
                <w:color w:val="auto"/>
              </w:rPr>
              <w:t>≥</w:t>
            </w:r>
            <w:r>
              <w:rPr>
                <w:rFonts w:hint="eastAsia" w:ascii="宋体" w:hAnsi="宋体" w:eastAsia="宋体" w:cs="宋体"/>
                <w:color w:val="auto"/>
                <w:lang w:val="en-US" w:eastAsia="zh-CN"/>
              </w:rPr>
              <w:t>100000小时，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w:t>
            </w:r>
            <w:r>
              <w:rPr>
                <w:rFonts w:hint="eastAsia" w:ascii="宋体" w:hAnsi="宋体" w:eastAsia="宋体" w:cs="宋体"/>
                <w:color w:val="auto"/>
                <w:lang w:val="en-US" w:eastAsia="zh-CN"/>
              </w:rPr>
              <w:t>16、产品通过防蓝光、紫外危害曝辐射值、宽波段光源对光生物安全的危害符合RG0等级国家标准。</w:t>
            </w:r>
            <w:r>
              <w:rPr>
                <w:rFonts w:hint="eastAsia" w:ascii="宋体" w:hAnsi="宋体" w:eastAsia="宋体" w:cs="宋体"/>
                <w:color w:val="auto"/>
              </w:rPr>
              <w:t>（提供CNAS第三方检测报告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cs="宋体"/>
                <w:color w:val="auto"/>
                <w:lang w:val="en-US" w:eastAsia="zh-CN"/>
              </w:rPr>
              <w:t>7</w:t>
            </w:r>
            <w:r>
              <w:rPr>
                <w:rFonts w:hint="eastAsia" w:ascii="宋体" w:hAnsi="宋体" w:eastAsia="宋体" w:cs="宋体"/>
                <w:color w:val="auto"/>
              </w:rPr>
              <w:t>、支持单条信号传输链路1080P区域，支持视频源色位深12bit，支持视频源输入频率低延时</w:t>
            </w:r>
            <w:r>
              <w:rPr>
                <w:rFonts w:hint="eastAsia" w:ascii="宋体" w:hAnsi="宋体" w:cs="宋体"/>
                <w:color w:val="auto"/>
                <w:lang w:eastAsia="zh-CN"/>
              </w:rPr>
              <w:t>。</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cs="宋体"/>
                <w:color w:val="auto"/>
                <w:lang w:val="en-US" w:eastAsia="zh-CN"/>
              </w:rPr>
              <w:t>18</w:t>
            </w:r>
            <w:r>
              <w:rPr>
                <w:rFonts w:hint="eastAsia" w:ascii="宋体" w:hAnsi="宋体" w:eastAsia="宋体" w:cs="宋体"/>
                <w:color w:val="auto"/>
                <w:lang w:val="en-US" w:eastAsia="zh-CN"/>
              </w:rPr>
              <w:t>.</w:t>
            </w:r>
            <w:r>
              <w:rPr>
                <w:rFonts w:hint="eastAsia" w:ascii="宋体" w:hAnsi="宋体" w:eastAsia="宋体" w:cs="宋体"/>
                <w:color w:val="auto"/>
              </w:rPr>
              <w:t>LED</w:t>
            </w:r>
            <w:r>
              <w:rPr>
                <w:rFonts w:hint="eastAsia" w:ascii="宋体" w:hAnsi="宋体" w:cs="宋体"/>
                <w:color w:val="auto"/>
                <w:lang w:val="en-US" w:eastAsia="zh-CN"/>
              </w:rPr>
              <w:t>显示屏</w:t>
            </w:r>
            <w:r>
              <w:rPr>
                <w:rFonts w:hint="eastAsia" w:ascii="宋体" w:hAnsi="宋体" w:eastAsia="宋体" w:cs="宋体"/>
                <w:color w:val="auto"/>
              </w:rPr>
              <w:t>具有《中国环境标志</w:t>
            </w:r>
            <w:r>
              <w:rPr>
                <w:rFonts w:hint="eastAsia" w:ascii="宋体" w:hAnsi="宋体" w:eastAsia="宋体" w:cs="宋体"/>
                <w:color w:val="auto"/>
                <w:lang w:val="en-US" w:eastAsia="zh-CN"/>
              </w:rPr>
              <w:t>(Ⅱ型)</w:t>
            </w:r>
            <w:r>
              <w:rPr>
                <w:rFonts w:hint="eastAsia" w:ascii="宋体" w:hAnsi="宋体" w:eastAsia="宋体" w:cs="宋体"/>
                <w:color w:val="auto"/>
              </w:rPr>
              <w:t>产品认证证书》</w:t>
            </w:r>
            <w:r>
              <w:rPr>
                <w:rFonts w:hint="eastAsia" w:ascii="宋体" w:hAnsi="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w:t>
            </w:r>
          </w:p>
        </w:tc>
        <w:tc>
          <w:tcPr>
            <w:tcW w:w="1037"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LED钢结构</w:t>
            </w:r>
          </w:p>
        </w:tc>
        <w:tc>
          <w:tcPr>
            <w:tcW w:w="541"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lang w:val="en-US"/>
              </w:rPr>
            </w:pPr>
            <w:r>
              <w:rPr>
                <w:rFonts w:hint="eastAsia" w:ascii="宋体" w:hAnsi="宋体" w:eastAsia="宋体" w:cs="宋体"/>
                <w:i w:val="0"/>
                <w:iCs w:val="0"/>
                <w:color w:val="auto"/>
                <w:kern w:val="0"/>
                <w:sz w:val="21"/>
                <w:szCs w:val="21"/>
                <w:u w:val="none"/>
                <w:lang w:val="en-US" w:eastAsia="zh-CN" w:bidi="ar"/>
              </w:rPr>
              <w:t>47.2</w:t>
            </w:r>
          </w:p>
        </w:tc>
        <w:tc>
          <w:tcPr>
            <w:tcW w:w="525" w:type="dxa"/>
            <w:noWrap w:val="0"/>
            <w:vAlign w:val="center"/>
          </w:tcPr>
          <w:p>
            <w:pPr>
              <w:keepNext w:val="0"/>
              <w:keepLines w:val="0"/>
              <w:pageBreakBefore w:val="0"/>
              <w:widowControl/>
              <w:suppressLineNumbers w:val="0"/>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sz w:val="21"/>
                <w:szCs w:val="21"/>
                <w:lang w:val="en-US"/>
              </w:rPr>
            </w:pPr>
            <w:r>
              <w:rPr>
                <w:rFonts w:hint="eastAsia" w:ascii="宋体" w:hAnsi="宋体" w:eastAsia="宋体" w:cs="宋体"/>
                <w:i w:val="0"/>
                <w:iCs w:val="0"/>
                <w:color w:val="auto"/>
                <w:kern w:val="0"/>
                <w:sz w:val="21"/>
                <w:szCs w:val="21"/>
                <w:u w:val="none"/>
                <w:lang w:val="en-US" w:eastAsia="zh-CN" w:bidi="ar"/>
              </w:rPr>
              <w:t>㎡</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现场定制加工金属LED屏体安装支架；主材使用金属方通，</w:t>
            </w:r>
            <w:r>
              <w:rPr>
                <w:rFonts w:hint="eastAsia" w:ascii="宋体" w:hAnsi="宋体" w:eastAsia="宋体" w:cs="宋体"/>
                <w:b w:val="0"/>
                <w:bCs/>
                <w:color w:val="auto"/>
                <w:sz w:val="21"/>
                <w:szCs w:val="21"/>
                <w:lang w:val="en-US" w:eastAsia="zh-CN"/>
              </w:rPr>
              <w:t>焊接位置涂刷防锈漆，钢管厚度1.2MM,承重管子厚度1.5MM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color w:val="auto"/>
              </w:rPr>
              <w:t>智能控制盒</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160</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1、</w:t>
            </w:r>
            <w:r>
              <w:rPr>
                <w:rFonts w:hint="eastAsia" w:ascii="宋体" w:hAnsi="宋体" w:eastAsia="宋体" w:cs="宋体"/>
                <w:color w:val="auto"/>
              </w:rPr>
              <w:t>可最大带载 512×512@60Hz，可荷载4.5V/36A,接口采用新式的 Type-c 接插件接口</w:t>
            </w:r>
            <w:r>
              <w:rPr>
                <w:rFonts w:hint="eastAsia" w:ascii="宋体" w:hAnsi="宋体" w:eastAsia="宋体" w:cs="宋体"/>
                <w:color w:val="auto"/>
                <w:lang w:val="en-US" w:eastAsia="zh-CN"/>
              </w:rPr>
              <w:t>(提供产品接口图片佐证)</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color w:val="auto"/>
                <w:lang w:val="en-US" w:eastAsia="zh-CN"/>
              </w:rPr>
              <w:t>2、</w:t>
            </w:r>
            <w:r>
              <w:rPr>
                <w:rFonts w:hint="eastAsia" w:ascii="宋体" w:hAnsi="宋体" w:eastAsia="宋体" w:cs="宋体"/>
                <w:color w:val="auto"/>
              </w:rPr>
              <w:t>支持多层校正和画质引擎技术。同时，还支持 HDR、快速亮暗线调节、低延迟、逐点亮色度校正、3D、RGB 独立 Gamma 调节、画面 90°倍数旋转、显示屏任意角度旋转等功能，多方面提升显示屏的亮度、灰度和色彩表现。</w:t>
            </w:r>
            <w:r>
              <w:rPr>
                <w:rFonts w:hint="eastAsia" w:ascii="宋体" w:hAnsi="宋体" w:eastAsia="宋体" w:cs="宋体"/>
                <w:color w:val="auto"/>
              </w:rPr>
              <w:br w:type="textWrapping"/>
            </w:r>
            <w:r>
              <w:rPr>
                <w:rFonts w:hint="eastAsia" w:ascii="宋体" w:hAnsi="宋体" w:eastAsia="宋体" w:cs="宋体"/>
                <w:color w:val="auto"/>
                <w:lang w:val="en-US" w:eastAsia="zh-CN"/>
              </w:rPr>
              <w:t>3</w:t>
            </w:r>
            <w:r>
              <w:rPr>
                <w:rStyle w:val="44"/>
                <w:rFonts w:hint="eastAsia" w:ascii="宋体" w:hAnsi="宋体" w:eastAsia="宋体" w:cs="宋体"/>
                <w:color w:val="auto"/>
                <w:sz w:val="21"/>
                <w:szCs w:val="21"/>
                <w:lang w:val="en-US" w:eastAsia="zh-CN" w:bidi="ar"/>
              </w:rPr>
              <w:t>、内</w:t>
            </w:r>
            <w:r>
              <w:rPr>
                <w:rFonts w:hint="eastAsia" w:ascii="宋体" w:hAnsi="宋体" w:eastAsia="宋体" w:cs="宋体"/>
                <w:bCs/>
                <w:color w:val="auto"/>
                <w:szCs w:val="21"/>
                <w:lang w:val="en-US" w:eastAsia="zh-CN"/>
              </w:rPr>
              <w:t>置支持 3D 功能的独立主控，在软件或独立主控的操作面板上开启 3D 功能，并设置 3D 参数，使画面显示 3D 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视频拼接处理器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rPr>
              <w:t>★</w:t>
            </w:r>
            <w:r>
              <w:rPr>
                <w:rFonts w:hint="eastAsia" w:ascii="宋体" w:hAnsi="宋体" w:eastAsia="宋体" w:cs="宋体"/>
                <w:i w:val="0"/>
                <w:iCs w:val="0"/>
                <w:color w:val="auto"/>
                <w:kern w:val="0"/>
                <w:sz w:val="21"/>
                <w:szCs w:val="21"/>
                <w:u w:val="none"/>
                <w:lang w:val="en-US" w:eastAsia="zh-CN" w:bidi="ar"/>
              </w:rPr>
              <w:t>1、纯硬件插卡式架构设计，19英寸标准机架式安装，金属结构机箱；配置≥2张单口4K输入子卡，≥一张四路高清HDMI输入子卡，≥2张20网口输出子卡。</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Style w:val="44"/>
                <w:rFonts w:hint="eastAsia" w:ascii="宋体" w:hAnsi="宋体" w:eastAsia="宋体" w:cs="宋体"/>
                <w:color w:val="auto"/>
                <w:sz w:val="21"/>
                <w:szCs w:val="21"/>
                <w:lang w:val="en-US" w:eastAsia="zh-CN" w:bidi="ar"/>
              </w:rPr>
              <w:t>2、前面板内嵌不小于3. 5英寸液晶显示屏，分辨率不低于320×480，可显示设备运行参数与状态，包括但不限于：接口状态、运行状态等；</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Style w:val="53"/>
                <w:rFonts w:hint="eastAsia" w:ascii="宋体" w:hAnsi="宋体" w:eastAsia="宋体" w:cs="宋体"/>
                <w:color w:val="auto"/>
                <w:sz w:val="21"/>
                <w:szCs w:val="21"/>
                <w:lang w:val="en-US" w:eastAsia="zh-CN" w:bidi="ar"/>
              </w:rPr>
            </w:pPr>
            <w:r>
              <w:rPr>
                <w:rStyle w:val="44"/>
                <w:rFonts w:hint="eastAsia" w:ascii="宋体" w:hAnsi="宋体" w:eastAsia="宋体" w:cs="宋体"/>
                <w:color w:val="auto"/>
                <w:sz w:val="21"/>
                <w:szCs w:val="21"/>
                <w:lang w:val="en-US" w:eastAsia="zh-CN" w:bidi="ar"/>
              </w:rPr>
              <w:t>3、设备机箱规模不少于16路输入、8 路输出，接口支持单链路和双链路输入模式切换；</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Fonts w:hint="eastAsia" w:ascii="宋体" w:hAnsi="宋体" w:eastAsia="宋体" w:cs="宋体"/>
                <w:color w:val="auto"/>
                <w:sz w:val="21"/>
                <w:szCs w:val="21"/>
              </w:rPr>
              <w:t>★</w:t>
            </w:r>
            <w:r>
              <w:rPr>
                <w:rStyle w:val="44"/>
                <w:rFonts w:hint="eastAsia" w:ascii="宋体" w:hAnsi="宋体" w:eastAsia="宋体" w:cs="宋体"/>
                <w:color w:val="auto"/>
                <w:sz w:val="21"/>
                <w:szCs w:val="21"/>
                <w:lang w:val="en-US" w:eastAsia="zh-CN" w:bidi="ar"/>
              </w:rPr>
              <w:t>4、单张输出板卡支持不少于16个图层，支持图层在输出接口间漫游，可进行图层参数设置；</w:t>
            </w:r>
            <w:r>
              <w:rPr>
                <w:rStyle w:val="53"/>
                <w:rFonts w:hint="eastAsia" w:ascii="宋体" w:hAnsi="宋体" w:eastAsia="宋体" w:cs="宋体"/>
                <w:color w:val="auto"/>
                <w:sz w:val="21"/>
                <w:szCs w:val="21"/>
                <w:lang w:val="en-US" w:eastAsia="zh-CN" w:bidi="ar"/>
              </w:rPr>
              <w:t>（投标人提供CNAS认可的检测机构出具的测试报告）</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Style w:val="44"/>
                <w:rFonts w:hint="eastAsia" w:ascii="宋体" w:hAnsi="宋体" w:eastAsia="宋体" w:cs="宋体"/>
                <w:color w:val="auto"/>
                <w:sz w:val="21"/>
                <w:szCs w:val="21"/>
                <w:lang w:val="en-US" w:eastAsia="zh-CN" w:bidi="ar"/>
              </w:rPr>
              <w:t>5、支持不少于2个二合一网口输出，输出无需其它设备可直接连接LED显示屏显示，并支持LED屏亮度调节；</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Fonts w:hint="eastAsia" w:ascii="宋体" w:hAnsi="宋体" w:eastAsia="宋体" w:cs="宋体"/>
                <w:color w:val="auto"/>
                <w:sz w:val="21"/>
                <w:szCs w:val="21"/>
              </w:rPr>
              <w:t>★</w:t>
            </w:r>
            <w:r>
              <w:rPr>
                <w:rStyle w:val="44"/>
                <w:rFonts w:hint="eastAsia" w:ascii="宋体" w:hAnsi="宋体" w:eastAsia="宋体" w:cs="宋体"/>
                <w:color w:val="auto"/>
                <w:sz w:val="21"/>
                <w:szCs w:val="21"/>
                <w:lang w:val="en-US" w:eastAsia="zh-CN" w:bidi="ar"/>
              </w:rPr>
              <w:t>6、IPC输入卡支持不低于4K 视频接入，不低于16路视频解码输出；</w:t>
            </w:r>
            <w:r>
              <w:rPr>
                <w:rStyle w:val="53"/>
                <w:rFonts w:hint="eastAsia" w:ascii="宋体" w:hAnsi="宋体" w:eastAsia="宋体" w:cs="宋体"/>
                <w:color w:val="auto"/>
                <w:sz w:val="21"/>
                <w:szCs w:val="21"/>
                <w:lang w:val="en-US" w:eastAsia="zh-CN" w:bidi="ar"/>
              </w:rPr>
              <w:t>（投标人提供CNAS认可的检测机构出具的测试报告）</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7、为了提升设备的故障排查效率，可监测设备温度、电压、风扇在线状态，支持智能识别板卡接口组合，板卡和接口状态监测，信号丢失预警；</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Style w:val="44"/>
                <w:rFonts w:hint="eastAsia" w:ascii="宋体" w:hAnsi="宋体" w:eastAsia="宋体" w:cs="宋体"/>
                <w:color w:val="auto"/>
                <w:sz w:val="21"/>
                <w:szCs w:val="21"/>
                <w:lang w:val="en-US" w:eastAsia="zh-CN" w:bidi="ar"/>
              </w:rPr>
              <w:t>8、支持屏幕背景图显示；支持对输入添加文字或图片台标，文字与图片背景、位置可调；支持对输入添加OSD文字或图片，属性可调；</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Style w:val="43"/>
                <w:rFonts w:hint="eastAsia" w:ascii="宋体" w:hAnsi="宋体" w:eastAsia="宋体" w:cs="宋体"/>
                <w:color w:val="auto"/>
                <w:sz w:val="21"/>
                <w:szCs w:val="21"/>
                <w:lang w:val="en-US" w:eastAsia="zh-CN" w:bidi="ar"/>
              </w:rPr>
              <w:t>9</w:t>
            </w:r>
            <w:r>
              <w:rPr>
                <w:rStyle w:val="44"/>
                <w:rFonts w:hint="eastAsia" w:ascii="宋体" w:hAnsi="宋体" w:eastAsia="宋体" w:cs="宋体"/>
                <w:color w:val="auto"/>
                <w:sz w:val="21"/>
                <w:szCs w:val="21"/>
                <w:lang w:val="en-US" w:eastAsia="zh-CN" w:bidi="ar"/>
              </w:rPr>
              <w:t>、支持不少于2000个用户场景，可设置为图片或视频，场景切换支持淡入淡出、直切效果</w:t>
            </w:r>
            <w:r>
              <w:rPr>
                <w:rStyle w:val="54"/>
                <w:rFonts w:hint="eastAsia" w:ascii="宋体" w:hAnsi="宋体" w:eastAsia="宋体" w:cs="宋体"/>
                <w:color w:val="auto"/>
                <w:sz w:val="21"/>
                <w:szCs w:val="21"/>
                <w:lang w:val="en-US" w:eastAsia="zh-CN" w:bidi="ar"/>
              </w:rPr>
              <w:t>；</w:t>
            </w:r>
            <w:r>
              <w:rPr>
                <w:rStyle w:val="43"/>
                <w:rFonts w:hint="eastAsia" w:ascii="宋体" w:hAnsi="宋体" w:eastAsia="宋体" w:cs="宋体"/>
                <w:color w:val="auto"/>
                <w:sz w:val="21"/>
                <w:szCs w:val="21"/>
                <w:lang w:val="en-US" w:eastAsia="zh-CN" w:bidi="ar"/>
              </w:rPr>
              <w:t>支持不少于4种屏幕画质调节模式；</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leftChars="0" w:right="0" w:rightChars="0" w:firstLine="0" w:firstLineChars="0"/>
              <w:jc w:val="both"/>
              <w:textAlignment w:val="auto"/>
              <w:outlineLvl w:val="9"/>
              <w:rPr>
                <w:rFonts w:hint="eastAsia" w:ascii="宋体" w:hAnsi="宋体" w:eastAsia="宋体" w:cs="宋体"/>
                <w:i w:val="0"/>
                <w:iCs w:val="0"/>
                <w:color w:val="auto"/>
                <w:sz w:val="21"/>
                <w:szCs w:val="21"/>
                <w:u w:val="none"/>
              </w:rPr>
            </w:pPr>
            <w:r>
              <w:rPr>
                <w:rFonts w:hint="eastAsia" w:ascii="宋体" w:hAnsi="宋体" w:eastAsia="宋体" w:cs="宋体"/>
                <w:color w:val="auto"/>
                <w:sz w:val="21"/>
                <w:szCs w:val="21"/>
              </w:rPr>
              <w:t>★</w:t>
            </w:r>
            <w:r>
              <w:rPr>
                <w:rStyle w:val="44"/>
                <w:rFonts w:hint="eastAsia" w:ascii="宋体" w:hAnsi="宋体" w:eastAsia="宋体" w:cs="宋体"/>
                <w:color w:val="auto"/>
                <w:sz w:val="21"/>
                <w:szCs w:val="21"/>
                <w:lang w:val="en-US" w:eastAsia="zh-CN" w:bidi="ar"/>
              </w:rPr>
              <w:t>10、支持对所有输入源同时预监，对所有输出进行回显（包含IP流回显）；</w:t>
            </w:r>
            <w:r>
              <w:rPr>
                <w:rStyle w:val="53"/>
                <w:rFonts w:hint="eastAsia" w:ascii="宋体" w:hAnsi="宋体" w:eastAsia="宋体" w:cs="宋体"/>
                <w:color w:val="auto"/>
                <w:sz w:val="21"/>
                <w:szCs w:val="21"/>
                <w:lang w:val="en-US" w:eastAsia="zh-CN" w:bidi="ar"/>
              </w:rPr>
              <w:t>（投标人提供CNAS认可的检测机构出具的测试报告）</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right="0" w:rightChars="0" w:firstLine="0" w:firstLineChars="0"/>
              <w:jc w:val="both"/>
              <w:textAlignment w:val="auto"/>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11、支持用户权限分级管控，超级管理员可分配用户使用权限，支持多用户同时在线编辑、控制、上屏操作，可预览其他用户操作；</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right="0" w:rightChars="0" w:firstLine="0" w:firstLineChars="0"/>
              <w:jc w:val="both"/>
              <w:textAlignment w:val="auto"/>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12、支持实时和预编模式，实时模式可实现画面控制实时上屏显示，预编模式支持在软件端进行显示内容预编辑后，再上屏显示；</w:t>
            </w:r>
          </w:p>
          <w:p>
            <w:pPr>
              <w:keepNext w:val="0"/>
              <w:keepLines w:val="0"/>
              <w:pageBreakBefore w:val="0"/>
              <w:widowControl/>
              <w:suppressLineNumbers w:val="0"/>
              <w:kinsoku/>
              <w:wordWrap/>
              <w:overflowPunct/>
              <w:topLinePunct w:val="0"/>
              <w:autoSpaceDE/>
              <w:autoSpaceDN/>
              <w:bidi w:val="0"/>
              <w:adjustRightInd/>
              <w:snapToGrid/>
              <w:spacing w:line="240" w:lineRule="auto"/>
              <w:ind w:left="40" w:right="0" w:rightChars="0" w:firstLine="0" w:firstLineChars="0"/>
              <w:jc w:val="both"/>
              <w:textAlignment w:val="auto"/>
              <w:rPr>
                <w:rStyle w:val="44"/>
                <w:rFonts w:hint="eastAsia" w:ascii="宋体" w:hAnsi="宋体" w:eastAsia="宋体" w:cs="宋体"/>
                <w:color w:val="auto"/>
                <w:sz w:val="21"/>
                <w:szCs w:val="21"/>
                <w:lang w:val="en-US" w:eastAsia="zh-CN" w:bidi="ar"/>
              </w:rPr>
            </w:pPr>
            <w:r>
              <w:rPr>
                <w:rStyle w:val="44"/>
                <w:rFonts w:hint="eastAsia" w:ascii="宋体" w:hAnsi="宋体" w:eastAsia="宋体" w:cs="宋体"/>
                <w:color w:val="auto"/>
                <w:sz w:val="21"/>
                <w:szCs w:val="21"/>
                <w:lang w:val="en-US" w:eastAsia="zh-CN" w:bidi="ar"/>
              </w:rPr>
              <w:t>13、支持输入源画面任意截取，对截取的画面开窗调用，并可作为一个新的输入源， 不影响原输入源的使用；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Style w:val="44"/>
                <w:rFonts w:hint="eastAsia" w:ascii="宋体" w:hAnsi="宋体" w:eastAsia="宋体" w:cs="宋体"/>
                <w:color w:val="auto"/>
                <w:sz w:val="21"/>
                <w:szCs w:val="21"/>
                <w:lang w:val="en-US" w:eastAsia="zh-CN" w:bidi="ar"/>
              </w:rPr>
              <w:t xml:space="preserve">14、系统需具备良好的兼容性，拼接器配置软件至少需支持windows、麒麟、IOS、Android、Linux等操作系统访问设备及交互操作；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配电柜</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40-50</w:t>
            </w:r>
            <w:r>
              <w:rPr>
                <w:rFonts w:hint="eastAsia" w:ascii="宋体" w:hAnsi="宋体" w:eastAsia="宋体" w:cs="宋体"/>
                <w:b w:val="0"/>
                <w:bCs/>
                <w:color w:val="auto"/>
                <w:kern w:val="2"/>
                <w:sz w:val="21"/>
                <w:szCs w:val="21"/>
                <w:lang w:val="en-US" w:eastAsia="zh-CN" w:bidi="ar-SA"/>
              </w:rPr>
              <w:t>KW户内配电箱</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1、设备支持PLC远程上断电；支持定时开关机，支持各通道自定义开关时间；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2、支持过载、短路保护功能；支持逐级延时上断电（每通道间隔1秒）；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3、支持通道状态监测、支持通讯状态监测；</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4、设备支持多种控制模式：手动控制、</w:t>
            </w:r>
            <w:r>
              <w:rPr>
                <w:rFonts w:hint="eastAsia" w:ascii="宋体" w:hAnsi="宋体" w:eastAsia="宋体" w:cs="宋体"/>
                <w:color w:val="auto"/>
                <w:kern w:val="0"/>
                <w:sz w:val="21"/>
                <w:szCs w:val="21"/>
              </w:rPr>
              <w:t>RJ45网口通讯；可配本地电脑控制软件，也可接入用户中控系统，支持Modbus TCP协议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5、支持多用户权限管理；支持传感器联动通道执行预案；支持远程时间校正                                                            6、</w:t>
            </w:r>
            <w:r>
              <w:rPr>
                <w:rFonts w:hint="eastAsia" w:ascii="宋体" w:hAnsi="宋体" w:eastAsia="宋体" w:cs="宋体"/>
                <w:color w:val="auto"/>
                <w:kern w:val="0"/>
                <w:sz w:val="21"/>
                <w:szCs w:val="21"/>
              </w:rPr>
              <w:t>器件品牌：国家强制性认证3C元件</w:t>
            </w:r>
            <w:r>
              <w:rPr>
                <w:rFonts w:hint="eastAsia" w:ascii="宋体" w:hAnsi="宋体" w:eastAsia="宋体" w:cs="宋体"/>
                <w:color w:val="auto"/>
                <w:kern w:val="0"/>
                <w:sz w:val="21"/>
                <w:szCs w:val="21"/>
                <w:lang w:val="en-US" w:eastAsia="zh-CN"/>
              </w:rPr>
              <w:t xml:space="preserve">                                                   7、</w:t>
            </w:r>
            <w:r>
              <w:rPr>
                <w:rFonts w:hint="eastAsia" w:ascii="宋体" w:hAnsi="宋体" w:eastAsia="宋体" w:cs="宋体"/>
                <w:color w:val="auto"/>
                <w:kern w:val="0"/>
                <w:sz w:val="21"/>
                <w:szCs w:val="21"/>
              </w:rPr>
              <w:t>支持显示屏一键启动，PLC逐级上电，PLC逐级断电</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b w:val="0"/>
                <w:bCs/>
                <w:color w:val="auto"/>
                <w:kern w:val="0"/>
                <w:sz w:val="21"/>
                <w:szCs w:val="21"/>
                <w:lang w:val="en-US" w:eastAsia="zh-CN"/>
              </w:rPr>
              <w:t>8、配电箱门上有手动开关、能显示配电箱温度、高温报警和断电功能 (</w:t>
            </w:r>
            <w:r>
              <w:rPr>
                <w:rFonts w:hint="eastAsia" w:ascii="宋体" w:hAnsi="宋体" w:eastAsia="宋体" w:cs="宋体"/>
                <w:color w:val="auto"/>
                <w:lang w:val="en-US" w:eastAsia="zh-CN"/>
              </w:rPr>
              <w:t>提供产品图片佐证</w:t>
            </w:r>
            <w:r>
              <w:rPr>
                <w:rFonts w:hint="eastAsia" w:ascii="宋体" w:hAnsi="宋体" w:eastAsia="宋体" w:cs="宋体"/>
                <w:b w:val="0"/>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1.CPU：不差于intel i9-13900K,▲物理核数≥24核32线程，▲主频≥  睿频5.8Ghz，末级缓存容量≥3</w:t>
            </w:r>
            <w:r>
              <w:rPr>
                <w:rFonts w:hint="eastAsia" w:ascii="宋体" w:hAnsi="宋体" w:cs="宋体"/>
                <w:b w:val="0"/>
                <w:bCs/>
                <w:color w:val="auto"/>
                <w:kern w:val="2"/>
                <w:sz w:val="21"/>
                <w:szCs w:val="21"/>
                <w:lang w:val="en-US" w:eastAsia="zh-CN" w:bidi="ar-SA"/>
              </w:rPr>
              <w:t>6</w:t>
            </w:r>
            <w:r>
              <w:rPr>
                <w:rFonts w:hint="eastAsia" w:ascii="宋体" w:hAnsi="宋体" w:eastAsia="宋体" w:cs="宋体"/>
                <w:b w:val="0"/>
                <w:bCs/>
                <w:color w:val="auto"/>
                <w:kern w:val="2"/>
                <w:sz w:val="21"/>
                <w:szCs w:val="21"/>
                <w:lang w:val="en-US" w:eastAsia="zh-CN" w:bidi="ar-SA"/>
              </w:rPr>
              <w:t>MB</w:t>
            </w:r>
            <w:r>
              <w:rPr>
                <w:rFonts w:hint="eastAsia" w:ascii="宋体" w:hAnsi="宋体" w:cs="宋体"/>
                <w:b w:val="0"/>
                <w:bCs/>
                <w:color w:val="auto"/>
                <w:kern w:val="2"/>
                <w:sz w:val="21"/>
                <w:szCs w:val="21"/>
                <w:lang w:val="en-US" w:eastAsia="zh-CN" w:bidi="ar-SA"/>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2.内存：容量≥64GB，▲支持DDR5-5200及以上；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3.主板：▲主板其他内置接口满足M.2接口；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4.存储：▲固态盘数量≥1个，固态存储容量≥1T，▲机械硬盘数量≥1个，机械硬盘总容量≥1T，▲固态硬盘采用M.2标准；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5.显卡：不差于RTX4090，▲独立显卡，▲显存类型不低于GDDR6X，显存位宽≥ 384位，独立显卡显存容量≥24G，显卡显示芯片核心频率≥2520MHz；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7.电源：≥1000W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55寸一体机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1、电容触摸显示屏尺寸 55英寸（16：9）</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 xml:space="preserve">2、物理分辨率 </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3840（H）×2160（V）（UHD）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 xml:space="preserve">3、显示色彩 </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10bit，1.07B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auto"/>
                <w:highlight w:val="none"/>
                <w:lang w:val="en-US" w:eastAsia="zh-CN"/>
              </w:rPr>
              <w:t>4、</w:t>
            </w:r>
            <w:r>
              <w:rPr>
                <w:rFonts w:hint="eastAsia" w:ascii="宋体" w:hAnsi="宋体" w:eastAsia="宋体" w:cs="宋体"/>
                <w:b w:val="0"/>
                <w:bCs/>
                <w:color w:val="auto"/>
                <w:kern w:val="2"/>
                <w:sz w:val="21"/>
                <w:szCs w:val="21"/>
                <w:highlight w:val="none"/>
                <w:lang w:val="en-US" w:eastAsia="zh-CN" w:bidi="ar-SA"/>
              </w:rPr>
              <w:t>刷新率</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color w:val="auto"/>
                <w:highlight w:val="none"/>
                <w:lang w:val="en-US" w:eastAsia="zh-CN"/>
              </w:rPr>
              <w:t>4K@</w:t>
            </w:r>
            <w:r>
              <w:rPr>
                <w:rFonts w:hint="eastAsia" w:ascii="宋体" w:hAnsi="宋体" w:eastAsia="宋体" w:cs="宋体"/>
                <w:b w:val="0"/>
                <w:bCs/>
                <w:color w:val="auto"/>
                <w:kern w:val="2"/>
                <w:sz w:val="21"/>
                <w:szCs w:val="21"/>
                <w:highlight w:val="none"/>
                <w:lang w:val="en-US" w:eastAsia="zh-CN" w:bidi="ar-SA"/>
              </w:rPr>
              <w:t xml:space="preserve"> 60HZ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5、亮度 中心点</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 xml:space="preserve">450cd/m2、对比度 </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4200：1、亮度均匀性 ＞72%、</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可视角度</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 xml:space="preserve"> 178°</w:t>
            </w:r>
            <w:r>
              <w:rPr>
                <w:rFonts w:hint="eastAsia" w:ascii="宋体" w:hAnsi="宋体" w:eastAsia="宋体" w:cs="宋体"/>
                <w:color w:val="auto"/>
                <w:lang w:val="en-US" w:eastAsia="zh-CN"/>
              </w:rPr>
              <w:t>响应时间:≤6ms，识别精度:±0.3mm，定位精度:±0.2mm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6、显示屏防护 3mm全钢化高防爆玻璃</w:t>
            </w:r>
            <w:r>
              <w:rPr>
                <w:rFonts w:hint="eastAsia" w:ascii="宋体" w:hAnsi="宋体" w:eastAsia="宋体" w:cs="宋体"/>
                <w:color w:val="auto"/>
                <w:lang w:val="en-US" w:eastAsia="zh-CN"/>
              </w:rPr>
              <w:t>表面书写硬度≥8H，具备防眩光效果；</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color w:val="auto"/>
                <w:lang w:val="en-US" w:eastAsia="zh-CN"/>
              </w:rPr>
              <w:t>7、</w:t>
            </w:r>
            <w:r>
              <w:rPr>
                <w:rFonts w:hint="eastAsia" w:ascii="宋体" w:hAnsi="宋体" w:eastAsia="宋体" w:cs="宋体"/>
                <w:b w:val="0"/>
                <w:bCs/>
                <w:color w:val="auto"/>
                <w:kern w:val="2"/>
                <w:sz w:val="21"/>
                <w:szCs w:val="21"/>
                <w:lang w:val="en-US" w:eastAsia="zh-CN" w:bidi="ar-SA"/>
              </w:rPr>
              <w:t>触摸嵌入方式:内置一体机8代I7 内存</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8G,硬盘SSD</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 xml:space="preserve"> 256G，非外挂式、电容触摸</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8、整机内置扬声器，前朝向中高音≥2*10W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9、书写方式 手指、电容笔、定位精度</w:t>
            </w:r>
            <w:r>
              <w:rPr>
                <w:rFonts w:hint="eastAsia" w:ascii="宋体" w:hAnsi="宋体" w:eastAsia="宋体" w:cs="宋体"/>
                <w:color w:val="auto"/>
                <w:lang w:val="en-US" w:eastAsia="zh-CN"/>
              </w:rPr>
              <w:t>≤</w:t>
            </w:r>
            <w:r>
              <w:rPr>
                <w:rFonts w:hint="eastAsia" w:ascii="宋体" w:hAnsi="宋体" w:eastAsia="宋体" w:cs="宋体"/>
                <w:b w:val="0"/>
                <w:bCs/>
                <w:color w:val="auto"/>
                <w:kern w:val="2"/>
                <w:sz w:val="21"/>
                <w:szCs w:val="21"/>
                <w:lang w:val="en-US" w:eastAsia="zh-CN" w:bidi="ar-SA"/>
              </w:rPr>
              <w:t xml:space="preserve"> 1mm、触摸分辨率</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 xml:space="preserve"> 4096*4096、计算机响应 系统自动识别。 </w:t>
            </w:r>
          </w:p>
          <w:p>
            <w:pPr>
              <w:keepNext w:val="0"/>
              <w:keepLines w:val="0"/>
              <w:pageBreakBefore w:val="0"/>
              <w:kinsoku/>
              <w:wordWrap/>
              <w:overflowPunct/>
              <w:topLinePunct w:val="0"/>
              <w:bidi w:val="0"/>
              <w:adjustRightInd/>
              <w:snapToGrid/>
              <w:spacing w:line="240" w:lineRule="auto"/>
              <w:ind w:left="40" w:right="0" w:rightChars="0" w:firstLine="0" w:firstLineChars="0"/>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color w:val="auto"/>
                <w:lang w:val="en-US" w:eastAsia="zh-CN"/>
              </w:rPr>
              <w:t>★</w:t>
            </w:r>
            <w:r>
              <w:rPr>
                <w:rFonts w:hint="eastAsia" w:ascii="宋体" w:hAnsi="宋体" w:eastAsia="宋体" w:cs="宋体"/>
                <w:b w:val="0"/>
                <w:bCs/>
                <w:color w:val="auto"/>
                <w:kern w:val="2"/>
                <w:sz w:val="21"/>
                <w:szCs w:val="21"/>
                <w:lang w:val="en-US" w:eastAsia="zh-CN" w:bidi="ar-SA"/>
              </w:rPr>
              <w:t>10、</w:t>
            </w:r>
            <w:r>
              <w:rPr>
                <w:rFonts w:hint="eastAsia" w:ascii="宋体" w:hAnsi="宋体" w:eastAsia="宋体" w:cs="宋体"/>
                <w:color w:val="auto"/>
                <w:lang w:val="en-US" w:eastAsia="zh-CN"/>
              </w:rPr>
              <w:t>输入信号源自动识别切换输出大屏，提供相关证明资料。</w:t>
            </w:r>
            <w:r>
              <w:rPr>
                <w:rFonts w:hint="eastAsia" w:ascii="宋体" w:hAnsi="宋体" w:eastAsia="宋体" w:cs="宋体"/>
                <w:b w:val="0"/>
                <w:bCs/>
                <w:color w:val="auto"/>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一体机落地式支架</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落地式固定安装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适用屏幕尺寸：55</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材质：金属 表面漆面处理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尺寸：≥适配55寸一体机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底部支撑走线</w:t>
            </w:r>
          </w:p>
          <w:p>
            <w:pPr>
              <w:pStyle w:val="2"/>
              <w:keepNext w:val="0"/>
              <w:keepLines w:val="0"/>
              <w:pageBreakBefore w:val="0"/>
              <w:kinsoku/>
              <w:wordWrap/>
              <w:overflowPunct/>
              <w:topLinePunct w:val="0"/>
              <w:bidi w:val="0"/>
              <w:adjustRightInd/>
              <w:snapToGrid/>
              <w:spacing w:line="240" w:lineRule="auto"/>
              <w:ind w:left="40" w:leftChars="0" w:right="0" w:rightChars="0" w:firstLine="0" w:firstLineChars="0"/>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支持散热功能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前级处理器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1.≥96KHz采样频率，32-bitDSP处理器，24-bitA/D及D/A转换</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2.可通过面板按键密码锁定操作功能，提供≥4路话筒放大输入和线路输入，带48V幻想电源，急速寻找与抑制啸叫频点</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3.每通道独立≥12个固定滤波器和12个动态滤波器，可通过“系统”键来设定固定或动态滤波器的个数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4.可通过面板的≥48个LED啸叫点指示灯，显示当前啸叫点个数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5.单机提供≥30组设备数据存储，存储压缩，限幅，噪声门的参数。关机后可保存关机前的啸叫抑制状态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6.输入阻抗：平衡20KΩ、输出阻抗：平衡100Ω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7.输入共模拟制比：≥70dB(1KHz)、输出范围：≤25dBu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8.频率相应：20Hz-20KHz(-0.3dB)、信噪比：&gt;110dB@1KHz0dBu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9.失真度：﹤0.01%OUTPUT=0dBu/1KHz、信道分离度：&gt;110dB（1KHz）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全频音响</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
                <w:bCs w:val="0"/>
                <w:color w:val="auto"/>
                <w:sz w:val="21"/>
                <w:szCs w:val="21"/>
                <w:lang w:eastAsia="zh-CN"/>
              </w:rPr>
              <w:t>支持嵌入和壁挂安装</w:t>
            </w:r>
            <w:r>
              <w:rPr>
                <w:rFonts w:hint="eastAsia" w:ascii="宋体" w:hAnsi="宋体" w:eastAsia="宋体" w:cs="宋体"/>
                <w:bCs/>
                <w:color w:val="auto"/>
                <w:sz w:val="21"/>
                <w:szCs w:val="21"/>
              </w:rPr>
              <w:t>音响参数：</w:t>
            </w:r>
            <w:r>
              <w:rPr>
                <w:rFonts w:hint="eastAsia" w:ascii="宋体" w:hAnsi="宋体" w:eastAsia="宋体" w:cs="宋体"/>
                <w:bCs/>
                <w:color w:val="auto"/>
                <w:szCs w:val="21"/>
              </w:rPr>
              <w:t>6.5英寸中低频单元+1英寸高频单元</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1、扬声器覆盖角度：水平</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0º×垂直</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 xml:space="preserve">2、频率响应：90 Hz - 17 KHz ± 3dB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3、扬声器功率（持续/峰值）：100/400W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4、灵敏度：</w:t>
            </w:r>
            <w:r>
              <w:rPr>
                <w:rFonts w:hint="eastAsia" w:ascii="宋体" w:hAnsi="宋体" w:eastAsia="宋体" w:cs="宋体"/>
                <w:b w:val="0"/>
                <w:bCs/>
                <w:color w:val="auto"/>
                <w:sz w:val="21"/>
                <w:szCs w:val="21"/>
              </w:rPr>
              <w:t>≥</w:t>
            </w:r>
            <w:r>
              <w:rPr>
                <w:rFonts w:hint="eastAsia" w:ascii="宋体" w:hAnsi="宋体" w:eastAsia="宋体" w:cs="宋体"/>
                <w:bCs/>
                <w:color w:val="auto"/>
                <w:szCs w:val="21"/>
              </w:rPr>
              <w:t xml:space="preserve">95 dB </w:t>
            </w:r>
          </w:p>
          <w:p>
            <w:pPr>
              <w:pStyle w:val="19"/>
              <w:keepNext w:val="0"/>
              <w:keepLines w:val="0"/>
              <w:pageBreakBefore w:val="0"/>
              <w:widowControl/>
              <w:suppressLineNumbers w:val="0"/>
              <w:shd w:val="clear" w:color="auto" w:fill="FFFFFF"/>
              <w:kinsoku/>
              <w:wordWrap/>
              <w:overflowPunct/>
              <w:topLinePunct w:val="0"/>
              <w:bidi w:val="0"/>
              <w:adjustRightInd/>
              <w:snapToGrid/>
              <w:spacing w:before="0" w:beforeAutospacing="0" w:after="0" w:afterAutospacing="0" w:line="240" w:lineRule="auto"/>
              <w:ind w:left="40" w:leftChars="0" w:right="0" w:rightChars="0" w:firstLine="0" w:firstLineChars="0"/>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额定阻抗：</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功放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1、线路类型 :      class 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2、功率输出:（8Ω） 2*</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 xml:space="preserve">信燥比（20HZ-20KHZ）8Ω ： &gt;95DB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 xml:space="preserve">、失真(@8Ω 1KHZ)  ： &lt;0.5%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、输入灵敏度 ：≤1000mV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、频率响应 ：   20HZ-20KHZ（±1dB）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、阻尼系数 ：8Ω@1Khz： ≥230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功放保护 ：具有输出短路,过热,自动限幅,长期输出功率,直流/交流保护装置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时序电源</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eastAsia="zh-CN"/>
              </w:rPr>
              <w:t>、</w:t>
            </w:r>
            <w:r>
              <w:rPr>
                <w:rFonts w:hint="eastAsia" w:ascii="宋体" w:hAnsi="宋体" w:eastAsia="宋体" w:cs="宋体"/>
                <w:bCs/>
                <w:color w:val="auto"/>
                <w:sz w:val="21"/>
                <w:szCs w:val="21"/>
              </w:rPr>
              <w:t>电力输入条件(单相3线)：AC90-260V 50-60HZ两相（三线：零，火，地）</w:t>
            </w:r>
          </w:p>
          <w:p>
            <w:pPr>
              <w:pStyle w:val="6"/>
              <w:keepNext w:val="0"/>
              <w:keepLines w:val="0"/>
              <w:pageBreakBefore w:val="0"/>
              <w:kinsoku/>
              <w:wordWrap/>
              <w:overflowPunct/>
              <w:topLinePunct w:val="0"/>
              <w:bidi w:val="0"/>
              <w:adjustRightInd/>
              <w:snapToGrid/>
              <w:spacing w:line="240" w:lineRule="auto"/>
              <w:ind w:left="4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单路独立开关功能：支持面板独立控制</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支持中控控制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3、通道数量：</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kern w:val="2"/>
                <w:sz w:val="21"/>
                <w:szCs w:val="21"/>
                <w:lang w:val="en-US" w:eastAsia="zh-CN" w:bidi="ar-SA"/>
              </w:rPr>
              <w:t xml:space="preserve"> </w:t>
            </w:r>
            <w:r>
              <w:rPr>
                <w:rFonts w:hint="eastAsia" w:ascii="宋体" w:hAnsi="宋体" w:eastAsia="宋体" w:cs="宋体"/>
                <w:bCs/>
                <w:color w:val="auto"/>
                <w:sz w:val="21"/>
                <w:szCs w:val="21"/>
              </w:rPr>
              <w:t>8路万用插座继电器受控与2路万用插座直接输出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4、继电器受控输出最大承受单路功率/总功率(无功功率）：5000W/8000W最大承受无功功率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5、输出电源插座规格：阻燃ABS材料，最大可承受13A电流黄铜材质，标准万用插座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6、功能特点功能特点：顺序开启逆序关闭</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精准电压显示</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过流保护</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面板通道独立关闭</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7、每路开关间隔时间/定时时间：默认1秒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8、输出继电器触点电流：30A 277VAC</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9、电路板规格：双面纤维板，主电源走线二次加厚加粗处理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10、供电规格：内置开关电源，适用全球电压AC90-260V 50-60HZ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11、主电缆线规格：3*4平方电缆线，总长度为1米（配电源输入插头）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12、开启类型：自复位型开关</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13、单路独立开关功能：支持面板独立控制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14、功能显示电压显示表类型：红色数码管显示电压表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15、</w:t>
            </w:r>
            <w:r>
              <w:rPr>
                <w:rFonts w:hint="eastAsia" w:ascii="宋体" w:hAnsi="宋体" w:eastAsia="宋体" w:cs="宋体"/>
                <w:bCs/>
                <w:color w:val="auto"/>
                <w:sz w:val="21"/>
                <w:szCs w:val="21"/>
                <w:lang w:eastAsia="zh-CN"/>
              </w:rPr>
              <w:t>支持</w:t>
            </w:r>
            <w:r>
              <w:rPr>
                <w:rFonts w:hint="eastAsia" w:ascii="宋体" w:hAnsi="宋体" w:eastAsia="宋体" w:cs="宋体"/>
                <w:bCs/>
                <w:color w:val="auto"/>
                <w:sz w:val="21"/>
                <w:szCs w:val="21"/>
              </w:rPr>
              <w:t>电源净化功能（EMI专业电网滤波器）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 w:val="21"/>
                <w:szCs w:val="21"/>
              </w:rPr>
              <w:t>16、短路过流保护断路器配置：断路器零，火线控制，过流保护,（63A短路保护)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LED屏单元</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8.7</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color w:val="auto"/>
              </w:rPr>
            </w:pPr>
            <w:r>
              <w:rPr>
                <w:rFonts w:hint="eastAsia" w:ascii="宋体" w:hAnsi="宋体" w:eastAsia="宋体" w:cs="宋体"/>
                <w:color w:val="auto"/>
              </w:rPr>
              <w:t>（</w:t>
            </w: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lang w:eastAsia="zh-CN"/>
              </w:rPr>
              <w:t>提供同批次</w:t>
            </w:r>
            <w:r>
              <w:rPr>
                <w:rFonts w:hint="eastAsia" w:ascii="宋体" w:hAnsi="宋体" w:eastAsia="宋体" w:cs="宋体"/>
                <w:color w:val="auto"/>
              </w:rPr>
              <w:t>备用</w:t>
            </w:r>
            <w:r>
              <w:rPr>
                <w:rFonts w:hint="eastAsia" w:ascii="宋体" w:hAnsi="宋体" w:eastAsia="宋体" w:cs="宋体"/>
                <w:color w:val="auto"/>
                <w:lang w:val="en-US" w:eastAsia="zh-CN"/>
              </w:rPr>
              <w:t>3</w:t>
            </w:r>
            <w:r>
              <w:rPr>
                <w:rFonts w:hint="eastAsia" w:ascii="宋体" w:hAnsi="宋体" w:eastAsia="宋体" w:cs="宋体"/>
                <w:color w:val="auto"/>
              </w:rPr>
              <w:t>块模组）</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rPr>
              <w:t>1、像素间距≤</w:t>
            </w:r>
            <w:r>
              <w:rPr>
                <w:rFonts w:hint="eastAsia" w:ascii="宋体" w:hAnsi="宋体" w:eastAsia="宋体" w:cs="宋体"/>
                <w:color w:val="auto"/>
                <w:lang w:val="en-US" w:eastAsia="zh-CN"/>
              </w:rPr>
              <w:t>1.53</w:t>
            </w:r>
            <w:r>
              <w:rPr>
                <w:rFonts w:hint="eastAsia" w:ascii="宋体" w:hAnsi="宋体" w:eastAsia="宋体" w:cs="宋体"/>
                <w:color w:val="auto"/>
              </w:rPr>
              <w:t>mm，像素密度≥</w:t>
            </w:r>
            <w:r>
              <w:rPr>
                <w:rFonts w:hint="eastAsia" w:ascii="宋体" w:hAnsi="宋体" w:eastAsia="宋体" w:cs="宋体"/>
                <w:color w:val="auto"/>
                <w:lang w:val="en-US" w:eastAsia="zh-CN"/>
              </w:rPr>
              <w:t>422500</w:t>
            </w:r>
            <w:r>
              <w:rPr>
                <w:rFonts w:hint="eastAsia" w:ascii="宋体" w:hAnsi="宋体" w:eastAsia="宋体" w:cs="宋体"/>
                <w:color w:val="auto"/>
              </w:rPr>
              <w:t xml:space="preserve">点/㎡，刷新率不低于3840Hz                                                                                                                2、电路板采用多层PCB设计,采用抗消隐设计,无“毛毛虫、鬼影”跟随现象                                                                                              ★3、模组采用320*160mm标准尺寸，铝底壳工艺，模组立体散热等特点（要求提供带产品规格书彩页照片的报告）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★4、Type-C接口，信电合一，抗干扰，全集成，智能高效数据传输；电源信号可盲插，无需区分方向，安装稳定便利可靠（提供CNAS第三方检测报告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5、最高对比度支持10000：1，支持16bit灰度等级，可实现亮色度校正，支持主动式 3D 显示和 HDR 视频源输入</w:t>
            </w:r>
            <w:r>
              <w:rPr>
                <w:rFonts w:hint="eastAsia" w:ascii="宋体" w:hAnsi="宋体" w:eastAsia="宋体" w:cs="宋体"/>
                <w:color w:val="auto"/>
                <w:lang w:val="en-US" w:eastAsia="zh-CN"/>
              </w:rPr>
              <w:t>.</w:t>
            </w:r>
            <w:r>
              <w:rPr>
                <w:rFonts w:hint="eastAsia" w:ascii="宋体" w:hAnsi="宋体" w:eastAsia="宋体" w:cs="宋体"/>
                <w:color w:val="auto"/>
              </w:rPr>
              <w:t xml:space="preserve">                                                                                                                                                                                                                                                                  6、为适应室内长期观看，显示屏校正后亮度或白平衡亮度≥650nit，亮度均匀性＞98%。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7</w:t>
            </w:r>
            <w:r>
              <w:rPr>
                <w:rFonts w:hint="eastAsia" w:ascii="宋体" w:hAnsi="宋体" w:eastAsia="宋体" w:cs="宋体"/>
                <w:color w:val="auto"/>
              </w:rPr>
              <w:t>、支持设备在正常条件下连续工作168H,未出现机械及操作故障，故障平均修复时间3分钟，像素失控率≤1/100000,出厂为0，无连续失控点，图像轮廓锐利清晰、无拖影、无马赛克、灰尘效应（提供CNAS第三方检测报告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、支持自动gamma校正技术，通过构造非线性校正曲线和色坐标变化系数矩阵实现显示效果的不断改善，如色彩还原、色温调节范围、亮度均匀性、色度均匀性、刷新率、换帧频率等。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 xml:space="preserve">、系统支持信号、校正数据、接收卡文件备份；软件支持自检、远程监控，可实现通讯检测、温度检测、电源检测、温度监控等功能，从而保证显示屏的正常运行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、屏幕支持亮度、对比度、色度调节、视觉修正等调整功能，具备视频降噪、动态补偿等处理功能。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、要求所投LED显示屏厂家具有LED显示屏拼接误差的精度较低的技术（提供相关证明材料）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、支持动态节能降低功耗，产品峰值功耗：≤350W/㎡，平均功耗：≤115W/㎡（提供CNAS第三方检测报告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、为保证良好的观看体验，屏体前后左右方工作噪声声压dBA（距离1米）均≤</w:t>
            </w:r>
            <w:r>
              <w:rPr>
                <w:rFonts w:hint="eastAsia" w:ascii="宋体" w:hAnsi="宋体" w:eastAsia="宋体" w:cs="宋体"/>
                <w:color w:val="auto"/>
                <w:lang w:val="en-US" w:eastAsia="zh-CN"/>
              </w:rPr>
              <w:t>9</w:t>
            </w:r>
            <w:r>
              <w:rPr>
                <w:rFonts w:hint="eastAsia" w:ascii="宋体" w:hAnsi="宋体" w:eastAsia="宋体" w:cs="宋体"/>
                <w:color w:val="auto"/>
              </w:rPr>
              <w:t>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 xml:space="preserve">、防尘等级满足IP5X要求，PCB、塑料面板的阻燃等级达到V-0 级，样品表面无起泡、裂纹、毛刺、锈蚀现象，符合盐雾10级要求；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1</w:t>
            </w:r>
            <w:r>
              <w:rPr>
                <w:rFonts w:hint="eastAsia" w:ascii="宋体" w:hAnsi="宋体" w:eastAsia="宋体" w:cs="宋体"/>
                <w:color w:val="auto"/>
                <w:lang w:val="en-US" w:eastAsia="zh-CN"/>
              </w:rPr>
              <w:t>5</w:t>
            </w:r>
            <w:r>
              <w:rPr>
                <w:rFonts w:hint="eastAsia" w:ascii="宋体" w:hAnsi="宋体" w:eastAsia="宋体" w:cs="宋体"/>
                <w:color w:val="auto"/>
              </w:rPr>
              <w:t>、产品通过</w:t>
            </w:r>
            <w:r>
              <w:rPr>
                <w:rFonts w:hint="eastAsia" w:ascii="宋体" w:hAnsi="宋体" w:eastAsia="宋体" w:cs="宋体"/>
                <w:color w:val="auto"/>
                <w:lang w:val="en-US" w:eastAsia="zh-CN"/>
              </w:rPr>
              <w:t>MTBF平均失效间隔时间</w:t>
            </w:r>
            <w:r>
              <w:rPr>
                <w:rFonts w:hint="eastAsia" w:ascii="宋体" w:hAnsi="宋体" w:eastAsia="宋体" w:cs="宋体"/>
                <w:color w:val="auto"/>
              </w:rPr>
              <w:t>≥</w:t>
            </w:r>
            <w:r>
              <w:rPr>
                <w:rFonts w:hint="eastAsia" w:ascii="宋体" w:hAnsi="宋体" w:eastAsia="宋体" w:cs="宋体"/>
                <w:color w:val="auto"/>
                <w:lang w:val="en-US" w:eastAsia="zh-CN"/>
              </w:rPr>
              <w:t>100000小时，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w:t>
            </w:r>
            <w:r>
              <w:rPr>
                <w:rFonts w:hint="eastAsia" w:ascii="宋体" w:hAnsi="宋体" w:eastAsia="宋体" w:cs="宋体"/>
                <w:color w:val="auto"/>
                <w:lang w:val="en-US" w:eastAsia="zh-CN"/>
              </w:rPr>
              <w:t>16、产品通过防蓝光、紫外危害曝辐射值、宽波段光源对光生物安全的危害符合RG0等级国家标准。</w:t>
            </w:r>
            <w:r>
              <w:rPr>
                <w:rFonts w:hint="eastAsia" w:ascii="宋体" w:hAnsi="宋体" w:eastAsia="宋体" w:cs="宋体"/>
                <w:color w:val="auto"/>
              </w:rPr>
              <w:t>（提供CNAS第三方检测报告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cs="宋体"/>
                <w:color w:val="auto"/>
                <w:lang w:val="en-US" w:eastAsia="zh-CN"/>
              </w:rPr>
              <w:t>7</w:t>
            </w:r>
            <w:r>
              <w:rPr>
                <w:rFonts w:hint="eastAsia" w:ascii="宋体" w:hAnsi="宋体" w:eastAsia="宋体" w:cs="宋体"/>
                <w:color w:val="auto"/>
              </w:rPr>
              <w:t>、支持单条信号传输链路1080P区域，支持视频源色位深12bit，支持视频源输入频率低延时</w:t>
            </w:r>
            <w:r>
              <w:rPr>
                <w:rFonts w:hint="eastAsia" w:ascii="宋体" w:hAnsi="宋体" w:cs="宋体"/>
                <w:color w:val="auto"/>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cs="宋体"/>
                <w:color w:val="auto"/>
                <w:lang w:val="en-US" w:eastAsia="zh-CN"/>
              </w:rPr>
              <w:t>18</w:t>
            </w:r>
            <w:r>
              <w:rPr>
                <w:rFonts w:hint="eastAsia" w:ascii="宋体" w:hAnsi="宋体" w:eastAsia="宋体" w:cs="宋体"/>
                <w:color w:val="auto"/>
                <w:lang w:val="en-US" w:eastAsia="zh-CN"/>
              </w:rPr>
              <w:t>、</w:t>
            </w:r>
            <w:r>
              <w:rPr>
                <w:rFonts w:hint="eastAsia" w:ascii="宋体" w:hAnsi="宋体" w:eastAsia="宋体" w:cs="宋体"/>
                <w:color w:val="auto"/>
              </w:rPr>
              <w:t>LED</w:t>
            </w:r>
            <w:r>
              <w:rPr>
                <w:rFonts w:hint="eastAsia" w:ascii="宋体" w:hAnsi="宋体" w:cs="宋体"/>
                <w:color w:val="auto"/>
                <w:lang w:val="en-US" w:eastAsia="zh-CN"/>
              </w:rPr>
              <w:t>显示屏</w:t>
            </w:r>
            <w:r>
              <w:rPr>
                <w:rFonts w:hint="eastAsia" w:ascii="宋体" w:hAnsi="宋体" w:eastAsia="宋体" w:cs="宋体"/>
                <w:color w:val="auto"/>
              </w:rPr>
              <w:t>具有《中国环境标志</w:t>
            </w:r>
            <w:r>
              <w:rPr>
                <w:rFonts w:hint="eastAsia" w:ascii="宋体" w:hAnsi="宋体" w:eastAsia="宋体" w:cs="宋体"/>
                <w:color w:val="auto"/>
                <w:lang w:val="en-US" w:eastAsia="zh-CN"/>
              </w:rPr>
              <w:t>(Ⅱ型)</w:t>
            </w:r>
            <w:r>
              <w:rPr>
                <w:rFonts w:hint="eastAsia" w:ascii="宋体" w:hAnsi="宋体" w:eastAsia="宋体" w:cs="宋体"/>
                <w:color w:val="auto"/>
              </w:rPr>
              <w:t>产品认证证书》</w:t>
            </w:r>
          </w:p>
          <w:p>
            <w:pPr>
              <w:pStyle w:val="2"/>
              <w:keepNext w:val="0"/>
              <w:keepLines w:val="0"/>
              <w:pageBreakBefore w:val="0"/>
              <w:kinsoku/>
              <w:wordWrap/>
              <w:overflowPunct/>
              <w:topLinePunct w:val="0"/>
              <w:bidi w:val="0"/>
              <w:adjustRightInd/>
              <w:snapToGrid/>
              <w:spacing w:line="240" w:lineRule="auto"/>
              <w:ind w:left="40" w:right="0" w:rightChars="0" w:firstLine="0" w:firstLineChars="0"/>
              <w:textAlignment w:val="auto"/>
              <w:rPr>
                <w:rFonts w:hint="eastAsia" w:ascii="宋体" w:hAnsi="宋体" w:eastAsia="宋体" w:cs="宋体"/>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LED钢结构</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8.7</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tabs>
                <w:tab w:val="left" w:pos="680"/>
              </w:tabs>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按现场定制，焊接位置涂刷防锈漆，钢管厚度1.2MM,承重管子厚度1.5MM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15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color w:val="auto"/>
              </w:rPr>
              <w:t>智能控制盒</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29</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1、</w:t>
            </w:r>
            <w:r>
              <w:rPr>
                <w:rFonts w:hint="eastAsia" w:ascii="宋体" w:hAnsi="宋体" w:eastAsia="宋体" w:cs="宋体"/>
                <w:color w:val="auto"/>
              </w:rPr>
              <w:t>可最大带载 512×512@60Hz，可荷载4.5V/36A,接口采用新式的 Type-c 接插件接口</w:t>
            </w:r>
            <w:r>
              <w:rPr>
                <w:rFonts w:hint="eastAsia" w:ascii="宋体" w:hAnsi="宋体" w:eastAsia="宋体" w:cs="宋体"/>
                <w:color w:val="auto"/>
                <w:lang w:val="en-US" w:eastAsia="zh-CN"/>
              </w:rPr>
              <w:t>(提供产品接口图片佐证)</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color w:val="auto"/>
                <w:lang w:val="en-US" w:eastAsia="zh-CN"/>
              </w:rPr>
              <w:t>2、</w:t>
            </w:r>
            <w:r>
              <w:rPr>
                <w:rFonts w:hint="eastAsia" w:ascii="宋体" w:hAnsi="宋体" w:eastAsia="宋体" w:cs="宋体"/>
                <w:color w:val="auto"/>
              </w:rPr>
              <w:t>支持多层校正和画质引擎技术。同时，还支持 HDR、快速亮暗线调节、低延迟、逐点亮色度校正、3D、RGB 独立 Gamma 调节、画面 90°倍数旋转、显示屏任意角度旋转等功能，多方面提升显示屏的亮度、灰度和色彩表现</w:t>
            </w:r>
            <w:r>
              <w:rPr>
                <w:rFonts w:hint="eastAsia" w:ascii="宋体" w:hAnsi="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lang w:val="en-US" w:eastAsia="zh-CN"/>
              </w:rPr>
              <w:t>3</w:t>
            </w:r>
            <w:r>
              <w:rPr>
                <w:rStyle w:val="44"/>
                <w:rFonts w:hint="eastAsia" w:ascii="宋体" w:hAnsi="宋体" w:eastAsia="宋体" w:cs="宋体"/>
                <w:color w:val="auto"/>
                <w:sz w:val="21"/>
                <w:szCs w:val="21"/>
                <w:lang w:val="en-US" w:eastAsia="zh-CN" w:bidi="ar"/>
              </w:rPr>
              <w:t>、内</w:t>
            </w:r>
            <w:r>
              <w:rPr>
                <w:rFonts w:hint="eastAsia" w:ascii="宋体" w:hAnsi="宋体" w:eastAsia="宋体" w:cs="宋体"/>
                <w:bCs/>
                <w:color w:val="auto"/>
                <w:szCs w:val="21"/>
                <w:lang w:val="en-US" w:eastAsia="zh-CN"/>
              </w:rPr>
              <w:t>置支持 3D 功能的独立主控，在软件或独立主控的操作面板上开启 3D 功能，并设置 3D 参数，使画面显示 3D 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视频处理器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支持</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sz w:val="21"/>
                <w:szCs w:val="21"/>
              </w:rPr>
              <w:t>5 路输入接口，包括1 路DVI，</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路HDMI1.3，1 路VGA，1 路USB 播放。</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支持窗口位置、大小调整及窗口截取功能。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投屏输入子卡安装后支持使用鼠标或键盘进行控制和手机电脑等无线投屏和 U 盘播放。</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支持输入源一键切换</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支持外置独立音频</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支持DVI、HDMI 的输入分辨率预设及自定义调节。</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支持画面一键全屏缩放、点对点显示、自定义缩放三种缩放模式</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支持快捷点屏，简单操作即可完成屏体配置。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支持</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个网口输出，最大带载</w:t>
            </w:r>
            <w:r>
              <w:rPr>
                <w:rFonts w:hint="eastAsia" w:ascii="宋体" w:hAnsi="宋体" w:eastAsia="宋体" w:cs="宋体"/>
                <w:b w:val="0"/>
                <w:bCs/>
                <w:color w:val="auto"/>
                <w:sz w:val="21"/>
                <w:szCs w:val="21"/>
                <w:lang w:val="en-US" w:eastAsia="zh-CN"/>
              </w:rPr>
              <w:t>39</w:t>
            </w:r>
            <w:r>
              <w:rPr>
                <w:rFonts w:hint="eastAsia" w:ascii="宋体" w:hAnsi="宋体" w:eastAsia="宋体" w:cs="宋体"/>
                <w:b w:val="0"/>
                <w:bCs/>
                <w:color w:val="auto"/>
                <w:sz w:val="21"/>
                <w:szCs w:val="21"/>
              </w:rPr>
              <w:t>0 万像素，最大宽度 3840 像素，最大高度 1920像素。</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 xml:space="preserve">支持创建 </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color w:val="auto"/>
                <w:sz w:val="21"/>
                <w:szCs w:val="21"/>
              </w:rPr>
              <w:t>6 个用户场景作为模板保存，可直接调用，方便使用。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支持通过RS232 协议连接中控设备。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视频发送支持抗干扰单数据双备份传输技术，提高视频传输方式的抗干扰能力，降低传输失败的概率。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17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配电柜</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10KW户内配电箱</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1、设备支持PLC远程上断电；支持定时开关机，支持各通道自定义开关时间；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2、支持过载、短路保护功能；支持逐级延时上断电（每通道间隔1秒）；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3、支持通道状态监测、支持通讯状态监测；</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4、设备支持多种控制模式：手动控制、RJ45网口通讯；可配本地电脑控制软件，也可接入用户中控系统，支持Modbus TCP协议；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eastAsia="zh-CN"/>
              </w:rPr>
            </w:pPr>
            <w:r>
              <w:rPr>
                <w:rFonts w:hint="eastAsia" w:ascii="宋体" w:hAnsi="宋体" w:eastAsia="宋体" w:cs="宋体"/>
                <w:color w:val="auto"/>
                <w:lang w:val="en-US" w:eastAsia="zh-CN"/>
              </w:rPr>
              <w:t>5、支持多用户权限管理；支持传感器联动通道执行预案；支持远程时间校正；                                                            6、</w:t>
            </w:r>
            <w:r>
              <w:rPr>
                <w:rFonts w:hint="eastAsia" w:ascii="宋体" w:hAnsi="宋体" w:eastAsia="宋体" w:cs="宋体"/>
                <w:color w:val="auto"/>
              </w:rPr>
              <w:t>器件品牌：国家强制性认证3C元件</w:t>
            </w:r>
            <w:r>
              <w:rPr>
                <w:rFonts w:hint="eastAsia" w:ascii="宋体" w:hAnsi="宋体" w:eastAsia="宋体" w:cs="宋体"/>
                <w:color w:val="auto"/>
                <w:lang w:val="en-US" w:eastAsia="zh-CN"/>
              </w:rPr>
              <w:t xml:space="preserve">  ；                                                 7、</w:t>
            </w:r>
            <w:r>
              <w:rPr>
                <w:rFonts w:hint="eastAsia" w:ascii="宋体" w:hAnsi="宋体" w:eastAsia="宋体" w:cs="宋体"/>
                <w:color w:val="auto"/>
              </w:rPr>
              <w:t xml:space="preserve">支持显示屏一键启动，PLC逐级上电 </w:t>
            </w:r>
            <w:r>
              <w:rPr>
                <w:rFonts w:hint="eastAsia" w:ascii="宋体" w:hAnsi="宋体" w:eastAsia="宋体" w:cs="宋体"/>
                <w:color w:val="auto"/>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i w:val="0"/>
                <w:color w:val="auto"/>
                <w:kern w:val="0"/>
                <w:sz w:val="20"/>
                <w:szCs w:val="20"/>
                <w:u w:val="none"/>
                <w:lang w:val="en-US" w:eastAsia="zh-CN" w:bidi="ar"/>
              </w:rPr>
              <w:t>具有高温报警同时进行高温断电、浪涌、短路、过流、过载等保护功能、内置避雷器，具有避雷防雷功能。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1.CPU：不差于intel i7-12700,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物理核数≥12核20线程，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主频≥睿频4.9Ghz，末级缓存容量≥25MB</w:t>
            </w:r>
            <w:r>
              <w:rPr>
                <w:rFonts w:hint="eastAsia" w:ascii="宋体" w:hAnsi="宋体" w:cs="宋体"/>
                <w:b w:val="0"/>
                <w:bCs/>
                <w:color w:val="auto"/>
                <w:sz w:val="21"/>
                <w:szCs w:val="21"/>
                <w:lang w:eastAsia="zh-CN"/>
              </w:rPr>
              <w:t>；</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固态盘数量≥1个，固态存储容量≥500GB，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5.显卡：不差于RTX3060，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显存类型不低于GDDR6，显存位宽≥ 192位，独立显卡显存容量≥12G，显卡显示芯片核心频率≥1800MHz；</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7.电源：≥500W</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p>
            <w:pPr>
              <w:keepNext w:val="0"/>
              <w:keepLines w:val="0"/>
              <w:pageBreakBefore w:val="0"/>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9.配套工控机机箱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19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前级处理器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1.≥96KHz采样频率，32-bitDSP处理器，24-bitA/D及D/A转换</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2.可通过面板按键密码锁定操作功能，提供≥4路话筒放大输入和线路输入，带48V幻想电源，急速寻找与抑制啸叫频点</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3.每通道独立≥12个固定滤波器和12个动态滤波器，可通过“系统”键来设定固定或动态滤波器的个数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4.可通过面板的≥48个LED啸叫点指示灯，显示当前啸叫点个数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5.单机提供≥30组设备数据存储，存储压缩，限幅，噪声门的参数。关机后可保存关机前的啸叫抑制状态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6.输入阻抗：平衡20KΩ、输出阻抗：平衡100Ω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7.输入共模拟制比：≥70dB(1KHz)、输出范围：≤25dBu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8.频率相应：20Hz-20KHz(-0.3dB)、信噪比：&gt;110dB@1KHz0dBu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9.失真度：﹤0.01%OUTPUT=0dBu/1KHz、信道分离度：&gt;110dB（1KHz）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音响</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 额定功率： 3.8/7.5/15/30W/8Ω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 峰值功率：</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60W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 输入方式：100V或者8Ω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 频响：90Hz-20KHz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 灵敏度：</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89db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 尺寸：230/150MM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 开孔面积：Φ200MM</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rPr>
            </w:pPr>
            <w:r>
              <w:rPr>
                <w:rFonts w:hint="eastAsia" w:ascii="宋体" w:hAnsi="宋体" w:eastAsia="宋体" w:cs="宋体"/>
                <w:bCs/>
                <w:color w:val="auto"/>
                <w:sz w:val="21"/>
                <w:szCs w:val="21"/>
              </w:rPr>
              <w:t>8 材料：ABS面板，铁后桶，6.5寸同轴吸顶喇叭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21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功放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1、线路类型 :      class 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2、功率输出:（8Ω） 2*</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 xml:space="preserve">信燥比（20HZ-20KHZ）8Ω ： &gt;95DB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 xml:space="preserve">、失真(@8Ω 1KHZ)  ： &lt;0.5%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、输入灵敏度 ：≤1000mV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、频率响应 ：   20HZ-20KHZ（±1dB）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、阻尼系数 ：8Ω@1Khz： ≥230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功放保护 ：具有输出短路,过热,自动限幅,长期输出功率,直流/交流保护装置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22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LED屏</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rPr>
              <w:t>1、像素间距≤</w:t>
            </w:r>
            <w:r>
              <w:rPr>
                <w:rFonts w:hint="eastAsia" w:ascii="宋体" w:hAnsi="宋体" w:eastAsia="宋体" w:cs="宋体"/>
                <w:color w:val="auto"/>
                <w:lang w:val="en-US" w:eastAsia="zh-CN"/>
              </w:rPr>
              <w:t>1.53</w:t>
            </w:r>
            <w:r>
              <w:rPr>
                <w:rFonts w:hint="eastAsia" w:ascii="宋体" w:hAnsi="宋体" w:eastAsia="宋体" w:cs="宋体"/>
                <w:color w:val="auto"/>
              </w:rPr>
              <w:t>mm，像素密度≥</w:t>
            </w:r>
            <w:r>
              <w:rPr>
                <w:rFonts w:hint="eastAsia" w:ascii="宋体" w:hAnsi="宋体" w:eastAsia="宋体" w:cs="宋体"/>
                <w:color w:val="auto"/>
                <w:lang w:val="en-US" w:eastAsia="zh-CN"/>
              </w:rPr>
              <w:t>422500</w:t>
            </w:r>
            <w:r>
              <w:rPr>
                <w:rFonts w:hint="eastAsia" w:ascii="宋体" w:hAnsi="宋体" w:eastAsia="宋体" w:cs="宋体"/>
                <w:color w:val="auto"/>
              </w:rPr>
              <w:t xml:space="preserve">点/㎡，刷新率不低于3840Hz                                                                                                                2、电路板采用多层PCB设计,采用抗消隐设计,无“毛毛虫、鬼影”跟随现象                                                                                              ★3、模组采用320*160mm标准尺寸，铝底壳工艺，模组立体散热等特点（要求提供带产品规格书彩页照片的报告）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★4、Type-C接口，信电合一，抗干扰，全集成，智能高效数据传输；电源信号可盲插，无需区分方向，安装稳定便利可靠（提供CNAS第三方检测报告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5、最高对比度支持10000：1，支持16bit灰度等级，可实现亮色度校正，支持主动式 3D 显示和 HDR 视频源输入</w:t>
            </w:r>
            <w:r>
              <w:rPr>
                <w:rFonts w:hint="eastAsia" w:ascii="宋体" w:hAnsi="宋体" w:eastAsia="宋体" w:cs="宋体"/>
                <w:color w:val="auto"/>
                <w:lang w:val="en-US" w:eastAsia="zh-CN"/>
              </w:rPr>
              <w:t>.</w:t>
            </w:r>
            <w:r>
              <w:rPr>
                <w:rFonts w:hint="eastAsia" w:ascii="宋体" w:hAnsi="宋体" w:eastAsia="宋体" w:cs="宋体"/>
                <w:color w:val="auto"/>
              </w:rPr>
              <w:t xml:space="preserve">                                                                                                                                                                                                                                                                  6、为适应室内长期观看，显示屏校正后亮度或白平衡亮度≥650nit，亮度均匀性＞98%。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7</w:t>
            </w:r>
            <w:r>
              <w:rPr>
                <w:rFonts w:hint="eastAsia" w:ascii="宋体" w:hAnsi="宋体" w:eastAsia="宋体" w:cs="宋体"/>
                <w:color w:val="auto"/>
              </w:rPr>
              <w:t>、支持设备在正常条件下连续工作168H,未出现机械及操作故障，故障平均修复时间3分钟，像素失控率≤1/100000,出厂为0，无连续失控点，图像轮廓锐利清晰、无拖影、无马赛克、灰尘效应（提供CNAS第三方检测报告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、支持自动gamma校正技术，通过构造非线性校正曲线和色坐标变化系数矩阵实现显示效果的不断改善，如色彩还原、色温调节范围、亮度均匀性、色度均匀性、刷新率、换帧频率等。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、系统支持信号、校正数据、接收卡文件备份；软件支持自检、远程监控，可实现通讯检测、温度检测、电源检测、温度监控等功能，从而保证显示屏的正常运行</w:t>
            </w:r>
            <w:r>
              <w:rPr>
                <w:rFonts w:hint="eastAsia" w:ascii="宋体" w:hAnsi="宋体" w:cs="宋体"/>
                <w:color w:val="auto"/>
                <w:lang w:eastAsia="zh-CN"/>
              </w:rPr>
              <w:t>。</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、屏幕支持亮度、对比度、色度调节、视觉修正等调整功能，具备视频降噪、动态补偿等处理功能。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11、要求所投LED显示屏厂家具有LED显示屏拼接误差的精度较低的技术（提供相关证明材料）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、★支持动态节能降低功耗，产品峰值功耗：≤350W/㎡，平均功耗：≤115W/㎡（提供CNAS第三方检测报告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、为保证良好的观看体验，屏体前后左右方工作噪声声压dBA（距离1米）均≤</w:t>
            </w:r>
            <w:r>
              <w:rPr>
                <w:rFonts w:hint="eastAsia" w:ascii="宋体" w:hAnsi="宋体" w:eastAsia="宋体" w:cs="宋体"/>
                <w:color w:val="auto"/>
                <w:lang w:val="en-US" w:eastAsia="zh-CN"/>
              </w:rPr>
              <w:t>9</w:t>
            </w:r>
            <w:r>
              <w:rPr>
                <w:rFonts w:hint="eastAsia" w:ascii="宋体" w:hAnsi="宋体" w:eastAsia="宋体" w:cs="宋体"/>
                <w:color w:val="auto"/>
              </w:rPr>
              <w:t>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 xml:space="preserve">、防尘等级满足IP5X要求，PCB、塑料面板的阻燃等级达到V-0 级，样品表面无起泡、裂纹、毛刺、锈蚀现象，符合盐雾10级要求；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1</w:t>
            </w:r>
            <w:r>
              <w:rPr>
                <w:rFonts w:hint="eastAsia" w:ascii="宋体" w:hAnsi="宋体" w:eastAsia="宋体" w:cs="宋体"/>
                <w:color w:val="auto"/>
                <w:lang w:val="en-US" w:eastAsia="zh-CN"/>
              </w:rPr>
              <w:t>5</w:t>
            </w:r>
            <w:r>
              <w:rPr>
                <w:rFonts w:hint="eastAsia" w:ascii="宋体" w:hAnsi="宋体" w:eastAsia="宋体" w:cs="宋体"/>
                <w:color w:val="auto"/>
              </w:rPr>
              <w:t>、产品通过</w:t>
            </w:r>
            <w:r>
              <w:rPr>
                <w:rFonts w:hint="eastAsia" w:ascii="宋体" w:hAnsi="宋体" w:eastAsia="宋体" w:cs="宋体"/>
                <w:color w:val="auto"/>
                <w:lang w:val="en-US" w:eastAsia="zh-CN"/>
              </w:rPr>
              <w:t>MTBF平均失效间隔时间</w:t>
            </w:r>
            <w:r>
              <w:rPr>
                <w:rFonts w:hint="eastAsia" w:ascii="宋体" w:hAnsi="宋体" w:eastAsia="宋体" w:cs="宋体"/>
                <w:color w:val="auto"/>
              </w:rPr>
              <w:t>≥</w:t>
            </w:r>
            <w:r>
              <w:rPr>
                <w:rFonts w:hint="eastAsia" w:ascii="宋体" w:hAnsi="宋体" w:eastAsia="宋体" w:cs="宋体"/>
                <w:color w:val="auto"/>
                <w:lang w:val="en-US" w:eastAsia="zh-CN"/>
              </w:rPr>
              <w:t>100000小时，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16、</w:t>
            </w:r>
            <w:r>
              <w:rPr>
                <w:rFonts w:hint="eastAsia" w:ascii="宋体" w:hAnsi="宋体" w:eastAsia="宋体" w:cs="宋体"/>
                <w:color w:val="auto"/>
              </w:rPr>
              <w:t>★</w:t>
            </w:r>
            <w:r>
              <w:rPr>
                <w:rFonts w:hint="eastAsia" w:ascii="宋体" w:hAnsi="宋体" w:eastAsia="宋体" w:cs="宋体"/>
                <w:color w:val="auto"/>
                <w:lang w:val="en-US" w:eastAsia="zh-CN"/>
              </w:rPr>
              <w:t>产品通过防蓝光、紫外危害曝辐射值、宽波段光源对光生物安全的危害符合RG0等级国家标准。</w:t>
            </w:r>
            <w:r>
              <w:rPr>
                <w:rFonts w:hint="eastAsia" w:ascii="宋体" w:hAnsi="宋体" w:eastAsia="宋体" w:cs="宋体"/>
                <w:color w:val="auto"/>
              </w:rPr>
              <w:t>（提供CNAS第三方检测报告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cs="宋体"/>
                <w:color w:val="auto"/>
                <w:lang w:val="en-US" w:eastAsia="zh-CN"/>
              </w:rPr>
              <w:t>7</w:t>
            </w:r>
            <w:r>
              <w:rPr>
                <w:rFonts w:hint="eastAsia" w:ascii="宋体" w:hAnsi="宋体" w:eastAsia="宋体" w:cs="宋体"/>
                <w:color w:val="auto"/>
              </w:rPr>
              <w:t>、支持单条信号传输链路1080P区域，支持视频源色位深12bit，支持视频源输入频率低延时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cs="宋体"/>
                <w:color w:val="auto"/>
                <w:lang w:val="en-US" w:eastAsia="zh-CN"/>
              </w:rPr>
              <w:t>18</w:t>
            </w:r>
            <w:r>
              <w:rPr>
                <w:rFonts w:hint="eastAsia" w:ascii="宋体" w:hAnsi="宋体" w:eastAsia="宋体" w:cs="宋体"/>
                <w:color w:val="auto"/>
                <w:lang w:val="en-US" w:eastAsia="zh-CN"/>
              </w:rPr>
              <w:t>、</w:t>
            </w:r>
            <w:r>
              <w:rPr>
                <w:rFonts w:hint="eastAsia" w:ascii="宋体" w:hAnsi="宋体" w:eastAsia="宋体" w:cs="宋体"/>
                <w:color w:val="auto"/>
              </w:rPr>
              <w:t>LED</w:t>
            </w:r>
            <w:r>
              <w:rPr>
                <w:rFonts w:hint="eastAsia" w:ascii="宋体" w:hAnsi="宋体" w:cs="宋体"/>
                <w:color w:val="auto"/>
                <w:lang w:val="en-US" w:eastAsia="zh-CN"/>
              </w:rPr>
              <w:t>显示屏</w:t>
            </w:r>
            <w:r>
              <w:rPr>
                <w:rFonts w:hint="eastAsia" w:ascii="宋体" w:hAnsi="宋体" w:eastAsia="宋体" w:cs="宋体"/>
                <w:color w:val="auto"/>
              </w:rPr>
              <w:t>具有《中国环境标志</w:t>
            </w:r>
            <w:r>
              <w:rPr>
                <w:rFonts w:hint="eastAsia" w:ascii="宋体" w:hAnsi="宋体" w:eastAsia="宋体" w:cs="宋体"/>
                <w:color w:val="auto"/>
                <w:lang w:val="en-US" w:eastAsia="zh-CN"/>
              </w:rPr>
              <w:t>(Ⅱ型)</w:t>
            </w:r>
            <w:r>
              <w:rPr>
                <w:rFonts w:hint="eastAsia" w:ascii="宋体" w:hAnsi="宋体" w:eastAsia="宋体" w:cs="宋体"/>
                <w:color w:val="auto"/>
              </w:rPr>
              <w:t>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23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LED钢结构</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tabs>
                <w:tab w:val="left" w:pos="1200"/>
              </w:tabs>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现场定制，焊接位置涂刷防锈漆，钢管厚度1.2MM,承重管子厚度1.5MM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color w:val="auto"/>
              </w:rPr>
              <w:t>智能控制盒</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1、</w:t>
            </w:r>
            <w:r>
              <w:rPr>
                <w:rFonts w:hint="eastAsia" w:ascii="宋体" w:hAnsi="宋体" w:eastAsia="宋体" w:cs="宋体"/>
                <w:color w:val="auto"/>
              </w:rPr>
              <w:t>可最大带载 512×512@60Hz，可荷载4.5V/36A,接口采用新式的 Type-c 接插件接口</w:t>
            </w:r>
            <w:r>
              <w:rPr>
                <w:rFonts w:hint="eastAsia" w:ascii="宋体" w:hAnsi="宋体" w:eastAsia="宋体" w:cs="宋体"/>
                <w:color w:val="auto"/>
                <w:lang w:val="en-US" w:eastAsia="zh-CN"/>
              </w:rPr>
              <w:t>(提供产品接口图片佐证)</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color w:val="auto"/>
                <w:lang w:val="en-US" w:eastAsia="zh-CN"/>
              </w:rPr>
              <w:t>2、</w:t>
            </w:r>
            <w:r>
              <w:rPr>
                <w:rFonts w:hint="eastAsia" w:ascii="宋体" w:hAnsi="宋体" w:eastAsia="宋体" w:cs="宋体"/>
                <w:color w:val="auto"/>
              </w:rPr>
              <w:t>支持多层校正和画质引擎技术。同时，还支持 HDR、快速亮暗线调节、低延迟、逐点亮色度校正、3D、RGB 独立 Gamma 调节、画面 90°倍数旋转、显示屏任意角度旋转等功能，多方面提升显示屏的亮度、灰度和色彩表现</w:t>
            </w:r>
            <w:r>
              <w:rPr>
                <w:rFonts w:hint="eastAsia" w:ascii="宋体" w:hAnsi="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lang w:val="en-US" w:eastAsia="zh-CN"/>
              </w:rPr>
              <w:t>3</w:t>
            </w:r>
            <w:r>
              <w:rPr>
                <w:rStyle w:val="44"/>
                <w:rFonts w:hint="eastAsia" w:ascii="宋体" w:hAnsi="宋体" w:eastAsia="宋体" w:cs="宋体"/>
                <w:color w:val="auto"/>
                <w:sz w:val="21"/>
                <w:szCs w:val="21"/>
                <w:lang w:val="en-US" w:eastAsia="zh-CN" w:bidi="ar"/>
              </w:rPr>
              <w:t>、内</w:t>
            </w:r>
            <w:r>
              <w:rPr>
                <w:rFonts w:hint="eastAsia" w:ascii="宋体" w:hAnsi="宋体" w:eastAsia="宋体" w:cs="宋体"/>
                <w:bCs/>
                <w:color w:val="auto"/>
                <w:szCs w:val="21"/>
                <w:lang w:val="en-US" w:eastAsia="zh-CN"/>
              </w:rPr>
              <w:t>置支持 3D 功能的独立主控，在软件或独立主控的操作面板上开启 3D 功能，并设置 3D 参数，使画面显示 3D 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视频处理器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支持≥5 路输入接口，包括1 路DVI，1 路HDMI1.3，1 路VGA，1 路USB 播放，1 路CVBS，1 路选配扩展子卡。</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支持窗口位置、大小调整及窗口截取功能。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投屏输入子卡安装后支持使用鼠标或键盘进行控制和手机电脑等无线投屏和 U 盘播放。</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支持输入源一键切换</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支持外置独立音频</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支持DVI、HDMI 的输入分辨率预设及自定义调节。</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支持画面一键全屏缩放、点对点显示、自定义缩放三种缩放模式</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支持快捷点屏，简单操作即可完成屏体配置。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支持≥ 4 个网口输出，最大带载 260 万像素，最大宽度 3840 像素，最大高度 1920像素。</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支持创建 ≥6 个用户场景作为模板保存，可直接调用，方便使用。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支持通过RS232 协议连接中控设备。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视频发送支持抗干扰单数据双备份传输技术，提高视频传输方式的抗干扰能力，降低传输失败的概率。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i7-12700,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物理核数≥12核20线程，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主频≥睿频4.9Ghz，末级缓存容量≥25MB;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固态盘数量≥1个，固态存储容量≥256GB，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5.显卡：不差于RTX3060，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显存类型不低于GDDR6，显存位宽≥ 192位，独立显卡显存容量≥12G，显卡显示芯片核心频率≥1800MHz；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7.电源：≥650W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55”</w:t>
            </w:r>
            <w:r>
              <w:rPr>
                <w:rFonts w:hint="eastAsia" w:ascii="宋体" w:hAnsi="宋体" w:eastAsia="宋体" w:cs="宋体"/>
                <w:b w:val="0"/>
                <w:bCs/>
                <w:color w:val="auto"/>
                <w:sz w:val="21"/>
                <w:szCs w:val="21"/>
              </w:rPr>
              <w:t>拼接屏</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 xml:space="preserve">55英寸 </w:t>
            </w:r>
            <w:r>
              <w:rPr>
                <w:rFonts w:hint="eastAsia" w:ascii="宋体" w:hAnsi="宋体" w:eastAsia="宋体" w:cs="宋体"/>
                <w:b/>
                <w:bCs w:val="0"/>
                <w:color w:val="auto"/>
                <w:sz w:val="21"/>
                <w:szCs w:val="21"/>
                <w:lang w:val="en-US" w:eastAsia="zh-CN"/>
              </w:rPr>
              <w:t>1.7MM</w:t>
            </w:r>
            <w:r>
              <w:rPr>
                <w:rFonts w:hint="eastAsia" w:ascii="宋体" w:hAnsi="宋体" w:eastAsia="宋体" w:cs="宋体"/>
                <w:b/>
                <w:bCs w:val="0"/>
                <w:color w:val="auto"/>
                <w:sz w:val="21"/>
                <w:szCs w:val="21"/>
              </w:rPr>
              <w:t>拼接屏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1、显示尺寸：55 inch、背光源类型：D-LED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2、物理拼缝：1.7 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3、物理拼缝公差：±0.8 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4、物理分辨率：</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1920 × 1080@60Hz（向下兼容）</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5、亮度：</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500 cd/m²</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6、可视角：</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178°(水平) / 178°(垂直)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7、对比度：</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1200：1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8、音视频输入接口：HDMI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 DVI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 VGA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 USB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1、音视频输出接口：HDMI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9、控制接口：RS232 IN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1，RS232 OUT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 xml:space="preserve">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★10、LCD显示单元物理拼缝≤1.7mm，亮度</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500cd/㎡，对比度</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1200:1,图像显示清晰度≥950TVL，亮度鉴别等级为11级，亮度均匀性≥90%（提供权威部门出具的检验报告</w:t>
            </w:r>
            <w:r>
              <w:rPr>
                <w:rFonts w:hint="eastAsia" w:ascii="宋体" w:hAnsi="宋体" w:cs="宋体"/>
                <w:b w:val="0"/>
                <w:bCs/>
                <w:color w:val="auto"/>
                <w:sz w:val="21"/>
                <w:szCs w:val="21"/>
                <w:lang w:val="en-US" w:eastAsia="zh-CN"/>
              </w:rPr>
              <w:t>扫描件</w:t>
            </w:r>
            <w:r>
              <w:rPr>
                <w:rFonts w:hint="eastAsia" w:ascii="宋体" w:hAnsi="宋体" w:eastAsia="宋体" w:cs="宋体"/>
                <w:b w:val="0"/>
                <w:bCs/>
                <w:color w:val="auto"/>
                <w:sz w:val="21"/>
                <w:szCs w:val="21"/>
                <w:lang w:val="en-US"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11、显控系统设备间支持信息交互功能，通过平台/客户端界面能够查看屏幕运维信息，包括使用时长、序列号、温度、亮度、显示模式，支持下发配置屏幕参数。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12、显控系统支持通过自动识别屏幕的行列号信息，能根据行列号信息，自动生成对应的电视墙规模和绑定输出口关系，无需手动一对一设置输出口和LCD屏幕的对应关系。</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★13、显控系统支持自动检测输入源的信号类型，根据信号源类型和显示位置，自动配置信号源所在屏幕的显示场景模式。（提供封面具有CMA、ilac-MRA、CNAS标志的国家级检测机构的检测报告）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★14、显控系统支持远程开关机控制，支持拼接墙整墙的开关机、定时开关机操作。（提供封面具有CMA、ilac-MRA、CNAS标志的权威检测机构的检测报告）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i7-12700,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物理核数≥12核20线程，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主频≥睿频4.9Ghz，末级缓存容量≥25MB;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固态盘数量≥1个，固态存储容量≥256GB，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5.显卡：不差于RTX3060，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显存类型不低于GDDR6，显存位宽≥ 192位，独立显卡显存容量≥12G，显卡显示芯片核心频率≥1800MHz；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7.电源：≥650W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29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拼控器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4进12出LCD拼控器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1、每个屏幕可以自定义与其他屏幕不同的输出分辨率。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2、输出接口同步拼接：采用帧同步技术，保证所有输出接口的输出图像完全同步，画面完整，播放流畅，无卡顿丢帧情况，无撕裂和拼缝现象。</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3、支持单卡单接口配屏和跨卡多接口配屏、支持对显示单元的拼接缝进行边缘补偿。</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r>
              <w:rPr>
                <w:rStyle w:val="55"/>
                <w:rFonts w:hint="eastAsia" w:ascii="宋体" w:hAnsi="宋体" w:eastAsia="宋体" w:cs="宋体"/>
                <w:color w:val="auto"/>
                <w:sz w:val="21"/>
                <w:szCs w:val="21"/>
                <w:lang w:val="en-US" w:eastAsia="zh-CN" w:bidi="ar"/>
              </w:rPr>
              <w:t>输入接口：VGA(D-Sub)</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1、DVI-D</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1、HDMI</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1、RS232(RJ45)</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1、USB（升级和多媒体）</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1、输出接口：RS232(RJ45)</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1、HDMI</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5、输入源台标管理：对输入源设置文字台标，方便输入源的识别。</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6、支持输入源截取和截取源重命名：对输入源画面进行任意截取，形成一个新的输入源，不影响原输入源的使用，支持输入源HDCP自动解码和小数帧频。</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8、输入源分组：支持对输入源进行分组管理。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9、自定义用户场景：</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2000个用户自定义场景，支持场景无缝切换；场景切换响应速度＜60ms。</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10、场景自动定时轮巡：可以选择每个场景是否参与自动轮巡，方便监控。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11、采用Web端控制，操作实时响应，采用1000M/100M自适应网络接口，支持多用户同时访问。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12、支持设备自检，系统自动监测和告警：支持硬件监控，异常报警，包括风扇转速、各模块温度及电压、运行状态等设备监测。</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★13、输入输出分辨率自定义设置，可保存为 EDID模板，并可导入导出，多种分辨率设置模式可选，包括:预设分辨率、自定义分辨率。 EDID模板，自定义分排率最大支持8192x1080@60Hz;支持高级时序(水平垂直总宽度、两侧、同步等）设置。（提供首页有CNAS标识的权威机构出具的检测报告</w:t>
            </w:r>
            <w:r>
              <w:rPr>
                <w:rFonts w:hint="eastAsia" w:ascii="宋体" w:hAnsi="宋体" w:cs="宋体"/>
                <w:b w:val="0"/>
                <w:bCs/>
                <w:color w:val="auto"/>
                <w:sz w:val="21"/>
                <w:szCs w:val="21"/>
                <w:lang w:val="en-US" w:eastAsia="zh-CN"/>
              </w:rPr>
              <w:t>扫描件</w:t>
            </w:r>
            <w:r>
              <w:rPr>
                <w:rFonts w:hint="eastAsia" w:ascii="宋体" w:hAnsi="宋体" w:eastAsia="宋体" w:cs="宋体"/>
                <w:b w:val="0"/>
                <w:bCs/>
                <w:color w:val="auto"/>
                <w:sz w:val="21"/>
                <w:szCs w:val="21"/>
                <w:lang w:val="en-US"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14、支持实时上屏和预编上屏两种模式，实时上屏模式可实现用户编辑实时上屏显示；预编上屏模式支持在软件端进行显示内容预编辑后上屏显示。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15、可对输入图像画面添加文字，可调整横向字幕及竖直方向的字幕，支持静态及动态字幕，支持字体替换，支持数字时钟显示。支持字幕步径调节，可支持上下左右随意移动（提供首页有CNAS标识的权威机构出具的检测报告</w:t>
            </w:r>
            <w:r>
              <w:rPr>
                <w:rFonts w:hint="eastAsia" w:ascii="宋体" w:hAnsi="宋体" w:cs="宋体"/>
                <w:b w:val="0"/>
                <w:bCs/>
                <w:color w:val="auto"/>
                <w:sz w:val="21"/>
                <w:szCs w:val="21"/>
                <w:lang w:val="en-US" w:eastAsia="zh-CN"/>
              </w:rPr>
              <w:t>扫描件</w:t>
            </w:r>
            <w:r>
              <w:rPr>
                <w:rFonts w:hint="eastAsia" w:ascii="宋体" w:hAnsi="宋体" w:eastAsia="宋体" w:cs="宋体"/>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壁挂支架</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both"/>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rPr>
              <w:t>前维护支架 适配尺寸 55″</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支持弹起式，</w:t>
            </w:r>
            <w:r>
              <w:rPr>
                <w:rFonts w:hint="eastAsia" w:ascii="宋体" w:hAnsi="宋体" w:eastAsia="宋体" w:cs="宋体"/>
                <w:b w:val="0"/>
                <w:bCs/>
                <w:color w:val="auto"/>
                <w:sz w:val="21"/>
                <w:szCs w:val="21"/>
                <w:lang w:val="en-US" w:eastAsia="zh-CN"/>
              </w:rPr>
              <w:t>液压支撑杆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红外触摸框</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定制1*10红外触摸框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触摸点 真实</w:t>
            </w:r>
            <w:r>
              <w:rPr>
                <w:rFonts w:hint="eastAsia" w:ascii="宋体" w:hAnsi="宋体" w:eastAsia="宋体" w:cs="宋体"/>
                <w:b w:val="0"/>
                <w:bCs/>
                <w:color w:val="auto"/>
                <w:sz w:val="21"/>
                <w:szCs w:val="21"/>
              </w:rPr>
              <w:t>≥</w:t>
            </w:r>
            <w:r>
              <w:rPr>
                <w:rFonts w:hint="eastAsia" w:ascii="宋体" w:hAnsi="宋体" w:eastAsia="宋体" w:cs="宋体"/>
                <w:bCs/>
                <w:color w:val="auto"/>
                <w:szCs w:val="21"/>
              </w:rPr>
              <w:t>10点同时</w:t>
            </w:r>
            <w:r>
              <w:rPr>
                <w:rFonts w:hint="eastAsia" w:ascii="宋体" w:hAnsi="宋体" w:eastAsia="宋体" w:cs="宋体"/>
                <w:bCs/>
                <w:color w:val="auto"/>
                <w:szCs w:val="21"/>
                <w:lang w:val="en-US" w:eastAsia="zh-CN"/>
              </w:rPr>
              <w:t>触摸</w:t>
            </w:r>
            <w:r>
              <w:rPr>
                <w:rFonts w:hint="eastAsia" w:ascii="宋体" w:hAnsi="宋体" w:eastAsia="宋体" w:cs="宋体"/>
                <w:b w:val="0"/>
                <w:bCs w:val="0"/>
                <w:color w:val="auto"/>
                <w:sz w:val="21"/>
                <w:szCs w:val="21"/>
                <w:vertAlign w:val="baseline"/>
                <w:lang w:val="en-US" w:eastAsia="zh-CN"/>
              </w:rPr>
              <w:t xml:space="preserve">（可按照客户需求定制） </w:t>
            </w:r>
            <w:r>
              <w:rPr>
                <w:rFonts w:hint="eastAsia" w:ascii="宋体" w:hAnsi="宋体" w:eastAsia="宋体" w:cs="宋体"/>
                <w:bCs/>
                <w:color w:val="auto"/>
                <w:szCs w:val="21"/>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屏幕结构 发射和接收控制电路以及控制器安装在铝合金框内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Cs/>
                <w:color w:val="auto"/>
                <w:szCs w:val="21"/>
              </w:rPr>
              <w:t>铝合金框特点 前拆，前维护</w:t>
            </w:r>
            <w:r>
              <w:rPr>
                <w:rFonts w:hint="eastAsia" w:ascii="宋体" w:hAnsi="宋体" w:eastAsia="宋体" w:cs="宋体"/>
                <w:bCs/>
                <w:color w:val="auto"/>
                <w:szCs w:val="21"/>
                <w:lang w:eastAsia="zh-CN"/>
              </w:rPr>
              <w:t>，</w:t>
            </w:r>
            <w:r>
              <w:rPr>
                <w:rFonts w:hint="eastAsia" w:ascii="宋体" w:hAnsi="宋体" w:eastAsia="宋体" w:cs="宋体"/>
                <w:b w:val="0"/>
                <w:bCs w:val="0"/>
                <w:color w:val="auto"/>
                <w:sz w:val="21"/>
                <w:szCs w:val="21"/>
                <w:vertAlign w:val="baseline"/>
                <w:lang w:val="en-US" w:eastAsia="zh-CN"/>
              </w:rPr>
              <w:t>铝型材宽度</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vertAlign w:val="baseline"/>
                <w:lang w:val="en-US" w:eastAsia="zh-CN"/>
              </w:rPr>
              <w:t>26.8MM厚度</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vertAlign w:val="baseline"/>
                <w:lang w:val="en-US" w:eastAsia="zh-CN"/>
              </w:rPr>
              <w:t>12MM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扫描</w:t>
            </w:r>
            <w:r>
              <w:rPr>
                <w:rFonts w:hint="eastAsia" w:ascii="宋体" w:hAnsi="宋体" w:eastAsia="宋体" w:cs="宋体"/>
                <w:bCs/>
                <w:color w:val="auto"/>
                <w:szCs w:val="21"/>
                <w:lang w:eastAsia="zh-CN"/>
              </w:rPr>
              <w:t>频率</w:t>
            </w:r>
            <w:r>
              <w:rPr>
                <w:rFonts w:hint="eastAsia" w:ascii="宋体" w:hAnsi="宋体" w:eastAsia="宋体" w:cs="宋体"/>
                <w:b w:val="0"/>
                <w:bCs/>
                <w:color w:val="auto"/>
                <w:sz w:val="21"/>
                <w:szCs w:val="21"/>
              </w:rPr>
              <w:t>≥</w:t>
            </w:r>
            <w:r>
              <w:rPr>
                <w:rFonts w:hint="eastAsia" w:ascii="宋体" w:hAnsi="宋体" w:eastAsia="宋体" w:cs="宋体"/>
                <w:bCs/>
                <w:color w:val="auto"/>
                <w:szCs w:val="21"/>
              </w:rPr>
              <w:t xml:space="preserve"> </w:t>
            </w:r>
            <w:r>
              <w:rPr>
                <w:rFonts w:hint="eastAsia" w:ascii="宋体" w:hAnsi="宋体" w:eastAsia="宋体" w:cs="宋体"/>
                <w:bCs/>
                <w:color w:val="auto"/>
                <w:szCs w:val="21"/>
                <w:lang w:val="en-US" w:eastAsia="en-US"/>
              </w:rPr>
              <w:t>280Hz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定位精度 ±2mm</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 xml:space="preserve">  分辨率</w:t>
            </w:r>
            <w:r>
              <w:rPr>
                <w:rFonts w:hint="eastAsia" w:ascii="宋体" w:hAnsi="宋体" w:eastAsia="宋体" w:cs="宋体"/>
                <w:b w:val="0"/>
                <w:bCs/>
                <w:color w:val="auto"/>
                <w:sz w:val="21"/>
                <w:szCs w:val="21"/>
              </w:rPr>
              <w:t>≥</w:t>
            </w:r>
            <w:r>
              <w:rPr>
                <w:rFonts w:hint="eastAsia" w:ascii="宋体" w:hAnsi="宋体" w:eastAsia="宋体" w:cs="宋体"/>
                <w:bCs/>
                <w:color w:val="auto"/>
                <w:szCs w:val="21"/>
                <w:lang w:val="en-US" w:eastAsia="zh-CN"/>
              </w:rPr>
              <w:t>32768x32768</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 xml:space="preserve">响应时间 </w:t>
            </w:r>
            <w:r>
              <w:rPr>
                <w:rFonts w:hint="eastAsia" w:ascii="宋体" w:hAnsi="宋体" w:eastAsia="宋体" w:cs="宋体"/>
                <w:bCs/>
                <w:color w:val="auto"/>
                <w:szCs w:val="21"/>
                <w:lang w:val="en-US" w:eastAsia="en-US"/>
              </w:rPr>
              <w:t>单点</w:t>
            </w:r>
            <w:r>
              <w:rPr>
                <w:rFonts w:hint="eastAsia" w:ascii="宋体" w:hAnsi="宋体" w:eastAsia="宋体" w:cs="宋体"/>
                <w:b w:val="0"/>
                <w:bCs w:val="0"/>
                <w:color w:val="auto"/>
                <w:sz w:val="21"/>
                <w:szCs w:val="21"/>
              </w:rPr>
              <w:t>≤</w:t>
            </w:r>
            <w:r>
              <w:rPr>
                <w:rFonts w:hint="eastAsia" w:ascii="宋体" w:hAnsi="宋体" w:eastAsia="宋体" w:cs="宋体"/>
                <w:bCs/>
                <w:color w:val="auto"/>
                <w:szCs w:val="21"/>
                <w:lang w:val="en-US" w:eastAsia="en-US"/>
              </w:rPr>
              <w:t>3ms,多点&gt;10ms,</w:t>
            </w:r>
            <w:r>
              <w:rPr>
                <w:rFonts w:hint="eastAsia" w:ascii="宋体" w:hAnsi="宋体" w:eastAsia="宋体" w:cs="宋体"/>
                <w:bCs/>
                <w:color w:val="auto"/>
                <w:szCs w:val="21"/>
              </w:rPr>
              <w:t>（根据尺寸大小变化）</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 xml:space="preserve">最小分辨物尺寸 </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mm最小移动尺寸 5mm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信号接口 USB  2.0 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触摸介质 手指、戴手套的手、笔等任何不透光物体</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10、</w:t>
            </w:r>
            <w:r>
              <w:rPr>
                <w:rFonts w:hint="eastAsia" w:ascii="宋体" w:hAnsi="宋体" w:eastAsia="宋体" w:cs="宋体"/>
                <w:bCs/>
                <w:color w:val="auto"/>
                <w:szCs w:val="21"/>
              </w:rPr>
              <w:t>触摸压力 不需要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11、</w:t>
            </w:r>
            <w:r>
              <w:rPr>
                <w:rFonts w:hint="eastAsia" w:ascii="宋体" w:hAnsi="宋体" w:eastAsia="宋体" w:cs="宋体"/>
                <w:bCs/>
                <w:color w:val="auto"/>
                <w:szCs w:val="21"/>
              </w:rPr>
              <w:t>触摸寿命 约8000万次点击</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12、</w:t>
            </w:r>
            <w:r>
              <w:rPr>
                <w:rFonts w:hint="eastAsia" w:ascii="宋体" w:hAnsi="宋体" w:eastAsia="宋体" w:cs="宋体"/>
                <w:bCs/>
                <w:color w:val="auto"/>
                <w:szCs w:val="21"/>
              </w:rPr>
              <w:t>抗环境光 可在220V, 150W 卤光灯1.2m 直射下工作</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工作环境 室内或特殊定制可纯室外（强干扰环境，试用于纯室外或光线复杂的室内环境）</w:t>
            </w:r>
          </w:p>
          <w:p>
            <w:pPr>
              <w:keepNext w:val="0"/>
              <w:keepLines w:val="0"/>
              <w:pageBreakBefore w:val="0"/>
              <w:kinsoku/>
              <w:wordWrap/>
              <w:overflowPunct/>
              <w:topLinePunct w:val="0"/>
              <w:bidi w:val="0"/>
              <w:adjustRightInd/>
              <w:snapToGrid/>
              <w:spacing w:line="240" w:lineRule="auto"/>
              <w:ind w:left="40" w:right="0" w:rightChars="0" w:firstLine="0" w:firstLineChars="0"/>
              <w:jc w:val="both"/>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13、</w:t>
            </w:r>
            <w:r>
              <w:rPr>
                <w:rFonts w:hint="eastAsia" w:ascii="宋体" w:hAnsi="宋体" w:eastAsia="宋体" w:cs="宋体"/>
                <w:bCs/>
                <w:color w:val="auto"/>
                <w:szCs w:val="21"/>
              </w:rPr>
              <w:t>支持</w:t>
            </w:r>
            <w:r>
              <w:rPr>
                <w:rFonts w:hint="eastAsia" w:ascii="宋体" w:hAnsi="宋体" w:eastAsia="宋体" w:cs="宋体"/>
                <w:b w:val="0"/>
                <w:bCs/>
                <w:color w:val="auto"/>
                <w:sz w:val="21"/>
                <w:szCs w:val="21"/>
              </w:rPr>
              <w:t xml:space="preserve">操作系统 </w:t>
            </w:r>
            <w:r>
              <w:rPr>
                <w:rFonts w:hint="eastAsia" w:ascii="宋体" w:hAnsi="宋体" w:eastAsia="宋体" w:cs="宋体"/>
                <w:b w:val="0"/>
                <w:bCs/>
                <w:color w:val="auto"/>
                <w:sz w:val="21"/>
                <w:szCs w:val="21"/>
                <w:lang w:val="en-US" w:eastAsia="en-US"/>
              </w:rPr>
              <w:t>Win2000/XP/Win7</w:t>
            </w:r>
            <w:r>
              <w:rPr>
                <w:rFonts w:hint="eastAsia" w:ascii="宋体" w:hAnsi="宋体" w:eastAsia="宋体" w:cs="宋体"/>
                <w:b w:val="0"/>
                <w:bCs/>
                <w:color w:val="auto"/>
                <w:sz w:val="21"/>
                <w:szCs w:val="21"/>
                <w:lang w:val="en-US" w:eastAsia="zh-CN"/>
              </w:rPr>
              <w:t>/WIN10</w:t>
            </w:r>
            <w:r>
              <w:rPr>
                <w:rFonts w:hint="eastAsia" w:ascii="宋体" w:hAnsi="宋体" w:eastAsia="宋体" w:cs="宋体"/>
                <w:b w:val="0"/>
                <w:bCs/>
                <w:color w:val="auto"/>
                <w:sz w:val="21"/>
                <w:szCs w:val="21"/>
                <w:lang w:val="en-US" w:eastAsia="en-US"/>
              </w:rPr>
              <w:t>/LINUX/Mac os/Android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吸顶/船型音响</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 额定功率： 3.8/7.5/15/30W/8Ω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 峰值功率：</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60W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 输入方式：100V或者8Ω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 频响：90Hz-20KHz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 灵敏度：</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89db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 尺寸：230/150MM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 开孔面积：Φ200MM</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rPr>
            </w:pPr>
            <w:r>
              <w:rPr>
                <w:rFonts w:hint="eastAsia" w:ascii="宋体" w:hAnsi="宋体" w:eastAsia="宋体" w:cs="宋体"/>
                <w:bCs/>
                <w:color w:val="auto"/>
                <w:sz w:val="21"/>
                <w:szCs w:val="21"/>
              </w:rPr>
              <w:t>8 材料：ABS面板，铁后桶，6.5寸同轴吸顶喇叭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功放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1、线路类型 :      class 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2、功率输出:（8Ω） 2*</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 xml:space="preserve">信燥比（20HZ-20KHZ）8Ω ： &gt;95DB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 xml:space="preserve">、失真(@8Ω 1KHZ)  ： &lt;0.5%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、输入灵敏度 ：≤1000mV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、频率响应 ：   20HZ-20KHZ（±1dB）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、阻尼系数 ：8Ω@1Khz： ≥230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功放保护 ：具有输出短路,过热,自动限幅,长期输出功率,直流/交流保护装置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logo灯</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1.功率：&gt;50W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2.输入电压：AC110-220V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3.频率：50-60HZ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4.投射距离：3-18米</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6.成像比例：1：0.35</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7.使用寿命：&gt;50000次</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8.光能：90%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9.减少能耗：38%</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10.光学成像：2层</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11.光学聚集：2层</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12.灯片：免费按馆方需求定制不少于两套内容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投影仪</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显示芯片 0.23”DMD 1080P</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2.光源 LED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3.亮度≥ 2400光源流明</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4.标准分辨率 1080P</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5.对比度≥ 400：1（典型值）、色域 ≥85%NTSC</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6.镜头： 高透光镀膜镜头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7.3D 支持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8.照度均匀度 ＞90%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9.光源寿命 ＞20000小时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10.投射比 1.2: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11.调焦方式 自动调焦</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12.矫正范围 垂直左右方向（±40度）</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13.偏轴 100%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14.处理器：不差于Amlogic T972-H cortex A55 Mali-G31 MP2,支持杜比DD+解码以及杜比音效</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15.内存与存储 ≥2GB DDR4+16GB EMMC</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16.接口 HDMI≥1,LAN≥1,USB 2.0≥2，SPDIF≥1；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17.WIFI 2.4G 5G双频11AC最大速率400mps 802.11 a/b/g/n/ac</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蓝牙 BT4.2 支持蓝牙语音遥控器、音箱扬声器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widowControl/>
              <w:kinsoku/>
              <w:wordWrap/>
              <w:overflowPunct/>
              <w:topLinePunct w:val="0"/>
              <w:bidi w:val="0"/>
              <w:adjustRightInd/>
              <w:snapToGrid/>
              <w:spacing w:line="240" w:lineRule="auto"/>
              <w:ind w:left="0" w:right="0" w:rightChars="0" w:firstLine="0" w:firstLineChars="0"/>
              <w:jc w:val="center"/>
              <w:textAlignment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播放盒</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1.信号接口：HDMI</w:t>
            </w:r>
            <w:r>
              <w:rPr>
                <w:rFonts w:hint="eastAsia" w:ascii="宋体" w:hAnsi="宋体" w:cs="宋体"/>
                <w:b w:val="0"/>
                <w:bCs/>
                <w:color w:val="auto"/>
                <w:sz w:val="21"/>
                <w:szCs w:val="21"/>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2.分辨率：≥1920*1080；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3.支持千兆网口、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4.≥16G存储；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5.</w:t>
            </w:r>
            <w:r>
              <w:rPr>
                <w:rFonts w:hint="eastAsia" w:ascii="宋体" w:hAnsi="宋体" w:eastAsia="宋体" w:cs="宋体"/>
                <w:b w:val="0"/>
                <w:bCs/>
                <w:color w:val="auto"/>
                <w:sz w:val="21"/>
                <w:szCs w:val="21"/>
              </w:rPr>
              <w:t>支持来电自启、网络唤醒、定时开关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strike w:val="0"/>
                <w:dstrike w:val="0"/>
                <w:color w:val="auto"/>
                <w:kern w:val="0"/>
                <w:sz w:val="21"/>
                <w:szCs w:val="21"/>
                <w:lang w:val="en-US" w:eastAsia="zh-CN"/>
              </w:rPr>
              <w:t>37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触控屏</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1、屏幕尺寸: 86英寸；</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2、分辨率:3840*2160；</w:t>
            </w:r>
            <w:r>
              <w:rPr>
                <w:rFonts w:hint="eastAsia" w:ascii="宋体" w:hAnsi="宋体" w:eastAsia="宋体" w:cs="宋体"/>
                <w:color w:val="auto"/>
              </w:rPr>
              <w:t>玻璃厚度≤4mm，玻璃表面硬度≥9H</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3、触控:≥10点电容触摸屏；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4、响应时间:≤6毫秒；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5、刷新率指标:</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60hz；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6、对比度:≥3000:1；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7、亮度:≥350cd/m2；</w:t>
            </w:r>
          </w:p>
          <w:p>
            <w:pPr>
              <w:keepNext w:val="0"/>
              <w:keepLines w:val="0"/>
              <w:pageBreakBefore w:val="0"/>
              <w:kinsoku/>
              <w:wordWrap/>
              <w:overflowPunct/>
              <w:topLinePunct w:val="0"/>
              <w:bidi w:val="0"/>
              <w:adjustRightInd/>
              <w:snapToGrid/>
              <w:spacing w:line="240" w:lineRule="auto"/>
              <w:ind w:left="40" w:right="0" w:rightChars="0" w:firstLine="0" w:firstLineChars="0"/>
              <w:textAlignment w:val="auto"/>
              <w:rPr>
                <w:rFonts w:hint="eastAsia" w:ascii="宋体" w:hAnsi="宋体" w:eastAsia="宋体" w:cs="宋体"/>
                <w:color w:val="auto"/>
              </w:rPr>
            </w:pP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rPr>
              <w:t>整机内置高清摄像头，可拍摄不低于1300万像素数</w:t>
            </w:r>
            <w:r>
              <w:rPr>
                <w:rFonts w:hint="eastAsia" w:ascii="宋体" w:hAnsi="宋体" w:eastAsia="宋体" w:cs="宋体"/>
                <w:color w:val="auto"/>
              </w:rPr>
              <w:t>的</w:t>
            </w:r>
            <w:r>
              <w:rPr>
                <w:rFonts w:hint="eastAsia" w:ascii="宋体" w:hAnsi="宋体" w:eastAsia="宋体" w:cs="宋体"/>
                <w:color w:val="auto"/>
                <w:lang w:eastAsia="zh-CN"/>
              </w:rPr>
              <w:t>物体</w:t>
            </w:r>
            <w:r>
              <w:rPr>
                <w:rFonts w:hint="eastAsia" w:ascii="宋体" w:hAnsi="宋体" w:eastAsia="宋体" w:cs="宋体"/>
                <w:color w:val="auto"/>
              </w:rPr>
              <w:t>，摄像头视场角≥130度。</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9、音频:需包含高品质喇叭*2，总功率≥30W；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sz w:val="21"/>
                <w:szCs w:val="21"/>
                <w:lang w:val="en-US" w:eastAsia="zh-CN"/>
              </w:rPr>
              <w:t>10、</w:t>
            </w:r>
            <w:r>
              <w:rPr>
                <w:rFonts w:hint="eastAsia" w:ascii="宋体" w:hAnsi="宋体" w:eastAsia="宋体" w:cs="宋体"/>
                <w:color w:val="auto"/>
              </w:rPr>
              <w:t>整机内置阵列麦克风，可用于对</w:t>
            </w:r>
            <w:r>
              <w:rPr>
                <w:rFonts w:hint="eastAsia" w:ascii="宋体" w:hAnsi="宋体" w:eastAsia="宋体" w:cs="宋体"/>
                <w:color w:val="auto"/>
                <w:lang w:eastAsia="zh-CN"/>
              </w:rPr>
              <w:t>房间</w:t>
            </w:r>
            <w:r>
              <w:rPr>
                <w:rFonts w:hint="eastAsia" w:ascii="宋体" w:hAnsi="宋体" w:eastAsia="宋体" w:cs="宋体"/>
                <w:color w:val="auto"/>
              </w:rPr>
              <w:t>环境音频进行采集，拾音距离≥8m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color w:val="auto"/>
                <w:lang w:val="en-US" w:eastAsia="zh-CN"/>
              </w:rPr>
              <w:t>11、</w:t>
            </w:r>
            <w:r>
              <w:rPr>
                <w:rFonts w:hint="eastAsia" w:ascii="宋体" w:hAnsi="宋体" w:eastAsia="宋体" w:cs="宋体"/>
                <w:bCs/>
                <w:color w:val="auto"/>
                <w:szCs w:val="21"/>
                <w:highlight w:val="none"/>
              </w:rPr>
              <w:t>含配套显示屏</w:t>
            </w:r>
            <w:r>
              <w:rPr>
                <w:rFonts w:hint="eastAsia" w:ascii="宋体" w:hAnsi="宋体" w:eastAsia="宋体" w:cs="宋体"/>
                <w:bCs/>
                <w:color w:val="auto"/>
                <w:szCs w:val="21"/>
                <w:highlight w:val="none"/>
                <w:lang w:val="en-US" w:eastAsia="zh-CN"/>
              </w:rPr>
              <w:t>定制</w:t>
            </w:r>
            <w:r>
              <w:rPr>
                <w:rFonts w:hint="eastAsia" w:ascii="宋体" w:hAnsi="宋体" w:eastAsia="宋体" w:cs="宋体"/>
                <w:bCs/>
                <w:color w:val="auto"/>
                <w:szCs w:val="21"/>
                <w:highlight w:val="none"/>
              </w:rPr>
              <w:t>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边缘计算单元</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1.处理器不差于Intel Core i7-10870F @ 2.9GHz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2.图形处理器 不差于NVIDIA RTX2060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3.内存 ≥16G DDR4 2666MHz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4.操作系统：Windows10 LTSC操作系统（提供正版激活码）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5.硬盘 ≥128G SSD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6.视频输出 HDMI ≥ 1、网络接口 Ethernet ≥2、USB 接口 USB3.0 ≥ 4</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7.供电 DC 12V-24A、典型功耗 ≤400W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8.功能支持：定时开关机，上电自启动，远程唤醒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39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55寸拼接屏</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 xml:space="preserve">55英寸 </w:t>
            </w:r>
            <w:r>
              <w:rPr>
                <w:rFonts w:hint="eastAsia" w:ascii="宋体" w:hAnsi="宋体" w:eastAsia="宋体" w:cs="宋体"/>
                <w:color w:val="auto"/>
                <w:lang w:val="en-US" w:eastAsia="zh-CN"/>
              </w:rPr>
              <w:t>1.7MM</w:t>
            </w:r>
            <w:r>
              <w:rPr>
                <w:rFonts w:hint="eastAsia" w:ascii="宋体" w:hAnsi="宋体" w:eastAsia="宋体" w:cs="宋体"/>
                <w:color w:val="auto"/>
              </w:rPr>
              <w:t>拼接屏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1、显示尺寸：55 inch、背光源类型：D-LED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2、物理拼缝：1.7 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3、物理拼缝公差：±0.8 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4、物理分辨率：</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1920 × 1080@60Hz（向下兼容）</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5、亮度：</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500 cd/m²</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6、可视角：</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178°(水平) / 178°(垂直)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7、对比度：</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1200：1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8、音视频输入接口：HDMI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 DVI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 VGA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 USB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1、音视频输出接口：HDMI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9、控制接口：RS232 IN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1，RS232 OUT </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 xml:space="preserve">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电源： 100～240 VAC，50/60 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0</w:t>
            </w:r>
            <w:r>
              <w:rPr>
                <w:rFonts w:hint="eastAsia" w:ascii="宋体" w:hAnsi="宋体" w:eastAsia="宋体" w:cs="宋体"/>
                <w:color w:val="auto"/>
                <w:sz w:val="21"/>
                <w:szCs w:val="21"/>
                <w:lang w:val="en-US" w:eastAsia="zh-CN"/>
              </w:rPr>
              <w:t>、LCD显示单元物理拼缝≤1.7mm，亮度</w:t>
            </w:r>
            <w:r>
              <w:rPr>
                <w:rFonts w:hint="eastAsia" w:ascii="宋体" w:hAnsi="宋体" w:eastAsia="宋体" w:cs="宋体"/>
                <w:b w:val="0"/>
                <w:bCs/>
                <w:color w:val="auto"/>
                <w:sz w:val="21"/>
                <w:szCs w:val="21"/>
              </w:rPr>
              <w:t>≥</w:t>
            </w:r>
            <w:r>
              <w:rPr>
                <w:rFonts w:hint="eastAsia" w:ascii="宋体" w:hAnsi="宋体" w:eastAsia="宋体" w:cs="宋体"/>
                <w:color w:val="auto"/>
                <w:sz w:val="21"/>
                <w:szCs w:val="21"/>
                <w:lang w:val="en-US" w:eastAsia="zh-CN"/>
              </w:rPr>
              <w:t>500cd/㎡，对比度</w:t>
            </w:r>
            <w:r>
              <w:rPr>
                <w:rFonts w:hint="eastAsia" w:ascii="宋体" w:hAnsi="宋体" w:eastAsia="宋体" w:cs="宋体"/>
                <w:b w:val="0"/>
                <w:bCs/>
                <w:color w:val="auto"/>
                <w:sz w:val="21"/>
                <w:szCs w:val="21"/>
              </w:rPr>
              <w:t>≥</w:t>
            </w:r>
            <w:r>
              <w:rPr>
                <w:rFonts w:hint="eastAsia" w:ascii="宋体" w:hAnsi="宋体" w:eastAsia="宋体" w:cs="宋体"/>
                <w:color w:val="auto"/>
                <w:sz w:val="21"/>
                <w:szCs w:val="21"/>
                <w:lang w:val="en-US" w:eastAsia="zh-CN"/>
              </w:rPr>
              <w:t>1200:1,图像显示清晰度≥950TVL，亮度鉴别等级为11级，亮度均匀性≥90%（提供权威部门出具的检验报告</w:t>
            </w:r>
            <w:r>
              <w:rPr>
                <w:rFonts w:hint="eastAsia" w:ascii="宋体" w:hAnsi="宋体" w:cs="宋体"/>
                <w:color w:val="auto"/>
                <w:sz w:val="21"/>
                <w:szCs w:val="21"/>
                <w:lang w:val="en-US" w:eastAsia="zh-CN"/>
              </w:rPr>
              <w:t>扫描件</w:t>
            </w:r>
            <w:r>
              <w:rPr>
                <w:rFonts w:hint="eastAsia" w:ascii="宋体" w:hAnsi="宋体" w:eastAsia="宋体" w:cs="宋体"/>
                <w:color w:val="auto"/>
                <w:sz w:val="21"/>
                <w:szCs w:val="21"/>
                <w:lang w:val="en-US"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1</w:t>
            </w:r>
            <w:r>
              <w:rPr>
                <w:rFonts w:hint="eastAsia" w:ascii="宋体" w:hAnsi="宋体" w:eastAsia="宋体" w:cs="宋体"/>
                <w:color w:val="auto"/>
                <w:lang w:val="en-US" w:eastAsia="zh-CN"/>
              </w:rPr>
              <w:t>、显控系统设备间支持信息交互功能，通过平台/客户端界面能够查看屏幕运维信息，包括使用时长、序列号、温度、亮度、显示模式，支持下发配置屏幕参数。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2</w:t>
            </w:r>
            <w:r>
              <w:rPr>
                <w:rFonts w:hint="eastAsia" w:ascii="宋体" w:hAnsi="宋体" w:eastAsia="宋体" w:cs="宋体"/>
                <w:color w:val="auto"/>
                <w:lang w:val="en-US" w:eastAsia="zh-CN"/>
              </w:rPr>
              <w:t>、显控系统支持通过自动识别屏幕的行列号信息，能根据行列号信息，自动生成对应的电视墙规模和绑定输出口关系，无需手动一对一设置输出口和LCD屏幕的对应关系。</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3</w:t>
            </w:r>
            <w:r>
              <w:rPr>
                <w:rFonts w:hint="eastAsia" w:ascii="宋体" w:hAnsi="宋体" w:eastAsia="宋体" w:cs="宋体"/>
                <w:color w:val="auto"/>
                <w:lang w:val="en-US" w:eastAsia="zh-CN"/>
              </w:rPr>
              <w:t>、显控系统支持自动检测输入源的信号类型，根据信号源类型和显示位置，自动配置信号源所在屏幕的显示场景模式。（提供封面具有CMA、ilac-MRA、CNAS标志的国家级检测机构的检测报告）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color w:val="auto"/>
                <w:lang w:val="en-US" w:eastAsia="zh-CN"/>
              </w:rPr>
              <w:t>★1</w:t>
            </w:r>
            <w:r>
              <w:rPr>
                <w:rFonts w:hint="eastAsia" w:ascii="宋体" w:hAnsi="宋体" w:cs="宋体"/>
                <w:color w:val="auto"/>
                <w:lang w:val="en-US" w:eastAsia="zh-CN"/>
              </w:rPr>
              <w:t>4</w:t>
            </w:r>
            <w:r>
              <w:rPr>
                <w:rFonts w:hint="eastAsia" w:ascii="宋体" w:hAnsi="宋体" w:eastAsia="宋体" w:cs="宋体"/>
                <w:color w:val="auto"/>
                <w:lang w:val="en-US" w:eastAsia="zh-CN"/>
              </w:rPr>
              <w:t>、显控系统支持远程开关机控制，支持拼接墙整墙的开关机、定时开关机操作。（提供封面具有CMA、ilac-MRA、CNAS标志的权威检测机构的检测报告）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拼控器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4进9出LCD拼控器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1、每个屏幕可以自定义与其他屏幕不同的输出分辨率。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2、输出接口同步拼接：采用帧同步技术，保证所有输出接口的输出图像完全同步，画面完整，播放流畅，无卡顿丢帧情况，无撕裂和拼缝现象。</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3、支持单卡单接口配屏和跨卡多接口配屏、支持对显示单元的拼接缝进行边缘补偿。</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r>
              <w:rPr>
                <w:rStyle w:val="55"/>
                <w:rFonts w:hint="eastAsia" w:ascii="宋体" w:hAnsi="宋体" w:eastAsia="宋体" w:cs="宋体"/>
                <w:color w:val="auto"/>
                <w:sz w:val="21"/>
                <w:szCs w:val="21"/>
                <w:lang w:val="en-US" w:eastAsia="zh-CN" w:bidi="ar"/>
              </w:rPr>
              <w:t>输入接口：VGA(D-Sub)</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1、DVI-D</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1、HDMI</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1、RS232(RJ45)</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1、USB（升级和多媒体）</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1、输出接口：RS232(RJ45)</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1、HDMI</w:t>
            </w:r>
            <w:r>
              <w:rPr>
                <w:rFonts w:hint="eastAsia" w:ascii="宋体" w:hAnsi="宋体" w:eastAsia="宋体" w:cs="宋体"/>
                <w:b w:val="0"/>
                <w:bCs/>
                <w:color w:val="auto"/>
                <w:sz w:val="21"/>
                <w:szCs w:val="21"/>
              </w:rPr>
              <w:t>≥</w:t>
            </w:r>
            <w:r>
              <w:rPr>
                <w:rStyle w:val="55"/>
                <w:rFonts w:hint="eastAsia" w:ascii="宋体" w:hAnsi="宋体" w:eastAsia="宋体" w:cs="宋体"/>
                <w:color w:val="auto"/>
                <w:sz w:val="21"/>
                <w:szCs w:val="21"/>
                <w:lang w:val="en-US" w:eastAsia="zh-CN" w:bidi="ar"/>
              </w:rPr>
              <w:t>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5、输入源台标管理：对输入源设置文字台标，方便输入源的识别。</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6、支持输入源截取和截取源重命名：对输入源画面进行任意截取，形成一个新的输入源，不影响原输入源的使用，支持输入源HDCP自动解码和小数帧频。</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8、输入源分组：支持对输入源进行分组管理。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9、自定义用户场景：</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2000个用户自定义场景，支持场景无缝切换；场景切换响应速度＜60ms。</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10、场景自动定时轮巡：可以选择每个场景是否参与自动轮巡，方便监控。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11、采用Web端控制，操作实时响应，采用1000M/100M自适应网络接口，支持多用户同时访问。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12、支持设备自检，系统自动监测和告警：支持硬件监控，异常报警，包括风扇转速、各模块温度及电压、运行状态等设备监测。</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★13、输入输出分辨率自定义设置，可保存为 EDID模板，并可导入导出，多种分辨率设置模式可选，包括:预设分辨率、自定义分辨率。 EDID模板，自定义分排率最大支持8192x1080@60Hz;支持高级时序(水平垂直总宽度、两侧、同步等）设置。（提供首页有CNAS标识的权威机构出具的检测报告</w:t>
            </w:r>
            <w:r>
              <w:rPr>
                <w:rFonts w:hint="eastAsia" w:ascii="宋体" w:hAnsi="宋体" w:cs="宋体"/>
                <w:b w:val="0"/>
                <w:bCs/>
                <w:color w:val="auto"/>
                <w:sz w:val="21"/>
                <w:szCs w:val="21"/>
                <w:lang w:val="en-US" w:eastAsia="zh-CN"/>
              </w:rPr>
              <w:t>扫描件</w:t>
            </w:r>
            <w:r>
              <w:rPr>
                <w:rFonts w:hint="eastAsia" w:ascii="宋体" w:hAnsi="宋体" w:eastAsia="宋体" w:cs="宋体"/>
                <w:b w:val="0"/>
                <w:bCs/>
                <w:color w:val="auto"/>
                <w:sz w:val="21"/>
                <w:szCs w:val="21"/>
                <w:lang w:val="en-US"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14、支持实时上屏和预编上屏两种模式，实时上屏模式可实现用户编辑实时上屏显示;预编上屏模式支持在软件端进行显示内容预编辑后上屏显示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15、可对输入图像画面添加文字，可调整横向字幕及竖直方向的字幕，支持静态及动态字幕，支持字体替换，支持数字时钟显示。支持字幕步径调节，可支持上下左右随意移动（提供首页有CNAS标识的权威机构出具的检测报告</w:t>
            </w:r>
            <w:r>
              <w:rPr>
                <w:rFonts w:hint="eastAsia" w:ascii="宋体" w:hAnsi="宋体" w:cs="宋体"/>
                <w:b w:val="0"/>
                <w:bCs/>
                <w:color w:val="auto"/>
                <w:sz w:val="21"/>
                <w:szCs w:val="21"/>
                <w:lang w:val="en-US" w:eastAsia="zh-CN"/>
              </w:rPr>
              <w:t>扫描件</w:t>
            </w:r>
            <w:r>
              <w:rPr>
                <w:rFonts w:hint="eastAsia" w:ascii="宋体" w:hAnsi="宋体" w:eastAsia="宋体" w:cs="宋体"/>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显示屏支架</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both"/>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color w:val="auto"/>
                <w:spacing w:val="3"/>
                <w:sz w:val="21"/>
                <w:szCs w:val="21"/>
                <w:lang w:val="en-US" w:eastAsia="en-US" w:bidi="ar-SA"/>
              </w:rPr>
              <w:t>前维护支架 适配尺寸 55″</w:t>
            </w:r>
            <w:r>
              <w:rPr>
                <w:rFonts w:hint="eastAsia" w:ascii="宋体" w:hAnsi="宋体" w:eastAsia="宋体" w:cs="宋体"/>
                <w:color w:val="auto"/>
                <w:spacing w:val="3"/>
                <w:sz w:val="21"/>
                <w:szCs w:val="21"/>
                <w:lang w:val="en-US" w:eastAsia="zh-CN" w:bidi="ar-SA"/>
              </w:rPr>
              <w:t>支持弹</w:t>
            </w:r>
            <w:r>
              <w:rPr>
                <w:rFonts w:hint="eastAsia" w:ascii="宋体" w:hAnsi="宋体" w:eastAsia="宋体" w:cs="宋体"/>
                <w:b w:val="0"/>
                <w:bCs/>
                <w:color w:val="auto"/>
                <w:sz w:val="21"/>
                <w:szCs w:val="21"/>
                <w:lang w:val="en-US" w:eastAsia="zh-CN"/>
              </w:rPr>
              <w:t>起式，液压支撑杆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红外触摸边框</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定制2*4竖版红外触摸框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定制1*10红外触摸框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 xml:space="preserve">触摸点 </w:t>
            </w:r>
            <w:r>
              <w:rPr>
                <w:rFonts w:hint="eastAsia" w:ascii="宋体" w:hAnsi="宋体" w:eastAsia="宋体" w:cs="宋体"/>
                <w:b w:val="0"/>
                <w:bCs/>
                <w:color w:val="auto"/>
                <w:sz w:val="21"/>
                <w:szCs w:val="21"/>
              </w:rPr>
              <w:t>≥</w:t>
            </w:r>
            <w:r>
              <w:rPr>
                <w:rFonts w:hint="eastAsia" w:ascii="宋体" w:hAnsi="宋体" w:eastAsia="宋体" w:cs="宋体"/>
                <w:bCs/>
                <w:color w:val="auto"/>
                <w:szCs w:val="21"/>
              </w:rPr>
              <w:t xml:space="preserve">真实10点同时触摸（可按照客户需求定制）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屏幕结构 发射和接收控制电路以及控制器安装在铝合金框内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Cs/>
                <w:color w:val="auto"/>
                <w:szCs w:val="21"/>
              </w:rPr>
              <w:t>铝合金框特点 前拆，前维护</w:t>
            </w:r>
            <w:r>
              <w:rPr>
                <w:rFonts w:hint="eastAsia" w:ascii="宋体" w:hAnsi="宋体" w:eastAsia="宋体" w:cs="宋体"/>
                <w:bCs/>
                <w:color w:val="auto"/>
                <w:szCs w:val="21"/>
                <w:lang w:eastAsia="zh-CN"/>
              </w:rPr>
              <w:t>，</w:t>
            </w:r>
            <w:r>
              <w:rPr>
                <w:rFonts w:hint="eastAsia" w:ascii="宋体" w:hAnsi="宋体" w:eastAsia="宋体" w:cs="宋体"/>
                <w:b w:val="0"/>
                <w:bCs w:val="0"/>
                <w:color w:val="auto"/>
                <w:sz w:val="21"/>
                <w:szCs w:val="21"/>
                <w:vertAlign w:val="baseline"/>
                <w:lang w:val="en-US" w:eastAsia="zh-CN"/>
              </w:rPr>
              <w:t>铝型材宽度</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vertAlign w:val="baseline"/>
                <w:lang w:val="en-US" w:eastAsia="zh-CN"/>
              </w:rPr>
              <w:t>26.8MM厚度</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vertAlign w:val="baseline"/>
                <w:lang w:val="en-US" w:eastAsia="zh-CN"/>
              </w:rPr>
              <w:t>12MM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扫描</w:t>
            </w:r>
            <w:r>
              <w:rPr>
                <w:rFonts w:hint="eastAsia" w:ascii="宋体" w:hAnsi="宋体" w:eastAsia="宋体" w:cs="宋体"/>
                <w:bCs/>
                <w:color w:val="auto"/>
                <w:szCs w:val="21"/>
                <w:lang w:eastAsia="zh-CN"/>
              </w:rPr>
              <w:t>频率</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 xml:space="preserve"> </w:t>
            </w:r>
            <w:r>
              <w:rPr>
                <w:rFonts w:hint="eastAsia" w:ascii="宋体" w:hAnsi="宋体" w:eastAsia="宋体" w:cs="宋体"/>
                <w:color w:val="auto"/>
                <w:sz w:val="21"/>
                <w:szCs w:val="21"/>
                <w:lang w:val="en-US" w:eastAsia="en-US" w:bidi="ar-SA"/>
              </w:rPr>
              <w:t>280Hz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定位精度 ±2mm</w:t>
            </w:r>
            <w:r>
              <w:rPr>
                <w:rFonts w:hint="eastAsia" w:ascii="宋体" w:hAnsi="宋体" w:eastAsia="宋体" w:cs="宋体"/>
                <w:bCs/>
                <w:color w:val="auto"/>
                <w:sz w:val="21"/>
                <w:szCs w:val="21"/>
                <w:lang w:eastAsia="zh-CN"/>
              </w:rPr>
              <w:t>、</w:t>
            </w:r>
            <w:r>
              <w:rPr>
                <w:rFonts w:hint="eastAsia" w:ascii="宋体" w:hAnsi="宋体" w:eastAsia="宋体" w:cs="宋体"/>
                <w:i w:val="0"/>
                <w:color w:val="auto"/>
                <w:sz w:val="21"/>
                <w:szCs w:val="21"/>
                <w:u w:val="none"/>
                <w:lang w:val="en-US" w:eastAsia="zh-CN"/>
              </w:rPr>
              <w:t xml:space="preserve">  分辨率</w:t>
            </w:r>
            <w:r>
              <w:rPr>
                <w:rFonts w:hint="eastAsia" w:ascii="宋体" w:hAnsi="宋体" w:eastAsia="宋体" w:cs="宋体"/>
                <w:b w:val="0"/>
                <w:bCs/>
                <w:color w:val="auto"/>
                <w:sz w:val="21"/>
                <w:szCs w:val="21"/>
              </w:rPr>
              <w:t>≥</w:t>
            </w:r>
            <w:r>
              <w:rPr>
                <w:rFonts w:hint="eastAsia" w:ascii="宋体" w:hAnsi="宋体" w:eastAsia="宋体" w:cs="宋体"/>
                <w:i w:val="0"/>
                <w:color w:val="auto"/>
                <w:sz w:val="21"/>
                <w:szCs w:val="21"/>
                <w:u w:val="none"/>
                <w:lang w:val="en-US" w:eastAsia="zh-CN"/>
              </w:rPr>
              <w:t>32768x32768</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 xml:space="preserve">响应时间 </w:t>
            </w:r>
            <w:r>
              <w:rPr>
                <w:rFonts w:hint="eastAsia" w:ascii="宋体" w:hAnsi="宋体" w:eastAsia="宋体" w:cs="宋体"/>
                <w:color w:val="auto"/>
                <w:spacing w:val="2"/>
                <w:sz w:val="21"/>
                <w:szCs w:val="21"/>
                <w:lang w:val="en-US" w:eastAsia="en-US" w:bidi="ar-SA"/>
              </w:rPr>
              <w:t>单点</w:t>
            </w:r>
            <w:r>
              <w:rPr>
                <w:rFonts w:hint="eastAsia" w:ascii="宋体" w:hAnsi="宋体" w:eastAsia="宋体" w:cs="宋体"/>
                <w:b w:val="0"/>
                <w:bCs w:val="0"/>
                <w:color w:val="auto"/>
                <w:sz w:val="21"/>
                <w:szCs w:val="21"/>
              </w:rPr>
              <w:t>≤</w:t>
            </w:r>
            <w:r>
              <w:rPr>
                <w:rFonts w:hint="eastAsia" w:ascii="宋体" w:hAnsi="宋体" w:eastAsia="宋体" w:cs="宋体"/>
                <w:color w:val="auto"/>
                <w:spacing w:val="2"/>
                <w:sz w:val="21"/>
                <w:szCs w:val="21"/>
                <w:lang w:val="en-US" w:eastAsia="en-US" w:bidi="ar-SA"/>
              </w:rPr>
              <w:t>3ms,多点&gt;10ms,</w:t>
            </w:r>
            <w:r>
              <w:rPr>
                <w:rFonts w:hint="eastAsia" w:ascii="宋体" w:hAnsi="宋体" w:eastAsia="宋体" w:cs="宋体"/>
                <w:bCs/>
                <w:color w:val="auto"/>
                <w:szCs w:val="21"/>
              </w:rPr>
              <w:t>（根据尺寸大小变化）</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 xml:space="preserve">最小分辨物尺寸 </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mm最小移动尺寸 5mm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信号接口 USB  2.0 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触摸介质 手指、戴手套的手、笔等任何不透光物体</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10、</w:t>
            </w:r>
            <w:r>
              <w:rPr>
                <w:rFonts w:hint="eastAsia" w:ascii="宋体" w:hAnsi="宋体" w:eastAsia="宋体" w:cs="宋体"/>
                <w:bCs/>
                <w:color w:val="auto"/>
                <w:szCs w:val="21"/>
              </w:rPr>
              <w:t>触摸压力 不需要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11、</w:t>
            </w:r>
            <w:r>
              <w:rPr>
                <w:rFonts w:hint="eastAsia" w:ascii="宋体" w:hAnsi="宋体" w:eastAsia="宋体" w:cs="宋体"/>
                <w:bCs/>
                <w:color w:val="auto"/>
                <w:szCs w:val="21"/>
              </w:rPr>
              <w:t>触摸寿命 约8000万次点击</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12、</w:t>
            </w:r>
            <w:r>
              <w:rPr>
                <w:rFonts w:hint="eastAsia" w:ascii="宋体" w:hAnsi="宋体" w:eastAsia="宋体" w:cs="宋体"/>
                <w:bCs/>
                <w:color w:val="auto"/>
                <w:szCs w:val="21"/>
              </w:rPr>
              <w:t>抗环境光 可在220V, 150W 卤光灯1.2m 直射下工作</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工作环境 室内或特殊定制可纯室外（强干扰环境，试用于纯室外或光线复杂的室内环境）</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 w:val="21"/>
                <w:szCs w:val="21"/>
                <w:lang w:val="en-US" w:eastAsia="zh-CN"/>
              </w:rPr>
              <w:t>13、</w:t>
            </w:r>
            <w:r>
              <w:rPr>
                <w:rFonts w:hint="eastAsia" w:ascii="宋体" w:hAnsi="宋体" w:eastAsia="宋体" w:cs="宋体"/>
                <w:bCs/>
                <w:color w:val="auto"/>
                <w:sz w:val="21"/>
                <w:szCs w:val="21"/>
              </w:rPr>
              <w:t>支</w:t>
            </w:r>
            <w:r>
              <w:rPr>
                <w:rFonts w:hint="eastAsia" w:ascii="宋体" w:hAnsi="宋体" w:eastAsia="宋体" w:cs="宋体"/>
                <w:bCs/>
                <w:color w:val="auto"/>
                <w:szCs w:val="21"/>
                <w:lang w:val="en-US" w:eastAsia="en-US"/>
              </w:rPr>
              <w:t>持操作系统Win2000/XP/Win7/</w:t>
            </w:r>
            <w:r>
              <w:rPr>
                <w:rFonts w:hint="eastAsia" w:ascii="宋体" w:hAnsi="宋体" w:eastAsia="宋体" w:cs="宋体"/>
                <w:bCs/>
                <w:color w:val="auto"/>
                <w:szCs w:val="21"/>
                <w:lang w:val="en-US" w:eastAsia="zh-CN"/>
              </w:rPr>
              <w:t>10,</w:t>
            </w:r>
            <w:r>
              <w:rPr>
                <w:rFonts w:hint="eastAsia" w:ascii="宋体" w:hAnsi="宋体" w:eastAsia="宋体" w:cs="宋体"/>
                <w:bCs/>
                <w:color w:val="auto"/>
                <w:szCs w:val="21"/>
                <w:lang w:val="en-US" w:eastAsia="en-US"/>
              </w:rPr>
              <w:t>LINUX/Mac os/Android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音响</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 额定功率： 3.8/7.5/15/30W/8Ω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 峰值功率：</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60W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 输入方式：100V或者8Ω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 频响：90Hz-20KHz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 灵敏度：</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89db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 尺寸：230/150MM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 开孔面积：Φ200MM</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rPr>
            </w:pPr>
            <w:r>
              <w:rPr>
                <w:rFonts w:hint="eastAsia" w:ascii="宋体" w:hAnsi="宋体" w:eastAsia="宋体" w:cs="宋体"/>
                <w:bCs/>
                <w:color w:val="auto"/>
                <w:sz w:val="21"/>
                <w:szCs w:val="21"/>
              </w:rPr>
              <w:t>8 材料：ABS面板，铁后桶，6.5寸同轴吸顶喇叭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功放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1、线路类型 :      class 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2、功率输出:（8Ω） 2*</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 xml:space="preserve">信燥比（20HZ-20KHZ）8Ω ： &gt;95DB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 xml:space="preserve">、失真(@8Ω 1KHZ)  ： &lt;0.5%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、输入灵敏度 ：≤1000mV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、频率响应 ：   20HZ-20KHZ（±1dB）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、阻尼系数 ：8Ω@1Khz： ≥230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功放保护 ：具有输出短路,过热,自动限幅,长期输出功率,直流/交流保护装置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1.CPU：不差于intel i7-12700,</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物理核数≥12核20线程，</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主频≥睿频4.9Ghz，末级缓存容量≥25MB;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2.内存：容量≥16GB，</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3.主板：</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4.存储：</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固态盘数量≥1个，固态存储容量≥256GB，</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机械硬盘数量≥1个，机械硬盘总容量≥1T，</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5.显卡：不差于A4000，</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独立显卡，</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显存类型不低于GDDR6，独立显卡显存容量≥16G；</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7.电源：≥850W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数字人对话一体机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1.屏幕尺寸：65英寸；分辨率：≥3840*2160；触控：≥10点电容触摸屏；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2.处理器不差于 Intel Core i7-12700F @ 2.9GHz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3.图形处理器 不差于NVIDIA RTX3060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4.内存 ≥16G DDR4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5.操作系统 正版Windows10 LTSC操作系统（含激活码）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6.硬盘 ≥128G SSD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7.视频输出 HDMI ≥ 1、网络接口 Ethernet ≥ 2</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8.内置：专业定向拾音，用于游客语音提问对话，定向麦克风模组（1.0米）、专业摄像头，罗技C1000s</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9.箱体材质：金属，表面漆面处理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LED屏幕</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lang w:eastAsia="zh-CN"/>
              </w:rPr>
              <w:t>提供同批次</w:t>
            </w:r>
            <w:r>
              <w:rPr>
                <w:rFonts w:hint="eastAsia" w:ascii="宋体" w:hAnsi="宋体" w:eastAsia="宋体" w:cs="宋体"/>
                <w:color w:val="auto"/>
              </w:rPr>
              <w:t>备用</w:t>
            </w:r>
            <w:r>
              <w:rPr>
                <w:rFonts w:hint="eastAsia" w:ascii="宋体" w:hAnsi="宋体" w:eastAsia="宋体" w:cs="宋体"/>
                <w:color w:val="auto"/>
                <w:lang w:val="en-US" w:eastAsia="zh-CN"/>
              </w:rPr>
              <w:t>4</w:t>
            </w:r>
            <w:r>
              <w:rPr>
                <w:rFonts w:hint="eastAsia" w:ascii="宋体" w:hAnsi="宋体" w:eastAsia="宋体" w:cs="宋体"/>
                <w:color w:val="auto"/>
              </w:rPr>
              <w:t>块模组）</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rPr>
              <w:t>1、像素间距≤</w:t>
            </w:r>
            <w:r>
              <w:rPr>
                <w:rFonts w:hint="eastAsia" w:ascii="宋体" w:hAnsi="宋体" w:eastAsia="宋体" w:cs="宋体"/>
                <w:color w:val="auto"/>
                <w:lang w:val="en-US" w:eastAsia="zh-CN"/>
              </w:rPr>
              <w:t>1.53</w:t>
            </w:r>
            <w:r>
              <w:rPr>
                <w:rFonts w:hint="eastAsia" w:ascii="宋体" w:hAnsi="宋体" w:eastAsia="宋体" w:cs="宋体"/>
                <w:color w:val="auto"/>
              </w:rPr>
              <w:t>mm，像素密度≥</w:t>
            </w:r>
            <w:r>
              <w:rPr>
                <w:rFonts w:hint="eastAsia" w:ascii="宋体" w:hAnsi="宋体" w:eastAsia="宋体" w:cs="宋体"/>
                <w:color w:val="auto"/>
                <w:lang w:val="en-US" w:eastAsia="zh-CN"/>
              </w:rPr>
              <w:t>422500</w:t>
            </w:r>
            <w:r>
              <w:rPr>
                <w:rFonts w:hint="eastAsia" w:ascii="宋体" w:hAnsi="宋体" w:eastAsia="宋体" w:cs="宋体"/>
                <w:color w:val="auto"/>
              </w:rPr>
              <w:t xml:space="preserve">点/㎡，刷新率不低于3840Hz                                                                                                                2、电路板采用多层PCB设计,采用抗消隐设计,无“毛毛虫、鬼影”跟随现象                                                                                              ★3、模组采用320*160mm标准尺寸，铝底壳工艺，模组立体散热等特点（要求提供带产品规格书彩页照片的报告）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★4、Type-C接口，信电合一，抗干扰，全集成，智能高效数据传输；电源信号可盲插，无需区分方向，安装稳定便利可靠（提供CNAS第三方检测报告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5、最高对比度支持10000：1，支持16bit灰度等级，可实现亮色度校正，支持主动式 3D 显示和 HDR 视频源输入</w:t>
            </w:r>
            <w:r>
              <w:rPr>
                <w:rFonts w:hint="eastAsia" w:ascii="宋体" w:hAnsi="宋体" w:eastAsia="宋体" w:cs="宋体"/>
                <w:color w:val="auto"/>
                <w:lang w:val="en-US" w:eastAsia="zh-CN"/>
              </w:rPr>
              <w:t>.</w:t>
            </w:r>
            <w:r>
              <w:rPr>
                <w:rFonts w:hint="eastAsia" w:ascii="宋体" w:hAnsi="宋体" w:eastAsia="宋体" w:cs="宋体"/>
                <w:color w:val="auto"/>
              </w:rPr>
              <w:t xml:space="preserve">                                                                                                                                                                                                                                                                  6、为适应室内长期观看，显示屏校正后亮度或白平衡亮度≥650nit，亮度均匀性＞98%。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7</w:t>
            </w:r>
            <w:r>
              <w:rPr>
                <w:rFonts w:hint="eastAsia" w:ascii="宋体" w:hAnsi="宋体" w:eastAsia="宋体" w:cs="宋体"/>
                <w:color w:val="auto"/>
              </w:rPr>
              <w:t>、支持设备在正常条件下连续工作168H,未出现机械及操作故障，故障平均修复时间3分钟，像素失控率≤1/100000,出厂为0，无连续失控点，图像轮廓锐利清晰、无拖影、无马赛克、灰尘效应（提供CNAS第三方检测报告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、支持自动gamma校正技术，通过构造非线性校正曲线和色坐标变化系数矩阵实现显示效果的不断改善，如色彩还原、色温调节范围、亮度均匀性、色度均匀性、刷新率、换帧频率等。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 xml:space="preserve">、系统支持信号、校正数据、接收卡文件备份；软件支持自检、远程监控，可实现通讯检测、温度检测、电源检测、温度监控等功能，从而保证显示屏的正常运行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、屏幕支持亮度、对比度、色度调节、视觉修正等调整功能，具备视频降噪、动态补偿等处理功能。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11、要求所投LED显示屏厂家具有LED显示屏拼接误差的精度较低的技术（提供相关证明材料）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、支持动态节能降低功耗，产品峰值功耗：≤350W/㎡，平均功耗：≤115W/㎡（提供CNAS第三方检测报告</w:t>
            </w:r>
            <w:r>
              <w:rPr>
                <w:rFonts w:hint="eastAsia" w:ascii="宋体" w:hAnsi="宋体" w:cs="宋体"/>
                <w:color w:val="auto"/>
                <w:lang w:eastAsia="zh-CN"/>
              </w:rPr>
              <w:t>扫描件</w:t>
            </w:r>
            <w:r>
              <w:rPr>
                <w:rFonts w:hint="eastAsia" w:ascii="宋体" w:hAnsi="宋体" w:eastAsia="宋体" w:cs="宋体"/>
                <w:color w:val="auto"/>
              </w:rPr>
              <w:t xml:space="preserve">）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、为保证良好的观看体验，屏体前后左右方工作噪声声压dBA（距离1米）均≤</w:t>
            </w:r>
            <w:r>
              <w:rPr>
                <w:rFonts w:hint="eastAsia" w:ascii="宋体" w:hAnsi="宋体" w:eastAsia="宋体" w:cs="宋体"/>
                <w:color w:val="auto"/>
                <w:lang w:val="en-US" w:eastAsia="zh-CN"/>
              </w:rPr>
              <w:t>9</w:t>
            </w:r>
            <w:r>
              <w:rPr>
                <w:rFonts w:hint="eastAsia" w:ascii="宋体" w:hAnsi="宋体" w:eastAsia="宋体" w:cs="宋体"/>
                <w:color w:val="auto"/>
              </w:rPr>
              <w:t>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4</w:t>
            </w:r>
            <w:r>
              <w:rPr>
                <w:rFonts w:hint="eastAsia" w:ascii="宋体" w:hAnsi="宋体" w:eastAsia="宋体" w:cs="宋体"/>
                <w:color w:val="auto"/>
              </w:rPr>
              <w:t xml:space="preserve">、防尘等级满足IP5X要求，PCB、塑料面板的阻燃等级达到V-0 级，样品表面无起泡、裂纹、毛刺、锈蚀现象，符合盐雾10级要求；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1</w:t>
            </w:r>
            <w:r>
              <w:rPr>
                <w:rFonts w:hint="eastAsia" w:ascii="宋体" w:hAnsi="宋体" w:eastAsia="宋体" w:cs="宋体"/>
                <w:color w:val="auto"/>
                <w:lang w:val="en-US" w:eastAsia="zh-CN"/>
              </w:rPr>
              <w:t>5</w:t>
            </w:r>
            <w:r>
              <w:rPr>
                <w:rFonts w:hint="eastAsia" w:ascii="宋体" w:hAnsi="宋体" w:eastAsia="宋体" w:cs="宋体"/>
                <w:color w:val="auto"/>
              </w:rPr>
              <w:t>、产品通过</w:t>
            </w:r>
            <w:r>
              <w:rPr>
                <w:rFonts w:hint="eastAsia" w:ascii="宋体" w:hAnsi="宋体" w:eastAsia="宋体" w:cs="宋体"/>
                <w:color w:val="auto"/>
                <w:lang w:val="en-US" w:eastAsia="zh-CN"/>
              </w:rPr>
              <w:t>MTBF平均失效间隔时间</w:t>
            </w:r>
            <w:r>
              <w:rPr>
                <w:rFonts w:hint="eastAsia" w:ascii="宋体" w:hAnsi="宋体" w:eastAsia="宋体" w:cs="宋体"/>
                <w:color w:val="auto"/>
              </w:rPr>
              <w:t>≥</w:t>
            </w:r>
            <w:r>
              <w:rPr>
                <w:rFonts w:hint="eastAsia" w:ascii="宋体" w:hAnsi="宋体" w:eastAsia="宋体" w:cs="宋体"/>
                <w:color w:val="auto"/>
                <w:lang w:val="en-US" w:eastAsia="zh-CN"/>
              </w:rPr>
              <w:t>100000小时，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rPr>
              <w:t>★</w:t>
            </w:r>
            <w:r>
              <w:rPr>
                <w:rFonts w:hint="eastAsia" w:ascii="宋体" w:hAnsi="宋体" w:eastAsia="宋体" w:cs="宋体"/>
                <w:color w:val="auto"/>
                <w:lang w:val="en-US" w:eastAsia="zh-CN"/>
              </w:rPr>
              <w:t>16、产品通过防蓝光、紫外危害曝辐射值、宽波段光源对光生物安全的危害符合RG0等级国家标准。</w:t>
            </w:r>
            <w:r>
              <w:rPr>
                <w:rFonts w:hint="eastAsia" w:ascii="宋体" w:hAnsi="宋体" w:eastAsia="宋体" w:cs="宋体"/>
                <w:color w:val="auto"/>
              </w:rPr>
              <w:t>（提供CNAS第三方检测报告</w:t>
            </w:r>
            <w:r>
              <w:rPr>
                <w:rFonts w:hint="eastAsia" w:ascii="宋体" w:hAnsi="宋体" w:cs="宋体"/>
                <w:color w:val="auto"/>
                <w:lang w:eastAsia="zh-CN"/>
              </w:rPr>
              <w:t>扫描件</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7</w:t>
            </w:r>
            <w:r>
              <w:rPr>
                <w:rFonts w:hint="eastAsia" w:ascii="宋体" w:hAnsi="宋体" w:eastAsia="宋体" w:cs="宋体"/>
                <w:color w:val="auto"/>
              </w:rPr>
              <w:t>、支持单条信号传输链路1080P区域，支持视频源色位深12bit，支持视频源输入频率低延时</w:t>
            </w:r>
            <w:r>
              <w:rPr>
                <w:rFonts w:hint="eastAsia" w:ascii="宋体" w:hAnsi="宋体" w:cs="宋体"/>
                <w:color w:val="auto"/>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cs="宋体"/>
                <w:color w:val="auto"/>
                <w:lang w:val="en-US" w:eastAsia="zh-CN"/>
              </w:rPr>
              <w:t>18</w:t>
            </w:r>
            <w:r>
              <w:rPr>
                <w:rFonts w:hint="eastAsia" w:ascii="宋体" w:hAnsi="宋体" w:eastAsia="宋体" w:cs="宋体"/>
                <w:color w:val="auto"/>
                <w:lang w:val="en-US" w:eastAsia="zh-CN"/>
              </w:rPr>
              <w:t>、</w:t>
            </w:r>
            <w:r>
              <w:rPr>
                <w:rFonts w:hint="eastAsia" w:ascii="宋体" w:hAnsi="宋体" w:eastAsia="宋体" w:cs="宋体"/>
                <w:color w:val="auto"/>
              </w:rPr>
              <w:t>LED</w:t>
            </w:r>
            <w:r>
              <w:rPr>
                <w:rFonts w:hint="eastAsia" w:ascii="宋体" w:hAnsi="宋体" w:cs="宋体"/>
                <w:color w:val="auto"/>
                <w:lang w:val="en-US" w:eastAsia="zh-CN"/>
              </w:rPr>
              <w:t>显示屏</w:t>
            </w:r>
            <w:r>
              <w:rPr>
                <w:rFonts w:hint="eastAsia" w:ascii="宋体" w:hAnsi="宋体" w:eastAsia="宋体" w:cs="宋体"/>
                <w:color w:val="auto"/>
              </w:rPr>
              <w:t>具有《中国环境标志</w:t>
            </w:r>
            <w:r>
              <w:rPr>
                <w:rFonts w:hint="eastAsia" w:ascii="宋体" w:hAnsi="宋体" w:eastAsia="宋体" w:cs="宋体"/>
                <w:color w:val="auto"/>
                <w:lang w:val="en-US" w:eastAsia="zh-CN"/>
              </w:rPr>
              <w:t>(Ⅱ型)</w:t>
            </w:r>
            <w:r>
              <w:rPr>
                <w:rFonts w:hint="eastAsia" w:ascii="宋体" w:hAnsi="宋体" w:eastAsia="宋体" w:cs="宋体"/>
                <w:color w:val="auto"/>
              </w:rPr>
              <w:t>产品认证证书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LED钢结构</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p>
        </w:tc>
        <w:tc>
          <w:tcPr>
            <w:tcW w:w="6732" w:type="dxa"/>
            <w:noWrap w:val="0"/>
            <w:vAlign w:val="center"/>
          </w:tcPr>
          <w:p>
            <w:pPr>
              <w:keepNext w:val="0"/>
              <w:keepLines w:val="0"/>
              <w:pageBreakBefore w:val="0"/>
              <w:tabs>
                <w:tab w:val="left" w:pos="680"/>
              </w:tabs>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现场定制、焊接位置涂刷防锈漆，钢管厚度1.2MM,承重管子厚度1.5MM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49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color w:val="auto"/>
              </w:rPr>
              <w:t>智能控制盒</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1、</w:t>
            </w:r>
            <w:r>
              <w:rPr>
                <w:rFonts w:hint="eastAsia" w:ascii="宋体" w:hAnsi="宋体" w:eastAsia="宋体" w:cs="宋体"/>
                <w:color w:val="auto"/>
              </w:rPr>
              <w:t>可最大带载 512×512@60Hz，可荷载4.5V/36A,接口采用新式的 Type-c 接插件接口</w:t>
            </w:r>
            <w:r>
              <w:rPr>
                <w:rFonts w:hint="eastAsia" w:ascii="宋体" w:hAnsi="宋体" w:eastAsia="宋体" w:cs="宋体"/>
                <w:color w:val="auto"/>
                <w:lang w:val="en-US" w:eastAsia="zh-CN"/>
              </w:rPr>
              <w:t>(提供产品接口图片佐证)</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color w:val="auto"/>
                <w:lang w:val="en-US" w:eastAsia="zh-CN"/>
              </w:rPr>
              <w:t>2、</w:t>
            </w:r>
            <w:r>
              <w:rPr>
                <w:rFonts w:hint="eastAsia" w:ascii="宋体" w:hAnsi="宋体" w:eastAsia="宋体" w:cs="宋体"/>
                <w:color w:val="auto"/>
              </w:rPr>
              <w:t>支持多层校正和画质引擎技术。同时，还支持 HDR、快速亮暗线调节、低延迟、逐点亮色度校正、3D、RGB 独立 Gamma 调节、画面 90°倍数旋转、显示屏任意角度旋转等功能，多方面提升显示屏的亮度、灰度和色彩表现</w:t>
            </w:r>
            <w:r>
              <w:rPr>
                <w:rFonts w:hint="eastAsia" w:ascii="宋体" w:hAnsi="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lang w:val="en-US" w:eastAsia="zh-CN"/>
              </w:rPr>
              <w:t>3</w:t>
            </w:r>
            <w:r>
              <w:rPr>
                <w:rStyle w:val="44"/>
                <w:rFonts w:hint="eastAsia" w:ascii="宋体" w:hAnsi="宋体" w:eastAsia="宋体" w:cs="宋体"/>
                <w:color w:val="auto"/>
                <w:sz w:val="21"/>
                <w:szCs w:val="21"/>
                <w:lang w:val="en-US" w:eastAsia="zh-CN" w:bidi="ar"/>
              </w:rPr>
              <w:t>、内</w:t>
            </w:r>
            <w:r>
              <w:rPr>
                <w:rFonts w:hint="eastAsia" w:ascii="宋体" w:hAnsi="宋体" w:eastAsia="宋体" w:cs="宋体"/>
                <w:bCs/>
                <w:color w:val="auto"/>
                <w:szCs w:val="21"/>
                <w:lang w:val="en-US" w:eastAsia="zh-CN"/>
              </w:rPr>
              <w:t>置支持 3D 功能的独立主控，在软件或独立主控的操作面板上开启 3D 功能，并设置 3D 参数，使画面显示 3D 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视频处理器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支持≥5 路输入接口，包括1 路DVI，</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路HDMI1.3，1 路VGA，1 路USB 播放。</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支持窗口位置、大小调整及窗口截取功能。</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投屏输入子卡安装后支持使用鼠标或键盘进行控制和手机电脑等无线投屏和 U 盘播放。</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支持输入源一键切换</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支持外置独立音频</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支持DVI、HDMI 的输入分辨率预设及自定义调节。</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支持画面一键全屏缩放、点对点显示、自定义缩放三种缩放模式</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支持快捷点屏，简单操作即可完成屏体配置。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支持≥</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个网口输出，最大带载</w:t>
            </w:r>
            <w:r>
              <w:rPr>
                <w:rFonts w:hint="eastAsia" w:ascii="宋体" w:hAnsi="宋体" w:eastAsia="宋体" w:cs="宋体"/>
                <w:b w:val="0"/>
                <w:bCs/>
                <w:color w:val="auto"/>
                <w:sz w:val="21"/>
                <w:szCs w:val="21"/>
                <w:lang w:val="en-US" w:eastAsia="zh-CN"/>
              </w:rPr>
              <w:t>65</w:t>
            </w:r>
            <w:r>
              <w:rPr>
                <w:rFonts w:hint="eastAsia" w:ascii="宋体" w:hAnsi="宋体" w:eastAsia="宋体" w:cs="宋体"/>
                <w:b w:val="0"/>
                <w:bCs/>
                <w:color w:val="auto"/>
                <w:sz w:val="21"/>
                <w:szCs w:val="21"/>
              </w:rPr>
              <w:t>0 万像素，最大宽度 3840 像素，最大高度 1920像素。</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支持创建 ≥6 个用户场景作为模板保存，可直接调用，方便使用。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支持通过RS232 协议连接中控设备。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视频发送支持抗干扰单数据双备份传输技术，提高视频传输方式的抗干扰能力，降低传输失败的概率。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配电柜</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bCs w:val="0"/>
                <w:color w:val="auto"/>
                <w:sz w:val="21"/>
                <w:szCs w:val="21"/>
                <w:lang w:val="en-US" w:eastAsia="zh-CN"/>
              </w:rPr>
              <w:t>15</w:t>
            </w:r>
            <w:r>
              <w:rPr>
                <w:rFonts w:hint="eastAsia" w:ascii="宋体" w:hAnsi="宋体" w:eastAsia="宋体" w:cs="宋体"/>
                <w:b/>
                <w:bCs w:val="0"/>
                <w:color w:val="auto"/>
                <w:sz w:val="21"/>
                <w:szCs w:val="21"/>
              </w:rPr>
              <w:t>KW</w:t>
            </w:r>
            <w:r>
              <w:rPr>
                <w:rFonts w:hint="eastAsia" w:ascii="宋体" w:hAnsi="宋体" w:eastAsia="宋体" w:cs="宋体"/>
                <w:b w:val="0"/>
                <w:bCs/>
                <w:color w:val="auto"/>
                <w:sz w:val="21"/>
                <w:szCs w:val="21"/>
              </w:rPr>
              <w:t>户内配电箱</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1、设备支持PLC远程上断电；支持定时开关机，支持各通道自定义开关时间；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2、支持过载、短路保护功能；支持逐级延时上断电（每通道间隔1秒）；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3、支持通道状态监测、支持通讯状态监测；</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4、设备支持多种控制模式：手动控制、</w:t>
            </w:r>
            <w:r>
              <w:rPr>
                <w:rFonts w:hint="eastAsia" w:ascii="宋体" w:hAnsi="宋体" w:eastAsia="宋体" w:cs="宋体"/>
                <w:color w:val="auto"/>
                <w:kern w:val="0"/>
                <w:sz w:val="21"/>
                <w:szCs w:val="21"/>
              </w:rPr>
              <w:t>RJ45网口通讯；可配本地电脑控制软件，也可接入用户中控系统，支持Modbus TCP协议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kern w:val="2"/>
                <w:sz w:val="21"/>
                <w:szCs w:val="21"/>
                <w:lang w:val="en-US" w:eastAsia="zh-CN" w:bidi="ar-SA"/>
              </w:rPr>
              <w:t>5、支持多用户权限管理；支持传感器联动通道执行预案；支持远程时间校正                                                            6、</w:t>
            </w:r>
            <w:r>
              <w:rPr>
                <w:rFonts w:hint="eastAsia" w:ascii="宋体" w:hAnsi="宋体" w:eastAsia="宋体" w:cs="宋体"/>
                <w:color w:val="auto"/>
                <w:kern w:val="0"/>
                <w:sz w:val="21"/>
                <w:szCs w:val="21"/>
              </w:rPr>
              <w:t>器件品牌：国家强制性认证3C元件</w:t>
            </w:r>
            <w:r>
              <w:rPr>
                <w:rFonts w:hint="eastAsia" w:ascii="宋体" w:hAnsi="宋体" w:eastAsia="宋体" w:cs="宋体"/>
                <w:color w:val="auto"/>
                <w:kern w:val="0"/>
                <w:sz w:val="21"/>
                <w:szCs w:val="21"/>
                <w:lang w:val="en-US" w:eastAsia="zh-CN"/>
              </w:rPr>
              <w:t xml:space="preserve">                                                   7、</w:t>
            </w:r>
            <w:r>
              <w:rPr>
                <w:rFonts w:hint="eastAsia" w:ascii="宋体" w:hAnsi="宋体" w:eastAsia="宋体" w:cs="宋体"/>
                <w:color w:val="auto"/>
                <w:kern w:val="0"/>
                <w:sz w:val="21"/>
                <w:szCs w:val="21"/>
              </w:rPr>
              <w:t>支持显示屏一键启动，PLC逐级上电，PLC逐级断电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i7-12700,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物理核数≥12核20线程，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主频≥睿频4.9Ghz，末级缓存容量≥25MB;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固态盘数量≥1个，固态存储容量≥256GB，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5.显卡：不差于A4000，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显存类型不低于GDDR6，独立显卡显存容量≥16G；</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7.电源：≥850W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前级处理器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1.≥96KHz采样频率，32-bitDSP处理器，24-bitA/D及D/A转换</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2.可通过面板按键密码锁定操作功能，提供≥4路话筒放大输入和线路输入，带48V幻想电源，急速寻找与抑制啸叫频点</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3.每通道独立≥12个固定滤波器和12个动态滤波器，可通过“系统”键来设定固定或动态滤波器的个数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4.可通过面板的≥48个LED啸叫点指示灯，显示当前啸叫点个数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5.单机提供≥30组设备数据存储，存储压缩，限幅，噪声门的参数。关机后可保存关机前的啸叫抑制状态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6.输入阻抗：平衡20KΩ、输出阻抗：平衡100Ω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7.输入共模拟制比：≥70dB(1KHz)、输出范围：≤25dBu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8.频率相应：20Hz-20KHz(-0.3dB)、信噪比：&gt;110dB@1KHz0dBu</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9.失真度：﹤0.01%OUTPUT=0dBu/1KHz、信道分离度：&gt;110dB（1KHz）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音响</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
                <w:bCs w:val="0"/>
                <w:color w:val="auto"/>
                <w:sz w:val="21"/>
                <w:szCs w:val="21"/>
                <w:lang w:eastAsia="zh-CN"/>
              </w:rPr>
              <w:t>支持嵌入和壁挂安装</w:t>
            </w:r>
            <w:r>
              <w:rPr>
                <w:rFonts w:hint="eastAsia" w:ascii="宋体" w:hAnsi="宋体" w:eastAsia="宋体" w:cs="宋体"/>
                <w:bCs/>
                <w:color w:val="auto"/>
                <w:sz w:val="21"/>
                <w:szCs w:val="21"/>
              </w:rPr>
              <w:t>音响参数：</w:t>
            </w:r>
            <w:r>
              <w:rPr>
                <w:rFonts w:hint="eastAsia" w:ascii="宋体" w:hAnsi="宋体" w:eastAsia="宋体" w:cs="宋体"/>
                <w:bCs/>
                <w:color w:val="auto"/>
                <w:szCs w:val="21"/>
              </w:rPr>
              <w:t>6.5英寸中低频单元+1英寸高频单元</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1、扬声器覆盖角度：水平</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0º×垂直</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 xml:space="preserve">2、频率响应：90 Hz - 17 KHz ± 3dB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3、扬声器功率（持续/峰值）：100/400W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4、灵敏度：</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 xml:space="preserve">95 dB </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额定阻抗：8Ω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功放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1、线路类型 :      class D</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2、功率输出:（8Ω） 2*</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50W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 xml:space="preserve">信燥比（20HZ-20KHZ）8Ω ： &gt;95DB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 xml:space="preserve">、失真(@8Ω 1KHZ)  ： &lt;0.5%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、输入灵敏度 ：≤1000mV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、频率响应 ：   20HZ-20KHZ（±1dB）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、阻尼系数 ：8Ω@1Khz： ≥230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功放保护 ：具有输出短路,过热,自动限幅,长期输出功率,直流/交流保护装置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智能感应交互模块</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1.传感器：深度摄像头：≥100万像素 ToF</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2.RGB摄像头：≥1200万像素，眷恋快门CMOS传感器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3.IMU：3D电子加速度计和3D电子陀螺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4.麦克风：七麦克风圆形阵列</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5.USB-C数据接口；同步输入输出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6.兼容系统 windows10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激光</w:t>
            </w:r>
            <w:r>
              <w:rPr>
                <w:rFonts w:hint="eastAsia" w:ascii="宋体" w:hAnsi="宋体" w:eastAsia="宋体" w:cs="宋体"/>
                <w:b w:val="0"/>
                <w:bCs/>
                <w:color w:val="auto"/>
                <w:sz w:val="21"/>
                <w:szCs w:val="21"/>
              </w:rPr>
              <w:t>投影机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光源：采用激光光源，光源模式≥6种</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亮度：≥6</w:t>
            </w:r>
            <w:r>
              <w:rPr>
                <w:rFonts w:hint="eastAsia" w:ascii="宋体" w:hAnsi="宋体" w:eastAsia="宋体" w:cs="宋体"/>
                <w:color w:val="auto"/>
                <w:lang w:val="en-US" w:eastAsia="zh-CN"/>
              </w:rPr>
              <w:t>5</w:t>
            </w:r>
            <w:r>
              <w:rPr>
                <w:rFonts w:hint="eastAsia" w:ascii="宋体" w:hAnsi="宋体" w:eastAsia="宋体" w:cs="宋体"/>
                <w:color w:val="auto"/>
              </w:rPr>
              <w:t>00流明</w:t>
            </w:r>
            <w:r>
              <w:rPr>
                <w:rFonts w:hint="eastAsia" w:ascii="宋体" w:hAnsi="宋体" w:eastAsia="宋体" w:cs="宋体"/>
                <w:color w:val="auto"/>
                <w:lang w:eastAsia="zh-CN"/>
              </w:rPr>
              <w:t>（</w:t>
            </w:r>
            <w:r>
              <w:rPr>
                <w:rFonts w:hint="eastAsia" w:ascii="宋体" w:hAnsi="宋体" w:eastAsia="宋体" w:cs="宋体"/>
                <w:bCs/>
                <w:color w:val="auto"/>
                <w:szCs w:val="21"/>
              </w:rPr>
              <w:t>提供封面具有 CMA  ilac-MRA、CNAS标识盖章的权威检测报告</w:t>
            </w:r>
            <w:r>
              <w:rPr>
                <w:rFonts w:hint="eastAsia" w:ascii="宋体" w:hAnsi="宋体" w:eastAsia="宋体" w:cs="宋体"/>
                <w:bCs/>
                <w:color w:val="auto"/>
                <w:szCs w:val="21"/>
                <w:lang w:eastAsia="zh-CN"/>
              </w:rPr>
              <w:t>）</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lang w:eastAsia="zh-CN"/>
              </w:rPr>
              <w:t>对比度：</w:t>
            </w:r>
            <w:r>
              <w:rPr>
                <w:rFonts w:hint="eastAsia" w:ascii="宋体" w:hAnsi="宋体" w:eastAsia="宋体" w:cs="宋体"/>
                <w:b w:val="0"/>
                <w:bCs/>
                <w:color w:val="auto"/>
                <w:sz w:val="21"/>
                <w:szCs w:val="21"/>
              </w:rPr>
              <w:t>≥</w:t>
            </w:r>
            <w:r>
              <w:rPr>
                <w:rFonts w:hint="eastAsia" w:ascii="宋体" w:hAnsi="宋体" w:eastAsia="宋体" w:cs="宋体"/>
                <w:color w:val="auto"/>
                <w:lang w:val="en-US" w:eastAsia="zh-CN"/>
              </w:rPr>
              <w:t>3000000:1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 w:val="0"/>
                <w:bCs/>
                <w:color w:val="auto"/>
                <w:kern w:val="2"/>
                <w:sz w:val="21"/>
                <w:szCs w:val="21"/>
                <w:lang w:val="en-US" w:eastAsia="zh-CN" w:bidi="ar-SA"/>
              </w:rPr>
              <w:t>▲</w:t>
            </w:r>
            <w:r>
              <w:rPr>
                <w:rFonts w:hint="eastAsia" w:ascii="宋体" w:hAnsi="宋体" w:eastAsia="宋体" w:cs="宋体"/>
                <w:color w:val="auto"/>
                <w:lang w:val="en-US" w:eastAsia="zh-CN"/>
              </w:rPr>
              <w:t>4、</w:t>
            </w:r>
            <w:r>
              <w:rPr>
                <w:rFonts w:hint="eastAsia" w:ascii="宋体" w:hAnsi="宋体" w:eastAsia="宋体" w:cs="宋体"/>
                <w:color w:val="auto"/>
              </w:rPr>
              <w:t>标准分辨率≥4K（3840x2160）</w:t>
            </w:r>
            <w:r>
              <w:rPr>
                <w:rFonts w:hint="eastAsia" w:ascii="宋体" w:hAnsi="宋体" w:eastAsia="宋体" w:cs="宋体"/>
                <w:color w:val="auto"/>
                <w:lang w:eastAsia="zh-CN"/>
              </w:rPr>
              <w:t>（</w:t>
            </w:r>
            <w:r>
              <w:rPr>
                <w:rFonts w:hint="eastAsia" w:ascii="宋体" w:hAnsi="宋体" w:eastAsia="宋体" w:cs="宋体"/>
                <w:bCs/>
                <w:color w:val="auto"/>
                <w:szCs w:val="21"/>
              </w:rPr>
              <w:t>提供封面具有 CMA  ilac-MRA、CNAS标识盖章的权威检测报告</w:t>
            </w:r>
            <w:r>
              <w:rPr>
                <w:rFonts w:hint="eastAsia" w:ascii="宋体" w:hAnsi="宋体" w:eastAsia="宋体" w:cs="宋体"/>
                <w:bCs/>
                <w:color w:val="auto"/>
                <w:szCs w:val="21"/>
                <w:lang w:eastAsia="zh-CN"/>
              </w:rPr>
              <w:t>）</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支持色温线性微调选项（调整范围≥3200K-9800K），色域范围≥78%，支持校正的色彩数量≥7种</w:t>
            </w:r>
            <w:r>
              <w:rPr>
                <w:rFonts w:hint="eastAsia" w:ascii="宋体" w:hAnsi="宋体" w:eastAsia="宋体" w:cs="宋体"/>
                <w:color w:val="auto"/>
                <w:lang w:eastAsia="zh-CN"/>
              </w:rPr>
              <w:t>，</w:t>
            </w:r>
            <w:r>
              <w:rPr>
                <w:rFonts w:hint="eastAsia" w:ascii="宋体" w:hAnsi="宋体" w:eastAsia="宋体" w:cs="宋体"/>
                <w:color w:val="auto"/>
              </w:rPr>
              <w:t>具有MEMC功能、支持HDR解码</w:t>
            </w:r>
            <w:r>
              <w:rPr>
                <w:rFonts w:hint="eastAsia" w:ascii="宋体" w:hAnsi="宋体" w:eastAsia="宋体" w:cs="宋体"/>
                <w:color w:val="auto"/>
                <w:lang w:eastAsia="zh-CN"/>
              </w:rPr>
              <w:t>功能。</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6、</w:t>
            </w:r>
            <w:r>
              <w:rPr>
                <w:rFonts w:hint="eastAsia" w:ascii="宋体" w:hAnsi="宋体" w:eastAsia="宋体" w:cs="宋体"/>
                <w:color w:val="auto"/>
              </w:rPr>
              <w:t>镜头：支持电动聚焦、电动变焦，镜头位移范围垂直≥±90%，水平≥±25%</w:t>
            </w:r>
            <w:r>
              <w:rPr>
                <w:rFonts w:hint="eastAsia" w:ascii="宋体" w:hAnsi="宋体" w:eastAsia="宋体" w:cs="宋体"/>
                <w:color w:val="auto"/>
                <w:lang w:eastAsia="zh-CN"/>
              </w:rPr>
              <w:t>；（</w:t>
            </w:r>
            <w:r>
              <w:rPr>
                <w:rFonts w:hint="eastAsia" w:ascii="宋体" w:hAnsi="宋体" w:eastAsia="宋体" w:cs="宋体"/>
                <w:bCs/>
                <w:color w:val="auto"/>
                <w:szCs w:val="21"/>
              </w:rPr>
              <w:t>提供封面具有 CMA  ilac-MRA、CNAS标识盖章的权威检测报告</w:t>
            </w:r>
            <w:r>
              <w:rPr>
                <w:rFonts w:hint="eastAsia" w:ascii="宋体" w:hAnsi="宋体" w:eastAsia="宋体" w:cs="宋体"/>
                <w:bCs/>
                <w:color w:val="auto"/>
                <w:szCs w:val="21"/>
                <w:lang w:val="en-US" w:eastAsia="zh-CN"/>
              </w:rPr>
              <w:t>)</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图像校正：支持自动几何校正功能、手动几何校正</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声音：内置</w:t>
            </w:r>
            <w:r>
              <w:rPr>
                <w:rFonts w:hint="eastAsia" w:ascii="宋体" w:hAnsi="宋体" w:eastAsia="宋体" w:cs="宋体"/>
                <w:b w:val="0"/>
                <w:bCs/>
                <w:color w:val="auto"/>
                <w:sz w:val="21"/>
                <w:szCs w:val="21"/>
              </w:rPr>
              <w:t>≥</w:t>
            </w:r>
            <w:r>
              <w:rPr>
                <w:rFonts w:hint="eastAsia" w:ascii="宋体" w:hAnsi="宋体" w:eastAsia="宋体" w:cs="宋体"/>
                <w:color w:val="auto"/>
              </w:rPr>
              <w:t>2*15W音响，音效支持音效类型DTS Virtual X，支持解码DTS和Dolby音频解码</w:t>
            </w:r>
            <w:r>
              <w:rPr>
                <w:rFonts w:hint="eastAsia" w:ascii="宋体" w:hAnsi="宋体" w:cs="宋体"/>
                <w:color w:val="auto"/>
                <w:lang w:eastAsia="zh-CN"/>
              </w:rPr>
              <w:t>。</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接口信息：HDMI/DVI IN</w:t>
            </w:r>
            <w:r>
              <w:rPr>
                <w:rFonts w:hint="eastAsia" w:ascii="宋体" w:hAnsi="宋体" w:eastAsia="宋体" w:cs="宋体"/>
                <w:b w:val="0"/>
                <w:bCs/>
                <w:color w:val="auto"/>
                <w:sz w:val="21"/>
                <w:szCs w:val="21"/>
              </w:rPr>
              <w:t>≥</w:t>
            </w:r>
            <w:r>
              <w:rPr>
                <w:rFonts w:hint="eastAsia" w:ascii="宋体" w:hAnsi="宋体" w:eastAsia="宋体" w:cs="宋体"/>
                <w:color w:val="auto"/>
              </w:rPr>
              <w:t>3、HDMI OUT</w:t>
            </w:r>
            <w:r>
              <w:rPr>
                <w:rFonts w:hint="eastAsia" w:ascii="宋体" w:hAnsi="宋体" w:eastAsia="宋体" w:cs="宋体"/>
                <w:b w:val="0"/>
                <w:bCs/>
                <w:color w:val="auto"/>
                <w:sz w:val="21"/>
                <w:szCs w:val="21"/>
              </w:rPr>
              <w:t>≥</w:t>
            </w:r>
            <w:r>
              <w:rPr>
                <w:rFonts w:hint="eastAsia" w:ascii="宋体" w:hAnsi="宋体" w:eastAsia="宋体" w:cs="宋体"/>
                <w:color w:val="auto"/>
              </w:rPr>
              <w:t>1、RS232 IN</w:t>
            </w:r>
            <w:r>
              <w:rPr>
                <w:rFonts w:hint="eastAsia" w:ascii="宋体" w:hAnsi="宋体" w:eastAsia="宋体" w:cs="宋体"/>
                <w:b w:val="0"/>
                <w:bCs/>
                <w:color w:val="auto"/>
                <w:sz w:val="21"/>
                <w:szCs w:val="21"/>
              </w:rPr>
              <w:t>≥</w:t>
            </w:r>
            <w:r>
              <w:rPr>
                <w:rFonts w:hint="eastAsia" w:ascii="宋体" w:hAnsi="宋体" w:eastAsia="宋体" w:cs="宋体"/>
                <w:color w:val="auto"/>
              </w:rPr>
              <w:t>1、RS232 OUT</w:t>
            </w:r>
            <w:r>
              <w:rPr>
                <w:rFonts w:hint="eastAsia" w:ascii="宋体" w:hAnsi="宋体" w:eastAsia="宋体" w:cs="宋体"/>
                <w:b w:val="0"/>
                <w:bCs/>
                <w:color w:val="auto"/>
                <w:sz w:val="21"/>
                <w:szCs w:val="21"/>
              </w:rPr>
              <w:t>≥</w:t>
            </w:r>
            <w:r>
              <w:rPr>
                <w:rFonts w:hint="eastAsia" w:ascii="宋体" w:hAnsi="宋体" w:eastAsia="宋体" w:cs="宋体"/>
                <w:color w:val="auto"/>
              </w:rPr>
              <w:t>1 、Audio IN</w:t>
            </w:r>
            <w:r>
              <w:rPr>
                <w:rFonts w:hint="eastAsia" w:ascii="宋体" w:hAnsi="宋体" w:eastAsia="宋体" w:cs="宋体"/>
                <w:b w:val="0"/>
                <w:bCs/>
                <w:color w:val="auto"/>
                <w:sz w:val="21"/>
                <w:szCs w:val="21"/>
              </w:rPr>
              <w:t>≥</w:t>
            </w:r>
            <w:r>
              <w:rPr>
                <w:rFonts w:hint="eastAsia" w:ascii="宋体" w:hAnsi="宋体" w:eastAsia="宋体" w:cs="宋体"/>
                <w:color w:val="auto"/>
              </w:rPr>
              <w:t>1、Audio OUT</w:t>
            </w:r>
            <w:r>
              <w:rPr>
                <w:rFonts w:hint="eastAsia" w:ascii="宋体" w:hAnsi="宋体" w:eastAsia="宋体" w:cs="宋体"/>
                <w:b w:val="0"/>
                <w:bCs/>
                <w:color w:val="auto"/>
                <w:sz w:val="21"/>
                <w:szCs w:val="21"/>
              </w:rPr>
              <w:t>≥</w:t>
            </w:r>
            <w:r>
              <w:rPr>
                <w:rFonts w:hint="eastAsia" w:ascii="宋体" w:hAnsi="宋体" w:eastAsia="宋体" w:cs="宋体"/>
                <w:color w:val="auto"/>
              </w:rPr>
              <w:t>1、USB</w:t>
            </w:r>
            <w:r>
              <w:rPr>
                <w:rFonts w:hint="eastAsia" w:ascii="宋体" w:hAnsi="宋体" w:eastAsia="宋体" w:cs="宋体"/>
                <w:b w:val="0"/>
                <w:bCs/>
                <w:color w:val="auto"/>
                <w:sz w:val="21"/>
                <w:szCs w:val="21"/>
              </w:rPr>
              <w:t>≥</w:t>
            </w:r>
            <w:r>
              <w:rPr>
                <w:rFonts w:hint="eastAsia" w:ascii="宋体" w:hAnsi="宋体" w:eastAsia="宋体" w:cs="宋体"/>
                <w:color w:val="auto"/>
              </w:rPr>
              <w:t>2、RJ45</w:t>
            </w:r>
            <w:r>
              <w:rPr>
                <w:rFonts w:hint="eastAsia" w:ascii="宋体" w:hAnsi="宋体" w:eastAsia="宋体" w:cs="宋体"/>
                <w:b w:val="0"/>
                <w:bCs/>
                <w:color w:val="auto"/>
                <w:sz w:val="21"/>
                <w:szCs w:val="21"/>
              </w:rPr>
              <w:t>≥</w:t>
            </w:r>
            <w:r>
              <w:rPr>
                <w:rFonts w:hint="eastAsia" w:ascii="宋体" w:hAnsi="宋体" w:eastAsia="宋体" w:cs="宋体"/>
                <w:color w:val="auto"/>
              </w:rPr>
              <w:t>1、VGA</w:t>
            </w:r>
            <w:r>
              <w:rPr>
                <w:rFonts w:hint="eastAsia" w:ascii="宋体" w:hAnsi="宋体" w:eastAsia="宋体" w:cs="宋体"/>
                <w:b w:val="0"/>
                <w:bCs/>
                <w:color w:val="auto"/>
                <w:sz w:val="21"/>
                <w:szCs w:val="21"/>
              </w:rPr>
              <w:t>≥</w:t>
            </w:r>
            <w:r>
              <w:rPr>
                <w:rFonts w:hint="eastAsia" w:ascii="宋体" w:hAnsi="宋体" w:eastAsia="宋体" w:cs="宋体"/>
                <w:color w:val="auto"/>
              </w:rPr>
              <w:t>1,支持HDMI信号环进环出功能，支持USB接口视频和Office文档直读功能</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10、蓝牙：不低于蓝牙5.0版本。</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系统：内置安卓智能系统，系统运行内存≥3G,机身存储空间≥32G</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12、</w:t>
            </w:r>
            <w:r>
              <w:rPr>
                <w:rFonts w:hint="eastAsia" w:ascii="宋体" w:hAnsi="宋体" w:eastAsia="宋体" w:cs="宋体"/>
                <w:color w:val="auto"/>
              </w:rPr>
              <w:t>应用：支持无线传屏、NFC控制、开机画面自定义、支持视频会议应用、屏保画册应用，具有自动演示模式，支持来信号直接显示功能，具有开机记忆上次关机状态功能</w:t>
            </w:r>
          </w:p>
          <w:p>
            <w:pPr>
              <w:pStyle w:val="28"/>
              <w:keepNext w:val="0"/>
              <w:keepLines w:val="0"/>
              <w:pageBreakBefore w:val="0"/>
              <w:numPr>
                <w:ilvl w:val="0"/>
                <w:numId w:val="0"/>
              </w:numPr>
              <w:kinsoku/>
              <w:wordWrap/>
              <w:overflowPunct/>
              <w:topLinePunct w:val="0"/>
              <w:bidi w:val="0"/>
              <w:adjustRightInd/>
              <w:snapToGrid/>
              <w:spacing w:line="240" w:lineRule="auto"/>
              <w:ind w:left="40" w:leftChars="0" w:right="0" w:rightChars="0"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13、</w:t>
            </w:r>
            <w:r>
              <w:rPr>
                <w:rFonts w:hint="eastAsia" w:ascii="宋体" w:hAnsi="宋体" w:eastAsia="宋体" w:cs="宋体"/>
                <w:color w:val="auto"/>
              </w:rPr>
              <w:t>可靠性：具有自动除尘自清洁功能，整机防尘涉及等级IP5X、光源防尘等级IP6X</w:t>
            </w:r>
          </w:p>
          <w:p>
            <w:pPr>
              <w:keepNext w:val="0"/>
              <w:keepLines w:val="0"/>
              <w:pageBreakBefore w:val="0"/>
              <w:kinsoku/>
              <w:wordWrap/>
              <w:overflowPunct/>
              <w:topLinePunct w:val="0"/>
              <w:autoSpaceDE/>
              <w:autoSpaceDN/>
              <w:bidi w:val="0"/>
              <w:adjustRightInd/>
              <w:snapToGrid/>
              <w:spacing w:line="240" w:lineRule="auto"/>
              <w:ind w:left="40" w:right="0" w:rightChars="0"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color w:val="auto"/>
                <w:lang w:val="en-US" w:eastAsia="zh-CN"/>
              </w:rPr>
              <w:t>14、</w:t>
            </w:r>
            <w:r>
              <w:rPr>
                <w:rFonts w:hint="eastAsia" w:ascii="宋体" w:hAnsi="宋体" w:eastAsia="宋体" w:cs="宋体"/>
                <w:color w:val="auto"/>
              </w:rPr>
              <w:t>提供该机型</w:t>
            </w:r>
            <w:r>
              <w:rPr>
                <w:rFonts w:hint="eastAsia" w:ascii="宋体" w:hAnsi="宋体" w:eastAsia="宋体" w:cs="宋体"/>
                <w:color w:val="auto"/>
                <w:lang w:eastAsia="zh-CN"/>
              </w:rPr>
              <w:t>的</w:t>
            </w:r>
            <w:r>
              <w:rPr>
                <w:rFonts w:hint="eastAsia" w:ascii="宋体" w:hAnsi="宋体" w:eastAsia="宋体" w:cs="宋体"/>
                <w:color w:val="auto"/>
              </w:rPr>
              <w:t>3C认证、二级能效等级认证、环保认证</w:t>
            </w:r>
            <w:r>
              <w:rPr>
                <w:rFonts w:hint="eastAsia" w:ascii="宋体" w:hAnsi="宋体" w:eastAsia="宋体"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投影机</w:t>
            </w:r>
            <w:r>
              <w:rPr>
                <w:rFonts w:hint="eastAsia" w:ascii="宋体" w:hAnsi="宋体" w:eastAsia="宋体" w:cs="宋体"/>
                <w:b w:val="0"/>
                <w:bCs/>
                <w:color w:val="auto"/>
                <w:sz w:val="21"/>
                <w:szCs w:val="21"/>
                <w:lang w:eastAsia="zh-CN"/>
              </w:rPr>
              <w:t>镜头</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color w:val="auto"/>
              </w:rPr>
              <w:t>★</w:t>
            </w:r>
            <w:r>
              <w:rPr>
                <w:rFonts w:hint="eastAsia" w:ascii="宋体" w:hAnsi="宋体" w:eastAsia="宋体" w:cs="宋体"/>
                <w:bCs/>
                <w:color w:val="auto"/>
                <w:szCs w:val="21"/>
                <w:lang w:eastAsia="zh-CN"/>
              </w:rPr>
              <w:t>原厂</w:t>
            </w:r>
            <w:r>
              <w:rPr>
                <w:rFonts w:hint="eastAsia" w:ascii="宋体" w:hAnsi="宋体" w:eastAsia="宋体" w:cs="宋体"/>
                <w:bCs/>
                <w:color w:val="auto"/>
                <w:szCs w:val="21"/>
              </w:rPr>
              <w:t>投影机镜头投射比列：范围0.8~1.5</w:t>
            </w:r>
            <w:r>
              <w:rPr>
                <w:rFonts w:hint="eastAsia" w:ascii="宋体" w:hAnsi="宋体" w:eastAsia="宋体" w:cs="宋体"/>
                <w:bCs/>
                <w:color w:val="auto"/>
                <w:szCs w:val="21"/>
                <w:lang w:val="en-US" w:eastAsia="zh-CN"/>
              </w:rPr>
              <w:t>(匹配现场环境)（</w:t>
            </w:r>
            <w:r>
              <w:rPr>
                <w:rFonts w:hint="eastAsia" w:ascii="宋体" w:hAnsi="宋体" w:eastAsia="宋体" w:cs="宋体"/>
                <w:bCs/>
                <w:color w:val="auto"/>
                <w:szCs w:val="21"/>
              </w:rPr>
              <w:t>提供封面具有 CMA  ilac-MRA、CNAS标识盖章的权威检测报告</w:t>
            </w:r>
            <w:r>
              <w:rPr>
                <w:rFonts w:hint="eastAsia" w:ascii="宋体" w:hAnsi="宋体" w:eastAsia="宋体" w:cs="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59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地面</w:t>
            </w:r>
            <w:r>
              <w:rPr>
                <w:rFonts w:hint="eastAsia" w:ascii="宋体" w:hAnsi="宋体" w:eastAsia="宋体" w:cs="宋体"/>
                <w:b w:val="0"/>
                <w:bCs/>
                <w:color w:val="auto"/>
                <w:sz w:val="21"/>
                <w:szCs w:val="21"/>
              </w:rPr>
              <w:t>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i9-13900K,</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物理核数≥24核32线程，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  睿频5.8Ghz，末级缓存容量≥3</w:t>
            </w:r>
            <w:r>
              <w:rPr>
                <w:rFonts w:hint="eastAsia" w:ascii="宋体" w:hAnsi="宋体" w:cs="宋体"/>
                <w:b w:val="0"/>
                <w:bCs/>
                <w:color w:val="auto"/>
                <w:sz w:val="21"/>
                <w:szCs w:val="21"/>
                <w:lang w:val="en-US" w:eastAsia="zh-CN"/>
              </w:rPr>
              <w:t>6</w:t>
            </w:r>
            <w:r>
              <w:rPr>
                <w:rFonts w:hint="eastAsia" w:ascii="宋体" w:hAnsi="宋体" w:eastAsia="宋体" w:cs="宋体"/>
                <w:b w:val="0"/>
                <w:bCs/>
                <w:color w:val="auto"/>
                <w:sz w:val="21"/>
                <w:szCs w:val="21"/>
              </w:rPr>
              <w:t>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5.显卡：不差于RTX4090，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显存类型不低于GDDR6X，显存位宽≥ 384位，独立显卡显存容量≥24G，显卡显示芯片核心频率≥2520MHz；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7.电源：≥1000W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9.带5.1声道声卡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墙面服务主机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i9-13900K,</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物理核数≥24核32线程，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  睿频5.8Ghz，末级缓存容量≥3</w:t>
            </w:r>
            <w:r>
              <w:rPr>
                <w:rFonts w:hint="eastAsia" w:ascii="宋体" w:hAnsi="宋体" w:cs="宋体"/>
                <w:b w:val="0"/>
                <w:bCs/>
                <w:color w:val="auto"/>
                <w:sz w:val="21"/>
                <w:szCs w:val="21"/>
                <w:lang w:val="en-US" w:eastAsia="zh-CN"/>
              </w:rPr>
              <w:t>6</w:t>
            </w:r>
            <w:r>
              <w:rPr>
                <w:rFonts w:hint="eastAsia" w:ascii="宋体" w:hAnsi="宋体" w:eastAsia="宋体" w:cs="宋体"/>
                <w:b w:val="0"/>
                <w:bCs/>
                <w:color w:val="auto"/>
                <w:sz w:val="21"/>
                <w:szCs w:val="21"/>
              </w:rPr>
              <w:t>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支持DDR4-3200及以上；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5.显卡：不差于RTX4090，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独立显卡，</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显存类型不低于GDDR6X，显存位宽≥ 384位，独立显卡显存容量≥24G，显卡显示芯片核心频率≥2520MHz；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7.电源：≥1000W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9.带5.1声道声卡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纱幕服务主机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1.CPU：不差于intel i7-10700,</w:t>
            </w:r>
            <w:r>
              <w:rPr>
                <w:rFonts w:hint="eastAsia" w:ascii="宋体" w:hAnsi="宋体" w:cs="宋体"/>
                <w:bCs/>
                <w:color w:val="auto"/>
                <w:szCs w:val="21"/>
                <w:lang w:eastAsia="zh-CN"/>
              </w:rPr>
              <w:t>▲</w:t>
            </w:r>
            <w:r>
              <w:rPr>
                <w:rFonts w:hint="eastAsia" w:ascii="宋体" w:hAnsi="宋体" w:eastAsia="宋体" w:cs="宋体"/>
                <w:bCs/>
                <w:color w:val="auto"/>
                <w:szCs w:val="21"/>
              </w:rPr>
              <w:t>物理核数≥8核16线程，</w:t>
            </w:r>
            <w:r>
              <w:rPr>
                <w:rFonts w:hint="eastAsia" w:ascii="宋体" w:hAnsi="宋体" w:cs="宋体"/>
                <w:bCs/>
                <w:color w:val="auto"/>
                <w:szCs w:val="21"/>
                <w:lang w:eastAsia="zh-CN"/>
              </w:rPr>
              <w:t>▲</w:t>
            </w:r>
            <w:r>
              <w:rPr>
                <w:rFonts w:hint="eastAsia" w:ascii="宋体" w:hAnsi="宋体" w:eastAsia="宋体" w:cs="宋体"/>
                <w:bCs/>
                <w:color w:val="auto"/>
                <w:szCs w:val="21"/>
              </w:rPr>
              <w:t>主频≥  睿频4.8Ghz，末级缓存容量≥16MB;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2.内存：容量≥16GB，</w:t>
            </w:r>
            <w:r>
              <w:rPr>
                <w:rFonts w:hint="eastAsia" w:ascii="宋体" w:hAnsi="宋体" w:cs="宋体"/>
                <w:bCs/>
                <w:color w:val="auto"/>
                <w:szCs w:val="21"/>
                <w:lang w:eastAsia="zh-CN"/>
              </w:rPr>
              <w:t>▲</w:t>
            </w:r>
            <w:r>
              <w:rPr>
                <w:rFonts w:hint="eastAsia" w:ascii="宋体" w:hAnsi="宋体" w:eastAsia="宋体" w:cs="宋体"/>
                <w:bCs/>
                <w:color w:val="auto"/>
                <w:szCs w:val="21"/>
              </w:rPr>
              <w:t>支持DDR4-4000及以上；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3.主板：</w:t>
            </w:r>
            <w:r>
              <w:rPr>
                <w:rFonts w:hint="eastAsia" w:ascii="宋体" w:hAnsi="宋体" w:cs="宋体"/>
                <w:bCs/>
                <w:color w:val="auto"/>
                <w:szCs w:val="21"/>
                <w:lang w:eastAsia="zh-CN"/>
              </w:rPr>
              <w:t>▲</w:t>
            </w:r>
            <w:r>
              <w:rPr>
                <w:rFonts w:hint="eastAsia" w:ascii="宋体" w:hAnsi="宋体" w:eastAsia="宋体" w:cs="宋体"/>
                <w:bCs/>
                <w:color w:val="auto"/>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4.存储：</w:t>
            </w:r>
            <w:r>
              <w:rPr>
                <w:rFonts w:hint="eastAsia" w:ascii="宋体" w:hAnsi="宋体" w:cs="宋体"/>
                <w:bCs/>
                <w:color w:val="auto"/>
                <w:szCs w:val="21"/>
                <w:lang w:eastAsia="zh-CN"/>
              </w:rPr>
              <w:t>▲</w:t>
            </w:r>
            <w:r>
              <w:rPr>
                <w:rFonts w:hint="eastAsia" w:ascii="宋体" w:hAnsi="宋体" w:eastAsia="宋体" w:cs="宋体"/>
                <w:bCs/>
                <w:color w:val="auto"/>
                <w:szCs w:val="21"/>
              </w:rPr>
              <w:t>固态盘数量≥1个，固态存储容量≥256G，</w:t>
            </w:r>
            <w:r>
              <w:rPr>
                <w:rFonts w:hint="eastAsia" w:ascii="宋体" w:hAnsi="宋体" w:cs="宋体"/>
                <w:bCs/>
                <w:color w:val="auto"/>
                <w:szCs w:val="21"/>
                <w:lang w:eastAsia="zh-CN"/>
              </w:rPr>
              <w:t>▲</w:t>
            </w:r>
            <w:r>
              <w:rPr>
                <w:rFonts w:hint="eastAsia" w:ascii="宋体" w:hAnsi="宋体" w:eastAsia="宋体" w:cs="宋体"/>
                <w:bCs/>
                <w:color w:val="auto"/>
                <w:szCs w:val="21"/>
              </w:rPr>
              <w:t>机械硬盘数量≥1个，机械硬盘总容量≥1T，</w:t>
            </w:r>
            <w:r>
              <w:rPr>
                <w:rFonts w:hint="eastAsia" w:ascii="宋体" w:hAnsi="宋体" w:cs="宋体"/>
                <w:bCs/>
                <w:color w:val="auto"/>
                <w:szCs w:val="21"/>
                <w:lang w:eastAsia="zh-CN"/>
              </w:rPr>
              <w:t>▲</w:t>
            </w:r>
            <w:r>
              <w:rPr>
                <w:rFonts w:hint="eastAsia" w:ascii="宋体" w:hAnsi="宋体" w:eastAsia="宋体" w:cs="宋体"/>
                <w:bCs/>
                <w:color w:val="auto"/>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5.显卡：不差于1660S，</w:t>
            </w:r>
            <w:r>
              <w:rPr>
                <w:rFonts w:hint="eastAsia" w:ascii="宋体" w:hAnsi="宋体" w:cs="宋体"/>
                <w:bCs/>
                <w:color w:val="auto"/>
                <w:szCs w:val="21"/>
                <w:lang w:eastAsia="zh-CN"/>
              </w:rPr>
              <w:t>▲</w:t>
            </w:r>
            <w:r>
              <w:rPr>
                <w:rFonts w:hint="eastAsia" w:ascii="宋体" w:hAnsi="宋体" w:eastAsia="宋体" w:cs="宋体"/>
                <w:bCs/>
                <w:color w:val="auto"/>
                <w:szCs w:val="21"/>
              </w:rPr>
              <w:t>独立显卡，</w:t>
            </w:r>
            <w:r>
              <w:rPr>
                <w:rFonts w:hint="eastAsia" w:ascii="宋体" w:hAnsi="宋体" w:cs="宋体"/>
                <w:bCs/>
                <w:color w:val="auto"/>
                <w:szCs w:val="21"/>
                <w:lang w:eastAsia="zh-CN"/>
              </w:rPr>
              <w:t>▲</w:t>
            </w:r>
            <w:r>
              <w:rPr>
                <w:rFonts w:hint="eastAsia" w:ascii="宋体" w:hAnsi="宋体" w:eastAsia="宋体" w:cs="宋体"/>
                <w:bCs/>
                <w:color w:val="auto"/>
                <w:szCs w:val="21"/>
              </w:rPr>
              <w:t>显存类型不低于GDDR5，显存位宽≥ 192位，独立显卡显存容量≥6G，显示分辨率≥7680x4320，显卡显示芯片核心频率≥1860MHz；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7.电源：≥500W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8.功能支持：上电自启动，网络唤醒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Cs/>
                <w:color w:val="auto"/>
                <w:szCs w:val="21"/>
              </w:rPr>
              <w:t>9.带5.1声道声卡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四屏拓展仪</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输入：DP*1</w:t>
            </w:r>
            <w:r>
              <w:rPr>
                <w:rFonts w:hint="eastAsia" w:ascii="宋体" w:hAnsi="宋体" w:eastAsia="宋体" w:cs="宋体"/>
                <w:bCs/>
                <w:color w:val="auto"/>
                <w:szCs w:val="21"/>
                <w:lang w:eastAsia="zh-CN"/>
              </w:rPr>
              <w:t>路</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输出：HDMI*4</w:t>
            </w:r>
            <w:r>
              <w:rPr>
                <w:rFonts w:hint="eastAsia" w:ascii="宋体" w:hAnsi="宋体" w:eastAsia="宋体" w:cs="宋体"/>
                <w:bCs/>
                <w:color w:val="auto"/>
                <w:szCs w:val="21"/>
                <w:lang w:eastAsia="zh-CN"/>
              </w:rPr>
              <w:t>路</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rPr>
              <w:t>最大分辨率：7680*1200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5.1声道音频系统</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5.1声道音响系统</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00W</w:t>
            </w:r>
            <w:r>
              <w:rPr>
                <w:rFonts w:hint="eastAsia" w:ascii="宋体" w:hAnsi="宋体" w:eastAsia="宋体" w:cs="宋体"/>
                <w:bCs/>
                <w:color w:val="auto"/>
                <w:szCs w:val="21"/>
                <w:lang w:val="en-US" w:eastAsia="zh-CN"/>
              </w:rPr>
              <w:t>+低音输出1*</w:t>
            </w: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300W</w:t>
            </w:r>
            <w:r>
              <w:rPr>
                <w:rFonts w:hint="eastAsia" w:ascii="宋体" w:hAnsi="宋体" w:eastAsia="宋体" w:cs="宋体"/>
                <w:bCs/>
                <w:color w:val="auto"/>
                <w:szCs w:val="21"/>
              </w:rPr>
              <w:t>等功率输出，重低音输出(信号）；频响范围;20Hz-20KHz±2dB；重低音频响;10Hz-400Hz±2dB；谐波失真;&lt;0.7%；左右通道串音衰弱&gt;42dB；输入灵敏度;280±40mV；阻抗8Ω；音调控制;低音;±14dB；高音;±14dB；信噪比;&gt;76dB，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2、前置音响*2只参数：1</w:t>
            </w:r>
            <w:r>
              <w:rPr>
                <w:rFonts w:hint="eastAsia" w:ascii="宋体" w:hAnsi="宋体" w:cs="宋体"/>
                <w:bCs/>
                <w:color w:val="auto"/>
                <w:szCs w:val="21"/>
                <w:lang w:val="en-US" w:eastAsia="zh-CN"/>
              </w:rPr>
              <w:t>5~17</w:t>
            </w:r>
            <w:r>
              <w:rPr>
                <w:rFonts w:hint="eastAsia" w:ascii="宋体" w:hAnsi="宋体" w:eastAsia="宋体" w:cs="宋体"/>
                <w:bCs/>
                <w:color w:val="auto"/>
                <w:szCs w:val="21"/>
              </w:rPr>
              <w:t>cm 锥形低音单元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3~5</w:t>
            </w:r>
            <w:r>
              <w:rPr>
                <w:rFonts w:hint="eastAsia" w:ascii="宋体" w:hAnsi="宋体" w:eastAsia="宋体" w:cs="宋体"/>
                <w:bCs/>
                <w:color w:val="auto"/>
                <w:szCs w:val="21"/>
              </w:rPr>
              <w:t>cm铝制圆顶中音单元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2~3</w:t>
            </w:r>
            <w:r>
              <w:rPr>
                <w:rFonts w:hint="eastAsia" w:ascii="宋体" w:hAnsi="宋体" w:eastAsia="宋体" w:cs="宋体"/>
                <w:bCs/>
                <w:color w:val="auto"/>
                <w:szCs w:val="21"/>
              </w:rPr>
              <w:t>cm钛膜球顶高音单元</w:t>
            </w:r>
            <w:r>
              <w:rPr>
                <w:rFonts w:hint="eastAsia" w:ascii="宋体" w:hAnsi="宋体" w:eastAsia="宋体" w:cs="宋体"/>
                <w:bCs/>
                <w:color w:val="auto"/>
                <w:szCs w:val="21"/>
                <w:lang w:eastAsia="zh-CN"/>
              </w:rPr>
              <w:t>、</w:t>
            </w:r>
            <w:r>
              <w:rPr>
                <w:rFonts w:hint="eastAsia" w:ascii="宋体" w:hAnsi="宋体" w:eastAsia="宋体" w:cs="宋体"/>
                <w:bCs/>
                <w:color w:val="auto"/>
                <w:szCs w:val="21"/>
              </w:rPr>
              <w:t>旋转高音和中音</w:t>
            </w:r>
            <w:r>
              <w:rPr>
                <w:rFonts w:hint="eastAsia" w:ascii="宋体" w:hAnsi="宋体" w:eastAsia="宋体" w:cs="宋体"/>
                <w:bCs/>
                <w:color w:val="auto"/>
                <w:szCs w:val="21"/>
                <w:lang w:eastAsia="zh-CN"/>
              </w:rPr>
              <w:t>、</w:t>
            </w:r>
            <w:r>
              <w:rPr>
                <w:rFonts w:hint="eastAsia" w:ascii="宋体" w:hAnsi="宋体" w:eastAsia="宋体" w:cs="宋体"/>
                <w:bCs/>
                <w:color w:val="auto"/>
                <w:szCs w:val="21"/>
              </w:rPr>
              <w:t>镀金可推式音箱接线柱</w:t>
            </w:r>
            <w:r>
              <w:rPr>
                <w:rFonts w:hint="eastAsia" w:ascii="宋体" w:hAnsi="宋体" w:eastAsia="宋体" w:cs="宋体"/>
                <w:bCs/>
                <w:color w:val="auto"/>
                <w:szCs w:val="21"/>
                <w:lang w:eastAsia="zh-CN"/>
              </w:rPr>
              <w:t>、</w:t>
            </w:r>
            <w:r>
              <w:rPr>
                <w:rFonts w:hint="eastAsia" w:ascii="宋体" w:hAnsi="宋体" w:eastAsia="宋体" w:cs="宋体"/>
                <w:bCs/>
                <w:color w:val="auto"/>
                <w:szCs w:val="21"/>
              </w:rPr>
              <w:t>≥150W输入功率</w:t>
            </w:r>
            <w:r>
              <w:rPr>
                <w:rFonts w:hint="eastAsia" w:ascii="宋体" w:hAnsi="宋体" w:eastAsia="宋体" w:cs="宋体"/>
                <w:bCs/>
                <w:color w:val="auto"/>
                <w:szCs w:val="21"/>
                <w:lang w:eastAsia="zh-CN"/>
              </w:rPr>
              <w:t>、</w:t>
            </w:r>
            <w:r>
              <w:rPr>
                <w:rFonts w:hint="eastAsia" w:ascii="宋体" w:hAnsi="宋体" w:eastAsia="宋体" w:cs="宋体"/>
                <w:bCs/>
                <w:color w:val="auto"/>
                <w:szCs w:val="21"/>
              </w:rPr>
              <w:t>频率响应50 Hz - 28 kHz</w:t>
            </w:r>
            <w:r>
              <w:rPr>
                <w:rFonts w:hint="eastAsia" w:ascii="宋体" w:hAnsi="宋体" w:eastAsia="宋体" w:cs="宋体"/>
                <w:bCs/>
                <w:color w:val="auto"/>
                <w:szCs w:val="21"/>
                <w:lang w:eastAsia="zh-CN"/>
              </w:rPr>
              <w:t>、灵敏度</w:t>
            </w:r>
            <w:r>
              <w:rPr>
                <w:rFonts w:hint="eastAsia" w:ascii="宋体" w:hAnsi="宋体" w:eastAsia="宋体" w:cs="宋体"/>
                <w:bCs/>
                <w:color w:val="auto"/>
                <w:szCs w:val="21"/>
              </w:rPr>
              <w:t>≥88 dB/2.83 V/1 m</w:t>
            </w:r>
            <w:r>
              <w:rPr>
                <w:rFonts w:hint="eastAsia" w:ascii="宋体" w:hAnsi="宋体" w:eastAsia="宋体" w:cs="宋体"/>
                <w:bCs/>
                <w:color w:val="auto"/>
                <w:szCs w:val="21"/>
                <w:lang w:eastAsia="zh-CN"/>
              </w:rPr>
              <w:t>、阻抗</w:t>
            </w:r>
            <w:r>
              <w:rPr>
                <w:rFonts w:hint="eastAsia" w:ascii="宋体" w:hAnsi="宋体" w:eastAsia="宋体" w:cs="宋体"/>
                <w:bCs/>
                <w:color w:val="auto"/>
                <w:szCs w:val="21"/>
              </w:rPr>
              <w:t>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3、环绕音响*2只参数：1</w:t>
            </w:r>
            <w:r>
              <w:rPr>
                <w:rFonts w:hint="eastAsia" w:ascii="宋体" w:hAnsi="宋体" w:cs="宋体"/>
                <w:bCs/>
                <w:color w:val="auto"/>
                <w:szCs w:val="21"/>
                <w:lang w:val="en-US" w:eastAsia="zh-CN"/>
              </w:rPr>
              <w:t>5~17</w:t>
            </w:r>
            <w:r>
              <w:rPr>
                <w:rFonts w:hint="eastAsia" w:ascii="宋体" w:hAnsi="宋体" w:eastAsia="宋体" w:cs="宋体"/>
                <w:bCs/>
                <w:color w:val="auto"/>
                <w:szCs w:val="21"/>
              </w:rPr>
              <w:t>cm锥形低音单元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3~5</w:t>
            </w:r>
            <w:r>
              <w:rPr>
                <w:rFonts w:hint="eastAsia" w:ascii="宋体" w:hAnsi="宋体" w:eastAsia="宋体" w:cs="宋体"/>
                <w:bCs/>
                <w:color w:val="auto"/>
                <w:szCs w:val="21"/>
              </w:rPr>
              <w:t>cm铝制圆顶中音单元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2~3</w:t>
            </w:r>
            <w:r>
              <w:rPr>
                <w:rFonts w:hint="eastAsia" w:ascii="宋体" w:hAnsi="宋体" w:eastAsia="宋体" w:cs="宋体"/>
                <w:bCs/>
                <w:color w:val="auto"/>
                <w:szCs w:val="21"/>
              </w:rPr>
              <w:t>cm钛膜球顶高音单元</w:t>
            </w:r>
            <w:r>
              <w:rPr>
                <w:rFonts w:hint="eastAsia" w:ascii="宋体" w:hAnsi="宋体" w:eastAsia="宋体" w:cs="宋体"/>
                <w:bCs/>
                <w:color w:val="auto"/>
                <w:szCs w:val="21"/>
                <w:lang w:eastAsia="zh-CN"/>
              </w:rPr>
              <w:t>、</w:t>
            </w:r>
            <w:r>
              <w:rPr>
                <w:rFonts w:hint="eastAsia" w:ascii="宋体" w:hAnsi="宋体" w:eastAsia="宋体" w:cs="宋体"/>
                <w:bCs/>
                <w:color w:val="auto"/>
                <w:szCs w:val="21"/>
              </w:rPr>
              <w:t>旋转高音和中音</w:t>
            </w:r>
            <w:r>
              <w:rPr>
                <w:rFonts w:hint="eastAsia" w:ascii="宋体" w:hAnsi="宋体" w:eastAsia="宋体" w:cs="宋体"/>
                <w:bCs/>
                <w:color w:val="auto"/>
                <w:szCs w:val="21"/>
                <w:lang w:eastAsia="zh-CN"/>
              </w:rPr>
              <w:t>、</w:t>
            </w:r>
            <w:r>
              <w:rPr>
                <w:rFonts w:hint="eastAsia" w:ascii="宋体" w:hAnsi="宋体" w:eastAsia="宋体" w:cs="宋体"/>
                <w:bCs/>
                <w:color w:val="auto"/>
                <w:szCs w:val="21"/>
              </w:rPr>
              <w:t>镀金可推式音箱接线柱</w:t>
            </w:r>
            <w:r>
              <w:rPr>
                <w:rFonts w:hint="eastAsia" w:ascii="宋体" w:hAnsi="宋体" w:eastAsia="宋体" w:cs="宋体"/>
                <w:bCs/>
                <w:color w:val="auto"/>
                <w:szCs w:val="21"/>
                <w:lang w:eastAsia="zh-CN"/>
              </w:rPr>
              <w:t>、</w:t>
            </w:r>
            <w:r>
              <w:rPr>
                <w:rFonts w:hint="eastAsia" w:ascii="宋体" w:hAnsi="宋体" w:eastAsia="宋体" w:cs="宋体"/>
                <w:bCs/>
                <w:color w:val="auto"/>
                <w:szCs w:val="21"/>
              </w:rPr>
              <w:t>≥150W输入功率</w:t>
            </w:r>
            <w:r>
              <w:rPr>
                <w:rFonts w:hint="eastAsia" w:ascii="宋体" w:hAnsi="宋体" w:eastAsia="宋体" w:cs="宋体"/>
                <w:bCs/>
                <w:color w:val="auto"/>
                <w:szCs w:val="21"/>
                <w:lang w:eastAsia="zh-CN"/>
              </w:rPr>
              <w:t>、</w:t>
            </w:r>
            <w:r>
              <w:rPr>
                <w:rFonts w:hint="eastAsia" w:ascii="宋体" w:hAnsi="宋体" w:eastAsia="宋体" w:cs="宋体"/>
                <w:bCs/>
                <w:color w:val="auto"/>
                <w:szCs w:val="21"/>
              </w:rPr>
              <w:t>频率响应50 Hz - 28 kHz</w:t>
            </w:r>
            <w:r>
              <w:rPr>
                <w:rFonts w:hint="eastAsia" w:ascii="宋体" w:hAnsi="宋体" w:eastAsia="宋体" w:cs="宋体"/>
                <w:bCs/>
                <w:color w:val="auto"/>
                <w:szCs w:val="21"/>
                <w:lang w:eastAsia="zh-CN"/>
              </w:rPr>
              <w:t>、灵敏度</w:t>
            </w:r>
            <w:r>
              <w:rPr>
                <w:rFonts w:hint="eastAsia" w:ascii="宋体" w:hAnsi="宋体" w:eastAsia="宋体" w:cs="宋体"/>
                <w:bCs/>
                <w:color w:val="auto"/>
                <w:szCs w:val="21"/>
              </w:rPr>
              <w:t>≥88 dB/2.83 V/1 m</w:t>
            </w:r>
            <w:r>
              <w:rPr>
                <w:rFonts w:hint="eastAsia" w:ascii="宋体" w:hAnsi="宋体" w:eastAsia="宋体" w:cs="宋体"/>
                <w:bCs/>
                <w:color w:val="auto"/>
                <w:szCs w:val="21"/>
                <w:lang w:eastAsia="zh-CN"/>
              </w:rPr>
              <w:t>、阻抗</w:t>
            </w:r>
            <w:r>
              <w:rPr>
                <w:rFonts w:hint="eastAsia" w:ascii="宋体" w:hAnsi="宋体" w:eastAsia="宋体" w:cs="宋体"/>
                <w:bCs/>
                <w:color w:val="auto"/>
                <w:szCs w:val="21"/>
              </w:rPr>
              <w:t>8Ω</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4、低音*1只参数：PWM数字驱动的高效放大器和双反馈电路</w:t>
            </w:r>
            <w:r>
              <w:rPr>
                <w:rFonts w:hint="eastAsia" w:ascii="宋体" w:hAnsi="宋体" w:eastAsia="宋体" w:cs="宋体"/>
                <w:bCs/>
                <w:color w:val="auto"/>
                <w:szCs w:val="21"/>
                <w:lang w:eastAsia="zh-CN"/>
              </w:rPr>
              <w:t>、</w:t>
            </w:r>
            <w:r>
              <w:rPr>
                <w:rFonts w:hint="eastAsia" w:ascii="宋体" w:hAnsi="宋体" w:eastAsia="宋体" w:cs="宋体"/>
                <w:bCs/>
                <w:color w:val="auto"/>
                <w:szCs w:val="21"/>
              </w:rPr>
              <w:t>Twisted Flare端口有助生成清晰、紧致的低音</w:t>
            </w:r>
            <w:r>
              <w:rPr>
                <w:rFonts w:hint="eastAsia" w:ascii="宋体" w:hAnsi="宋体" w:eastAsia="宋体" w:cs="宋体"/>
                <w:bCs/>
                <w:color w:val="auto"/>
                <w:szCs w:val="21"/>
                <w:lang w:eastAsia="zh-CN"/>
              </w:rPr>
              <w:t>、</w:t>
            </w:r>
            <w:r>
              <w:rPr>
                <w:rFonts w:hint="eastAsia" w:ascii="宋体" w:hAnsi="宋体" w:eastAsia="宋体" w:cs="宋体"/>
                <w:bCs/>
                <w:color w:val="auto"/>
                <w:szCs w:val="21"/>
              </w:rPr>
              <w:t>2</w:t>
            </w:r>
            <w:r>
              <w:rPr>
                <w:rFonts w:hint="eastAsia" w:ascii="宋体" w:hAnsi="宋体" w:cs="宋体"/>
                <w:bCs/>
                <w:color w:val="auto"/>
                <w:szCs w:val="21"/>
                <w:lang w:val="en-US" w:eastAsia="zh-CN"/>
              </w:rPr>
              <w:t>4~26</w:t>
            </w:r>
            <w:r>
              <w:rPr>
                <w:rFonts w:hint="eastAsia" w:ascii="宋体" w:hAnsi="宋体" w:eastAsia="宋体" w:cs="宋体"/>
                <w:bCs/>
                <w:color w:val="auto"/>
                <w:szCs w:val="21"/>
              </w:rPr>
              <w:t>cm带有方形音圈的锥形低音单元</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功率≥</w:t>
            </w:r>
            <w:r>
              <w:rPr>
                <w:rFonts w:hint="eastAsia" w:ascii="宋体" w:hAnsi="宋体" w:eastAsia="宋体" w:cs="宋体"/>
                <w:bCs/>
                <w:color w:val="auto"/>
                <w:szCs w:val="21"/>
                <w:lang w:val="en-US" w:eastAsia="zh-CN"/>
              </w:rPr>
              <w:t>300W、</w:t>
            </w:r>
            <w:r>
              <w:rPr>
                <w:rFonts w:hint="eastAsia" w:ascii="宋体" w:hAnsi="宋体" w:eastAsia="宋体" w:cs="宋体"/>
                <w:bCs/>
                <w:color w:val="auto"/>
                <w:szCs w:val="21"/>
              </w:rPr>
              <w:t>频率响应20 -160 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Cs/>
                <w:color w:val="auto"/>
                <w:szCs w:val="21"/>
              </w:rPr>
              <w:t>5、中置音箱*1台参数：1</w:t>
            </w:r>
            <w:r>
              <w:rPr>
                <w:rFonts w:hint="eastAsia" w:ascii="宋体" w:hAnsi="宋体" w:cs="宋体"/>
                <w:bCs/>
                <w:color w:val="auto"/>
                <w:szCs w:val="21"/>
                <w:lang w:val="en-US" w:eastAsia="zh-CN"/>
              </w:rPr>
              <w:t>5~17</w:t>
            </w:r>
            <w:r>
              <w:rPr>
                <w:rFonts w:hint="eastAsia" w:ascii="宋体" w:hAnsi="宋体" w:eastAsia="宋体" w:cs="宋体"/>
                <w:bCs/>
                <w:color w:val="auto"/>
                <w:szCs w:val="21"/>
              </w:rPr>
              <w:t>cm Kevlar®锥形低音单元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3~5</w:t>
            </w:r>
            <w:r>
              <w:rPr>
                <w:rFonts w:hint="eastAsia" w:ascii="宋体" w:hAnsi="宋体" w:eastAsia="宋体" w:cs="宋体"/>
                <w:bCs/>
                <w:color w:val="auto"/>
                <w:szCs w:val="21"/>
              </w:rPr>
              <w:t>cm铝制圆顶中音单元</w:t>
            </w:r>
            <w:r>
              <w:rPr>
                <w:rFonts w:hint="eastAsia" w:ascii="宋体" w:hAnsi="宋体" w:eastAsia="宋体" w:cs="宋体"/>
                <w:bCs/>
                <w:color w:val="auto"/>
                <w:szCs w:val="21"/>
                <w:lang w:eastAsia="zh-CN"/>
              </w:rPr>
              <w:t>、</w:t>
            </w:r>
            <w:r>
              <w:rPr>
                <w:rFonts w:hint="eastAsia" w:ascii="宋体" w:hAnsi="宋体" w:cs="宋体"/>
                <w:bCs/>
                <w:color w:val="auto"/>
                <w:szCs w:val="21"/>
                <w:lang w:val="en-US" w:eastAsia="zh-CN"/>
              </w:rPr>
              <w:t>2~3</w:t>
            </w:r>
            <w:r>
              <w:rPr>
                <w:rFonts w:hint="eastAsia" w:ascii="宋体" w:hAnsi="宋体" w:eastAsia="宋体" w:cs="宋体"/>
                <w:bCs/>
                <w:color w:val="auto"/>
                <w:szCs w:val="21"/>
              </w:rPr>
              <w:t>cm钛膜球顶高音单元</w:t>
            </w:r>
            <w:r>
              <w:rPr>
                <w:rFonts w:hint="eastAsia" w:ascii="宋体" w:hAnsi="宋体" w:eastAsia="宋体" w:cs="宋体"/>
                <w:bCs/>
                <w:color w:val="auto"/>
                <w:szCs w:val="21"/>
                <w:lang w:eastAsia="zh-CN"/>
              </w:rPr>
              <w:t>、</w:t>
            </w:r>
            <w:r>
              <w:rPr>
                <w:rFonts w:hint="eastAsia" w:ascii="宋体" w:hAnsi="宋体" w:eastAsia="宋体" w:cs="宋体"/>
                <w:bCs/>
                <w:color w:val="auto"/>
                <w:szCs w:val="21"/>
              </w:rPr>
              <w:t>旋转高音和中音</w:t>
            </w:r>
            <w:r>
              <w:rPr>
                <w:rFonts w:hint="eastAsia" w:ascii="宋体" w:hAnsi="宋体" w:eastAsia="宋体" w:cs="宋体"/>
                <w:bCs/>
                <w:color w:val="auto"/>
                <w:szCs w:val="21"/>
                <w:lang w:eastAsia="zh-CN"/>
              </w:rPr>
              <w:t>、</w:t>
            </w:r>
            <w:r>
              <w:rPr>
                <w:rFonts w:hint="eastAsia" w:ascii="宋体" w:hAnsi="宋体" w:eastAsia="宋体" w:cs="宋体"/>
                <w:bCs/>
                <w:color w:val="auto"/>
                <w:szCs w:val="21"/>
              </w:rPr>
              <w:t>镀金可推式音箱接线柱</w:t>
            </w:r>
            <w:r>
              <w:rPr>
                <w:rFonts w:hint="eastAsia" w:ascii="宋体" w:hAnsi="宋体" w:eastAsia="宋体" w:cs="宋体"/>
                <w:bCs/>
                <w:color w:val="auto"/>
                <w:szCs w:val="21"/>
                <w:lang w:eastAsia="zh-CN"/>
              </w:rPr>
              <w:t>、</w:t>
            </w:r>
            <w:r>
              <w:rPr>
                <w:rFonts w:hint="eastAsia" w:ascii="宋体" w:hAnsi="宋体" w:eastAsia="宋体" w:cs="宋体"/>
                <w:bCs/>
                <w:color w:val="auto"/>
                <w:szCs w:val="21"/>
              </w:rPr>
              <w:t>≥150W输入功率</w:t>
            </w:r>
            <w:r>
              <w:rPr>
                <w:rFonts w:hint="eastAsia" w:ascii="宋体" w:hAnsi="宋体" w:eastAsia="宋体" w:cs="宋体"/>
                <w:bCs/>
                <w:color w:val="auto"/>
                <w:szCs w:val="21"/>
                <w:lang w:eastAsia="zh-CN"/>
              </w:rPr>
              <w:t>、</w:t>
            </w:r>
            <w:r>
              <w:rPr>
                <w:rFonts w:hint="eastAsia" w:ascii="宋体" w:hAnsi="宋体" w:eastAsia="宋体" w:cs="宋体"/>
                <w:bCs/>
                <w:color w:val="auto"/>
                <w:szCs w:val="21"/>
              </w:rPr>
              <w:t>频率响应50 Hz - 28 kHz</w:t>
            </w:r>
            <w:r>
              <w:rPr>
                <w:rFonts w:hint="eastAsia" w:ascii="宋体" w:hAnsi="宋体" w:eastAsia="宋体" w:cs="宋体"/>
                <w:bCs/>
                <w:color w:val="auto"/>
                <w:szCs w:val="21"/>
                <w:lang w:eastAsia="zh-CN"/>
              </w:rPr>
              <w:t>、灵敏度</w:t>
            </w:r>
            <w:r>
              <w:rPr>
                <w:rFonts w:hint="eastAsia" w:ascii="宋体" w:hAnsi="宋体" w:eastAsia="宋体" w:cs="宋体"/>
                <w:bCs/>
                <w:color w:val="auto"/>
                <w:szCs w:val="21"/>
              </w:rPr>
              <w:t>≥88 dB/2.83 V/1 m</w:t>
            </w:r>
            <w:r>
              <w:rPr>
                <w:rFonts w:hint="eastAsia" w:ascii="宋体" w:hAnsi="宋体" w:eastAsia="宋体" w:cs="宋体"/>
                <w:bCs/>
                <w:color w:val="auto"/>
                <w:szCs w:val="21"/>
                <w:lang w:eastAsia="zh-CN"/>
              </w:rPr>
              <w:t>、阻抗</w:t>
            </w:r>
            <w:r>
              <w:rPr>
                <w:rFonts w:hint="eastAsia" w:ascii="宋体" w:hAnsi="宋体" w:eastAsia="宋体" w:cs="宋体"/>
                <w:bCs/>
                <w:color w:val="auto"/>
                <w:szCs w:val="21"/>
              </w:rPr>
              <w:t>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电动升降纱幕</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1.含纱膜、尺寸：现场定制适配，带可控制升降功能；</w:t>
            </w:r>
          </w:p>
          <w:p>
            <w:pPr>
              <w:keepNext w:val="0"/>
              <w:keepLines w:val="0"/>
              <w:pageBreakBefore w:val="0"/>
              <w:widowControl w:val="0"/>
              <w:kinsoku/>
              <w:wordWrap/>
              <w:overflowPunct/>
              <w:topLinePunct w:val="0"/>
              <w:autoSpaceDE/>
              <w:autoSpaceDN/>
              <w:bidi w:val="0"/>
              <w:adjustRightInd/>
              <w:snapToGrid/>
              <w:spacing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2.工作温度： -20℃~+70℃</w:t>
            </w:r>
          </w:p>
          <w:p>
            <w:pPr>
              <w:keepNext w:val="0"/>
              <w:keepLines w:val="0"/>
              <w:pageBreakBefore w:val="0"/>
              <w:widowControl w:val="0"/>
              <w:kinsoku/>
              <w:wordWrap/>
              <w:overflowPunct/>
              <w:topLinePunct w:val="0"/>
              <w:autoSpaceDE/>
              <w:autoSpaceDN/>
              <w:bidi w:val="0"/>
              <w:adjustRightInd/>
              <w:snapToGrid/>
              <w:spacing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3.额定转速：1~1500（rpm）</w:t>
            </w:r>
          </w:p>
          <w:p>
            <w:pPr>
              <w:keepNext w:val="0"/>
              <w:keepLines w:val="0"/>
              <w:pageBreakBefore w:val="0"/>
              <w:widowControl w:val="0"/>
              <w:kinsoku/>
              <w:wordWrap/>
              <w:overflowPunct/>
              <w:topLinePunct w:val="0"/>
              <w:autoSpaceDE/>
              <w:autoSpaceDN/>
              <w:bidi w:val="0"/>
              <w:adjustRightInd/>
              <w:snapToGrid/>
              <w:spacing w:line="240" w:lineRule="auto"/>
              <w:ind w:left="40" w:leftChars="0" w:right="0" w:rightChars="0" w:firstLine="0" w:firstLineChars="0"/>
              <w:jc w:val="left"/>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4.额定功率：10~90（W）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墙面感应雷达</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1.将任意投影屏幕变成高精度触摸大屏，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2.激光光电互动技术，手掌触控，游戏单台支持最大8*6米，书写单台支持最大4*3米，</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3.高速响应可达120fps，</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4.书写触摸精度高，精度可控制在1mm以内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5.同时支持自动定位手动定位，</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6.支持多台联用，支持自定义区域互动，最大同时支持255触动点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视频延长器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HDMI1.3网线延长器，材质：铝合金；分辨率：≥1080P/60HZ，</w:t>
            </w:r>
            <w:r>
              <w:rPr>
                <w:rFonts w:hint="eastAsia" w:ascii="宋体" w:hAnsi="宋体" w:eastAsia="宋体" w:cs="宋体"/>
                <w:b w:val="0"/>
                <w:bCs/>
                <w:color w:val="auto"/>
                <w:sz w:val="21"/>
                <w:szCs w:val="21"/>
                <w:lang w:eastAsia="zh-CN"/>
              </w:rPr>
              <w:t>支持</w:t>
            </w:r>
            <w:r>
              <w:rPr>
                <w:rFonts w:hint="eastAsia" w:ascii="宋体" w:hAnsi="宋体" w:eastAsia="宋体" w:cs="宋体"/>
                <w:b w:val="0"/>
                <w:bCs/>
                <w:color w:val="auto"/>
                <w:sz w:val="21"/>
                <w:szCs w:val="21"/>
              </w:rPr>
              <w:t>HDMI线长≥50米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投影机支架</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w:t>
            </w:r>
            <w:r>
              <w:rPr>
                <w:rFonts w:hint="eastAsia" w:ascii="宋体" w:hAnsi="宋体" w:eastAsia="宋体" w:cs="宋体"/>
                <w:bCs/>
                <w:color w:val="auto"/>
                <w:szCs w:val="21"/>
                <w:lang w:eastAsia="zh-CN"/>
              </w:rPr>
              <w:t>、</w:t>
            </w:r>
            <w:r>
              <w:rPr>
                <w:rFonts w:hint="eastAsia" w:ascii="宋体" w:hAnsi="宋体" w:eastAsia="宋体" w:cs="宋体"/>
                <w:bCs/>
                <w:color w:val="auto"/>
                <w:szCs w:val="21"/>
              </w:rPr>
              <w:t>支架安装方式：顶挂吊装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w:t>
            </w:r>
            <w:r>
              <w:rPr>
                <w:rFonts w:hint="eastAsia" w:ascii="宋体" w:hAnsi="宋体" w:eastAsia="宋体" w:cs="宋体"/>
                <w:bCs/>
                <w:color w:val="auto"/>
                <w:szCs w:val="21"/>
                <w:lang w:eastAsia="zh-CN"/>
              </w:rPr>
              <w:t>、</w:t>
            </w:r>
            <w:r>
              <w:rPr>
                <w:rFonts w:hint="eastAsia" w:ascii="宋体" w:hAnsi="宋体" w:eastAsia="宋体" w:cs="宋体"/>
                <w:bCs/>
                <w:color w:val="auto"/>
                <w:szCs w:val="21"/>
              </w:rPr>
              <w:t>是否含八爪板：含</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ascii="宋体" w:hAnsi="宋体" w:eastAsia="宋体" w:cs="宋体"/>
                <w:bCs/>
                <w:color w:val="auto"/>
                <w:szCs w:val="21"/>
                <w:lang w:eastAsia="zh-CN"/>
              </w:rPr>
              <w:t>、</w:t>
            </w:r>
            <w:r>
              <w:rPr>
                <w:rFonts w:hint="eastAsia" w:ascii="宋体" w:hAnsi="宋体" w:eastAsia="宋体" w:cs="宋体"/>
                <w:bCs/>
                <w:color w:val="auto"/>
                <w:szCs w:val="21"/>
              </w:rPr>
              <w:t>可伸缩距离：200mm~600mm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4</w:t>
            </w:r>
            <w:r>
              <w:rPr>
                <w:rFonts w:hint="eastAsia" w:ascii="宋体" w:hAnsi="宋体" w:eastAsia="宋体" w:cs="宋体"/>
                <w:bCs/>
                <w:color w:val="auto"/>
                <w:szCs w:val="21"/>
                <w:lang w:eastAsia="zh-CN"/>
              </w:rPr>
              <w:t>、</w:t>
            </w:r>
            <w:r>
              <w:rPr>
                <w:rFonts w:hint="eastAsia" w:ascii="宋体" w:hAnsi="宋体" w:eastAsia="宋体" w:cs="宋体"/>
                <w:bCs/>
                <w:color w:val="auto"/>
                <w:szCs w:val="21"/>
              </w:rPr>
              <w:t>是否支持管内走线：支持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5</w:t>
            </w:r>
            <w:r>
              <w:rPr>
                <w:rFonts w:hint="eastAsia" w:ascii="宋体" w:hAnsi="宋体" w:eastAsia="宋体" w:cs="宋体"/>
                <w:bCs/>
                <w:color w:val="auto"/>
                <w:szCs w:val="21"/>
                <w:lang w:eastAsia="zh-CN"/>
              </w:rPr>
              <w:t>、承</w:t>
            </w:r>
            <w:r>
              <w:rPr>
                <w:rFonts w:hint="eastAsia" w:ascii="宋体" w:hAnsi="宋体" w:eastAsia="宋体" w:cs="宋体"/>
                <w:bCs/>
                <w:color w:val="auto"/>
                <w:szCs w:val="21"/>
              </w:rPr>
              <w:t>重：</w:t>
            </w:r>
            <w:r>
              <w:rPr>
                <w:rFonts w:hint="eastAsia" w:ascii="宋体" w:hAnsi="宋体" w:eastAsia="宋体" w:cs="宋体"/>
                <w:b w:val="0"/>
                <w:bCs/>
                <w:color w:val="auto"/>
                <w:sz w:val="21"/>
                <w:szCs w:val="21"/>
              </w:rPr>
              <w:t>≥</w:t>
            </w:r>
            <w:r>
              <w:rPr>
                <w:rFonts w:hint="eastAsia" w:ascii="宋体" w:hAnsi="宋体" w:eastAsia="宋体" w:cs="宋体"/>
                <w:bCs/>
                <w:color w:val="auto"/>
                <w:szCs w:val="21"/>
              </w:rPr>
              <w:t>25KG</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6</w:t>
            </w:r>
            <w:r>
              <w:rPr>
                <w:rFonts w:hint="eastAsia" w:ascii="宋体" w:hAnsi="宋体" w:eastAsia="宋体" w:cs="宋体"/>
                <w:bCs/>
                <w:color w:val="auto"/>
                <w:szCs w:val="21"/>
                <w:lang w:eastAsia="zh-CN"/>
              </w:rPr>
              <w:t>、</w:t>
            </w:r>
            <w:r>
              <w:rPr>
                <w:rFonts w:hint="eastAsia" w:ascii="宋体" w:hAnsi="宋体" w:eastAsia="宋体" w:cs="宋体"/>
                <w:bCs/>
                <w:color w:val="auto"/>
                <w:szCs w:val="21"/>
              </w:rPr>
              <w:t>左右调节：支持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7</w:t>
            </w:r>
            <w:r>
              <w:rPr>
                <w:rFonts w:hint="eastAsia" w:ascii="宋体" w:hAnsi="宋体" w:eastAsia="宋体" w:cs="宋体"/>
                <w:bCs/>
                <w:color w:val="auto"/>
                <w:szCs w:val="21"/>
                <w:lang w:eastAsia="zh-CN"/>
              </w:rPr>
              <w:t>、</w:t>
            </w:r>
            <w:r>
              <w:rPr>
                <w:rFonts w:hint="eastAsia" w:ascii="宋体" w:hAnsi="宋体" w:eastAsia="宋体" w:cs="宋体"/>
                <w:bCs/>
                <w:color w:val="auto"/>
                <w:szCs w:val="21"/>
              </w:rPr>
              <w:t>上下调节：支持</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rPr>
              <w:t>8</w:t>
            </w:r>
            <w:r>
              <w:rPr>
                <w:rFonts w:hint="eastAsia" w:ascii="宋体" w:hAnsi="宋体" w:eastAsia="宋体" w:cs="宋体"/>
                <w:bCs/>
                <w:color w:val="auto"/>
                <w:szCs w:val="21"/>
                <w:lang w:eastAsia="zh-CN"/>
              </w:rPr>
              <w:t>、</w:t>
            </w:r>
            <w:r>
              <w:rPr>
                <w:rFonts w:hint="eastAsia" w:ascii="宋体" w:hAnsi="宋体" w:eastAsia="宋体" w:cs="宋体"/>
                <w:b w:val="0"/>
                <w:bCs/>
                <w:color w:val="auto"/>
                <w:sz w:val="21"/>
                <w:szCs w:val="21"/>
                <w:lang w:val="en-US" w:eastAsia="zh-CN"/>
              </w:rPr>
              <w:t>吊杆长度匹配现场施工环境。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中央控制系统主机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w:t>
            </w:r>
            <w:r>
              <w:rPr>
                <w:rFonts w:hint="eastAsia" w:ascii="宋体" w:hAnsi="宋体" w:eastAsia="宋体" w:cs="宋体"/>
                <w:bCs/>
                <w:color w:val="auto"/>
                <w:szCs w:val="21"/>
              </w:rPr>
              <w:t>8路RS232/RS485串口</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8</w:t>
            </w:r>
            <w:r>
              <w:rPr>
                <w:rFonts w:hint="eastAsia" w:ascii="宋体" w:hAnsi="宋体" w:eastAsia="宋体" w:cs="宋体"/>
                <w:bCs/>
                <w:color w:val="auto"/>
                <w:szCs w:val="21"/>
              </w:rPr>
              <w:t>路红外接口</w:t>
            </w:r>
            <w:r>
              <w:rPr>
                <w:rFonts w:hint="eastAsia" w:ascii="宋体" w:hAnsi="宋体" w:eastAsia="宋体" w:cs="宋体"/>
                <w:bCs/>
                <w:color w:val="auto"/>
                <w:szCs w:val="21"/>
                <w:lang w:eastAsia="zh-CN"/>
              </w:rPr>
              <w:t>、</w:t>
            </w:r>
            <w:r>
              <w:rPr>
                <w:rFonts w:hint="eastAsia" w:ascii="宋体" w:hAnsi="宋体" w:eastAsia="宋体" w:cs="宋体"/>
                <w:bCs/>
                <w:color w:val="auto"/>
                <w:szCs w:val="21"/>
              </w:rPr>
              <w:t>8路发射</w:t>
            </w:r>
            <w:r>
              <w:rPr>
                <w:rFonts w:hint="eastAsia" w:ascii="宋体" w:hAnsi="宋体" w:eastAsia="宋体" w:cs="宋体"/>
                <w:bCs/>
                <w:color w:val="auto"/>
                <w:szCs w:val="21"/>
                <w:lang w:eastAsia="zh-CN"/>
              </w:rPr>
              <w:t>、</w:t>
            </w:r>
            <w:r>
              <w:rPr>
                <w:rFonts w:hint="eastAsia" w:ascii="宋体" w:hAnsi="宋体" w:eastAsia="宋体" w:cs="宋体"/>
                <w:bCs/>
                <w:color w:val="auto"/>
                <w:szCs w:val="21"/>
              </w:rPr>
              <w:t>1路学习</w:t>
            </w:r>
            <w:r>
              <w:rPr>
                <w:rFonts w:hint="eastAsia" w:ascii="宋体" w:hAnsi="宋体" w:eastAsia="宋体" w:cs="宋体"/>
                <w:bCs/>
                <w:color w:val="auto"/>
                <w:szCs w:val="21"/>
                <w:lang w:eastAsia="zh-CN"/>
              </w:rPr>
              <w:t>、</w:t>
            </w:r>
            <w:r>
              <w:rPr>
                <w:rFonts w:hint="eastAsia" w:ascii="宋体" w:hAnsi="宋体" w:eastAsia="宋体" w:cs="宋体"/>
                <w:bCs/>
                <w:color w:val="auto"/>
                <w:szCs w:val="21"/>
              </w:rPr>
              <w:t>4路/10/100Mbps网络口</w:t>
            </w:r>
            <w:r>
              <w:rPr>
                <w:rFonts w:hint="eastAsia" w:ascii="宋体" w:hAnsi="宋体" w:eastAsia="宋体" w:cs="宋体"/>
                <w:b w:val="0"/>
                <w:bCs/>
                <w:color w:val="auto"/>
                <w:sz w:val="21"/>
                <w:szCs w:val="21"/>
              </w:rPr>
              <w:t>最大可扩展4096个网络设备</w:t>
            </w:r>
            <w:r>
              <w:rPr>
                <w:rFonts w:hint="eastAsia" w:ascii="宋体" w:hAnsi="宋体" w:eastAsia="宋体" w:cs="宋体"/>
                <w:bCs/>
                <w:color w:val="auto"/>
                <w:szCs w:val="21"/>
                <w:lang w:eastAsia="zh-CN"/>
              </w:rPr>
              <w:t>、</w:t>
            </w:r>
            <w:r>
              <w:rPr>
                <w:rFonts w:hint="eastAsia" w:ascii="宋体" w:hAnsi="宋体" w:eastAsia="宋体" w:cs="宋体"/>
                <w:bCs/>
                <w:color w:val="auto"/>
                <w:szCs w:val="21"/>
              </w:rPr>
              <w:t>3路带POE总线接口</w:t>
            </w:r>
            <w:r>
              <w:rPr>
                <w:rFonts w:hint="eastAsia" w:ascii="宋体" w:hAnsi="宋体" w:eastAsia="宋体" w:cs="宋体"/>
                <w:bCs/>
                <w:color w:val="auto"/>
                <w:szCs w:val="21"/>
                <w:lang w:eastAsia="zh-CN"/>
              </w:rPr>
              <w:t>、</w:t>
            </w:r>
            <w:r>
              <w:rPr>
                <w:rFonts w:hint="eastAsia" w:ascii="宋体" w:hAnsi="宋体" w:eastAsia="宋体" w:cs="宋体"/>
                <w:bCs/>
                <w:color w:val="auto"/>
                <w:szCs w:val="21"/>
              </w:rPr>
              <w:t>支持物联网编程，支持接入阿里云等平台</w:t>
            </w:r>
            <w:r>
              <w:rPr>
                <w:rFonts w:hint="eastAsia" w:ascii="宋体" w:hAnsi="宋体" w:eastAsia="宋体" w:cs="宋体"/>
                <w:bCs/>
                <w:color w:val="auto"/>
                <w:szCs w:val="21"/>
                <w:lang w:eastAsia="zh-CN"/>
              </w:rPr>
              <w:t>。</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2.处理器：嵌入式双处理器， 采用颗嵌入式高速中央处理器(CPU)并行运算，可保存高达2048条控制指令，满足任何场合的控制存储要求，支持扩展；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.支持TCP/UDP网络控制协议，可定义客户端与服务端；</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支持</w:t>
            </w:r>
            <w:r>
              <w:rPr>
                <w:rFonts w:hint="eastAsia" w:ascii="宋体" w:hAnsi="宋体" w:eastAsia="宋体" w:cs="宋体"/>
                <w:b w:val="0"/>
                <w:bCs/>
                <w:color w:val="auto"/>
                <w:sz w:val="21"/>
                <w:szCs w:val="21"/>
              </w:rPr>
              <w:t>CAN.485.IO.TCP.WIFI等多种通讯方式；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环境照明开关模块应用系统搭配周边的照明开关模块可以实现对空间内/外的实时灯光控制，同时照明开关模块可用于弱继电器类型的电动窗帘、电动升降器、PC电脑开关机、触摸一体机开关机，也可用于0-220V的电动窗帘控制、电动升降器控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★6.支持网络唤醒，网络控制电脑播控软件或PPT等软件的操控功能（提供含有CNAS标识的第三方检测机构检测报告）；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★7.内建≥8路Socket组件，可自由设定TCP/IP或UDP端口，可作服务器端或客户端，可实现远程控制其他设备或扩展RS232.RS485接口；（提供含有CNAS标识的第三方检测机构检测报告）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★8.不少于1路网络接口，支持网络控制与组网管理控制；支持Android，iOS，Windows等系统控制终端（提供含有CNAS标识的第三方检测机构检测报告）；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★9.可对接Zigbee，LoRa，蓝牙无线网关实现更广泛物联网应用（提供含有CNAS标识的第三方检测机构检测报告）</w:t>
            </w:r>
            <w:r>
              <w:rPr>
                <w:rFonts w:hint="eastAsia" w:ascii="宋体" w:hAnsi="宋体" w:cs="宋体"/>
                <w:b w:val="0"/>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69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平板电脑</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内存容量：≥128GB；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分辨率：≥2560*1600；</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支持IPv6：支持IPv6；</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厚度：7.1-9mm；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处理器型号：</w:t>
            </w:r>
            <w:r>
              <w:rPr>
                <w:rFonts w:hint="eastAsia" w:ascii="宋体" w:hAnsi="宋体" w:cs="宋体"/>
                <w:b w:val="0"/>
                <w:bCs/>
                <w:color w:val="auto"/>
                <w:sz w:val="21"/>
                <w:szCs w:val="21"/>
                <w:lang w:val="en-US" w:eastAsia="zh-CN"/>
              </w:rPr>
              <w:t>不差于</w:t>
            </w:r>
            <w:r>
              <w:rPr>
                <w:rFonts w:hint="eastAsia" w:ascii="宋体" w:hAnsi="宋体" w:eastAsia="宋体" w:cs="宋体"/>
                <w:b w:val="0"/>
                <w:bCs/>
                <w:color w:val="auto"/>
                <w:sz w:val="21"/>
                <w:szCs w:val="21"/>
              </w:rPr>
              <w:t>高通骁龙™ 7 Gen 1；</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屏幕尺寸：≥11.5英寸；</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运行内存：≥8GB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智能开关模块</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智能开关控制模块SP4，每个能控制4路回路，模块个数按照回路展项个数+3个模块来 计算。</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功能描述：</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≥4路可编程智能配电开关（导轨式）单路20A单路20A（4400瓦）负载，≥4路共 17600瓦,配备独立的机械式手动开关，确保电源100%可用.单网线供电通讯，实现POE供电 + 通讯控制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运维控制主机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i5-12400,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物理核数≥6核12线程，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主频≥睿频4.4Ghz，末级缓存容量≥7.5MB;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支持DDR4-4000及以上；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固态盘数量≥1个，固态存储容量≥256G，</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5.显卡：集成</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6.系统：Windows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7.电源：≥300W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linux管理主机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套</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1.CPU：不差于intel  i5-12400,</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物理核数≥6核12线程，</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主频≥睿频4.4Ghz，末级缓存容量≥7.5MB;</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2.内存：容量≥16GB，</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支持DDR4-4000及以上；</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3.主板：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主板其他内置接口满足M.2接口；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4.存储：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固态盘数量≥1个，固态存储容量≥256G，</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机械硬盘数量≥1个，机械硬盘总容量≥1T，</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固态硬盘采用M.2标准；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5.显卡：集成</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6.系统：linux</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7.电源：≥300W</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8.功能支持：上电自启动，网络唤醒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串口服务器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对上提供≥1路以太网接口，实现≥8路RS232/422/485 与以太网口双向透明传输，支持DNC，支持TCP Server/Client模式，工业级机架式安装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机柜</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1、42U；</w:t>
            </w:r>
            <w:r>
              <w:rPr>
                <w:rFonts w:hint="eastAsia" w:ascii="宋体" w:hAnsi="宋体" w:eastAsia="宋体" w:cs="宋体"/>
                <w:bCs/>
                <w:color w:val="auto"/>
                <w:szCs w:val="21"/>
                <w:lang w:val="en-US" w:eastAsia="zh-CN"/>
              </w:rPr>
              <w:t>600*600MM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2、顶部配置2组散热风扇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3、材质：SPCC冷轧钢板、符合国标要求。防水、防尘</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4、颜色：黑色；</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5、固定托盘隔板8块（600mm深）；</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Cs/>
                <w:color w:val="auto"/>
                <w:szCs w:val="21"/>
              </w:rPr>
              <w:t>6、4只两寸重型脚轮；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Cs w:val="21"/>
              </w:rPr>
              <w:t>7、含安装配件。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无线AP</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1、支持标准的802.11ax协议,采用双路双频设计，可同时工作在802.11ax和802.11a/b/g/n/ac模式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2、支持≥4条空间流,单频最大接入速率1.2Gbps,整机最大接入速率</w:t>
            </w:r>
            <w:r>
              <w:rPr>
                <w:rFonts w:hint="eastAsia" w:ascii="宋体" w:hAnsi="宋体" w:eastAsia="宋体" w:cs="宋体"/>
                <w:b w:val="0"/>
                <w:bCs/>
                <w:color w:val="auto"/>
                <w:sz w:val="21"/>
                <w:szCs w:val="21"/>
                <w:lang w:val="en-US" w:eastAsia="zh-CN"/>
              </w:rPr>
              <w:t>3000M</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Cs w:val="21"/>
              </w:rPr>
            </w:pPr>
            <w:r>
              <w:rPr>
                <w:rFonts w:hint="eastAsia" w:ascii="宋体" w:hAnsi="宋体" w:eastAsia="宋体" w:cs="宋体"/>
                <w:b w:val="0"/>
                <w:bCs/>
                <w:color w:val="auto"/>
                <w:sz w:val="21"/>
                <w:szCs w:val="21"/>
              </w:rPr>
              <w:t>3、</w:t>
            </w:r>
            <w:r>
              <w:rPr>
                <w:rFonts w:hint="eastAsia" w:ascii="宋体" w:hAnsi="宋体" w:eastAsia="宋体" w:cs="宋体"/>
                <w:bCs/>
                <w:color w:val="auto"/>
                <w:szCs w:val="21"/>
              </w:rPr>
              <w:t>支持2.4G MIMO技术：2x2 MIMOLAN</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4、发射功率≤20dBm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5、1个10/100/1000Base-T以太网口，支持PoE供电</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w:t>
            </w:r>
            <w:r>
              <w:rPr>
                <w:rFonts w:hint="eastAsia" w:ascii="宋体" w:hAnsi="宋体" w:eastAsia="宋体" w:cs="宋体"/>
                <w:bCs/>
                <w:color w:val="auto"/>
                <w:szCs w:val="21"/>
              </w:rPr>
              <w:t>支持</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G MIMO技术：2x2 MIMOLAN</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7、支持防盗锁孔</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8、支持IP41防护等级。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9、支持802.3af/本地电源DC48V两种供电模式，整机功耗小于12.95w</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rPr>
              <w:t>10、供电方式：POE/DC供电。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交换机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实配固化10/100/1000M以太网端口≥24个，SFP千兆光接口≥4个，</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交换机满足交换容量≥336Gbps，转发性能≥51Mpps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77</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POE交换机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固化10/100/1000M以太网电口≥24个，SFP+万兆光接口≥4个；</w:t>
            </w:r>
            <w:r>
              <w:rPr>
                <w:rFonts w:hint="eastAsia" w:ascii="宋体" w:hAnsi="宋体" w:eastAsia="宋体" w:cs="宋体"/>
                <w:b w:val="0"/>
                <w:bCs/>
                <w:color w:val="auto"/>
                <w:sz w:val="21"/>
                <w:szCs w:val="21"/>
                <w:lang w:val="en-US" w:eastAsia="zh-CN"/>
              </w:rPr>
              <w:t xml:space="preserve">                                                                2、</w:t>
            </w:r>
            <w:r>
              <w:rPr>
                <w:rFonts w:hint="eastAsia" w:ascii="宋体" w:hAnsi="宋体" w:eastAsia="宋体" w:cs="宋体"/>
                <w:b w:val="0"/>
                <w:bCs/>
                <w:color w:val="auto"/>
                <w:sz w:val="21"/>
                <w:szCs w:val="21"/>
              </w:rPr>
              <w:t>交换容量≥336Gbps，包转发率≥108Mpps</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、要求所投产品支持POE和POE+远程供电，POE供电功率不低于370W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78</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时序电源</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 w:val="0"/>
                <w:bCs/>
                <w:color w:val="auto"/>
                <w:sz w:val="21"/>
                <w:szCs w:val="21"/>
              </w:rPr>
              <w:t xml:space="preserve"> 1</w:t>
            </w:r>
            <w:r>
              <w:rPr>
                <w:rFonts w:hint="eastAsia" w:ascii="宋体" w:hAnsi="宋体" w:eastAsia="宋体" w:cs="宋体"/>
                <w:b w:val="0"/>
                <w:bCs/>
                <w:color w:val="auto"/>
                <w:sz w:val="21"/>
                <w:szCs w:val="21"/>
                <w:lang w:eastAsia="zh-CN"/>
              </w:rPr>
              <w:t>、</w:t>
            </w:r>
            <w:r>
              <w:rPr>
                <w:rFonts w:hint="eastAsia" w:ascii="宋体" w:hAnsi="宋体" w:eastAsia="宋体" w:cs="宋体"/>
                <w:bCs/>
                <w:color w:val="auto"/>
                <w:sz w:val="21"/>
                <w:szCs w:val="21"/>
              </w:rPr>
              <w:t>电力输入条件(单相3线)：AC90-260V 50-60HZ两相（三线：零，火，地）</w:t>
            </w:r>
          </w:p>
          <w:p>
            <w:pPr>
              <w:pStyle w:val="6"/>
              <w:keepNext w:val="0"/>
              <w:keepLines w:val="0"/>
              <w:pageBreakBefore w:val="0"/>
              <w:kinsoku/>
              <w:wordWrap/>
              <w:overflowPunct/>
              <w:topLinePunct w:val="0"/>
              <w:bidi w:val="0"/>
              <w:adjustRightInd/>
              <w:snapToGrid/>
              <w:spacing w:line="240" w:lineRule="auto"/>
              <w:ind w:left="4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单路独立开关功能：支持面板独立控制</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支持中控控制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3、通道数量：</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8路万用插座继电器受控与2路万用插座直接输出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4、继电器受控输出最大承受单路功率/总功率(无功功率）：5000W/8000W最大承受无功功率</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5、输出电源插座规格：阻燃ABS材料，最大可承受13A电流黄铜材质，标准万用插座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6、功能特点功能特点：1.顺序开启逆序关闭 2.精准电压显示 3.过流保护 4.面板通道独立关闭</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7、每路开关间隔时间/定时时间：默认1秒</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8、输出继电器触点电流：30A 277VAC</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9、电路板规格：双面纤维板，主电源走线二次加厚加粗处理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10、供电规格：内置开关电源，适用全球电压AC90-260V 50-60HZ</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11、主电缆线规格：3*4平方电缆线，总长度</w:t>
            </w:r>
            <w:r>
              <w:rPr>
                <w:rFonts w:hint="eastAsia" w:ascii="宋体" w:hAnsi="宋体" w:eastAsia="宋体" w:cs="宋体"/>
                <w:b w:val="0"/>
                <w:bCs/>
                <w:color w:val="auto"/>
                <w:sz w:val="21"/>
                <w:szCs w:val="21"/>
              </w:rPr>
              <w:t>≥</w:t>
            </w:r>
            <w:r>
              <w:rPr>
                <w:rFonts w:hint="eastAsia" w:ascii="宋体" w:hAnsi="宋体" w:eastAsia="宋体" w:cs="宋体"/>
                <w:bCs/>
                <w:color w:val="auto"/>
                <w:sz w:val="21"/>
                <w:szCs w:val="21"/>
              </w:rPr>
              <w:t>1米（配电源输入插头）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12、开启类型：自复位型开关</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13、单路独立开关功能：支持面板独立控制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14、功能显示电压显示表类型：红色数码管显示电压表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15、</w:t>
            </w:r>
            <w:r>
              <w:rPr>
                <w:rFonts w:hint="eastAsia" w:ascii="宋体" w:hAnsi="宋体" w:eastAsia="宋体" w:cs="宋体"/>
                <w:bCs/>
                <w:color w:val="auto"/>
                <w:sz w:val="21"/>
                <w:szCs w:val="21"/>
                <w:lang w:eastAsia="zh-CN"/>
              </w:rPr>
              <w:t>支持</w:t>
            </w:r>
            <w:r>
              <w:rPr>
                <w:rFonts w:hint="eastAsia" w:ascii="宋体" w:hAnsi="宋体" w:eastAsia="宋体" w:cs="宋体"/>
                <w:bCs/>
                <w:color w:val="auto"/>
                <w:sz w:val="21"/>
                <w:szCs w:val="21"/>
              </w:rPr>
              <w:t>电源净化功能（EMI专业电网滤波器）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Cs/>
                <w:color w:val="auto"/>
                <w:sz w:val="21"/>
                <w:szCs w:val="21"/>
              </w:rPr>
              <w:t>16、短路过流保护断路器配置：断路器零，火线控制，过流保护,（63A短路保护)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79</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防火墙AP管理路由器</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1、类型：有线路由器</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2、WAN口类型：光口，电口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3、防火墙：支持防火墙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4、LAN输出口：千兆网口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5、其他端口：USB口，重置键</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6、机身材质：金属</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7、WAN接入口：千兆网口</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8、AP管理：支持AP管理</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9、Wan口数量：≥4个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80</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PDU</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孔数量：≥8孔 适用标准：国标全长：≥3米 插孔电流：10A开关方式：总控 额定功率：2500W 款式：机柜使用PDU插座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81</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WIFI开关</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插座远程控制wifi智能插座远程开关远程唤醒远程游戏排队智能遥控开关排插</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连接网络：2.4G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82</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Cs/>
                <w:color w:val="auto"/>
                <w:szCs w:val="21"/>
                <w:lang w:val="en-US" w:eastAsia="zh-CN"/>
              </w:rPr>
              <w:t>UPS主机</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采用≥30KVA高频双变换纯在线式智能型UPS不间断电源，内部直流稳压电源应有过压防雷、过流保护及电源故障信号，电源</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输入交流电压范围(V)380±25%，输入直流电压（V）192V；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输入交流电压频率（Hz）40~70Hz，依据电网频率自动选择同步范围；</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输入功率因数（PF）：≥0.8；</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整机效率＞92%，ECO节能模式效率为≥98%；</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输出电压精度（稳态）(V)220V±1％，两相三线制；</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输出频率精度（Hz）50Hz±0.2％（电池模式）；</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输出过载能力125％满载时维持10min后转旁路，150％满载时维持1min后转旁路，减少负载后又能自动转逆变输出；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切换时间旁路到逆变，逆变到旁路的切换时间0ms。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83</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Cs/>
                <w:color w:val="auto"/>
                <w:szCs w:val="21"/>
                <w:lang w:eastAsia="zh-CN"/>
              </w:rPr>
              <w:t>电池</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16</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节</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12V-100AH：1、蓄电池必须采用全密封防泄漏结构，外壳无异常变形、裂纹及污迹，上盖及端子无损伤，正常工作时无酸雾溢出。</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2、蓄电池间接线板、终端接头应选择导电性能优良的材料，并具有防腐蚀措施。蓄电池槽、盖、安全阀、极柱封口剂等材料应具有阻燃性。</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3、蓄电池应能承受50kPa的正压或负压而不破裂、不开胶，压力释放后壳体无残余变形；</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4、蓄电池组按规定的试验方法，10h率容量应在第一次充放电循环时不低于0.95C10，三次循环应达到C10。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5、大电流放电性能，以30I10的电流放电3min，极柱、内部汇流排不熔断，其外观不出现异常。</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6、蓄电池封置28天后，其容量保存率不低于98%。（须提供第三方证书或报告证明材料）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7、蓄电池的密封反应效率不低于97.5%。</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8、蓄电池使用期间安全阀应能自动开启闭合，闭阀压力应在3-30kPa范围内，开阀压力应在10-20kPa范围。（须提供第三方证书或报告证明材料）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9、蓄电池需具有较强的耐过充电能力，以0.3I10电流连续充电160h后，外观应无明显变形及渗液。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10、端电压均衡性：同一组蓄电池中任意两个电池的开路电压差不应超过50mV；进入浮充状态后端电压不应超过40mV；蓄电池放电后端电压不应超过330mV。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11、两个蓄电池之间连接条的压降，蓄电池按1h率电流放电时，测量相邻两只蓄电池之间的连接条压降不超过4mV。</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12、热失控敏感性：电池按YD/T 799-2010标准规定的方法测试，其蓄电池温度应≤35℃，每24h的电流增长率应≤25％。（须提供第三方证书或报告证明材料）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13、过度放电：蓄电池按YD/T 799-2010标准规定的方法测试，其容量恢复值应大于93%.</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14、低温敏感性：蓄电池按YD/T 799-2010标准规定的方法测试，10h率容量应≥0.94C10；外观应无破裂、过度膨胀及槽、盖分离现象。（须提供第三方证书或报告证明材料）</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15、再充电性能，蓄电池按YD/T 799-2010标准规定的方法测试，恒压充电24h的再充电能力因素Rbf24h应不低于94.5%。</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16、容量一致性，同组蓄电池10h率容量试验时，最大实际容量与最小实际容量差值应不大于2.5%。</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17、投标电池关键零部件最少有一件是电池原厂生产并提供泰尔报告证明；</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18、蓄电池产品及其抗震加固应符合《电信设备抗地震性能检测规范》（YD 5083-2005）及《通信用电源设备抗地震性能检测规范》（YD 5096-2005）相关条款的规定。</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19、为保证产品质量，蓄电池生产企业必须具有产品检测实验室，拥有2个或以上国家级实验室；</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20、具有防电池漏酸的端子，先进的板栅设计，端子焊接稳定性等技术（须提供第三方证书或报告证明材料）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84</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Cs/>
                <w:color w:val="auto"/>
                <w:szCs w:val="21"/>
                <w:lang w:eastAsia="zh-CN"/>
              </w:rPr>
              <w:t>电池箱</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只</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 xml:space="preserve">1、可内置16只100AH蓄电池 </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2、电池箱内部承重≥41kg，提供泰尔承重报告为依据，以防止电池箱承重不达标造成的风险事故；</w:t>
            </w:r>
          </w:p>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eastAsia="zh-CN"/>
              </w:rPr>
              <w:t>3、电池为四面可拆卸设计，方便巡检以及排除故障，整体立体美观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85</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辅材</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批</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高清4KHDMI线或光纤HDMI线、200芯无氧铜音响线、</w:t>
            </w:r>
            <w:r>
              <w:rPr>
                <w:rFonts w:hint="eastAsia" w:ascii="宋体" w:hAnsi="宋体" w:eastAsia="宋体" w:cs="宋体"/>
                <w:b w:val="0"/>
                <w:bCs/>
                <w:i w:val="0"/>
                <w:caps w:val="0"/>
                <w:color w:val="auto"/>
                <w:spacing w:val="0"/>
                <w:sz w:val="21"/>
                <w:szCs w:val="21"/>
                <w:shd w:val="clear" w:color="auto" w:fill="FFFFFF"/>
              </w:rPr>
              <w:t>RVVP屏蔽</w:t>
            </w:r>
            <w:r>
              <w:rPr>
                <w:rFonts w:hint="eastAsia" w:ascii="宋体" w:hAnsi="宋体" w:eastAsia="宋体" w:cs="宋体"/>
                <w:b w:val="0"/>
                <w:bCs/>
                <w:i w:val="0"/>
                <w:caps w:val="0"/>
                <w:color w:val="auto"/>
                <w:spacing w:val="0"/>
                <w:sz w:val="21"/>
                <w:szCs w:val="21"/>
                <w:shd w:val="clear" w:color="auto" w:fill="FFFFFF"/>
                <w:lang w:eastAsia="zh-CN"/>
              </w:rPr>
              <w:t>音频线</w:t>
            </w:r>
            <w:r>
              <w:rPr>
                <w:rFonts w:hint="eastAsia" w:ascii="宋体" w:hAnsi="宋体" w:eastAsia="宋体" w:cs="宋体"/>
                <w:b w:val="0"/>
                <w:bCs/>
                <w:i w:val="0"/>
                <w:caps w:val="0"/>
                <w:color w:val="auto"/>
                <w:spacing w:val="0"/>
                <w:sz w:val="21"/>
                <w:szCs w:val="21"/>
                <w:shd w:val="clear" w:color="auto" w:fill="FFFFFF"/>
                <w:lang w:val="en-US" w:eastAsia="zh-CN"/>
              </w:rPr>
              <w:t>2*0.75、六类网线、USB2.0线、各种接插件、公牛电源插板、16平方五芯三相铜线约60米</w:t>
            </w:r>
            <w:r>
              <w:rPr>
                <w:rFonts w:hint="eastAsia" w:ascii="宋体" w:hAnsi="宋体" w:cs="宋体"/>
                <w:b w:val="0"/>
                <w:bCs/>
                <w:i w:val="0"/>
                <w:caps w:val="0"/>
                <w:color w:val="auto"/>
                <w:spacing w:val="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47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en-US" w:eastAsia="zh-CN"/>
              </w:rPr>
              <w:t>86</w:t>
            </w:r>
          </w:p>
        </w:tc>
        <w:tc>
          <w:tcPr>
            <w:tcW w:w="1037"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系统集成</w:t>
            </w:r>
          </w:p>
        </w:tc>
        <w:tc>
          <w:tcPr>
            <w:tcW w:w="541"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p>
        </w:tc>
        <w:tc>
          <w:tcPr>
            <w:tcW w:w="525" w:type="dxa"/>
            <w:noWrap w:val="0"/>
            <w:vAlign w:val="center"/>
          </w:tcPr>
          <w:p>
            <w:pPr>
              <w:keepNext w:val="0"/>
              <w:keepLines w:val="0"/>
              <w:pageBreakBefore w:val="0"/>
              <w:kinsoku/>
              <w:wordWrap/>
              <w:overflowPunct/>
              <w:topLinePunct w:val="0"/>
              <w:bidi w:val="0"/>
              <w:adjustRightInd/>
              <w:snapToGrid/>
              <w:spacing w:line="240" w:lineRule="auto"/>
              <w:ind w:left="0" w:right="0" w:rightChars="0" w:firstLine="0" w:firstLine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批</w:t>
            </w:r>
          </w:p>
        </w:tc>
        <w:tc>
          <w:tcPr>
            <w:tcW w:w="6732" w:type="dxa"/>
            <w:noWrap w:val="0"/>
            <w:vAlign w:val="center"/>
          </w:tcPr>
          <w:p>
            <w:pPr>
              <w:keepNext w:val="0"/>
              <w:keepLines w:val="0"/>
              <w:pageBreakBefore w:val="0"/>
              <w:kinsoku/>
              <w:wordWrap/>
              <w:overflowPunct/>
              <w:topLinePunct w:val="0"/>
              <w:bidi w:val="0"/>
              <w:adjustRightInd/>
              <w:snapToGrid/>
              <w:spacing w:line="240" w:lineRule="auto"/>
              <w:ind w:left="40" w:right="0" w:rightChars="0" w:firstLine="0" w:firstLineChars="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Cs/>
                <w:color w:val="auto"/>
                <w:szCs w:val="21"/>
                <w:lang w:eastAsia="zh-CN"/>
              </w:rPr>
              <w:t>以上所有设备的安装、调试、保修及漏项设备等全部含在里面</w:t>
            </w:r>
          </w:p>
        </w:tc>
      </w:tr>
    </w:tbl>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三</w:t>
      </w:r>
      <w:r>
        <w:rPr>
          <w:rFonts w:hint="eastAsia" w:asciiTheme="minorEastAsia" w:hAnsiTheme="minorEastAsia" w:eastAsiaTheme="minorEastAsia"/>
          <w:b/>
          <w:color w:val="000000" w:themeColor="text1"/>
          <w:kern w:val="0"/>
          <w:sz w:val="24"/>
          <w:lang w:eastAsia="zh-CN"/>
          <w14:textFill>
            <w14:solidFill>
              <w14:schemeClr w14:val="tx1"/>
            </w14:solidFill>
          </w14:textFill>
        </w:rPr>
        <w:t>）项目验收标准</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本项目验收工作由</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人组织实施，验收工作在中标人项目实施完毕，经自验合格，提交交付验收申请后3日内启动。</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2</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验收标准</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验收标准须符合中国有关的国家、地方、行业的标准。验收主要以招标文件定义、投标文件承诺、采购合同约定的所有硬件技术参数及系统功能要求为标准，严格按照各项参数要求对相应的硬件、系统功能进行验收。</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3</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验收内容</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验收内容包括但不限于：</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①</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设备配置、数量；</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②如系统在试运行期间发生故障或暴露缺陷，中标人需进行修复，如在规定时间内未完成修复，试运行期顺延，直到遗留问题解决。</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③项目在达到了全部规定要求，连续成功稳定试运行后，中标人已按合同规定提供了符合招标文件规定的要求的货物，并经使用单位或第三方检验单位检验合格，所有的技术资料和清单已向</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人提交的前提下，可以向</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人提出最终验收的申请。</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人组织验收小组按照验收标准进行最终验收，验收应在</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人及供应商双方参加下进行，按照相关技术需求及</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人的建设要求，整理提供项目完备的文档资料，双方签署验收证书，最终验收通过。若因中标人质量问题等导致验收不合格，中标人应及时予以处理，直至验收合格，期间发生的一切费用由中标人承担，</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采购</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人保留向中标人索赔的权利。</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4</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中标人在设备到货、安装、调试和验收期间应采取严格的安全措施，承担由于自身原因所造成的事故责任及其发生的一切费用。调试及验收所需专用工具设施材料由中标人自备、自运到现场，完工后自费搬走。</w:t>
      </w:r>
    </w:p>
    <w:p>
      <w:pPr>
        <w:pStyle w:val="9"/>
        <w:spacing w:line="360" w:lineRule="auto"/>
        <w:ind w:firstLine="480" w:firstLineChars="200"/>
        <w:rPr>
          <w:rFonts w:hint="eastAsia" w:asciiTheme="minorEastAsia" w:hAnsiTheme="minorEastAsia" w:eastAsiaTheme="minorEastAsia"/>
          <w:b w:val="0"/>
          <w:bCs/>
          <w:color w:val="auto"/>
          <w:kern w:val="0"/>
          <w:sz w:val="24"/>
          <w:lang w:eastAsia="zh-CN"/>
        </w:rPr>
      </w:pPr>
      <w:r>
        <w:rPr>
          <w:rFonts w:hint="eastAsia" w:asciiTheme="minorEastAsia" w:hAnsiTheme="minorEastAsia" w:eastAsiaTheme="minorEastAsia"/>
          <w:b w:val="0"/>
          <w:bCs/>
          <w:color w:val="auto"/>
          <w:kern w:val="0"/>
          <w:sz w:val="24"/>
          <w:lang w:eastAsia="zh-CN"/>
        </w:rPr>
        <w:t>5</w:t>
      </w:r>
      <w:r>
        <w:rPr>
          <w:rFonts w:hint="eastAsia" w:asciiTheme="minorEastAsia" w:hAnsiTheme="minorEastAsia" w:eastAsiaTheme="minorEastAsia"/>
          <w:b w:val="0"/>
          <w:bCs/>
          <w:color w:val="auto"/>
          <w:kern w:val="0"/>
          <w:sz w:val="24"/>
          <w:lang w:val="en-US" w:eastAsia="zh-CN"/>
        </w:rPr>
        <w:t>.</w:t>
      </w:r>
      <w:r>
        <w:rPr>
          <w:rFonts w:hint="eastAsia" w:asciiTheme="minorEastAsia" w:hAnsiTheme="minorEastAsia" w:eastAsiaTheme="minorEastAsia"/>
          <w:b w:val="0"/>
          <w:bCs/>
          <w:color w:val="auto"/>
          <w:kern w:val="0"/>
          <w:sz w:val="24"/>
          <w:lang w:eastAsia="zh-CN"/>
        </w:rPr>
        <w:t>▲验收合格标准：符合招标文件约定的质量要求、完成合同全部约定。</w:t>
      </w: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四</w:t>
      </w:r>
      <w:r>
        <w:rPr>
          <w:rFonts w:hint="eastAsia" w:asciiTheme="minorEastAsia" w:hAnsiTheme="minorEastAsia" w:eastAsiaTheme="minorEastAsia"/>
          <w:b/>
          <w:color w:val="000000" w:themeColor="text1"/>
          <w:kern w:val="0"/>
          <w:sz w:val="24"/>
          <w:lang w:eastAsia="zh-CN"/>
          <w14:textFill>
            <w14:solidFill>
              <w14:schemeClr w14:val="tx1"/>
            </w14:solidFill>
          </w14:textFill>
        </w:rPr>
        <w:t>）培训要求</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中标人必须为采购人提供系统使用、系统操作和管理维护培训，培训形式包括客户现场培训、课堂培训；投标人必须列明相应的培训课程。</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投标人应在投标文件中提供详细的培训计划，包括培训项目、人数、地点、日程、资料、其它等详细内容，为所有被培训人员提供培训用文字资料和讲义等相关用品。</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技术培训的内容必须包含软件的日常操作和管理维护，以及基本的故障诊断与排错。中标人培训人员必须是公司的资深工程师。培训工作必须在合同生效之后系统试运行之前安排。所有培训费用（含培训教材费），已包括在投标总价中。</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4.</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实际培训时间、人数和地点按中标人与项目采购人商定的为准。</w:t>
      </w: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五</w:t>
      </w:r>
      <w:r>
        <w:rPr>
          <w:rFonts w:hint="eastAsia" w:asciiTheme="minorEastAsia" w:hAnsiTheme="minorEastAsia" w:eastAsiaTheme="minorEastAsia"/>
          <w:b/>
          <w:color w:val="000000" w:themeColor="text1"/>
          <w:kern w:val="0"/>
          <w:sz w:val="24"/>
          <w:lang w:eastAsia="zh-CN"/>
          <w14:textFill>
            <w14:solidFill>
              <w14:schemeClr w14:val="tx1"/>
            </w14:solidFill>
          </w14:textFill>
        </w:rPr>
        <w:t>）售后服务要求</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1.能提供7×24小时的电话响应售后服务；提供每年365天的专业技术支持服务，随时解答解决采购人问题；</w:t>
      </w:r>
    </w:p>
    <w:p>
      <w:pPr>
        <w:pStyle w:val="9"/>
        <w:spacing w:line="360" w:lineRule="auto"/>
        <w:ind w:firstLine="480" w:firstLineChars="200"/>
        <w:rPr>
          <w:rFonts w:hint="eastAsia" w:asciiTheme="minorEastAsia" w:hAnsiTheme="minorEastAsia" w:eastAsiaTheme="minorEastAsia"/>
          <w:b w:val="0"/>
          <w:bCs/>
          <w:color w:val="000000" w:themeColor="text1"/>
          <w:kern w:val="0"/>
          <w:sz w:val="24"/>
          <w:lang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2.出现一般性故障，接到维修通知后，在半小时内电话响应，在4小时内到达现场，到达现场后1小时内修复。</w:t>
      </w: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p>
    <w:p>
      <w:pPr>
        <w:pStyle w:val="9"/>
        <w:spacing w:line="360" w:lineRule="auto"/>
        <w:ind w:firstLine="482"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六</w:t>
      </w:r>
      <w:r>
        <w:rPr>
          <w:rFonts w:hint="eastAsia" w:asciiTheme="minorEastAsia" w:hAnsiTheme="minorEastAsia" w:eastAsiaTheme="minorEastAsia"/>
          <w:b/>
          <w:color w:val="000000" w:themeColor="text1"/>
          <w:kern w:val="0"/>
          <w:sz w:val="24"/>
          <w:lang w:eastAsia="zh-CN"/>
          <w14:textFill>
            <w14:solidFill>
              <w14:schemeClr w14:val="tx1"/>
            </w14:solidFill>
          </w14:textFill>
        </w:rPr>
        <w:t>）驻点人员要求</w:t>
      </w:r>
    </w:p>
    <w:p>
      <w:pPr>
        <w:pStyle w:val="9"/>
        <w:spacing w:line="360" w:lineRule="auto"/>
        <w:ind w:firstLine="480" w:firstLineChars="200"/>
        <w:rPr>
          <w:rFonts w:hint="default" w:asciiTheme="minorEastAsia" w:hAnsiTheme="minorEastAsia" w:eastAsia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投标人提供1名工程师1年驻点服务，</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驻点人员具备设备与网络维护能力，</w:t>
      </w:r>
      <w:r>
        <w:rPr>
          <w:rFonts w:hint="eastAsia" w:asciiTheme="minorEastAsia" w:hAnsiTheme="minorEastAsia" w:eastAsiaTheme="minorEastAsia"/>
          <w:b w:val="0"/>
          <w:bCs/>
          <w:color w:val="000000" w:themeColor="text1"/>
          <w:kern w:val="0"/>
          <w:sz w:val="24"/>
          <w:lang w:eastAsia="zh-CN"/>
          <w14:textFill>
            <w14:solidFill>
              <w14:schemeClr w14:val="tx1"/>
            </w14:solidFill>
          </w14:textFill>
        </w:rPr>
        <w:t>对相关的网络布线和设备进行整治和维护，确保图像源网络流畅，对本项目LED显示相关的设备和网络进行维护，确保设备正常运行，图像显示正常。</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驻点服务相关费用由中标人承担，包含在本项目报价内。</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3"/>
        <w:snapToGrid w:val="0"/>
        <w:spacing w:line="360" w:lineRule="auto"/>
        <w:ind w:firstLine="482" w:firstLineChars="200"/>
        <w:rPr>
          <w:rFonts w:hint="eastAsia" w:eastAsia="宋体" w:asciiTheme="minorEastAsia" w:hAnsi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宋体" w:hAnsi="宋体" w:eastAsia="宋体" w:cs="宋体"/>
          <w:sz w:val="24"/>
          <w:szCs w:val="24"/>
        </w:rPr>
        <w:t>免费质保期至</w:t>
      </w:r>
      <w:r>
        <w:rPr>
          <w:rFonts w:hint="eastAsia" w:ascii="宋体" w:hAnsi="宋体" w:eastAsia="宋体" w:cs="宋体"/>
          <w:color w:val="auto"/>
          <w:sz w:val="24"/>
          <w:szCs w:val="24"/>
        </w:rPr>
        <w:t>少</w:t>
      </w:r>
      <w:r>
        <w:rPr>
          <w:rFonts w:hint="eastAsia" w:ascii="宋体" w:hAnsi="宋体" w:eastAsia="宋体" w:cs="宋体"/>
          <w:color w:val="auto"/>
          <w:sz w:val="24"/>
          <w:szCs w:val="24"/>
          <w:u w:val="none"/>
          <w:lang w:val="en-US" w:eastAsia="zh-CN"/>
        </w:rPr>
        <w:t>3</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中标后签订合同前提供</w:t>
      </w:r>
      <w:r>
        <w:rPr>
          <w:rFonts w:hint="eastAsia" w:ascii="宋体" w:hAnsi="宋体" w:eastAsia="宋体" w:cs="宋体"/>
          <w:sz w:val="24"/>
          <w:szCs w:val="24"/>
        </w:rPr>
        <w:t>原厂售后服务承诺函</w:t>
      </w:r>
      <w:r>
        <w:rPr>
          <w:rFonts w:hint="eastAsia" w:ascii="宋体" w:hAnsi="宋体" w:eastAsia="宋体" w:cs="宋体"/>
          <w:sz w:val="24"/>
          <w:szCs w:val="24"/>
          <w:lang w:eastAsia="zh-CN"/>
        </w:rPr>
        <w:t>。</w:t>
      </w:r>
    </w:p>
    <w:p>
      <w:pPr>
        <w:pStyle w:val="13"/>
        <w:snapToGrid w:val="0"/>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pStyle w:val="13"/>
        <w:snapToGrid w:val="0"/>
        <w:spacing w:line="360" w:lineRule="auto"/>
        <w:ind w:firstLine="480" w:firstLineChars="200"/>
        <w:rPr>
          <w:rFonts w:asciiTheme="minorEastAsia" w:hAnsiTheme="minorEastAsia" w:eastAsiaTheme="minorEastAsia"/>
          <w:b w:val="0"/>
          <w:bCs/>
          <w:color w:val="000000" w:themeColor="text1"/>
          <w:kern w:val="0"/>
          <w:sz w:val="24"/>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b w:val="0"/>
          <w:bCs/>
          <w:color w:val="000000" w:themeColor="text1"/>
          <w:kern w:val="0"/>
          <w:sz w:val="24"/>
          <w14:textFill>
            <w14:solidFill>
              <w14:schemeClr w14:val="tx1"/>
            </w14:solidFill>
          </w14:textFill>
        </w:rPr>
        <w:t>项目工期：自签订合同之日起</w:t>
      </w: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30</w:t>
      </w:r>
      <w:r>
        <w:rPr>
          <w:rFonts w:hint="eastAsia" w:asciiTheme="minorEastAsia" w:hAnsiTheme="minorEastAsia" w:eastAsiaTheme="minorEastAsia"/>
          <w:b w:val="0"/>
          <w:bCs/>
          <w:color w:val="000000" w:themeColor="text1"/>
          <w:kern w:val="0"/>
          <w:sz w:val="24"/>
          <w14:textFill>
            <w14:solidFill>
              <w14:schemeClr w14:val="tx1"/>
            </w14:solidFill>
          </w14:textFill>
        </w:rPr>
        <w:t>个工作日内供货、安装调试完毕</w:t>
      </w:r>
    </w:p>
    <w:p>
      <w:pPr>
        <w:pStyle w:val="13"/>
        <w:snapToGrid w:val="0"/>
        <w:spacing w:line="360" w:lineRule="auto"/>
        <w:ind w:firstLine="480" w:firstLineChars="200"/>
        <w:rPr>
          <w:rFonts w:hint="default" w:asciiTheme="minorEastAsia" w:hAnsiTheme="minorEastAsia" w:eastAsia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t>2.交货地点：台州市博物馆（台州市椒江区爱华路168号）</w:t>
      </w:r>
    </w:p>
    <w:p>
      <w:pPr>
        <w:pStyle w:val="13"/>
        <w:snapToGrid w:val="0"/>
        <w:spacing w:line="360" w:lineRule="auto"/>
        <w:ind w:firstLine="482" w:firstLineChars="200"/>
        <w:rPr>
          <w:rFonts w:hint="eastAsia" w:asciiTheme="minorEastAsia" w:hAnsiTheme="minorEastAsia" w:eastAsia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 w:val="0"/>
          <w:bCs/>
          <w:color w:val="auto"/>
          <w:sz w:val="24"/>
        </w:rPr>
        <w:t>合同签订后</w:t>
      </w:r>
      <w:r>
        <w:rPr>
          <w:rFonts w:hint="eastAsia" w:asciiTheme="minorEastAsia" w:hAnsiTheme="minorEastAsia" w:eastAsiaTheme="minorEastAsia"/>
          <w:b w:val="0"/>
          <w:bCs/>
          <w:color w:val="auto"/>
          <w:sz w:val="24"/>
          <w:lang w:val="en-US" w:eastAsia="zh-CN"/>
        </w:rPr>
        <w:t>10个工作日内</w:t>
      </w:r>
      <w:r>
        <w:rPr>
          <w:rFonts w:hint="eastAsia" w:asciiTheme="minorEastAsia" w:hAnsiTheme="minorEastAsia" w:eastAsiaTheme="minorEastAsia"/>
          <w:b w:val="0"/>
          <w:bCs/>
          <w:color w:val="auto"/>
          <w:sz w:val="24"/>
        </w:rPr>
        <w:t>预付合同款项的50％</w:t>
      </w:r>
      <w:r>
        <w:rPr>
          <w:rFonts w:hint="eastAsia" w:asciiTheme="minorEastAsia" w:hAnsiTheme="minorEastAsia" w:eastAsiaTheme="minorEastAsia"/>
          <w:b w:val="0"/>
          <w:bCs/>
          <w:color w:val="auto"/>
          <w:sz w:val="24"/>
          <w:lang w:eastAsia="zh-CN"/>
        </w:rPr>
        <w:t>（需提供预付款保函）</w:t>
      </w:r>
      <w:r>
        <w:rPr>
          <w:rFonts w:hint="eastAsia" w:asciiTheme="minorEastAsia" w:hAnsiTheme="minorEastAsia" w:eastAsiaTheme="minorEastAsia"/>
          <w:b w:val="0"/>
          <w:bCs/>
          <w:color w:val="auto"/>
          <w:sz w:val="24"/>
        </w:rPr>
        <w:t>，设备安装完毕</w:t>
      </w:r>
      <w:r>
        <w:rPr>
          <w:rFonts w:hint="eastAsia" w:asciiTheme="minorEastAsia" w:hAnsiTheme="minorEastAsia" w:eastAsiaTheme="minorEastAsia"/>
          <w:b w:val="0"/>
          <w:bCs/>
          <w:color w:val="auto"/>
          <w:sz w:val="24"/>
          <w:lang w:val="en-US" w:eastAsia="zh-CN"/>
        </w:rPr>
        <w:t>后10个工作日内</w:t>
      </w:r>
      <w:r>
        <w:rPr>
          <w:rFonts w:hint="eastAsia" w:asciiTheme="minorEastAsia" w:hAnsiTheme="minorEastAsia" w:eastAsiaTheme="minorEastAsia"/>
          <w:b w:val="0"/>
          <w:bCs/>
          <w:color w:val="auto"/>
          <w:sz w:val="24"/>
        </w:rPr>
        <w:t>支付合同总价款的30％，项目完成验收合格后</w:t>
      </w:r>
      <w:r>
        <w:rPr>
          <w:rFonts w:hint="eastAsia" w:asciiTheme="minorEastAsia" w:hAnsiTheme="minorEastAsia" w:eastAsiaTheme="minorEastAsia"/>
          <w:b w:val="0"/>
          <w:bCs/>
          <w:color w:val="auto"/>
          <w:sz w:val="24"/>
          <w:lang w:val="en-US" w:eastAsia="zh-CN"/>
        </w:rPr>
        <w:t>10个工作日内</w:t>
      </w:r>
      <w:r>
        <w:rPr>
          <w:rFonts w:hint="eastAsia" w:asciiTheme="minorEastAsia" w:hAnsiTheme="minorEastAsia" w:eastAsiaTheme="minorEastAsia"/>
          <w:b w:val="0"/>
          <w:bCs/>
          <w:color w:val="auto"/>
          <w:sz w:val="24"/>
        </w:rPr>
        <w:t>支付合同款项的</w:t>
      </w:r>
      <w:r>
        <w:rPr>
          <w:rFonts w:hint="eastAsia" w:asciiTheme="minorEastAsia" w:hAnsiTheme="minorEastAsia" w:eastAsiaTheme="minorEastAsia"/>
          <w:b w:val="0"/>
          <w:bCs/>
          <w:color w:val="auto"/>
          <w:sz w:val="24"/>
          <w:lang w:val="en-US" w:eastAsia="zh-CN"/>
        </w:rPr>
        <w:t>15</w:t>
      </w:r>
      <w:r>
        <w:rPr>
          <w:rFonts w:hint="eastAsia" w:asciiTheme="minorEastAsia" w:hAnsiTheme="minorEastAsia" w:eastAsiaTheme="minorEastAsia"/>
          <w:b w:val="0"/>
          <w:bCs/>
          <w:color w:val="auto"/>
          <w:sz w:val="24"/>
        </w:rPr>
        <w:t>％</w:t>
      </w: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lang w:val="en-US" w:eastAsia="zh-CN"/>
        </w:rPr>
        <w:t>驻点服务结束后支付合同款项的5%</w:t>
      </w:r>
      <w:r>
        <w:rPr>
          <w:rFonts w:hint="eastAsia" w:asciiTheme="minorEastAsia" w:hAnsiTheme="minorEastAsia" w:eastAsiaTheme="minorEastAsia"/>
          <w:b w:val="0"/>
          <w:bCs/>
          <w:color w:val="auto"/>
          <w:sz w:val="24"/>
          <w:lang w:eastAsia="zh-CN"/>
        </w:rPr>
        <w:t>。</w:t>
      </w:r>
    </w:p>
    <w:p>
      <w:pPr>
        <w:snapToGrid w:val="0"/>
        <w:spacing w:line="360" w:lineRule="auto"/>
        <w:ind w:firstLine="482"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四</w:t>
      </w:r>
      <w:r>
        <w:rPr>
          <w:rFonts w:hint="eastAsia" w:asciiTheme="minorEastAsia" w:hAnsiTheme="minorEastAsia" w:eastAsiaTheme="minorEastAsia"/>
          <w:b/>
          <w:color w:val="000000" w:themeColor="text1"/>
          <w:sz w:val="24"/>
          <w14:textFill>
            <w14:solidFill>
              <w14:schemeClr w14:val="tx1"/>
            </w14:solidFill>
          </w14:textFill>
        </w:rPr>
        <w:t>）履约保证金</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合同签订前，中标人应先缴纳合同总金额</w:t>
      </w:r>
      <w:r>
        <w:rPr>
          <w:rFonts w:hint="eastAsia" w:asciiTheme="minorEastAsia" w:hAnsiTheme="minorEastAsia" w:eastAsiaTheme="minorEastAsia"/>
          <w:color w:val="000000" w:themeColor="text1"/>
          <w:kern w:val="0"/>
          <w:sz w:val="24"/>
          <w:u w:val="none"/>
          <w:lang w:val="en-US" w:eastAsia="zh-CN"/>
          <w14:textFill>
            <w14:solidFill>
              <w14:schemeClr w14:val="tx1"/>
            </w14:solidFill>
          </w14:textFill>
        </w:rPr>
        <w:t>1</w:t>
      </w:r>
      <w:r>
        <w:rPr>
          <w:rFonts w:hint="eastAsia" w:ascii="宋体" w:hAnsi="宋体" w:cs="宋体"/>
          <w:color w:val="000000" w:themeColor="text1"/>
          <w:sz w:val="24"/>
          <w:highlight w:val="none"/>
          <w:u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的履约保证金，</w:t>
      </w:r>
      <w:r>
        <w:rPr>
          <w:rFonts w:hint="eastAsia" w:ascii="宋体" w:hAnsi="宋体" w:cs="宋体"/>
          <w:color w:val="000000" w:themeColor="text1"/>
          <w:sz w:val="24"/>
          <w:highlight w:val="none"/>
          <w:lang w:val="en-US" w:eastAsia="zh-CN"/>
          <w14:textFill>
            <w14:solidFill>
              <w14:schemeClr w14:val="tx1"/>
            </w14:solidFill>
          </w14:textFill>
        </w:rPr>
        <w:t>履约保证金在项目验收结束</w:t>
      </w:r>
      <w:r>
        <w:rPr>
          <w:rFonts w:hint="eastAsia" w:ascii="宋体" w:hAnsi="宋体" w:cs="宋体"/>
          <w:color w:val="000000" w:themeColor="text1"/>
          <w:sz w:val="24"/>
          <w:highlight w:val="none"/>
          <w14:textFill>
            <w14:solidFill>
              <w14:schemeClr w14:val="tx1"/>
            </w14:solidFill>
          </w14:textFill>
        </w:rPr>
        <w:t>后</w:t>
      </w:r>
      <w:r>
        <w:rPr>
          <w:rFonts w:hint="eastAsia" w:ascii="宋体" w:hAnsi="宋体" w:cs="宋体"/>
          <w:color w:val="000000" w:themeColor="text1"/>
          <w:sz w:val="24"/>
          <w:highlight w:val="none"/>
          <w:lang w:val="en-US" w:eastAsia="zh-CN"/>
          <w14:textFill>
            <w14:solidFill>
              <w14:schemeClr w14:val="tx1"/>
            </w14:solidFill>
          </w14:textFill>
        </w:rPr>
        <w:t>及时返还</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w:t>
      </w:r>
      <w:r>
        <w:rPr>
          <w:rFonts w:hint="eastAsia" w:ascii="宋体" w:hAnsi="宋体" w:cs="宋体"/>
          <w:color w:val="000000" w:themeColor="text1"/>
          <w:sz w:val="24"/>
          <w:highlight w:val="none"/>
          <w:lang w:val="en-US" w:eastAsia="zh-CN"/>
          <w14:textFill>
            <w14:solidFill>
              <w14:schemeClr w14:val="tx1"/>
            </w14:solidFill>
          </w14:textFill>
        </w:rPr>
        <w:t>可</w:t>
      </w:r>
      <w:r>
        <w:rPr>
          <w:rFonts w:hint="eastAsia" w:ascii="宋体" w:hAnsi="宋体" w:cs="宋体"/>
          <w:color w:val="000000" w:themeColor="text1"/>
          <w:sz w:val="24"/>
          <w:highlight w:val="none"/>
          <w14:textFill>
            <w14:solidFill>
              <w14:schemeClr w14:val="tx1"/>
            </w14:solidFill>
          </w14:textFill>
        </w:rPr>
        <w:t>以电汇、</w:t>
      </w:r>
      <w:r>
        <w:rPr>
          <w:rFonts w:hint="eastAsia" w:ascii="宋体" w:hAnsi="宋体" w:cs="宋体"/>
          <w:color w:val="000000" w:themeColor="text1"/>
          <w:sz w:val="24"/>
          <w:highlight w:val="none"/>
          <w:lang w:eastAsia="zh-CN"/>
          <w14:textFill>
            <w14:solidFill>
              <w14:schemeClr w14:val="tx1"/>
            </w14:solidFill>
          </w14:textFill>
        </w:rPr>
        <w:t>转账，或者</w:t>
      </w:r>
      <w:r>
        <w:rPr>
          <w:rFonts w:hint="eastAsia" w:ascii="宋体" w:hAnsi="宋体" w:cs="宋体"/>
          <w:color w:val="000000" w:themeColor="text1"/>
          <w:sz w:val="24"/>
          <w:highlight w:val="none"/>
          <w14:textFill>
            <w14:solidFill>
              <w14:schemeClr w14:val="tx1"/>
            </w14:solidFill>
          </w14:textFill>
        </w:rPr>
        <w:t>金融机构、担保机构出具的保函等形式提交履约保证金，注明用途为“履约保证金”</w:t>
      </w:r>
      <w:r>
        <w:rPr>
          <w:rFonts w:hint="eastAsia" w:ascii="宋体" w:hAnsi="宋体" w:cs="宋体"/>
          <w:color w:val="000000" w:themeColor="text1"/>
          <w:sz w:val="24"/>
          <w:highlight w:val="none"/>
          <w:lang w:eastAsia="zh-CN"/>
          <w14:textFill>
            <w14:solidFill>
              <w14:schemeClr w14:val="tx1"/>
            </w14:solidFill>
          </w14:textFill>
        </w:rPr>
        <w:t>。）</w:t>
      </w:r>
    </w:p>
    <w:p>
      <w:pPr>
        <w:rPr>
          <w:rFonts w:hint="eastAsia" w:cs="Times New Roman" w:asciiTheme="minorEastAsia" w:hAnsiTheme="minorEastAsia" w:eastAsiaTheme="minorEastAsia"/>
          <w:b/>
          <w:sz w:val="36"/>
          <w:szCs w:val="36"/>
        </w:rPr>
      </w:pPr>
      <w:bookmarkStart w:id="37" w:name="_Toc31173_WPSOffice_Level1"/>
      <w:r>
        <w:rPr>
          <w:rFonts w:hint="eastAsia" w:cs="Times New Roman" w:asciiTheme="minorEastAsia" w:hAnsiTheme="minorEastAsia" w:eastAsiaTheme="minorEastAsia"/>
          <w:b/>
          <w:sz w:val="36"/>
          <w:szCs w:val="36"/>
        </w:rPr>
        <w:br w:type="page"/>
      </w:r>
    </w:p>
    <w:p>
      <w:pPr>
        <w:pStyle w:val="13"/>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w:t>
      </w:r>
      <w:r>
        <w:rPr>
          <w:rFonts w:hint="eastAsia" w:asciiTheme="minorEastAsia" w:hAnsiTheme="minorEastAsia" w:eastAsiaTheme="minorEastAsia"/>
          <w:color w:val="auto"/>
          <w:kern w:val="0"/>
          <w:sz w:val="24"/>
        </w:rPr>
        <w:t>离</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u w:val="single"/>
          <w:lang w:val="en-US" w:eastAsia="zh-CN"/>
        </w:rPr>
        <w:t>7</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rPr>
        <w:t>项（含）</w:t>
      </w:r>
      <w:r>
        <w:rPr>
          <w:rFonts w:hint="eastAsia" w:asciiTheme="minorEastAsia" w:hAnsiTheme="minorEastAsia" w:eastAsiaTheme="minorEastAsia"/>
          <w:kern w:val="0"/>
          <w:sz w:val="24"/>
        </w:rPr>
        <w:t>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9"/>
        <w:spacing w:line="360" w:lineRule="auto"/>
        <w:ind w:firstLine="480" w:firstLineChars="200"/>
        <w:rPr>
          <w:rFonts w:hint="eastAsia" w:ascii="宋体" w:hAnsi="宋体" w:cs="宋体"/>
          <w:sz w:val="24"/>
          <w:szCs w:val="24"/>
        </w:rPr>
      </w:pPr>
      <w:r>
        <w:rPr>
          <w:rFonts w:hint="eastAsia" w:ascii="宋体" w:hAnsi="宋体" w:cs="宋体"/>
          <w:sz w:val="24"/>
          <w:szCs w:val="24"/>
        </w:rPr>
        <w:t>（十三）逾期或未按要求提交投标文件的；</w:t>
      </w:r>
    </w:p>
    <w:p>
      <w:pPr>
        <w:pStyle w:val="9"/>
        <w:spacing w:line="360" w:lineRule="auto"/>
        <w:ind w:firstLine="480" w:firstLineChars="200"/>
        <w:rPr>
          <w:rFonts w:hint="eastAsia"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9"/>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w:t>
      </w:r>
      <w:r>
        <w:rPr>
          <w:rFonts w:hint="eastAsia" w:asciiTheme="minorEastAsia" w:hAnsiTheme="minorEastAsia" w:eastAsiaTheme="minorEastAsia"/>
          <w:kern w:val="0"/>
          <w:sz w:val="24"/>
          <w:lang w:val="en-US" w:eastAsia="zh-CN"/>
        </w:rPr>
        <w:t>五</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color w:val="auto"/>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color w:val="auto"/>
          <w:sz w:val="24"/>
          <w:lang w:val="zh-CN"/>
        </w:rPr>
        <w:t>》（</w:t>
      </w:r>
      <w:r>
        <w:rPr>
          <w:rFonts w:hint="eastAsia" w:ascii="宋体"/>
          <w:color w:val="auto"/>
          <w:sz w:val="24"/>
        </w:rPr>
        <w:t>见附件1</w:t>
      </w:r>
      <w:r>
        <w:rPr>
          <w:rFonts w:hint="eastAsia" w:ascii="宋体"/>
          <w:color w:val="auto"/>
          <w:sz w:val="24"/>
          <w:lang w:val="en-US" w:eastAsia="zh-CN"/>
        </w:rPr>
        <w:t>7</w:t>
      </w:r>
      <w:r>
        <w:rPr>
          <w:rFonts w:hint="eastAsia" w:ascii="宋体"/>
          <w:color w:val="auto"/>
          <w:sz w:val="24"/>
          <w:lang w:val="zh-CN"/>
        </w:rPr>
        <w:t>），</w:t>
      </w:r>
      <w:r>
        <w:rPr>
          <w:rFonts w:hint="eastAsia" w:ascii="宋体"/>
          <w:color w:val="auto"/>
          <w:sz w:val="24"/>
        </w:rPr>
        <w:t>投标人未提供以上资料或者经</w:t>
      </w:r>
      <w:r>
        <w:rPr>
          <w:rFonts w:hint="eastAsia" w:ascii="宋体"/>
          <w:color w:val="auto"/>
          <w:sz w:val="24"/>
          <w:lang w:val="zh-CN"/>
        </w:rPr>
        <w:t>评标委员会核查不符的</w:t>
      </w:r>
      <w:r>
        <w:rPr>
          <w:rFonts w:hint="eastAsia" w:ascii="宋体"/>
          <w:color w:val="auto"/>
          <w:sz w:val="24"/>
        </w:rPr>
        <w:t>，将不能享受</w:t>
      </w:r>
      <w:r>
        <w:rPr>
          <w:rFonts w:hint="eastAsia"/>
          <w:color w:val="auto"/>
          <w:sz w:val="24"/>
        </w:rPr>
        <w:t>相应的</w:t>
      </w:r>
      <w:r>
        <w:rPr>
          <w:rFonts w:hint="eastAsia" w:ascii="宋体"/>
          <w:color w:val="auto"/>
          <w:sz w:val="24"/>
        </w:rPr>
        <w:t>小微企业优惠政策</w:t>
      </w:r>
      <w:r>
        <w:rPr>
          <w:rFonts w:hint="eastAsia" w:ascii="宋体"/>
          <w:color w:val="auto"/>
          <w:sz w:val="24"/>
          <w:lang w:eastAsia="zh-CN"/>
        </w:rPr>
        <w:t>。</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2.</w:t>
      </w:r>
      <w:r>
        <w:rPr>
          <w:rFonts w:hint="eastAsia" w:ascii="宋体"/>
          <w:color w:val="auto"/>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3.</w:t>
      </w:r>
      <w:r>
        <w:rPr>
          <w:rFonts w:hint="eastAsia" w:ascii="宋体"/>
          <w:color w:val="auto"/>
          <w:sz w:val="24"/>
          <w:lang w:val="zh-CN"/>
        </w:rPr>
        <w:t>残疾人福利性单位在参加政府采购活动时，应提供《残疾人福利性单位声明函》（见附件</w:t>
      </w:r>
      <w:r>
        <w:rPr>
          <w:rFonts w:hint="eastAsia" w:ascii="宋体"/>
          <w:color w:val="auto"/>
          <w:sz w:val="24"/>
        </w:rPr>
        <w:t>1</w:t>
      </w:r>
      <w:r>
        <w:rPr>
          <w:rFonts w:hint="eastAsia" w:ascii="宋体"/>
          <w:color w:val="auto"/>
          <w:sz w:val="24"/>
          <w:lang w:val="en-US" w:eastAsia="zh-CN"/>
        </w:rPr>
        <w:t>7</w:t>
      </w:r>
      <w:r>
        <w:rPr>
          <w:rFonts w:hint="eastAsia" w:ascii="宋体"/>
          <w:color w:val="auto"/>
          <w:sz w:val="24"/>
          <w:lang w:val="zh-CN"/>
        </w:rPr>
        <w:t>），视同小型、微型企业，享受小微企业政府采购优惠政策。</w:t>
      </w:r>
    </w:p>
    <w:p>
      <w:pPr>
        <w:pStyle w:val="11"/>
        <w:spacing w:line="360" w:lineRule="auto"/>
        <w:ind w:firstLine="480" w:firstLineChars="200"/>
        <w:jc w:val="both"/>
        <w:rPr>
          <w:rFonts w:hint="eastAsia" w:ascii="宋体" w:hAnsi="宋体" w:eastAsia="宋体" w:cs="宋体"/>
          <w:sz w:val="24"/>
          <w:lang w:eastAsia="zh-CN"/>
        </w:rPr>
      </w:pPr>
      <w:r>
        <w:rPr>
          <w:rFonts w:hint="eastAsia" w:ascii="宋体"/>
          <w:color w:val="auto"/>
          <w:sz w:val="24"/>
        </w:rPr>
        <w:t>4.</w:t>
      </w:r>
      <w:r>
        <w:rPr>
          <w:rFonts w:hint="eastAsia" w:ascii="宋体" w:hAnsi="宋体" w:cs="宋体"/>
          <w:color w:val="auto"/>
          <w:sz w:val="24"/>
        </w:rPr>
        <w:t>投标产品中有符合最新一期行政主管部门公布的“节能产品政</w:t>
      </w:r>
      <w:r>
        <w:rPr>
          <w:rFonts w:hint="eastAsia" w:ascii="宋体" w:hAnsi="宋体" w:cs="宋体"/>
          <w:sz w:val="24"/>
        </w:rPr>
        <w:t>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11"/>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3"/>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11"/>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bl>
    <w:p>
      <w:pPr>
        <w:pStyle w:val="11"/>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0" w:rightChars="0" w:hanging="10" w:firstLineChars="0"/>
              <w:jc w:val="center"/>
              <w:textAlignment w:val="auto"/>
              <w:rPr>
                <w:rFonts w:hint="eastAsia" w:ascii="宋体" w:hAnsi="宋体" w:eastAsia="宋体" w:cs="宋体"/>
                <w:color w:val="auto"/>
                <w:spacing w:val="0"/>
                <w:w w:val="100"/>
                <w:kern w:val="2"/>
                <w:sz w:val="21"/>
                <w:szCs w:val="21"/>
                <w:lang w:val="en-US" w:eastAsia="zh-CN" w:bidi="ar-SA"/>
              </w:rPr>
            </w:pPr>
            <w:r>
              <w:rPr>
                <w:rFonts w:hint="eastAsia" w:cs="宋体"/>
                <w:color w:val="auto"/>
                <w:spacing w:val="0"/>
                <w:w w:val="100"/>
                <w:sz w:val="21"/>
                <w:szCs w:val="21"/>
                <w:lang w:val="en-US" w:eastAsia="zh-CN"/>
              </w:rPr>
              <w:t>无效标情形</w:t>
            </w:r>
          </w:p>
        </w:tc>
        <w:tc>
          <w:tcPr>
            <w:tcW w:w="7476" w:type="dxa"/>
            <w:shd w:val="clear" w:color="auto" w:fill="auto"/>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color w:val="auto"/>
                <w:spacing w:val="0"/>
                <w:w w:val="100"/>
                <w:kern w:val="2"/>
                <w:sz w:val="21"/>
                <w:szCs w:val="21"/>
                <w:lang w:val="en-US" w:eastAsia="zh-CN" w:bidi="ar-SA"/>
              </w:rPr>
            </w:pPr>
            <w:r>
              <w:rPr>
                <w:rFonts w:hint="eastAsia" w:ascii="宋体" w:hAnsi="宋体" w:cs="宋体"/>
                <w:color w:val="auto"/>
                <w:spacing w:val="0"/>
                <w:w w:val="100"/>
                <w:sz w:val="21"/>
                <w:szCs w:val="21"/>
                <w:lang w:val="en-US" w:eastAsia="zh-CN"/>
              </w:rPr>
              <w:t>投标文件未出现招标文件中规定的无效标情形。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11"/>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 xml:space="preserve"> X</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W w:w="921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93"/>
        <w:gridCol w:w="1080"/>
        <w:gridCol w:w="6464"/>
        <w:gridCol w:w="3"/>
        <w:gridCol w:w="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093" w:type="dxa"/>
            <w:shd w:val="clear" w:color="000000" w:fill="D8D8D8"/>
            <w:noWrap w:val="0"/>
            <w:vAlign w:val="center"/>
          </w:tcPr>
          <w:p>
            <w:pPr>
              <w:widowControl/>
              <w:jc w:val="center"/>
              <w:rPr>
                <w:rFonts w:ascii="宋体" w:hAnsi="宋体"/>
                <w:b/>
                <w:bCs/>
                <w:color w:val="auto"/>
                <w:kern w:val="0"/>
                <w:szCs w:val="21"/>
              </w:rPr>
            </w:pPr>
            <w:r>
              <w:rPr>
                <w:rFonts w:hint="eastAsia" w:ascii="宋体" w:hAnsi="宋体"/>
                <w:b/>
                <w:bCs/>
                <w:color w:val="auto"/>
                <w:kern w:val="0"/>
                <w:szCs w:val="21"/>
              </w:rPr>
              <w:t>评分项目</w:t>
            </w:r>
          </w:p>
        </w:tc>
        <w:tc>
          <w:tcPr>
            <w:tcW w:w="7544" w:type="dxa"/>
            <w:gridSpan w:val="2"/>
            <w:shd w:val="clear" w:color="000000" w:fill="D8D8D8"/>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rPr>
              <w:t>评分细则</w:t>
            </w:r>
          </w:p>
        </w:tc>
        <w:tc>
          <w:tcPr>
            <w:tcW w:w="575" w:type="dxa"/>
            <w:gridSpan w:val="2"/>
            <w:shd w:val="clear" w:color="000000" w:fill="D8D8D8"/>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3" w:type="dxa"/>
            <w:vMerge w:val="restart"/>
            <w:noWrap w:val="0"/>
            <w:vAlign w:val="center"/>
          </w:tcPr>
          <w:p>
            <w:pPr>
              <w:widowControl/>
              <w:jc w:val="center"/>
              <w:rPr>
                <w:rFonts w:hint="eastAsia" w:ascii="宋体" w:hAnsi="宋体"/>
                <w:b/>
                <w:bCs/>
                <w:color w:val="auto"/>
                <w:kern w:val="0"/>
                <w:sz w:val="21"/>
                <w:szCs w:val="21"/>
                <w:lang w:val="en-US" w:eastAsia="zh-CN"/>
              </w:rPr>
            </w:pPr>
            <w:r>
              <w:rPr>
                <w:rFonts w:hint="eastAsia" w:ascii="宋体" w:hAnsi="宋体"/>
                <w:b/>
                <w:bCs/>
                <w:color w:val="auto"/>
                <w:kern w:val="0"/>
                <w:szCs w:val="21"/>
                <w:lang w:val="en-US" w:eastAsia="zh-CN"/>
              </w:rPr>
              <w:t>技术性</w:t>
            </w:r>
            <w:r>
              <w:rPr>
                <w:rFonts w:hint="eastAsia" w:ascii="宋体" w:hAnsi="宋体"/>
                <w:b/>
                <w:bCs/>
                <w:color w:val="auto"/>
                <w:kern w:val="0"/>
                <w:sz w:val="21"/>
                <w:szCs w:val="21"/>
                <w:lang w:val="en-US" w:eastAsia="zh-CN"/>
              </w:rPr>
              <w:t>能</w:t>
            </w:r>
          </w:p>
          <w:p>
            <w:pPr>
              <w:widowControl/>
              <w:jc w:val="center"/>
              <w:rPr>
                <w:rFonts w:hint="default"/>
                <w:color w:val="auto"/>
                <w:lang w:val="en-US" w:eastAsia="zh-CN"/>
              </w:rPr>
            </w:pPr>
            <w:r>
              <w:rPr>
                <w:rFonts w:hint="eastAsia" w:ascii="宋体" w:hAnsi="宋体"/>
                <w:b/>
                <w:bCs/>
                <w:color w:val="auto"/>
                <w:kern w:val="0"/>
                <w:sz w:val="21"/>
                <w:szCs w:val="21"/>
                <w:lang w:val="en-US" w:eastAsia="zh-CN"/>
              </w:rPr>
              <w:t>50分</w:t>
            </w:r>
          </w:p>
        </w:tc>
        <w:tc>
          <w:tcPr>
            <w:tcW w:w="1080" w:type="dxa"/>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lang w:eastAsia="zh-CN"/>
              </w:rPr>
              <w:t>投标产品</w:t>
            </w:r>
            <w:r>
              <w:rPr>
                <w:rFonts w:hint="eastAsia" w:ascii="宋体" w:hAnsi="宋体"/>
                <w:b/>
                <w:bCs/>
                <w:color w:val="auto"/>
                <w:kern w:val="0"/>
                <w:szCs w:val="21"/>
              </w:rPr>
              <w:t>符合性评价</w:t>
            </w:r>
          </w:p>
        </w:tc>
        <w:tc>
          <w:tcPr>
            <w:tcW w:w="6464" w:type="dxa"/>
            <w:noWrap w:val="0"/>
            <w:vAlign w:val="center"/>
          </w:tcPr>
          <w:p>
            <w:pPr>
              <w:pStyle w:val="11"/>
              <w:keepNext w:val="0"/>
              <w:keepLines w:val="0"/>
              <w:pageBreakBefore w:val="0"/>
              <w:kinsoku/>
              <w:wordWrap/>
              <w:overflowPunct/>
              <w:topLinePunct w:val="0"/>
              <w:bidi w:val="0"/>
              <w:adjustRightInd/>
              <w:snapToGrid/>
              <w:spacing w:line="240" w:lineRule="auto"/>
              <w:jc w:val="left"/>
              <w:textAlignment w:val="auto"/>
              <w:rPr>
                <w:rFonts w:hint="eastAsia" w:ascii="宋体" w:hAnsi="宋体"/>
                <w:color w:val="auto"/>
                <w:kern w:val="0"/>
                <w:szCs w:val="21"/>
              </w:rPr>
            </w:pPr>
            <w:r>
              <w:rPr>
                <w:rFonts w:hint="eastAsia" w:ascii="宋体" w:hAnsi="宋体"/>
                <w:color w:val="auto"/>
                <w:kern w:val="0"/>
                <w:szCs w:val="21"/>
              </w:rPr>
              <w:t>根据投标产品的技术参数和功能实现是否完全满足招标文件要求，技术指标偏离情况逐条进行评分：</w:t>
            </w:r>
          </w:p>
          <w:p>
            <w:pPr>
              <w:pStyle w:val="11"/>
              <w:keepNext w:val="0"/>
              <w:keepLines w:val="0"/>
              <w:pageBreakBefore w:val="0"/>
              <w:kinsoku/>
              <w:wordWrap/>
              <w:overflowPunct/>
              <w:topLinePunct w:val="0"/>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①完全满足或高于招标文件要求的，得</w:t>
            </w: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分；</w:t>
            </w:r>
          </w:p>
          <w:p>
            <w:pPr>
              <w:pStyle w:val="11"/>
              <w:keepNext w:val="0"/>
              <w:keepLines w:val="0"/>
              <w:pageBreakBefore w:val="0"/>
              <w:kinsoku/>
              <w:wordWrap/>
              <w:overflowPunct/>
              <w:topLinePunct w:val="0"/>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②重要性能指标（★）每有一项负偏离或未响应的扣2分，其他性能指标每有一项负偏离或未响应的扣1分，扣完为止。</w:t>
            </w:r>
          </w:p>
          <w:p>
            <w:pPr>
              <w:pStyle w:val="11"/>
              <w:keepNext w:val="0"/>
              <w:keepLines w:val="0"/>
              <w:pageBreakBefore w:val="0"/>
              <w:kinsoku/>
              <w:wordWrap/>
              <w:overflowPunct/>
              <w:topLinePunct w:val="0"/>
              <w:bidi w:val="0"/>
              <w:adjustRightInd/>
              <w:snapToGrid/>
              <w:spacing w:line="240" w:lineRule="auto"/>
              <w:jc w:val="left"/>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auto"/>
                <w:sz w:val="21"/>
                <w:szCs w:val="21"/>
              </w:rPr>
              <w:t>注：技术参数中要求提供证明材料而</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未提供的，视为负偏离；</w:t>
            </w:r>
          </w:p>
          <w:p>
            <w:pPr>
              <w:jc w:val="left"/>
              <w:rPr>
                <w:rFonts w:hint="eastAsia" w:ascii="宋体" w:hAnsi="宋体"/>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所有产品重要性能指标（★）负偏</w:t>
            </w:r>
            <w:r>
              <w:rPr>
                <w:rFonts w:hint="eastAsia" w:asciiTheme="minorEastAsia" w:hAnsiTheme="minorEastAsia" w:eastAsiaTheme="minorEastAsia" w:cstheme="minorEastAsia"/>
                <w:b/>
                <w:bCs/>
                <w:color w:val="auto"/>
                <w:sz w:val="21"/>
                <w:szCs w:val="21"/>
              </w:rPr>
              <w:t>离</w:t>
            </w:r>
            <w:r>
              <w:rPr>
                <w:rFonts w:hint="eastAsia" w:asciiTheme="minorEastAsia" w:hAnsiTheme="minorEastAsia" w:eastAsiaTheme="minorEastAsia" w:cstheme="minorEastAsia"/>
                <w:b/>
                <w:bCs/>
                <w:color w:val="auto"/>
                <w:sz w:val="21"/>
                <w:szCs w:val="21"/>
                <w:lang w:val="en-US" w:eastAsia="zh-CN"/>
              </w:rPr>
              <w:t>7</w:t>
            </w:r>
            <w:r>
              <w:rPr>
                <w:rFonts w:hint="eastAsia" w:asciiTheme="minorEastAsia" w:hAnsiTheme="minorEastAsia" w:eastAsiaTheme="minorEastAsia" w:cstheme="minorEastAsia"/>
                <w:b/>
                <w:bCs/>
                <w:color w:val="auto"/>
                <w:sz w:val="21"/>
                <w:szCs w:val="21"/>
              </w:rPr>
              <w:t>项（含</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）以上的为无效标</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p>
          <w:p>
            <w:pPr>
              <w:jc w:val="left"/>
              <w:rPr>
                <w:rFonts w:hint="eastAsia" w:ascii="宋体" w:hAnsi="宋体" w:eastAsia="宋体"/>
                <w:color w:val="auto"/>
                <w:kern w:val="0"/>
                <w:szCs w:val="21"/>
                <w:lang w:eastAsia="zh-CN"/>
              </w:rPr>
            </w:pPr>
            <w:r>
              <w:rPr>
                <w:rFonts w:hint="eastAsia" w:ascii="宋体" w:hAnsi="宋体" w:eastAsia="宋体"/>
                <w:b/>
                <w:bCs/>
                <w:color w:val="000000" w:themeColor="text1"/>
                <w:kern w:val="0"/>
                <w:szCs w:val="21"/>
                <w:lang w:eastAsia="zh-CN"/>
                <w14:textFill>
                  <w14:solidFill>
                    <w14:schemeClr w14:val="tx1"/>
                  </w14:solidFill>
                </w14:textFill>
              </w:rPr>
              <w:t>同类货物同一类参数</w:t>
            </w:r>
            <w:r>
              <w:rPr>
                <w:rFonts w:hint="eastAsia" w:ascii="宋体" w:hAnsi="宋体"/>
                <w:b/>
                <w:bCs/>
                <w:color w:val="000000" w:themeColor="text1"/>
                <w:kern w:val="0"/>
                <w:szCs w:val="21"/>
                <w:lang w:val="en-US" w:eastAsia="zh-CN"/>
                <w14:textFill>
                  <w14:solidFill>
                    <w14:schemeClr w14:val="tx1"/>
                  </w14:solidFill>
                </w14:textFill>
              </w:rPr>
              <w:t>不满足要求只计一次负偏离</w:t>
            </w:r>
            <w:r>
              <w:rPr>
                <w:rFonts w:hint="eastAsia" w:ascii="宋体" w:hAnsi="宋体" w:eastAsia="宋体"/>
                <w:b/>
                <w:bCs/>
                <w:color w:val="000000" w:themeColor="text1"/>
                <w:kern w:val="0"/>
                <w:szCs w:val="21"/>
                <w:lang w:eastAsia="zh-CN"/>
                <w14:textFill>
                  <w14:solidFill>
                    <w14:schemeClr w14:val="tx1"/>
                  </w14:solidFill>
                </w14:textFill>
              </w:rPr>
              <w:t>。</w:t>
            </w:r>
          </w:p>
        </w:tc>
        <w:tc>
          <w:tcPr>
            <w:tcW w:w="575" w:type="dxa"/>
            <w:gridSpan w:val="2"/>
            <w:noWrap w:val="0"/>
            <w:vAlign w:val="center"/>
          </w:tcPr>
          <w:p>
            <w:pPr>
              <w:widowControl/>
              <w:jc w:val="center"/>
              <w:rPr>
                <w:rFonts w:hint="default" w:ascii="宋体" w:hAnsi="宋体" w:eastAsia="宋体"/>
                <w:color w:val="auto"/>
                <w:kern w:val="0"/>
                <w:szCs w:val="21"/>
                <w:lang w:val="en-US" w:eastAsia="zh-CN"/>
              </w:rPr>
            </w:pPr>
            <w:r>
              <w:rPr>
                <w:rFonts w:hint="eastAsia" w:ascii="宋体" w:hAnsi="宋体" w:eastAsia="宋体"/>
                <w:color w:val="auto"/>
                <w:kern w:val="0"/>
                <w:szCs w:val="21"/>
                <w:lang w:val="en-US" w:eastAsia="zh-CN"/>
              </w:rPr>
              <w:t>3</w:t>
            </w:r>
            <w:r>
              <w:rPr>
                <w:rFonts w:hint="eastAsia" w:ascii="宋体" w:hAnsi="宋体"/>
                <w:color w:val="auto"/>
                <w:kern w:val="0"/>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6" w:hRule="atLeast"/>
          <w:jc w:val="center"/>
        </w:trPr>
        <w:tc>
          <w:tcPr>
            <w:tcW w:w="1093" w:type="dxa"/>
            <w:vMerge w:val="continue"/>
            <w:noWrap w:val="0"/>
            <w:vAlign w:val="center"/>
          </w:tcPr>
          <w:p>
            <w:pPr>
              <w:widowControl/>
              <w:jc w:val="left"/>
              <w:rPr>
                <w:rFonts w:ascii="宋体" w:hAnsi="宋体"/>
                <w:b/>
                <w:bCs/>
                <w:color w:val="auto"/>
                <w:kern w:val="0"/>
                <w:szCs w:val="21"/>
              </w:rPr>
            </w:pPr>
          </w:p>
        </w:tc>
        <w:tc>
          <w:tcPr>
            <w:tcW w:w="1080" w:type="dxa"/>
            <w:noWrap w:val="0"/>
            <w:vAlign w:val="center"/>
          </w:tcPr>
          <w:p>
            <w:pPr>
              <w:widowControl/>
              <w:jc w:val="center"/>
              <w:rPr>
                <w:rFonts w:hint="eastAsia" w:ascii="宋体" w:hAnsi="宋体" w:eastAsia="宋体" w:cs="Times New Roman"/>
                <w:b/>
                <w:bCs/>
                <w:color w:val="auto"/>
                <w:kern w:val="0"/>
                <w:sz w:val="21"/>
                <w:szCs w:val="21"/>
                <w:lang w:val="en-US" w:eastAsia="zh-CN" w:bidi="ar-SA"/>
              </w:rPr>
            </w:pPr>
            <w:r>
              <w:rPr>
                <w:rFonts w:hint="default" w:ascii="宋体" w:hAnsi="宋体" w:eastAsia="宋体"/>
                <w:b/>
                <w:bCs/>
                <w:color w:val="auto"/>
                <w:kern w:val="0"/>
                <w:szCs w:val="21"/>
                <w:lang w:val="en-US" w:eastAsia="zh-CN"/>
              </w:rPr>
              <w:t>总体方案设计</w:t>
            </w:r>
          </w:p>
        </w:tc>
        <w:tc>
          <w:tcPr>
            <w:tcW w:w="6467" w:type="dxa"/>
            <w:gridSpan w:val="2"/>
            <w:noWrap w:val="0"/>
            <w:vAlign w:val="center"/>
          </w:tcPr>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根据</w:t>
            </w:r>
            <w:r>
              <w:rPr>
                <w:rFonts w:hint="eastAsia" w:ascii="宋体" w:hAnsi="宋体" w:eastAsia="宋体" w:cs="Times New Roman"/>
                <w:color w:val="auto"/>
                <w:kern w:val="0"/>
                <w:szCs w:val="21"/>
                <w:lang w:val="en-US" w:eastAsia="zh-CN"/>
              </w:rPr>
              <w:t>投标人</w:t>
            </w:r>
            <w:r>
              <w:rPr>
                <w:rFonts w:hint="eastAsia" w:ascii="宋体" w:hAnsi="宋体" w:eastAsia="宋体" w:cs="Times New Roman"/>
                <w:color w:val="auto"/>
                <w:kern w:val="0"/>
                <w:szCs w:val="21"/>
              </w:rPr>
              <w:t>对采购人项目建设思路、项目建设目标、项目建设内容、信息系统现状的理解情况，</w:t>
            </w:r>
            <w:r>
              <w:rPr>
                <w:rFonts w:hint="eastAsia" w:ascii="宋体" w:hAnsi="宋体" w:eastAsia="宋体" w:cs="Times New Roman"/>
                <w:color w:val="auto"/>
                <w:kern w:val="0"/>
                <w:szCs w:val="21"/>
                <w:lang w:val="en-US" w:eastAsia="zh-CN"/>
              </w:rPr>
              <w:t>提供的</w:t>
            </w:r>
            <w:r>
              <w:rPr>
                <w:rFonts w:hint="eastAsia" w:ascii="宋体" w:hAnsi="宋体" w:eastAsia="宋体" w:cs="Times New Roman"/>
                <w:color w:val="auto"/>
                <w:kern w:val="0"/>
                <w:szCs w:val="21"/>
              </w:rPr>
              <w:t>总体方案</w:t>
            </w:r>
            <w:r>
              <w:rPr>
                <w:rFonts w:hint="eastAsia" w:ascii="宋体" w:hAnsi="宋体" w:eastAsia="宋体" w:cs="Times New Roman"/>
                <w:color w:val="auto"/>
                <w:kern w:val="0"/>
                <w:szCs w:val="21"/>
                <w:lang w:val="en-US" w:eastAsia="zh-CN"/>
              </w:rPr>
              <w:t>进行综合评分：</w:t>
            </w:r>
          </w:p>
          <w:p>
            <w:pPr>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 xml:space="preserve">① </w:t>
            </w:r>
            <w:r>
              <w:rPr>
                <w:rFonts w:hint="eastAsia" w:ascii="宋体" w:hAnsi="宋体" w:eastAsia="宋体" w:cs="Times New Roman"/>
                <w:color w:val="auto"/>
                <w:kern w:val="0"/>
                <w:szCs w:val="21"/>
              </w:rPr>
              <w:t>总体方案设计合理、完整、可行，针对性强</w:t>
            </w:r>
            <w:r>
              <w:rPr>
                <w:rFonts w:hint="eastAsia" w:ascii="宋体" w:hAnsi="宋体" w:eastAsia="宋体" w:cs="Times New Roman"/>
                <w:color w:val="auto"/>
                <w:kern w:val="0"/>
                <w:szCs w:val="21"/>
                <w:lang w:eastAsia="zh-CN"/>
              </w:rPr>
              <w:t>，匹配度好</w:t>
            </w:r>
            <w:r>
              <w:rPr>
                <w:rFonts w:hint="eastAsia" w:ascii="宋体" w:hAnsi="宋体" w:eastAsia="宋体" w:cs="Times New Roman"/>
                <w:color w:val="auto"/>
                <w:kern w:val="0"/>
                <w:szCs w:val="21"/>
              </w:rPr>
              <w:t>的得</w:t>
            </w:r>
            <w:r>
              <w:rPr>
                <w:rFonts w:hint="eastAsia" w:ascii="宋体" w:hAnsi="宋体" w:eastAsia="宋体" w:cs="Times New Roman"/>
                <w:color w:val="auto"/>
                <w:kern w:val="0"/>
                <w:szCs w:val="21"/>
                <w:lang w:val="en-US" w:eastAsia="zh-CN"/>
              </w:rPr>
              <w:t>4-</w:t>
            </w:r>
            <w:r>
              <w:rPr>
                <w:rFonts w:hint="eastAsia" w:ascii="宋体" w:hAnsi="宋体" w:cs="Times New Roman"/>
                <w:color w:val="auto"/>
                <w:kern w:val="0"/>
                <w:szCs w:val="21"/>
                <w:lang w:val="en-US" w:eastAsia="zh-CN"/>
              </w:rPr>
              <w:t>5</w:t>
            </w:r>
            <w:r>
              <w:rPr>
                <w:rFonts w:hint="eastAsia" w:ascii="宋体" w:hAnsi="宋体" w:eastAsia="宋体" w:cs="Times New Roman"/>
                <w:color w:val="auto"/>
                <w:kern w:val="0"/>
                <w:szCs w:val="21"/>
              </w:rPr>
              <w:t>分；</w:t>
            </w:r>
          </w:p>
          <w:p>
            <w:pPr>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 xml:space="preserve">② </w:t>
            </w:r>
            <w:r>
              <w:rPr>
                <w:rFonts w:hint="eastAsia" w:ascii="宋体" w:hAnsi="宋体" w:eastAsia="宋体" w:cs="Times New Roman"/>
                <w:color w:val="auto"/>
                <w:kern w:val="0"/>
                <w:szCs w:val="21"/>
              </w:rPr>
              <w:t>方案设计基本满足用户需求的得</w:t>
            </w:r>
            <w:r>
              <w:rPr>
                <w:rFonts w:hint="eastAsia" w:ascii="宋体" w:hAnsi="宋体" w:eastAsia="宋体" w:cs="Times New Roman"/>
                <w:color w:val="auto"/>
                <w:kern w:val="0"/>
                <w:szCs w:val="21"/>
                <w:lang w:val="en-US" w:eastAsia="zh-CN"/>
              </w:rPr>
              <w:t>2-3.9</w:t>
            </w:r>
            <w:r>
              <w:rPr>
                <w:rFonts w:hint="eastAsia" w:ascii="宋体" w:hAnsi="宋体" w:eastAsia="宋体" w:cs="Times New Roman"/>
                <w:color w:val="auto"/>
                <w:kern w:val="0"/>
                <w:szCs w:val="21"/>
              </w:rPr>
              <w:t>分；</w:t>
            </w:r>
          </w:p>
          <w:p>
            <w:pPr>
              <w:jc w:val="left"/>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val="en-US" w:eastAsia="zh-CN"/>
              </w:rPr>
              <w:t xml:space="preserve">③ </w:t>
            </w:r>
            <w:r>
              <w:rPr>
                <w:rFonts w:hint="eastAsia" w:ascii="宋体" w:hAnsi="宋体" w:eastAsia="宋体" w:cs="Times New Roman"/>
                <w:color w:val="auto"/>
                <w:kern w:val="0"/>
                <w:szCs w:val="21"/>
              </w:rPr>
              <w:t>方案设计</w:t>
            </w:r>
            <w:r>
              <w:rPr>
                <w:rFonts w:hint="eastAsia" w:ascii="宋体" w:hAnsi="宋体" w:eastAsia="宋体" w:cs="Times New Roman"/>
                <w:color w:val="auto"/>
                <w:kern w:val="0"/>
                <w:szCs w:val="21"/>
                <w:lang w:eastAsia="zh-CN"/>
              </w:rPr>
              <w:t>部分</w:t>
            </w:r>
            <w:r>
              <w:rPr>
                <w:rFonts w:hint="eastAsia" w:ascii="宋体" w:hAnsi="宋体" w:eastAsia="宋体" w:cs="Times New Roman"/>
                <w:color w:val="auto"/>
                <w:kern w:val="0"/>
                <w:szCs w:val="21"/>
              </w:rPr>
              <w:t>满足用户需求的得</w:t>
            </w:r>
            <w:r>
              <w:rPr>
                <w:rFonts w:hint="eastAsia" w:ascii="宋体" w:hAnsi="宋体" w:eastAsia="宋体" w:cs="Times New Roman"/>
                <w:color w:val="auto"/>
                <w:kern w:val="0"/>
                <w:szCs w:val="21"/>
                <w:lang w:val="en-US" w:eastAsia="zh-CN"/>
              </w:rPr>
              <w:t>0.1-1.9</w:t>
            </w:r>
            <w:r>
              <w:rPr>
                <w:rFonts w:hint="eastAsia" w:ascii="宋体" w:hAnsi="宋体" w:eastAsia="宋体" w:cs="Times New Roman"/>
                <w:color w:val="auto"/>
                <w:kern w:val="0"/>
                <w:szCs w:val="21"/>
              </w:rPr>
              <w:t>分</w:t>
            </w:r>
            <w:r>
              <w:rPr>
                <w:rFonts w:hint="eastAsia" w:ascii="宋体" w:hAnsi="宋体" w:eastAsia="宋体" w:cs="Times New Roman"/>
                <w:color w:val="auto"/>
                <w:kern w:val="0"/>
                <w:szCs w:val="21"/>
                <w:lang w:eastAsia="zh-CN"/>
              </w:rPr>
              <w:t>；</w:t>
            </w:r>
          </w:p>
          <w:p>
            <w:pPr>
              <w:jc w:val="left"/>
              <w:rPr>
                <w:rFonts w:hint="eastAsia" w:ascii="宋体" w:hAnsi="宋体" w:eastAsia="宋体" w:cs="Times New Roman"/>
                <w:b/>
                <w:bCs/>
                <w:color w:val="auto"/>
                <w:kern w:val="0"/>
                <w:sz w:val="21"/>
                <w:szCs w:val="21"/>
                <w:lang w:val="en-US" w:eastAsia="zh-CN" w:bidi="ar-SA"/>
              </w:rPr>
            </w:pPr>
            <w:r>
              <w:rPr>
                <w:rFonts w:hint="eastAsia" w:ascii="宋体" w:hAnsi="宋体" w:eastAsia="宋体" w:cs="Times New Roman"/>
                <w:color w:val="auto"/>
                <w:kern w:val="0"/>
                <w:szCs w:val="21"/>
                <w:lang w:val="en-US" w:eastAsia="zh-CN"/>
              </w:rPr>
              <w:t xml:space="preserve">④ </w:t>
            </w:r>
            <w:r>
              <w:rPr>
                <w:rFonts w:hint="eastAsia" w:ascii="宋体" w:hAnsi="宋体" w:eastAsia="宋体" w:cs="Times New Roman"/>
                <w:color w:val="auto"/>
                <w:kern w:val="0"/>
                <w:szCs w:val="21"/>
              </w:rPr>
              <w:t>提供的方案设计不合理，对用户需求不理解、内容缺失严重</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不贴合实际的不得分。</w:t>
            </w:r>
          </w:p>
        </w:tc>
        <w:tc>
          <w:tcPr>
            <w:tcW w:w="572" w:type="dxa"/>
            <w:noWrap w:val="0"/>
            <w:vAlign w:val="center"/>
          </w:tcPr>
          <w:p>
            <w:pPr>
              <w:widowControl/>
              <w:jc w:val="center"/>
              <w:rPr>
                <w:rFonts w:hint="eastAsia" w:ascii="宋体" w:hAnsi="宋体" w:eastAsia="宋体" w:cs="Times New Roman"/>
                <w:color w:val="auto"/>
                <w:kern w:val="0"/>
                <w:sz w:val="21"/>
                <w:szCs w:val="21"/>
                <w:lang w:val="en-US" w:eastAsia="zh-CN" w:bidi="ar-SA"/>
              </w:rPr>
            </w:pPr>
            <w:r>
              <w:rPr>
                <w:rFonts w:hint="eastAsia" w:ascii="宋体" w:hAnsi="宋体"/>
                <w:color w:val="auto"/>
                <w:kern w:val="0"/>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3" w:type="dxa"/>
            <w:vMerge w:val="continue"/>
            <w:noWrap w:val="0"/>
            <w:vAlign w:val="center"/>
          </w:tcPr>
          <w:p>
            <w:pPr>
              <w:widowControl/>
              <w:jc w:val="left"/>
              <w:rPr>
                <w:rFonts w:ascii="宋体" w:hAnsi="宋体"/>
                <w:b/>
                <w:bCs/>
                <w:color w:val="auto"/>
                <w:kern w:val="0"/>
                <w:szCs w:val="21"/>
              </w:rPr>
            </w:pPr>
          </w:p>
        </w:tc>
        <w:tc>
          <w:tcPr>
            <w:tcW w:w="1080" w:type="dxa"/>
            <w:noWrap w:val="0"/>
            <w:vAlign w:val="center"/>
          </w:tcPr>
          <w:p>
            <w:pPr>
              <w:widowControl/>
              <w:jc w:val="center"/>
              <w:rPr>
                <w:rFonts w:hint="default" w:ascii="宋体" w:hAnsi="宋体" w:eastAsia="宋体"/>
                <w:b/>
                <w:bCs/>
                <w:color w:val="auto"/>
                <w:kern w:val="0"/>
                <w:szCs w:val="21"/>
                <w:lang w:val="en-US" w:eastAsia="zh-CN"/>
              </w:rPr>
            </w:pPr>
            <w:r>
              <w:rPr>
                <w:rFonts w:hint="eastAsia" w:ascii="宋体" w:hAnsi="宋体"/>
                <w:b/>
                <w:bCs/>
                <w:color w:val="auto"/>
                <w:kern w:val="0"/>
                <w:szCs w:val="21"/>
                <w:lang w:val="en-US" w:eastAsia="zh-CN"/>
              </w:rPr>
              <w:t>项目实施方案</w:t>
            </w:r>
          </w:p>
        </w:tc>
        <w:tc>
          <w:tcPr>
            <w:tcW w:w="6467" w:type="dxa"/>
            <w:gridSpan w:val="2"/>
            <w:noWrap w:val="0"/>
            <w:vAlign w:val="center"/>
          </w:tcPr>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根据投标人提供的施工方案的科学性、严密性、合理性进行综合评分：① 施工方案与技术措施，包括工程特点、重点与难点描述的准确性及相应针对性措施，方案措施科学有效、针对性强、合理可行的得4-</w:t>
            </w:r>
            <w:r>
              <w:rPr>
                <w:rFonts w:hint="eastAsia" w:ascii="宋体" w:hAnsi="宋体" w:cs="Times New Roman"/>
                <w:color w:val="auto"/>
                <w:kern w:val="0"/>
                <w:szCs w:val="21"/>
                <w:lang w:val="en-US" w:eastAsia="zh-CN"/>
              </w:rPr>
              <w:t>5</w:t>
            </w:r>
            <w:r>
              <w:rPr>
                <w:rFonts w:hint="eastAsia" w:ascii="宋体" w:hAnsi="宋体" w:eastAsia="宋体" w:cs="Times New Roman"/>
                <w:color w:val="auto"/>
                <w:kern w:val="0"/>
                <w:szCs w:val="21"/>
                <w:lang w:val="en-US" w:eastAsia="zh-CN"/>
              </w:rPr>
              <w:t>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② 施工方案不够科学有效、细节待完善的得</w:t>
            </w:r>
            <w:r>
              <w:rPr>
                <w:rFonts w:hint="eastAsia" w:ascii="宋体" w:hAnsi="宋体" w:cs="Times New Roman"/>
                <w:color w:val="auto"/>
                <w:kern w:val="0"/>
                <w:szCs w:val="21"/>
                <w:lang w:val="en-US" w:eastAsia="zh-CN"/>
              </w:rPr>
              <w:t>2</w:t>
            </w:r>
            <w:r>
              <w:rPr>
                <w:rFonts w:hint="eastAsia" w:ascii="宋体" w:hAnsi="宋体" w:eastAsia="宋体" w:cs="Times New Roman"/>
                <w:color w:val="auto"/>
                <w:kern w:val="0"/>
                <w:szCs w:val="21"/>
                <w:lang w:val="en-US" w:eastAsia="zh-CN"/>
              </w:rPr>
              <w:t>-3.9分；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③ 可行性较差、略有瑕疵的得0.1-</w:t>
            </w:r>
            <w:r>
              <w:rPr>
                <w:rFonts w:hint="eastAsia" w:ascii="宋体" w:hAnsi="宋体" w:cs="Times New Roman"/>
                <w:color w:val="auto"/>
                <w:kern w:val="0"/>
                <w:szCs w:val="21"/>
                <w:lang w:val="en-US" w:eastAsia="zh-CN"/>
              </w:rPr>
              <w:t>1</w:t>
            </w:r>
            <w:r>
              <w:rPr>
                <w:rFonts w:hint="eastAsia" w:ascii="宋体" w:hAnsi="宋体" w:eastAsia="宋体" w:cs="Times New Roman"/>
                <w:color w:val="auto"/>
                <w:kern w:val="0"/>
                <w:szCs w:val="21"/>
                <w:lang w:val="en-US" w:eastAsia="zh-CN"/>
              </w:rPr>
              <w:t>.9分；</w:t>
            </w:r>
          </w:p>
          <w:p>
            <w:pPr>
              <w:jc w:val="left"/>
              <w:rPr>
                <w:rFonts w:hint="eastAsia" w:ascii="宋体" w:hAnsi="宋体" w:cs="宋体"/>
                <w:color w:val="auto"/>
                <w:kern w:val="0"/>
                <w:szCs w:val="21"/>
                <w:lang w:val="en-US" w:eastAsia="zh-CN"/>
              </w:rPr>
            </w:pPr>
            <w:r>
              <w:rPr>
                <w:rFonts w:hint="eastAsia" w:ascii="宋体" w:hAnsi="宋体" w:eastAsia="宋体" w:cs="Times New Roman"/>
                <w:color w:val="auto"/>
                <w:kern w:val="0"/>
                <w:szCs w:val="21"/>
                <w:lang w:val="en-US" w:eastAsia="zh-CN"/>
              </w:rPr>
              <w:t>④ 未提及此项的不得分。</w:t>
            </w:r>
          </w:p>
        </w:tc>
        <w:tc>
          <w:tcPr>
            <w:tcW w:w="572" w:type="dxa"/>
            <w:noWrap w:val="0"/>
            <w:vAlign w:val="center"/>
          </w:tcPr>
          <w:p>
            <w:pPr>
              <w:widowControl/>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25" w:hRule="atLeast"/>
          <w:jc w:val="center"/>
        </w:trPr>
        <w:tc>
          <w:tcPr>
            <w:tcW w:w="1093" w:type="dxa"/>
            <w:vMerge w:val="continue"/>
            <w:noWrap w:val="0"/>
            <w:vAlign w:val="center"/>
          </w:tcPr>
          <w:p>
            <w:pPr>
              <w:widowControl/>
              <w:jc w:val="left"/>
              <w:rPr>
                <w:rFonts w:ascii="宋体" w:hAnsi="宋体"/>
                <w:b/>
                <w:bCs/>
                <w:color w:val="auto"/>
                <w:kern w:val="0"/>
                <w:szCs w:val="21"/>
              </w:rPr>
            </w:pPr>
          </w:p>
        </w:tc>
        <w:tc>
          <w:tcPr>
            <w:tcW w:w="1080" w:type="dxa"/>
            <w:noWrap w:val="0"/>
            <w:vAlign w:val="center"/>
          </w:tcPr>
          <w:p>
            <w:pPr>
              <w:widowControl/>
              <w:jc w:val="center"/>
              <w:rPr>
                <w:rFonts w:hint="default" w:ascii="宋体" w:hAnsi="宋体"/>
                <w:b/>
                <w:bCs/>
                <w:color w:val="auto"/>
                <w:kern w:val="0"/>
                <w:szCs w:val="21"/>
                <w:lang w:val="en-US" w:eastAsia="zh-CN"/>
              </w:rPr>
            </w:pPr>
            <w:r>
              <w:rPr>
                <w:rFonts w:hint="eastAsia" w:ascii="宋体" w:hAnsi="宋体"/>
                <w:b/>
                <w:bCs/>
                <w:color w:val="auto"/>
                <w:kern w:val="0"/>
                <w:szCs w:val="21"/>
                <w:lang w:val="en-US" w:eastAsia="zh-CN"/>
              </w:rPr>
              <w:t>项目工期保障</w:t>
            </w:r>
          </w:p>
        </w:tc>
        <w:tc>
          <w:tcPr>
            <w:tcW w:w="6467" w:type="dxa"/>
            <w:gridSpan w:val="2"/>
            <w:noWrap w:val="0"/>
            <w:vAlign w:val="center"/>
          </w:tcPr>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根据投标人对项目整体工作阶段及任务划分、进度控制是否合理，关键时间节点把握是否科学准确等内容进行综合评分：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① 进度科学合理、关键节点把控准确的得2-3分；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② 进度符合采购需求，关键节点没有明显体现的得1-1.9分；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③ 进度把控有欠缺，关键节点未明确的得0.1-0.9分；</w:t>
            </w:r>
          </w:p>
          <w:p>
            <w:pPr>
              <w:jc w:val="left"/>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④ 未提及此项的不得分。</w:t>
            </w:r>
          </w:p>
        </w:tc>
        <w:tc>
          <w:tcPr>
            <w:tcW w:w="572" w:type="dxa"/>
            <w:noWrap w:val="0"/>
            <w:vAlign w:val="center"/>
          </w:tcPr>
          <w:p>
            <w:pPr>
              <w:widowControl/>
              <w:jc w:val="center"/>
              <w:rPr>
                <w:rFonts w:hint="default" w:ascii="宋体" w:hAnsi="宋体"/>
                <w:color w:val="auto"/>
                <w:kern w:val="0"/>
                <w:szCs w:val="21"/>
                <w:lang w:val="en-US" w:eastAsia="zh-CN"/>
              </w:rPr>
            </w:pPr>
            <w:r>
              <w:rPr>
                <w:rFonts w:hint="eastAsia" w:ascii="宋体" w:hAnsi="宋体"/>
                <w:color w:val="auto"/>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25" w:hRule="atLeast"/>
          <w:jc w:val="center"/>
        </w:trPr>
        <w:tc>
          <w:tcPr>
            <w:tcW w:w="1093" w:type="dxa"/>
            <w:vMerge w:val="continue"/>
            <w:noWrap w:val="0"/>
            <w:vAlign w:val="center"/>
          </w:tcPr>
          <w:p>
            <w:pPr>
              <w:widowControl/>
              <w:jc w:val="left"/>
              <w:rPr>
                <w:rFonts w:ascii="宋体" w:hAnsi="宋体"/>
                <w:b/>
                <w:bCs/>
                <w:color w:val="auto"/>
                <w:kern w:val="0"/>
                <w:szCs w:val="21"/>
              </w:rPr>
            </w:pPr>
          </w:p>
        </w:tc>
        <w:tc>
          <w:tcPr>
            <w:tcW w:w="1080" w:type="dxa"/>
            <w:noWrap w:val="0"/>
            <w:vAlign w:val="center"/>
          </w:tcPr>
          <w:p>
            <w:pPr>
              <w:widowControl/>
              <w:jc w:val="center"/>
              <w:rPr>
                <w:rFonts w:hint="default" w:ascii="宋体" w:hAnsi="宋体" w:eastAsia="宋体" w:cs="Times New Roman"/>
                <w:b/>
                <w:bCs/>
                <w:color w:val="000000" w:themeColor="text1"/>
                <w:kern w:val="0"/>
                <w:sz w:val="21"/>
                <w:szCs w:val="21"/>
                <w:lang w:val="en-US" w:eastAsia="zh-CN" w:bidi="ar-SA"/>
                <w14:textFill>
                  <w14:solidFill>
                    <w14:schemeClr w14:val="tx1"/>
                  </w14:solidFill>
                </w14:textFill>
              </w:rPr>
            </w:pPr>
            <w:r>
              <w:rPr>
                <w:rFonts w:hint="eastAsia" w:ascii="宋体" w:hAnsi="宋体"/>
                <w:b/>
                <w:bCs/>
                <w:color w:val="000000" w:themeColor="text1"/>
                <w:kern w:val="0"/>
                <w:szCs w:val="21"/>
                <w:lang w:val="en-US" w:eastAsia="zh-CN"/>
                <w14:textFill>
                  <w14:solidFill>
                    <w14:schemeClr w14:val="tx1"/>
                  </w14:solidFill>
                </w14:textFill>
              </w:rPr>
              <w:t>培训方案</w:t>
            </w:r>
          </w:p>
        </w:tc>
        <w:tc>
          <w:tcPr>
            <w:tcW w:w="6467" w:type="dxa"/>
            <w:gridSpan w:val="2"/>
            <w:noWrap w:val="0"/>
            <w:vAlign w:val="center"/>
          </w:tcPr>
          <w:p>
            <w:pPr>
              <w:jc w:val="left"/>
              <w:rPr>
                <w:rFonts w:hint="eastAsia" w:ascii="宋体" w:hAnsi="宋体" w:eastAsia="宋体" w:cs="Times New Roman"/>
                <w:color w:val="000000" w:themeColor="text1"/>
                <w:kern w:val="0"/>
                <w:szCs w:val="21"/>
                <w:lang w:val="en-US" w:eastAsia="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根据投标人提供的技术培训方案与承诺（包括培训的次数时长、形式、成果目标等内容)的完整性、合理性进行综合评分：</w:t>
            </w:r>
          </w:p>
          <w:p>
            <w:pPr>
              <w:jc w:val="left"/>
              <w:rPr>
                <w:rFonts w:hint="eastAsia" w:ascii="宋体" w:hAnsi="宋体" w:eastAsia="宋体" w:cs="Times New Roman"/>
                <w:color w:val="000000" w:themeColor="text1"/>
                <w:kern w:val="0"/>
                <w:szCs w:val="21"/>
                <w:lang w:val="en-US" w:eastAsia="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① 方案完整合理的得1.5-2分；</w:t>
            </w:r>
          </w:p>
          <w:p>
            <w:pPr>
              <w:jc w:val="left"/>
              <w:rPr>
                <w:rFonts w:hint="eastAsia" w:ascii="宋体" w:hAnsi="宋体" w:eastAsia="宋体" w:cs="Times New Roman"/>
                <w:color w:val="000000" w:themeColor="text1"/>
                <w:kern w:val="0"/>
                <w:szCs w:val="21"/>
                <w:lang w:val="en-US" w:eastAsia="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② 方案存在缺陷但基本完整、合理的得1-1.</w:t>
            </w:r>
            <w:r>
              <w:rPr>
                <w:rFonts w:hint="eastAsia" w:ascii="宋体" w:hAnsi="宋体" w:cs="Times New Roman"/>
                <w:color w:val="000000" w:themeColor="text1"/>
                <w:kern w:val="0"/>
                <w:szCs w:val="21"/>
                <w:lang w:val="en-US" w:eastAsia="zh-CN"/>
                <w14:textFill>
                  <w14:solidFill>
                    <w14:schemeClr w14:val="tx1"/>
                  </w14:solidFill>
                </w14:textFill>
              </w:rPr>
              <w:t>4</w:t>
            </w:r>
            <w:r>
              <w:rPr>
                <w:rFonts w:hint="eastAsia" w:ascii="宋体" w:hAnsi="宋体" w:eastAsia="宋体" w:cs="Times New Roman"/>
                <w:color w:val="000000" w:themeColor="text1"/>
                <w:kern w:val="0"/>
                <w:szCs w:val="21"/>
                <w:lang w:val="en-US" w:eastAsia="zh-CN"/>
                <w14:textFill>
                  <w14:solidFill>
                    <w14:schemeClr w14:val="tx1"/>
                  </w14:solidFill>
                </w14:textFill>
              </w:rPr>
              <w:t>分；</w:t>
            </w:r>
          </w:p>
          <w:p>
            <w:pPr>
              <w:jc w:val="left"/>
              <w:rPr>
                <w:rFonts w:hint="eastAsia" w:ascii="宋体" w:hAnsi="宋体" w:eastAsia="宋体" w:cs="Times New Roman"/>
                <w:color w:val="000000" w:themeColor="text1"/>
                <w:kern w:val="0"/>
                <w:szCs w:val="21"/>
                <w:lang w:val="en-US" w:eastAsia="zh-CN"/>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③ 方案不完整不合理的得0.1-0.9分；</w:t>
            </w:r>
          </w:p>
          <w:p>
            <w:pPr>
              <w:jc w:val="left"/>
              <w:rPr>
                <w:rFonts w:hint="default" w:ascii="宋体" w:hAnsi="宋体"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0"/>
                <w:szCs w:val="21"/>
                <w:lang w:val="en-US" w:eastAsia="zh-CN"/>
                <w14:textFill>
                  <w14:solidFill>
                    <w14:schemeClr w14:val="tx1"/>
                  </w14:solidFill>
                </w14:textFill>
              </w:rPr>
              <w:t>④ 未提及此项的不得分。</w:t>
            </w:r>
          </w:p>
        </w:tc>
        <w:tc>
          <w:tcPr>
            <w:tcW w:w="572" w:type="dxa"/>
            <w:noWrap w:val="0"/>
            <w:vAlign w:val="center"/>
          </w:tcPr>
          <w:p>
            <w:pPr>
              <w:widowControl/>
              <w:jc w:val="center"/>
              <w:rPr>
                <w:rFonts w:hint="default" w:ascii="宋体" w:hAnsi="宋体" w:eastAsia="宋体" w:cs="Times New Roman"/>
                <w:color w:val="auto"/>
                <w:kern w:val="0"/>
                <w:sz w:val="21"/>
                <w:szCs w:val="21"/>
                <w:lang w:val="en-US" w:eastAsia="zh-CN" w:bidi="ar-SA"/>
              </w:rPr>
            </w:pPr>
            <w:r>
              <w:rPr>
                <w:rFonts w:hint="eastAsia" w:ascii="宋体" w:hAnsi="宋体"/>
                <w:color w:val="auto"/>
                <w:kern w:val="0"/>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1093" w:type="dxa"/>
            <w:vMerge w:val="restart"/>
            <w:noWrap w:val="0"/>
            <w:vAlign w:val="center"/>
          </w:tcPr>
          <w:p>
            <w:pPr>
              <w:pStyle w:val="9"/>
              <w:ind w:firstLine="0"/>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实力信誉及业绩</w:t>
            </w:r>
          </w:p>
          <w:p>
            <w:pPr>
              <w:pStyle w:val="9"/>
              <w:ind w:firstLine="0"/>
              <w:jc w:val="center"/>
              <w:rPr>
                <w:rFonts w:hint="eastAsia" w:ascii="宋体" w:hAnsi="宋体"/>
                <w:color w:val="auto"/>
                <w:kern w:val="0"/>
                <w:sz w:val="22"/>
              </w:rPr>
            </w:pPr>
            <w:r>
              <w:rPr>
                <w:rFonts w:hint="eastAsia" w:asciiTheme="minorEastAsia" w:hAnsiTheme="minorEastAsia" w:eastAsiaTheme="minorEastAsia" w:cstheme="minorEastAsia"/>
                <w:b/>
                <w:bCs/>
                <w:color w:val="auto"/>
                <w:szCs w:val="21"/>
                <w:highlight w:val="none"/>
                <w:lang w:val="en-US" w:eastAsia="zh-CN"/>
              </w:rPr>
              <w:t>14</w:t>
            </w:r>
            <w:r>
              <w:rPr>
                <w:rFonts w:hint="eastAsia" w:asciiTheme="minorEastAsia" w:hAnsiTheme="minorEastAsia" w:eastAsiaTheme="minorEastAsia" w:cstheme="minorEastAsia"/>
                <w:b/>
                <w:bCs/>
                <w:color w:val="auto"/>
                <w:szCs w:val="21"/>
                <w:highlight w:val="none"/>
              </w:rPr>
              <w:t>分</w:t>
            </w:r>
          </w:p>
        </w:tc>
        <w:tc>
          <w:tcPr>
            <w:tcW w:w="1080" w:type="dxa"/>
            <w:noWrap w:val="0"/>
            <w:vAlign w:val="center"/>
          </w:tcPr>
          <w:p>
            <w:pPr>
              <w:widowControl/>
              <w:jc w:val="center"/>
              <w:rPr>
                <w:rFonts w:hint="eastAsia" w:ascii="宋体" w:hAnsi="宋体" w:eastAsia="宋体" w:cs="Times New Roman"/>
                <w:b/>
                <w:bCs/>
                <w:color w:val="auto"/>
                <w:kern w:val="0"/>
                <w:szCs w:val="21"/>
                <w:highlight w:val="none"/>
              </w:rPr>
            </w:pPr>
            <w:r>
              <w:rPr>
                <w:rFonts w:hint="eastAsia" w:ascii="宋体" w:hAnsi="宋体" w:eastAsia="宋体" w:cs="Times New Roman"/>
                <w:b/>
                <w:bCs/>
                <w:color w:val="auto"/>
                <w:kern w:val="0"/>
                <w:szCs w:val="21"/>
                <w:highlight w:val="none"/>
              </w:rPr>
              <w:t>投标人资质</w:t>
            </w:r>
          </w:p>
        </w:tc>
        <w:tc>
          <w:tcPr>
            <w:tcW w:w="6464" w:type="dxa"/>
            <w:noWrap w:val="0"/>
            <w:vAlign w:val="center"/>
          </w:tcPr>
          <w:p>
            <w:pPr>
              <w:rPr>
                <w:rFonts w:hint="eastAsia"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投标人具有有效的质量管理体系认证、信息技术服务管理体系认证、信息安全管理体系认证、诚信管理体系认证、风险管理体系认证证书的，每个证书得1分，最高5分。</w:t>
            </w:r>
          </w:p>
          <w:p>
            <w:pPr>
              <w:rPr>
                <w:rFonts w:hint="eastAsia"/>
                <w:color w:val="auto"/>
                <w:highlight w:val="none"/>
              </w:rPr>
            </w:pPr>
            <w:r>
              <w:rPr>
                <w:rFonts w:hint="eastAsia" w:ascii="宋体" w:hAnsi="宋体" w:eastAsia="宋体" w:cs="Times New Roman"/>
                <w:b/>
                <w:bCs/>
                <w:color w:val="auto"/>
                <w:kern w:val="0"/>
                <w:szCs w:val="21"/>
                <w:lang w:val="en-US" w:eastAsia="zh-CN"/>
              </w:rPr>
              <w:t>注：须提供相关认证证书的扫描件及认监委官网截图并加盖公章</w:t>
            </w:r>
            <w:r>
              <w:rPr>
                <w:rFonts w:hint="eastAsia" w:ascii="宋体" w:hAnsi="宋体" w:cs="Times New Roman"/>
                <w:b/>
                <w:bCs/>
                <w:color w:val="auto"/>
                <w:kern w:val="0"/>
                <w:szCs w:val="21"/>
                <w:lang w:val="en-US" w:eastAsia="zh-CN"/>
              </w:rPr>
              <w:t>，所提供证书不在有效期内不得分</w:t>
            </w:r>
            <w:r>
              <w:rPr>
                <w:rFonts w:hint="eastAsia" w:ascii="宋体" w:hAnsi="宋体" w:eastAsia="宋体" w:cs="Times New Roman"/>
                <w:b/>
                <w:bCs/>
                <w:color w:val="auto"/>
                <w:kern w:val="0"/>
                <w:szCs w:val="21"/>
                <w:lang w:val="en-US" w:eastAsia="zh-CN"/>
              </w:rPr>
              <w:t>。</w:t>
            </w:r>
          </w:p>
        </w:tc>
        <w:tc>
          <w:tcPr>
            <w:tcW w:w="575" w:type="dxa"/>
            <w:gridSpan w:val="2"/>
            <w:noWrap w:val="0"/>
            <w:vAlign w:val="center"/>
          </w:tcPr>
          <w:p>
            <w:pPr>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1093" w:type="dxa"/>
            <w:vMerge w:val="continue"/>
            <w:noWrap w:val="0"/>
            <w:vAlign w:val="center"/>
          </w:tcPr>
          <w:p>
            <w:pPr>
              <w:jc w:val="left"/>
              <w:rPr>
                <w:rFonts w:hint="eastAsia" w:ascii="宋体" w:hAnsi="宋体"/>
                <w:color w:val="auto"/>
                <w:kern w:val="0"/>
                <w:sz w:val="22"/>
              </w:rPr>
            </w:pPr>
          </w:p>
        </w:tc>
        <w:tc>
          <w:tcPr>
            <w:tcW w:w="1080" w:type="dxa"/>
            <w:vMerge w:val="restart"/>
            <w:noWrap w:val="0"/>
            <w:vAlign w:val="center"/>
          </w:tcPr>
          <w:p>
            <w:pPr>
              <w:widowControl/>
              <w:jc w:val="center"/>
              <w:rPr>
                <w:rFonts w:hint="eastAsia" w:ascii="宋体" w:hAnsi="宋体" w:eastAsia="宋体" w:cs="Times New Roman"/>
                <w:b/>
                <w:bCs/>
                <w:color w:val="auto"/>
                <w:kern w:val="0"/>
                <w:szCs w:val="21"/>
                <w:highlight w:val="none"/>
                <w:lang w:val="en-US" w:eastAsia="zh-CN"/>
              </w:rPr>
            </w:pPr>
            <w:r>
              <w:rPr>
                <w:rFonts w:hint="eastAsia" w:ascii="宋体" w:hAnsi="宋体" w:eastAsia="宋体" w:cs="Times New Roman"/>
                <w:b/>
                <w:bCs/>
                <w:color w:val="auto"/>
                <w:kern w:val="0"/>
                <w:szCs w:val="21"/>
                <w:highlight w:val="none"/>
              </w:rPr>
              <w:t>相关人员资质</w:t>
            </w:r>
          </w:p>
        </w:tc>
        <w:tc>
          <w:tcPr>
            <w:tcW w:w="6464" w:type="dxa"/>
            <w:noWrap w:val="0"/>
            <w:vAlign w:val="center"/>
          </w:tcPr>
          <w:p>
            <w:pPr>
              <w:pStyle w:val="52"/>
              <w:spacing w:line="240" w:lineRule="auto"/>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Times New Roman"/>
                <w:color w:val="auto"/>
                <w:kern w:val="0"/>
                <w:sz w:val="21"/>
                <w:szCs w:val="21"/>
                <w:lang w:val="en-US" w:eastAsia="zh-CN" w:bidi="ar-SA"/>
              </w:rPr>
              <w:t>①</w:t>
            </w:r>
            <w:r>
              <w:rPr>
                <w:rFonts w:hint="eastAsia" w:ascii="宋体" w:hAnsi="宋体" w:cs="宋体"/>
                <w:color w:val="auto"/>
                <w:kern w:val="0"/>
                <w:sz w:val="21"/>
                <w:szCs w:val="21"/>
              </w:rPr>
              <w:t>投标人拟派项目负责人</w:t>
            </w:r>
            <w:r>
              <w:rPr>
                <w:rFonts w:hint="eastAsia" w:ascii="宋体" w:hAnsi="宋体" w:eastAsia="宋体" w:cs="Times New Roman"/>
                <w:color w:val="auto"/>
                <w:kern w:val="0"/>
                <w:sz w:val="21"/>
                <w:szCs w:val="21"/>
                <w:lang w:val="en-US" w:eastAsia="zh-CN" w:bidi="ar-SA"/>
              </w:rPr>
              <w:t>具有信息系统项目管理师、本科及以上学历证</w:t>
            </w:r>
            <w:r>
              <w:rPr>
                <w:rFonts w:hint="eastAsia" w:ascii="宋体" w:hAnsi="宋体" w:eastAsia="宋体" w:cs="Times New Roman"/>
                <w:color w:val="000000" w:themeColor="text1"/>
                <w:kern w:val="0"/>
                <w:sz w:val="21"/>
                <w:szCs w:val="21"/>
                <w:lang w:val="en-US" w:eastAsia="zh-CN" w:bidi="ar-SA"/>
                <w14:textFill>
                  <w14:solidFill>
                    <w14:schemeClr w14:val="tx1"/>
                  </w14:solidFill>
                </w14:textFill>
              </w:rPr>
              <w:t>书，以上证书全部具备的得2分</w:t>
            </w:r>
            <w:r>
              <w:rPr>
                <w:rFonts w:hint="eastAsia" w:hAnsi="宋体" w:cs="Times New Roman"/>
                <w:color w:val="000000" w:themeColor="text1"/>
                <w:kern w:val="0"/>
                <w:sz w:val="21"/>
                <w:szCs w:val="21"/>
                <w:lang w:val="en-US" w:eastAsia="zh-CN" w:bidi="ar-SA"/>
                <w14:textFill>
                  <w14:solidFill>
                    <w14:schemeClr w14:val="tx1"/>
                  </w14:solidFill>
                </w14:textFill>
              </w:rPr>
              <w:t>，缺少其中一项及以上证书的，本项不得分</w:t>
            </w:r>
            <w:r>
              <w:rPr>
                <w:rFonts w:hint="eastAsia" w:ascii="宋体" w:hAnsi="宋体" w:cs="宋体"/>
                <w:color w:val="000000" w:themeColor="text1"/>
                <w:kern w:val="0"/>
                <w:sz w:val="21"/>
                <w:szCs w:val="21"/>
                <w14:textFill>
                  <w14:solidFill>
                    <w14:schemeClr w14:val="tx1"/>
                  </w14:solidFill>
                </w14:textFill>
              </w:rPr>
              <w:t>。</w:t>
            </w:r>
          </w:p>
          <w:p>
            <w:pPr>
              <w:pStyle w:val="52"/>
              <w:spacing w:line="240" w:lineRule="auto"/>
              <w:rPr>
                <w:rFonts w:hint="eastAsia" w:ascii="宋体" w:hAnsi="宋体" w:eastAsia="宋体" w:cs="宋体"/>
                <w:color w:val="auto"/>
                <w:kern w:val="2"/>
                <w:sz w:val="21"/>
                <w:szCs w:val="21"/>
                <w:highlight w:val="none"/>
                <w:lang w:val="en-US" w:eastAsia="zh-CN" w:bidi="ar-SA"/>
              </w:rPr>
            </w:pPr>
            <w:r>
              <w:rPr>
                <w:rFonts w:hint="eastAsia" w:hAnsi="宋体" w:cs="宋体"/>
                <w:b/>
                <w:bCs/>
                <w:color w:val="000000" w:themeColor="text1"/>
                <w:kern w:val="0"/>
                <w:sz w:val="21"/>
                <w:szCs w:val="21"/>
                <w:lang w:val="en-US" w:eastAsia="zh-CN"/>
                <w14:textFill>
                  <w14:solidFill>
                    <w14:schemeClr w14:val="tx1"/>
                  </w14:solidFill>
                </w14:textFill>
              </w:rPr>
              <w:t>注：</w:t>
            </w:r>
            <w:r>
              <w:rPr>
                <w:rFonts w:hint="eastAsia" w:ascii="宋体" w:hAnsi="宋体" w:cs="宋体"/>
                <w:b/>
                <w:bCs/>
                <w:color w:val="000000" w:themeColor="text1"/>
                <w:kern w:val="0"/>
                <w:sz w:val="21"/>
                <w:szCs w:val="21"/>
                <w14:textFill>
                  <w14:solidFill>
                    <w14:schemeClr w14:val="tx1"/>
                  </w14:solidFill>
                </w14:textFill>
              </w:rPr>
              <w:t>提供项目负责人证书原件扫描件及在投标单位</w:t>
            </w:r>
            <w:r>
              <w:rPr>
                <w:rFonts w:hint="eastAsia" w:ascii="宋体" w:hAnsi="宋体" w:cs="宋体"/>
                <w:b/>
                <w:bCs/>
                <w:color w:val="auto"/>
                <w:kern w:val="0"/>
                <w:sz w:val="21"/>
                <w:szCs w:val="21"/>
              </w:rPr>
              <w:t>缴纳的近3个月的社保证明材料，未提供的不得分。</w:t>
            </w:r>
          </w:p>
        </w:tc>
        <w:tc>
          <w:tcPr>
            <w:tcW w:w="575" w:type="dxa"/>
            <w:gridSpan w:val="2"/>
            <w:noWrap w:val="0"/>
            <w:vAlign w:val="center"/>
          </w:tcPr>
          <w:p>
            <w:pPr>
              <w:widowControl/>
              <w:jc w:val="center"/>
              <w:rPr>
                <w:rFonts w:hint="default" w:ascii="宋体" w:hAnsi="宋体"/>
                <w:color w:val="auto"/>
                <w:kern w:val="0"/>
                <w:szCs w:val="21"/>
                <w:lang w:val="en-US" w:eastAsia="zh-CN"/>
              </w:rPr>
            </w:pPr>
            <w:r>
              <w:rPr>
                <w:rFonts w:hint="eastAsia" w:ascii="宋体" w:hAnsi="宋体"/>
                <w:color w:val="auto"/>
                <w:kern w:val="0"/>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1093" w:type="dxa"/>
            <w:vMerge w:val="continue"/>
            <w:noWrap w:val="0"/>
            <w:vAlign w:val="center"/>
          </w:tcPr>
          <w:p>
            <w:pPr>
              <w:jc w:val="left"/>
              <w:rPr>
                <w:color w:val="auto"/>
              </w:rPr>
            </w:pPr>
          </w:p>
        </w:tc>
        <w:tc>
          <w:tcPr>
            <w:tcW w:w="1080" w:type="dxa"/>
            <w:vMerge w:val="continue"/>
            <w:noWrap w:val="0"/>
            <w:vAlign w:val="center"/>
          </w:tcPr>
          <w:p>
            <w:pPr>
              <w:jc w:val="left"/>
              <w:rPr>
                <w:color w:val="auto"/>
              </w:rPr>
            </w:pPr>
          </w:p>
        </w:tc>
        <w:tc>
          <w:tcPr>
            <w:tcW w:w="6464" w:type="dxa"/>
            <w:noWrap w:val="0"/>
            <w:vAlign w:val="center"/>
          </w:tcPr>
          <w:p>
            <w:pPr>
              <w:jc w:val="left"/>
              <w:rPr>
                <w:rFonts w:hint="eastAsia" w:ascii="宋体" w:hAnsi="宋体" w:cs="宋体"/>
                <w:color w:val="auto"/>
                <w:kern w:val="0"/>
                <w:sz w:val="21"/>
                <w:szCs w:val="21"/>
              </w:rPr>
            </w:pPr>
            <w:r>
              <w:rPr>
                <w:rFonts w:hint="eastAsia" w:ascii="宋体" w:hAnsi="宋体" w:eastAsia="宋体" w:cs="Times New Roman"/>
                <w:color w:val="auto"/>
                <w:kern w:val="0"/>
                <w:sz w:val="21"/>
                <w:szCs w:val="21"/>
                <w:lang w:val="en-US" w:eastAsia="zh-CN" w:bidi="ar-SA"/>
              </w:rPr>
              <w:t>②除</w:t>
            </w:r>
            <w:r>
              <w:rPr>
                <w:rFonts w:hint="eastAsia"/>
                <w:lang w:val="en-US" w:eastAsia="zh-CN"/>
              </w:rPr>
              <w:t>项目负责人</w:t>
            </w:r>
            <w:r>
              <w:rPr>
                <w:rFonts w:hint="eastAsia" w:ascii="宋体" w:hAnsi="宋体" w:eastAsia="宋体" w:cs="Times New Roman"/>
                <w:color w:val="auto"/>
                <w:kern w:val="0"/>
                <w:sz w:val="21"/>
                <w:szCs w:val="21"/>
                <w:lang w:val="en-US" w:eastAsia="zh-CN" w:bidi="ar-SA"/>
              </w:rPr>
              <w:t>外，项目组其他人员具有软考高级资格证书的，每人得1分，最高得4分</w:t>
            </w:r>
            <w:r>
              <w:rPr>
                <w:rFonts w:hint="eastAsia" w:ascii="宋体" w:hAnsi="宋体" w:cs="宋体"/>
                <w:color w:val="auto"/>
                <w:kern w:val="0"/>
                <w:sz w:val="21"/>
                <w:szCs w:val="21"/>
              </w:rPr>
              <w:t>。</w:t>
            </w:r>
          </w:p>
          <w:p>
            <w:pPr>
              <w:jc w:val="left"/>
              <w:rPr>
                <w:rFonts w:hint="eastAsia" w:ascii="宋体" w:hAnsi="宋体" w:eastAsia="宋体" w:cs="Times New Roman"/>
                <w:color w:val="auto"/>
                <w:kern w:val="0"/>
                <w:sz w:val="21"/>
                <w:szCs w:val="21"/>
                <w:lang w:val="en-US" w:eastAsia="zh-CN" w:bidi="ar-SA"/>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一人多证只计一项</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kern w:val="0"/>
                <w:sz w:val="21"/>
                <w:szCs w:val="21"/>
              </w:rPr>
              <w:t>提</w:t>
            </w:r>
            <w:r>
              <w:rPr>
                <w:rFonts w:hint="eastAsia" w:ascii="宋体" w:hAnsi="宋体" w:cs="宋体"/>
                <w:b/>
                <w:bCs/>
                <w:color w:val="000000" w:themeColor="text1"/>
                <w:kern w:val="0"/>
                <w:sz w:val="21"/>
                <w:szCs w:val="21"/>
                <w14:textFill>
                  <w14:solidFill>
                    <w14:schemeClr w14:val="tx1"/>
                  </w14:solidFill>
                </w14:textFill>
              </w:rPr>
              <w:t>供</w:t>
            </w:r>
            <w:r>
              <w:rPr>
                <w:rFonts w:hint="eastAsia"/>
                <w:b/>
                <w:bCs/>
                <w:color w:val="000000" w:themeColor="text1"/>
                <w:sz w:val="21"/>
                <w:szCs w:val="21"/>
                <w:lang w:val="en-US" w:eastAsia="zh-CN"/>
                <w14:textFill>
                  <w14:solidFill>
                    <w14:schemeClr w14:val="tx1"/>
                  </w14:solidFill>
                </w14:textFill>
              </w:rPr>
              <w:t>以上人员的</w:t>
            </w:r>
            <w:r>
              <w:rPr>
                <w:rFonts w:hint="eastAsia" w:ascii="宋体" w:hAnsi="宋体" w:cs="宋体"/>
                <w:b/>
                <w:bCs/>
                <w:color w:val="000000" w:themeColor="text1"/>
                <w:kern w:val="0"/>
                <w:sz w:val="21"/>
                <w:szCs w:val="21"/>
                <w14:textFill>
                  <w14:solidFill>
                    <w14:schemeClr w14:val="tx1"/>
                  </w14:solidFill>
                </w14:textFill>
              </w:rPr>
              <w:t>证书原件扫描件及</w:t>
            </w:r>
            <w:r>
              <w:rPr>
                <w:rFonts w:hint="eastAsia" w:ascii="宋体" w:hAnsi="宋体" w:cs="宋体"/>
                <w:b/>
                <w:bCs/>
                <w:color w:val="auto"/>
                <w:kern w:val="0"/>
                <w:sz w:val="21"/>
                <w:szCs w:val="21"/>
              </w:rPr>
              <w:t>在投标单位缴纳的近3个月的社保证明材料，未提供的不得分。</w:t>
            </w:r>
          </w:p>
        </w:tc>
        <w:tc>
          <w:tcPr>
            <w:tcW w:w="575" w:type="dxa"/>
            <w:gridSpan w:val="2"/>
            <w:noWrap w:val="0"/>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cs="Times New Roman"/>
                <w:color w:val="auto"/>
                <w:kern w:val="0"/>
                <w:sz w:val="21"/>
                <w:szCs w:val="21"/>
                <w:lang w:val="en-US" w:eastAsia="zh-CN" w:bidi="ar-SA"/>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3" w:hRule="atLeast"/>
          <w:jc w:val="center"/>
        </w:trPr>
        <w:tc>
          <w:tcPr>
            <w:tcW w:w="1093" w:type="dxa"/>
            <w:vMerge w:val="continue"/>
            <w:noWrap w:val="0"/>
            <w:vAlign w:val="center"/>
          </w:tcPr>
          <w:p>
            <w:pPr>
              <w:widowControl/>
              <w:jc w:val="left"/>
              <w:rPr>
                <w:rFonts w:hint="eastAsia" w:ascii="宋体" w:hAnsi="宋体"/>
                <w:color w:val="auto"/>
                <w:kern w:val="0"/>
                <w:sz w:val="22"/>
              </w:rPr>
            </w:pPr>
          </w:p>
        </w:tc>
        <w:tc>
          <w:tcPr>
            <w:tcW w:w="1080" w:type="dxa"/>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rPr>
              <w:t>项目案例</w:t>
            </w:r>
          </w:p>
        </w:tc>
        <w:tc>
          <w:tcPr>
            <w:tcW w:w="6464" w:type="dxa"/>
            <w:noWrap w:val="0"/>
            <w:vAlign w:val="center"/>
          </w:tcPr>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自202</w:t>
            </w:r>
            <w:r>
              <w:rPr>
                <w:rFonts w:hint="eastAsia" w:ascii="宋体" w:hAnsi="宋体" w:cs="Times New Roman"/>
                <w:color w:val="auto"/>
                <w:kern w:val="0"/>
                <w:sz w:val="21"/>
                <w:szCs w:val="21"/>
                <w:lang w:val="en-US" w:eastAsia="zh-CN" w:bidi="ar-SA"/>
              </w:rPr>
              <w:t>1</w:t>
            </w:r>
            <w:r>
              <w:rPr>
                <w:rFonts w:hint="eastAsia" w:ascii="宋体" w:hAnsi="宋体" w:eastAsia="宋体" w:cs="Times New Roman"/>
                <w:color w:val="auto"/>
                <w:kern w:val="0"/>
                <w:sz w:val="21"/>
                <w:szCs w:val="21"/>
                <w:lang w:val="en-US" w:eastAsia="zh-CN" w:bidi="ar-SA"/>
              </w:rPr>
              <w:t>年3月至投标截止前一天（以合同签订时间为准），投标人承担类似项目实施的经验情况的，每个得1分，最高得3分。</w:t>
            </w:r>
          </w:p>
          <w:p>
            <w:pPr>
              <w:widowControl/>
              <w:jc w:val="left"/>
              <w:rPr>
                <w:rFonts w:hint="eastAsia" w:ascii="宋体" w:hAnsi="宋体"/>
                <w:color w:val="auto"/>
                <w:kern w:val="0"/>
                <w:szCs w:val="21"/>
              </w:rPr>
            </w:pPr>
            <w:r>
              <w:rPr>
                <w:rFonts w:hint="eastAsia" w:ascii="宋体" w:hAnsi="宋体" w:eastAsia="宋体" w:cs="Times New Roman"/>
                <w:b/>
                <w:bCs/>
                <w:color w:val="auto"/>
                <w:kern w:val="0"/>
                <w:sz w:val="21"/>
                <w:szCs w:val="21"/>
                <w:lang w:val="en-US" w:eastAsia="zh-CN" w:bidi="ar-SA"/>
              </w:rPr>
              <w:t>注：需提供合同扫描件，未提供的不得分。</w:t>
            </w:r>
          </w:p>
        </w:tc>
        <w:tc>
          <w:tcPr>
            <w:tcW w:w="575" w:type="dxa"/>
            <w:gridSpan w:val="2"/>
            <w:noWrap w:val="0"/>
            <w:vAlign w:val="center"/>
          </w:tcPr>
          <w:p>
            <w:pPr>
              <w:widowControl/>
              <w:jc w:val="center"/>
              <w:rPr>
                <w:rFonts w:hint="eastAsia" w:ascii="宋体" w:hAnsi="宋体" w:eastAsia="宋体"/>
                <w:color w:val="auto"/>
                <w:kern w:val="0"/>
                <w:szCs w:val="21"/>
                <w:lang w:eastAsia="zh-CN"/>
              </w:rPr>
            </w:pPr>
            <w:r>
              <w:rPr>
                <w:rFonts w:hint="eastAsia" w:ascii="宋体" w:hAnsi="宋体"/>
                <w:color w:val="auto"/>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0" w:hRule="atLeast"/>
          <w:jc w:val="center"/>
        </w:trPr>
        <w:tc>
          <w:tcPr>
            <w:tcW w:w="1093" w:type="dxa"/>
            <w:vMerge w:val="restart"/>
            <w:noWrap w:val="0"/>
            <w:vAlign w:val="center"/>
          </w:tcPr>
          <w:p>
            <w:pPr>
              <w:widowControl/>
              <w:jc w:val="center"/>
              <w:rPr>
                <w:rFonts w:ascii="宋体" w:hAnsi="宋体"/>
                <w:b/>
                <w:bCs/>
                <w:color w:val="auto"/>
                <w:kern w:val="0"/>
                <w:szCs w:val="21"/>
              </w:rPr>
            </w:pPr>
            <w:r>
              <w:rPr>
                <w:rFonts w:hint="eastAsia" w:ascii="宋体" w:hAnsi="宋体"/>
                <w:b/>
                <w:bCs/>
                <w:color w:val="auto"/>
                <w:kern w:val="0"/>
                <w:szCs w:val="21"/>
              </w:rPr>
              <w:t>售后服务承诺</w:t>
            </w:r>
          </w:p>
          <w:p>
            <w:pPr>
              <w:widowControl/>
              <w:jc w:val="center"/>
              <w:rPr>
                <w:rFonts w:hint="eastAsia" w:ascii="宋体" w:hAnsi="宋体"/>
                <w:b/>
                <w:bCs/>
                <w:color w:val="auto"/>
                <w:kern w:val="0"/>
                <w:szCs w:val="21"/>
              </w:rPr>
            </w:pPr>
            <w:r>
              <w:rPr>
                <w:rFonts w:hint="eastAsia" w:ascii="宋体" w:hAnsi="宋体"/>
                <w:b/>
                <w:bCs/>
                <w:color w:val="auto"/>
                <w:kern w:val="0"/>
                <w:szCs w:val="21"/>
                <w:lang w:val="en-US" w:eastAsia="zh-CN"/>
              </w:rPr>
              <w:t>6</w:t>
            </w:r>
            <w:r>
              <w:rPr>
                <w:rFonts w:hint="eastAsia" w:ascii="宋体" w:hAnsi="宋体"/>
                <w:b/>
                <w:bCs/>
                <w:color w:val="auto"/>
                <w:kern w:val="0"/>
                <w:szCs w:val="21"/>
              </w:rPr>
              <w:t>分</w:t>
            </w:r>
          </w:p>
        </w:tc>
        <w:tc>
          <w:tcPr>
            <w:tcW w:w="1080" w:type="dxa"/>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rPr>
              <w:t>应急方案</w:t>
            </w:r>
          </w:p>
        </w:tc>
        <w:tc>
          <w:tcPr>
            <w:tcW w:w="6464" w:type="dxa"/>
            <w:noWrap w:val="0"/>
            <w:vAlign w:val="center"/>
          </w:tcPr>
          <w:p>
            <w:pPr>
              <w:widowControl/>
              <w:jc w:val="left"/>
              <w:rPr>
                <w:rFonts w:hint="eastAsia" w:ascii="宋体" w:hAnsi="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根据投标人提供的应急方案（包括服务保障应急预案、对可能遇到的问题及其应对措施的考虑、故障处理的组织和联系机制，故障修复时间方式及保障措施）进行综合打分</w:t>
            </w:r>
            <w:r>
              <w:rPr>
                <w:rFonts w:hint="eastAsia" w:ascii="宋体" w:hAnsi="宋体" w:cs="Times New Roman"/>
                <w:color w:val="auto"/>
                <w:kern w:val="0"/>
                <w:sz w:val="21"/>
                <w:szCs w:val="21"/>
                <w:lang w:val="en-US" w:eastAsia="zh-CN" w:bidi="ar-SA"/>
              </w:rPr>
              <w:t>：</w:t>
            </w:r>
          </w:p>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cs="Times New Roman"/>
                <w:color w:val="auto"/>
                <w:kern w:val="0"/>
                <w:sz w:val="21"/>
                <w:szCs w:val="21"/>
                <w:lang w:val="en-US" w:eastAsia="zh-CN" w:bidi="ar-SA"/>
              </w:rPr>
              <w:t xml:space="preserve">① </w:t>
            </w:r>
            <w:r>
              <w:rPr>
                <w:rFonts w:hint="eastAsia" w:ascii="宋体" w:hAnsi="宋体" w:eastAsia="宋体" w:cs="Times New Roman"/>
                <w:color w:val="auto"/>
                <w:kern w:val="0"/>
                <w:sz w:val="21"/>
                <w:szCs w:val="21"/>
                <w:lang w:val="en-US" w:eastAsia="zh-CN" w:bidi="ar-SA"/>
              </w:rPr>
              <w:t>方案详实、内容完整、操作性强的得</w:t>
            </w:r>
            <w:r>
              <w:rPr>
                <w:rFonts w:hint="eastAsia" w:ascii="宋体" w:hAnsi="宋体" w:cs="Times New Roman"/>
                <w:color w:val="auto"/>
                <w:kern w:val="0"/>
                <w:sz w:val="21"/>
                <w:szCs w:val="21"/>
                <w:lang w:val="en-US" w:eastAsia="zh-CN" w:bidi="ar-SA"/>
              </w:rPr>
              <w:t>3</w:t>
            </w:r>
            <w:r>
              <w:rPr>
                <w:rFonts w:hint="eastAsia" w:ascii="宋体" w:hAnsi="宋体" w:eastAsia="宋体" w:cs="Times New Roman"/>
                <w:color w:val="auto"/>
                <w:kern w:val="0"/>
                <w:sz w:val="21"/>
                <w:szCs w:val="21"/>
                <w:lang w:val="en-US" w:eastAsia="zh-CN" w:bidi="ar-SA"/>
              </w:rPr>
              <w:t>-</w:t>
            </w:r>
            <w:r>
              <w:rPr>
                <w:rFonts w:hint="eastAsia" w:ascii="宋体" w:hAnsi="宋体" w:cs="Times New Roman"/>
                <w:color w:val="auto"/>
                <w:kern w:val="0"/>
                <w:sz w:val="21"/>
                <w:szCs w:val="21"/>
                <w:lang w:val="en-US" w:eastAsia="zh-CN" w:bidi="ar-SA"/>
              </w:rPr>
              <w:t>2.1</w:t>
            </w:r>
            <w:r>
              <w:rPr>
                <w:rFonts w:hint="eastAsia" w:ascii="宋体" w:hAnsi="宋体" w:eastAsia="宋体" w:cs="Times New Roman"/>
                <w:color w:val="auto"/>
                <w:kern w:val="0"/>
                <w:sz w:val="21"/>
                <w:szCs w:val="21"/>
                <w:lang w:val="en-US" w:eastAsia="zh-CN" w:bidi="ar-SA"/>
              </w:rPr>
              <w:t>分；</w:t>
            </w:r>
          </w:p>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② 方案合理、内容常规、操作性一般的得</w:t>
            </w:r>
            <w:r>
              <w:rPr>
                <w:rFonts w:hint="eastAsia" w:ascii="宋体" w:hAnsi="宋体" w:cs="Times New Roman"/>
                <w:color w:val="auto"/>
                <w:kern w:val="0"/>
                <w:sz w:val="21"/>
                <w:szCs w:val="21"/>
                <w:lang w:val="en-US" w:eastAsia="zh-CN" w:bidi="ar-SA"/>
              </w:rPr>
              <w:t>2</w:t>
            </w:r>
            <w:r>
              <w:rPr>
                <w:rFonts w:hint="eastAsia" w:ascii="宋体" w:hAnsi="宋体" w:eastAsia="宋体" w:cs="Times New Roman"/>
                <w:color w:val="auto"/>
                <w:kern w:val="0"/>
                <w:sz w:val="21"/>
                <w:szCs w:val="21"/>
                <w:lang w:val="en-US" w:eastAsia="zh-CN" w:bidi="ar-SA"/>
              </w:rPr>
              <w:t>-1.1分；</w:t>
            </w:r>
          </w:p>
          <w:p>
            <w:pPr>
              <w:widowControl/>
              <w:jc w:val="left"/>
              <w:rPr>
                <w:rFonts w:hint="eastAsia" w:ascii="宋体" w:hAnsi="宋体"/>
                <w:color w:val="auto"/>
                <w:kern w:val="0"/>
                <w:szCs w:val="21"/>
              </w:rPr>
            </w:pPr>
            <w:r>
              <w:rPr>
                <w:rFonts w:hint="eastAsia" w:ascii="宋体" w:hAnsi="宋体" w:eastAsia="宋体" w:cs="Times New Roman"/>
                <w:color w:val="auto"/>
                <w:kern w:val="0"/>
                <w:sz w:val="21"/>
                <w:szCs w:val="21"/>
                <w:lang w:val="en-US" w:eastAsia="zh-CN" w:bidi="ar-SA"/>
              </w:rPr>
              <w:t>③ 方案粗糙、内容缺漏、操作性差的得1-0分。</w:t>
            </w:r>
          </w:p>
        </w:tc>
        <w:tc>
          <w:tcPr>
            <w:tcW w:w="575" w:type="dxa"/>
            <w:gridSpan w:val="2"/>
            <w:noWrap w:val="0"/>
            <w:vAlign w:val="center"/>
          </w:tcPr>
          <w:p>
            <w:pPr>
              <w:widowControl/>
              <w:jc w:val="center"/>
              <w:rPr>
                <w:rFonts w:hint="eastAsia" w:ascii="宋体" w:hAnsi="宋体" w:eastAsia="宋体"/>
                <w:color w:val="auto"/>
                <w:kern w:val="0"/>
                <w:szCs w:val="21"/>
                <w:lang w:eastAsia="zh-CN"/>
              </w:rPr>
            </w:pPr>
            <w:r>
              <w:rPr>
                <w:rFonts w:hint="eastAsia" w:ascii="宋体" w:hAnsi="宋体"/>
                <w:color w:val="auto"/>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5" w:hRule="atLeast"/>
          <w:jc w:val="center"/>
        </w:trPr>
        <w:tc>
          <w:tcPr>
            <w:tcW w:w="1093" w:type="dxa"/>
            <w:vMerge w:val="continue"/>
            <w:noWrap w:val="0"/>
            <w:vAlign w:val="center"/>
          </w:tcPr>
          <w:p>
            <w:pPr>
              <w:jc w:val="left"/>
              <w:rPr>
                <w:rFonts w:hint="eastAsia" w:ascii="宋体" w:hAnsi="宋体"/>
                <w:color w:val="auto"/>
                <w:kern w:val="0"/>
                <w:sz w:val="22"/>
              </w:rPr>
            </w:pPr>
          </w:p>
        </w:tc>
        <w:tc>
          <w:tcPr>
            <w:tcW w:w="1080" w:type="dxa"/>
            <w:noWrap w:val="0"/>
            <w:vAlign w:val="center"/>
          </w:tcPr>
          <w:p>
            <w:pPr>
              <w:widowControl/>
              <w:jc w:val="center"/>
              <w:rPr>
                <w:rFonts w:hint="eastAsia" w:ascii="宋体" w:hAnsi="宋体"/>
                <w:b/>
                <w:bCs/>
                <w:color w:val="auto"/>
                <w:kern w:val="0"/>
                <w:szCs w:val="21"/>
                <w:highlight w:val="none"/>
              </w:rPr>
            </w:pPr>
            <w:r>
              <w:rPr>
                <w:rFonts w:hint="eastAsia" w:ascii="宋体" w:hAnsi="宋体"/>
                <w:b/>
                <w:bCs/>
                <w:color w:val="auto"/>
                <w:kern w:val="0"/>
                <w:szCs w:val="21"/>
                <w:highlight w:val="none"/>
              </w:rPr>
              <w:t>售后服务方案</w:t>
            </w:r>
          </w:p>
        </w:tc>
        <w:tc>
          <w:tcPr>
            <w:tcW w:w="6464" w:type="dxa"/>
            <w:noWrap w:val="0"/>
            <w:vAlign w:val="center"/>
          </w:tcPr>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根据售后服务承诺的内容和完善程度（包括定期巡检、人员配备、备品备件、服务承诺等）进行综合打分：</w:t>
            </w:r>
          </w:p>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① 方案内容全面，描述清晰，且具备很高操作可行性，完全满足项目需求的得3-2.1分；</w:t>
            </w:r>
          </w:p>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② 方案内容较全面，描述较清晰，具备较好的操作可行性，相比较满足项目需求的得2-1.1分；</w:t>
            </w:r>
          </w:p>
          <w:p>
            <w:pPr>
              <w:widowControl/>
              <w:jc w:val="left"/>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③ 方案内容基本齐全，描述基本清晰，但有些片面，缺乏具体操作可行性，基本满足项目需求的得1-0分；</w:t>
            </w:r>
          </w:p>
          <w:p>
            <w:pPr>
              <w:widowControl/>
              <w:jc w:val="left"/>
              <w:rPr>
                <w:rFonts w:hint="eastAsia" w:ascii="宋体" w:hAnsi="宋体"/>
                <w:color w:val="auto"/>
                <w:kern w:val="0"/>
                <w:szCs w:val="21"/>
                <w:highlight w:val="none"/>
              </w:rPr>
            </w:pPr>
            <w:r>
              <w:rPr>
                <w:rFonts w:hint="eastAsia" w:ascii="宋体" w:hAnsi="宋体" w:eastAsia="宋体" w:cs="Times New Roman"/>
                <w:color w:val="auto"/>
                <w:kern w:val="0"/>
                <w:sz w:val="21"/>
                <w:szCs w:val="21"/>
                <w:lang w:val="en-US" w:eastAsia="zh-CN" w:bidi="ar-SA"/>
              </w:rPr>
              <w:t>④ 不提供不得分。</w:t>
            </w:r>
          </w:p>
        </w:tc>
        <w:tc>
          <w:tcPr>
            <w:tcW w:w="575" w:type="dxa"/>
            <w:gridSpan w:val="2"/>
            <w:noWrap w:val="0"/>
            <w:vAlign w:val="center"/>
          </w:tcPr>
          <w:p>
            <w:pPr>
              <w:widowControl/>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jc w:val="center"/>
        </w:trPr>
        <w:tc>
          <w:tcPr>
            <w:tcW w:w="1093" w:type="dxa"/>
            <w:noWrap w:val="0"/>
            <w:vAlign w:val="center"/>
          </w:tcPr>
          <w:p>
            <w:pPr>
              <w:widowControl/>
              <w:jc w:val="center"/>
              <w:rPr>
                <w:rFonts w:hint="eastAsia" w:ascii="宋体" w:hAnsi="宋体"/>
                <w:b/>
                <w:bCs/>
                <w:color w:val="auto"/>
                <w:kern w:val="0"/>
                <w:szCs w:val="21"/>
              </w:rPr>
            </w:pPr>
            <w:r>
              <w:rPr>
                <w:rFonts w:hint="eastAsia" w:ascii="宋体" w:hAnsi="宋体"/>
                <w:b/>
                <w:bCs/>
                <w:color w:val="auto"/>
                <w:kern w:val="0"/>
                <w:szCs w:val="21"/>
              </w:rPr>
              <w:t>价格</w:t>
            </w:r>
          </w:p>
          <w:p>
            <w:pPr>
              <w:widowControl/>
              <w:jc w:val="center"/>
              <w:rPr>
                <w:rFonts w:hint="eastAsia" w:ascii="宋体" w:hAnsi="宋体"/>
                <w:b/>
                <w:bCs/>
                <w:color w:val="auto"/>
                <w:kern w:val="0"/>
                <w:szCs w:val="21"/>
              </w:rPr>
            </w:pPr>
            <w:r>
              <w:rPr>
                <w:rFonts w:hint="eastAsia" w:ascii="宋体" w:hAnsi="宋体"/>
                <w:b/>
                <w:bCs/>
                <w:color w:val="auto"/>
                <w:kern w:val="0"/>
                <w:szCs w:val="21"/>
                <w:lang w:val="en-US" w:eastAsia="zh-CN"/>
              </w:rPr>
              <w:t>30</w:t>
            </w:r>
            <w:r>
              <w:rPr>
                <w:rFonts w:hint="eastAsia" w:ascii="宋体" w:hAnsi="宋体"/>
                <w:b/>
                <w:bCs/>
                <w:color w:val="auto"/>
                <w:kern w:val="0"/>
                <w:szCs w:val="21"/>
              </w:rPr>
              <w:t>分</w:t>
            </w:r>
          </w:p>
        </w:tc>
        <w:tc>
          <w:tcPr>
            <w:tcW w:w="7544" w:type="dxa"/>
            <w:gridSpan w:val="2"/>
            <w:noWrap w:val="0"/>
            <w:vAlign w:val="center"/>
          </w:tcPr>
          <w:p>
            <w:pPr>
              <w:widowControl/>
              <w:jc w:val="left"/>
              <w:rPr>
                <w:rFonts w:hint="eastAsia" w:ascii="宋体" w:hAnsi="宋体"/>
                <w:color w:val="auto"/>
                <w:kern w:val="0"/>
                <w:szCs w:val="21"/>
              </w:rPr>
            </w:pPr>
            <w:r>
              <w:rPr>
                <w:rFonts w:hint="eastAsia" w:ascii="宋体" w:hAnsi="宋体"/>
                <w:color w:val="auto"/>
                <w:kern w:val="0"/>
                <w:szCs w:val="21"/>
              </w:rPr>
              <w:t>以投标合格供应商有效投标总报价中的最低价为基准价，基准价为</w:t>
            </w:r>
            <w:r>
              <w:rPr>
                <w:rFonts w:hint="eastAsia" w:ascii="宋体" w:hAnsi="宋体"/>
                <w:color w:val="auto"/>
                <w:kern w:val="0"/>
                <w:szCs w:val="21"/>
                <w:lang w:val="en-US" w:eastAsia="zh-CN"/>
              </w:rPr>
              <w:t>30</w:t>
            </w:r>
            <w:r>
              <w:rPr>
                <w:rFonts w:hint="eastAsia" w:ascii="宋体" w:hAnsi="宋体"/>
                <w:color w:val="auto"/>
                <w:kern w:val="0"/>
                <w:szCs w:val="21"/>
              </w:rPr>
              <w:t>分。投标报价得分＝（评标基准价/最终投标报价）×</w:t>
            </w:r>
            <w:r>
              <w:rPr>
                <w:rFonts w:hint="eastAsia" w:ascii="宋体" w:hAnsi="宋体"/>
                <w:color w:val="auto"/>
                <w:kern w:val="0"/>
                <w:szCs w:val="21"/>
                <w:u w:val="single"/>
                <w:lang w:val="en-US" w:eastAsia="zh-CN"/>
              </w:rPr>
              <w:t>3</w:t>
            </w:r>
            <w:r>
              <w:rPr>
                <w:rFonts w:hint="eastAsia" w:ascii="宋体" w:hAnsi="宋体"/>
                <w:color w:val="auto"/>
                <w:kern w:val="0"/>
                <w:szCs w:val="21"/>
                <w:u w:val="single"/>
              </w:rPr>
              <w:t>0%</w:t>
            </w:r>
            <w:r>
              <w:rPr>
                <w:rFonts w:hint="eastAsia" w:ascii="宋体" w:hAnsi="宋体"/>
                <w:color w:val="auto"/>
                <w:kern w:val="0"/>
                <w:szCs w:val="21"/>
              </w:rPr>
              <w:t>×100（小数点后保留2位小数）。（注：对于小型和微型企业产品的价格给予</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0%的扣除，</w:t>
            </w:r>
            <w:r>
              <w:rPr>
                <w:rFonts w:hint="eastAsia" w:ascii="宋体" w:hAnsi="宋体"/>
                <w:color w:val="auto"/>
                <w:kern w:val="0"/>
                <w:szCs w:val="21"/>
              </w:rPr>
              <w:t>用扣除后的价格参与评审。)</w:t>
            </w:r>
          </w:p>
        </w:tc>
        <w:tc>
          <w:tcPr>
            <w:tcW w:w="575" w:type="dxa"/>
            <w:gridSpan w:val="2"/>
            <w:noWrap w:val="0"/>
            <w:vAlign w:val="center"/>
          </w:tcPr>
          <w:p>
            <w:pPr>
              <w:widowControl/>
              <w:jc w:val="center"/>
              <w:rPr>
                <w:rFonts w:hint="default" w:ascii="宋体" w:hAnsi="宋体"/>
                <w:color w:val="auto"/>
                <w:kern w:val="0"/>
                <w:szCs w:val="21"/>
                <w:lang w:val="en-US"/>
              </w:rPr>
            </w:pPr>
            <w:r>
              <w:rPr>
                <w:rFonts w:hint="eastAsia" w:ascii="宋体" w:hAnsi="宋体"/>
                <w:color w:val="auto"/>
                <w:kern w:val="0"/>
                <w:szCs w:val="21"/>
                <w:lang w:val="en-US" w:eastAsia="zh-CN"/>
              </w:rPr>
              <w:t>30</w:t>
            </w:r>
          </w:p>
        </w:tc>
      </w:tr>
    </w:tbl>
    <w:p>
      <w:pPr>
        <w:spacing w:line="360" w:lineRule="auto"/>
        <w:rPr>
          <w:rFonts w:hint="eastAsia"/>
          <w:highlight w:val="none"/>
        </w:rPr>
      </w:pPr>
    </w:p>
    <w:p>
      <w:pPr>
        <w:spacing w:line="360" w:lineRule="auto"/>
        <w:rPr>
          <w:rFonts w:hint="eastAsia"/>
          <w:highlight w:val="none"/>
        </w:rPr>
      </w:pPr>
      <w:r>
        <w:rPr>
          <w:rFonts w:hint="eastAsia"/>
          <w:highlight w:val="none"/>
        </w:rPr>
        <w:t>注：①请扫描上传合同、证书、报告及其他相关证明材料的原件</w:t>
      </w:r>
      <w:r>
        <w:rPr>
          <w:rFonts w:hint="eastAsia"/>
          <w:highlight w:val="none"/>
          <w:lang w:val="en-US" w:eastAsia="zh-CN"/>
        </w:rPr>
        <w:t>扫描件</w:t>
      </w:r>
      <w:r>
        <w:rPr>
          <w:rFonts w:hint="eastAsia"/>
          <w:highlight w:val="none"/>
        </w:rPr>
        <w:t>至投标文件，并加盖公章。</w:t>
      </w:r>
    </w:p>
    <w:p>
      <w:pPr>
        <w:spacing w:line="360" w:lineRule="auto"/>
        <w:rPr>
          <w:rFonts w:hint="eastAsia"/>
          <w:color w:val="auto"/>
        </w:rPr>
      </w:pPr>
      <w:r>
        <w:rPr>
          <w:rFonts w:hint="eastAsia"/>
          <w:color w:val="auto"/>
          <w:highlight w:val="none"/>
          <w:lang w:val="en-US" w:eastAsia="zh-CN"/>
        </w:rPr>
        <w:t>②对省级以上主管部门认定的首台套产品，自纳入《</w:t>
      </w:r>
      <w:r>
        <w:rPr>
          <w:rFonts w:hint="eastAsia"/>
          <w:color w:val="auto"/>
          <w:lang w:val="en-US" w:eastAsia="zh-CN"/>
        </w:rPr>
        <w:t>省推广应用指导目录》起三年内参加政府采购活动时,视同已具备相应销售业绩，业绩分为满分。</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rPr>
          <w:rFonts w:hint="eastAsia" w:asciiTheme="minorEastAsia" w:hAnsiTheme="minorEastAsia" w:eastAsiaTheme="minorEastAsia"/>
          <w:b/>
          <w:sz w:val="36"/>
          <w:szCs w:val="36"/>
        </w:rPr>
      </w:pPr>
      <w:bookmarkStart w:id="38" w:name="_Toc27944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3"/>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3"/>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w:t>
      </w:r>
      <w:r>
        <w:rPr>
          <w:rFonts w:hint="eastAsia" w:asciiTheme="minorEastAsia" w:hAnsiTheme="minorEastAsia" w:eastAsiaTheme="minorEastAsia"/>
          <w:sz w:val="24"/>
          <w:lang w:eastAsia="zh-CN"/>
        </w:rPr>
        <w:t>给予</w:t>
      </w:r>
      <w:r>
        <w:rPr>
          <w:rFonts w:asciiTheme="minorEastAsia" w:hAnsiTheme="minorEastAsia" w:eastAsiaTheme="minorEastAsia"/>
          <w:sz w:val="24"/>
        </w:rPr>
        <w:t>履行本合同无关的任何其他人。即使向履行本合同有关的人员提供，也应注意保密并限于履行合同的必需范围。</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3"/>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3"/>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3"/>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3"/>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3"/>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w:t>
      </w:r>
      <w:r>
        <w:rPr>
          <w:rFonts w:hint="eastAsia" w:asciiTheme="minorEastAsia" w:hAnsiTheme="minorEastAsia" w:eastAsiaTheme="minorEastAsia"/>
          <w:sz w:val="24"/>
          <w:lang w:eastAsia="zh-CN"/>
        </w:rPr>
        <w:t>终身维修</w:t>
      </w:r>
      <w:r>
        <w:rPr>
          <w:rFonts w:asciiTheme="minorEastAsia" w:hAnsiTheme="minorEastAsia" w:eastAsiaTheme="minorEastAsia"/>
          <w:sz w:val="24"/>
        </w:rPr>
        <w:t>，维修时只收部件成本费。</w:t>
      </w:r>
    </w:p>
    <w:p>
      <w:pPr>
        <w:pStyle w:val="13"/>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3"/>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w:t>
      </w:r>
      <w:r>
        <w:rPr>
          <w:rFonts w:hint="eastAsia" w:asciiTheme="minorEastAsia" w:hAnsiTheme="minorEastAsia" w:eastAsiaTheme="minorEastAsia"/>
          <w:sz w:val="24"/>
          <w:lang w:eastAsia="zh-CN"/>
        </w:rPr>
        <w:t>作</w:t>
      </w:r>
      <w:r>
        <w:rPr>
          <w:rFonts w:asciiTheme="minorEastAsia" w:hAnsiTheme="minorEastAsia" w:eastAsiaTheme="minorEastAsia"/>
          <w:sz w:val="24"/>
        </w:rPr>
        <w:t>最终验收。</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w:t>
      </w:r>
      <w:r>
        <w:rPr>
          <w:rFonts w:hint="eastAsia" w:asciiTheme="minorEastAsia" w:hAnsiTheme="minorEastAsia" w:eastAsiaTheme="minorEastAsia"/>
          <w:sz w:val="24"/>
          <w:lang w:eastAsia="zh-CN"/>
        </w:rPr>
        <w:t>做出</w:t>
      </w:r>
      <w:r>
        <w:rPr>
          <w:rFonts w:asciiTheme="minorEastAsia" w:hAnsiTheme="minorEastAsia" w:eastAsiaTheme="minorEastAsia"/>
          <w:sz w:val="24"/>
        </w:rPr>
        <w:t>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3"/>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w:t>
      </w:r>
      <w:r>
        <w:rPr>
          <w:rFonts w:hint="eastAsia" w:asciiTheme="minorEastAsia" w:hAnsiTheme="minorEastAsia" w:eastAsiaTheme="minorEastAsia"/>
          <w:sz w:val="24"/>
          <w:lang w:eastAsia="zh-CN"/>
        </w:rPr>
        <w:t>〔2020〕</w:t>
      </w:r>
      <w:r>
        <w:rPr>
          <w:rFonts w:hint="eastAsia" w:asciiTheme="minorEastAsia" w:hAnsiTheme="minorEastAsia" w:eastAsiaTheme="minorEastAsia"/>
          <w:sz w:val="24"/>
        </w:rPr>
        <w:t>123号）。</w:t>
      </w:r>
    </w:p>
    <w:p>
      <w:pPr>
        <w:pStyle w:val="13"/>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（二）</w:t>
      </w:r>
      <w:r>
        <w:rPr>
          <w:rFonts w:asciiTheme="minorEastAsia" w:hAnsiTheme="minorEastAsia" w:eastAsiaTheme="minorEastAsia"/>
          <w:color w:val="auto"/>
          <w:sz w:val="24"/>
        </w:rPr>
        <w:t>甲方</w:t>
      </w:r>
      <w:r>
        <w:rPr>
          <w:rFonts w:hint="eastAsia" w:asciiTheme="minorEastAsia" w:hAnsiTheme="minorEastAsia" w:eastAsiaTheme="minorEastAsia"/>
          <w:color w:val="auto"/>
          <w:sz w:val="24"/>
          <w:lang w:val="en-US" w:eastAsia="zh-CN"/>
        </w:rPr>
        <w:t>无</w:t>
      </w:r>
      <w:r>
        <w:rPr>
          <w:rFonts w:hint="eastAsia" w:asciiTheme="minorEastAsia" w:hAnsiTheme="minorEastAsia" w:eastAsiaTheme="minorEastAsia"/>
          <w:color w:val="auto"/>
          <w:sz w:val="24"/>
          <w:lang w:eastAsia="zh-CN"/>
        </w:rPr>
        <w:t>正当理由</w:t>
      </w:r>
      <w:r>
        <w:rPr>
          <w:rFonts w:asciiTheme="minorEastAsia" w:hAnsiTheme="minorEastAsia" w:eastAsiaTheme="minorEastAsia"/>
          <w:color w:val="auto"/>
          <w:sz w:val="24"/>
        </w:rPr>
        <w:t>逾期验收和办理货款支付手续的</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甲方应按逾期付款总额每日</w:t>
      </w:r>
      <w:r>
        <w:rPr>
          <w:rFonts w:asciiTheme="minorEastAsia" w:hAnsiTheme="minorEastAsia" w:eastAsiaTheme="minorEastAsia"/>
          <w:color w:val="auto"/>
          <w:sz w:val="24"/>
          <w:u w:val="single"/>
        </w:rPr>
        <w:t>万分之五</w:t>
      </w:r>
      <w:r>
        <w:rPr>
          <w:rFonts w:asciiTheme="minorEastAsia" w:hAnsiTheme="minorEastAsia" w:eastAsiaTheme="minorEastAsia"/>
          <w:color w:val="auto"/>
          <w:sz w:val="24"/>
        </w:rPr>
        <w:t>向乙方支付违约金。</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（三）</w:t>
      </w:r>
      <w:r>
        <w:rPr>
          <w:rFonts w:asciiTheme="minorEastAsia" w:hAnsiTheme="minorEastAsia" w:eastAsiaTheme="minorEastAsia"/>
          <w:color w:val="auto"/>
          <w:sz w:val="24"/>
        </w:rPr>
        <w:t>乙方逾期交付货物的，乙方应按逾期交货总额每日</w:t>
      </w:r>
      <w:r>
        <w:rPr>
          <w:rFonts w:asciiTheme="minorEastAsia" w:hAnsiTheme="minorEastAsia" w:eastAsiaTheme="minorEastAsia"/>
          <w:color w:val="auto"/>
          <w:sz w:val="24"/>
          <w:u w:val="single"/>
        </w:rPr>
        <w:t>千分之六</w:t>
      </w:r>
      <w:r>
        <w:rPr>
          <w:rFonts w:asciiTheme="minorEastAsia" w:hAnsiTheme="minorEastAsia" w:eastAsiaTheme="minorEastAsia"/>
          <w:color w:val="auto"/>
          <w:sz w:val="24"/>
        </w:rPr>
        <w:t>向甲方支付违约金，由甲方从待付货款中扣除。逾期超过约定日期</w:t>
      </w:r>
      <w:r>
        <w:rPr>
          <w:rFonts w:hint="eastAsia" w:asciiTheme="minorEastAsia" w:hAnsiTheme="minorEastAsia" w:eastAsiaTheme="minorEastAsia"/>
          <w:color w:val="auto"/>
          <w:sz w:val="24"/>
          <w:u w:val="single"/>
          <w:lang w:val="en-US" w:eastAsia="zh-CN"/>
        </w:rPr>
        <w:t>10</w:t>
      </w:r>
      <w:r>
        <w:rPr>
          <w:rFonts w:asciiTheme="minorEastAsia" w:hAnsiTheme="minorEastAsia" w:eastAsiaTheme="minorEastAsia"/>
          <w:color w:val="auto"/>
          <w:sz w:val="24"/>
        </w:rPr>
        <w:t>个工作日不能交货的，甲方可</w:t>
      </w:r>
      <w:r>
        <w:rPr>
          <w:rFonts w:hint="eastAsia" w:asciiTheme="minorEastAsia" w:hAnsiTheme="minorEastAsia" w:eastAsiaTheme="minorEastAsia"/>
          <w:color w:val="auto"/>
          <w:sz w:val="24"/>
          <w:lang w:val="en-US" w:eastAsia="zh-CN"/>
        </w:rPr>
        <w:t>单方面</w:t>
      </w:r>
      <w:r>
        <w:rPr>
          <w:rFonts w:asciiTheme="minorEastAsia" w:hAnsiTheme="minorEastAsia" w:eastAsiaTheme="minorEastAsia"/>
          <w:color w:val="auto"/>
          <w:sz w:val="24"/>
        </w:rPr>
        <w:t>解除本合同</w:t>
      </w:r>
      <w:r>
        <w:rPr>
          <w:rFonts w:hint="eastAsia" w:asciiTheme="minorEastAsia" w:hAnsiTheme="minorEastAsia" w:eastAsiaTheme="minorEastAsia"/>
          <w:color w:val="auto"/>
          <w:sz w:val="24"/>
          <w:lang w:eastAsia="zh-CN"/>
        </w:rPr>
        <w:t>，同时乙方应</w:t>
      </w:r>
      <w:r>
        <w:rPr>
          <w:rFonts w:hint="eastAsia" w:asciiTheme="minorEastAsia" w:hAnsiTheme="minorEastAsia" w:eastAsiaTheme="minorEastAsia"/>
          <w:color w:val="auto"/>
          <w:sz w:val="24"/>
          <w:lang w:val="en-US" w:eastAsia="zh-CN"/>
        </w:rPr>
        <w:t>向甲方支付</w:t>
      </w:r>
      <w:r>
        <w:rPr>
          <w:rFonts w:hint="eastAsia" w:asciiTheme="minorEastAsia" w:hAnsiTheme="minorEastAsia" w:eastAsiaTheme="minorEastAsia"/>
          <w:color w:val="auto"/>
          <w:sz w:val="24"/>
          <w:lang w:eastAsia="zh-CN"/>
        </w:rPr>
        <w:t>合同</w:t>
      </w:r>
      <w:r>
        <w:rPr>
          <w:rFonts w:hint="eastAsia" w:asciiTheme="minorEastAsia" w:hAnsiTheme="minorEastAsia" w:eastAsiaTheme="minorEastAsia"/>
          <w:color w:val="auto"/>
          <w:sz w:val="24"/>
          <w:lang w:val="en-US" w:eastAsia="zh-CN"/>
        </w:rPr>
        <w:t>总值</w:t>
      </w:r>
      <w:r>
        <w:rPr>
          <w:rFonts w:hint="eastAsia" w:asciiTheme="minorEastAsia" w:hAnsiTheme="minorEastAsia" w:eastAsiaTheme="minorEastAsia"/>
          <w:color w:val="auto"/>
          <w:sz w:val="24"/>
          <w:u w:val="single"/>
          <w:lang w:val="en-US" w:eastAsia="zh-CN"/>
        </w:rPr>
        <w:t>百分之三十</w:t>
      </w:r>
      <w:r>
        <w:rPr>
          <w:rFonts w:hint="eastAsia" w:asciiTheme="minorEastAsia" w:hAnsiTheme="minorEastAsia" w:eastAsiaTheme="minorEastAsia"/>
          <w:color w:val="auto"/>
          <w:sz w:val="24"/>
          <w:lang w:val="en-US" w:eastAsia="zh-CN"/>
        </w:rPr>
        <w:t>的违约金</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如造成甲方损失超过违约金的</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 xml:space="preserve">超出部分由乙方继续承担赔偿责任。 </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（四）</w:t>
      </w:r>
      <w:r>
        <w:rPr>
          <w:rFonts w:asciiTheme="minorEastAsia" w:hAnsiTheme="minorEastAsia" w:eastAsiaTheme="minorEastAsia"/>
          <w:color w:val="auto"/>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hint="eastAsia" w:asciiTheme="minorEastAsia" w:hAnsiTheme="minorEastAsia" w:eastAsiaTheme="minorEastAsia"/>
          <w:color w:val="auto"/>
          <w:sz w:val="24"/>
          <w:lang w:eastAsia="zh-CN"/>
        </w:rPr>
        <w:t>，同时可要求乙方承担合同总额</w:t>
      </w:r>
      <w:r>
        <w:rPr>
          <w:rFonts w:hint="eastAsia" w:asciiTheme="minorEastAsia" w:hAnsiTheme="minorEastAsia" w:eastAsiaTheme="minorEastAsia"/>
          <w:color w:val="auto"/>
          <w:sz w:val="24"/>
          <w:u w:val="single"/>
          <w:lang w:val="en-US" w:eastAsia="zh-CN"/>
        </w:rPr>
        <w:t>百分之三十</w:t>
      </w:r>
      <w:r>
        <w:rPr>
          <w:rFonts w:hint="eastAsia" w:asciiTheme="minorEastAsia" w:hAnsiTheme="minorEastAsia" w:eastAsiaTheme="minorEastAsia"/>
          <w:color w:val="auto"/>
          <w:sz w:val="24"/>
          <w:lang w:val="en-US" w:eastAsia="zh-CN"/>
        </w:rPr>
        <w:t>的违约金</w:t>
      </w:r>
      <w:r>
        <w:rPr>
          <w:rFonts w:asciiTheme="minorEastAsia" w:hAnsiTheme="minorEastAsia" w:eastAsiaTheme="minorEastAsia"/>
          <w:color w:val="auto"/>
          <w:sz w:val="24"/>
        </w:rPr>
        <w:t>。如造成甲方损失超过违约金的</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超出部分由乙方继续承担赔偿责任。</w:t>
      </w:r>
    </w:p>
    <w:p>
      <w:pPr>
        <w:pStyle w:val="13"/>
        <w:snapToGrid w:val="0"/>
        <w:spacing w:line="360" w:lineRule="auto"/>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val="en-US" w:eastAsia="zh-CN"/>
        </w:rPr>
        <w:t>五</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乙方</w:t>
      </w:r>
      <w:r>
        <w:rPr>
          <w:rFonts w:hint="eastAsia" w:asciiTheme="minorEastAsia" w:hAnsiTheme="minorEastAsia" w:eastAsiaTheme="minorEastAsia"/>
          <w:color w:val="auto"/>
          <w:sz w:val="24"/>
        </w:rPr>
        <w:t>违反本合同</w:t>
      </w:r>
      <w:r>
        <w:rPr>
          <w:rFonts w:hint="eastAsia" w:asciiTheme="minorEastAsia" w:hAnsiTheme="minorEastAsia" w:eastAsiaTheme="minorEastAsia"/>
          <w:color w:val="auto"/>
          <w:sz w:val="24"/>
          <w:lang w:val="en-US" w:eastAsia="zh-CN"/>
        </w:rPr>
        <w:t>上述</w:t>
      </w:r>
      <w:r>
        <w:rPr>
          <w:rFonts w:hint="eastAsia" w:asciiTheme="minorEastAsia" w:hAnsiTheme="minorEastAsia" w:eastAsiaTheme="minorEastAsia"/>
          <w:color w:val="auto"/>
          <w:sz w:val="24"/>
        </w:rPr>
        <w:t>条款</w:t>
      </w:r>
      <w:r>
        <w:rPr>
          <w:rFonts w:hint="eastAsia" w:asciiTheme="minorEastAsia" w:hAnsiTheme="minorEastAsia" w:eastAsiaTheme="minorEastAsia"/>
          <w:color w:val="auto"/>
          <w:sz w:val="24"/>
          <w:lang w:val="en-US" w:eastAsia="zh-CN"/>
        </w:rPr>
        <w:t>以外的其他各条款</w:t>
      </w:r>
      <w:r>
        <w:rPr>
          <w:rFonts w:hint="eastAsia" w:asciiTheme="minorEastAsia" w:hAnsiTheme="minorEastAsia" w:eastAsiaTheme="minorEastAsia"/>
          <w:color w:val="auto"/>
          <w:sz w:val="24"/>
        </w:rPr>
        <w:t>约定的，均应承担合同总额</w:t>
      </w:r>
      <w:r>
        <w:rPr>
          <w:rFonts w:hint="eastAsia" w:asciiTheme="minorEastAsia" w:hAnsiTheme="minorEastAsia" w:eastAsiaTheme="minorEastAsia"/>
          <w:color w:val="auto"/>
          <w:sz w:val="24"/>
          <w:u w:val="single"/>
          <w:lang w:val="en-US" w:eastAsia="zh-CN"/>
        </w:rPr>
        <w:t>百分之二十</w:t>
      </w:r>
      <w:r>
        <w:rPr>
          <w:rFonts w:hint="eastAsia" w:asciiTheme="minorEastAsia" w:hAnsiTheme="minorEastAsia" w:eastAsiaTheme="minorEastAsia"/>
          <w:color w:val="auto"/>
          <w:sz w:val="24"/>
        </w:rPr>
        <w:t>的违约金</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如造成甲方损失超过违约金的</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rPr>
        <w:t>超出部分由乙方继续承担赔偿责任。</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六</w:t>
      </w:r>
      <w:r>
        <w:rPr>
          <w:rFonts w:hint="eastAsia" w:asciiTheme="minorEastAsia" w:hAnsiTheme="minorEastAsia" w:eastAsiaTheme="minorEastAsia"/>
          <w:color w:val="auto"/>
          <w:sz w:val="24"/>
        </w:rPr>
        <w:t>）若发生纠纷，由违约方赔偿守约方因纠纷所支付的费用（包括但不限于律师费、差旅费、诉讼费、保全费、鉴定费、评估费等）。</w:t>
      </w:r>
    </w:p>
    <w:p>
      <w:pPr>
        <w:pStyle w:val="13"/>
        <w:snapToGrid w:val="0"/>
        <w:spacing w:line="360" w:lineRule="auto"/>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十</w:t>
      </w:r>
      <w:r>
        <w:rPr>
          <w:rFonts w:hint="eastAsia" w:asciiTheme="minorEastAsia" w:hAnsiTheme="minorEastAsia" w:eastAsiaTheme="minorEastAsia"/>
          <w:b/>
          <w:color w:val="auto"/>
          <w:sz w:val="24"/>
        </w:rPr>
        <w:t>七</w:t>
      </w:r>
      <w:r>
        <w:rPr>
          <w:rFonts w:asciiTheme="minorEastAsia" w:hAnsiTheme="minorEastAsia" w:eastAsiaTheme="minorEastAsia"/>
          <w:b/>
          <w:color w:val="auto"/>
          <w:sz w:val="24"/>
        </w:rPr>
        <w:t>、不可抗力事件处理</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（一）</w:t>
      </w:r>
      <w:r>
        <w:rPr>
          <w:rFonts w:asciiTheme="minorEastAsia" w:hAnsiTheme="minorEastAsia" w:eastAsiaTheme="minorEastAsia"/>
          <w:color w:val="auto"/>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（二）</w:t>
      </w:r>
      <w:r>
        <w:rPr>
          <w:rFonts w:asciiTheme="minorEastAsia" w:hAnsiTheme="minorEastAsia" w:eastAsiaTheme="minorEastAsia"/>
          <w:color w:val="auto"/>
          <w:sz w:val="24"/>
        </w:rPr>
        <w:t>不可抗力事件发生后，应立即通知对方，并寄送有关权威机构出具的证明。</w:t>
      </w:r>
    </w:p>
    <w:p>
      <w:pPr>
        <w:pStyle w:val="13"/>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（三）</w:t>
      </w:r>
      <w:r>
        <w:rPr>
          <w:rFonts w:asciiTheme="minorEastAsia" w:hAnsiTheme="minorEastAsia" w:eastAsiaTheme="minorEastAsia"/>
          <w:color w:val="auto"/>
          <w:sz w:val="24"/>
        </w:rPr>
        <w:t>不可抗力事件延续120天以上，双方应通过友好协商，确定是否继续履行合同。</w:t>
      </w:r>
    </w:p>
    <w:p>
      <w:pPr>
        <w:pStyle w:val="13"/>
        <w:snapToGrid w:val="0"/>
        <w:spacing w:line="360" w:lineRule="auto"/>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十</w:t>
      </w:r>
      <w:r>
        <w:rPr>
          <w:rFonts w:hint="eastAsia" w:asciiTheme="minorEastAsia" w:hAnsiTheme="minorEastAsia" w:eastAsiaTheme="minorEastAsia"/>
          <w:b/>
          <w:color w:val="auto"/>
          <w:sz w:val="24"/>
        </w:rPr>
        <w:t>八</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解决争议的方法</w:t>
      </w:r>
    </w:p>
    <w:p>
      <w:pPr>
        <w:pStyle w:val="13"/>
        <w:snapToGrid w:val="0"/>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如双方在履行合同时发生纠纷，应协商解决；协商不成时，可提请政府采购</w:t>
      </w:r>
      <w:r>
        <w:rPr>
          <w:rFonts w:hint="eastAsia" w:asciiTheme="minorEastAsia" w:hAnsiTheme="minorEastAsia" w:eastAsiaTheme="minorEastAsia"/>
          <w:color w:val="auto"/>
          <w:sz w:val="24"/>
          <w:lang w:val="en-US" w:eastAsia="zh-CN"/>
        </w:rPr>
        <w:t>监管处</w:t>
      </w:r>
      <w:r>
        <w:rPr>
          <w:rFonts w:asciiTheme="minorEastAsia" w:hAnsiTheme="minorEastAsia" w:eastAsiaTheme="minorEastAsia"/>
          <w:color w:val="auto"/>
          <w:sz w:val="24"/>
        </w:rPr>
        <w:t>调解；调解不成的通过</w:t>
      </w:r>
      <w:r>
        <w:rPr>
          <w:rFonts w:hint="eastAsia" w:asciiTheme="minorEastAsia" w:hAnsiTheme="minorEastAsia" w:eastAsiaTheme="minorEastAsia"/>
          <w:color w:val="auto"/>
          <w:sz w:val="24"/>
        </w:rPr>
        <w:t>以下第（  ）方式解决</w:t>
      </w:r>
      <w:r>
        <w:rPr>
          <w:rFonts w:asciiTheme="minorEastAsia" w:hAnsiTheme="minorEastAsia" w:eastAsiaTheme="minorEastAsia"/>
          <w:color w:val="auto"/>
          <w:sz w:val="24"/>
        </w:rPr>
        <w:t>：</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（一）</w:t>
      </w:r>
      <w:r>
        <w:rPr>
          <w:rFonts w:ascii="宋体" w:hAnsi="宋体" w:cs="宋体"/>
          <w:color w:val="auto"/>
          <w:kern w:val="0"/>
          <w:sz w:val="24"/>
        </w:rPr>
        <w:t>提交</w:t>
      </w:r>
      <w:r>
        <w:rPr>
          <w:rFonts w:hAnsi="宋体"/>
          <w:color w:val="auto"/>
          <w:sz w:val="24"/>
          <w:u w:val="single"/>
        </w:rPr>
        <w:t>台州</w:t>
      </w:r>
      <w:r>
        <w:rPr>
          <w:rFonts w:ascii="宋体" w:hAnsi="宋体" w:cs="宋体"/>
          <w:color w:val="auto"/>
          <w:kern w:val="0"/>
          <w:sz w:val="24"/>
        </w:rPr>
        <w:t>仲裁委员会仲裁。</w:t>
      </w:r>
    </w:p>
    <w:p>
      <w:pPr>
        <w:widowControl/>
        <w:spacing w:line="360" w:lineRule="auto"/>
        <w:ind w:firstLine="480" w:firstLineChars="200"/>
        <w:rPr>
          <w:color w:val="auto"/>
          <w:sz w:val="24"/>
        </w:rPr>
      </w:pPr>
      <w:r>
        <w:rPr>
          <w:rFonts w:hint="eastAsia" w:ascii="宋体" w:hAnsi="宋体" w:cs="宋体"/>
          <w:color w:val="auto"/>
          <w:kern w:val="0"/>
          <w:sz w:val="24"/>
        </w:rPr>
        <w:t>（二）</w:t>
      </w:r>
      <w:r>
        <w:rPr>
          <w:rFonts w:ascii="宋体" w:hAnsi="宋体" w:cs="宋体"/>
          <w:color w:val="auto"/>
          <w:kern w:val="0"/>
          <w:sz w:val="24"/>
        </w:rPr>
        <w:t>依法向</w:t>
      </w:r>
      <w:r>
        <w:rPr>
          <w:rFonts w:hint="eastAsia" w:ascii="宋体" w:hAnsi="宋体" w:cs="宋体"/>
          <w:color w:val="auto"/>
          <w:kern w:val="0"/>
          <w:sz w:val="24"/>
          <w:lang w:val="en-US" w:eastAsia="zh-CN"/>
        </w:rPr>
        <w:t>甲方所在地</w:t>
      </w:r>
      <w:r>
        <w:rPr>
          <w:rFonts w:ascii="宋体" w:hAnsi="宋体" w:cs="宋体"/>
          <w:color w:val="auto"/>
          <w:kern w:val="0"/>
          <w:sz w:val="24"/>
        </w:rPr>
        <w:t xml:space="preserve">人民法院提起诉讼。 </w:t>
      </w:r>
    </w:p>
    <w:p>
      <w:pPr>
        <w:pStyle w:val="13"/>
        <w:tabs>
          <w:tab w:val="left" w:pos="5790"/>
        </w:tabs>
        <w:snapToGrid w:val="0"/>
        <w:spacing w:line="360" w:lineRule="auto"/>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十</w:t>
      </w:r>
      <w:r>
        <w:rPr>
          <w:rFonts w:hint="eastAsia" w:asciiTheme="minorEastAsia" w:hAnsiTheme="minorEastAsia" w:eastAsiaTheme="minorEastAsia"/>
          <w:b/>
          <w:color w:val="auto"/>
          <w:sz w:val="24"/>
        </w:rPr>
        <w:t>九</w:t>
      </w:r>
      <w:r>
        <w:rPr>
          <w:rFonts w:asciiTheme="minorEastAsia" w:hAnsiTheme="minorEastAsia" w:eastAsiaTheme="minorEastAsia"/>
          <w:b/>
          <w:color w:val="auto"/>
          <w:sz w:val="24"/>
        </w:rPr>
        <w:t>、合同生效</w:t>
      </w:r>
      <w:r>
        <w:rPr>
          <w:rFonts w:hint="eastAsia" w:asciiTheme="minorEastAsia" w:hAnsiTheme="minorEastAsia" w:eastAsiaTheme="minorEastAsia"/>
          <w:b/>
          <w:color w:val="auto"/>
          <w:sz w:val="24"/>
          <w:lang w:eastAsia="zh-CN"/>
        </w:rPr>
        <w:t>及其他</w:t>
      </w:r>
      <w:r>
        <w:rPr>
          <w:rFonts w:asciiTheme="minorEastAsia" w:hAnsiTheme="minorEastAsia" w:eastAsiaTheme="minorEastAsia"/>
          <w:b/>
          <w:color w:val="auto"/>
          <w:sz w:val="24"/>
        </w:rPr>
        <w:tab/>
      </w:r>
    </w:p>
    <w:p>
      <w:pPr>
        <w:pStyle w:val="3"/>
        <w:widowControl/>
        <w:spacing w:line="360" w:lineRule="auto"/>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（一）</w:t>
      </w:r>
      <w:r>
        <w:rPr>
          <w:rFonts w:asciiTheme="minorEastAsia" w:hAnsiTheme="minorEastAsia" w:eastAsiaTheme="minorEastAsia"/>
          <w:color w:val="auto"/>
        </w:rPr>
        <w:t>合同经双方加盖单位公章</w:t>
      </w:r>
      <w:r>
        <w:rPr>
          <w:rFonts w:hint="eastAsia" w:asciiTheme="minorEastAsia" w:hAnsiTheme="minorEastAsia" w:eastAsiaTheme="minorEastAsia"/>
          <w:color w:val="auto"/>
          <w:lang w:eastAsia="zh-CN"/>
        </w:rPr>
        <w:t>之日起</w:t>
      </w:r>
      <w:r>
        <w:rPr>
          <w:rFonts w:asciiTheme="minorEastAsia" w:hAnsiTheme="minorEastAsia" w:eastAsiaTheme="minorEastAsia"/>
          <w:color w:val="auto"/>
        </w:rPr>
        <w:t>生效。</w:t>
      </w:r>
    </w:p>
    <w:p>
      <w:pPr>
        <w:pStyle w:val="3"/>
        <w:widowControl/>
        <w:spacing w:line="360" w:lineRule="auto"/>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（二）</w:t>
      </w:r>
      <w:r>
        <w:rPr>
          <w:rFonts w:asciiTheme="minorEastAsia" w:hAnsiTheme="minorEastAsia" w:eastAsiaTheme="minorEastAsia"/>
          <w:color w:val="auto"/>
        </w:rPr>
        <w:t>本合同未尽事宜，遵照</w:t>
      </w:r>
      <w:r>
        <w:rPr>
          <w:rFonts w:hint="eastAsia" w:ascii="宋体" w:hAnsi="宋体" w:eastAsia="宋体" w:cs="宋体"/>
          <w:color w:val="auto"/>
        </w:rPr>
        <w:t>《</w:t>
      </w:r>
      <w:r>
        <w:rPr>
          <w:rFonts w:hint="eastAsia" w:ascii="宋体" w:hAnsi="宋体" w:eastAsia="宋体" w:cs="宋体"/>
          <w:color w:val="auto"/>
          <w:szCs w:val="21"/>
          <w:shd w:val="clear" w:color="auto" w:fill="FFFFFF"/>
        </w:rPr>
        <w:t>中华人民共和国民法典</w:t>
      </w:r>
      <w:r>
        <w:rPr>
          <w:rFonts w:hint="eastAsia" w:ascii="宋体" w:hAnsi="宋体" w:eastAsia="宋体" w:cs="宋体"/>
          <w:color w:val="auto"/>
        </w:rPr>
        <w:t>》有关</w:t>
      </w:r>
      <w:r>
        <w:rPr>
          <w:rFonts w:asciiTheme="minorEastAsia" w:hAnsiTheme="minorEastAsia" w:eastAsiaTheme="minorEastAsia"/>
          <w:color w:val="auto"/>
        </w:rPr>
        <w:t>条文执行。</w:t>
      </w:r>
    </w:p>
    <w:p>
      <w:pPr>
        <w:pStyle w:val="3"/>
        <w:widowControl/>
        <w:spacing w:line="360" w:lineRule="auto"/>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（三）本合同一式两份，甲、乙双方各执一份</w:t>
      </w:r>
      <w:r>
        <w:rPr>
          <w:rFonts w:hint="eastAsia" w:asciiTheme="minorEastAsia" w:hAnsiTheme="minorEastAsia" w:eastAsiaTheme="minorEastAsia"/>
          <w:color w:val="auto"/>
          <w:lang w:eastAsia="zh-CN"/>
        </w:rPr>
        <w:t>，均具同等法律效力</w:t>
      </w:r>
      <w:r>
        <w:rPr>
          <w:rFonts w:hint="eastAsia" w:asciiTheme="minorEastAsia" w:hAnsiTheme="minorEastAsia" w:eastAsiaTheme="minorEastAsia"/>
          <w:color w:val="auto"/>
        </w:rPr>
        <w:t>。本项目未尽事宜以招标文件、投标文件及澄清文件等为准。</w:t>
      </w: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hint="eastAsia" w:asciiTheme="minorEastAsia" w:hAnsiTheme="minorEastAsia" w:eastAsiaTheme="minorEastAsia"/>
          <w:b/>
          <w:sz w:val="36"/>
          <w:szCs w:val="36"/>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bookmarkStart w:id="39"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9"/>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19093_WPSOffice_Level1"/>
      <w:bookmarkStart w:id="41" w:name="_Toc32372_WPSOffice_Level1"/>
      <w:bookmarkStart w:id="42" w:name="_Toc4956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rFonts w:hint="eastAsia"/>
          <w:b/>
          <w:bCs/>
          <w:sz w:val="36"/>
          <w:szCs w:val="36"/>
        </w:rPr>
      </w:pPr>
      <w:r>
        <w:rPr>
          <w:rFonts w:hint="eastAsia"/>
          <w:b/>
          <w:bCs/>
          <w:sz w:val="36"/>
          <w:szCs w:val="36"/>
        </w:rPr>
        <w:t>资格证明文件目录</w:t>
      </w:r>
    </w:p>
    <w:p>
      <w:pPr>
        <w:pStyle w:val="9"/>
      </w:pPr>
    </w:p>
    <w:p/>
    <w:p>
      <w:pPr>
        <w:numPr>
          <w:ilvl w:val="0"/>
          <w:numId w:val="7"/>
        </w:numPr>
        <w:spacing w:line="360" w:lineRule="auto"/>
        <w:ind w:hanging="5"/>
        <w:rPr>
          <w:rFonts w:hint="eastAsia"/>
          <w:sz w:val="28"/>
          <w:szCs w:val="36"/>
        </w:rPr>
      </w:pPr>
      <w:bookmarkStart w:id="43" w:name="_Toc27049_WPSOffice_Level1"/>
      <w:bookmarkStart w:id="44"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7"/>
        </w:numPr>
        <w:spacing w:line="360" w:lineRule="auto"/>
        <w:ind w:hanging="5"/>
        <w:rPr>
          <w:sz w:val="28"/>
          <w:szCs w:val="36"/>
          <w:highlight w:val="none"/>
        </w:rPr>
      </w:pPr>
      <w:bookmarkStart w:id="45" w:name="_Toc28306_WPSOffice_Level1"/>
      <w:bookmarkStart w:id="46" w:name="_Toc25574_WPSOffice_Level1"/>
      <w:bookmarkStart w:id="47" w:name="_Toc32100_WPSOffice_Level1"/>
      <w:bookmarkStart w:id="48" w:name="_Toc2961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5"/>
      <w:bookmarkEnd w:id="46"/>
    </w:p>
    <w:p>
      <w:pPr>
        <w:numPr>
          <w:ilvl w:val="0"/>
          <w:numId w:val="7"/>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7"/>
        </w:numPr>
        <w:spacing w:line="360" w:lineRule="auto"/>
        <w:ind w:hanging="5"/>
        <w:rPr>
          <w:rFonts w:hint="eastAsia"/>
          <w:sz w:val="28"/>
          <w:szCs w:val="36"/>
        </w:rPr>
      </w:pPr>
      <w:r>
        <w:rPr>
          <w:rFonts w:hint="eastAsia"/>
          <w:sz w:val="28"/>
          <w:szCs w:val="36"/>
          <w:highlight w:val="none"/>
        </w:rPr>
        <w:t>法人或者其他组织的营业执照等证明文件、自</w:t>
      </w:r>
      <w:r>
        <w:rPr>
          <w:rFonts w:hint="eastAsia"/>
          <w:sz w:val="28"/>
          <w:szCs w:val="36"/>
        </w:rPr>
        <w:t>然人的身份证明</w:t>
      </w:r>
      <w:bookmarkEnd w:id="47"/>
      <w:bookmarkEnd w:id="48"/>
    </w:p>
    <w:p>
      <w:pPr>
        <w:numPr>
          <w:ilvl w:val="0"/>
          <w:numId w:val="7"/>
        </w:numPr>
        <w:spacing w:line="360" w:lineRule="auto"/>
        <w:ind w:hanging="5"/>
        <w:rPr>
          <w:rFonts w:hint="eastAsia"/>
          <w:sz w:val="28"/>
          <w:szCs w:val="36"/>
        </w:rPr>
      </w:pPr>
      <w:bookmarkStart w:id="49" w:name="_Toc2696_WPSOffice_Level1"/>
      <w:bookmarkStart w:id="50" w:name="_Toc30751_WPSOffice_Level1"/>
      <w:r>
        <w:rPr>
          <w:rFonts w:hint="eastAsia"/>
          <w:sz w:val="28"/>
          <w:szCs w:val="36"/>
        </w:rPr>
        <w:t>具备履行合同所必需的设备和专业技术能力的证明材料</w:t>
      </w:r>
      <w:bookmarkEnd w:id="49"/>
      <w:bookmarkEnd w:id="50"/>
    </w:p>
    <w:p>
      <w:pPr>
        <w:numPr>
          <w:ilvl w:val="0"/>
          <w:numId w:val="7"/>
        </w:numPr>
        <w:spacing w:line="360" w:lineRule="auto"/>
        <w:ind w:hanging="5"/>
        <w:rPr>
          <w:rFonts w:hint="eastAsia"/>
          <w:sz w:val="28"/>
          <w:szCs w:val="36"/>
          <w:highlight w:val="none"/>
        </w:rPr>
      </w:pPr>
      <w:bookmarkStart w:id="51" w:name="_Toc14150_WPSOffice_Level1"/>
      <w:bookmarkStart w:id="52"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7"/>
        </w:numPr>
        <w:spacing w:line="360" w:lineRule="auto"/>
        <w:ind w:hanging="5"/>
        <w:rPr>
          <w:sz w:val="28"/>
          <w:szCs w:val="36"/>
        </w:rPr>
      </w:pPr>
      <w:r>
        <w:rPr>
          <w:rFonts w:hint="eastAsia"/>
          <w:sz w:val="28"/>
          <w:szCs w:val="36"/>
        </w:rPr>
        <w:t>本项目要求的特定资质证书</w:t>
      </w:r>
      <w:bookmarkEnd w:id="51"/>
      <w:bookmarkEnd w:id="52"/>
    </w:p>
    <w:p>
      <w:pPr>
        <w:pStyle w:val="3"/>
        <w:rPr>
          <w:rFonts w:hint="eastAsia"/>
        </w:rPr>
      </w:pPr>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0723_WPSOffice_Level1"/>
      <w:bookmarkStart w:id="54" w:name="_Toc31708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8"/>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8"/>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8"/>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8"/>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6870_WPSOffice_Level1"/>
      <w:bookmarkStart w:id="56" w:name="_Toc24373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hint="eastAsia" w:ascii="宋体"/>
          <w:sz w:val="24"/>
        </w:rPr>
      </w:pPr>
      <w:r>
        <w:rPr>
          <w:rFonts w:hint="eastAsia" w:ascii="宋体"/>
          <w:sz w:val="24"/>
        </w:rPr>
        <w:t>邮政编码：</w:t>
      </w:r>
    </w:p>
    <w:p>
      <w:pPr>
        <w:rPr>
          <w:rFonts w:hint="eastAsia" w:ascii="宋体"/>
          <w:sz w:val="24"/>
        </w:rPr>
      </w:pPr>
      <w:r>
        <w:rPr>
          <w:rFonts w:hint="eastAsia" w:ascii="宋体"/>
          <w:sz w:val="24"/>
        </w:rPr>
        <w:br w:type="page"/>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r>
              <w:rPr>
                <w:rFonts w:hint="eastAsia" w:ascii="宋体"/>
                <w:b/>
                <w:sz w:val="24"/>
                <w:lang w:eastAsia="zh-CN"/>
              </w:rPr>
              <w:t>粘贴</w:t>
            </w:r>
            <w:r>
              <w:rPr>
                <w:rFonts w:hint="eastAsia" w:ascii="宋体"/>
                <w:b/>
                <w:sz w:val="24"/>
              </w:rPr>
              <w:t>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r>
              <w:rPr>
                <w:rFonts w:hint="eastAsia" w:ascii="宋体"/>
                <w:b/>
                <w:sz w:val="24"/>
                <w:lang w:eastAsia="zh-CN"/>
              </w:rPr>
              <w:t>粘贴</w:t>
            </w:r>
            <w:r>
              <w:rPr>
                <w:rFonts w:hint="eastAsia" w:ascii="宋体"/>
                <w:b/>
                <w:sz w:val="24"/>
              </w:rPr>
              <w:t>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r>
              <w:rPr>
                <w:rFonts w:hint="eastAsia" w:ascii="宋体"/>
                <w:b/>
                <w:sz w:val="24"/>
                <w:lang w:eastAsia="zh-CN"/>
              </w:rPr>
              <w:t>粘贴</w:t>
            </w:r>
            <w:r>
              <w:rPr>
                <w:rFonts w:hint="eastAsia" w:ascii="宋体"/>
                <w:b/>
                <w:sz w:val="24"/>
              </w:rPr>
              <w:t>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footerReference r:id="rId3" w:type="default"/>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9"/>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9"/>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9"/>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9"/>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w:t>
      </w:r>
      <w:r>
        <w:rPr>
          <w:rFonts w:hint="eastAsia"/>
          <w:kern w:val="0"/>
          <w:sz w:val="24"/>
          <w:szCs w:val="24"/>
          <w:lang w:val="zh-CN"/>
        </w:rPr>
        <w:t>的工作</w:t>
      </w:r>
      <w:r>
        <w:rPr>
          <w:rFonts w:hint="eastAsia"/>
          <w:kern w:val="0"/>
          <w:sz w:val="24"/>
          <w:szCs w:val="24"/>
          <w:lang w:val="en-US" w:eastAsia="zh-CN"/>
        </w:rPr>
        <w:t>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9"/>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9"/>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w:t>
      </w:r>
      <w:r>
        <w:rPr>
          <w:rFonts w:hint="eastAsia" w:cs="Times New Roman"/>
          <w:kern w:val="0"/>
          <w:sz w:val="24"/>
          <w:szCs w:val="24"/>
          <w:lang w:val="en-US" w:eastAsia="zh-CN"/>
        </w:rPr>
        <w:t>具体的</w:t>
      </w:r>
      <w:r>
        <w:rPr>
          <w:rFonts w:hint="eastAsia" w:ascii="Times New Roman" w:hAnsi="Times New Roman" w:cs="Times New Roman"/>
          <w:kern w:val="0"/>
          <w:sz w:val="24"/>
          <w:szCs w:val="24"/>
          <w:lang w:val="en-US" w:eastAsia="zh-CN"/>
        </w:rPr>
        <w:t>责任、权利、义务，在中标后经各方协商后报采购人同意后在合同中明确。</w:t>
      </w:r>
    </w:p>
    <w:p>
      <w:pPr>
        <w:numPr>
          <w:ilvl w:val="0"/>
          <w:numId w:val="9"/>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9"/>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9"/>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rPr>
          <w:rFonts w:hint="eastAsia" w:cs="Times New Roman"/>
          <w:kern w:val="0"/>
          <w:sz w:val="24"/>
          <w:szCs w:val="24"/>
          <w:lang w:val="en-US" w:eastAsia="zh-CN"/>
        </w:r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eastAsia" w:cs="Times New Roman"/>
          <w:kern w:val="0"/>
          <w:sz w:val="24"/>
          <w:szCs w:val="24"/>
          <w:lang w:val="en-US" w:eastAsia="zh-CN"/>
        </w:rPr>
      </w:pPr>
      <w:r>
        <w:rPr>
          <w:rFonts w:hint="eastAsia" w:cs="Times New Roman"/>
          <w:kern w:val="0"/>
          <w:sz w:val="24"/>
          <w:szCs w:val="24"/>
          <w:lang w:val="en-US" w:eastAsia="zh-CN"/>
        </w:rPr>
        <w:br w:type="page"/>
      </w:r>
    </w:p>
    <w:p>
      <w:pPr>
        <w:rPr>
          <w:rFonts w:hint="default" w:ascii="宋体" w:hAnsi="宋体"/>
          <w:b/>
          <w:sz w:val="28"/>
          <w:lang w:val="en-US" w:eastAsia="zh-CN"/>
        </w:rPr>
      </w:pPr>
      <w:r>
        <w:rPr>
          <w:rFonts w:hint="eastAsia" w:ascii="宋体" w:hAnsi="宋体"/>
          <w:b/>
          <w:sz w:val="28"/>
          <w:lang w:val="en-US" w:eastAsia="zh-CN"/>
        </w:rPr>
        <w:t>附件4</w:t>
      </w:r>
    </w:p>
    <w:p>
      <w:pPr>
        <w:pStyle w:val="9"/>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9"/>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我公司对上述承诺内容的真实性负责。如有虚假，将依法承担相应责任。</w:t>
      </w:r>
    </w:p>
    <w:p/>
    <w:p>
      <w:pPr>
        <w:pStyle w:val="9"/>
      </w:pPr>
    </w:p>
    <w:p/>
    <w:p>
      <w:pPr>
        <w:pStyle w:val="9"/>
      </w:pPr>
    </w:p>
    <w:p/>
    <w:p>
      <w:pPr>
        <w:pStyle w:val="9"/>
      </w:pPr>
    </w:p>
    <w:p/>
    <w:p>
      <w:pPr>
        <w:pStyle w:val="9"/>
      </w:pPr>
    </w:p>
    <w:p/>
    <w:p/>
    <w:p>
      <w:pPr>
        <w:pStyle w:val="9"/>
      </w:pPr>
    </w:p>
    <w:p/>
    <w:p>
      <w:pPr>
        <w:pStyle w:val="9"/>
      </w:pPr>
    </w:p>
    <w:p/>
    <w:p>
      <w:pPr>
        <w:pStyle w:val="9"/>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pStyle w:val="3"/>
        <w:sectPr>
          <w:headerReference r:id="rId4" w:type="default"/>
          <w:footerReference r:id="rId5" w:type="default"/>
          <w:pgSz w:w="11906" w:h="16838"/>
          <w:pgMar w:top="1701" w:right="1448" w:bottom="1531" w:left="1418" w:header="851" w:footer="851" w:gutter="0"/>
          <w:cols w:space="720" w:num="1"/>
          <w:docGrid w:linePitch="312" w:charSpace="0"/>
        </w:sectPr>
      </w:pPr>
    </w:p>
    <w:p>
      <w:pPr>
        <w:jc w:val="both"/>
        <w:rPr>
          <w:rFonts w:hint="eastAsia"/>
          <w:sz w:val="52"/>
          <w:szCs w:val="52"/>
        </w:rPr>
      </w:pPr>
      <w:bookmarkStart w:id="57" w:name="_Toc16825_WPSOffice_Level1"/>
      <w:bookmarkStart w:id="58" w:name="_Toc12331_WPSOffice_Level1"/>
      <w:bookmarkStart w:id="59" w:name="_Toc26389_WPSOffice_Level1"/>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0"/>
      </w:pP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sz w:val="28"/>
          <w:szCs w:val="28"/>
        </w:rPr>
      </w:pPr>
      <w:bookmarkStart w:id="60" w:name="_Toc11308_WPSOffice_Level1"/>
      <w:bookmarkStart w:id="61" w:name="_Toc5889_WPSOffice_Level1"/>
      <w:r>
        <w:rPr>
          <w:rFonts w:hint="eastAsia"/>
          <w:b/>
          <w:bCs/>
          <w:sz w:val="36"/>
          <w:szCs w:val="36"/>
          <w:lang w:val="zh-CN"/>
        </w:rPr>
        <w:t>商务与技术文件目录</w:t>
      </w:r>
      <w:bookmarkEnd w:id="60"/>
      <w:bookmarkEnd w:id="61"/>
    </w:p>
    <w:p>
      <w:pPr>
        <w:spacing w:line="360" w:lineRule="auto"/>
        <w:ind w:firstLine="562" w:firstLineChars="200"/>
        <w:rPr>
          <w:rFonts w:hint="eastAsia"/>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10"/>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0"/>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6</w:t>
      </w:r>
      <w:r>
        <w:rPr>
          <w:rFonts w:hint="eastAsia"/>
          <w:sz w:val="28"/>
          <w:szCs w:val="28"/>
        </w:rPr>
        <w:t>、附件</w:t>
      </w:r>
      <w:r>
        <w:rPr>
          <w:rFonts w:hint="eastAsia"/>
          <w:sz w:val="28"/>
          <w:szCs w:val="28"/>
          <w:lang w:val="en-US" w:eastAsia="zh-CN"/>
        </w:rPr>
        <w:t>7</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4" w:name="_Toc6008_WPSOffice_Level1"/>
      <w:bookmarkStart w:id="65" w:name="_Toc12004_WPSOffice_Level1"/>
      <w:r>
        <w:rPr>
          <w:rFonts w:hint="eastAsia"/>
          <w:b/>
          <w:bCs/>
          <w:sz w:val="28"/>
          <w:szCs w:val="28"/>
        </w:rPr>
        <w:t>第二部分  投标产品描述部分</w:t>
      </w:r>
      <w:bookmarkEnd w:id="64"/>
      <w:bookmarkEnd w:id="65"/>
    </w:p>
    <w:p>
      <w:pPr>
        <w:numPr>
          <w:ilvl w:val="0"/>
          <w:numId w:val="11"/>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8</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9</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6" w:name="_Toc30029_WPSOffice_Level1"/>
      <w:bookmarkStart w:id="67" w:name="_Toc20986_WPSOffice_Level1"/>
      <w:r>
        <w:rPr>
          <w:rFonts w:hint="eastAsia"/>
          <w:b/>
          <w:bCs/>
          <w:sz w:val="28"/>
          <w:szCs w:val="28"/>
        </w:rPr>
        <w:t>第三部分  商务及其他部分</w:t>
      </w:r>
      <w:bookmarkEnd w:id="66"/>
      <w:bookmarkEnd w:id="67"/>
    </w:p>
    <w:p>
      <w:pPr>
        <w:numPr>
          <w:ilvl w:val="0"/>
          <w:numId w:val="12"/>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2</w:t>
      </w:r>
      <w:r>
        <w:rPr>
          <w:rFonts w:hint="eastAsia"/>
          <w:sz w:val="28"/>
          <w:szCs w:val="28"/>
        </w:rPr>
        <w:t>，附件</w:t>
      </w:r>
      <w:r>
        <w:rPr>
          <w:rFonts w:hint="eastAsia"/>
          <w:sz w:val="28"/>
          <w:szCs w:val="28"/>
          <w:lang w:val="en-US" w:eastAsia="zh-CN"/>
        </w:rPr>
        <w:t>13</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2"/>
        </w:numPr>
        <w:spacing w:line="360" w:lineRule="auto"/>
        <w:ind w:left="425" w:leftChars="0" w:hanging="5" w:firstLineChars="0"/>
        <w:rPr>
          <w:rFonts w:hint="eastAsia"/>
          <w:sz w:val="28"/>
          <w:szCs w:val="28"/>
        </w:rPr>
      </w:pPr>
      <w:r>
        <w:rPr>
          <w:rFonts w:hint="eastAsia"/>
          <w:sz w:val="28"/>
          <w:szCs w:val="28"/>
        </w:rPr>
        <w:t>主要货物用材响应表（类似家具类货物采用，附件1</w:t>
      </w:r>
      <w:r>
        <w:rPr>
          <w:rFonts w:hint="eastAsia"/>
          <w:sz w:val="28"/>
          <w:szCs w:val="28"/>
          <w:lang w:val="en-US" w:eastAsia="zh-CN"/>
        </w:rPr>
        <w:t>4</w:t>
      </w:r>
      <w:r>
        <w:rPr>
          <w:rFonts w:hint="eastAsia"/>
          <w:sz w:val="28"/>
          <w:szCs w:val="28"/>
        </w:rPr>
        <w:t>）</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5</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8" w:name="_Toc13307_WPSOffice_Level1"/>
      <w:bookmarkStart w:id="69" w:name="_Toc14261_WPSOffice_Level1"/>
      <w:r>
        <w:rPr>
          <w:rFonts w:hint="eastAsia"/>
          <w:b/>
          <w:sz w:val="32"/>
          <w:szCs w:val="32"/>
        </w:rPr>
        <w:t>投标</w:t>
      </w:r>
      <w:r>
        <w:rPr>
          <w:rFonts w:hint="eastAsia"/>
          <w:b/>
          <w:bCs/>
          <w:sz w:val="32"/>
          <w:szCs w:val="32"/>
        </w:rPr>
        <w:t>人基本情况表</w:t>
      </w:r>
      <w:bookmarkEnd w:id="68"/>
      <w:bookmarkEnd w:id="69"/>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eastAsia="zh-CN"/>
              </w:rPr>
              <w:t>法定代表人</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snapToGrid w:val="0"/>
        <w:spacing w:beforeLines="50" w:after="50" w:line="360" w:lineRule="auto"/>
        <w:jc w:val="center"/>
        <w:rPr>
          <w:rFonts w:ascii="宋体" w:hAnsi="宋体"/>
          <w:b/>
          <w:sz w:val="36"/>
          <w:szCs w:val="36"/>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72" w:name="_Toc12710_WPSOffice_Level1"/>
      <w:bookmarkStart w:id="73" w:name="_Toc23055_WPSOffice_Level1"/>
      <w:r>
        <w:rPr>
          <w:rFonts w:hint="eastAsia" w:ascii="宋体" w:hAnsi="宋体"/>
          <w:b/>
          <w:bCs/>
          <w:sz w:val="32"/>
          <w:szCs w:val="32"/>
        </w:rPr>
        <w:t>项目负责人资格情况表</w:t>
      </w:r>
      <w:bookmarkEnd w:id="72"/>
      <w:bookmarkEnd w:id="73"/>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2" w:leftChars="0" w:firstLine="0" w:firstLineChars="0"/>
        <w:jc w:val="center"/>
        <w:rPr>
          <w:rFonts w:ascii="宋体" w:hAnsi="宋体"/>
          <w:sz w:val="24"/>
        </w:rPr>
      </w:pPr>
      <w:bookmarkStart w:id="74" w:name="_Toc3591_WPSOffice_Level1"/>
      <w:bookmarkStart w:id="75" w:name="_Toc32718_WPSOffice_Level1"/>
      <w:r>
        <w:rPr>
          <w:rFonts w:hint="eastAsia" w:ascii="宋体" w:hAnsi="宋体"/>
          <w:b/>
          <w:sz w:val="32"/>
          <w:szCs w:val="32"/>
        </w:rPr>
        <w:t>供货</w:t>
      </w:r>
      <w:r>
        <w:rPr>
          <w:rFonts w:ascii="宋体" w:hAnsi="宋体"/>
          <w:b/>
          <w:sz w:val="32"/>
          <w:szCs w:val="32"/>
        </w:rPr>
        <w:t>清单</w:t>
      </w:r>
      <w:bookmarkEnd w:id="74"/>
      <w:bookmarkEnd w:id="75"/>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3"/>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3"/>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32"/>
          <w:szCs w:val="32"/>
        </w:rPr>
      </w:pPr>
      <w:bookmarkStart w:id="76" w:name="_Toc26601_WPSOffice_Level1"/>
      <w:bookmarkStart w:id="77"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6"/>
      <w:bookmarkEnd w:id="77"/>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w:t>
      </w:r>
      <w:r>
        <w:rPr>
          <w:rFonts w:hint="eastAsia" w:ascii="宋体"/>
          <w:szCs w:val="21"/>
          <w:lang w:val="en-US" w:eastAsia="zh-CN"/>
        </w:rPr>
        <w:t>三</w:t>
      </w:r>
      <w:r>
        <w:rPr>
          <w:rFonts w:hint="eastAsia" w:ascii="宋体"/>
          <w:szCs w:val="21"/>
        </w:rPr>
        <w:t>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5"/>
        <w:spacing w:line="360" w:lineRule="auto"/>
        <w:jc w:val="center"/>
        <w:rPr>
          <w:rFonts w:ascii="宋体" w:hAnsi="宋体"/>
          <w:b/>
          <w:sz w:val="32"/>
          <w:szCs w:val="32"/>
        </w:rPr>
      </w:pPr>
      <w:bookmarkStart w:id="78" w:name="_Toc11030_WPSOffice_Level1"/>
      <w:bookmarkStart w:id="79" w:name="_Toc17604_WPSOffice_Level1"/>
      <w:r>
        <w:rPr>
          <w:rFonts w:hint="eastAsia" w:ascii="宋体" w:hAnsi="宋体"/>
          <w:b/>
          <w:sz w:val="32"/>
          <w:szCs w:val="32"/>
        </w:rPr>
        <w:t>证书一览表</w:t>
      </w:r>
      <w:bookmarkEnd w:id="78"/>
      <w:bookmarkEnd w:id="79"/>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pStyle w:val="34"/>
        <w:spacing w:line="360" w:lineRule="auto"/>
        <w:jc w:val="center"/>
        <w:rPr>
          <w:rFonts w:ascii="仿宋_GB2312" w:eastAsia="仿宋_GB2312"/>
          <w:b/>
          <w:sz w:val="28"/>
          <w:szCs w:val="28"/>
        </w:rPr>
      </w:pPr>
      <w:bookmarkStart w:id="80" w:name="_Toc7134_WPSOffice_Level1"/>
      <w:bookmarkStart w:id="81" w:name="_Toc19231_WPSOffice_Level1"/>
      <w:r>
        <w:rPr>
          <w:rFonts w:hint="eastAsia" w:ascii="宋体" w:hAnsi="宋体"/>
          <w:b/>
          <w:sz w:val="32"/>
          <w:szCs w:val="32"/>
        </w:rPr>
        <w:t>投标人类似项目实施情况一览表</w:t>
      </w:r>
      <w:bookmarkEnd w:id="80"/>
      <w:bookmarkEnd w:id="81"/>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0" w:leftChars="0" w:hanging="9" w:firstLineChars="0"/>
        <w:jc w:val="center"/>
        <w:rPr>
          <w:rFonts w:ascii="宋体" w:hAnsi="宋体"/>
          <w:b/>
          <w:sz w:val="18"/>
          <w:szCs w:val="18"/>
        </w:rPr>
      </w:pPr>
      <w:bookmarkStart w:id="82" w:name="_Toc21582_WPSOffice_Level1"/>
      <w:bookmarkStart w:id="83" w:name="_Toc3068_WPSOffice_Level1"/>
      <w:r>
        <w:rPr>
          <w:rFonts w:hint="eastAsia" w:ascii="宋体" w:hAnsi="宋体"/>
          <w:b/>
          <w:sz w:val="32"/>
          <w:szCs w:val="32"/>
        </w:rPr>
        <w:t>商务需求响应表</w:t>
      </w:r>
      <w:bookmarkEnd w:id="82"/>
      <w:bookmarkEnd w:id="83"/>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13</w:t>
      </w:r>
      <w:r>
        <w:rPr>
          <w:rFonts w:ascii="宋体" w:hAnsi="宋体"/>
          <w:b/>
          <w:sz w:val="28"/>
        </w:rPr>
        <w:tab/>
      </w:r>
    </w:p>
    <w:p>
      <w:pPr>
        <w:spacing w:line="360" w:lineRule="auto"/>
        <w:ind w:left="0" w:leftChars="0" w:firstLine="0" w:firstLineChars="0"/>
        <w:jc w:val="center"/>
        <w:rPr>
          <w:rFonts w:ascii="宋体" w:hAnsi="宋体"/>
          <w:b/>
          <w:sz w:val="24"/>
        </w:rPr>
      </w:pPr>
      <w:bookmarkStart w:id="84" w:name="_Toc3463_WPSOffice_Level1"/>
      <w:bookmarkStart w:id="85" w:name="_Toc29652_WPSOffice_Level1"/>
      <w:r>
        <w:rPr>
          <w:rFonts w:hint="eastAsia" w:ascii="宋体" w:hAnsi="宋体"/>
          <w:b/>
          <w:sz w:val="32"/>
          <w:szCs w:val="32"/>
        </w:rPr>
        <w:t>售后服务情况表</w:t>
      </w:r>
      <w:bookmarkEnd w:id="84"/>
      <w:bookmarkEnd w:id="85"/>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ind w:firstLine="0"/>
        <w:rPr>
          <w:rFonts w:ascii="宋体" w:hAnsi="宋体"/>
          <w:sz w:val="24"/>
          <w:u w:val="single"/>
        </w:rPr>
      </w:pPr>
    </w:p>
    <w:p>
      <w:pPr>
        <w:pStyle w:val="9"/>
        <w:ind w:firstLine="0"/>
        <w:rPr>
          <w:rFonts w:ascii="宋体" w:hAnsi="宋体"/>
          <w:sz w:val="24"/>
          <w:u w:val="single"/>
        </w:rPr>
      </w:pPr>
    </w:p>
    <w:p>
      <w:pPr>
        <w:pStyle w:val="9"/>
        <w:ind w:firstLine="0"/>
        <w:rPr>
          <w:rFonts w:ascii="宋体" w:hAnsi="宋体"/>
          <w:sz w:val="24"/>
          <w:u w:val="single"/>
        </w:rPr>
      </w:pPr>
    </w:p>
    <w:p>
      <w:pPr>
        <w:pStyle w:val="37"/>
        <w:spacing w:line="360" w:lineRule="auto"/>
        <w:rPr>
          <w:rFonts w:hint="default" w:hAnsi="宋体" w:eastAsiaTheme="minorEastAsia"/>
          <w:b/>
          <w:sz w:val="28"/>
          <w:szCs w:val="28"/>
          <w:lang w:val="en-US" w:eastAsia="zh-CN"/>
        </w:rPr>
      </w:pPr>
      <w:r>
        <w:rPr>
          <w:rFonts w:hint="eastAsia" w:hAnsi="宋体"/>
          <w:b/>
          <w:sz w:val="28"/>
          <w:szCs w:val="28"/>
        </w:rPr>
        <w:t>附件</w:t>
      </w:r>
      <w:r>
        <w:rPr>
          <w:rFonts w:hint="eastAsia" w:hAnsi="宋体"/>
          <w:b/>
          <w:sz w:val="28"/>
          <w:szCs w:val="28"/>
          <w:lang w:val="en-US" w:eastAsia="zh-CN"/>
        </w:rPr>
        <w:t>14</w:t>
      </w:r>
    </w:p>
    <w:p>
      <w:pPr>
        <w:pStyle w:val="37"/>
        <w:spacing w:line="360" w:lineRule="auto"/>
        <w:jc w:val="center"/>
        <w:rPr>
          <w:rFonts w:hAnsi="宋体"/>
          <w:b/>
          <w:sz w:val="32"/>
          <w:szCs w:val="32"/>
          <w:lang w:val="en-GB"/>
        </w:rPr>
      </w:pPr>
      <w:bookmarkStart w:id="86" w:name="_Toc15536_WPSOffice_Level1"/>
      <w:bookmarkStart w:id="87" w:name="_Toc16175_WPSOffice_Level1"/>
      <w:r>
        <w:rPr>
          <w:rFonts w:hint="eastAsia" w:hAnsi="宋体"/>
          <w:b/>
          <w:sz w:val="32"/>
          <w:szCs w:val="32"/>
        </w:rPr>
        <w:t>主要货物用材响应表(类似家具类货物采用)</w:t>
      </w:r>
      <w:bookmarkEnd w:id="86"/>
      <w:bookmarkEnd w:id="87"/>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88" w:name="_Toc21322_WPSOffice_Level1"/>
      <w:bookmarkStart w:id="89" w:name="_Toc4615_WPSOffice_Level1"/>
      <w:bookmarkStart w:id="90" w:name="_Toc30468_WPSOffice_Level1"/>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8"/>
      <w:bookmarkEnd w:id="89"/>
      <w:bookmarkEnd w:id="9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91" w:name="_Toc8885_WPSOffice_Level1"/>
      <w:bookmarkStart w:id="92" w:name="_Toc9453_WPSOffice_Level1"/>
      <w:r>
        <w:rPr>
          <w:rFonts w:hint="eastAsia"/>
          <w:sz w:val="84"/>
          <w:szCs w:val="84"/>
        </w:rPr>
        <w:t>报</w:t>
      </w:r>
      <w:bookmarkEnd w:id="91"/>
      <w:bookmarkEnd w:id="92"/>
    </w:p>
    <w:p>
      <w:pPr>
        <w:jc w:val="center"/>
        <w:rPr>
          <w:sz w:val="84"/>
          <w:szCs w:val="84"/>
        </w:rPr>
      </w:pPr>
      <w:bookmarkStart w:id="93" w:name="_Toc7485_WPSOffice_Level1"/>
      <w:bookmarkStart w:id="94" w:name="_Toc10910_WPSOffice_Level1"/>
      <w:r>
        <w:rPr>
          <w:rFonts w:hint="eastAsia"/>
          <w:sz w:val="84"/>
          <w:szCs w:val="84"/>
        </w:rPr>
        <w:t>价</w:t>
      </w:r>
      <w:bookmarkEnd w:id="93"/>
      <w:bookmarkEnd w:id="94"/>
    </w:p>
    <w:p>
      <w:pPr>
        <w:jc w:val="center"/>
        <w:rPr>
          <w:sz w:val="84"/>
          <w:szCs w:val="84"/>
        </w:rPr>
      </w:pPr>
      <w:bookmarkStart w:id="95" w:name="_Toc14572_WPSOffice_Level1"/>
      <w:bookmarkStart w:id="96" w:name="_Toc3932_WPSOffice_Level1"/>
      <w:r>
        <w:rPr>
          <w:rFonts w:hint="eastAsia"/>
          <w:sz w:val="84"/>
          <w:szCs w:val="84"/>
        </w:rPr>
        <w:t>文</w:t>
      </w:r>
      <w:bookmarkEnd w:id="95"/>
      <w:bookmarkEnd w:id="96"/>
    </w:p>
    <w:p>
      <w:pPr>
        <w:jc w:val="center"/>
        <w:rPr>
          <w:sz w:val="84"/>
          <w:szCs w:val="84"/>
        </w:rPr>
      </w:pPr>
      <w:bookmarkStart w:id="97" w:name="_Toc16973_WPSOffice_Level1"/>
      <w:bookmarkStart w:id="98" w:name="_Toc7562_WPSOffice_Level1"/>
      <w:r>
        <w:rPr>
          <w:rFonts w:hint="eastAsia"/>
          <w:sz w:val="84"/>
          <w:szCs w:val="84"/>
        </w:rPr>
        <w:t>件</w:t>
      </w:r>
      <w:bookmarkEnd w:id="97"/>
      <w:bookmarkEnd w:id="98"/>
    </w:p>
    <w:p>
      <w:pPr>
        <w:spacing w:line="360" w:lineRule="auto"/>
        <w:ind w:right="532"/>
        <w:rPr>
          <w:rFonts w:ascii="宋体" w:hAnsi="宋体"/>
          <w:sz w:val="36"/>
          <w:szCs w:val="36"/>
        </w:rPr>
      </w:pPr>
    </w:p>
    <w:p>
      <w:pPr>
        <w:pStyle w:val="20"/>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9" w:name="_Toc4603_WPSOffice_Level1"/>
      <w:bookmarkStart w:id="100" w:name="_Toc26700_WPSOffice_Level1"/>
      <w:r>
        <w:rPr>
          <w:rFonts w:hint="eastAsia" w:ascii="宋体" w:hAnsi="宋体"/>
          <w:sz w:val="36"/>
          <w:szCs w:val="36"/>
        </w:rPr>
        <w:t>投标人全称（公章）：</w:t>
      </w:r>
      <w:bookmarkEnd w:id="99"/>
      <w:bookmarkEnd w:id="100"/>
    </w:p>
    <w:p>
      <w:pPr>
        <w:spacing w:line="360" w:lineRule="auto"/>
        <w:ind w:right="-108" w:firstLine="720" w:firstLineChars="200"/>
        <w:rPr>
          <w:rFonts w:ascii="宋体" w:hAnsi="宋体"/>
          <w:sz w:val="36"/>
          <w:szCs w:val="36"/>
        </w:rPr>
      </w:pPr>
      <w:bookmarkStart w:id="101" w:name="_Toc1391_WPSOffice_Level1"/>
      <w:bookmarkStart w:id="102" w:name="_Toc32593_WPSOffice_Level1"/>
      <w:r>
        <w:rPr>
          <w:rFonts w:hint="eastAsia" w:ascii="宋体" w:hAnsi="宋体"/>
          <w:sz w:val="36"/>
          <w:szCs w:val="36"/>
        </w:rPr>
        <w:t>地    址：</w:t>
      </w:r>
      <w:bookmarkEnd w:id="101"/>
      <w:bookmarkEnd w:id="102"/>
    </w:p>
    <w:p>
      <w:pPr>
        <w:spacing w:line="360" w:lineRule="auto"/>
        <w:ind w:right="-108" w:firstLine="720" w:firstLineChars="200"/>
        <w:rPr>
          <w:rFonts w:ascii="宋体" w:hAnsi="宋体"/>
          <w:sz w:val="36"/>
          <w:szCs w:val="36"/>
        </w:rPr>
      </w:pPr>
      <w:bookmarkStart w:id="103" w:name="_Toc3791_WPSOffice_Level1"/>
      <w:bookmarkStart w:id="104" w:name="_Toc20938_WPSOffice_Level1"/>
      <w:r>
        <w:rPr>
          <w:rFonts w:hint="eastAsia" w:ascii="宋体" w:hAnsi="宋体"/>
          <w:sz w:val="36"/>
          <w:szCs w:val="36"/>
        </w:rPr>
        <w:t>时    间：</w:t>
      </w:r>
      <w:bookmarkEnd w:id="103"/>
      <w:bookmarkEnd w:id="104"/>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9"/>
        <w:ind w:left="0" w:leftChars="0" w:firstLine="0" w:firstLineChars="0"/>
        <w:rPr>
          <w:rFonts w:ascii="仿宋_GB2312" w:hAnsi="宋体" w:eastAsia="仿宋_GB2312"/>
          <w:b/>
          <w:sz w:val="36"/>
          <w:szCs w:val="36"/>
        </w:rPr>
      </w:pPr>
    </w:p>
    <w:p>
      <w:pPr>
        <w:pStyle w:val="9"/>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5" w:name="_Toc19972_WPSOffice_Level1"/>
      <w:bookmarkStart w:id="106" w:name="_Toc29537_WPSOffice_Level1"/>
      <w:r>
        <w:rPr>
          <w:rFonts w:hint="eastAsia" w:ascii="宋体" w:hAnsi="宋体"/>
          <w:b/>
          <w:bCs/>
          <w:sz w:val="36"/>
          <w:szCs w:val="36"/>
        </w:rPr>
        <w:t>报价文件目录</w:t>
      </w:r>
      <w:bookmarkEnd w:id="105"/>
      <w:bookmarkEnd w:id="106"/>
    </w:p>
    <w:p>
      <w:pPr>
        <w:pStyle w:val="20"/>
        <w:rPr>
          <w:rFonts w:hint="eastAsia"/>
        </w:rPr>
      </w:pPr>
    </w:p>
    <w:p>
      <w:pPr>
        <w:spacing w:line="360" w:lineRule="auto"/>
        <w:ind w:firstLine="480" w:firstLineChars="200"/>
        <w:rPr>
          <w:sz w:val="24"/>
        </w:rPr>
      </w:pPr>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7" w:name="_Toc6778_WPSOffice_Level1"/>
      <w:bookmarkStart w:id="108" w:name="_Toc29988_WPSOffice_Level1"/>
      <w:r>
        <w:rPr>
          <w:rFonts w:hint="eastAsia" w:asciiTheme="minorEastAsia" w:hAnsiTheme="minorEastAsia" w:eastAsiaTheme="minorEastAsia" w:cstheme="minorEastAsia"/>
          <w:sz w:val="28"/>
          <w:szCs w:val="28"/>
          <w:lang w:val="en-US" w:eastAsia="zh-CN"/>
        </w:rPr>
        <w:t>开标一览表（附件15）</w:t>
      </w:r>
      <w:bookmarkEnd w:id="107"/>
      <w:bookmarkEnd w:id="108"/>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9" w:name="_Toc15601_WPSOffice_Level1"/>
      <w:bookmarkStart w:id="110" w:name="_Toc11601_WPSOffice_Level1"/>
      <w:r>
        <w:rPr>
          <w:rFonts w:hint="eastAsia" w:asciiTheme="minorEastAsia" w:hAnsiTheme="minorEastAsia" w:eastAsiaTheme="minorEastAsia" w:cstheme="minorEastAsia"/>
          <w:sz w:val="28"/>
          <w:szCs w:val="28"/>
          <w:lang w:val="en-US" w:eastAsia="zh-CN"/>
        </w:rPr>
        <w:t>报价明细表（附件16）</w:t>
      </w:r>
      <w:bookmarkEnd w:id="109"/>
      <w:bookmarkEnd w:id="110"/>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1" w:name="_Toc45_WPSOffice_Level1"/>
      <w:bookmarkStart w:id="112" w:name="_Toc17543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（附件17）</w:t>
      </w:r>
      <w:bookmarkEnd w:id="111"/>
      <w:bookmarkEnd w:id="112"/>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2" w:hanging="2"/>
        <w:jc w:val="center"/>
        <w:rPr>
          <w:rFonts w:hint="eastAsia" w:ascii="宋体" w:hAnsi="宋体"/>
          <w:b/>
          <w:sz w:val="32"/>
          <w:szCs w:val="32"/>
        </w:rPr>
      </w:pPr>
      <w:bookmarkStart w:id="113" w:name="_Toc16144_WPSOffice_Level1"/>
      <w:bookmarkStart w:id="114" w:name="_Toc30363_WPSOffice_Level1"/>
      <w:r>
        <w:rPr>
          <w:rFonts w:hint="eastAsia" w:ascii="宋体" w:hAnsi="宋体"/>
          <w:b/>
          <w:sz w:val="32"/>
          <w:szCs w:val="32"/>
        </w:rPr>
        <w:t>开标一览表</w:t>
      </w:r>
      <w:bookmarkEnd w:id="113"/>
      <w:bookmarkEnd w:id="114"/>
    </w:p>
    <w:p>
      <w:pPr>
        <w:pStyle w:val="20"/>
      </w:pPr>
    </w:p>
    <w:p>
      <w:pPr>
        <w:pStyle w:val="13"/>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6</w:t>
      </w:r>
    </w:p>
    <w:p>
      <w:pPr>
        <w:spacing w:line="360" w:lineRule="auto"/>
        <w:jc w:val="center"/>
        <w:rPr>
          <w:rFonts w:hint="eastAsia" w:ascii="宋体" w:hAnsi="宋体"/>
          <w:sz w:val="24"/>
        </w:rPr>
      </w:pPr>
      <w:bookmarkStart w:id="115" w:name="_Toc22412_WPSOffice_Level1"/>
      <w:bookmarkStart w:id="116" w:name="_Toc8975_WPSOffice_Level1"/>
      <w:r>
        <w:rPr>
          <w:rFonts w:hint="eastAsia" w:ascii="宋体" w:hAnsi="宋体"/>
          <w:b/>
          <w:sz w:val="32"/>
          <w:szCs w:val="32"/>
        </w:rPr>
        <w:t>报价明细表</w:t>
      </w:r>
      <w:bookmarkEnd w:id="115"/>
      <w:bookmarkEnd w:id="116"/>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7</w:t>
      </w:r>
    </w:p>
    <w:p>
      <w:pPr>
        <w:pStyle w:val="9"/>
        <w:spacing w:line="360" w:lineRule="auto"/>
        <w:ind w:left="0" w:leftChars="0" w:firstLine="0" w:firstLineChars="0"/>
        <w:jc w:val="center"/>
        <w:rPr>
          <w:rFonts w:ascii="宋体" w:hAnsi="宋体" w:cs="宋体"/>
          <w:b/>
          <w:sz w:val="32"/>
          <w:szCs w:val="32"/>
        </w:rPr>
      </w:pPr>
      <w:bookmarkStart w:id="117" w:name="_Toc29357_WPSOffice_Level1"/>
      <w:bookmarkStart w:id="118" w:name="_Toc12654_WPSOffice_Level1"/>
      <w:r>
        <w:rPr>
          <w:rFonts w:hint="eastAsia" w:ascii="宋体" w:hAnsi="宋体" w:cs="宋体"/>
          <w:b/>
          <w:sz w:val="32"/>
          <w:szCs w:val="32"/>
        </w:rPr>
        <w:t>中小企业声明函（货物）</w:t>
      </w:r>
      <w:bookmarkEnd w:id="117"/>
      <w:bookmarkEnd w:id="118"/>
    </w:p>
    <w:p>
      <w:pPr>
        <w:pStyle w:val="9"/>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7" w:type="first"/>
          <w:footerReference r:id="rId9" w:type="first"/>
          <w:headerReference r:id="rId6" w:type="default"/>
          <w:footerReference r:id="rId8"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119" w:name="_Toc17646_WPSOffice_Level1"/>
      <w:bookmarkStart w:id="120" w:name="_Toc27483_WPSOffice_Level1"/>
      <w:r>
        <w:rPr>
          <w:rFonts w:hint="eastAsia" w:hAnsi="宋体" w:cs="宋体"/>
          <w:b/>
          <w:sz w:val="32"/>
          <w:szCs w:val="32"/>
          <w:lang w:val="en-GB"/>
        </w:rPr>
        <w:t>残疾人福利性单位声明函</w:t>
      </w:r>
      <w:bookmarkEnd w:id="119"/>
      <w:bookmarkEnd w:id="120"/>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政府采购文件公开招标货物类示范文本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931D4A4"/>
    <w:multiLevelType w:val="singleLevel"/>
    <w:tmpl w:val="F931D4A4"/>
    <w:lvl w:ilvl="0" w:tentative="0">
      <w:start w:val="1"/>
      <w:numFmt w:val="decimal"/>
      <w:lvlText w:val="%1."/>
      <w:lvlJc w:val="left"/>
      <w:pPr>
        <w:tabs>
          <w:tab w:val="left" w:pos="312"/>
        </w:tabs>
      </w:pPr>
    </w:lvl>
  </w:abstractNum>
  <w:abstractNum w:abstractNumId="6">
    <w:nsid w:val="FF4D4BA8"/>
    <w:multiLevelType w:val="singleLevel"/>
    <w:tmpl w:val="FF4D4BA8"/>
    <w:lvl w:ilvl="0" w:tentative="0">
      <w:start w:val="1"/>
      <w:numFmt w:val="decimal"/>
      <w:lvlText w:val="%1."/>
      <w:lvlJc w:val="left"/>
      <w:pPr>
        <w:ind w:left="425" w:hanging="425"/>
      </w:pPr>
      <w:rPr>
        <w:rFonts w:hint="default"/>
      </w:rPr>
    </w:lvl>
  </w:abstractNum>
  <w:abstractNum w:abstractNumId="7">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8">
    <w:nsid w:val="289F1F1C"/>
    <w:multiLevelType w:val="singleLevel"/>
    <w:tmpl w:val="289F1F1C"/>
    <w:lvl w:ilvl="0" w:tentative="0">
      <w:start w:val="1"/>
      <w:numFmt w:val="decimal"/>
      <w:lvlText w:val="%1."/>
      <w:lvlJc w:val="left"/>
      <w:pPr>
        <w:ind w:left="425" w:hanging="425"/>
      </w:pPr>
      <w:rPr>
        <w:rFonts w:hint="default"/>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1"/>
  </w:num>
  <w:num w:numId="10">
    <w:abstractNumId w:val="12"/>
  </w:num>
  <w:num w:numId="11">
    <w:abstractNumId w:val="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2799D"/>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16519"/>
    <w:rsid w:val="00E32B23"/>
    <w:rsid w:val="00E41EBA"/>
    <w:rsid w:val="00E448AC"/>
    <w:rsid w:val="00E66CDC"/>
    <w:rsid w:val="00EC04A9"/>
    <w:rsid w:val="00EF43FF"/>
    <w:rsid w:val="00F26F1C"/>
    <w:rsid w:val="01016402"/>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5C5B7D"/>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470F1"/>
    <w:rsid w:val="04E746F0"/>
    <w:rsid w:val="04E87471"/>
    <w:rsid w:val="050A0D5B"/>
    <w:rsid w:val="050D23B9"/>
    <w:rsid w:val="05162537"/>
    <w:rsid w:val="051E7487"/>
    <w:rsid w:val="053F0EAC"/>
    <w:rsid w:val="053F23D3"/>
    <w:rsid w:val="056B3DBF"/>
    <w:rsid w:val="057D6BFC"/>
    <w:rsid w:val="057E41A9"/>
    <w:rsid w:val="05B01B1D"/>
    <w:rsid w:val="05BC1DCB"/>
    <w:rsid w:val="05BC5BB6"/>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960032"/>
    <w:rsid w:val="079F3EE7"/>
    <w:rsid w:val="07AE41DE"/>
    <w:rsid w:val="07D85507"/>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352F"/>
    <w:rsid w:val="0C35472E"/>
    <w:rsid w:val="0C4551B9"/>
    <w:rsid w:val="0C480F3E"/>
    <w:rsid w:val="0C4813D5"/>
    <w:rsid w:val="0C585BE0"/>
    <w:rsid w:val="0C7E2237"/>
    <w:rsid w:val="0C9F1CEA"/>
    <w:rsid w:val="0CBE1DF9"/>
    <w:rsid w:val="0CC9599A"/>
    <w:rsid w:val="0CE0341A"/>
    <w:rsid w:val="0D10283C"/>
    <w:rsid w:val="0D3F7F2E"/>
    <w:rsid w:val="0D47704E"/>
    <w:rsid w:val="0D494870"/>
    <w:rsid w:val="0D5456F5"/>
    <w:rsid w:val="0D5955C7"/>
    <w:rsid w:val="0D705EC6"/>
    <w:rsid w:val="0D7C5049"/>
    <w:rsid w:val="0D83675C"/>
    <w:rsid w:val="0D8C75B3"/>
    <w:rsid w:val="0D993D14"/>
    <w:rsid w:val="0D9E0018"/>
    <w:rsid w:val="0DAD6C29"/>
    <w:rsid w:val="0DB757B9"/>
    <w:rsid w:val="0DC23A69"/>
    <w:rsid w:val="0DE7555E"/>
    <w:rsid w:val="0DF06351"/>
    <w:rsid w:val="0E0979BF"/>
    <w:rsid w:val="0E5A014C"/>
    <w:rsid w:val="0E5E4DB8"/>
    <w:rsid w:val="0E5F6E07"/>
    <w:rsid w:val="0E607B1B"/>
    <w:rsid w:val="0E6126CF"/>
    <w:rsid w:val="0E635AF2"/>
    <w:rsid w:val="0E7F77A7"/>
    <w:rsid w:val="0E8405CA"/>
    <w:rsid w:val="0E8D5133"/>
    <w:rsid w:val="0E971943"/>
    <w:rsid w:val="0EB1236A"/>
    <w:rsid w:val="0F197C6F"/>
    <w:rsid w:val="0F270991"/>
    <w:rsid w:val="0F3E6F11"/>
    <w:rsid w:val="0F6F7789"/>
    <w:rsid w:val="0FC27645"/>
    <w:rsid w:val="1005731A"/>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433806"/>
    <w:rsid w:val="11537715"/>
    <w:rsid w:val="11565610"/>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4F29B3"/>
    <w:rsid w:val="18810539"/>
    <w:rsid w:val="189452E2"/>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7A7256"/>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2170A"/>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E317170"/>
    <w:rsid w:val="1E331E3B"/>
    <w:rsid w:val="1E4914EC"/>
    <w:rsid w:val="1E561B49"/>
    <w:rsid w:val="1E5B5B74"/>
    <w:rsid w:val="1E925E44"/>
    <w:rsid w:val="1EDB21B2"/>
    <w:rsid w:val="1EE21D29"/>
    <w:rsid w:val="1F0B37C8"/>
    <w:rsid w:val="1F280F4B"/>
    <w:rsid w:val="1F3E1D5D"/>
    <w:rsid w:val="1F441C9D"/>
    <w:rsid w:val="1F4F3DC6"/>
    <w:rsid w:val="1F6E3177"/>
    <w:rsid w:val="1F6F04BA"/>
    <w:rsid w:val="1F6F7A87"/>
    <w:rsid w:val="1F7742A1"/>
    <w:rsid w:val="1F832B7E"/>
    <w:rsid w:val="1F8C15A6"/>
    <w:rsid w:val="1F986F45"/>
    <w:rsid w:val="1F9F6666"/>
    <w:rsid w:val="1FCD6552"/>
    <w:rsid w:val="1FE07634"/>
    <w:rsid w:val="1FF829ED"/>
    <w:rsid w:val="20027E74"/>
    <w:rsid w:val="200A44E7"/>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7334E7"/>
    <w:rsid w:val="22734646"/>
    <w:rsid w:val="22AE1EDE"/>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AF2F03"/>
    <w:rsid w:val="26B424FB"/>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F3604"/>
    <w:rsid w:val="27D26786"/>
    <w:rsid w:val="27EA6257"/>
    <w:rsid w:val="27ED6739"/>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1E5605"/>
    <w:rsid w:val="293430C2"/>
    <w:rsid w:val="29394DC3"/>
    <w:rsid w:val="294D3F3D"/>
    <w:rsid w:val="296A69AB"/>
    <w:rsid w:val="296E2E4C"/>
    <w:rsid w:val="297A28A9"/>
    <w:rsid w:val="29871168"/>
    <w:rsid w:val="29947729"/>
    <w:rsid w:val="299C3570"/>
    <w:rsid w:val="299C610E"/>
    <w:rsid w:val="299F7580"/>
    <w:rsid w:val="29B24934"/>
    <w:rsid w:val="29B661A7"/>
    <w:rsid w:val="29C25DAC"/>
    <w:rsid w:val="29EF59E7"/>
    <w:rsid w:val="29F869C7"/>
    <w:rsid w:val="29F9146A"/>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C0521"/>
    <w:rsid w:val="2D1D236A"/>
    <w:rsid w:val="2D335858"/>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5293E"/>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83182"/>
    <w:rsid w:val="32DA51AD"/>
    <w:rsid w:val="32DC671C"/>
    <w:rsid w:val="33091096"/>
    <w:rsid w:val="331610B0"/>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105CF7"/>
    <w:rsid w:val="3562042D"/>
    <w:rsid w:val="356608C9"/>
    <w:rsid w:val="35850AE6"/>
    <w:rsid w:val="35DE1818"/>
    <w:rsid w:val="35E06871"/>
    <w:rsid w:val="36146F55"/>
    <w:rsid w:val="36787E34"/>
    <w:rsid w:val="36CD4B67"/>
    <w:rsid w:val="36D974F7"/>
    <w:rsid w:val="36E03CF2"/>
    <w:rsid w:val="36E05B33"/>
    <w:rsid w:val="36E77649"/>
    <w:rsid w:val="36FC06E4"/>
    <w:rsid w:val="37002BA5"/>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BE4E53"/>
    <w:rsid w:val="3BC76E9C"/>
    <w:rsid w:val="3BCB467A"/>
    <w:rsid w:val="3BE90506"/>
    <w:rsid w:val="3BEB6832"/>
    <w:rsid w:val="3BF45DB6"/>
    <w:rsid w:val="3BFA06DC"/>
    <w:rsid w:val="3C2E5ED4"/>
    <w:rsid w:val="3C40766B"/>
    <w:rsid w:val="3C7F621D"/>
    <w:rsid w:val="3C8B47EB"/>
    <w:rsid w:val="3CBB6AC9"/>
    <w:rsid w:val="3CBD35C8"/>
    <w:rsid w:val="3CEB1A97"/>
    <w:rsid w:val="3D1456AE"/>
    <w:rsid w:val="3D145DCC"/>
    <w:rsid w:val="3D1C0002"/>
    <w:rsid w:val="3D2962ED"/>
    <w:rsid w:val="3D2D7B94"/>
    <w:rsid w:val="3D340B81"/>
    <w:rsid w:val="3D4E706F"/>
    <w:rsid w:val="3D8311E9"/>
    <w:rsid w:val="3DAA319C"/>
    <w:rsid w:val="3E036111"/>
    <w:rsid w:val="3E2C1657"/>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167DAC"/>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76836"/>
    <w:rsid w:val="420F1D94"/>
    <w:rsid w:val="423B1FA8"/>
    <w:rsid w:val="424E4424"/>
    <w:rsid w:val="429325D1"/>
    <w:rsid w:val="429B53DF"/>
    <w:rsid w:val="429E3CF8"/>
    <w:rsid w:val="42BC7452"/>
    <w:rsid w:val="42D12138"/>
    <w:rsid w:val="42F7079D"/>
    <w:rsid w:val="430D4AC0"/>
    <w:rsid w:val="431E047F"/>
    <w:rsid w:val="431E65EF"/>
    <w:rsid w:val="43522956"/>
    <w:rsid w:val="43624EAD"/>
    <w:rsid w:val="437750CA"/>
    <w:rsid w:val="437C1BC3"/>
    <w:rsid w:val="438D45B9"/>
    <w:rsid w:val="43985D00"/>
    <w:rsid w:val="43986BA3"/>
    <w:rsid w:val="43AB2F4E"/>
    <w:rsid w:val="43AC3F44"/>
    <w:rsid w:val="43B1210D"/>
    <w:rsid w:val="43C35DC9"/>
    <w:rsid w:val="43C53F65"/>
    <w:rsid w:val="43DE77F3"/>
    <w:rsid w:val="43EF7EFB"/>
    <w:rsid w:val="43FA2050"/>
    <w:rsid w:val="4400649E"/>
    <w:rsid w:val="441910A9"/>
    <w:rsid w:val="44500782"/>
    <w:rsid w:val="445F203F"/>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5FB4B61"/>
    <w:rsid w:val="46052F0A"/>
    <w:rsid w:val="460C379B"/>
    <w:rsid w:val="462B2635"/>
    <w:rsid w:val="464A3711"/>
    <w:rsid w:val="466B4F4C"/>
    <w:rsid w:val="469246C4"/>
    <w:rsid w:val="46977D08"/>
    <w:rsid w:val="46AF3AB5"/>
    <w:rsid w:val="46E25CA4"/>
    <w:rsid w:val="46E37251"/>
    <w:rsid w:val="46F40267"/>
    <w:rsid w:val="47017932"/>
    <w:rsid w:val="47294A71"/>
    <w:rsid w:val="474C71DB"/>
    <w:rsid w:val="47501D98"/>
    <w:rsid w:val="475662DB"/>
    <w:rsid w:val="47651690"/>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F76671"/>
    <w:rsid w:val="4AFB6678"/>
    <w:rsid w:val="4B12483C"/>
    <w:rsid w:val="4B17558A"/>
    <w:rsid w:val="4B1B4C10"/>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2F0B94"/>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573360"/>
    <w:rsid w:val="50705EA7"/>
    <w:rsid w:val="508A0BD0"/>
    <w:rsid w:val="508E4B33"/>
    <w:rsid w:val="50CB3E82"/>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1F97291"/>
    <w:rsid w:val="52144845"/>
    <w:rsid w:val="522B4481"/>
    <w:rsid w:val="523F3431"/>
    <w:rsid w:val="52433E33"/>
    <w:rsid w:val="52461D9B"/>
    <w:rsid w:val="52556F68"/>
    <w:rsid w:val="526131D0"/>
    <w:rsid w:val="527A0BC1"/>
    <w:rsid w:val="528E5F94"/>
    <w:rsid w:val="52B73817"/>
    <w:rsid w:val="53014F84"/>
    <w:rsid w:val="53081FE2"/>
    <w:rsid w:val="532E7ECE"/>
    <w:rsid w:val="53757657"/>
    <w:rsid w:val="53836E13"/>
    <w:rsid w:val="5399393C"/>
    <w:rsid w:val="53BC34C4"/>
    <w:rsid w:val="53CE29B7"/>
    <w:rsid w:val="5423339D"/>
    <w:rsid w:val="54451376"/>
    <w:rsid w:val="545B0024"/>
    <w:rsid w:val="54623CCF"/>
    <w:rsid w:val="54783F91"/>
    <w:rsid w:val="54C52C01"/>
    <w:rsid w:val="54DE257B"/>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4C5B85"/>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C52ADE"/>
    <w:rsid w:val="5C1E7608"/>
    <w:rsid w:val="5C60141A"/>
    <w:rsid w:val="5C691962"/>
    <w:rsid w:val="5C8D4642"/>
    <w:rsid w:val="5CA70BEA"/>
    <w:rsid w:val="5CFA70E0"/>
    <w:rsid w:val="5CFF3634"/>
    <w:rsid w:val="5D0B0214"/>
    <w:rsid w:val="5D1A0A42"/>
    <w:rsid w:val="5D282771"/>
    <w:rsid w:val="5D333A91"/>
    <w:rsid w:val="5D3A4C89"/>
    <w:rsid w:val="5D42151C"/>
    <w:rsid w:val="5D4F1710"/>
    <w:rsid w:val="5D5D43F4"/>
    <w:rsid w:val="5D71045F"/>
    <w:rsid w:val="5D8A305B"/>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E56ABB"/>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8F365A"/>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A7BA1"/>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2C9C"/>
    <w:rsid w:val="6ACC4B2B"/>
    <w:rsid w:val="6AD5470C"/>
    <w:rsid w:val="6B156F01"/>
    <w:rsid w:val="6B1823F4"/>
    <w:rsid w:val="6B2561E8"/>
    <w:rsid w:val="6B302155"/>
    <w:rsid w:val="6B5061B8"/>
    <w:rsid w:val="6B5541CC"/>
    <w:rsid w:val="6B594757"/>
    <w:rsid w:val="6B794694"/>
    <w:rsid w:val="6BB10ECA"/>
    <w:rsid w:val="6BB80CD3"/>
    <w:rsid w:val="6BD97443"/>
    <w:rsid w:val="6BE154D6"/>
    <w:rsid w:val="6BFA34BF"/>
    <w:rsid w:val="6C1E27AA"/>
    <w:rsid w:val="6C245408"/>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6FFD220E"/>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444174"/>
    <w:rsid w:val="735F4C52"/>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E13877"/>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3D3837"/>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BE02AE"/>
    <w:rsid w:val="79C44E91"/>
    <w:rsid w:val="79D75B18"/>
    <w:rsid w:val="79F9227E"/>
    <w:rsid w:val="7A03141B"/>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CC500B7"/>
    <w:rsid w:val="7D1B3CD3"/>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10147"/>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autoRedefine/>
    <w:qFormat/>
    <w:uiPriority w:val="0"/>
    <w:pPr>
      <w:ind w:firstLine="200" w:firstLineChars="200"/>
    </w:pPr>
  </w:style>
  <w:style w:type="paragraph" w:styleId="3">
    <w:name w:val="Body Text"/>
    <w:basedOn w:val="1"/>
    <w:autoRedefine/>
    <w:qFormat/>
    <w:uiPriority w:val="0"/>
    <w:pPr>
      <w:spacing w:line="360" w:lineRule="exact"/>
    </w:pPr>
    <w:rPr>
      <w:sz w:val="24"/>
    </w:rPr>
  </w:style>
  <w:style w:type="paragraph" w:styleId="4">
    <w:name w:val="toc 6"/>
    <w:basedOn w:val="1"/>
    <w:next w:val="1"/>
    <w:autoRedefine/>
    <w:unhideWhenUsed/>
    <w:qFormat/>
    <w:uiPriority w:val="39"/>
    <w:pPr>
      <w:widowControl/>
      <w:ind w:left="2100" w:leftChars="1000"/>
      <w:jc w:val="left"/>
    </w:pPr>
    <w:rPr>
      <w:rFonts w:ascii="宋体" w:hAnsi="宋体" w:cs="宋体"/>
      <w:kern w:val="0"/>
      <w:sz w:val="24"/>
    </w:rPr>
  </w:style>
  <w:style w:type="paragraph" w:styleId="8">
    <w:name w:val="List Number"/>
    <w:basedOn w:val="1"/>
    <w:autoRedefine/>
    <w:qFormat/>
    <w:uiPriority w:val="0"/>
    <w:pPr>
      <w:numPr>
        <w:ilvl w:val="0"/>
        <w:numId w:val="2"/>
      </w:numPr>
    </w:pPr>
  </w:style>
  <w:style w:type="paragraph" w:styleId="9">
    <w:name w:val="Normal Indent"/>
    <w:basedOn w:val="1"/>
    <w:next w:val="1"/>
    <w:autoRedefine/>
    <w:qFormat/>
    <w:uiPriority w:val="0"/>
    <w:pPr>
      <w:ind w:firstLine="420"/>
    </w:pPr>
    <w:rPr>
      <w:szCs w:val="20"/>
    </w:rPr>
  </w:style>
  <w:style w:type="paragraph" w:styleId="10">
    <w:name w:val="toa heading"/>
    <w:basedOn w:val="1"/>
    <w:next w:val="1"/>
    <w:autoRedefine/>
    <w:semiHidden/>
    <w:qFormat/>
    <w:uiPriority w:val="99"/>
    <w:pPr>
      <w:spacing w:before="120"/>
    </w:pPr>
    <w:rPr>
      <w:rFonts w:ascii="Arial" w:hAnsi="Arial" w:cs="Arial"/>
      <w:sz w:val="24"/>
    </w:rPr>
  </w:style>
  <w:style w:type="paragraph" w:styleId="11">
    <w:name w:val="annotation text"/>
    <w:basedOn w:val="1"/>
    <w:autoRedefine/>
    <w:qFormat/>
    <w:uiPriority w:val="0"/>
    <w:pPr>
      <w:jc w:val="left"/>
    </w:pPr>
  </w:style>
  <w:style w:type="paragraph" w:styleId="12">
    <w:name w:val="Body Text Indent"/>
    <w:basedOn w:val="1"/>
    <w:next w:val="1"/>
    <w:autoRedefine/>
    <w:qFormat/>
    <w:uiPriority w:val="0"/>
    <w:pPr>
      <w:spacing w:after="120"/>
      <w:ind w:left="420" w:leftChars="200"/>
    </w:pPr>
  </w:style>
  <w:style w:type="paragraph" w:styleId="13">
    <w:name w:val="Plain Text"/>
    <w:basedOn w:val="1"/>
    <w:next w:val="14"/>
    <w:autoRedefine/>
    <w:qFormat/>
    <w:uiPriority w:val="0"/>
    <w:rPr>
      <w:rFonts w:ascii="宋体" w:hAnsi="Courier New" w:cstheme="minorBidi"/>
    </w:rPr>
  </w:style>
  <w:style w:type="paragraph" w:styleId="14">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0"/>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2"/>
    <w:basedOn w:val="12"/>
    <w:autoRedefine/>
    <w:qFormat/>
    <w:uiPriority w:val="0"/>
    <w:pPr>
      <w:ind w:firstLine="420"/>
    </w:pPr>
  </w:style>
  <w:style w:type="table" w:styleId="22">
    <w:name w:val="Table Grid"/>
    <w:basedOn w:val="21"/>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autoRedefine/>
    <w:qFormat/>
    <w:uiPriority w:val="0"/>
    <w:rPr>
      <w:color w:val="800080"/>
      <w:u w:val="single"/>
    </w:rPr>
  </w:style>
  <w:style w:type="character" w:styleId="25">
    <w:name w:val="Hyperlink"/>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autoRedefine/>
    <w:qFormat/>
    <w:uiPriority w:val="34"/>
    <w:pPr>
      <w:ind w:firstLine="420" w:firstLineChars="200"/>
    </w:pPr>
    <w:rPr>
      <w:rFonts w:ascii="Calibri" w:hAnsi="Calibri"/>
      <w:szCs w:val="22"/>
    </w:rPr>
  </w:style>
  <w:style w:type="paragraph" w:customStyle="1" w:styleId="29">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autoRedefine/>
    <w:qFormat/>
    <w:uiPriority w:val="0"/>
    <w:rPr>
      <w:rFonts w:ascii="Times New Roman" w:hAnsi="Times New Roman" w:eastAsia="宋体" w:cs="Times New Roman"/>
      <w:sz w:val="21"/>
      <w:szCs w:val="22"/>
      <w:lang w:val="en-US" w:eastAsia="zh-CN" w:bidi="ar-SA"/>
    </w:rPr>
  </w:style>
  <w:style w:type="paragraph" w:customStyle="1" w:styleId="34">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autoRedefine/>
    <w:qFormat/>
    <w:uiPriority w:val="0"/>
    <w:pPr>
      <w:widowControl/>
      <w:jc w:val="left"/>
    </w:pPr>
    <w:rPr>
      <w:rFonts w:ascii="宋体" w:hAnsi="Courier New" w:eastAsiaTheme="minorEastAsia" w:cstheme="minorBidi"/>
      <w:szCs w:val="21"/>
    </w:rPr>
  </w:style>
  <w:style w:type="paragraph" w:customStyle="1" w:styleId="38">
    <w:name w:val="纯文本_0_1"/>
    <w:basedOn w:val="1"/>
    <w:autoRedefine/>
    <w:qFormat/>
    <w:uiPriority w:val="0"/>
    <w:pPr>
      <w:widowControl/>
      <w:jc w:val="left"/>
    </w:pPr>
    <w:rPr>
      <w:rFonts w:ascii="宋体" w:hAnsi="Courier New" w:eastAsiaTheme="minorEastAsia" w:cstheme="minorBidi"/>
      <w:szCs w:val="21"/>
    </w:rPr>
  </w:style>
  <w:style w:type="paragraph" w:customStyle="1" w:styleId="39">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autoRedefine/>
    <w:qFormat/>
    <w:uiPriority w:val="0"/>
    <w:rPr>
      <w:rFonts w:hint="default" w:ascii="Arial" w:hAnsi="Arial" w:cs="Arial"/>
      <w:color w:val="000000"/>
      <w:sz w:val="20"/>
      <w:szCs w:val="20"/>
      <w:u w:val="none"/>
    </w:rPr>
  </w:style>
  <w:style w:type="character" w:customStyle="1" w:styleId="44">
    <w:name w:val="font01"/>
    <w:basedOn w:val="23"/>
    <w:autoRedefine/>
    <w:qFormat/>
    <w:uiPriority w:val="0"/>
    <w:rPr>
      <w:rFonts w:hint="eastAsia" w:ascii="宋体" w:hAnsi="宋体" w:eastAsia="宋体" w:cs="宋体"/>
      <w:color w:val="000000"/>
      <w:sz w:val="20"/>
      <w:szCs w:val="20"/>
      <w:u w:val="none"/>
    </w:rPr>
  </w:style>
  <w:style w:type="paragraph" w:customStyle="1" w:styleId="45">
    <w:name w:val="纯文本1"/>
    <w:basedOn w:val="46"/>
    <w:autoRedefine/>
    <w:qFormat/>
    <w:uiPriority w:val="0"/>
    <w:pPr>
      <w:widowControl/>
      <w:jc w:val="left"/>
    </w:pPr>
    <w:rPr>
      <w:rFonts w:ascii="宋体" w:hAnsi="Courier New"/>
    </w:rPr>
  </w:style>
  <w:style w:type="paragraph" w:customStyle="1" w:styleId="4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autoRedefine/>
    <w:qFormat/>
    <w:uiPriority w:val="1"/>
    <w:rPr>
      <w:rFonts w:ascii="宋体" w:hAnsi="宋体" w:cs="宋体"/>
    </w:rPr>
  </w:style>
  <w:style w:type="paragraph" w:customStyle="1" w:styleId="48">
    <w:name w:val="WPSOffice手动目录 1"/>
    <w:autoRedefine/>
    <w:qFormat/>
    <w:uiPriority w:val="0"/>
    <w:rPr>
      <w:rFonts w:ascii="Times New Roman" w:hAnsi="Times New Roman" w:eastAsia="宋体" w:cs="Times New Roman"/>
      <w:lang w:val="en-US" w:eastAsia="zh-CN" w:bidi="ar-SA"/>
    </w:rPr>
  </w:style>
  <w:style w:type="character" w:customStyle="1" w:styleId="49">
    <w:name w:val="标题 1 Char Char"/>
    <w:basedOn w:val="23"/>
    <w:autoRedefine/>
    <w:qFormat/>
    <w:uiPriority w:val="0"/>
    <w:rPr>
      <w:rFonts w:eastAsia="宋体"/>
      <w:b/>
      <w:spacing w:val="-2"/>
      <w:sz w:val="24"/>
      <w:lang w:val="en-US" w:eastAsia="zh-CN" w:bidi="ar-SA"/>
    </w:rPr>
  </w:style>
  <w:style w:type="character" w:customStyle="1" w:styleId="50">
    <w:name w:val="批注框文本 Char"/>
    <w:basedOn w:val="23"/>
    <w:link w:val="15"/>
    <w:autoRedefine/>
    <w:qFormat/>
    <w:uiPriority w:val="0"/>
    <w:rPr>
      <w:kern w:val="2"/>
      <w:sz w:val="18"/>
      <w:szCs w:val="18"/>
    </w:rPr>
  </w:style>
  <w:style w:type="paragraph" w:customStyle="1" w:styleId="51">
    <w:name w:val="Body Text Indent 2_bb4d1f65-70a2-4f69-8af3-194d898dc300"/>
    <w:basedOn w:val="1"/>
    <w:autoRedefine/>
    <w:qFormat/>
    <w:uiPriority w:val="0"/>
    <w:pPr>
      <w:spacing w:after="120" w:line="480" w:lineRule="auto"/>
      <w:ind w:left="200" w:leftChars="200"/>
    </w:pPr>
  </w:style>
  <w:style w:type="paragraph" w:customStyle="1" w:styleId="52">
    <w:name w:val="Default"/>
    <w:next w:val="1"/>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53">
    <w:name w:val="font31"/>
    <w:basedOn w:val="23"/>
    <w:autoRedefine/>
    <w:qFormat/>
    <w:uiPriority w:val="0"/>
    <w:rPr>
      <w:rFonts w:hint="eastAsia" w:ascii="等线" w:hAnsi="等线" w:eastAsia="等线" w:cs="等线"/>
      <w:color w:val="FF0000"/>
      <w:sz w:val="22"/>
      <w:szCs w:val="22"/>
      <w:u w:val="none"/>
    </w:rPr>
  </w:style>
  <w:style w:type="character" w:customStyle="1" w:styleId="54">
    <w:name w:val="font11"/>
    <w:basedOn w:val="23"/>
    <w:autoRedefine/>
    <w:qFormat/>
    <w:uiPriority w:val="0"/>
    <w:rPr>
      <w:rFonts w:hint="eastAsia" w:ascii="等线" w:hAnsi="等线" w:eastAsia="等线" w:cs="等线"/>
      <w:color w:val="00B0F0"/>
      <w:sz w:val="22"/>
      <w:szCs w:val="22"/>
      <w:u w:val="none"/>
    </w:rPr>
  </w:style>
  <w:style w:type="character" w:customStyle="1" w:styleId="55">
    <w:name w:val="font131"/>
    <w:basedOn w:val="23"/>
    <w:autoRedefine/>
    <w:qFormat/>
    <w:uiPriority w:val="0"/>
    <w:rPr>
      <w:rFonts w:hint="default"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21644</Words>
  <Characters>22312</Characters>
  <Lines>174</Lines>
  <Paragraphs>49</Paragraphs>
  <TotalTime>3</TotalTime>
  <ScaleCrop>false</ScaleCrop>
  <LinksUpToDate>false</LinksUpToDate>
  <CharactersWithSpaces>24166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黑夜与猫</cp:lastModifiedBy>
  <cp:lastPrinted>2021-08-18T01:05:00Z</cp:lastPrinted>
  <dcterms:modified xsi:type="dcterms:W3CDTF">2024-03-12T03:00:28Z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56099B2E4D2A4F63A2AAC9078C67EC41</vt:lpwstr>
  </property>
</Properties>
</file>