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3"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kern w:val="0"/>
          <w:sz w:val="32"/>
          <w:lang w:val="en-US" w:eastAsia="zh-CN"/>
        </w:rPr>
        <w:t>-2024-GK008</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hint="default" w:ascii="宋体" w:eastAsia="宋体"/>
          <w:kern w:val="0"/>
          <w:sz w:val="28"/>
          <w:lang w:val="en-US" w:eastAsia="zh-CN"/>
        </w:rPr>
      </w:pPr>
      <w:r>
        <w:rPr>
          <w:rFonts w:hint="eastAsia" w:ascii="宋体"/>
          <w:kern w:val="0"/>
          <w:sz w:val="28"/>
        </w:rPr>
        <w:t>采购项目：台州市公安局技侦数据分中心</w:t>
      </w:r>
      <w:r>
        <w:rPr>
          <w:rFonts w:hint="eastAsia" w:ascii="宋体"/>
          <w:kern w:val="0"/>
          <w:sz w:val="28"/>
          <w:lang w:val="en-US" w:eastAsia="zh-CN"/>
        </w:rPr>
        <w:t>服务器等设备采购项目</w:t>
      </w: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人：台州市公安局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2024</w:t>
      </w:r>
      <w:r>
        <w:rPr>
          <w:rFonts w:hint="eastAsia" w:ascii="宋体" w:hAnsi="宋体" w:cs="宋体"/>
          <w:color w:val="auto"/>
          <w:kern w:val="0"/>
          <w:sz w:val="28"/>
          <w:szCs w:val="28"/>
          <w:lang w:val="en-US" w:eastAsia="zh-CN"/>
        </w:rPr>
        <w:t xml:space="preserve"> </w:t>
      </w:r>
      <w:r>
        <w:rPr>
          <w:rFonts w:hint="eastAsia" w:ascii="宋体" w:hAnsi="宋体" w:cs="宋体"/>
          <w:color w:val="auto"/>
          <w:kern w:val="0"/>
          <w:sz w:val="28"/>
          <w:szCs w:val="28"/>
        </w:rPr>
        <w:t xml:space="preserve">年 </w:t>
      </w: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 xml:space="preserve"> 月 </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 xml:space="preserve"> 日</w:t>
      </w:r>
    </w:p>
    <w:p>
      <w:pPr>
        <w:spacing w:line="360" w:lineRule="auto"/>
      </w:pPr>
    </w:p>
    <w:p>
      <w:pPr>
        <w:pStyle w:val="2"/>
      </w:pPr>
    </w:p>
    <w:p>
      <w:pPr>
        <w:pStyle w:val="2"/>
      </w:pPr>
    </w:p>
    <w:p>
      <w:pPr>
        <w:pStyle w:val="2"/>
      </w:pPr>
    </w:p>
    <w:p>
      <w:pPr>
        <w:pStyle w:val="2"/>
      </w:pPr>
    </w:p>
    <w:p>
      <w:pPr>
        <w:pStyle w:val="2"/>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both"/>
            <w:rPr>
              <w:rFonts w:ascii="宋体" w:hAnsi="宋体"/>
              <w:kern w:val="0"/>
              <w:sz w:val="28"/>
              <w:szCs w:val="28"/>
            </w:rPr>
          </w:pPr>
          <w:bookmarkStart w:id="0" w:name="_Toc25017_WPSOffice_Type1"/>
        </w:p>
        <w:p>
          <w:pPr>
            <w:pStyle w:val="2"/>
          </w:pPr>
        </w:p>
        <w:p>
          <w:pPr>
            <w:spacing w:line="480" w:lineRule="auto"/>
            <w:jc w:val="center"/>
            <w:rPr>
              <w:rFonts w:hint="eastAsia" w:ascii="宋体" w:hAnsi="宋体"/>
              <w:b/>
              <w:bCs/>
              <w:sz w:val="36"/>
              <w:szCs w:val="36"/>
            </w:rPr>
          </w:pPr>
          <w:r>
            <w:rPr>
              <w:rFonts w:hint="eastAsia" w:ascii="宋体" w:hAnsi="宋体"/>
              <w:b/>
              <w:bCs/>
              <w:sz w:val="36"/>
              <w:szCs w:val="36"/>
            </w:rPr>
            <w:t>目  录</w:t>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7"/>
            <w:tabs>
              <w:tab w:val="right" w:leader="dot" w:pos="8620"/>
            </w:tabs>
            <w:rPr>
              <w:rFonts w:hint="eastAsia" w:eastAsiaTheme="minorEastAsia" w:cstheme="minorBidi"/>
              <w:sz w:val="28"/>
              <w:szCs w:val="28"/>
              <w:lang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7"/>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hint="eastAsia" w:eastAsiaTheme="minorEastAsia" w:cstheme="minorBidi"/>
              <w:sz w:val="28"/>
              <w:szCs w:val="28"/>
            </w:rPr>
            <w:tab/>
          </w:r>
          <w:r>
            <w:rPr>
              <w:rFonts w:hint="eastAsia" w:eastAsiaTheme="minorEastAsia" w:cstheme="minorBidi"/>
              <w:sz w:val="28"/>
              <w:szCs w:val="28"/>
              <w:lang w:val="en-US" w:eastAsia="zh-CN"/>
            </w:rPr>
            <w:t>9</w:t>
          </w:r>
          <w:r>
            <w:rPr>
              <w:rFonts w:hint="eastAsia" w:eastAsiaTheme="minorEastAsia" w:cstheme="minorBidi"/>
              <w:sz w:val="28"/>
              <w:szCs w:val="28"/>
            </w:rPr>
            <w:fldChar w:fldCharType="end"/>
          </w:r>
          <w:r>
            <w:rPr>
              <w:rFonts w:hint="eastAsia" w:eastAsiaTheme="minorEastAsia" w:cstheme="minorBidi"/>
              <w:sz w:val="28"/>
              <w:szCs w:val="28"/>
              <w:lang w:val="en-US" w:eastAsia="zh-CN"/>
            </w:rPr>
            <w:t>9</w:t>
          </w:r>
        </w:p>
        <w:p>
          <w:pPr>
            <w:pStyle w:val="17"/>
            <w:tabs>
              <w:tab w:val="right" w:leader="dot" w:pos="8620"/>
            </w:tabs>
            <w:rPr>
              <w:rFonts w:hint="default"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r>
            <w:rPr>
              <w:rFonts w:hint="eastAsia" w:eastAsiaTheme="minorEastAsia" w:cstheme="minorBidi"/>
              <w:sz w:val="28"/>
              <w:szCs w:val="28"/>
              <w:lang w:val="en-US" w:eastAsia="zh-CN"/>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07</w:t>
          </w:r>
        </w:p>
        <w:p>
          <w:pPr>
            <w:pStyle w:val="17"/>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2" w:name="_Toc5481_WPSOffice_Level1Page"/>
          <w:r>
            <w:rPr>
              <w:rFonts w:hint="eastAsia" w:eastAsiaTheme="minorEastAsia" w:cstheme="minorBidi"/>
              <w:sz w:val="28"/>
              <w:szCs w:val="28"/>
              <w:lang w:val="en-US" w:eastAsia="zh-CN"/>
            </w:rPr>
            <w:t>1</w:t>
          </w:r>
          <w:r>
            <w:rPr>
              <w:rFonts w:hint="eastAsia" w:eastAsiaTheme="minorEastAsia" w:cstheme="minorBidi"/>
              <w:sz w:val="28"/>
              <w:szCs w:val="28"/>
            </w:rPr>
            <w:t>1</w:t>
          </w:r>
          <w:bookmarkEnd w:id="2"/>
          <w:r>
            <w:rPr>
              <w:rFonts w:hint="eastAsia" w:eastAsiaTheme="minorEastAsia" w:cstheme="minorBidi"/>
              <w:sz w:val="28"/>
              <w:szCs w:val="28"/>
            </w:rPr>
            <w:fldChar w:fldCharType="end"/>
          </w:r>
          <w:r>
            <w:rPr>
              <w:rFonts w:hint="eastAsia" w:eastAsiaTheme="minorEastAsia" w:cstheme="minorBidi"/>
              <w:sz w:val="28"/>
              <w:szCs w:val="28"/>
              <w:lang w:val="en-US" w:eastAsia="zh-CN"/>
            </w:rPr>
            <w:t>2</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3" w:name="_Toc4350_WPSOffice_Level1"/>
      <w:r>
        <w:rPr>
          <w:rFonts w:hint="eastAsia" w:ascii="宋体" w:hAnsi="宋体" w:cs="宋体"/>
          <w:b/>
          <w:kern w:val="0"/>
          <w:sz w:val="36"/>
          <w:szCs w:val="36"/>
        </w:rPr>
        <w:t>投标邀请</w:t>
      </w:r>
      <w:bookmarkEnd w:id="3"/>
    </w:p>
    <w:p>
      <w:pPr>
        <w:pStyle w:val="5"/>
        <w:ind w:firstLine="480" w:firstLineChars="200"/>
        <w:rPr>
          <w:rFonts w:cs="宋体"/>
          <w:b w:val="0"/>
          <w:sz w:val="24"/>
          <w:szCs w:val="24"/>
        </w:rPr>
      </w:pPr>
      <w:bookmarkStart w:id="4" w:name="_Toc28359002"/>
      <w:bookmarkStart w:id="5" w:name="_Toc35393790"/>
      <w:bookmarkStart w:id="6" w:name="_Toc28359079"/>
      <w:bookmarkStart w:id="7" w:name="_Toc35393621"/>
      <w:bookmarkStart w:id="8"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受台州市公安局委托，就台州市公安局技侦数据分中心服务器等设备采购项目进行公开招标，欢迎符合资格条件的国内投标人参加投标。</w:t>
      </w:r>
    </w:p>
    <w:p>
      <w:pPr>
        <w:pStyle w:val="5"/>
        <w:ind w:firstLine="482" w:firstLineChars="200"/>
        <w:rPr>
          <w:rFonts w:cs="宋体"/>
          <w:bCs/>
          <w:sz w:val="24"/>
          <w:szCs w:val="24"/>
        </w:rPr>
      </w:pPr>
      <w:r>
        <w:rPr>
          <w:rFonts w:hint="eastAsia" w:cs="宋体"/>
          <w:bCs/>
          <w:sz w:val="24"/>
          <w:szCs w:val="24"/>
        </w:rPr>
        <w:t>一、项目基本情况</w:t>
      </w:r>
      <w:bookmarkEnd w:id="4"/>
      <w:bookmarkEnd w:id="5"/>
      <w:bookmarkEnd w:id="6"/>
      <w:bookmarkEnd w:id="7"/>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TZCG-2024-G</w:t>
      </w:r>
      <w:r>
        <w:rPr>
          <w:rFonts w:hint="eastAsia" w:ascii="宋体" w:hAnsi="宋体" w:cs="宋体"/>
          <w:color w:val="auto"/>
          <w:sz w:val="24"/>
          <w:lang w:val="en-US" w:eastAsia="zh-CN"/>
        </w:rPr>
        <w:t>K008</w:t>
      </w:r>
      <w:r>
        <w:rPr>
          <w:rFonts w:hint="eastAsia" w:asciiTheme="minorEastAsia" w:hAnsiTheme="minorEastAsia" w:eastAsiaTheme="minorEastAsia" w:cstheme="minorEastAsia"/>
          <w:sz w:val="24"/>
        </w:rPr>
        <w:t>号</w:t>
      </w:r>
    </w:p>
    <w:bookmarkEnd w:id="8"/>
    <w:p>
      <w:pPr>
        <w:spacing w:line="360" w:lineRule="auto"/>
        <w:ind w:firstLine="480" w:firstLineChars="200"/>
        <w:rPr>
          <w:rFonts w:hint="eastAsia" w:ascii="宋体" w:hAnsi="宋体" w:cs="宋体"/>
          <w:kern w:val="0"/>
          <w:sz w:val="24"/>
        </w:rPr>
      </w:pPr>
      <w:r>
        <w:rPr>
          <w:rFonts w:hint="eastAsia" w:ascii="宋体" w:hAnsi="宋体" w:cs="宋体"/>
          <w:sz w:val="24"/>
        </w:rPr>
        <w:t>项目名称：台州市公安局技侦数据分中心服务器等设备采购项目</w:t>
      </w:r>
    </w:p>
    <w:tbl>
      <w:tblPr>
        <w:tblStyle w:val="21"/>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2741"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服务器等设备</w:t>
            </w:r>
          </w:p>
        </w:tc>
        <w:tc>
          <w:tcPr>
            <w:tcW w:w="99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97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批</w:t>
            </w:r>
          </w:p>
        </w:tc>
        <w:tc>
          <w:tcPr>
            <w:tcW w:w="1303"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350.4</w:t>
            </w:r>
          </w:p>
        </w:tc>
        <w:tc>
          <w:tcPr>
            <w:tcW w:w="1585"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350.4</w:t>
            </w:r>
          </w:p>
        </w:tc>
      </w:tr>
    </w:tbl>
    <w:p>
      <w:pPr>
        <w:pStyle w:val="5"/>
        <w:ind w:right="0" w:firstLine="482" w:firstLineChars="200"/>
        <w:rPr>
          <w:rFonts w:cs="宋体"/>
          <w:bCs/>
          <w:sz w:val="24"/>
          <w:szCs w:val="24"/>
        </w:rPr>
      </w:pPr>
      <w:bookmarkStart w:id="9" w:name="_Toc35393791"/>
      <w:bookmarkStart w:id="10" w:name="_Toc28359003"/>
      <w:bookmarkStart w:id="11" w:name="_Toc28359080"/>
      <w:bookmarkStart w:id="12" w:name="_Toc35393622"/>
      <w:r>
        <w:rPr>
          <w:rFonts w:hint="eastAsia" w:cs="宋体"/>
          <w:bCs/>
          <w:sz w:val="24"/>
          <w:szCs w:val="24"/>
        </w:rPr>
        <w:t>二、投标人的资格要求</w:t>
      </w:r>
      <w:bookmarkEnd w:id="9"/>
      <w:bookmarkEnd w:id="10"/>
      <w:bookmarkEnd w:id="11"/>
      <w:bookmarkEnd w:id="12"/>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3" w:name="_Toc35393623"/>
      <w:bookmarkStart w:id="14" w:name="_Toc28359081"/>
      <w:bookmarkStart w:id="15" w:name="_Toc35393792"/>
      <w:bookmarkStart w:id="16" w:name="_Toc28359004"/>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w:t>
      </w:r>
      <w:r>
        <w:rPr>
          <w:rFonts w:hint="eastAsia" w:ascii="宋体" w:hAnsi="宋体" w:cs="宋体"/>
          <w:color w:val="auto"/>
          <w:sz w:val="24"/>
        </w:rPr>
        <w:t>要求：</w:t>
      </w:r>
      <w:r>
        <w:rPr>
          <w:rFonts w:hint="eastAsia" w:ascii="宋体" w:hAnsi="宋体" w:cs="宋体"/>
          <w:color w:val="auto"/>
          <w:sz w:val="24"/>
          <w:lang w:val="en-US" w:eastAsia="zh-CN"/>
        </w:rPr>
        <w:t>无</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5"/>
        <w:ind w:right="0" w:firstLine="482" w:firstLineChars="200"/>
        <w:rPr>
          <w:rFonts w:cs="宋体"/>
          <w:bCs/>
          <w:color w:val="auto"/>
          <w:sz w:val="24"/>
          <w:szCs w:val="24"/>
        </w:rPr>
      </w:pPr>
      <w:r>
        <w:rPr>
          <w:rFonts w:hint="eastAsia" w:cs="宋体"/>
          <w:bCs/>
          <w:sz w:val="24"/>
          <w:szCs w:val="24"/>
        </w:rPr>
        <w:t>三、获取招标文</w:t>
      </w:r>
      <w:r>
        <w:rPr>
          <w:rFonts w:hint="eastAsia" w:cs="宋体"/>
          <w:bCs/>
          <w:color w:val="auto"/>
          <w:sz w:val="24"/>
          <w:szCs w:val="24"/>
        </w:rPr>
        <w:t>件</w:t>
      </w:r>
      <w:bookmarkEnd w:id="13"/>
      <w:bookmarkEnd w:id="14"/>
      <w:bookmarkEnd w:id="15"/>
      <w:bookmarkEnd w:id="16"/>
    </w:p>
    <w:p>
      <w:pPr>
        <w:spacing w:line="360" w:lineRule="auto"/>
        <w:ind w:firstLine="480" w:firstLineChars="200"/>
        <w:rPr>
          <w:rFonts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p>
    <w:p>
      <w:pPr>
        <w:pStyle w:val="27"/>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pPr>
        <w:pStyle w:val="5"/>
        <w:ind w:right="0" w:firstLine="482" w:firstLineChars="200"/>
        <w:rPr>
          <w:rFonts w:cs="宋体"/>
          <w:bCs/>
          <w:color w:val="auto"/>
          <w:sz w:val="24"/>
          <w:szCs w:val="24"/>
        </w:rPr>
      </w:pPr>
      <w:bookmarkStart w:id="17" w:name="_Toc28359005"/>
      <w:bookmarkStart w:id="18" w:name="_Toc28359082"/>
      <w:bookmarkStart w:id="19" w:name="_Toc35393624"/>
      <w:bookmarkStart w:id="20" w:name="_Toc35393793"/>
      <w:r>
        <w:rPr>
          <w:rFonts w:hint="eastAsia" w:cs="宋体"/>
          <w:bCs/>
          <w:color w:val="auto"/>
          <w:sz w:val="24"/>
          <w:szCs w:val="24"/>
        </w:rPr>
        <w:t>四、提交投标文件</w:t>
      </w:r>
      <w:bookmarkEnd w:id="17"/>
      <w:bookmarkEnd w:id="18"/>
      <w:bookmarkEnd w:id="19"/>
      <w:bookmarkEnd w:id="20"/>
    </w:p>
    <w:p>
      <w:pPr>
        <w:spacing w:line="360" w:lineRule="auto"/>
        <w:ind w:firstLine="480" w:firstLineChars="200"/>
        <w:rPr>
          <w:rFonts w:ascii="宋体" w:hAnsi="宋体" w:cs="宋体"/>
          <w:iCs/>
          <w:sz w:val="24"/>
          <w:u w:val="single"/>
        </w:rPr>
      </w:pPr>
      <w:bookmarkStart w:id="21" w:name="_Toc35393625"/>
      <w:bookmarkStart w:id="22" w:name="_Toc28359084"/>
      <w:bookmarkStart w:id="23" w:name="_Toc35393794"/>
      <w:bookmarkStart w:id="24" w:name="_Toc28359007"/>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2024</w:t>
      </w:r>
      <w:r>
        <w:rPr>
          <w:rFonts w:hint="eastAsia" w:ascii="宋体" w:hAnsi="宋体" w:cs="宋体"/>
          <w:bCs/>
          <w:color w:val="auto"/>
          <w:sz w:val="24"/>
          <w:u w:val="single"/>
        </w:rPr>
        <w:t>年</w:t>
      </w:r>
      <w:r>
        <w:rPr>
          <w:rFonts w:hint="eastAsia" w:ascii="宋体" w:hAnsi="宋体" w:cs="宋体"/>
          <w:color w:val="auto"/>
          <w:sz w:val="24"/>
          <w:u w:val="single"/>
          <w:lang w:val="en-US" w:eastAsia="zh-CN"/>
        </w:rPr>
        <w:t>3</w:t>
      </w:r>
      <w:r>
        <w:rPr>
          <w:rFonts w:hint="eastAsia" w:ascii="宋体" w:hAnsi="宋体" w:cs="宋体"/>
          <w:bCs/>
          <w:color w:val="auto"/>
          <w:sz w:val="24"/>
          <w:u w:val="single"/>
        </w:rPr>
        <w:t>月</w:t>
      </w:r>
      <w:r>
        <w:rPr>
          <w:rFonts w:hint="eastAsia" w:ascii="宋体" w:hAnsi="宋体" w:cs="宋体"/>
          <w:color w:val="auto"/>
          <w:sz w:val="24"/>
          <w:u w:val="single"/>
          <w:lang w:val="en-US" w:eastAsia="zh-CN"/>
        </w:rPr>
        <w:t>29</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 xml:space="preserve"> 9</w:t>
      </w:r>
      <w:r>
        <w:rPr>
          <w:rFonts w:hint="eastAsia" w:ascii="宋体" w:hAnsi="宋体" w:cs="宋体"/>
          <w:bCs/>
          <w:color w:val="auto"/>
          <w:sz w:val="24"/>
          <w:u w:val="single"/>
        </w:rPr>
        <w:t>点整</w:t>
      </w:r>
      <w:r>
        <w:rPr>
          <w:rFonts w:hint="eastAsia" w:ascii="宋体" w:hAnsi="宋体" w:cs="宋体"/>
          <w:bCs/>
          <w:color w:val="auto"/>
          <w:sz w:val="24"/>
        </w:rPr>
        <w:t>（北</w:t>
      </w:r>
      <w:r>
        <w:rPr>
          <w:rFonts w:hint="eastAsia" w:ascii="宋体" w:hAnsi="宋体" w:cs="宋体"/>
          <w:bCs/>
          <w:sz w:val="24"/>
        </w:rPr>
        <w:t>京时间）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1"/>
    <w:bookmarkEnd w:id="22"/>
    <w:bookmarkEnd w:id="23"/>
    <w:bookmarkEnd w:id="24"/>
    <w:p>
      <w:pPr>
        <w:pStyle w:val="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5"/>
        <w:ind w:right="0" w:firstLine="482" w:firstLineChars="200"/>
        <w:rPr>
          <w:rFonts w:cs="宋体"/>
          <w:bCs/>
          <w:sz w:val="24"/>
          <w:szCs w:val="24"/>
        </w:rPr>
      </w:pPr>
      <w:bookmarkStart w:id="25" w:name="_Toc35393626"/>
      <w:bookmarkStart w:id="26" w:name="_Toc35393795"/>
      <w:r>
        <w:rPr>
          <w:rFonts w:hint="eastAsia" w:cs="宋体"/>
          <w:bCs/>
          <w:sz w:val="24"/>
          <w:szCs w:val="24"/>
        </w:rPr>
        <w:t>六、</w:t>
      </w:r>
      <w:bookmarkEnd w:id="25"/>
      <w:bookmarkEnd w:id="26"/>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5"/>
        <w:ind w:right="0" w:firstLine="482" w:firstLineChars="200"/>
        <w:rPr>
          <w:rFonts w:cs="宋体"/>
          <w:bCs/>
          <w:sz w:val="24"/>
          <w:szCs w:val="24"/>
        </w:rPr>
      </w:pPr>
      <w:bookmarkStart w:id="27" w:name="_Toc28359085"/>
      <w:bookmarkStart w:id="28" w:name="_Toc35393796"/>
      <w:bookmarkStart w:id="29" w:name="_Toc35393627"/>
      <w:bookmarkStart w:id="30" w:name="_Toc28359008"/>
      <w:r>
        <w:rPr>
          <w:rFonts w:hint="eastAsia" w:cs="宋体"/>
          <w:bCs/>
          <w:sz w:val="24"/>
          <w:szCs w:val="24"/>
        </w:rPr>
        <w:t>七、联系</w:t>
      </w:r>
      <w:bookmarkEnd w:id="27"/>
      <w:bookmarkEnd w:id="28"/>
      <w:bookmarkEnd w:id="29"/>
      <w:bookmarkEnd w:id="30"/>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rPr>
      </w:pPr>
      <w:r>
        <w:rPr>
          <w:rFonts w:hint="eastAsia" w:ascii="宋体" w:hAnsi="宋体" w:cs="宋体"/>
          <w:sz w:val="24"/>
        </w:rPr>
        <w:t>名 称：台州市公安局</w:t>
      </w:r>
    </w:p>
    <w:p>
      <w:pPr>
        <w:spacing w:line="360" w:lineRule="auto"/>
        <w:ind w:firstLine="480" w:firstLineChars="200"/>
        <w:jc w:val="left"/>
        <w:rPr>
          <w:rFonts w:hint="eastAsia" w:ascii="宋体" w:hAnsi="宋体" w:cs="宋体"/>
          <w:b w:val="0"/>
          <w:bCs w:val="0"/>
          <w:sz w:val="24"/>
          <w:u w:val="non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b w:val="0"/>
          <w:bCs w:val="0"/>
          <w:sz w:val="24"/>
          <w:u w:val="none"/>
        </w:rPr>
        <w:t>：台州市椒江区康平路2号</w:t>
      </w:r>
    </w:p>
    <w:p>
      <w:pPr>
        <w:spacing w:line="360" w:lineRule="auto"/>
        <w:ind w:firstLine="480" w:firstLineChars="200"/>
        <w:jc w:val="left"/>
        <w:rPr>
          <w:rFonts w:hint="eastAsia" w:ascii="宋体" w:hAnsi="宋体" w:eastAsia="宋体" w:cs="宋体"/>
          <w:b w:val="0"/>
          <w:bCs w:val="0"/>
          <w:sz w:val="24"/>
          <w:u w:val="none"/>
          <w:lang w:eastAsia="zh-CN"/>
        </w:rPr>
      </w:pPr>
      <w:r>
        <w:rPr>
          <w:rFonts w:hint="eastAsia" w:ascii="宋体" w:hAnsi="宋体" w:cs="宋体"/>
          <w:b w:val="0"/>
          <w:bCs w:val="0"/>
          <w:sz w:val="24"/>
          <w:u w:val="none"/>
        </w:rPr>
        <w:t>联系人：</w:t>
      </w:r>
      <w:bookmarkStart w:id="31" w:name="_Toc28359009"/>
      <w:bookmarkStart w:id="32" w:name="_Toc28359086"/>
      <w:r>
        <w:rPr>
          <w:rFonts w:hint="eastAsia" w:ascii="宋体" w:hAnsi="宋体" w:cs="宋体"/>
          <w:b w:val="0"/>
          <w:bCs w:val="0"/>
          <w:sz w:val="24"/>
          <w:u w:val="none"/>
          <w:lang w:val="en-US" w:eastAsia="zh-CN"/>
        </w:rPr>
        <w:t>李女士</w:t>
      </w:r>
    </w:p>
    <w:p>
      <w:pPr>
        <w:spacing w:line="360" w:lineRule="auto"/>
        <w:ind w:firstLine="480" w:firstLineChars="200"/>
        <w:jc w:val="left"/>
        <w:rPr>
          <w:rFonts w:hint="eastAsia" w:ascii="宋体" w:hAnsi="宋体" w:cs="宋体"/>
          <w:sz w:val="24"/>
        </w:rPr>
      </w:pPr>
      <w:r>
        <w:rPr>
          <w:rFonts w:hint="eastAsia" w:ascii="宋体" w:hAnsi="宋体" w:cs="宋体"/>
          <w:sz w:val="24"/>
        </w:rPr>
        <w:t>联系电话：13758686619</w:t>
      </w:r>
      <w:bookmarkEnd w:id="31"/>
      <w:bookmarkEnd w:id="32"/>
    </w:p>
    <w:p>
      <w:pPr>
        <w:spacing w:line="360" w:lineRule="auto"/>
        <w:ind w:firstLine="482" w:firstLineChars="200"/>
        <w:jc w:val="left"/>
        <w:rPr>
          <w:rFonts w:ascii="宋体" w:hAnsi="宋体" w:cs="宋体"/>
          <w:sz w:val="24"/>
        </w:rPr>
      </w:pPr>
      <w:bookmarkStart w:id="33" w:name="_Toc28359087"/>
      <w:bookmarkStart w:id="34" w:name="_Toc28359010"/>
      <w:r>
        <w:rPr>
          <w:rFonts w:hint="eastAsia" w:ascii="宋体" w:hAnsi="宋体" w:cs="宋体"/>
          <w:b/>
          <w:bCs/>
          <w:sz w:val="24"/>
        </w:rPr>
        <w:t>（二）采购组织机构</w:t>
      </w:r>
    </w:p>
    <w:p>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pPr>
        <w:spacing w:line="360" w:lineRule="auto"/>
        <w:ind w:firstLine="480" w:firstLineChars="200"/>
        <w:jc w:val="left"/>
        <w:rPr>
          <w:rFonts w:ascii="宋体" w:hAnsi="宋体" w:cs="宋体"/>
          <w:sz w:val="24"/>
        </w:rPr>
      </w:pPr>
      <w:r>
        <w:rPr>
          <w:rFonts w:hint="eastAsia" w:ascii="宋体" w:hAnsi="宋体" w:cs="宋体"/>
          <w:sz w:val="24"/>
        </w:rPr>
        <w:t>项目联系人：陈先生</w:t>
      </w:r>
    </w:p>
    <w:p>
      <w:pPr>
        <w:spacing w:line="360" w:lineRule="auto"/>
        <w:ind w:firstLine="480" w:firstLineChars="200"/>
        <w:jc w:val="left"/>
        <w:rPr>
          <w:rFonts w:ascii="宋体" w:hAnsi="宋体" w:cs="宋体"/>
          <w:sz w:val="24"/>
        </w:rPr>
      </w:pPr>
      <w:r>
        <w:rPr>
          <w:rFonts w:hint="eastAsia" w:ascii="宋体" w:hAnsi="宋体" w:cs="宋体"/>
          <w:sz w:val="24"/>
        </w:rPr>
        <w:t>联系电话：0576-88325289</w:t>
      </w:r>
    </w:p>
    <w:p>
      <w:pPr>
        <w:spacing w:line="360" w:lineRule="auto"/>
        <w:ind w:firstLine="480" w:firstLineChars="200"/>
        <w:jc w:val="left"/>
        <w:rPr>
          <w:rFonts w:ascii="宋体" w:hAnsi="宋体" w:cs="宋体"/>
          <w:sz w:val="24"/>
        </w:rPr>
      </w:pPr>
      <w:r>
        <w:rPr>
          <w:rFonts w:hint="eastAsia" w:ascii="宋体" w:hAnsi="宋体" w:cs="宋体"/>
          <w:sz w:val="24"/>
        </w:rPr>
        <w:t>受理联系人：侯女士（受理注册、中标结果相关质疑及答复）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技术人员：徐</w:t>
      </w:r>
      <w:r>
        <w:rPr>
          <w:rFonts w:hint="eastAsia" w:ascii="宋体" w:hAnsi="宋体" w:cs="宋体"/>
          <w:sz w:val="24"/>
          <w:lang w:val="en-US" w:eastAsia="zh-CN"/>
        </w:rPr>
        <w:t>女士</w:t>
      </w:r>
    </w:p>
    <w:p>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名 称：台州市财政局政府采购监管处</w:t>
      </w:r>
    </w:p>
    <w:p>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pPr>
        <w:spacing w:line="360" w:lineRule="auto"/>
        <w:ind w:firstLine="480" w:firstLineChars="200"/>
        <w:jc w:val="left"/>
        <w:rPr>
          <w:rFonts w:ascii="宋体" w:hAnsi="宋体" w:cs="宋体"/>
          <w:sz w:val="24"/>
        </w:rPr>
      </w:pPr>
      <w:r>
        <w:rPr>
          <w:rFonts w:hint="eastAsia" w:ascii="宋体" w:hAnsi="宋体" w:cs="宋体"/>
          <w:sz w:val="24"/>
        </w:rPr>
        <w:t>联系人：陈女士</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联系电话：0576-88206705</w:t>
      </w:r>
    </w:p>
    <w:p>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pPr>
        <w:spacing w:line="360" w:lineRule="auto"/>
        <w:ind w:firstLine="480" w:firstLineChars="200"/>
        <w:jc w:val="left"/>
        <w:rPr>
          <w:rFonts w:ascii="宋体" w:hAnsi="宋体" w:cs="宋体"/>
          <w:color w:val="auto"/>
          <w:sz w:val="24"/>
        </w:rPr>
      </w:pPr>
      <w:r>
        <w:rPr>
          <w:rFonts w:hint="eastAsia" w:ascii="宋体" w:hAnsi="宋体" w:cs="宋体"/>
          <w:sz w:val="24"/>
          <w:u w:val="none"/>
        </w:rPr>
        <w:t>联系电话：</w:t>
      </w:r>
      <w:r>
        <w:rPr>
          <w:rFonts w:hint="eastAsia" w:ascii="宋体" w:hAnsi="宋体" w:cs="宋体"/>
          <w:sz w:val="24"/>
          <w:u w:val="none"/>
          <w:lang w:val="en-US" w:eastAsia="zh-CN"/>
        </w:rPr>
        <w:t>95763</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color w:val="auto"/>
          <w:sz w:val="24"/>
          <w:shd w:val="clear" w:color="auto" w:fill="FFFFFF"/>
          <w:lang w:val="en-US" w:eastAsia="zh-CN"/>
        </w:rPr>
        <w:t>台州市</w:t>
      </w:r>
      <w:r>
        <w:rPr>
          <w:rFonts w:hint="eastAsia" w:ascii="宋体" w:hAnsi="宋体" w:cs="宋体"/>
          <w:color w:val="auto"/>
          <w:sz w:val="24"/>
          <w:shd w:val="clear" w:color="auto" w:fill="FFFFFF"/>
        </w:rPr>
        <w:t>政府采购中心</w:t>
      </w:r>
      <w:r>
        <w:rPr>
          <w:rFonts w:hint="eastAsia" w:ascii="宋体" w:hAnsi="宋体" w:cs="宋体"/>
          <w:color w:val="auto"/>
          <w:kern w:val="0"/>
          <w:sz w:val="24"/>
        </w:rPr>
        <w:t xml:space="preserve">  </w:t>
      </w:r>
    </w:p>
    <w:p>
      <w:pPr>
        <w:widowControl/>
        <w:spacing w:line="360" w:lineRule="auto"/>
        <w:jc w:val="right"/>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lang w:val="en-US" w:eastAsia="zh-CN"/>
        </w:rPr>
        <w:t>2024</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29</w:t>
      </w:r>
      <w:r>
        <w:rPr>
          <w:rFonts w:hint="eastAsia" w:asciiTheme="minorEastAsia" w:hAnsiTheme="minorEastAsia" w:eastAsiaTheme="minorEastAsia" w:cstheme="minorEastAsia"/>
          <w:color w:val="auto"/>
          <w:kern w:val="0"/>
          <w:sz w:val="24"/>
        </w:rPr>
        <w:t>日</w:t>
      </w:r>
    </w:p>
    <w:p>
      <w:pPr>
        <w:pStyle w:val="2"/>
      </w:pPr>
    </w:p>
    <w:bookmarkEnd w:id="33"/>
    <w:bookmarkEnd w:id="34"/>
    <w:p>
      <w:pPr>
        <w:numPr>
          <w:ilvl w:val="0"/>
          <w:numId w:val="4"/>
        </w:numPr>
        <w:spacing w:line="360" w:lineRule="auto"/>
        <w:jc w:val="center"/>
        <w:rPr>
          <w:rFonts w:asciiTheme="minorEastAsia" w:hAnsiTheme="minorEastAsia" w:eastAsiaTheme="minorEastAsia"/>
          <w:b/>
          <w:sz w:val="36"/>
          <w:szCs w:val="36"/>
        </w:rPr>
      </w:pPr>
      <w:bookmarkStart w:id="35" w:name="_Toc25017_WPSOffice_Level1"/>
      <w:r>
        <w:rPr>
          <w:rFonts w:hint="eastAsia" w:asciiTheme="minorEastAsia" w:hAnsiTheme="minorEastAsia" w:eastAsiaTheme="minorEastAsia"/>
          <w:b/>
          <w:sz w:val="36"/>
          <w:szCs w:val="36"/>
        </w:rPr>
        <w:t>投标人须知</w:t>
      </w:r>
      <w:bookmarkEnd w:id="35"/>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1"/>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□是 /</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lang w:val="en-US" w:eastAsia="zh-CN"/>
              </w:rPr>
              <w:t>是否需要提供预付款保函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lang w:eastAsia="zh-CN"/>
              </w:rPr>
              <w:t>□</w:t>
            </w:r>
            <w:r>
              <w:rPr>
                <w:rFonts w:hint="eastAsia" w:ascii="宋体" w:hAnsi="宋体" w:eastAsia="宋体" w:cs="宋体"/>
                <w:color w:val="auto"/>
              </w:rPr>
              <w:t xml:space="preserve"> 是/</w:t>
            </w:r>
            <w:r>
              <w:rPr>
                <w:rFonts w:hint="eastAsia" w:ascii="宋体" w:hAnsi="宋体" w:cs="宋体"/>
                <w:color w:val="auto"/>
                <w:lang w:eastAsia="zh-CN"/>
              </w:rPr>
              <w:t>☑</w:t>
            </w:r>
            <w:r>
              <w:rPr>
                <w:rFonts w:hint="eastAsia" w:ascii="宋体" w:hAnsi="宋体" w:eastAsia="宋体" w:cs="宋体"/>
                <w:color w:val="auto"/>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Cs w:val="21"/>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eastAsia="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cs="宋体"/>
                <w:sz w:val="21"/>
                <w:szCs w:val="21"/>
                <w:u w:val="single"/>
                <w:lang w:val="en-US" w:eastAsia="zh-CN"/>
              </w:rPr>
              <w:t>50</w:t>
            </w:r>
            <w:r>
              <w:rPr>
                <w:rFonts w:hint="eastAsia" w:ascii="宋体" w:hAnsi="宋体" w:cs="宋体"/>
                <w:sz w:val="21"/>
                <w:szCs w:val="21"/>
                <w:u w:val="none"/>
                <w:lang w:val="en-US" w:eastAsia="zh-CN"/>
              </w:rPr>
              <w:t>（</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szCs w:val="21"/>
              </w:rPr>
            </w:pPr>
            <w:r>
              <w:rPr>
                <w:rFonts w:hint="eastAsia" w:ascii="宋体" w:hAnsi="宋体" w:eastAsia="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9"/>
              <w:keepNext w:val="0"/>
              <w:keepLines w:val="0"/>
              <w:pageBreakBefore w:val="0"/>
              <w:kinsoku/>
              <w:wordWrap/>
              <w:overflowPunct/>
              <w:topLinePunct w:val="0"/>
              <w:bidi w:val="0"/>
              <w:adjustRightInd/>
              <w:snapToGrid/>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eastAsia="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eastAsia="宋体" w:cs="宋体"/>
                <w:sz w:val="21"/>
                <w:szCs w:val="21"/>
                <w:lang w:eastAsia="zh-CN"/>
              </w:rPr>
              <w:t>投标</w:t>
            </w:r>
            <w:r>
              <w:rPr>
                <w:rFonts w:hint="eastAsia" w:ascii="宋体" w:hAnsi="宋体" w:eastAsia="宋体" w:cs="宋体"/>
                <w:sz w:val="21"/>
                <w:szCs w:val="21"/>
              </w:rPr>
              <w:t>文件，所有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0"/>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kern w:val="0"/>
                <w:sz w:val="21"/>
                <w:szCs w:val="21"/>
                <w:lang w:eastAsia="zh-CN"/>
              </w:rPr>
            </w:pPr>
            <w:r>
              <w:rPr>
                <w:rFonts w:hint="eastAsia" w:ascii="宋体" w:hAnsi="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eastAsia="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2"/>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1.本项目实行电子投标，投标人自行承担投标一切费用。</w:t>
            </w:r>
          </w:p>
          <w:p>
            <w:pPr>
              <w:pStyle w:val="12"/>
              <w:keepNext w:val="0"/>
              <w:keepLines w:val="0"/>
              <w:pageBreakBefore w:val="0"/>
              <w:kinsoku/>
              <w:wordWrap/>
              <w:overflowPunct/>
              <w:topLinePunct w:val="0"/>
              <w:bidi w:val="0"/>
              <w:adjustRightInd/>
              <w:snapToGrid/>
              <w:spacing w:line="300" w:lineRule="auto"/>
              <w:ind w:firstLine="420" w:firstLineChars="200"/>
              <w:textAlignment w:val="auto"/>
              <w:rPr>
                <w:rFonts w:hint="default"/>
                <w:lang w:val="en-US" w:eastAsia="zh-CN"/>
              </w:rPr>
            </w:pPr>
            <w:r>
              <w:rPr>
                <w:rFonts w:hint="eastAsia" w:ascii="宋体" w:hAnsi="宋体" w:eastAsia="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Cs w:val="21"/>
              </w:rPr>
              <w:t>http://www.creditchina.gov.cn</w:t>
            </w:r>
            <w:r>
              <w:rPr>
                <w:rFonts w:hint="eastAsia" w:ascii="宋体" w:hAnsi="宋体" w:eastAsia="宋体" w:cs="宋体"/>
                <w:szCs w:val="21"/>
              </w:rPr>
              <w:fldChar w:fldCharType="end"/>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中国政府采购网（网址：http://www.ccgp.gov.cn</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根据《政府采购促进中小企业发展管理办法》</w:t>
            </w:r>
            <w:r>
              <w:rPr>
                <w:rFonts w:hint="eastAsia" w:ascii="宋体" w:hAnsi="宋体" w:cs="宋体"/>
                <w:szCs w:val="21"/>
                <w:lang w:eastAsia="zh-CN"/>
              </w:rPr>
              <w:t>（</w:t>
            </w:r>
            <w:r>
              <w:rPr>
                <w:rFonts w:hint="eastAsia" w:ascii="宋体" w:hAnsi="宋体" w:eastAsia="宋体" w:cs="宋体"/>
                <w:szCs w:val="21"/>
              </w:rPr>
              <w:t>财库〔2020〕46号</w:t>
            </w:r>
            <w:r>
              <w:rPr>
                <w:rFonts w:hint="eastAsia" w:ascii="宋体" w:hAnsi="宋体" w:cs="宋体"/>
                <w:szCs w:val="21"/>
                <w:lang w:eastAsia="zh-CN"/>
              </w:rPr>
              <w:t>）</w:t>
            </w:r>
            <w:r>
              <w:rPr>
                <w:rFonts w:hint="eastAsia" w:ascii="宋体" w:hAnsi="宋体" w:eastAsia="宋体" w:cs="宋体"/>
                <w:szCs w:val="21"/>
              </w:rPr>
              <w:t>文件的规定，本项目(□是 /</w:t>
            </w:r>
            <w:r>
              <w:rPr>
                <w:rFonts w:hint="eastAsia" w:ascii="宋体" w:hAnsi="宋体" w:cs="宋体"/>
                <w:szCs w:val="21"/>
                <w:lang w:eastAsia="zh-CN"/>
              </w:rPr>
              <w:t>☑</w:t>
            </w:r>
            <w:r>
              <w:rPr>
                <w:rFonts w:hint="eastAsia" w:ascii="宋体" w:hAnsi="宋体" w:eastAsia="宋体" w:cs="宋体"/>
                <w:szCs w:val="21"/>
              </w:rPr>
              <w:t xml:space="preserve"> 否</w:t>
            </w:r>
            <w:r>
              <w:rPr>
                <w:rFonts w:hint="eastAsia" w:ascii="宋体" w:hAnsi="宋体" w:eastAsia="宋体" w:cs="宋体"/>
                <w:szCs w:val="21"/>
                <w:shd w:val="clear" w:color="auto" w:fill="FFFFFF"/>
              </w:rPr>
              <w:t>)</w:t>
            </w:r>
            <w:r>
              <w:rPr>
                <w:rFonts w:hint="eastAsia" w:ascii="宋体" w:hAnsi="宋体" w:eastAsia="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1.项目属性</w:t>
            </w:r>
            <w:r>
              <w:rPr>
                <w:rFonts w:hint="eastAsia" w:ascii="宋体" w:hAnsi="宋体" w:cs="宋体"/>
                <w:szCs w:val="21"/>
                <w:u w:val="none"/>
                <w:lang w:eastAsia="zh-CN"/>
              </w:rPr>
              <w:t>：</w:t>
            </w:r>
            <w:r>
              <w:rPr>
                <w:rFonts w:hint="eastAsia" w:ascii="宋体" w:hAnsi="宋体" w:eastAsia="宋体" w:cs="宋体"/>
                <w:szCs w:val="21"/>
                <w:u w:val="single"/>
              </w:rPr>
              <w:t>货物类</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2.中小企业划分标准所属行业（具体根据《中小企业划型标准规定》执行）</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采购标的：</w:t>
            </w:r>
            <w:r>
              <w:rPr>
                <w:rFonts w:hint="eastAsia" w:ascii="宋体" w:hAnsi="宋体" w:eastAsia="宋体" w:cs="宋体"/>
                <w:szCs w:val="21"/>
                <w:u w:val="single"/>
              </w:rPr>
              <w:t>服务器等设备</w:t>
            </w:r>
            <w:r>
              <w:rPr>
                <w:rFonts w:hint="eastAsia" w:ascii="宋体" w:hAnsi="宋体" w:eastAsia="宋体" w:cs="宋体"/>
                <w:szCs w:val="21"/>
              </w:rPr>
              <w:t>，所属行业：</w:t>
            </w:r>
            <w:r>
              <w:rPr>
                <w:rFonts w:hint="eastAsia" w:ascii="宋体" w:hAnsi="宋体" w:cs="宋体"/>
                <w:szCs w:val="21"/>
                <w:u w:val="single"/>
                <w:lang w:val="en-US" w:eastAsia="zh-CN"/>
              </w:rPr>
              <w:t>制造业</w:t>
            </w:r>
            <w:r>
              <w:rPr>
                <w:rFonts w:hint="eastAsia" w:ascii="宋体" w:hAnsi="宋体" w:eastAsia="宋体" w:cs="宋体"/>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color w:val="111F2C"/>
                <w:szCs w:val="21"/>
                <w:shd w:val="clear" w:color="auto" w:fill="FFFFFF"/>
              </w:rPr>
            </w:pPr>
            <w:r>
              <w:rPr>
                <w:rFonts w:hint="eastAsia" w:ascii="宋体" w:hAnsi="宋体" w:eastAsia="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kern w:val="0"/>
                <w:szCs w:val="21"/>
                <w:lang w:val="zh-CN"/>
              </w:rPr>
              <w:t>带“</w:t>
            </w:r>
            <w:r>
              <w:rPr>
                <w:rFonts w:hint="eastAsia" w:ascii="宋体" w:hAnsi="宋体" w:eastAsia="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带“★”的条款是</w:t>
            </w:r>
            <w:r>
              <w:rPr>
                <w:rFonts w:hint="eastAsia" w:ascii="宋体" w:hAnsi="宋体" w:eastAsia="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本招标文件解释权属于采购人和采购组织机构。</w:t>
            </w:r>
          </w:p>
        </w:tc>
      </w:tr>
    </w:tbl>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1"/>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pStyle w:val="2"/>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bCs w:val="0"/>
          <w:sz w:val="24"/>
          <w:szCs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8"/>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2"/>
        <w:snapToGrid w:val="0"/>
        <w:spacing w:line="360" w:lineRule="auto"/>
        <w:ind w:firstLine="482" w:firstLineChars="200"/>
        <w:rPr>
          <w:rFonts w:hAnsi="宋体" w:cs="宋体"/>
          <w:b/>
          <w:sz w:val="24"/>
        </w:rPr>
      </w:pPr>
      <w:r>
        <w:rPr>
          <w:rFonts w:hint="eastAsia" w:hAnsi="宋体" w:cs="宋体"/>
          <w:b/>
          <w:sz w:val="24"/>
        </w:rPr>
        <w:t>（七）特别说明</w:t>
      </w:r>
    </w:p>
    <w:p>
      <w:pPr>
        <w:pStyle w:val="12"/>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8"/>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b/>
          <w:sz w:val="24"/>
          <w:highlight w:val="none"/>
        </w:rPr>
      </w:pPr>
      <w:r>
        <w:rPr>
          <w:rFonts w:hint="eastAsia" w:ascii="宋体" w:hAnsi="宋体" w:cs="宋体" w:eastAsiaTheme="minorEastAsia"/>
          <w:b/>
          <w:sz w:val="24"/>
          <w:lang w:val="en-US" w:eastAsia="zh-CN"/>
        </w:rPr>
        <w:t xml:space="preserve"> </w:t>
      </w:r>
      <w:r>
        <w:rPr>
          <w:rFonts w:hint="eastAsia" w:asciiTheme="minorEastAsia" w:hAnsiTheme="minorEastAsia" w:eastAsiaTheme="minorEastAsia"/>
          <w:b/>
          <w:sz w:val="24"/>
        </w:rPr>
        <w:t>1.资</w:t>
      </w:r>
      <w:r>
        <w:rPr>
          <w:rFonts w:hint="eastAsia" w:asciiTheme="minorEastAsia" w:hAnsiTheme="minorEastAsia" w:eastAsiaTheme="minorEastAsia"/>
          <w:b/>
          <w:sz w:val="24"/>
          <w:highlight w:val="none"/>
        </w:rPr>
        <w:t>格证明</w:t>
      </w:r>
      <w:r>
        <w:rPr>
          <w:rFonts w:asciiTheme="minorEastAsia" w:hAnsiTheme="minorEastAsia" w:eastAsiaTheme="minorEastAsia"/>
          <w:b/>
          <w:sz w:val="24"/>
          <w:highlight w:val="none"/>
        </w:rPr>
        <w:t>文件</w:t>
      </w:r>
      <w:r>
        <w:rPr>
          <w:rFonts w:hint="eastAsia" w:ascii="宋体" w:hAnsi="宋体"/>
          <w:b/>
          <w:sz w:val="24"/>
          <w:highlight w:val="none"/>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本项目</w:t>
      </w:r>
      <w:r>
        <w:rPr>
          <w:rFonts w:hint="eastAsia" w:ascii="宋体" w:hAnsi="宋体" w:cs="宋体"/>
          <w:sz w:val="24"/>
          <w:lang w:val="en-US" w:eastAsia="zh-CN"/>
        </w:rPr>
        <w:t>资格审查</w:t>
      </w:r>
      <w:r>
        <w:rPr>
          <w:rFonts w:hint="eastAsia" w:ascii="宋体" w:hAnsi="宋体" w:cs="宋体"/>
          <w:sz w:val="24"/>
        </w:rPr>
        <w:t>要求的</w:t>
      </w:r>
      <w:r>
        <w:rPr>
          <w:rFonts w:hint="eastAsia" w:ascii="宋体" w:hAnsi="宋体" w:cs="宋体"/>
          <w:sz w:val="24"/>
          <w:lang w:val="en-US" w:eastAsia="zh-CN"/>
        </w:rPr>
        <w:t>相关</w:t>
      </w:r>
      <w:r>
        <w:rPr>
          <w:rFonts w:hint="eastAsia" w:ascii="宋体" w:hAnsi="宋体" w:cs="宋体"/>
          <w:sz w:val="24"/>
          <w:lang w:eastAsia="zh-CN"/>
        </w:rPr>
        <w:t>的承诺函（</w:t>
      </w:r>
      <w:r>
        <w:rPr>
          <w:rFonts w:hint="eastAsia" w:ascii="宋体" w:hAnsi="宋体" w:cs="宋体"/>
          <w:sz w:val="24"/>
          <w:lang w:val="en-US" w:eastAsia="zh-CN"/>
        </w:rPr>
        <w:t>详见第四章评标-评标程序-资格审查表中要求</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8"/>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（1）技术方案描述部分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w:t>
      </w:r>
      <w:r>
        <w:rPr>
          <w:rFonts w:hint="eastAsia" w:ascii="宋体" w:hAnsi="宋体" w:cs="宋体"/>
          <w:sz w:val="24"/>
          <w:szCs w:val="24"/>
          <w:lang w:eastAsia="zh-CN"/>
        </w:rPr>
        <w:t>（</w:t>
      </w:r>
      <w:r>
        <w:rPr>
          <w:rFonts w:hint="eastAsia" w:ascii="宋体" w:hAnsi="宋体" w:cs="宋体"/>
          <w:sz w:val="24"/>
          <w:szCs w:val="24"/>
        </w:rPr>
        <w:t>投标人对项目现状及需求的理解</w:t>
      </w:r>
      <w:r>
        <w:rPr>
          <w:rFonts w:hint="eastAsia" w:ascii="宋体" w:hAnsi="宋体" w:cs="宋体"/>
          <w:sz w:val="24"/>
          <w:szCs w:val="24"/>
          <w:lang w:eastAsia="zh-CN"/>
        </w:rPr>
        <w:t>状况</w:t>
      </w:r>
      <w:r>
        <w:rPr>
          <w:rFonts w:hint="eastAsia" w:ascii="宋体" w:hAnsi="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cs="宋体"/>
          <w:sz w:val="24"/>
          <w:szCs w:val="24"/>
          <w:lang w:eastAsia="zh-CN"/>
        </w:rPr>
        <w:t>）</w:t>
      </w:r>
      <w:r>
        <w:rPr>
          <w:rFonts w:hint="eastAsia" w:ascii="宋体" w:hAnsi="宋体" w:cs="宋体"/>
          <w:sz w:val="24"/>
          <w:szCs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w:t>
      </w:r>
      <w:r>
        <w:rPr>
          <w:rFonts w:hint="eastAsia" w:ascii="宋体" w:hAnsi="宋体" w:cs="宋体"/>
          <w:sz w:val="24"/>
          <w:szCs w:val="24"/>
          <w:highlight w:val="none"/>
        </w:rPr>
        <w:t>（包括</w:t>
      </w:r>
      <w:r>
        <w:rPr>
          <w:rFonts w:hint="eastAsia" w:ascii="宋体" w:hAnsi="宋体" w:cs="宋体"/>
          <w:sz w:val="24"/>
          <w:szCs w:val="24"/>
          <w:highlight w:val="none"/>
          <w:lang w:val="en-US" w:eastAsia="zh-CN"/>
        </w:rPr>
        <w:t>分包方案、</w:t>
      </w:r>
      <w:r>
        <w:rPr>
          <w:rFonts w:hint="eastAsia" w:ascii="宋体" w:hAnsi="宋体" w:cs="宋体"/>
          <w:sz w:val="24"/>
          <w:szCs w:val="24"/>
          <w:highlight w:val="none"/>
        </w:rPr>
        <w:t>项目工期、确保项目供货的措施或方案、项目实施进度安排、项目实施人员及项目负责人</w:t>
      </w:r>
      <w:r>
        <w:rPr>
          <w:rFonts w:hint="eastAsia" w:ascii="宋体" w:hAnsi="宋体" w:cs="宋体"/>
          <w:sz w:val="24"/>
          <w:szCs w:val="24"/>
        </w:rPr>
        <w:t>的资质、类似经验及社保证明等）；</w:t>
      </w:r>
    </w:p>
    <w:p>
      <w:pPr>
        <w:pStyle w:val="8"/>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8"/>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（2）投标产品描述部分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8"/>
        <w:widowControl/>
        <w:adjustRightInd w:val="0"/>
        <w:snapToGrid w:val="0"/>
        <w:spacing w:line="360" w:lineRule="auto"/>
        <w:ind w:firstLine="480" w:firstLineChars="200"/>
        <w:rPr>
          <w:sz w:val="24"/>
        </w:rPr>
      </w:pPr>
      <w:r>
        <w:rPr>
          <w:rFonts w:hint="eastAsia"/>
          <w:sz w:val="24"/>
        </w:rPr>
        <w:t>②技术需求响应表；</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8"/>
        <w:widowControl/>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B.针对本项目的售后服务措施及承诺（售后技术服务方案、人员配备、故障响应时间、技术培训方案等）</w:t>
      </w:r>
      <w:r>
        <w:rPr>
          <w:rFonts w:hint="eastAsia" w:ascii="宋体" w:hAnsi="宋体" w:cs="宋体"/>
          <w:sz w:val="24"/>
          <w:szCs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lang w:eastAsia="zh-CN"/>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GB" w:eastAsia="zh-CN"/>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lang w:eastAsia="zh-CN"/>
        </w:rPr>
      </w:pPr>
      <w:r>
        <w:rPr>
          <w:rFonts w:hint="eastAsia" w:asciiTheme="minorEastAsia" w:hAnsiTheme="minorEastAsia" w:eastAsiaTheme="minorEastAsia"/>
          <w:kern w:val="0"/>
          <w:sz w:val="24"/>
        </w:rPr>
        <w:t>（4）针对报价投标人认为其他需要说明的</w:t>
      </w:r>
      <w:r>
        <w:rPr>
          <w:rFonts w:hint="eastAsia" w:asciiTheme="minorEastAsia" w:hAnsiTheme="minorEastAsia" w:eastAsiaTheme="minorEastAsia"/>
          <w:kern w:val="0"/>
          <w:sz w:val="24"/>
          <w:lang w:eastAsia="zh-CN"/>
        </w:rPr>
        <w:t>。</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w:t>
      </w:r>
      <w:r>
        <w:rPr>
          <w:rFonts w:hint="eastAsia" w:asciiTheme="minorEastAsia" w:hAnsiTheme="minorEastAsia" w:eastAsiaTheme="minorEastAsia"/>
          <w:kern w:val="0"/>
          <w:sz w:val="24"/>
          <w:highlight w:val="none"/>
        </w:rPr>
        <w:t>织机构</w:t>
      </w:r>
      <w:r>
        <w:rPr>
          <w:rFonts w:hint="eastAsia" w:asciiTheme="minorEastAsia" w:hAnsiTheme="minorEastAsia" w:eastAsiaTheme="minorEastAsia"/>
          <w:kern w:val="0"/>
          <w:sz w:val="24"/>
          <w:highlight w:val="none"/>
          <w:lang w:val="en-US" w:eastAsia="zh-CN"/>
        </w:rPr>
        <w:t>顺延</w:t>
      </w:r>
      <w:r>
        <w:rPr>
          <w:rFonts w:hint="eastAsia" w:asciiTheme="minorEastAsia" w:hAnsiTheme="minorEastAsia" w:eastAsiaTheme="minorEastAsia"/>
          <w:kern w:val="0"/>
          <w:sz w:val="24"/>
          <w:highlight w:val="none"/>
        </w:rPr>
        <w:t>截止时间和</w:t>
      </w:r>
      <w:r>
        <w:rPr>
          <w:rFonts w:hint="eastAsia" w:asciiTheme="minorEastAsia" w:hAnsiTheme="minorEastAsia" w:eastAsiaTheme="minorEastAsia"/>
          <w:kern w:val="0"/>
          <w:sz w:val="24"/>
        </w:rPr>
        <w:t>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2"/>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9"/>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6"/>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pPr>
        <w:pStyle w:val="10"/>
        <w:numPr>
          <w:ilvl w:val="0"/>
          <w:numId w:val="6"/>
        </w:numPr>
        <w:spacing w:line="360" w:lineRule="auto"/>
        <w:ind w:left="0" w:leftChars="0"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pPr>
        <w:pStyle w:val="10"/>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9"/>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pPr>
        <w:pStyle w:val="19"/>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0"/>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0"/>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0"/>
        <w:spacing w:line="360" w:lineRule="auto"/>
        <w:ind w:firstLine="482" w:firstLineChars="200"/>
        <w:jc w:val="both"/>
        <w:rPr>
          <w:rFonts w:ascii="宋体" w:hAnsi="宋体"/>
          <w:b/>
          <w:bCs/>
          <w:sz w:val="24"/>
        </w:rPr>
      </w:pPr>
      <w:r>
        <w:rPr>
          <w:rFonts w:hint="eastAsia" w:ascii="宋体" w:hAnsi="宋体"/>
          <w:b/>
          <w:bCs/>
          <w:sz w:val="24"/>
        </w:rPr>
        <w:t>（一）询问</w:t>
      </w:r>
    </w:p>
    <w:p>
      <w:pPr>
        <w:pStyle w:val="10"/>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0"/>
        <w:spacing w:line="360" w:lineRule="auto"/>
        <w:ind w:firstLine="482" w:firstLineChars="200"/>
        <w:jc w:val="both"/>
        <w:rPr>
          <w:rFonts w:ascii="宋体" w:hAnsi="宋体"/>
          <w:b/>
          <w:bCs/>
          <w:sz w:val="24"/>
        </w:rPr>
      </w:pPr>
      <w:r>
        <w:rPr>
          <w:rFonts w:hint="eastAsia" w:ascii="宋体" w:hAnsi="宋体"/>
          <w:b/>
          <w:bCs/>
          <w:sz w:val="24"/>
        </w:rPr>
        <w:t>（二）质疑</w:t>
      </w:r>
    </w:p>
    <w:p>
      <w:pPr>
        <w:pStyle w:val="10"/>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0"/>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0"/>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0"/>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pPr>
        <w:pStyle w:val="10"/>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0"/>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sz w:val="24"/>
        </w:rPr>
      </w:pPr>
      <w:r>
        <w:rPr>
          <w:rFonts w:hint="eastAsia" w:ascii="宋体" w:hAnsi="宋体"/>
          <w:b/>
          <w:bCs/>
          <w:sz w:val="24"/>
        </w:rPr>
        <w:t>（三）投诉</w:t>
      </w:r>
    </w:p>
    <w:p>
      <w:pPr>
        <w:pStyle w:val="10"/>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0"/>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818"/>
        <w:gridCol w:w="1650"/>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818"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650"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1818" w:type="dxa"/>
            <w:vAlign w:val="center"/>
          </w:tcPr>
          <w:p>
            <w:pPr>
              <w:tabs>
                <w:tab w:val="left" w:pos="8280"/>
              </w:tabs>
              <w:autoSpaceDE w:val="0"/>
              <w:autoSpaceDN w:val="0"/>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服务器等设备</w:t>
            </w:r>
          </w:p>
        </w:tc>
        <w:tc>
          <w:tcPr>
            <w:tcW w:w="1650" w:type="dxa"/>
            <w:vAlign w:val="center"/>
          </w:tcPr>
          <w:p>
            <w:pPr>
              <w:tabs>
                <w:tab w:val="left" w:pos="8280"/>
              </w:tabs>
              <w:autoSpaceDE w:val="0"/>
              <w:autoSpaceDN w:val="0"/>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批</w:t>
            </w:r>
          </w:p>
        </w:tc>
        <w:tc>
          <w:tcPr>
            <w:tcW w:w="1142" w:type="dxa"/>
            <w:vAlign w:val="center"/>
          </w:tcPr>
          <w:p>
            <w:pPr>
              <w:tabs>
                <w:tab w:val="left" w:pos="8280"/>
              </w:tabs>
              <w:autoSpaceDE w:val="0"/>
              <w:autoSpaceDN w:val="0"/>
              <w:adjustRightInd w:val="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rPr>
              <w:t>350.4</w:t>
            </w:r>
          </w:p>
        </w:tc>
        <w:tc>
          <w:tcPr>
            <w:tcW w:w="1203" w:type="dxa"/>
            <w:vAlign w:val="center"/>
          </w:tcPr>
          <w:p>
            <w:pPr>
              <w:tabs>
                <w:tab w:val="left" w:pos="8280"/>
              </w:tabs>
              <w:autoSpaceDE w:val="0"/>
              <w:autoSpaceDN w:val="0"/>
              <w:adjustRightInd w:val="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rPr>
              <w:t>350.4</w:t>
            </w:r>
          </w:p>
        </w:tc>
      </w:tr>
    </w:tbl>
    <w:p>
      <w:pPr>
        <w:tabs>
          <w:tab w:val="left" w:pos="8280"/>
        </w:tabs>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sz w:val="24"/>
        </w:rPr>
        <w:t>二、技术需求</w:t>
      </w:r>
    </w:p>
    <w:p>
      <w:pPr>
        <w:pStyle w:val="8"/>
        <w:spacing w:line="360" w:lineRule="auto"/>
        <w:ind w:firstLine="482" w:firstLineChars="200"/>
        <w:rPr>
          <w:rFonts w:hint="default" w:asciiTheme="minorEastAsia" w:hAnsiTheme="minorEastAsia" w:eastAsiaTheme="minorEastAsia"/>
          <w:b/>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（一）</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采购内容一览表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96"/>
        <w:gridCol w:w="898"/>
        <w:gridCol w:w="898"/>
        <w:gridCol w:w="1660"/>
        <w:gridCol w:w="1636"/>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shd w:val="clear" w:color="auto" w:fill="CFCECE" w:themeFill="background2" w:themeFillShade="E5"/>
            <w:vAlign w:val="center"/>
          </w:tcPr>
          <w:p>
            <w:pPr>
              <w:spacing w:line="240" w:lineRule="auto"/>
              <w:jc w:val="center"/>
              <w:rPr>
                <w:rFonts w:ascii="宋体" w:hAnsi="宋体" w:cs="宋体"/>
                <w:b/>
                <w:bCs w:val="0"/>
                <w:kern w:val="0"/>
                <w:sz w:val="24"/>
              </w:rPr>
            </w:pPr>
            <w:r>
              <w:rPr>
                <w:rFonts w:hint="eastAsia" w:ascii="宋体" w:hAnsi="宋体" w:cs="宋体"/>
                <w:b/>
                <w:bCs w:val="0"/>
                <w:kern w:val="0"/>
                <w:sz w:val="24"/>
              </w:rPr>
              <w:t>序号</w:t>
            </w:r>
          </w:p>
        </w:tc>
        <w:tc>
          <w:tcPr>
            <w:tcW w:w="1696" w:type="dxa"/>
            <w:shd w:val="clear" w:color="auto" w:fill="CFCECE" w:themeFill="background2" w:themeFillShade="E5"/>
            <w:vAlign w:val="center"/>
          </w:tcPr>
          <w:p>
            <w:pPr>
              <w:spacing w:line="240" w:lineRule="auto"/>
              <w:jc w:val="center"/>
              <w:rPr>
                <w:rFonts w:ascii="宋体" w:hAnsi="宋体" w:cs="宋体"/>
                <w:b/>
                <w:bCs w:val="0"/>
                <w:kern w:val="0"/>
                <w:sz w:val="24"/>
              </w:rPr>
            </w:pPr>
            <w:r>
              <w:rPr>
                <w:rFonts w:hint="eastAsia" w:ascii="宋体" w:hAnsi="宋体" w:cs="宋体"/>
                <w:b/>
                <w:bCs w:val="0"/>
                <w:kern w:val="0"/>
                <w:sz w:val="24"/>
              </w:rPr>
              <w:t>采购内容</w:t>
            </w:r>
          </w:p>
        </w:tc>
        <w:tc>
          <w:tcPr>
            <w:tcW w:w="898" w:type="dxa"/>
            <w:shd w:val="clear" w:color="auto" w:fill="CFCECE" w:themeFill="background2" w:themeFillShade="E5"/>
            <w:vAlign w:val="center"/>
          </w:tcPr>
          <w:p>
            <w:pPr>
              <w:spacing w:line="240" w:lineRule="auto"/>
              <w:jc w:val="center"/>
              <w:rPr>
                <w:rFonts w:ascii="宋体" w:hAnsi="宋体" w:cs="宋体"/>
                <w:b/>
                <w:bCs w:val="0"/>
                <w:kern w:val="0"/>
                <w:sz w:val="24"/>
              </w:rPr>
            </w:pPr>
            <w:r>
              <w:rPr>
                <w:rFonts w:hint="eastAsia" w:ascii="宋体" w:hAnsi="宋体" w:cs="宋体"/>
                <w:b/>
                <w:bCs w:val="0"/>
                <w:kern w:val="0"/>
                <w:sz w:val="24"/>
              </w:rPr>
              <w:t>数量</w:t>
            </w:r>
          </w:p>
        </w:tc>
        <w:tc>
          <w:tcPr>
            <w:tcW w:w="898" w:type="dxa"/>
            <w:shd w:val="clear" w:color="auto" w:fill="CFCECE" w:themeFill="background2" w:themeFillShade="E5"/>
            <w:vAlign w:val="center"/>
          </w:tcPr>
          <w:p>
            <w:pPr>
              <w:spacing w:line="240" w:lineRule="auto"/>
              <w:jc w:val="center"/>
              <w:rPr>
                <w:rFonts w:ascii="宋体" w:hAnsi="宋体" w:cs="宋体"/>
                <w:b/>
                <w:bCs w:val="0"/>
                <w:kern w:val="0"/>
                <w:sz w:val="24"/>
              </w:rPr>
            </w:pPr>
            <w:r>
              <w:rPr>
                <w:rFonts w:hint="eastAsia" w:ascii="宋体" w:hAnsi="宋体" w:cs="宋体"/>
                <w:b/>
                <w:bCs w:val="0"/>
                <w:kern w:val="0"/>
                <w:sz w:val="24"/>
              </w:rPr>
              <w:t>单位</w:t>
            </w:r>
          </w:p>
        </w:tc>
        <w:tc>
          <w:tcPr>
            <w:tcW w:w="1660" w:type="dxa"/>
            <w:shd w:val="clear" w:color="auto" w:fill="CFCECE" w:themeFill="background2" w:themeFillShade="E5"/>
            <w:vAlign w:val="center"/>
          </w:tcPr>
          <w:p>
            <w:pPr>
              <w:spacing w:line="240" w:lineRule="auto"/>
              <w:jc w:val="center"/>
              <w:rPr>
                <w:rFonts w:ascii="宋体" w:hAnsi="宋体" w:cs="宋体"/>
                <w:b/>
                <w:bCs w:val="0"/>
                <w:kern w:val="0"/>
                <w:sz w:val="24"/>
              </w:rPr>
            </w:pPr>
            <w:r>
              <w:rPr>
                <w:rFonts w:hint="eastAsia" w:ascii="宋体" w:hAnsi="宋体" w:cs="宋体"/>
                <w:b/>
                <w:bCs w:val="0"/>
                <w:kern w:val="0"/>
                <w:sz w:val="24"/>
              </w:rPr>
              <w:t>是否为核心产品</w:t>
            </w:r>
          </w:p>
        </w:tc>
        <w:tc>
          <w:tcPr>
            <w:tcW w:w="1636" w:type="dxa"/>
            <w:shd w:val="clear" w:color="auto" w:fill="CFCECE" w:themeFill="background2" w:themeFillShade="E5"/>
            <w:vAlign w:val="center"/>
          </w:tcPr>
          <w:p>
            <w:pPr>
              <w:spacing w:line="240" w:lineRule="auto"/>
              <w:jc w:val="center"/>
              <w:rPr>
                <w:rFonts w:ascii="宋体" w:hAnsi="宋体" w:cs="宋体"/>
                <w:b/>
                <w:bCs w:val="0"/>
                <w:kern w:val="0"/>
                <w:sz w:val="24"/>
              </w:rPr>
            </w:pPr>
            <w:r>
              <w:rPr>
                <w:rFonts w:hint="eastAsia" w:ascii="宋体" w:hAnsi="宋体" w:cs="宋体"/>
                <w:b/>
                <w:bCs w:val="0"/>
                <w:kern w:val="0"/>
                <w:sz w:val="24"/>
              </w:rPr>
              <w:t>是否为主要产品</w:t>
            </w:r>
          </w:p>
        </w:tc>
        <w:tc>
          <w:tcPr>
            <w:tcW w:w="1661" w:type="dxa"/>
            <w:shd w:val="clear" w:color="auto" w:fill="CFCECE" w:themeFill="background2" w:themeFillShade="E5"/>
            <w:vAlign w:val="center"/>
          </w:tcPr>
          <w:p>
            <w:pPr>
              <w:spacing w:line="240" w:lineRule="auto"/>
              <w:jc w:val="center"/>
              <w:rPr>
                <w:rFonts w:ascii="宋体" w:hAnsi="宋体" w:cs="宋体"/>
                <w:b/>
                <w:bCs w:val="0"/>
                <w:kern w:val="0"/>
                <w:sz w:val="24"/>
              </w:rPr>
            </w:pPr>
            <w:r>
              <w:rPr>
                <w:rFonts w:hint="eastAsia" w:ascii="宋体" w:hAnsi="宋体" w:cs="宋体"/>
                <w:b/>
                <w:bCs w:val="0"/>
                <w:kern w:val="0"/>
                <w:sz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1</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业务应用服务器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是</w:t>
            </w:r>
          </w:p>
        </w:tc>
        <w:tc>
          <w:tcPr>
            <w:tcW w:w="1661" w:type="dxa"/>
            <w:vAlign w:val="center"/>
          </w:tcPr>
          <w:p>
            <w:pPr>
              <w:spacing w:line="240" w:lineRule="auto"/>
              <w:jc w:val="center"/>
              <w:rPr>
                <w:rFonts w:ascii="宋体" w:hAnsi="宋体" w:cs="宋体"/>
                <w:bCs/>
                <w:kern w:val="0"/>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2</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接入服务器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是</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3</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预处理服务器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898" w:type="dxa"/>
            <w:vAlign w:val="center"/>
          </w:tcPr>
          <w:p>
            <w:pPr>
              <w:spacing w:line="24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是</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4</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消息队列服务器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898" w:type="dxa"/>
            <w:vAlign w:val="center"/>
          </w:tcPr>
          <w:p>
            <w:pPr>
              <w:spacing w:line="24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是</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5</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数据入库服务器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898" w:type="dxa"/>
            <w:vAlign w:val="center"/>
          </w:tcPr>
          <w:p>
            <w:pPr>
              <w:spacing w:line="24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是</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6</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大规模并行计算分析服务器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是</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7</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分布式存储管理服务器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是</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8</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分布式存储集群服务器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13</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cs="宋体"/>
                <w:bCs/>
                <w:kern w:val="0"/>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cs="宋体"/>
                <w:bCs/>
                <w:kern w:val="0"/>
                <w:sz w:val="24"/>
              </w:rPr>
            </w:pPr>
            <w:r>
              <w:rPr>
                <w:rFonts w:hint="eastAsia" w:ascii="宋体" w:hAnsi="宋体" w:cs="宋体"/>
                <w:bCs/>
                <w:kern w:val="0"/>
                <w:sz w:val="24"/>
              </w:rPr>
              <w:t>是</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9</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分布式存储控制服务器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898" w:type="dxa"/>
            <w:vAlign w:val="center"/>
          </w:tcPr>
          <w:p>
            <w:pPr>
              <w:spacing w:line="24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是</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0</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流计算V</w:t>
            </w:r>
            <w:r>
              <w:rPr>
                <w:rFonts w:ascii="宋体" w:hAnsi="宋体" w:cs="宋体"/>
                <w:color w:val="000000" w:themeColor="text1"/>
                <w:kern w:val="0"/>
                <w:sz w:val="24"/>
                <w14:textFill>
                  <w14:solidFill>
                    <w14:schemeClr w14:val="tx1"/>
                  </w14:solidFill>
                </w14:textFill>
              </w:rPr>
              <w:t>PC服务器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898" w:type="dxa"/>
            <w:vAlign w:val="center"/>
          </w:tcPr>
          <w:p>
            <w:pPr>
              <w:spacing w:line="24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是</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1</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离线计算V</w:t>
            </w:r>
            <w:r>
              <w:rPr>
                <w:rFonts w:ascii="宋体" w:hAnsi="宋体" w:cs="宋体"/>
                <w:color w:val="000000" w:themeColor="text1"/>
                <w:kern w:val="0"/>
                <w:sz w:val="24"/>
                <w14:textFill>
                  <w14:solidFill>
                    <w14:schemeClr w14:val="tx1"/>
                  </w14:solidFill>
                </w14:textFill>
              </w:rPr>
              <w:t>PC服务器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898" w:type="dxa"/>
            <w:vAlign w:val="center"/>
          </w:tcPr>
          <w:p>
            <w:pPr>
              <w:spacing w:line="24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是</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2</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显示屏</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3</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调试终端</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5</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vAlign w:val="center"/>
          </w:tcPr>
          <w:p>
            <w:pPr>
              <w:spacing w:line="240" w:lineRule="auto"/>
              <w:jc w:val="center"/>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4</w:t>
            </w:r>
          </w:p>
        </w:tc>
        <w:tc>
          <w:tcPr>
            <w:tcW w:w="1696"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显示器</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0</w:t>
            </w:r>
          </w:p>
        </w:tc>
        <w:tc>
          <w:tcPr>
            <w:tcW w:w="898" w:type="dxa"/>
            <w:vAlign w:val="center"/>
          </w:tcPr>
          <w:p>
            <w:pPr>
              <w:widowControl/>
              <w:spacing w:line="24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1660"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36" w:type="dxa"/>
            <w:vAlign w:val="center"/>
          </w:tcPr>
          <w:p>
            <w:pPr>
              <w:spacing w:line="240" w:lineRule="auto"/>
              <w:jc w:val="center"/>
              <w:rPr>
                <w:rFonts w:ascii="宋体" w:hAnsi="宋体"/>
                <w:sz w:val="24"/>
              </w:rPr>
            </w:pPr>
            <w:r>
              <w:rPr>
                <w:rFonts w:hint="eastAsia" w:ascii="宋体" w:hAnsi="宋体" w:cs="宋体"/>
                <w:bCs/>
                <w:kern w:val="0"/>
                <w:sz w:val="24"/>
              </w:rPr>
              <w:t>否</w:t>
            </w:r>
          </w:p>
        </w:tc>
        <w:tc>
          <w:tcPr>
            <w:tcW w:w="1661" w:type="dxa"/>
            <w:vAlign w:val="center"/>
          </w:tcPr>
          <w:p>
            <w:pPr>
              <w:spacing w:line="240" w:lineRule="auto"/>
              <w:jc w:val="center"/>
              <w:rPr>
                <w:rFonts w:ascii="宋体" w:hAnsi="宋体"/>
                <w:sz w:val="24"/>
              </w:rPr>
            </w:pPr>
            <w:r>
              <w:rPr>
                <w:rFonts w:hint="eastAsia" w:ascii="宋体" w:hAnsi="宋体" w:cs="宋体"/>
                <w:bCs/>
                <w:kern w:val="0"/>
                <w:sz w:val="24"/>
              </w:rPr>
              <w:t>否</w:t>
            </w:r>
          </w:p>
        </w:tc>
      </w:tr>
    </w:tbl>
    <w:p>
      <w:pPr>
        <w:pStyle w:val="8"/>
        <w:spacing w:line="360" w:lineRule="auto"/>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p>
    <w:p>
      <w:pPr>
        <w:pStyle w:val="8"/>
        <w:spacing w:line="360" w:lineRule="auto"/>
        <w:ind w:firstLine="482" w:firstLineChars="200"/>
        <w:rPr>
          <w:rFonts w:hint="eastAsia" w:asciiTheme="minorEastAsia" w:hAnsiTheme="minorEastAsia" w:eastAsiaTheme="minorEastAsia"/>
          <w:b/>
          <w:bCs w:val="0"/>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bCs w:val="0"/>
          <w:color w:val="000000" w:themeColor="text1"/>
          <w:kern w:val="0"/>
          <w:sz w:val="24"/>
          <w:lang w:eastAsia="zh-CN"/>
          <w14:textFill>
            <w14:solidFill>
              <w14:schemeClr w14:val="tx1"/>
            </w14:solidFill>
          </w14:textFill>
        </w:rPr>
        <w:t>（</w:t>
      </w:r>
      <w:r>
        <w:rPr>
          <w:rFonts w:hint="eastAsia" w:asciiTheme="minorEastAsia" w:hAnsiTheme="minorEastAsia" w:eastAsiaTheme="minorEastAsia"/>
          <w:b/>
          <w:bCs w:val="0"/>
          <w:color w:val="000000" w:themeColor="text1"/>
          <w:kern w:val="0"/>
          <w:sz w:val="24"/>
          <w:lang w:val="en-US" w:eastAsia="zh-CN"/>
          <w14:textFill>
            <w14:solidFill>
              <w14:schemeClr w14:val="tx1"/>
            </w14:solidFill>
          </w14:textFill>
        </w:rPr>
        <w:t>二</w:t>
      </w:r>
      <w:r>
        <w:rPr>
          <w:rFonts w:hint="eastAsia" w:asciiTheme="minorEastAsia" w:hAnsiTheme="minorEastAsia" w:eastAsiaTheme="minorEastAsia"/>
          <w:b/>
          <w:bCs w:val="0"/>
          <w:color w:val="000000" w:themeColor="text1"/>
          <w:kern w:val="0"/>
          <w:sz w:val="24"/>
          <w:lang w:eastAsia="zh-CN"/>
          <w14:textFill>
            <w14:solidFill>
              <w14:schemeClr w14:val="tx1"/>
            </w14:solidFill>
          </w14:textFill>
        </w:rPr>
        <w:t>）</w:t>
      </w:r>
      <w:r>
        <w:rPr>
          <w:rFonts w:hint="eastAsia" w:asciiTheme="minorEastAsia" w:hAnsiTheme="minorEastAsia" w:eastAsiaTheme="minorEastAsia"/>
          <w:b/>
          <w:bCs w:val="0"/>
          <w:color w:val="000000" w:themeColor="text1"/>
          <w:kern w:val="0"/>
          <w:sz w:val="24"/>
          <w:lang w:val="en-US" w:eastAsia="zh-CN"/>
          <w14:textFill>
            <w14:solidFill>
              <w14:schemeClr w14:val="tx1"/>
            </w14:solidFill>
          </w14:textFill>
        </w:rPr>
        <w:t>技术参数需求</w:t>
      </w:r>
    </w:p>
    <w:p>
      <w:pPr>
        <w:pStyle w:val="8"/>
        <w:spacing w:line="360" w:lineRule="auto"/>
        <w:ind w:firstLine="482" w:firstLineChars="200"/>
        <w:rPr>
          <w:b/>
          <w:bCs w:val="0"/>
          <w:sz w:val="24"/>
          <w:szCs w:val="22"/>
        </w:rPr>
      </w:pPr>
      <w:r>
        <w:rPr>
          <w:rFonts w:hint="eastAsia" w:asciiTheme="minorEastAsia" w:hAnsiTheme="minorEastAsia" w:eastAsiaTheme="minorEastAsia"/>
          <w:b/>
          <w:bCs w:val="0"/>
          <w:color w:val="000000" w:themeColor="text1"/>
          <w:kern w:val="0"/>
          <w:sz w:val="24"/>
          <w:lang w:val="en-US" w:eastAsia="zh-CN"/>
          <w14:textFill>
            <w14:solidFill>
              <w14:schemeClr w14:val="tx1"/>
            </w14:solidFill>
          </w14:textFill>
        </w:rPr>
        <w:t>1.</w:t>
      </w:r>
      <w:r>
        <w:rPr>
          <w:b/>
          <w:bCs w:val="0"/>
          <w:sz w:val="24"/>
          <w:szCs w:val="22"/>
        </w:rPr>
        <w:t>业务服务器（2台）</w:t>
      </w:r>
    </w:p>
    <w:tbl>
      <w:tblPr>
        <w:tblStyle w:val="21"/>
        <w:tblW w:w="5000" w:type="pct"/>
        <w:jc w:val="center"/>
        <w:tblLayout w:type="fixed"/>
        <w:tblCellMar>
          <w:top w:w="0" w:type="dxa"/>
          <w:left w:w="108" w:type="dxa"/>
          <w:bottom w:w="0" w:type="dxa"/>
          <w:right w:w="108" w:type="dxa"/>
        </w:tblCellMar>
      </w:tblPr>
      <w:tblGrid>
        <w:gridCol w:w="517"/>
        <w:gridCol w:w="517"/>
        <w:gridCol w:w="517"/>
        <w:gridCol w:w="517"/>
        <w:gridCol w:w="1035"/>
        <w:gridCol w:w="1035"/>
        <w:gridCol w:w="5148"/>
      </w:tblGrid>
      <w:tr>
        <w:tblPrEx>
          <w:tblCellMar>
            <w:top w:w="0" w:type="dxa"/>
            <w:left w:w="108" w:type="dxa"/>
            <w:bottom w:w="0" w:type="dxa"/>
            <w:right w:w="108" w:type="dxa"/>
          </w:tblCellMar>
        </w:tblPrEx>
        <w:trPr>
          <w:trHeight w:val="555" w:hRule="atLeast"/>
          <w:jc w:val="center"/>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auto"/>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auto"/>
              <w:jc w:val="center"/>
              <w:rPr>
                <w:rFonts w:ascii="宋体" w:hAnsi="宋体" w:cs="宋体"/>
                <w:b/>
                <w:bCs/>
                <w:color w:val="000000"/>
                <w:szCs w:val="21"/>
              </w:rPr>
            </w:pPr>
            <w:r>
              <w:rPr>
                <w:rFonts w:hint="eastAsia" w:ascii="宋体" w:hAnsi="宋体" w:cs="宋体"/>
                <w:b/>
                <w:bCs/>
                <w:color w:val="000000"/>
                <w:szCs w:val="21"/>
              </w:rPr>
              <w:t>数量</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auto"/>
              <w:jc w:val="center"/>
              <w:rPr>
                <w:rFonts w:ascii="宋体" w:hAnsi="宋体" w:cs="宋体"/>
                <w:b/>
                <w:bCs/>
                <w:color w:val="000000"/>
                <w:szCs w:val="21"/>
              </w:rPr>
            </w:pPr>
            <w:r>
              <w:rPr>
                <w:rFonts w:hint="eastAsia" w:ascii="宋体" w:hAnsi="宋体" w:cs="宋体"/>
                <w:b/>
                <w:bCs/>
                <w:color w:val="000000"/>
                <w:szCs w:val="21"/>
              </w:rPr>
              <w:t>单位</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auto"/>
              <w:jc w:val="center"/>
              <w:rPr>
                <w:rFonts w:ascii="宋体" w:hAnsi="宋体" w:cs="宋体"/>
                <w:b/>
                <w:bCs/>
                <w:color w:val="000000"/>
                <w:szCs w:val="21"/>
              </w:rPr>
            </w:pPr>
            <w:bookmarkStart w:id="37" w:name="_Hlk157451929"/>
            <w:r>
              <w:rPr>
                <w:rFonts w:hint="eastAsia" w:ascii="宋体" w:hAnsi="宋体" w:cs="宋体"/>
                <w:b/>
                <w:bCs/>
                <w:color w:val="000000"/>
                <w:szCs w:val="21"/>
              </w:rPr>
              <w:t>序号</w:t>
            </w:r>
          </w:p>
        </w:tc>
        <w:tc>
          <w:tcPr>
            <w:tcW w:w="5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auto"/>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spacing w:line="240" w:lineRule="auto"/>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指标</w:t>
            </w:r>
          </w:p>
        </w:tc>
        <w:tc>
          <w:tcPr>
            <w:tcW w:w="5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auto"/>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spacing w:line="240" w:lineRule="auto"/>
              <w:jc w:val="center"/>
              <w:rPr>
                <w:rFonts w:hint="eastAsia" w:ascii="宋体" w:hAnsi="宋体" w:eastAsia="宋体" w:cs="宋体"/>
                <w:b/>
                <w:bCs/>
                <w:color w:val="000000"/>
                <w:szCs w:val="21"/>
                <w:lang w:eastAsia="zh-CN"/>
              </w:rPr>
            </w:pPr>
            <w:r>
              <w:rPr>
                <w:rFonts w:hint="eastAsia" w:ascii="宋体" w:hAnsi="宋体" w:cs="宋体"/>
                <w:b/>
                <w:bCs/>
                <w:color w:val="000000"/>
                <w:szCs w:val="21"/>
                <w:lang w:val="en-US" w:eastAsia="zh-CN"/>
              </w:rPr>
              <w:t>指标</w:t>
            </w:r>
          </w:p>
        </w:tc>
        <w:tc>
          <w:tcPr>
            <w:tcW w:w="2488"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auto"/>
              <w:jc w:val="center"/>
              <w:rPr>
                <w:rFonts w:ascii="宋体" w:hAnsi="宋体" w:cs="宋体"/>
                <w:b/>
                <w:bCs/>
                <w:color w:val="000000"/>
                <w:szCs w:val="21"/>
              </w:rPr>
            </w:pPr>
            <w:r>
              <w:rPr>
                <w:rFonts w:hint="eastAsia" w:ascii="宋体" w:hAnsi="宋体" w:cs="宋体"/>
                <w:b/>
                <w:bCs/>
                <w:color w:val="000000"/>
                <w:szCs w:val="21"/>
              </w:rPr>
              <w:t>指标要求</w:t>
            </w:r>
          </w:p>
        </w:tc>
      </w:tr>
      <w:tr>
        <w:tblPrEx>
          <w:tblCellMar>
            <w:top w:w="0" w:type="dxa"/>
            <w:left w:w="108" w:type="dxa"/>
            <w:bottom w:w="0" w:type="dxa"/>
            <w:right w:w="108" w:type="dxa"/>
          </w:tblCellMar>
        </w:tblPrEx>
        <w:trPr>
          <w:trHeight w:val="936" w:hRule="atLeast"/>
          <w:jc w:val="center"/>
        </w:trPr>
        <w:tc>
          <w:tcPr>
            <w:tcW w:w="250" w:type="pct"/>
            <w:vMerge w:val="restart"/>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业务应用服务器</w:t>
            </w:r>
          </w:p>
        </w:tc>
        <w:tc>
          <w:tcPr>
            <w:tcW w:w="250" w:type="pct"/>
            <w:vMerge w:val="restart"/>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50" w:type="pct"/>
            <w:vMerge w:val="restart"/>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台</w:t>
            </w: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CPU规格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CPU信息</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szCs w:val="21"/>
              </w:rPr>
              <w:t>（1）配置</w:t>
            </w:r>
            <w:r>
              <w:rPr>
                <w:rFonts w:hint="eastAsia" w:ascii="宋体" w:hAnsi="宋体" w:cs="宋体"/>
                <w:color w:val="000000"/>
                <w:kern w:val="0"/>
                <w:szCs w:val="21"/>
              </w:rPr>
              <w:t>≥</w:t>
            </w:r>
            <w:r>
              <w:rPr>
                <w:rFonts w:hint="eastAsia" w:ascii="宋体" w:hAnsi="宋体" w:cs="宋体"/>
                <w:color w:val="000000"/>
                <w:szCs w:val="21"/>
              </w:rPr>
              <w:t>2颗国产化ARM处理器；</w:t>
            </w:r>
          </w:p>
          <w:p>
            <w:pPr>
              <w:widowControl/>
              <w:spacing w:line="240" w:lineRule="auto"/>
              <w:jc w:val="left"/>
              <w:textAlignment w:val="center"/>
              <w:rPr>
                <w:rFonts w:ascii="宋体" w:hAnsi="宋体" w:cs="宋体"/>
                <w:color w:val="000000"/>
                <w:szCs w:val="21"/>
              </w:rPr>
            </w:pPr>
            <w:r>
              <w:rPr>
                <w:rFonts w:hint="eastAsia" w:ascii="宋体" w:hAnsi="宋体" w:cs="宋体"/>
                <w:color w:val="000000"/>
                <w:szCs w:val="21"/>
              </w:rPr>
              <w:t>（2）单颗CPU型号</w:t>
            </w:r>
            <w:r>
              <w:rPr>
                <w:rFonts w:hint="eastAsia" w:ascii="宋体" w:hAnsi="宋体" w:cs="宋体"/>
                <w:color w:val="auto"/>
                <w:szCs w:val="21"/>
              </w:rPr>
              <w:t>kunpeng920，</w:t>
            </w:r>
            <w:r>
              <w:rPr>
                <w:rFonts w:hint="eastAsia" w:ascii="宋体" w:hAnsi="宋体" w:cs="宋体"/>
                <w:color w:val="000000"/>
                <w:szCs w:val="21"/>
              </w:rPr>
              <w:t>单颗CPU物理核心数</w:t>
            </w:r>
            <w:r>
              <w:rPr>
                <w:rFonts w:hint="eastAsia" w:ascii="宋体" w:hAnsi="宋体" w:cs="宋体"/>
                <w:color w:val="000000"/>
                <w:kern w:val="0"/>
                <w:szCs w:val="21"/>
              </w:rPr>
              <w:t>≥</w:t>
            </w:r>
            <w:r>
              <w:rPr>
                <w:rFonts w:hint="eastAsia" w:ascii="宋体" w:hAnsi="宋体" w:cs="宋体"/>
                <w:color w:val="000000"/>
                <w:szCs w:val="21"/>
              </w:rPr>
              <w:t>48核、主频</w:t>
            </w:r>
            <w:r>
              <w:rPr>
                <w:rFonts w:hint="eastAsia" w:ascii="宋体" w:hAnsi="宋体" w:cs="宋体"/>
                <w:color w:val="000000"/>
                <w:kern w:val="0"/>
                <w:szCs w:val="21"/>
              </w:rPr>
              <w:t>≥</w:t>
            </w:r>
            <w:r>
              <w:rPr>
                <w:rFonts w:hint="eastAsia" w:ascii="宋体" w:hAnsi="宋体" w:cs="宋体"/>
                <w:color w:val="000000"/>
                <w:szCs w:val="21"/>
              </w:rPr>
              <w:t>2.6GHz、末级缓存容量</w:t>
            </w:r>
            <w:r>
              <w:rPr>
                <w:rFonts w:hint="eastAsia" w:ascii="宋体" w:hAnsi="宋体" w:cs="宋体"/>
                <w:color w:val="000000"/>
                <w:kern w:val="0"/>
                <w:szCs w:val="21"/>
              </w:rPr>
              <w:t>≥</w:t>
            </w:r>
            <w:r>
              <w:rPr>
                <w:rFonts w:hint="eastAsia" w:ascii="宋体" w:hAnsi="宋体" w:cs="宋体"/>
                <w:color w:val="000000"/>
                <w:szCs w:val="21"/>
              </w:rPr>
              <w:t>48MB、TDP功耗</w:t>
            </w:r>
            <w:r>
              <w:rPr>
                <w:rFonts w:hint="eastAsia" w:ascii="宋体" w:hAnsi="宋体" w:cs="宋体"/>
                <w:color w:val="000000"/>
                <w:kern w:val="0"/>
                <w:szCs w:val="21"/>
              </w:rPr>
              <w:t>≤</w:t>
            </w:r>
            <w:r>
              <w:rPr>
                <w:rFonts w:hint="eastAsia" w:ascii="宋体" w:hAnsi="宋体" w:cs="宋体"/>
                <w:color w:val="000000"/>
                <w:szCs w:val="21"/>
              </w:rPr>
              <w:t>150W、最高内存频率</w:t>
            </w:r>
            <w:r>
              <w:rPr>
                <w:rFonts w:hint="eastAsia" w:ascii="宋体" w:hAnsi="宋体" w:cs="宋体"/>
                <w:color w:val="000000"/>
                <w:kern w:val="0"/>
                <w:szCs w:val="21"/>
              </w:rPr>
              <w:t>≥</w:t>
            </w:r>
            <w:r>
              <w:rPr>
                <w:rFonts w:hint="eastAsia" w:ascii="宋体" w:hAnsi="宋体" w:cs="宋体"/>
                <w:color w:val="000000"/>
                <w:szCs w:val="21"/>
              </w:rPr>
              <w:t>2933MHz、内存通道数</w:t>
            </w:r>
            <w:r>
              <w:rPr>
                <w:rFonts w:hint="eastAsia" w:ascii="宋体" w:hAnsi="宋体" w:cs="宋体"/>
                <w:color w:val="000000"/>
                <w:kern w:val="0"/>
                <w:szCs w:val="21"/>
              </w:rPr>
              <w:t>≥</w:t>
            </w:r>
            <w:r>
              <w:rPr>
                <w:rFonts w:hint="eastAsia" w:ascii="宋体" w:hAnsi="宋体" w:cs="宋体"/>
                <w:color w:val="000000"/>
                <w:szCs w:val="21"/>
              </w:rPr>
              <w:t>8</w:t>
            </w:r>
            <w:r>
              <w:rPr>
                <w:rFonts w:ascii="宋体" w:hAnsi="宋体" w:cs="宋体"/>
                <w:color w:val="000000"/>
                <w:szCs w:val="21"/>
              </w:rPr>
              <w:t>；</w:t>
            </w:r>
          </w:p>
        </w:tc>
      </w:tr>
      <w:tr>
        <w:tblPrEx>
          <w:tblCellMar>
            <w:top w:w="0" w:type="dxa"/>
            <w:left w:w="108" w:type="dxa"/>
            <w:bottom w:w="0" w:type="dxa"/>
            <w:right w:w="108" w:type="dxa"/>
          </w:tblCellMar>
        </w:tblPrEx>
        <w:trPr>
          <w:trHeight w:val="3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500"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主板规格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主板支持的CPU和内存情况</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主板支持2颗</w:t>
            </w:r>
            <w:r>
              <w:rPr>
                <w:rFonts w:hint="eastAsia" w:ascii="宋体" w:hAnsi="宋体" w:cs="宋体"/>
                <w:color w:val="000000"/>
                <w:szCs w:val="21"/>
              </w:rPr>
              <w:t>kunpeng920</w:t>
            </w:r>
            <w:r>
              <w:rPr>
                <w:rFonts w:ascii="宋体" w:hAnsi="宋体" w:cs="宋体"/>
                <w:color w:val="000000"/>
                <w:szCs w:val="21"/>
              </w:rPr>
              <w:t xml:space="preserve"> CPU</w:t>
            </w:r>
            <w:r>
              <w:rPr>
                <w:rFonts w:hint="eastAsia" w:ascii="宋体" w:hAnsi="宋体" w:cs="宋体"/>
                <w:color w:val="000000"/>
                <w:szCs w:val="21"/>
              </w:rPr>
              <w:t>，内存支持</w:t>
            </w:r>
            <w:r>
              <w:rPr>
                <w:rFonts w:hint="eastAsia" w:ascii="宋体" w:hAnsi="宋体" w:cs="宋体"/>
                <w:color w:val="000000"/>
                <w:kern w:val="0"/>
                <w:szCs w:val="21"/>
              </w:rPr>
              <w:t>≥1</w:t>
            </w:r>
            <w:r>
              <w:rPr>
                <w:rFonts w:ascii="宋体" w:hAnsi="宋体" w:cs="宋体"/>
                <w:color w:val="000000"/>
                <w:kern w:val="0"/>
                <w:szCs w:val="21"/>
              </w:rPr>
              <w:t>6</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500" w:type="pct"/>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主板内存槽数量</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非板载内存的可扩展插槽数量≥1</w:t>
            </w:r>
            <w:r>
              <w:rPr>
                <w:rFonts w:ascii="宋体" w:hAnsi="宋体" w:cs="宋体"/>
                <w:color w:val="000000"/>
                <w:kern w:val="0"/>
                <w:szCs w:val="21"/>
              </w:rPr>
              <w:t>6</w:t>
            </w:r>
            <w:r>
              <w:rPr>
                <w:rFonts w:hint="eastAsia" w:ascii="宋体" w:hAnsi="宋体" w:cs="宋体"/>
                <w:color w:val="000000"/>
                <w:kern w:val="0"/>
                <w:szCs w:val="21"/>
              </w:rPr>
              <w:t>个</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500" w:type="pct"/>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主板存储接口</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支持SATA、SAS、M.2、U.2等存储接口</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500" w:type="pct"/>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PCIe插槽接口</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符合PCIe4.0或以上的高速串行计算机扩展总线标准，PCIe的接口速率与位宽需保证向下兼容</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c>
          <w:tcPr>
            <w:tcW w:w="500" w:type="pct"/>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主板PCIe插槽数量及规格</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a) 高度≥44.45mm双路或以上服务器PCIe插槽或接口应≥5个；b)单路服务器PCIe插槽或接口应≥4个，可通过扩展卡进行插槽扩展</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500" w:type="pct"/>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板载网络接口</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kern w:val="0"/>
                <w:szCs w:val="21"/>
              </w:rPr>
            </w:pPr>
            <w:r>
              <w:rPr>
                <w:rFonts w:hint="eastAsia" w:ascii="宋体" w:hAnsi="宋体" w:cs="宋体"/>
                <w:color w:val="000000"/>
                <w:kern w:val="0"/>
                <w:szCs w:val="21"/>
              </w:rPr>
              <w:t>板载网络接口≥4个1GE网口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内存规格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内存数量</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配置内存数量≥8，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内存规格</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单条内存≥</w:t>
            </w:r>
            <w:r>
              <w:rPr>
                <w:rFonts w:ascii="宋体" w:hAnsi="宋体" w:cs="宋体"/>
                <w:color w:val="000000"/>
                <w:kern w:val="0"/>
                <w:szCs w:val="21"/>
              </w:rPr>
              <w:t xml:space="preserve">32GB </w:t>
            </w:r>
            <w:r>
              <w:rPr>
                <w:rFonts w:hint="eastAsia" w:ascii="宋体" w:hAnsi="宋体" w:cs="宋体"/>
                <w:color w:val="000000"/>
                <w:kern w:val="0"/>
                <w:szCs w:val="21"/>
              </w:rPr>
              <w:t>DDR4</w:t>
            </w:r>
          </w:p>
        </w:tc>
      </w:tr>
      <w:tr>
        <w:tblPrEx>
          <w:tblCellMar>
            <w:top w:w="0" w:type="dxa"/>
            <w:left w:w="108" w:type="dxa"/>
            <w:bottom w:w="0" w:type="dxa"/>
            <w:right w:w="108" w:type="dxa"/>
          </w:tblCellMar>
        </w:tblPrEx>
        <w:trPr>
          <w:trHeight w:val="415"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内存通道</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支持多个内存接口通道，每个通道可支持1DPC或2DPC，当支持2DPC 时，印制电路板上应具备插槽的序号标识，具体通道数应在随机文件中明确</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存储规格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硬磁盘实配容量</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bCs/>
                <w:color w:val="000000"/>
                <w:kern w:val="0"/>
                <w:szCs w:val="21"/>
              </w:rPr>
            </w:pPr>
            <w:r>
              <w:rPr>
                <w:rFonts w:hint="eastAsia" w:ascii="宋体" w:hAnsi="宋体" w:cs="宋体"/>
                <w:bCs/>
                <w:color w:val="000000"/>
                <w:kern w:val="0"/>
                <w:szCs w:val="21"/>
              </w:rPr>
              <w:t>a)配置磁盘容量≥</w:t>
            </w:r>
            <w:r>
              <w:rPr>
                <w:rFonts w:ascii="宋体" w:hAnsi="宋体" w:cs="宋体"/>
                <w:bCs/>
                <w:color w:val="000000"/>
                <w:kern w:val="0"/>
                <w:szCs w:val="21"/>
              </w:rPr>
              <w:t>1200</w:t>
            </w:r>
            <w:r>
              <w:rPr>
                <w:rFonts w:hint="eastAsia" w:ascii="宋体" w:hAnsi="宋体" w:cs="宋体"/>
                <w:bCs/>
                <w:color w:val="000000"/>
                <w:kern w:val="0"/>
                <w:szCs w:val="21"/>
              </w:rPr>
              <w:t>GB(</w:t>
            </w:r>
            <w:r>
              <w:rPr>
                <w:rFonts w:hint="eastAsia" w:ascii="宋体" w:hAnsi="宋体" w:cs="宋体"/>
                <w:bCs/>
                <w:color w:val="000000"/>
                <w:kern w:val="0"/>
                <w:szCs w:val="21"/>
                <w:lang w:eastAsia="zh-CN"/>
              </w:rPr>
              <w:t>2*6</w:t>
            </w:r>
            <w:r>
              <w:rPr>
                <w:rFonts w:ascii="宋体" w:hAnsi="宋体" w:cs="宋体"/>
                <w:bCs/>
                <w:color w:val="000000"/>
                <w:kern w:val="0"/>
                <w:szCs w:val="21"/>
              </w:rPr>
              <w:t>00</w:t>
            </w:r>
            <w:r>
              <w:rPr>
                <w:rFonts w:hint="eastAsia" w:ascii="宋体" w:hAnsi="宋体" w:cs="宋体"/>
                <w:bCs/>
                <w:color w:val="000000"/>
                <w:kern w:val="0"/>
                <w:szCs w:val="21"/>
              </w:rPr>
              <w:t>GB) SAS机械硬盘；</w:t>
            </w:r>
          </w:p>
          <w:p>
            <w:pPr>
              <w:widowControl/>
              <w:spacing w:before="240" w:line="240" w:lineRule="auto"/>
              <w:jc w:val="left"/>
              <w:textAlignment w:val="center"/>
              <w:rPr>
                <w:rFonts w:ascii="宋体" w:hAnsi="宋体" w:cs="宋体"/>
                <w:bCs/>
                <w:color w:val="000000"/>
                <w:kern w:val="0"/>
                <w:szCs w:val="21"/>
              </w:rPr>
            </w:pPr>
            <w:r>
              <w:rPr>
                <w:rFonts w:hint="eastAsia" w:ascii="宋体" w:hAnsi="宋体" w:cs="宋体"/>
                <w:bCs/>
                <w:color w:val="000000"/>
                <w:kern w:val="0"/>
                <w:szCs w:val="21"/>
              </w:rPr>
              <w:t>b)配置磁盘容量≥9600GB(</w:t>
            </w:r>
            <w:r>
              <w:rPr>
                <w:rFonts w:hint="eastAsia" w:ascii="宋体" w:hAnsi="宋体" w:cs="宋体"/>
                <w:bCs/>
                <w:color w:val="000000"/>
                <w:kern w:val="0"/>
                <w:szCs w:val="21"/>
                <w:lang w:eastAsia="zh-CN"/>
              </w:rPr>
              <w:t>8*1</w:t>
            </w:r>
            <w:r>
              <w:rPr>
                <w:rFonts w:ascii="宋体" w:hAnsi="宋体" w:cs="宋体"/>
                <w:bCs/>
                <w:color w:val="000000"/>
                <w:kern w:val="0"/>
                <w:szCs w:val="21"/>
              </w:rPr>
              <w:t>200</w:t>
            </w:r>
            <w:r>
              <w:rPr>
                <w:rFonts w:hint="eastAsia" w:ascii="宋体" w:hAnsi="宋体" w:cs="宋体"/>
                <w:bCs/>
                <w:color w:val="000000"/>
                <w:kern w:val="0"/>
                <w:szCs w:val="21"/>
              </w:rPr>
              <w:t>GB) SAS机械硬盘。</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硬磁盘实配数量</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bCs/>
                <w:color w:val="auto"/>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eastAsia="zh-CN"/>
              </w:rPr>
              <w:t>2*6</w:t>
            </w:r>
            <w:r>
              <w:rPr>
                <w:rFonts w:hint="eastAsia" w:ascii="宋体" w:hAnsi="宋体" w:cs="宋体"/>
                <w:bCs/>
                <w:color w:val="000000"/>
                <w:kern w:val="0"/>
                <w:szCs w:val="21"/>
              </w:rPr>
              <w:t>0</w:t>
            </w:r>
            <w:r>
              <w:rPr>
                <w:rFonts w:hint="eastAsia" w:ascii="宋体" w:hAnsi="宋体" w:cs="宋体"/>
                <w:bCs/>
                <w:color w:val="auto"/>
                <w:kern w:val="0"/>
                <w:szCs w:val="21"/>
              </w:rPr>
              <w:t xml:space="preserve">0GB </w:t>
            </w:r>
            <w:r>
              <w:rPr>
                <w:rFonts w:ascii="宋体" w:hAnsi="宋体" w:cs="宋体"/>
                <w:bCs/>
                <w:color w:val="auto"/>
                <w:kern w:val="0"/>
                <w:szCs w:val="21"/>
              </w:rPr>
              <w:t>SAS</w:t>
            </w:r>
            <w:r>
              <w:rPr>
                <w:rFonts w:hint="eastAsia" w:ascii="宋体" w:hAnsi="宋体" w:cs="宋体"/>
                <w:bCs/>
                <w:color w:val="auto"/>
                <w:kern w:val="0"/>
                <w:szCs w:val="21"/>
              </w:rPr>
              <w:t>机械硬盘；</w:t>
            </w:r>
          </w:p>
          <w:p>
            <w:pPr>
              <w:widowControl/>
              <w:spacing w:line="240" w:lineRule="auto"/>
              <w:jc w:val="left"/>
              <w:textAlignment w:val="center"/>
              <w:rPr>
                <w:rFonts w:ascii="宋体" w:hAnsi="宋体" w:cs="宋体"/>
                <w:color w:val="000000"/>
                <w:szCs w:val="21"/>
              </w:rPr>
            </w:pPr>
            <w:r>
              <w:rPr>
                <w:rFonts w:hint="eastAsia" w:ascii="宋体" w:hAnsi="宋体" w:cs="宋体"/>
                <w:bCs/>
                <w:color w:val="auto"/>
                <w:kern w:val="0"/>
                <w:szCs w:val="21"/>
              </w:rPr>
              <w:t>≥</w:t>
            </w:r>
            <w:r>
              <w:rPr>
                <w:rFonts w:hint="eastAsia" w:ascii="宋体" w:hAnsi="宋体" w:cs="宋体"/>
                <w:bCs/>
                <w:color w:val="auto"/>
                <w:kern w:val="0"/>
                <w:szCs w:val="21"/>
                <w:lang w:eastAsia="zh-CN"/>
              </w:rPr>
              <w:t>8*1</w:t>
            </w:r>
            <w:r>
              <w:rPr>
                <w:rFonts w:hint="eastAsia" w:ascii="宋体" w:hAnsi="宋体" w:cs="宋体"/>
                <w:bCs/>
                <w:color w:val="auto"/>
                <w:kern w:val="0"/>
                <w:szCs w:val="21"/>
              </w:rPr>
              <w:t xml:space="preserve">200GB </w:t>
            </w:r>
            <w:r>
              <w:rPr>
                <w:rFonts w:ascii="宋体" w:hAnsi="宋体" w:cs="宋体"/>
                <w:bCs/>
                <w:color w:val="auto"/>
                <w:kern w:val="0"/>
                <w:szCs w:val="21"/>
              </w:rPr>
              <w:t>SAS</w:t>
            </w:r>
            <w:r>
              <w:rPr>
                <w:rFonts w:hint="eastAsia" w:ascii="宋体" w:hAnsi="宋体" w:cs="宋体"/>
                <w:bCs/>
                <w:color w:val="auto"/>
                <w:kern w:val="0"/>
                <w:szCs w:val="21"/>
              </w:rPr>
              <w:t>机械硬盘。</w:t>
            </w:r>
          </w:p>
        </w:tc>
      </w:tr>
      <w:tr>
        <w:tblPrEx>
          <w:tblCellMar>
            <w:top w:w="0" w:type="dxa"/>
            <w:left w:w="108" w:type="dxa"/>
            <w:bottom w:w="0" w:type="dxa"/>
            <w:right w:w="108" w:type="dxa"/>
          </w:tblCellMar>
        </w:tblPrEx>
        <w:trPr>
          <w:trHeight w:val="95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硬盘插槽数量及规格</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top"/>
              <w:rPr>
                <w:rFonts w:ascii="宋体" w:hAnsi="宋体" w:cs="宋体"/>
                <w:color w:val="000000"/>
                <w:szCs w:val="21"/>
              </w:rPr>
            </w:pPr>
            <w:r>
              <w:rPr>
                <w:rFonts w:hint="eastAsia" w:ascii="宋体" w:hAnsi="宋体" w:cs="宋体"/>
                <w:color w:val="000000"/>
                <w:kern w:val="0"/>
                <w:szCs w:val="21"/>
              </w:rPr>
              <w:t>a)供应商应给出配置的硬盘尺寸，如2.5英寸、3.5英寸硬磁盘；b)机箱高度为88.9mm的服务器可支持的硬盘数量应</w:t>
            </w:r>
            <w:r>
              <w:rPr>
                <w:rFonts w:hint="eastAsia" w:ascii="宋体" w:hAnsi="宋体" w:cs="宋体"/>
                <w:color w:val="000000"/>
                <w:szCs w:val="21"/>
              </w:rPr>
              <w:t>≥</w:t>
            </w:r>
            <w:r>
              <w:rPr>
                <w:rFonts w:hint="eastAsia" w:ascii="宋体" w:hAnsi="宋体" w:cs="宋体"/>
                <w:color w:val="000000"/>
                <w:kern w:val="0"/>
                <w:szCs w:val="21"/>
              </w:rPr>
              <w:t>8块，机箱高度为44.45mm的服务器可支持的硬盘数量应</w:t>
            </w:r>
            <w:r>
              <w:rPr>
                <w:rFonts w:hint="eastAsia" w:ascii="宋体" w:hAnsi="宋体" w:cs="宋体"/>
                <w:color w:val="000000"/>
                <w:szCs w:val="21"/>
              </w:rPr>
              <w:t>≥</w:t>
            </w:r>
            <w:r>
              <w:rPr>
                <w:rFonts w:hint="eastAsia" w:ascii="宋体" w:hAnsi="宋体" w:cs="宋体"/>
                <w:color w:val="000000"/>
                <w:kern w:val="0"/>
                <w:szCs w:val="21"/>
              </w:rPr>
              <w:t>4块。c)存储型服务器可支持硬盘数量应</w:t>
            </w:r>
            <w:r>
              <w:rPr>
                <w:rFonts w:hint="eastAsia" w:ascii="宋体" w:hAnsi="宋体" w:cs="宋体"/>
                <w:color w:val="000000"/>
                <w:szCs w:val="21"/>
              </w:rPr>
              <w:t>≥</w:t>
            </w:r>
            <w:r>
              <w:rPr>
                <w:rFonts w:hint="eastAsia" w:ascii="宋体" w:hAnsi="宋体" w:cs="宋体"/>
                <w:color w:val="000000"/>
                <w:kern w:val="0"/>
                <w:szCs w:val="21"/>
              </w:rPr>
              <w:t>24块</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RAID卡规格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RAID卡支持的SAS接口数</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color w:val="000000"/>
                <w:szCs w:val="21"/>
              </w:rPr>
            </w:pPr>
            <w:r>
              <w:rPr>
                <w:rFonts w:hint="eastAsia" w:ascii="宋体" w:hAnsi="宋体" w:cs="宋体"/>
                <w:color w:val="000000"/>
                <w:szCs w:val="21"/>
              </w:rPr>
              <w:t>≥8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网络规格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网口速率和数量</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bCs/>
                <w:color w:val="000000"/>
                <w:szCs w:val="21"/>
              </w:rPr>
            </w:pPr>
            <w:r>
              <w:rPr>
                <w:rFonts w:hint="eastAsia" w:ascii="宋体" w:hAnsi="宋体" w:cs="宋体"/>
                <w:bCs/>
                <w:color w:val="000000"/>
                <w:kern w:val="0"/>
                <w:szCs w:val="21"/>
              </w:rPr>
              <w:t>配置≥</w:t>
            </w:r>
            <w:r>
              <w:rPr>
                <w:rFonts w:ascii="宋体" w:hAnsi="宋体" w:cs="宋体"/>
                <w:bCs/>
                <w:color w:val="000000"/>
                <w:kern w:val="0"/>
                <w:szCs w:val="21"/>
              </w:rPr>
              <w:t>1</w:t>
            </w:r>
            <w:r>
              <w:rPr>
                <w:rFonts w:hint="eastAsia" w:ascii="宋体" w:hAnsi="宋体" w:cs="宋体"/>
                <w:bCs/>
                <w:color w:val="000000"/>
                <w:kern w:val="0"/>
                <w:szCs w:val="21"/>
              </w:rPr>
              <w:t>块独立双口万兆光网卡并满配光模块</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外部接口规格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显示接口</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支持VGA、DP、HDMI等</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USB 接口</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配备USB2.0、USB3.0等</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电源规格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电源模块数量</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bCs/>
                <w:color w:val="000000"/>
                <w:kern w:val="0"/>
                <w:szCs w:val="21"/>
              </w:rPr>
              <w:t>≥2</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电源功率</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电源模块功率应有一定冗余，满足处理器满载时的需求，单电源模块功率≥900W</w:t>
            </w:r>
          </w:p>
        </w:tc>
      </w:tr>
      <w:tr>
        <w:tblPrEx>
          <w:tblCellMar>
            <w:top w:w="0" w:type="dxa"/>
            <w:left w:w="108" w:type="dxa"/>
            <w:bottom w:w="0" w:type="dxa"/>
            <w:right w:w="108" w:type="dxa"/>
          </w:tblCellMar>
        </w:tblPrEx>
        <w:trPr>
          <w:trHeight w:val="983"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整机规格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外观和结构</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a)服务器的零部件应紧固无松动，可插拔部件应可靠连接，开关、按钮和其它控制部件应灵活可靠，布局应方便使用； b) 产品表面不应有明显的凹痕、划伤、裂缝、变形和污染等。表面涂层均匀，不应起泡、龟裂、脱落和磨损，金属零部件无锈蚀及其它机械损伤； c) 产品表面说明功能的文字、符号和标志应清晰、端正且牢固； d) 应在服务器的显著位置提供运行状态的指示功能，并在随机文件中明确具体含义； e) 机架、机箱的尺寸应符合通用机柜的安装要求，插入总线插座的电路板接口外形尺寸应符合有关总线标准的规定，将机箱固定在机柜上，机箱底面最大下垂变形不得干涉相邻机体；f) 高密度服务器应给出CPU个数与机柜高度； g) 服务器尺寸具体要求在随机文件中明确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尺寸（高×宽×深）</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szCs w:val="21"/>
              </w:rPr>
              <w:t>2U机架式服务器</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环境适应性</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气候环境适应性应符合GB/T9813.3的有关规定，工作温度10～ 35℃，贮存运输温度-40～55℃；工作相对湿度35%～80%，贮存运输相对湿度20％～93%（40℃）；大气压86～106kPa</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机械环境适应性</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机械环境适应性应符合GB/T9813.3的有关规定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噪声</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符合GB/T 9813.3的有关规定，在产品说明中给出具体测试值塔式服务器噪声在空闲状态下不大于50dB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机柜规格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机柜尺寸</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szCs w:val="21"/>
              </w:rPr>
              <w:t>2U机架式服务器，能安装于19英寸标准服务器机柜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主板功能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主板外部接口种类</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支持VGA、DP、HDMI、USB3.0、PS/2接口、BMC管理端口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网络功能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网络功能</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支持网络连接、网络访问、数据交换和网络管控功能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CPU功能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计算处理</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支持通用计算及虚拟化功能。处理器需集成整型计算单元、浮点计算单元、内存控制器、I/O模块等，处理器与存储部件、网络部件、I/O 部件等组成计算系统，提供数据处理、网络接入等计算相关功能</w:t>
            </w:r>
          </w:p>
        </w:tc>
      </w:tr>
      <w:tr>
        <w:tblPrEx>
          <w:tblCellMar>
            <w:top w:w="0" w:type="dxa"/>
            <w:left w:w="108" w:type="dxa"/>
            <w:bottom w:w="0" w:type="dxa"/>
            <w:right w:w="108" w:type="dxa"/>
          </w:tblCellMar>
        </w:tblPrEx>
        <w:trPr>
          <w:trHeight w:val="568"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指令集支持</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Cs w:val="21"/>
              </w:rPr>
            </w:pPr>
            <w:r>
              <w:rPr>
                <w:rFonts w:hint="eastAsia" w:ascii="宋体" w:hAnsi="宋体" w:cs="宋体"/>
                <w:color w:val="000000"/>
                <w:kern w:val="0"/>
                <w:szCs w:val="21"/>
              </w:rPr>
              <w:t>支持RISC指令集</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Cs w:val="21"/>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kern w:val="0"/>
                <w:szCs w:val="21"/>
              </w:rPr>
              <w:t>硬件加速</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Cs w:val="21"/>
              </w:rPr>
            </w:pPr>
            <w:r>
              <w:rPr>
                <w:rFonts w:hint="eastAsia" w:ascii="宋体" w:hAnsi="宋体" w:cs="宋体"/>
                <w:color w:val="000000"/>
                <w:kern w:val="0"/>
                <w:szCs w:val="21"/>
              </w:rPr>
              <w:t>支持具备RSA/SM3/SM4/DH/MD5/AES算法硬件加解密加速能力和ZLIB/GZIP算法硬件压缩加速能力，提供处理器厂商官网截图或产品文档截图。</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密码算法实现</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CPU芯片应符合GM/T0008的相关规定，或芯片密码模块应符合GB/T37092或GM/T 0028的相关规定</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RAID功能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RAID卡级别支持</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bCs/>
                <w:color w:val="000000"/>
                <w:kern w:val="0"/>
                <w:szCs w:val="21"/>
              </w:rPr>
              <w:t>支持RAID 0/1/5/6/10/50/60</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电源功能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电源热插拔</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整机电源模块应具备热插拔功能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电源过流保护</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支持过流及短路保护的功能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整机功能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散热方式</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支持风冷或液冷等散热方式</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管理系统功能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BMC 固件基础功能</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color w:val="000000"/>
                <w:szCs w:val="21"/>
              </w:rPr>
            </w:pPr>
            <w:r>
              <w:rPr>
                <w:rFonts w:hint="eastAsia" w:ascii="宋体" w:hAnsi="宋体" w:cs="宋体"/>
                <w:color w:val="000000"/>
                <w:szCs w:val="21"/>
              </w:rPr>
              <w:t>1) 支持DHCP设置网络功能；</w:t>
            </w:r>
          </w:p>
          <w:p>
            <w:pPr>
              <w:widowControl/>
              <w:spacing w:line="240" w:lineRule="auto"/>
              <w:rPr>
                <w:rFonts w:ascii="宋体" w:hAnsi="宋体" w:cs="宋体"/>
                <w:color w:val="000000"/>
                <w:szCs w:val="21"/>
              </w:rPr>
            </w:pPr>
            <w:r>
              <w:rPr>
                <w:rFonts w:hint="eastAsia" w:ascii="宋体" w:hAnsi="宋体" w:cs="宋体"/>
                <w:color w:val="000000"/>
                <w:szCs w:val="21"/>
              </w:rPr>
              <w:t>2)支持静态IP设置网络功能；</w:t>
            </w:r>
          </w:p>
          <w:p>
            <w:pPr>
              <w:widowControl/>
              <w:spacing w:line="240" w:lineRule="auto"/>
              <w:rPr>
                <w:rFonts w:ascii="宋体" w:hAnsi="宋体" w:cs="宋体"/>
                <w:color w:val="000000"/>
                <w:szCs w:val="21"/>
              </w:rPr>
            </w:pPr>
            <w:r>
              <w:rPr>
                <w:rFonts w:hint="eastAsia" w:ascii="宋体" w:hAnsi="宋体" w:cs="宋体"/>
                <w:color w:val="000000"/>
                <w:szCs w:val="21"/>
              </w:rPr>
              <w:t>3)支持设备日志记录，包括但不限于登录日志、操作日志和报警日志等功能；</w:t>
            </w:r>
          </w:p>
          <w:p>
            <w:pPr>
              <w:widowControl/>
              <w:spacing w:line="240" w:lineRule="auto"/>
              <w:rPr>
                <w:rFonts w:ascii="宋体" w:hAnsi="宋体" w:cs="宋体"/>
                <w:color w:val="000000"/>
                <w:szCs w:val="21"/>
              </w:rPr>
            </w:pPr>
            <w:r>
              <w:rPr>
                <w:rFonts w:hint="eastAsia" w:ascii="宋体" w:hAnsi="宋体" w:cs="宋体"/>
                <w:color w:val="000000"/>
                <w:szCs w:val="21"/>
              </w:rPr>
              <w:t>4)支持日志信息导出和记录删除功能；</w:t>
            </w:r>
          </w:p>
          <w:p>
            <w:pPr>
              <w:widowControl/>
              <w:spacing w:line="240" w:lineRule="auto"/>
              <w:rPr>
                <w:rFonts w:ascii="宋体" w:hAnsi="宋体" w:cs="宋体"/>
                <w:color w:val="000000"/>
                <w:szCs w:val="21"/>
              </w:rPr>
            </w:pPr>
            <w:r>
              <w:rPr>
                <w:rFonts w:hint="eastAsia" w:ascii="宋体" w:hAnsi="宋体" w:cs="宋体"/>
                <w:color w:val="000000"/>
                <w:szCs w:val="21"/>
              </w:rPr>
              <w:t>5)支持通过管理接口向外输出准确的报警信息功能；</w:t>
            </w:r>
          </w:p>
          <w:p>
            <w:pPr>
              <w:widowControl/>
              <w:spacing w:line="240" w:lineRule="auto"/>
              <w:rPr>
                <w:rFonts w:ascii="宋体" w:hAnsi="宋体" w:cs="宋体"/>
                <w:color w:val="000000"/>
                <w:szCs w:val="21"/>
              </w:rPr>
            </w:pPr>
            <w:r>
              <w:rPr>
                <w:rFonts w:hint="eastAsia" w:ascii="宋体" w:hAnsi="宋体" w:cs="宋体"/>
                <w:color w:val="000000"/>
                <w:szCs w:val="21"/>
              </w:rPr>
              <w:t>6)设备的BMC管理软件应能够按报</w:t>
            </w:r>
          </w:p>
          <w:p>
            <w:pPr>
              <w:widowControl/>
              <w:spacing w:line="240" w:lineRule="auto"/>
              <w:rPr>
                <w:rFonts w:ascii="宋体" w:hAnsi="宋体" w:cs="宋体"/>
                <w:color w:val="000000"/>
                <w:szCs w:val="21"/>
              </w:rPr>
            </w:pPr>
            <w:r>
              <w:rPr>
                <w:rFonts w:hint="eastAsia" w:ascii="宋体" w:hAnsi="宋体" w:cs="宋体"/>
                <w:color w:val="000000"/>
                <w:szCs w:val="21"/>
              </w:rPr>
              <w:t>警的严重程度进行区分；</w:t>
            </w:r>
          </w:p>
          <w:p>
            <w:pPr>
              <w:widowControl/>
              <w:spacing w:line="240" w:lineRule="auto"/>
              <w:rPr>
                <w:rFonts w:ascii="宋体" w:hAnsi="宋体" w:cs="宋体"/>
                <w:color w:val="000000"/>
                <w:szCs w:val="21"/>
              </w:rPr>
            </w:pPr>
            <w:r>
              <w:rPr>
                <w:rFonts w:hint="eastAsia" w:ascii="宋体" w:hAnsi="宋体" w:cs="宋体"/>
                <w:color w:val="000000"/>
                <w:szCs w:val="21"/>
              </w:rPr>
              <w:t>7)支持IPMI2.0、SNMP或Redfish 等接口功能；</w:t>
            </w:r>
          </w:p>
          <w:p>
            <w:pPr>
              <w:widowControl/>
              <w:spacing w:line="240" w:lineRule="auto"/>
              <w:rPr>
                <w:rFonts w:ascii="宋体" w:hAnsi="宋体" w:cs="宋体"/>
                <w:color w:val="000000"/>
                <w:szCs w:val="21"/>
              </w:rPr>
            </w:pPr>
            <w:r>
              <w:rPr>
                <w:rFonts w:hint="eastAsia" w:ascii="宋体" w:hAnsi="宋体" w:cs="宋体"/>
                <w:color w:val="000000"/>
                <w:szCs w:val="21"/>
              </w:rPr>
              <w:t>8)支持键盘、鼠标和视频的重定向、文本控制台的重定向、远程虚拟媒体、高可靠的硬件监控和管理功能；</w:t>
            </w:r>
          </w:p>
          <w:p>
            <w:pPr>
              <w:widowControl/>
              <w:spacing w:line="240" w:lineRule="auto"/>
              <w:rPr>
                <w:rFonts w:ascii="宋体" w:hAnsi="宋体" w:cs="宋体"/>
                <w:color w:val="000000"/>
                <w:szCs w:val="21"/>
              </w:rPr>
            </w:pPr>
            <w:r>
              <w:rPr>
                <w:rFonts w:hint="eastAsia" w:ascii="宋体" w:hAnsi="宋体" w:cs="宋体"/>
                <w:color w:val="000000"/>
                <w:szCs w:val="21"/>
              </w:rPr>
              <w:t>9)支持基于网络开启、关闭和重启设备的功能，并查询当前设备开机运行状态；</w:t>
            </w:r>
          </w:p>
          <w:p>
            <w:pPr>
              <w:widowControl/>
              <w:spacing w:line="240" w:lineRule="auto"/>
              <w:rPr>
                <w:rFonts w:ascii="宋体" w:hAnsi="宋体" w:cs="宋体"/>
                <w:color w:val="000000"/>
                <w:szCs w:val="21"/>
              </w:rPr>
            </w:pPr>
            <w:r>
              <w:rPr>
                <w:rFonts w:hint="eastAsia" w:ascii="宋体" w:hAnsi="宋体" w:cs="宋体"/>
                <w:color w:val="000000"/>
                <w:szCs w:val="21"/>
              </w:rPr>
              <w:t>10)支持故障提示功能，并可通过接口读取服务器故障信息；</w:t>
            </w:r>
          </w:p>
          <w:p>
            <w:pPr>
              <w:widowControl/>
              <w:spacing w:line="240" w:lineRule="auto"/>
              <w:rPr>
                <w:rFonts w:ascii="宋体" w:hAnsi="宋体" w:cs="宋体"/>
                <w:color w:val="000000"/>
                <w:szCs w:val="21"/>
              </w:rPr>
            </w:pPr>
            <w:r>
              <w:rPr>
                <w:rFonts w:hint="eastAsia" w:ascii="宋体" w:hAnsi="宋体" w:cs="宋体"/>
                <w:color w:val="000000"/>
                <w:szCs w:val="21"/>
              </w:rPr>
              <w:t>11)支持基于网络的固件更新功能，包括BMC和BIOS等；</w:t>
            </w:r>
          </w:p>
          <w:p>
            <w:pPr>
              <w:widowControl/>
              <w:spacing w:line="240" w:lineRule="auto"/>
              <w:rPr>
                <w:rFonts w:ascii="宋体" w:hAnsi="宋体" w:cs="宋体"/>
                <w:color w:val="000000"/>
                <w:szCs w:val="21"/>
              </w:rPr>
            </w:pPr>
            <w:r>
              <w:rPr>
                <w:rFonts w:hint="eastAsia" w:ascii="宋体" w:hAnsi="宋体" w:cs="宋体"/>
                <w:color w:val="000000"/>
                <w:szCs w:val="21"/>
              </w:rPr>
              <w:t>12)支持基于网络安装操作系统的功能，并可通过网络控制台访问设备；</w:t>
            </w:r>
          </w:p>
          <w:p>
            <w:pPr>
              <w:widowControl/>
              <w:spacing w:line="240" w:lineRule="auto"/>
              <w:rPr>
                <w:rFonts w:ascii="宋体" w:hAnsi="宋体" w:cs="宋体"/>
                <w:color w:val="000000"/>
                <w:szCs w:val="21"/>
              </w:rPr>
            </w:pPr>
            <w:r>
              <w:rPr>
                <w:rFonts w:hint="eastAsia" w:ascii="宋体" w:hAnsi="宋体" w:cs="宋体"/>
                <w:color w:val="000000"/>
                <w:szCs w:val="21"/>
              </w:rPr>
              <w:t>13)支持通过本地的硬盘或光驱等存储设备，基于网络完成设备的操作系统安装功能；</w:t>
            </w:r>
          </w:p>
          <w:p>
            <w:pPr>
              <w:widowControl/>
              <w:spacing w:line="240" w:lineRule="auto"/>
              <w:rPr>
                <w:rFonts w:ascii="宋体" w:hAnsi="宋体" w:cs="宋体"/>
                <w:color w:val="000000"/>
                <w:szCs w:val="21"/>
              </w:rPr>
            </w:pPr>
            <w:r>
              <w:rPr>
                <w:rFonts w:hint="eastAsia" w:ascii="宋体" w:hAnsi="宋体" w:cs="宋体"/>
                <w:color w:val="000000"/>
                <w:szCs w:val="21"/>
              </w:rPr>
              <w:t>14)支持通过浏览器打开管理界面并登录功能；</w:t>
            </w:r>
          </w:p>
          <w:p>
            <w:pPr>
              <w:widowControl/>
              <w:spacing w:line="240" w:lineRule="auto"/>
              <w:rPr>
                <w:rFonts w:ascii="宋体" w:hAnsi="宋体" w:cs="宋体"/>
                <w:color w:val="000000"/>
                <w:szCs w:val="21"/>
              </w:rPr>
            </w:pPr>
            <w:r>
              <w:rPr>
                <w:rFonts w:hint="eastAsia" w:ascii="宋体" w:hAnsi="宋体" w:cs="宋体"/>
                <w:color w:val="000000"/>
                <w:szCs w:val="21"/>
              </w:rPr>
              <w:t>15)支持设置口令策略功能；</w:t>
            </w:r>
          </w:p>
          <w:p>
            <w:pPr>
              <w:widowControl/>
              <w:spacing w:line="240" w:lineRule="auto"/>
              <w:rPr>
                <w:rFonts w:ascii="宋体" w:hAnsi="宋体" w:cs="宋体"/>
                <w:color w:val="000000"/>
                <w:szCs w:val="21"/>
              </w:rPr>
            </w:pPr>
            <w:r>
              <w:rPr>
                <w:rFonts w:hint="eastAsia" w:ascii="宋体" w:hAnsi="宋体" w:cs="宋体"/>
                <w:color w:val="000000"/>
                <w:szCs w:val="21"/>
              </w:rPr>
              <w:t>16)支持访问权限设置功能，并通过日志记录访问事件；</w:t>
            </w:r>
          </w:p>
          <w:p>
            <w:pPr>
              <w:widowControl/>
              <w:spacing w:line="240" w:lineRule="auto"/>
              <w:rPr>
                <w:rFonts w:ascii="宋体" w:hAnsi="宋体" w:cs="宋体"/>
                <w:color w:val="000000"/>
                <w:szCs w:val="21"/>
              </w:rPr>
            </w:pPr>
            <w:r>
              <w:rPr>
                <w:rFonts w:hint="eastAsia" w:ascii="宋体" w:hAnsi="宋体" w:cs="宋体"/>
                <w:color w:val="000000"/>
                <w:szCs w:val="21"/>
              </w:rPr>
              <w:t>17)支持对出厂默认的用户名及口令进行安全保护功能，并提供默认口令修改提示；</w:t>
            </w:r>
          </w:p>
          <w:p>
            <w:pPr>
              <w:widowControl/>
              <w:spacing w:line="240" w:lineRule="auto"/>
              <w:rPr>
                <w:rFonts w:ascii="宋体" w:hAnsi="宋体" w:cs="宋体"/>
                <w:color w:val="000000"/>
                <w:szCs w:val="21"/>
              </w:rPr>
            </w:pPr>
            <w:r>
              <w:rPr>
                <w:rFonts w:hint="eastAsia" w:ascii="宋体" w:hAnsi="宋体" w:cs="宋体"/>
                <w:color w:val="000000"/>
                <w:szCs w:val="21"/>
              </w:rPr>
              <w:t>18)支持读取设备主板的工作环境温度功能；</w:t>
            </w:r>
          </w:p>
          <w:p>
            <w:pPr>
              <w:widowControl/>
              <w:spacing w:line="240" w:lineRule="auto"/>
              <w:rPr>
                <w:rFonts w:ascii="宋体" w:hAnsi="宋体" w:cs="宋体"/>
                <w:color w:val="000000"/>
                <w:szCs w:val="21"/>
              </w:rPr>
            </w:pPr>
            <w:r>
              <w:rPr>
                <w:rFonts w:hint="eastAsia" w:ascii="宋体" w:hAnsi="宋体" w:cs="宋体"/>
                <w:color w:val="000000"/>
                <w:szCs w:val="21"/>
              </w:rPr>
              <w:t>19)支持读取服务器CPU等核心器件的温度功能；</w:t>
            </w:r>
          </w:p>
          <w:p>
            <w:pPr>
              <w:widowControl/>
              <w:spacing w:line="240" w:lineRule="auto"/>
              <w:rPr>
                <w:rFonts w:ascii="宋体" w:hAnsi="宋体" w:cs="宋体"/>
                <w:color w:val="000000"/>
                <w:szCs w:val="21"/>
              </w:rPr>
            </w:pPr>
            <w:r>
              <w:rPr>
                <w:rFonts w:hint="eastAsia" w:ascii="宋体" w:hAnsi="宋体" w:cs="宋体"/>
                <w:color w:val="000000"/>
                <w:szCs w:val="21"/>
              </w:rPr>
              <w:t>20)支持通过外部管理工具进行BMC参数设置的功能，并可基于网络通过外部管理工具对BMC进行管理；</w:t>
            </w:r>
          </w:p>
          <w:p>
            <w:pPr>
              <w:widowControl/>
              <w:spacing w:line="240" w:lineRule="auto"/>
              <w:rPr>
                <w:rFonts w:ascii="宋体" w:hAnsi="宋体" w:cs="宋体"/>
                <w:color w:val="000000"/>
                <w:szCs w:val="21"/>
              </w:rPr>
            </w:pPr>
            <w:r>
              <w:rPr>
                <w:rFonts w:hint="eastAsia" w:ascii="宋体" w:hAnsi="宋体" w:cs="宋体"/>
                <w:color w:val="000000"/>
                <w:szCs w:val="21"/>
              </w:rPr>
              <w:t>21)应支持固件版本查询、固件升级</w:t>
            </w:r>
          </w:p>
          <w:p>
            <w:pPr>
              <w:widowControl/>
              <w:spacing w:line="240" w:lineRule="auto"/>
              <w:rPr>
                <w:rFonts w:ascii="宋体" w:hAnsi="宋体" w:cs="宋体"/>
                <w:color w:val="000000"/>
                <w:szCs w:val="21"/>
              </w:rPr>
            </w:pPr>
            <w:r>
              <w:rPr>
                <w:rFonts w:hint="eastAsia" w:ascii="宋体" w:hAnsi="宋体" w:cs="宋体"/>
                <w:color w:val="000000"/>
                <w:szCs w:val="21"/>
              </w:rPr>
              <w:t>22)支持基于网络实现开关机和复位控制的功能；</w:t>
            </w:r>
          </w:p>
          <w:p>
            <w:pPr>
              <w:widowControl/>
              <w:spacing w:line="240" w:lineRule="auto"/>
              <w:rPr>
                <w:rFonts w:ascii="宋体" w:hAnsi="宋体" w:cs="宋体"/>
                <w:color w:val="000000"/>
                <w:szCs w:val="21"/>
              </w:rPr>
            </w:pPr>
            <w:r>
              <w:rPr>
                <w:rFonts w:hint="eastAsia" w:ascii="宋体" w:hAnsi="宋体" w:cs="宋体"/>
                <w:color w:val="000000"/>
                <w:szCs w:val="21"/>
              </w:rPr>
              <w:t>23)BMC启动时间应不超过180s，实现功能包括网络、IPMI、散热、传感器服务可用；</w:t>
            </w:r>
          </w:p>
          <w:p>
            <w:pPr>
              <w:widowControl/>
              <w:spacing w:line="240" w:lineRule="auto"/>
              <w:rPr>
                <w:rFonts w:ascii="宋体" w:hAnsi="宋体" w:cs="宋体"/>
                <w:color w:val="000000"/>
                <w:szCs w:val="21"/>
              </w:rPr>
            </w:pPr>
            <w:r>
              <w:rPr>
                <w:rFonts w:hint="eastAsia" w:ascii="宋体" w:hAnsi="宋体" w:cs="宋体"/>
                <w:color w:val="000000"/>
                <w:szCs w:val="21"/>
              </w:rPr>
              <w:t>24)支持BMC固件设置的恢复出厂功能</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BIOS 固件基础功能</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color w:val="000000"/>
                <w:szCs w:val="21"/>
              </w:rPr>
            </w:pPr>
            <w:r>
              <w:rPr>
                <w:rFonts w:hint="eastAsia" w:ascii="宋体" w:hAnsi="宋体" w:cs="宋体"/>
                <w:color w:val="000000"/>
                <w:szCs w:val="21"/>
              </w:rPr>
              <w:t>a）支持查看固件版本、内存信息、主板信息、处理器信息和系统时间信息功能； b）支持上电初始化界面显示CPU信息、内存信息、固件版本和部分快捷键信息功能； c）支持设置界面中英文显示切换功能；d）支持查看PCIe设备信息，SATA 设备信息功能； e）支持操作系统安装和引导功能，应并向操作系统提供计算机主板信息和服务接口； f）支持设置启动顺序，并按照设置的启动顺序启动功能； g）支持安全启动功能； h）支持设置口令、修改口令、验证口令功能； i）支持板载显示控制或独立显卡的显示控制功能； j）支持RAID识别和启动功能； k）支持串口重定向功能； l）支持固件更新功能；m）支持BIOS固件设置的恢复出厂功能； n）支持网络引导启用和关闭功能</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Cs w:val="21"/>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kern w:val="0"/>
                <w:szCs w:val="21"/>
              </w:rPr>
              <w:t>BIOS软件</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Cs w:val="21"/>
              </w:rPr>
            </w:pPr>
            <w:r>
              <w:rPr>
                <w:rFonts w:hint="eastAsia" w:ascii="宋体" w:hAnsi="宋体" w:cs="宋体"/>
                <w:color w:val="000000"/>
                <w:kern w:val="0"/>
                <w:szCs w:val="21"/>
              </w:rPr>
              <w:t>服务器BIOS软件须通过EAL4+认证级别。</w:t>
            </w:r>
            <w:r>
              <w:rPr>
                <w:rFonts w:ascii="宋体" w:hAnsi="宋体" w:cs="宋体"/>
                <w:color w:val="000000"/>
                <w:kern w:val="0"/>
                <w:szCs w:val="21"/>
              </w:rPr>
              <w:t xml:space="preserve"> </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远程控制</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支持远程关机和重新启动功能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操作系统及驱动功能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操作系统及驱动的升级</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支持通过网络、闪存盘对操作系统、驱动进行升级</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操作系统功能</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a) 支持访问控制、安全审计、网络接入鉴别等功能； b) 操作系统其他功能应满足操作系统政府采购需求标准中加▲的指标要求</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中文信息处理功能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中文信息处理</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符合GB 18030的有关规定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关键部件安全要求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关键部件安全要求</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CPU和操作系统等关键部件应当符合安全可靠测评要求，通过政府有关部门指定的中国信息安全测评中心和国家保密科技测评中心网站查看安全可靠测评结果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固件安全要求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故障检测</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color w:val="000000"/>
                <w:szCs w:val="21"/>
              </w:rPr>
            </w:pPr>
            <w:r>
              <w:rPr>
                <w:rFonts w:hint="eastAsia" w:ascii="宋体" w:hAnsi="宋体" w:cs="宋体"/>
                <w:color w:val="000000"/>
                <w:szCs w:val="21"/>
              </w:rPr>
              <w:t>支持故障检测功能，可以检测到具体的FRU（内存、硬盘等）的故障并发出告警</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系统安全要求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弱口令字典检查</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支持弱口令字典检查功能，出现在弱口令字典中的字符串不能被设置为用户口令</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白名单访问控制</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支持基于时间、IP或MAC白名单访问控制</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二次鉴别</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支持二次鉴别功能。对于用户配置、权限配置、公钥导入等重要的管理操作，已登录用户应通过二次鉴别后，才能执行操作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密码证书安全加密存储</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支持对带外管理系统中的用户口令和证书等敏感信息进行加密存储，禁止使用私有的和业界已知不安全的密码算法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敏感信息安全加密传输</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支持使用安全的传输加密协议（如SSH或HTTPS等）传输用户的敏感信息</w:t>
            </w:r>
          </w:p>
        </w:tc>
      </w:tr>
      <w:tr>
        <w:tblPrEx>
          <w:tblCellMar>
            <w:top w:w="0" w:type="dxa"/>
            <w:left w:w="108" w:type="dxa"/>
            <w:bottom w:w="0" w:type="dxa"/>
            <w:right w:w="108" w:type="dxa"/>
          </w:tblCellMar>
        </w:tblPrEx>
        <w:trPr>
          <w:trHeight w:val="499"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信息安全要求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研发过程安全</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物理安全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物理安全</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000000"/>
                <w:szCs w:val="21"/>
              </w:rPr>
            </w:pPr>
            <w:r>
              <w:rPr>
                <w:rFonts w:hint="eastAsia" w:ascii="宋体" w:hAnsi="宋体" w:cs="宋体"/>
                <w:color w:val="000000"/>
                <w:szCs w:val="21"/>
              </w:rPr>
              <w:t>安全要求应符合GB 4943.1的规定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限用物质的限量要求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限用物质的限量要求</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color w:val="000000"/>
                <w:szCs w:val="21"/>
              </w:rPr>
            </w:pPr>
            <w:r>
              <w:rPr>
                <w:rFonts w:hint="eastAsia" w:ascii="宋体" w:hAnsi="宋体" w:cs="宋体"/>
                <w:color w:val="000000"/>
                <w:szCs w:val="21"/>
              </w:rPr>
              <w:t>限用物质的限量应符合GB/T 26572 的要求</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CPU性能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CPU 主频</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cs="宋体"/>
                <w:color w:val="000000"/>
                <w:szCs w:val="21"/>
              </w:rPr>
            </w:pPr>
            <w:r>
              <w:rPr>
                <w:rFonts w:hint="eastAsia" w:ascii="宋体" w:hAnsi="宋体" w:cs="宋体"/>
                <w:bCs/>
                <w:color w:val="000000"/>
                <w:kern w:val="0"/>
                <w:szCs w:val="21"/>
              </w:rPr>
              <w:t>≥2.6GHz</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核数</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cs="宋体"/>
                <w:color w:val="000000"/>
                <w:szCs w:val="21"/>
              </w:rPr>
            </w:pPr>
            <w:r>
              <w:rPr>
                <w:rFonts w:hint="eastAsia" w:ascii="宋体" w:hAnsi="宋体" w:cs="宋体"/>
                <w:bCs/>
                <w:color w:val="000000"/>
                <w:kern w:val="0"/>
                <w:szCs w:val="21"/>
              </w:rPr>
              <w:t>≥48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末级缓存容量</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cs="宋体"/>
                <w:color w:val="000000"/>
                <w:szCs w:val="21"/>
              </w:rPr>
            </w:pPr>
            <w:r>
              <w:rPr>
                <w:rFonts w:hint="eastAsia" w:ascii="宋体" w:hAnsi="宋体" w:cs="宋体"/>
                <w:bCs/>
                <w:color w:val="000000"/>
                <w:kern w:val="0"/>
                <w:szCs w:val="21"/>
              </w:rPr>
              <w:t>≥48MB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内存性能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内存速率</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≥2933MT/s</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RAID卡性能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Raid卡缓存容量大小</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cs="宋体"/>
                <w:bCs/>
                <w:color w:val="000000"/>
                <w:szCs w:val="21"/>
              </w:rPr>
            </w:pPr>
            <w:r>
              <w:rPr>
                <w:rFonts w:hint="eastAsia" w:ascii="宋体" w:hAnsi="宋体" w:cs="宋体"/>
                <w:color w:val="000000"/>
                <w:kern w:val="0"/>
                <w:szCs w:val="21"/>
              </w:rPr>
              <w:t>配备RAID卡且RAID卡缓存容量≥</w:t>
            </w:r>
            <w:r>
              <w:rPr>
                <w:rFonts w:hint="eastAsia" w:ascii="宋体" w:hAnsi="宋体" w:cs="宋体"/>
                <w:bCs/>
                <w:color w:val="000000"/>
                <w:kern w:val="0"/>
                <w:szCs w:val="21"/>
              </w:rPr>
              <w:t>4GB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58</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FC HBA卡性能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FC HBA卡速率</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cs="宋体"/>
                <w:color w:val="000000"/>
                <w:kern w:val="0"/>
                <w:szCs w:val="21"/>
              </w:rPr>
            </w:pPr>
            <w:r>
              <w:rPr>
                <w:rFonts w:hint="eastAsia" w:ascii="宋体" w:hAnsi="宋体" w:cs="宋体"/>
                <w:color w:val="000000"/>
                <w:kern w:val="0"/>
                <w:szCs w:val="21"/>
              </w:rPr>
              <w:t>配备双端口16Gb FC HBA卡，单端口最大的连接速率≥16Gb/s</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电源能耗</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电源能耗</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符合GB/T 9813.3的有关规定</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部件兼容性要求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内存兼容性</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适配3种及以上厂商的内存产品，且均不低于产品支持的内存规格</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固态存储兼容性</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适配3种或以上厂商的固态存储产品，且均不低于产品支持的固态存储设备规格</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网卡兼容性</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网卡应适配两种或以上厂商产品</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功能卡兼容性</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内置或适配符合PCIe的功能卡，如：网络功能卡、存储功能卡及图形显示功能卡</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外设兼容性</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外设兼容性</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兼容多种主流生产商的外部设备，包括显示器、键盘、鼠标、闪存盘、移动硬盘、USB光驱及KVM等，要求使用不同厂商的外部设备时，系统均能正常识别和安装驱动</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软件兼容性</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数据库兼容</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000000"/>
                <w:szCs w:val="21"/>
              </w:rPr>
            </w:pPr>
            <w:r>
              <w:rPr>
                <w:rFonts w:hint="eastAsia" w:ascii="宋体" w:hAnsi="宋体" w:cs="宋体"/>
                <w:color w:val="000000"/>
                <w:szCs w:val="21"/>
              </w:rPr>
              <w:t>兼容3个及以上厂商的数据库产品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中间件兼容</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兼容3个及以上厂商的中间件产品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平台软件兼容</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兼容3个及以上厂商的大数据平台</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整机可靠性要求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整机可靠性</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m1值（MTBF的不可接受值）≥30000h</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风扇可靠性</w:t>
            </w:r>
          </w:p>
        </w:tc>
        <w:tc>
          <w:tcPr>
            <w:tcW w:w="2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风扇寿命≥40000h</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部件可靠性</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支持硬盘、电源、风扇热插拔(内置风扇除外)</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包装及运输要求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标志、包装、运输和贮存</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符合GB/T 9813.3和商品包装政府采购需求标准的相关规定</w:t>
            </w:r>
          </w:p>
        </w:tc>
      </w:tr>
      <w:tr>
        <w:tblPrEx>
          <w:tblCellMar>
            <w:top w:w="0" w:type="dxa"/>
            <w:left w:w="108" w:type="dxa"/>
            <w:bottom w:w="0" w:type="dxa"/>
            <w:right w:w="108" w:type="dxa"/>
          </w:tblCellMar>
        </w:tblPrEx>
        <w:trPr>
          <w:trHeight w:val="1560"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服务响应</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服务响应</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kern w:val="0"/>
                <w:szCs w:val="21"/>
              </w:rPr>
            </w:pPr>
            <w:r>
              <w:rPr>
                <w:rFonts w:hint="eastAsia" w:ascii="宋体" w:hAnsi="宋体" w:cs="宋体"/>
                <w:color w:val="000000"/>
                <w:kern w:val="0"/>
                <w:szCs w:val="21"/>
              </w:rPr>
              <w:t>a)提供电话、电子邮件、远程连接等多种形式服务；</w:t>
            </w:r>
          </w:p>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b) 提供同城4h、异地12h技术响应服务，2个工作日解决问题，对于未能解决的问题和故障应提供可行的升级方案，并提供周转设备； c) 建立全国技术服务体系和服务团体，符合专业服务体系标准要求，提供原厂中文服务； d) 服务周期内提供产品的维修、换件和升级服务</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培训服务</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供应商提供培训材料、产品手册、培训视频等培训相关内容</w:t>
            </w:r>
          </w:p>
        </w:tc>
      </w:tr>
      <w:tr>
        <w:tblPrEx>
          <w:tblCellMar>
            <w:top w:w="0" w:type="dxa"/>
            <w:left w:w="108" w:type="dxa"/>
            <w:bottom w:w="0" w:type="dxa"/>
            <w:right w:w="108" w:type="dxa"/>
          </w:tblCellMar>
        </w:tblPrEx>
        <w:trPr>
          <w:trHeight w:val="1248"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服务周期</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服务周期</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宋体" w:hAnsi="宋体" w:cs="宋体"/>
                <w:color w:val="000000"/>
                <w:szCs w:val="21"/>
              </w:rPr>
            </w:pPr>
            <w:r>
              <w:rPr>
                <w:rFonts w:hint="eastAsia" w:ascii="宋体" w:hAnsi="宋体" w:cs="宋体"/>
                <w:color w:val="000000"/>
                <w:szCs w:val="21"/>
              </w:rPr>
              <w:t>a) 产品免费服务周期（含换件和维修）</w:t>
            </w:r>
            <w:r>
              <w:rPr>
                <w:rFonts w:hint="eastAsia" w:ascii="宋体" w:hAnsi="宋体" w:cs="宋体"/>
                <w:color w:val="000000"/>
                <w:kern w:val="0"/>
                <w:szCs w:val="21"/>
              </w:rPr>
              <w:t>≥</w:t>
            </w:r>
            <w:r>
              <w:rPr>
                <w:rFonts w:hint="eastAsia" w:ascii="宋体" w:hAnsi="宋体" w:cs="宋体"/>
                <w:color w:val="000000"/>
                <w:szCs w:val="21"/>
              </w:rPr>
              <w:t>5年，</w:t>
            </w:r>
            <w:r>
              <w:rPr>
                <w:rFonts w:hint="eastAsia" w:ascii="宋体" w:hAnsi="宋体" w:cs="宋体"/>
                <w:b/>
                <w:bCs/>
                <w:color w:val="000000"/>
                <w:kern w:val="0"/>
                <w:szCs w:val="21"/>
              </w:rPr>
              <w:t>包含硬盘不返还服务</w:t>
            </w:r>
            <w:r>
              <w:rPr>
                <w:rFonts w:hint="eastAsia" w:ascii="宋体" w:hAnsi="宋体" w:cs="宋体"/>
                <w:color w:val="000000"/>
                <w:szCs w:val="21"/>
              </w:rPr>
              <w:t>； b) 设备停产后继续提供质量保障服务（含备品备件），服务终止时间与最后一批设备交付时间间隔</w:t>
            </w:r>
            <w:r>
              <w:rPr>
                <w:rFonts w:hint="eastAsia" w:ascii="宋体" w:hAnsi="宋体" w:cs="宋体"/>
                <w:color w:val="000000"/>
                <w:kern w:val="0"/>
                <w:szCs w:val="21"/>
              </w:rPr>
              <w:t>≥</w:t>
            </w:r>
            <w:r>
              <w:rPr>
                <w:rFonts w:hint="eastAsia" w:ascii="宋体" w:hAnsi="宋体" w:cs="宋体"/>
                <w:color w:val="000000"/>
                <w:szCs w:val="21"/>
              </w:rPr>
              <w:t>6年； c) 产品停止服务时间应提前1年告知客户；d) 产品发布日期需在随机文件中明确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服务工具要求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工具要求</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供应商提供设置服务器硬件、辅助操作系统安装等功能的辅助工具和管理软件。且随附软件应具有合法授权或版权</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驱动安装升级指引</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供应商提供出厂安装的配件所需的驱动程序，形式包括但不限于驱动光盘、驱动下载链接等。其他配件应提供指引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管理软件</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具备资源管理、系统管理、性能监控、健康监控、基于网络控制、报警设置功能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szCs w:val="21"/>
              </w:rPr>
            </w:pPr>
            <w:r>
              <w:rPr>
                <w:rFonts w:hint="eastAsia" w:ascii="宋体" w:hAnsi="宋体" w:cs="宋体"/>
                <w:color w:val="000000"/>
                <w:szCs w:val="21"/>
              </w:rPr>
              <w:t>增值服务</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厂家升级产品软件与扩容服务</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供应商提供原厂级的部件/软件产品升级和扩容能力</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提供上门服务</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7*2</w:t>
            </w:r>
            <w:r>
              <w:rPr>
                <w:rFonts w:ascii="宋体" w:hAnsi="宋体" w:cs="宋体"/>
                <w:color w:val="000000"/>
                <w:kern w:val="0"/>
                <w:szCs w:val="21"/>
              </w:rPr>
              <w:t>4</w:t>
            </w:r>
            <w:r>
              <w:rPr>
                <w:rFonts w:hint="eastAsia" w:ascii="宋体" w:hAnsi="宋体" w:cs="宋体"/>
                <w:color w:val="000000"/>
                <w:kern w:val="0"/>
                <w:szCs w:val="21"/>
              </w:rPr>
              <w:t>小时上门服务</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szCs w:val="21"/>
              </w:rPr>
            </w:pPr>
            <w:r>
              <w:rPr>
                <w:rFonts w:hint="eastAsia" w:ascii="宋体" w:hAnsi="宋体" w:cs="宋体"/>
                <w:szCs w:val="21"/>
              </w:rPr>
              <w:t>供应链质量</w:t>
            </w: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szCs w:val="21"/>
              </w:rPr>
            </w:pPr>
            <w:r>
              <w:rPr>
                <w:rFonts w:hint="eastAsia" w:ascii="宋体" w:hAnsi="宋体" w:cs="宋体"/>
                <w:szCs w:val="21"/>
              </w:rPr>
              <w:t>▲抗干扰性</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当产品部件出现供应风险时，应通知客户并提供风险应对方案确保产品的服务保障，必要时应停止相关受影响产品的销售</w:t>
            </w:r>
          </w:p>
        </w:tc>
      </w:tr>
      <w:tr>
        <w:tblPrEx>
          <w:tblCellMar>
            <w:top w:w="0" w:type="dxa"/>
            <w:left w:w="108" w:type="dxa"/>
            <w:bottom w:w="0" w:type="dxa"/>
            <w:right w:w="108" w:type="dxa"/>
          </w:tblCellMar>
        </w:tblPrEx>
        <w:trPr>
          <w:trHeight w:val="381" w:hRule="atLeast"/>
          <w:jc w:val="center"/>
        </w:trPr>
        <w:tc>
          <w:tcPr>
            <w:tcW w:w="250" w:type="pct"/>
            <w:vMerge w:val="continue"/>
            <w:tcBorders>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szCs w:val="21"/>
              </w:rPr>
            </w:pPr>
            <w:r>
              <w:rPr>
                <w:rFonts w:hint="eastAsia" w:ascii="宋体" w:hAnsi="宋体" w:cs="宋体"/>
                <w:szCs w:val="21"/>
              </w:rPr>
              <w:t>▲供应能力证明</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ascii="宋体" w:hAnsi="宋体" w:cs="宋体"/>
                <w:color w:val="000000"/>
                <w:szCs w:val="21"/>
              </w:rPr>
            </w:pPr>
            <w:r>
              <w:rPr>
                <w:rFonts w:hint="eastAsia" w:ascii="宋体" w:hAnsi="宋体" w:cs="宋体"/>
                <w:color w:val="000000"/>
                <w:kern w:val="0"/>
                <w:szCs w:val="21"/>
              </w:rPr>
              <w:t>供应商提供供应链稳定承诺书，确保产品的部件在产品服务周期内稳定供货；供应商须提供服务器主板供应商针对本次采购项目出具的供应保障函，内容须明确保障本次采购的服务器主板供应。</w:t>
            </w:r>
          </w:p>
        </w:tc>
      </w:tr>
      <w:bookmarkEnd w:id="37"/>
    </w:tbl>
    <w:p>
      <w:pPr>
        <w:pStyle w:val="2"/>
        <w:ind w:left="0" w:leftChars="0" w:firstLine="0"/>
      </w:pPr>
    </w:p>
    <w:p>
      <w:pPr>
        <w:pStyle w:val="5"/>
        <w:ind w:firstLine="482" w:firstLineChars="200"/>
        <w:rPr>
          <w:rFonts w:hint="eastAsia"/>
          <w:sz w:val="24"/>
          <w:szCs w:val="22"/>
          <w:lang w:val="en-US" w:eastAsia="zh-CN"/>
        </w:rPr>
      </w:pPr>
    </w:p>
    <w:p>
      <w:pPr>
        <w:pStyle w:val="5"/>
        <w:ind w:firstLine="482" w:firstLineChars="200"/>
        <w:rPr>
          <w:sz w:val="24"/>
          <w:szCs w:val="22"/>
        </w:rPr>
      </w:pPr>
      <w:r>
        <w:rPr>
          <w:rFonts w:hint="eastAsia"/>
          <w:sz w:val="24"/>
          <w:szCs w:val="22"/>
          <w:lang w:val="en-US" w:eastAsia="zh-CN"/>
        </w:rPr>
        <w:t>2.</w:t>
      </w:r>
      <w:r>
        <w:rPr>
          <w:sz w:val="24"/>
          <w:szCs w:val="22"/>
        </w:rPr>
        <w:t>接入服务器（</w:t>
      </w:r>
      <w:r>
        <w:rPr>
          <w:rFonts w:hint="eastAsia"/>
          <w:sz w:val="24"/>
          <w:szCs w:val="22"/>
        </w:rPr>
        <w:t>2台</w:t>
      </w:r>
      <w:r>
        <w:rPr>
          <w:sz w:val="24"/>
          <w:szCs w:val="22"/>
        </w:rPr>
        <w:t>）</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502"/>
        <w:gridCol w:w="502"/>
        <w:gridCol w:w="502"/>
        <w:gridCol w:w="1004"/>
        <w:gridCol w:w="1004"/>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500" w:type="pct"/>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指标</w:t>
            </w:r>
          </w:p>
        </w:tc>
        <w:tc>
          <w:tcPr>
            <w:tcW w:w="500" w:type="pct"/>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2624"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restar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接入服务器</w:t>
            </w:r>
          </w:p>
        </w:tc>
        <w:tc>
          <w:tcPr>
            <w:tcW w:w="250" w:type="pct"/>
            <w:vMerge w:val="restar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50" w:type="pct"/>
            <w:vMerge w:val="restar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台</w:t>
            </w: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CPU规格</w:t>
            </w: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CPU信息</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（1）配置2颗国产化ARM处理器；</w:t>
            </w:r>
          </w:p>
          <w:p>
            <w:pPr>
              <w:widowControl/>
              <w:jc w:val="left"/>
              <w:textAlignment w:val="center"/>
              <w:rPr>
                <w:rFonts w:ascii="宋体" w:hAnsi="宋体" w:cs="宋体"/>
                <w:color w:val="000000"/>
                <w:szCs w:val="21"/>
              </w:rPr>
            </w:pPr>
            <w:r>
              <w:rPr>
                <w:rFonts w:hint="eastAsia" w:ascii="宋体" w:hAnsi="宋体" w:cs="宋体"/>
                <w:color w:val="000000"/>
                <w:szCs w:val="21"/>
              </w:rPr>
              <w:t>（2）单颗CPU型号kunpeng920，单颗CPU物理核心数</w:t>
            </w:r>
            <w:r>
              <w:rPr>
                <w:rFonts w:hint="eastAsia" w:ascii="宋体" w:hAnsi="宋体" w:cs="宋体"/>
                <w:color w:val="000000"/>
                <w:kern w:val="0"/>
                <w:szCs w:val="21"/>
              </w:rPr>
              <w:t>≥</w:t>
            </w:r>
            <w:r>
              <w:rPr>
                <w:rFonts w:hint="eastAsia" w:ascii="宋体" w:hAnsi="宋体" w:cs="宋体"/>
                <w:color w:val="000000"/>
                <w:szCs w:val="21"/>
              </w:rPr>
              <w:t>48核、主频</w:t>
            </w:r>
            <w:r>
              <w:rPr>
                <w:rFonts w:hint="eastAsia" w:ascii="宋体" w:hAnsi="宋体" w:cs="宋体"/>
                <w:color w:val="000000"/>
                <w:kern w:val="0"/>
                <w:szCs w:val="21"/>
              </w:rPr>
              <w:t>≥</w:t>
            </w:r>
            <w:r>
              <w:rPr>
                <w:rFonts w:hint="eastAsia" w:ascii="宋体" w:hAnsi="宋体" w:cs="宋体"/>
                <w:color w:val="000000"/>
                <w:szCs w:val="21"/>
              </w:rPr>
              <w:t>2.6GHz、末级缓存容量</w:t>
            </w:r>
            <w:r>
              <w:rPr>
                <w:rFonts w:hint="eastAsia" w:ascii="宋体" w:hAnsi="宋体" w:cs="宋体"/>
                <w:color w:val="000000"/>
                <w:kern w:val="0"/>
                <w:szCs w:val="21"/>
              </w:rPr>
              <w:t>≥</w:t>
            </w:r>
            <w:r>
              <w:rPr>
                <w:rFonts w:hint="eastAsia" w:ascii="宋体" w:hAnsi="宋体" w:cs="宋体"/>
                <w:color w:val="000000"/>
                <w:szCs w:val="21"/>
              </w:rPr>
              <w:t>48MB、TDP功耗</w:t>
            </w:r>
            <w:r>
              <w:rPr>
                <w:rFonts w:hint="eastAsia" w:ascii="宋体" w:hAnsi="宋体" w:cs="宋体"/>
                <w:color w:val="000000"/>
                <w:kern w:val="0"/>
                <w:szCs w:val="21"/>
              </w:rPr>
              <w:t>≤</w:t>
            </w:r>
            <w:r>
              <w:rPr>
                <w:rFonts w:hint="eastAsia" w:ascii="宋体" w:hAnsi="宋体" w:cs="宋体"/>
                <w:color w:val="000000"/>
                <w:szCs w:val="21"/>
              </w:rPr>
              <w:t>150W、最高内存频率</w:t>
            </w:r>
            <w:r>
              <w:rPr>
                <w:rFonts w:hint="eastAsia" w:ascii="宋体" w:hAnsi="宋体" w:cs="宋体"/>
                <w:color w:val="000000"/>
                <w:kern w:val="0"/>
                <w:szCs w:val="21"/>
              </w:rPr>
              <w:t>≥</w:t>
            </w:r>
            <w:r>
              <w:rPr>
                <w:rFonts w:hint="eastAsia" w:ascii="宋体" w:hAnsi="宋体" w:cs="宋体"/>
                <w:color w:val="000000"/>
                <w:szCs w:val="21"/>
              </w:rPr>
              <w:t>2933MHz、内存通道数</w:t>
            </w:r>
            <w:r>
              <w:rPr>
                <w:rFonts w:hint="eastAsia" w:ascii="宋体" w:hAnsi="宋体" w:cs="宋体"/>
                <w:color w:val="000000"/>
                <w:kern w:val="0"/>
                <w:szCs w:val="21"/>
              </w:rPr>
              <w:t>≥</w:t>
            </w:r>
            <w:r>
              <w:rPr>
                <w:rFonts w:hint="eastAsia" w:ascii="宋体" w:hAnsi="宋体" w:cs="宋体"/>
                <w:color w:val="000000"/>
                <w:szCs w:val="21"/>
              </w:rPr>
              <w:t>8</w:t>
            </w:r>
            <w:r>
              <w:rPr>
                <w:rFonts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主板规格</w:t>
            </w: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主板支持的CPU和内存情况</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主板支持2颗</w:t>
            </w:r>
            <w:r>
              <w:rPr>
                <w:rFonts w:hint="eastAsia" w:ascii="宋体" w:hAnsi="宋体" w:cs="宋体"/>
                <w:color w:val="000000"/>
                <w:szCs w:val="21"/>
              </w:rPr>
              <w:t>kunpeng920</w:t>
            </w:r>
            <w:r>
              <w:rPr>
                <w:rFonts w:ascii="宋体" w:hAnsi="宋体" w:cs="宋体"/>
                <w:color w:val="000000"/>
                <w:szCs w:val="21"/>
              </w:rPr>
              <w:t xml:space="preserve"> CPU</w:t>
            </w:r>
            <w:r>
              <w:rPr>
                <w:rFonts w:hint="eastAsia" w:ascii="宋体" w:hAnsi="宋体" w:cs="宋体"/>
                <w:color w:val="000000"/>
                <w:szCs w:val="21"/>
              </w:rPr>
              <w:t>，内存支持</w:t>
            </w:r>
            <w:r>
              <w:rPr>
                <w:rFonts w:hint="eastAsia" w:ascii="宋体" w:hAnsi="宋体" w:cs="宋体"/>
                <w:color w:val="000000"/>
                <w:kern w:val="0"/>
                <w:szCs w:val="21"/>
              </w:rPr>
              <w:t>≥1</w:t>
            </w:r>
            <w:r>
              <w:rPr>
                <w:rFonts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主板内存槽数量</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非板载内存的可扩展插槽数量≥4个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主板存储接口</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支持SATA、SAS、M.2、U.2等存储接口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PCIe插槽接口</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符合PCIe4.0或以上的高速串行计算机扩展总线标准，PCIe的接口速率与位宽需保证向下兼容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主板PCIe插槽数量及规格</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高度≥44.45mm双路或以上服务器PCIe插槽或接口≥5个；b)单路服务器PCIe插槽或接口≥4个，可通过扩展卡进行插槽扩展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板载网络接口</w:t>
            </w:r>
          </w:p>
        </w:tc>
        <w:tc>
          <w:tcPr>
            <w:tcW w:w="2624" w:type="pct"/>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板载网络接口应≥4个1GE网口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内存数量</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配置内存数量≥8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内存规格</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单条内存≥</w:t>
            </w:r>
            <w:r>
              <w:rPr>
                <w:rFonts w:ascii="宋体" w:hAnsi="宋体" w:cs="宋体"/>
                <w:color w:val="000000"/>
                <w:kern w:val="0"/>
                <w:szCs w:val="21"/>
              </w:rPr>
              <w:t xml:space="preserve">32GB </w:t>
            </w:r>
            <w:r>
              <w:rPr>
                <w:rFonts w:hint="eastAsia" w:ascii="宋体" w:hAnsi="宋体" w:cs="宋体"/>
                <w:color w:val="000000"/>
                <w:kern w:val="0"/>
                <w:szCs w:val="21"/>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内存通道</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支持多个内存接口通道，每个通道可支持1DPC或2DPC，当支持2DPC 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存储规格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硬磁盘实配容量</w:t>
            </w:r>
          </w:p>
        </w:tc>
        <w:tc>
          <w:tcPr>
            <w:tcW w:w="2624" w:type="pct"/>
            <w:shd w:val="clear" w:color="auto" w:fill="auto"/>
            <w:vAlign w:val="center"/>
          </w:tcPr>
          <w:p>
            <w:pPr>
              <w:widowControl/>
              <w:jc w:val="left"/>
              <w:textAlignment w:val="center"/>
              <w:rPr>
                <w:rFonts w:ascii="宋体" w:hAnsi="宋体" w:cs="宋体"/>
                <w:bCs/>
                <w:color w:val="000000"/>
                <w:kern w:val="0"/>
                <w:szCs w:val="21"/>
              </w:rPr>
            </w:pPr>
            <w:r>
              <w:rPr>
                <w:rFonts w:hint="eastAsia" w:ascii="宋体" w:hAnsi="宋体" w:cs="宋体"/>
                <w:bCs/>
                <w:color w:val="000000"/>
                <w:kern w:val="0"/>
                <w:szCs w:val="21"/>
              </w:rPr>
              <w:t>a)配置磁盘容量≥960GB</w:t>
            </w:r>
            <w:r>
              <w:rPr>
                <w:rFonts w:ascii="宋体" w:hAnsi="宋体" w:cs="宋体"/>
                <w:bCs/>
                <w:color w:val="000000"/>
                <w:kern w:val="0"/>
                <w:szCs w:val="21"/>
              </w:rPr>
              <w:t>(</w:t>
            </w:r>
            <w:r>
              <w:rPr>
                <w:rFonts w:hint="eastAsia" w:ascii="宋体" w:hAnsi="宋体" w:cs="宋体"/>
                <w:bCs/>
                <w:color w:val="000000"/>
                <w:kern w:val="0"/>
                <w:szCs w:val="21"/>
                <w:lang w:eastAsia="zh-CN"/>
              </w:rPr>
              <w:t>2*4</w:t>
            </w:r>
            <w:r>
              <w:rPr>
                <w:rFonts w:hint="eastAsia" w:ascii="宋体" w:hAnsi="宋体" w:cs="宋体"/>
                <w:bCs/>
                <w:color w:val="000000"/>
                <w:kern w:val="0"/>
                <w:szCs w:val="21"/>
              </w:rPr>
              <w:t>80GB</w:t>
            </w:r>
            <w:r>
              <w:rPr>
                <w:rFonts w:ascii="宋体" w:hAnsi="宋体" w:cs="宋体"/>
                <w:bCs/>
                <w:color w:val="000000"/>
                <w:kern w:val="0"/>
                <w:szCs w:val="21"/>
              </w:rPr>
              <w:t>)</w:t>
            </w:r>
            <w:r>
              <w:rPr>
                <w:rFonts w:hint="eastAsia" w:ascii="宋体" w:hAnsi="宋体" w:cs="宋体"/>
                <w:bCs/>
                <w:color w:val="000000"/>
                <w:kern w:val="0"/>
                <w:szCs w:val="21"/>
              </w:rPr>
              <w:t xml:space="preserve"> SSD固态硬盘；</w:t>
            </w:r>
          </w:p>
          <w:p>
            <w:pPr>
              <w:widowControl/>
              <w:jc w:val="left"/>
              <w:textAlignment w:val="center"/>
              <w:rPr>
                <w:rFonts w:ascii="宋体" w:hAnsi="宋体" w:cs="宋体"/>
                <w:color w:val="000000"/>
                <w:szCs w:val="21"/>
              </w:rPr>
            </w:pPr>
            <w:r>
              <w:rPr>
                <w:rFonts w:hint="eastAsia" w:ascii="宋体" w:hAnsi="宋体" w:cs="宋体"/>
                <w:bCs/>
                <w:color w:val="000000"/>
                <w:kern w:val="0"/>
                <w:szCs w:val="21"/>
              </w:rPr>
              <w:t>b)配置磁盘容量≥96000GB</w:t>
            </w:r>
            <w:r>
              <w:rPr>
                <w:rFonts w:ascii="宋体" w:hAnsi="宋体" w:cs="宋体"/>
                <w:bCs/>
                <w:color w:val="000000"/>
                <w:kern w:val="0"/>
                <w:szCs w:val="21"/>
              </w:rPr>
              <w:t>(</w:t>
            </w:r>
            <w:r>
              <w:rPr>
                <w:rFonts w:hint="eastAsia" w:ascii="宋体" w:hAnsi="宋体" w:cs="宋体"/>
                <w:bCs/>
                <w:color w:val="000000"/>
                <w:kern w:val="0"/>
                <w:szCs w:val="21"/>
              </w:rPr>
              <w:t>1</w:t>
            </w:r>
            <w:r>
              <w:rPr>
                <w:rFonts w:hint="eastAsia" w:ascii="宋体" w:hAnsi="宋体" w:cs="宋体"/>
                <w:bCs/>
                <w:color w:val="000000"/>
                <w:kern w:val="0"/>
                <w:szCs w:val="21"/>
                <w:lang w:eastAsia="zh-CN"/>
              </w:rPr>
              <w:t>2*8</w:t>
            </w:r>
            <w:r>
              <w:rPr>
                <w:rFonts w:hint="eastAsia" w:ascii="宋体" w:hAnsi="宋体" w:cs="宋体"/>
                <w:bCs/>
                <w:color w:val="000000"/>
                <w:kern w:val="0"/>
                <w:szCs w:val="21"/>
              </w:rPr>
              <w:t>000</w:t>
            </w:r>
            <w:r>
              <w:rPr>
                <w:rFonts w:ascii="宋体" w:hAnsi="宋体" w:cs="宋体"/>
                <w:bCs/>
                <w:color w:val="000000"/>
                <w:kern w:val="0"/>
                <w:szCs w:val="21"/>
              </w:rPr>
              <w:t>GB)</w:t>
            </w:r>
            <w:r>
              <w:rPr>
                <w:rFonts w:hint="eastAsia" w:ascii="宋体" w:hAnsi="宋体" w:cs="宋体"/>
                <w:bCs/>
                <w:color w:val="000000"/>
                <w:kern w:val="0"/>
                <w:szCs w:val="21"/>
              </w:rPr>
              <w:t xml:space="preserve"> SATA机械硬盘。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硬磁盘实配数量</w:t>
            </w:r>
          </w:p>
        </w:tc>
        <w:tc>
          <w:tcPr>
            <w:tcW w:w="2624" w:type="pct"/>
            <w:shd w:val="clear" w:color="auto" w:fill="auto"/>
            <w:vAlign w:val="center"/>
          </w:tcPr>
          <w:p>
            <w:pPr>
              <w:widowControl/>
              <w:jc w:val="left"/>
              <w:textAlignment w:val="center"/>
              <w:rPr>
                <w:rFonts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eastAsia="zh-CN"/>
              </w:rPr>
              <w:t>2*4</w:t>
            </w:r>
            <w:r>
              <w:rPr>
                <w:rFonts w:hint="eastAsia" w:ascii="宋体" w:hAnsi="宋体" w:cs="宋体"/>
                <w:bCs/>
                <w:color w:val="000000"/>
                <w:kern w:val="0"/>
                <w:szCs w:val="21"/>
              </w:rPr>
              <w:t>80GB SSD固态硬盘；</w:t>
            </w:r>
          </w:p>
          <w:p>
            <w:pPr>
              <w:widowControl/>
              <w:jc w:val="left"/>
              <w:textAlignment w:val="center"/>
              <w:rPr>
                <w:rFonts w:ascii="宋体" w:hAnsi="宋体" w:cs="宋体"/>
                <w:color w:val="000000"/>
                <w:szCs w:val="21"/>
              </w:rPr>
            </w:pPr>
            <w:r>
              <w:rPr>
                <w:rFonts w:hint="eastAsia" w:ascii="宋体" w:hAnsi="宋体" w:cs="宋体"/>
                <w:bCs/>
                <w:color w:val="000000"/>
                <w:kern w:val="0"/>
                <w:szCs w:val="21"/>
              </w:rPr>
              <w:t>≥1</w:t>
            </w:r>
            <w:r>
              <w:rPr>
                <w:rFonts w:hint="eastAsia" w:ascii="宋体" w:hAnsi="宋体" w:cs="宋体"/>
                <w:bCs/>
                <w:color w:val="000000"/>
                <w:kern w:val="0"/>
                <w:szCs w:val="21"/>
                <w:lang w:eastAsia="zh-CN"/>
              </w:rPr>
              <w:t>2*8</w:t>
            </w:r>
            <w:r>
              <w:rPr>
                <w:rFonts w:hint="eastAsia" w:ascii="宋体" w:hAnsi="宋体" w:cs="宋体"/>
                <w:bCs/>
                <w:color w:val="000000"/>
                <w:kern w:val="0"/>
                <w:szCs w:val="21"/>
              </w:rPr>
              <w:t>000GB SATA机械硬盘。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硬盘插槽数量及规格</w:t>
            </w:r>
          </w:p>
        </w:tc>
        <w:tc>
          <w:tcPr>
            <w:tcW w:w="2624" w:type="pct"/>
            <w:shd w:val="clear" w:color="auto" w:fill="auto"/>
            <w:vAlign w:val="center"/>
          </w:tcPr>
          <w:p>
            <w:pPr>
              <w:widowControl/>
              <w:jc w:val="left"/>
              <w:textAlignment w:val="top"/>
              <w:rPr>
                <w:rFonts w:ascii="宋体" w:hAnsi="宋体" w:cs="宋体"/>
                <w:color w:val="000000"/>
                <w:szCs w:val="21"/>
              </w:rPr>
            </w:pPr>
            <w:r>
              <w:rPr>
                <w:rFonts w:hint="eastAsia" w:ascii="宋体" w:hAnsi="宋体" w:cs="宋体"/>
                <w:color w:val="000000"/>
                <w:kern w:val="0"/>
                <w:szCs w:val="21"/>
              </w:rPr>
              <w:t>a)供应商应给出配置的硬盘尺寸，如2.5英寸、3.5英寸硬磁盘；b)机箱高度为88.9mm的服务器可支持的硬盘数量</w:t>
            </w:r>
            <w:r>
              <w:rPr>
                <w:rFonts w:hint="eastAsia" w:ascii="宋体" w:hAnsi="宋体" w:cs="宋体"/>
                <w:b/>
                <w:bCs/>
                <w:color w:val="000000"/>
                <w:kern w:val="0"/>
                <w:szCs w:val="21"/>
              </w:rPr>
              <w:t>≥</w:t>
            </w:r>
            <w:r>
              <w:rPr>
                <w:rFonts w:hint="eastAsia" w:ascii="宋体" w:hAnsi="宋体" w:cs="宋体"/>
                <w:color w:val="000000"/>
                <w:kern w:val="0"/>
                <w:szCs w:val="21"/>
              </w:rPr>
              <w:t>8块，机箱高度为44.45mm的服务器可支持的硬盘数量</w:t>
            </w:r>
            <w:r>
              <w:rPr>
                <w:rFonts w:hint="eastAsia" w:ascii="宋体" w:hAnsi="宋体" w:cs="宋体"/>
                <w:b/>
                <w:bCs/>
                <w:color w:val="000000"/>
                <w:kern w:val="0"/>
                <w:szCs w:val="21"/>
              </w:rPr>
              <w:t>≥</w:t>
            </w:r>
            <w:r>
              <w:rPr>
                <w:rFonts w:hint="eastAsia" w:ascii="宋体" w:hAnsi="宋体" w:cs="宋体"/>
                <w:color w:val="000000"/>
                <w:kern w:val="0"/>
                <w:szCs w:val="21"/>
              </w:rPr>
              <w:t>4块。c)存储型服务器可支持硬盘数量</w:t>
            </w:r>
            <w:r>
              <w:rPr>
                <w:rFonts w:hint="eastAsia" w:ascii="宋体" w:hAnsi="宋体" w:cs="宋体"/>
                <w:b/>
                <w:bCs/>
                <w:color w:val="000000"/>
                <w:kern w:val="0"/>
                <w:szCs w:val="21"/>
              </w:rPr>
              <w:t>≥</w:t>
            </w:r>
            <w:r>
              <w:rPr>
                <w:rFonts w:hint="eastAsia" w:ascii="宋体" w:hAnsi="宋体" w:cs="宋体"/>
                <w:color w:val="000000"/>
                <w:kern w:val="0"/>
                <w:szCs w:val="21"/>
              </w:rPr>
              <w:t>24块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RAID卡支持的SAS接口数</w:t>
            </w:r>
          </w:p>
        </w:tc>
        <w:tc>
          <w:tcPr>
            <w:tcW w:w="262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网口速率和数量</w:t>
            </w:r>
          </w:p>
        </w:tc>
        <w:tc>
          <w:tcPr>
            <w:tcW w:w="2624" w:type="pct"/>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配置≥</w:t>
            </w:r>
            <w:r>
              <w:rPr>
                <w:rFonts w:ascii="宋体" w:hAnsi="宋体" w:cs="宋体"/>
                <w:bCs/>
                <w:color w:val="000000"/>
                <w:kern w:val="0"/>
                <w:szCs w:val="21"/>
              </w:rPr>
              <w:t>1</w:t>
            </w:r>
            <w:r>
              <w:rPr>
                <w:rFonts w:hint="eastAsia" w:ascii="宋体" w:hAnsi="宋体" w:cs="宋体"/>
                <w:bCs/>
                <w:color w:val="000000"/>
                <w:kern w:val="0"/>
                <w:szCs w:val="21"/>
              </w:rPr>
              <w:t>块独立双口万兆光网卡并满配光模块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外部接口规格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显示接口</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支持VGA、DP、HDMI等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USB 接口</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配备USB2.0、USB3.0等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电源模块数量</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
                <w:b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电源功率</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电源模块功率应有一定冗余，满足处理器满载时的需求，单电源模块功率≥900W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外观和结构</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a)服务器的零部件应紧固无松动，可插拔部件应可靠连接，开关、按钮和其它控制部件应灵活可靠，布局应方便使用； b) 产品表面不应有明显的凹痕、划伤、裂缝、变形和污染等。表面涂层均匀，不应起泡、龟裂、脱落和磨损，金属零部件无锈蚀及其它机械损伤； c) 产品表面说明功能的文字、符号和标志应清晰、端正且牢固； d) 应在服务器的显著位置提供运行状态的指示功能，并在随机文件中明确具体含义； e) 机架、机箱的尺寸应符合通用机柜的安装要求，插入总线插座的电路板接口外形尺寸应符合有关总线标准的规定，将机箱固定在机柜上，机箱底面最大下垂变形不得干涉相邻机体；f) 高密度服务器应给出CPU个数与机柜高度； 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尺寸（高×宽×深）</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2U机架式服务器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环境适应性</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气候环境适应性应符合GB/T9813.3的有关规定，工作温度10～ 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机械环境适应性</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机械环境适应性应符合GB/T9813.3的有关规定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噪声</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9813.3的有关规定，在产品说明中给出具体测试值塔式服务器噪声在空闲状态下不大于50dB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机柜规格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机柜尺寸</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2U机架式服务器，能安装于19英寸标准服务器机柜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500" w:type="pct"/>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主板功能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主板外部接口种类</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支持VGA、DP、HDMI、USB3.0、PS/2接口、BMC管理端口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网络功能</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计算处理</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支持通用计算及虚拟化功能。处理器需集成整型计算单元、浮点计算单元、内存控制器、I/O模块等，处理器与存储部件、网络部件、I/O 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500" w:type="pct"/>
            <w:vMerge w:val="continue"/>
            <w:shd w:val="clear" w:color="auto" w:fill="auto"/>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kern w:val="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指令集支持</w:t>
            </w:r>
          </w:p>
        </w:tc>
        <w:tc>
          <w:tcPr>
            <w:tcW w:w="2624"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支持RISC指令集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500" w:type="pct"/>
            <w:vMerge w:val="continue"/>
            <w:shd w:val="clear" w:color="auto" w:fill="auto"/>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kern w:val="0"/>
                <w:szCs w:val="21"/>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kern w:val="0"/>
                <w:szCs w:val="21"/>
              </w:rPr>
              <w:t>硬件加速</w:t>
            </w:r>
          </w:p>
        </w:tc>
        <w:tc>
          <w:tcPr>
            <w:tcW w:w="2624"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支持具备RSA/SM3/SM4/DH/MD5/AES算法硬件加解密加速能力和ZLIB/GZIP算法硬件压缩加速能力，投标方提供处理器厂商官网截图或产品文档截图。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密码算法实现</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CPU芯片应符合GM/T0008的相关规定，或芯片密码模块应符合GB/T37092或GM/T 0028的相关规定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RAID卡级别支持</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支持RAID 0/1/5/6/10/50/60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电源热插拔</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电源过流保护</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散热方式</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管理系统功能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BMC 固件基础功能</w:t>
            </w:r>
          </w:p>
        </w:tc>
        <w:tc>
          <w:tcPr>
            <w:tcW w:w="262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1) 支持DHCP设置网络功能；</w:t>
            </w:r>
          </w:p>
          <w:p>
            <w:pPr>
              <w:widowControl/>
              <w:rPr>
                <w:rFonts w:ascii="宋体" w:hAnsi="宋体" w:cs="宋体"/>
                <w:color w:val="000000"/>
                <w:szCs w:val="21"/>
              </w:rPr>
            </w:pPr>
            <w:r>
              <w:rPr>
                <w:rFonts w:hint="eastAsia" w:ascii="宋体" w:hAnsi="宋体" w:cs="宋体"/>
                <w:color w:val="000000"/>
                <w:szCs w:val="21"/>
              </w:rPr>
              <w:t>2)支持静态IP设置网络功能；</w:t>
            </w:r>
          </w:p>
          <w:p>
            <w:pPr>
              <w:widowControl/>
              <w:rPr>
                <w:rFonts w:ascii="宋体" w:hAnsi="宋体" w:cs="宋体"/>
                <w:color w:val="000000"/>
                <w:szCs w:val="21"/>
              </w:rPr>
            </w:pPr>
            <w:r>
              <w:rPr>
                <w:rFonts w:hint="eastAsia" w:ascii="宋体" w:hAnsi="宋体" w:cs="宋体"/>
                <w:color w:val="000000"/>
                <w:szCs w:val="21"/>
              </w:rPr>
              <w:t>3)支持设备日志记录，包括但不限于登录日志、操作日志和报警日志等功能；</w:t>
            </w:r>
          </w:p>
          <w:p>
            <w:pPr>
              <w:widowControl/>
              <w:rPr>
                <w:rFonts w:ascii="宋体" w:hAnsi="宋体" w:cs="宋体"/>
                <w:color w:val="000000"/>
                <w:szCs w:val="21"/>
              </w:rPr>
            </w:pPr>
            <w:r>
              <w:rPr>
                <w:rFonts w:hint="eastAsia" w:ascii="宋体" w:hAnsi="宋体" w:cs="宋体"/>
                <w:color w:val="000000"/>
                <w:szCs w:val="21"/>
              </w:rPr>
              <w:t>4)支持日志信息导出和记录删除功能；</w:t>
            </w:r>
          </w:p>
          <w:p>
            <w:pPr>
              <w:widowControl/>
              <w:rPr>
                <w:rFonts w:ascii="宋体" w:hAnsi="宋体" w:cs="宋体"/>
                <w:color w:val="000000"/>
                <w:szCs w:val="21"/>
              </w:rPr>
            </w:pPr>
            <w:r>
              <w:rPr>
                <w:rFonts w:hint="eastAsia" w:ascii="宋体" w:hAnsi="宋体" w:cs="宋体"/>
                <w:color w:val="000000"/>
                <w:szCs w:val="21"/>
              </w:rPr>
              <w:t>5)支持通过管理接口向外输出准确的报警信息功能；</w:t>
            </w:r>
          </w:p>
          <w:p>
            <w:pPr>
              <w:widowControl/>
              <w:rPr>
                <w:rFonts w:ascii="宋体" w:hAnsi="宋体" w:cs="宋体"/>
                <w:color w:val="000000"/>
                <w:szCs w:val="21"/>
              </w:rPr>
            </w:pPr>
            <w:r>
              <w:rPr>
                <w:rFonts w:hint="eastAsia" w:ascii="宋体" w:hAnsi="宋体" w:cs="宋体"/>
                <w:color w:val="000000"/>
                <w:szCs w:val="21"/>
              </w:rPr>
              <w:t>6)设备的BMC管理软件应能够按报</w:t>
            </w:r>
          </w:p>
          <w:p>
            <w:pPr>
              <w:widowControl/>
              <w:rPr>
                <w:rFonts w:ascii="宋体" w:hAnsi="宋体" w:cs="宋体"/>
                <w:color w:val="000000"/>
                <w:szCs w:val="21"/>
              </w:rPr>
            </w:pPr>
            <w:r>
              <w:rPr>
                <w:rFonts w:hint="eastAsia" w:ascii="宋体" w:hAnsi="宋体" w:cs="宋体"/>
                <w:color w:val="000000"/>
                <w:szCs w:val="21"/>
              </w:rPr>
              <w:t>警的严重程度进行区分；</w:t>
            </w:r>
          </w:p>
          <w:p>
            <w:pPr>
              <w:widowControl/>
              <w:rPr>
                <w:rFonts w:ascii="宋体" w:hAnsi="宋体" w:cs="宋体"/>
                <w:color w:val="000000"/>
                <w:szCs w:val="21"/>
              </w:rPr>
            </w:pPr>
            <w:r>
              <w:rPr>
                <w:rFonts w:hint="eastAsia" w:ascii="宋体" w:hAnsi="宋体" w:cs="宋体"/>
                <w:color w:val="000000"/>
                <w:szCs w:val="21"/>
              </w:rPr>
              <w:t>7)支持IPMI2.0、SNMP或Redfish 等接口功能；</w:t>
            </w:r>
          </w:p>
          <w:p>
            <w:pPr>
              <w:widowControl/>
              <w:rPr>
                <w:rFonts w:ascii="宋体" w:hAnsi="宋体" w:cs="宋体"/>
                <w:color w:val="000000"/>
                <w:szCs w:val="21"/>
              </w:rPr>
            </w:pPr>
            <w:r>
              <w:rPr>
                <w:rFonts w:hint="eastAsia" w:ascii="宋体" w:hAnsi="宋体" w:cs="宋体"/>
                <w:color w:val="000000"/>
                <w:szCs w:val="21"/>
              </w:rPr>
              <w:t>8)支持键盘、鼠标和视频的重定向、文本控制台的重定向、远程虚拟媒体、高可靠的硬件监控和管理功能；</w:t>
            </w:r>
          </w:p>
          <w:p>
            <w:pPr>
              <w:widowControl/>
              <w:rPr>
                <w:rFonts w:ascii="宋体" w:hAnsi="宋体" w:cs="宋体"/>
                <w:color w:val="000000"/>
                <w:szCs w:val="21"/>
              </w:rPr>
            </w:pPr>
            <w:r>
              <w:rPr>
                <w:rFonts w:hint="eastAsia" w:ascii="宋体" w:hAnsi="宋体" w:cs="宋体"/>
                <w:color w:val="000000"/>
                <w:szCs w:val="21"/>
              </w:rPr>
              <w:t>9)支持基于网络开启、关闭和重启设备的功能，并查询当前设备开机运行状态；</w:t>
            </w:r>
          </w:p>
          <w:p>
            <w:pPr>
              <w:widowControl/>
              <w:rPr>
                <w:rFonts w:ascii="宋体" w:hAnsi="宋体" w:cs="宋体"/>
                <w:color w:val="000000"/>
                <w:szCs w:val="21"/>
              </w:rPr>
            </w:pPr>
            <w:r>
              <w:rPr>
                <w:rFonts w:hint="eastAsia" w:ascii="宋体" w:hAnsi="宋体" w:cs="宋体"/>
                <w:color w:val="000000"/>
                <w:szCs w:val="21"/>
              </w:rPr>
              <w:t>10)支持故障提示功能，并可通过接口读取服务器故障信息；</w:t>
            </w:r>
          </w:p>
          <w:p>
            <w:pPr>
              <w:widowControl/>
              <w:rPr>
                <w:rFonts w:ascii="宋体" w:hAnsi="宋体" w:cs="宋体"/>
                <w:color w:val="000000"/>
                <w:szCs w:val="21"/>
              </w:rPr>
            </w:pPr>
            <w:r>
              <w:rPr>
                <w:rFonts w:hint="eastAsia" w:ascii="宋体" w:hAnsi="宋体" w:cs="宋体"/>
                <w:color w:val="000000"/>
                <w:szCs w:val="21"/>
              </w:rPr>
              <w:t>11)支持基于网络的固件更新功能，包括BMC和BIOS等；</w:t>
            </w:r>
          </w:p>
          <w:p>
            <w:pPr>
              <w:widowControl/>
              <w:rPr>
                <w:rFonts w:ascii="宋体" w:hAnsi="宋体" w:cs="宋体"/>
                <w:color w:val="000000"/>
                <w:szCs w:val="21"/>
              </w:rPr>
            </w:pPr>
            <w:r>
              <w:rPr>
                <w:rFonts w:hint="eastAsia" w:ascii="宋体" w:hAnsi="宋体" w:cs="宋体"/>
                <w:color w:val="000000"/>
                <w:szCs w:val="21"/>
              </w:rPr>
              <w:t>12)支持基于网络安装操作系统的功能，并可通过网络控制台访问设备；</w:t>
            </w:r>
          </w:p>
          <w:p>
            <w:pPr>
              <w:widowControl/>
              <w:rPr>
                <w:rFonts w:ascii="宋体" w:hAnsi="宋体" w:cs="宋体"/>
                <w:color w:val="000000"/>
                <w:szCs w:val="21"/>
              </w:rPr>
            </w:pPr>
            <w:r>
              <w:rPr>
                <w:rFonts w:hint="eastAsia" w:ascii="宋体" w:hAnsi="宋体" w:cs="宋体"/>
                <w:color w:val="000000"/>
                <w:szCs w:val="21"/>
              </w:rPr>
              <w:t>13)支持通过本地的硬盘或光驱等存储设备，基于网络完成设备的操作系统安装功能；</w:t>
            </w:r>
          </w:p>
          <w:p>
            <w:pPr>
              <w:widowControl/>
              <w:rPr>
                <w:rFonts w:ascii="宋体" w:hAnsi="宋体" w:cs="宋体"/>
                <w:color w:val="000000"/>
                <w:szCs w:val="21"/>
              </w:rPr>
            </w:pPr>
            <w:r>
              <w:rPr>
                <w:rFonts w:hint="eastAsia" w:ascii="宋体" w:hAnsi="宋体" w:cs="宋体"/>
                <w:color w:val="000000"/>
                <w:szCs w:val="21"/>
              </w:rPr>
              <w:t>14)支持通过浏览器打开管理界面并登录功能；</w:t>
            </w:r>
          </w:p>
          <w:p>
            <w:pPr>
              <w:widowControl/>
              <w:rPr>
                <w:rFonts w:ascii="宋体" w:hAnsi="宋体" w:cs="宋体"/>
                <w:color w:val="000000"/>
                <w:szCs w:val="21"/>
              </w:rPr>
            </w:pPr>
            <w:r>
              <w:rPr>
                <w:rFonts w:hint="eastAsia" w:ascii="宋体" w:hAnsi="宋体" w:cs="宋体"/>
                <w:color w:val="000000"/>
                <w:szCs w:val="21"/>
              </w:rPr>
              <w:t>15)支持设置口令策略功能；</w:t>
            </w:r>
          </w:p>
          <w:p>
            <w:pPr>
              <w:widowControl/>
              <w:rPr>
                <w:rFonts w:ascii="宋体" w:hAnsi="宋体" w:cs="宋体"/>
                <w:color w:val="000000"/>
                <w:szCs w:val="21"/>
              </w:rPr>
            </w:pPr>
            <w:r>
              <w:rPr>
                <w:rFonts w:hint="eastAsia" w:ascii="宋体" w:hAnsi="宋体" w:cs="宋体"/>
                <w:color w:val="000000"/>
                <w:szCs w:val="21"/>
              </w:rPr>
              <w:t>16)支持访问权限设置功能，并通过日志记录访问事件；</w:t>
            </w:r>
          </w:p>
          <w:p>
            <w:pPr>
              <w:widowControl/>
              <w:rPr>
                <w:rFonts w:ascii="宋体" w:hAnsi="宋体" w:cs="宋体"/>
                <w:color w:val="000000"/>
                <w:szCs w:val="21"/>
              </w:rPr>
            </w:pPr>
            <w:r>
              <w:rPr>
                <w:rFonts w:hint="eastAsia" w:ascii="宋体" w:hAnsi="宋体" w:cs="宋体"/>
                <w:color w:val="000000"/>
                <w:szCs w:val="21"/>
              </w:rPr>
              <w:t>17)支持对出厂默认的用户名及口令进行安全保护功能，并提供默认口令修改提示；</w:t>
            </w:r>
          </w:p>
          <w:p>
            <w:pPr>
              <w:widowControl/>
              <w:rPr>
                <w:rFonts w:ascii="宋体" w:hAnsi="宋体" w:cs="宋体"/>
                <w:color w:val="000000"/>
                <w:szCs w:val="21"/>
              </w:rPr>
            </w:pPr>
            <w:r>
              <w:rPr>
                <w:rFonts w:hint="eastAsia" w:ascii="宋体" w:hAnsi="宋体" w:cs="宋体"/>
                <w:color w:val="000000"/>
                <w:szCs w:val="21"/>
              </w:rPr>
              <w:t>18)支持读取设备主板的工作环境温度功能；</w:t>
            </w:r>
          </w:p>
          <w:p>
            <w:pPr>
              <w:widowControl/>
              <w:rPr>
                <w:rFonts w:ascii="宋体" w:hAnsi="宋体" w:cs="宋体"/>
                <w:color w:val="000000"/>
                <w:szCs w:val="21"/>
              </w:rPr>
            </w:pPr>
            <w:r>
              <w:rPr>
                <w:rFonts w:hint="eastAsia" w:ascii="宋体" w:hAnsi="宋体" w:cs="宋体"/>
                <w:color w:val="000000"/>
                <w:szCs w:val="21"/>
              </w:rPr>
              <w:t>19)支持读取服务器CPU等核心器件的温度功能；</w:t>
            </w:r>
          </w:p>
          <w:p>
            <w:pPr>
              <w:widowControl/>
              <w:rPr>
                <w:rFonts w:ascii="宋体" w:hAnsi="宋体" w:cs="宋体"/>
                <w:color w:val="000000"/>
                <w:szCs w:val="21"/>
              </w:rPr>
            </w:pPr>
            <w:r>
              <w:rPr>
                <w:rFonts w:hint="eastAsia" w:ascii="宋体" w:hAnsi="宋体" w:cs="宋体"/>
                <w:color w:val="000000"/>
                <w:szCs w:val="21"/>
              </w:rPr>
              <w:t>20)支持通过外部管理工具进行BMC参数设置的功能，并可基于网络通过外部管理工具对BMC进行管理；</w:t>
            </w:r>
          </w:p>
          <w:p>
            <w:pPr>
              <w:widowControl/>
              <w:rPr>
                <w:rFonts w:ascii="宋体" w:hAnsi="宋体" w:cs="宋体"/>
                <w:color w:val="000000"/>
                <w:szCs w:val="21"/>
              </w:rPr>
            </w:pPr>
            <w:r>
              <w:rPr>
                <w:rFonts w:hint="eastAsia" w:ascii="宋体" w:hAnsi="宋体" w:cs="宋体"/>
                <w:color w:val="000000"/>
                <w:szCs w:val="21"/>
              </w:rPr>
              <w:t>21)应支持固件版本查询、固件升级</w:t>
            </w:r>
          </w:p>
          <w:p>
            <w:pPr>
              <w:widowControl/>
              <w:rPr>
                <w:rFonts w:ascii="宋体" w:hAnsi="宋体" w:cs="宋体"/>
                <w:color w:val="000000"/>
                <w:szCs w:val="21"/>
              </w:rPr>
            </w:pPr>
            <w:r>
              <w:rPr>
                <w:rFonts w:hint="eastAsia" w:ascii="宋体" w:hAnsi="宋体" w:cs="宋体"/>
                <w:color w:val="000000"/>
                <w:szCs w:val="21"/>
              </w:rPr>
              <w:t>22)支持基于网络实现开关机和复位控制的功能；</w:t>
            </w:r>
          </w:p>
          <w:p>
            <w:pPr>
              <w:widowControl/>
              <w:rPr>
                <w:rFonts w:ascii="宋体" w:hAnsi="宋体" w:cs="宋体"/>
                <w:color w:val="000000"/>
                <w:szCs w:val="21"/>
              </w:rPr>
            </w:pPr>
            <w:r>
              <w:rPr>
                <w:rFonts w:hint="eastAsia" w:ascii="宋体" w:hAnsi="宋体" w:cs="宋体"/>
                <w:color w:val="000000"/>
                <w:szCs w:val="21"/>
              </w:rPr>
              <w:t>23)BMC启动时间应不超过180s，实现功能包括网络、IPMI、散热、传感器服务可用；</w:t>
            </w:r>
          </w:p>
          <w:p>
            <w:pPr>
              <w:widowControl/>
              <w:rPr>
                <w:rFonts w:ascii="宋体" w:hAnsi="宋体" w:cs="宋体"/>
                <w:color w:val="000000"/>
                <w:szCs w:val="21"/>
              </w:rPr>
            </w:pPr>
            <w:r>
              <w:rPr>
                <w:rFonts w:hint="eastAsia" w:ascii="宋体" w:hAnsi="宋体" w:cs="宋体"/>
                <w:color w:val="000000"/>
                <w:szCs w:val="21"/>
              </w:rPr>
              <w:t>24)支持BMC固件设置的恢复出厂功能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BIOS 固件基础功能</w:t>
            </w:r>
          </w:p>
        </w:tc>
        <w:tc>
          <w:tcPr>
            <w:tcW w:w="262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a）支持查看固件版本、内存信息、主板信息、处理器信息和系统时间信息功能； b）支持上电初始化界面显示CPU信息、内存信息、固件版本和部分快捷键信息功能； c）支持设置界面中英文显示切换功能；d）支持查看PCIe设备信息，SATA 设备信息功能； e）支持操作系统安装和引导功能，应并向操作系统提供计算机主板信息和服务接口； f）支持设置启动顺序，并按照设置的启动顺序启动功能； g）支持安全启动功能； h）支持设置口令、修改口令、验证口令功能； i）支持板载显示控制或独立显卡的显示控制功能； j）支持RAID识别和启动功能； k）支持串口重定向功能； l）支持固件更新功能；m）支持BIOS固件设置的恢复出厂功能； 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kern w:val="0"/>
                <w:szCs w:val="21"/>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kern w:val="0"/>
                <w:szCs w:val="21"/>
              </w:rPr>
              <w:t>BIOS软件</w:t>
            </w:r>
          </w:p>
        </w:tc>
        <w:tc>
          <w:tcPr>
            <w:tcW w:w="2624"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服务器BIOS软件须通过EAL4+认证级别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远程控制</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操作系统及驱动功能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操作系统及驱动的升级</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操作系统功能</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支持访问控制、安全审计、网络接入鉴别等功能； b) 操作系统其他功能应满足操作系统政府采购需求标准中加▲的指标要求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中文信息处理功能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中文信息处理</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 18030的有关规定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关键部件安全要求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关键部件安全要求</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CPU和操作系统等关键部件应当符合安全可靠测评要求，通过政府有关部门指定的中国信息安全测评中心和国家保密科技测评中心网站查看安全可靠测评结果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固件安全要求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故障检测</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系统安全要求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弱口令字典检查</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白名单访问控制</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支持基于时间、IP或MAC白名单访问控制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二次鉴别</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密码证书安全加密存储</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敏感信息安全加密传输</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支持使用安全的传输加密协议（如SSH或HTTPS等）传输用户的敏感信息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信息安全要求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研发过程安全</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物理安全</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物理安全</w:t>
            </w:r>
          </w:p>
        </w:tc>
        <w:tc>
          <w:tcPr>
            <w:tcW w:w="2624"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安全要求应符合GB 4943.1的规定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限用物质的限量要求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限用物质的限量要求</w:t>
            </w:r>
          </w:p>
        </w:tc>
        <w:tc>
          <w:tcPr>
            <w:tcW w:w="262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限用物质的限量应符合GB/T 26572 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CPU性能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CPU 主频</w:t>
            </w:r>
          </w:p>
        </w:tc>
        <w:tc>
          <w:tcPr>
            <w:tcW w:w="2624"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核数</w:t>
            </w:r>
          </w:p>
        </w:tc>
        <w:tc>
          <w:tcPr>
            <w:tcW w:w="2624"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末级缓存容量</w:t>
            </w:r>
          </w:p>
        </w:tc>
        <w:tc>
          <w:tcPr>
            <w:tcW w:w="2624"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≥48MB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内存性能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内存速率</w:t>
            </w:r>
          </w:p>
        </w:tc>
        <w:tc>
          <w:tcPr>
            <w:tcW w:w="2624"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≥2933MT/s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RAID卡性能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Raid卡缓存容量大小</w:t>
            </w:r>
          </w:p>
        </w:tc>
        <w:tc>
          <w:tcPr>
            <w:tcW w:w="2624" w:type="pct"/>
            <w:shd w:val="clear" w:color="auto" w:fill="auto"/>
            <w:noWrap/>
            <w:vAlign w:val="center"/>
          </w:tcPr>
          <w:p>
            <w:pPr>
              <w:widowControl/>
              <w:jc w:val="left"/>
              <w:textAlignment w:val="center"/>
              <w:rPr>
                <w:rFonts w:ascii="宋体" w:hAnsi="宋体" w:cs="宋体"/>
                <w:bCs/>
                <w:color w:val="000000"/>
                <w:szCs w:val="21"/>
              </w:rPr>
            </w:pPr>
            <w:r>
              <w:rPr>
                <w:rFonts w:hint="eastAsia" w:ascii="宋体" w:hAnsi="宋体" w:cs="宋体"/>
                <w:color w:val="000000"/>
                <w:kern w:val="0"/>
                <w:szCs w:val="21"/>
              </w:rPr>
              <w:t>配备RAID卡且RAID卡缓存容量</w:t>
            </w:r>
            <w:r>
              <w:rPr>
                <w:rFonts w:hint="eastAsia" w:ascii="宋体" w:hAnsi="宋体" w:cs="宋体"/>
                <w:b/>
                <w:bCs/>
                <w:color w:val="000000"/>
                <w:kern w:val="0"/>
                <w:szCs w:val="21"/>
              </w:rPr>
              <w:t>≥</w:t>
            </w:r>
            <w:r>
              <w:rPr>
                <w:rFonts w:hint="eastAsia" w:ascii="宋体" w:hAnsi="宋体" w:cs="宋体"/>
                <w:bCs/>
                <w:color w:val="000000"/>
                <w:kern w:val="0"/>
                <w:szCs w:val="21"/>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电源能耗</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电源能耗</w:t>
            </w:r>
          </w:p>
        </w:tc>
        <w:tc>
          <w:tcPr>
            <w:tcW w:w="2624"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部件兼容性要求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内存兼容性</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适配3种及以上厂商的内存产品，且均不低于产品支持的内存规格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固态存储兼容性</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适配3种或以上厂商的固态存储产品，且均不低于产品支持的固态存储设备规格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网卡兼容性</w:t>
            </w:r>
          </w:p>
        </w:tc>
        <w:tc>
          <w:tcPr>
            <w:tcW w:w="2624"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功能卡兼容性</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内置或适配符合PCIe的功能卡，如：网络功能卡、存储功能卡及图形显示功能卡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外设兼容性</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外设兼容性</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兼容多种主流生产商的外部设备，包括显示器、键盘、鼠标、闪存盘、移动硬盘、USB光驱及KVM等，要求使用不同厂商的外部设备时，系统均能正常识别和安装驱动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软件兼容性</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数据库兼容</w:t>
            </w:r>
          </w:p>
        </w:tc>
        <w:tc>
          <w:tcPr>
            <w:tcW w:w="2624"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兼容3个及以上厂商的数据库产品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中间件兼容</w:t>
            </w:r>
          </w:p>
        </w:tc>
        <w:tc>
          <w:tcPr>
            <w:tcW w:w="2624"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兼容3个及以上厂商的中间件产品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平台软件兼容</w:t>
            </w:r>
          </w:p>
        </w:tc>
        <w:tc>
          <w:tcPr>
            <w:tcW w:w="2624"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兼容3个及以上厂商的大数据平台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整机可靠性要求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整机可靠性</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m1值（MTBF的不可接受值）</w:t>
            </w:r>
            <w:r>
              <w:rPr>
                <w:rFonts w:hint="eastAsia" w:ascii="宋体" w:hAnsi="宋体" w:cs="宋体"/>
                <w:b/>
                <w:bCs/>
                <w:color w:val="000000"/>
                <w:kern w:val="0"/>
                <w:szCs w:val="21"/>
              </w:rPr>
              <w:t>≥</w:t>
            </w:r>
            <w:r>
              <w:rPr>
                <w:rFonts w:hint="eastAsia" w:ascii="宋体" w:hAnsi="宋体" w:cs="宋体"/>
                <w:color w:val="000000"/>
                <w:kern w:val="0"/>
                <w:szCs w:val="21"/>
              </w:rPr>
              <w:t>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风扇可靠性</w:t>
            </w:r>
          </w:p>
        </w:tc>
        <w:tc>
          <w:tcPr>
            <w:tcW w:w="2624"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风扇寿命</w:t>
            </w:r>
            <w:r>
              <w:rPr>
                <w:rFonts w:hint="eastAsia" w:ascii="宋体" w:hAnsi="宋体" w:cs="宋体"/>
                <w:b/>
                <w:bCs/>
                <w:color w:val="000000"/>
                <w:kern w:val="0"/>
                <w:szCs w:val="21"/>
              </w:rPr>
              <w:t>≥</w:t>
            </w:r>
            <w:r>
              <w:rPr>
                <w:rFonts w:hint="eastAsia" w:ascii="宋体" w:hAnsi="宋体" w:cs="宋体"/>
                <w:color w:val="000000"/>
                <w:kern w:val="0"/>
                <w:szCs w:val="21"/>
              </w:rPr>
              <w:t>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部件可靠性</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支持硬盘、电源、风扇热插拔(内置风扇除外)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包装及运输要求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标志、包装、运输和贮存</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服务响应</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服务响应</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提供电话、电子邮件、远程连接等多种形式服务；b) 提供同城4h、异地12h技术响应服务，2个工作日解决问题，对于未能解决的问题和故障应提供可行的升级方案，并提供周转设备； c) 建立全国技术服务体系和服务团体，符合专业服务体系标准要求，提供原厂中文服务； 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培训服务</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服务周期</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服务周期</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kern w:val="0"/>
                <w:szCs w:val="21"/>
              </w:rPr>
              <w:t>a) 产品免费服务周期（含换件和维修）</w:t>
            </w:r>
            <w:r>
              <w:rPr>
                <w:rFonts w:hint="eastAsia" w:ascii="宋体" w:hAnsi="宋体" w:cs="宋体"/>
                <w:b/>
                <w:bCs/>
                <w:color w:val="000000"/>
                <w:kern w:val="0"/>
                <w:szCs w:val="21"/>
              </w:rPr>
              <w:t>≥5</w:t>
            </w:r>
            <w:r>
              <w:rPr>
                <w:rFonts w:hint="eastAsia" w:ascii="宋体" w:hAnsi="宋体" w:cs="宋体"/>
                <w:color w:val="000000"/>
                <w:kern w:val="0"/>
                <w:szCs w:val="21"/>
              </w:rPr>
              <w:t>年，</w:t>
            </w:r>
            <w:r>
              <w:rPr>
                <w:rFonts w:hint="eastAsia" w:ascii="宋体" w:hAnsi="宋体" w:cs="宋体"/>
                <w:bCs/>
                <w:color w:val="000000"/>
                <w:kern w:val="0"/>
                <w:szCs w:val="21"/>
              </w:rPr>
              <w:t>包含硬盘不返还服务</w:t>
            </w:r>
            <w:r>
              <w:rPr>
                <w:rFonts w:hint="eastAsia" w:ascii="宋体" w:hAnsi="宋体" w:cs="宋体"/>
                <w:color w:val="000000"/>
                <w:kern w:val="0"/>
                <w:szCs w:val="21"/>
              </w:rPr>
              <w:t>； b) 设备停产后继续提供质量保障服务（含备品备件），服务终止时间与最后一批设备交付时间间隔</w:t>
            </w:r>
            <w:r>
              <w:rPr>
                <w:rFonts w:hint="eastAsia" w:ascii="宋体" w:hAnsi="宋体" w:cs="宋体"/>
                <w:b/>
                <w:bCs/>
                <w:color w:val="000000"/>
                <w:kern w:val="0"/>
                <w:szCs w:val="21"/>
              </w:rPr>
              <w:t>≥</w:t>
            </w:r>
            <w:r>
              <w:rPr>
                <w:rFonts w:hint="eastAsia" w:ascii="宋体" w:hAnsi="宋体" w:cs="宋体"/>
                <w:color w:val="000000"/>
                <w:kern w:val="0"/>
                <w:szCs w:val="21"/>
              </w:rPr>
              <w:t>6年； c) 产品停止服务时间应提前1年告知客户；d)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服务工具要求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工具要求</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驱动安装升级指引</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管理软件</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7</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增值服务</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厂家升级产品软件与扩容服务</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提供上门服务</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7*2</w:t>
            </w:r>
            <w:r>
              <w:rPr>
                <w:rFonts w:ascii="宋体" w:hAnsi="宋体" w:cs="宋体"/>
                <w:color w:val="000000"/>
                <w:kern w:val="0"/>
                <w:szCs w:val="21"/>
              </w:rPr>
              <w:t>4</w:t>
            </w:r>
            <w:r>
              <w:rPr>
                <w:rFonts w:hint="eastAsia" w:ascii="宋体" w:hAnsi="宋体" w:cs="宋体"/>
                <w:color w:val="000000"/>
                <w:kern w:val="0"/>
                <w:szCs w:val="21"/>
              </w:rPr>
              <w:t>小时上门服务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9</w:t>
            </w:r>
          </w:p>
        </w:tc>
        <w:tc>
          <w:tcPr>
            <w:tcW w:w="500" w:type="pct"/>
            <w:vMerge w:val="restart"/>
            <w:shd w:val="clear" w:color="auto" w:fill="auto"/>
            <w:vAlign w:val="center"/>
          </w:tcPr>
          <w:p>
            <w:pPr>
              <w:widowControl/>
              <w:jc w:val="center"/>
              <w:rPr>
                <w:rFonts w:ascii="宋体" w:hAnsi="宋体" w:cs="宋体"/>
                <w:szCs w:val="21"/>
              </w:rPr>
            </w:pPr>
            <w:r>
              <w:rPr>
                <w:rFonts w:hint="eastAsia" w:ascii="宋体" w:hAnsi="宋体" w:cs="宋体"/>
                <w:szCs w:val="21"/>
              </w:rPr>
              <w:t>供应链质量</w:t>
            </w:r>
          </w:p>
        </w:tc>
        <w:tc>
          <w:tcPr>
            <w:tcW w:w="500" w:type="pct"/>
            <w:vAlign w:val="center"/>
          </w:tcPr>
          <w:p>
            <w:pPr>
              <w:widowControl/>
              <w:jc w:val="center"/>
              <w:rPr>
                <w:rFonts w:ascii="宋体" w:hAnsi="宋体" w:cs="宋体"/>
                <w:szCs w:val="21"/>
              </w:rPr>
            </w:pPr>
            <w:r>
              <w:rPr>
                <w:rFonts w:hint="eastAsia" w:ascii="宋体" w:hAnsi="宋体" w:cs="宋体"/>
                <w:szCs w:val="21"/>
              </w:rPr>
              <w:t>▲抗干扰性</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0</w:t>
            </w:r>
          </w:p>
        </w:tc>
        <w:tc>
          <w:tcPr>
            <w:tcW w:w="500" w:type="pct"/>
            <w:vMerge w:val="continue"/>
            <w:vAlign w:val="center"/>
          </w:tcPr>
          <w:p>
            <w:pPr>
              <w:widowControl/>
              <w:jc w:val="center"/>
              <w:rPr>
                <w:rFonts w:ascii="宋体" w:hAnsi="宋体" w:cs="宋体"/>
                <w:szCs w:val="21"/>
              </w:rPr>
            </w:pPr>
          </w:p>
        </w:tc>
        <w:tc>
          <w:tcPr>
            <w:tcW w:w="500" w:type="pct"/>
            <w:vAlign w:val="center"/>
          </w:tcPr>
          <w:p>
            <w:pPr>
              <w:widowControl/>
              <w:jc w:val="center"/>
              <w:rPr>
                <w:rFonts w:ascii="宋体" w:hAnsi="宋体" w:cs="宋体"/>
                <w:szCs w:val="21"/>
              </w:rPr>
            </w:pPr>
            <w:r>
              <w:rPr>
                <w:rFonts w:hint="eastAsia" w:ascii="宋体" w:hAnsi="宋体" w:cs="宋体"/>
                <w:szCs w:val="21"/>
              </w:rPr>
              <w:t>▲供应能力证明</w:t>
            </w:r>
          </w:p>
        </w:tc>
        <w:tc>
          <w:tcPr>
            <w:tcW w:w="2624"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供应商提供供应链稳定承诺书，确保产品的部件在产品服务周期内稳定供货；供应商须提供服务器主板供应商针对本次采购项目出具的供应保障函，内容须明确保障本次采购的服务器主板供应。</w:t>
            </w:r>
          </w:p>
        </w:tc>
      </w:tr>
    </w:tbl>
    <w:p>
      <w:pPr>
        <w:pStyle w:val="2"/>
        <w:ind w:left="0" w:leftChars="0" w:firstLine="0"/>
      </w:pPr>
    </w:p>
    <w:p>
      <w:pPr>
        <w:rPr>
          <w:rFonts w:hint="eastAsia"/>
          <w:sz w:val="24"/>
          <w:szCs w:val="22"/>
          <w:lang w:val="en-US" w:eastAsia="zh-CN"/>
        </w:rPr>
      </w:pPr>
      <w:r>
        <w:rPr>
          <w:rFonts w:hint="eastAsia"/>
          <w:sz w:val="24"/>
          <w:szCs w:val="22"/>
          <w:lang w:val="en-US" w:eastAsia="zh-CN"/>
        </w:rPr>
        <w:br w:type="page"/>
      </w:r>
    </w:p>
    <w:p>
      <w:pPr>
        <w:pStyle w:val="5"/>
        <w:ind w:firstLine="482" w:firstLineChars="200"/>
        <w:rPr>
          <w:sz w:val="24"/>
          <w:szCs w:val="22"/>
        </w:rPr>
      </w:pPr>
      <w:r>
        <w:rPr>
          <w:rFonts w:hint="eastAsia"/>
          <w:sz w:val="24"/>
          <w:szCs w:val="22"/>
          <w:lang w:val="en-US" w:eastAsia="zh-CN"/>
        </w:rPr>
        <w:t>3.</w:t>
      </w:r>
      <w:r>
        <w:rPr>
          <w:rFonts w:hint="eastAsia"/>
          <w:sz w:val="24"/>
          <w:szCs w:val="22"/>
        </w:rPr>
        <w:t>预</w:t>
      </w:r>
      <w:r>
        <w:rPr>
          <w:sz w:val="24"/>
          <w:szCs w:val="22"/>
        </w:rPr>
        <w:t>处理服务器（</w:t>
      </w:r>
      <w:r>
        <w:rPr>
          <w:rFonts w:hint="eastAsia"/>
          <w:sz w:val="24"/>
          <w:szCs w:val="22"/>
        </w:rPr>
        <w:t>2台</w:t>
      </w:r>
      <w:r>
        <w:rPr>
          <w:sz w:val="24"/>
          <w:szCs w:val="22"/>
        </w:rPr>
        <w:t>）</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23"/>
        <w:gridCol w:w="523"/>
        <w:gridCol w:w="523"/>
        <w:gridCol w:w="1047"/>
        <w:gridCol w:w="1048"/>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500" w:type="pct"/>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指标</w:t>
            </w:r>
          </w:p>
        </w:tc>
        <w:tc>
          <w:tcPr>
            <w:tcW w:w="500" w:type="pct"/>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2435"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restar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预处理服务器</w:t>
            </w:r>
          </w:p>
        </w:tc>
        <w:tc>
          <w:tcPr>
            <w:tcW w:w="250" w:type="pct"/>
            <w:vMerge w:val="restar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50" w:type="pct"/>
            <w:vMerge w:val="restar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台</w:t>
            </w: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CPU规格</w:t>
            </w: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CPU信息</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（1）配置2颗国产化ARM处理器；</w:t>
            </w:r>
          </w:p>
          <w:p>
            <w:pPr>
              <w:widowControl/>
              <w:jc w:val="left"/>
              <w:textAlignment w:val="center"/>
              <w:rPr>
                <w:rFonts w:ascii="宋体" w:hAnsi="宋体" w:cs="宋体"/>
                <w:color w:val="000000"/>
                <w:szCs w:val="21"/>
              </w:rPr>
            </w:pPr>
            <w:r>
              <w:rPr>
                <w:rFonts w:hint="eastAsia" w:ascii="宋体" w:hAnsi="宋体" w:cs="宋体"/>
                <w:color w:val="000000"/>
                <w:szCs w:val="21"/>
              </w:rPr>
              <w:t>（2）单颗CPU型号kunpeng920，单颗CPU物理核心数</w:t>
            </w:r>
            <w:r>
              <w:rPr>
                <w:rFonts w:hint="eastAsia" w:ascii="宋体" w:hAnsi="宋体" w:cs="宋体"/>
                <w:color w:val="000000"/>
                <w:kern w:val="0"/>
                <w:szCs w:val="21"/>
              </w:rPr>
              <w:t>≥</w:t>
            </w:r>
            <w:r>
              <w:rPr>
                <w:rFonts w:hint="eastAsia" w:ascii="宋体" w:hAnsi="宋体" w:cs="宋体"/>
                <w:color w:val="000000"/>
                <w:szCs w:val="21"/>
              </w:rPr>
              <w:t>48核、主频</w:t>
            </w:r>
            <w:r>
              <w:rPr>
                <w:rFonts w:hint="eastAsia" w:ascii="宋体" w:hAnsi="宋体" w:cs="宋体"/>
                <w:color w:val="000000"/>
                <w:kern w:val="0"/>
                <w:szCs w:val="21"/>
              </w:rPr>
              <w:t>≥</w:t>
            </w:r>
            <w:r>
              <w:rPr>
                <w:rFonts w:hint="eastAsia" w:ascii="宋体" w:hAnsi="宋体" w:cs="宋体"/>
                <w:color w:val="000000"/>
                <w:szCs w:val="21"/>
              </w:rPr>
              <w:t>2.6GHz、末级缓存容量</w:t>
            </w:r>
            <w:r>
              <w:rPr>
                <w:rFonts w:hint="eastAsia" w:ascii="宋体" w:hAnsi="宋体" w:cs="宋体"/>
                <w:color w:val="000000"/>
                <w:kern w:val="0"/>
                <w:szCs w:val="21"/>
              </w:rPr>
              <w:t>≥</w:t>
            </w:r>
            <w:r>
              <w:rPr>
                <w:rFonts w:hint="eastAsia" w:ascii="宋体" w:hAnsi="宋体" w:cs="宋体"/>
                <w:color w:val="000000"/>
                <w:szCs w:val="21"/>
              </w:rPr>
              <w:t>48MB、TDP功耗</w:t>
            </w:r>
            <w:r>
              <w:rPr>
                <w:rFonts w:hint="eastAsia" w:ascii="宋体" w:hAnsi="宋体" w:cs="宋体"/>
                <w:color w:val="000000"/>
                <w:kern w:val="0"/>
                <w:szCs w:val="21"/>
              </w:rPr>
              <w:t>≤</w:t>
            </w:r>
            <w:r>
              <w:rPr>
                <w:rFonts w:hint="eastAsia" w:ascii="宋体" w:hAnsi="宋体" w:cs="宋体"/>
                <w:color w:val="000000"/>
                <w:szCs w:val="21"/>
              </w:rPr>
              <w:t>150W、最高内存频率</w:t>
            </w:r>
            <w:r>
              <w:rPr>
                <w:rFonts w:hint="eastAsia" w:ascii="宋体" w:hAnsi="宋体" w:cs="宋体"/>
                <w:color w:val="000000"/>
                <w:kern w:val="0"/>
                <w:szCs w:val="21"/>
              </w:rPr>
              <w:t>≥</w:t>
            </w:r>
            <w:r>
              <w:rPr>
                <w:rFonts w:hint="eastAsia" w:ascii="宋体" w:hAnsi="宋体" w:cs="宋体"/>
                <w:color w:val="000000"/>
                <w:szCs w:val="21"/>
              </w:rPr>
              <w:t>2933MHz、内存通道数</w:t>
            </w:r>
            <w:r>
              <w:rPr>
                <w:rFonts w:hint="eastAsia" w:ascii="宋体" w:hAnsi="宋体" w:cs="宋体"/>
                <w:color w:val="000000"/>
                <w:kern w:val="0"/>
                <w:szCs w:val="21"/>
              </w:rPr>
              <w:t>≥</w:t>
            </w:r>
            <w:r>
              <w:rPr>
                <w:rFonts w:hint="eastAsia" w:ascii="宋体" w:hAnsi="宋体" w:cs="宋体"/>
                <w:color w:val="000000"/>
                <w:szCs w:val="21"/>
              </w:rPr>
              <w:t>8</w:t>
            </w:r>
            <w:r>
              <w:rPr>
                <w:rFonts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主板规格</w:t>
            </w: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主板支持的CPU和内存情况</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主板支持2颗</w:t>
            </w:r>
            <w:r>
              <w:rPr>
                <w:rFonts w:hint="eastAsia" w:ascii="宋体" w:hAnsi="宋体" w:cs="宋体"/>
                <w:color w:val="000000"/>
                <w:szCs w:val="21"/>
              </w:rPr>
              <w:t>kunpeng920</w:t>
            </w:r>
            <w:r>
              <w:rPr>
                <w:rFonts w:ascii="宋体" w:hAnsi="宋体" w:cs="宋体"/>
                <w:color w:val="000000"/>
                <w:szCs w:val="21"/>
              </w:rPr>
              <w:t xml:space="preserve"> CPU</w:t>
            </w:r>
            <w:r>
              <w:rPr>
                <w:rFonts w:hint="eastAsia" w:ascii="宋体" w:hAnsi="宋体" w:cs="宋体"/>
                <w:color w:val="000000"/>
                <w:szCs w:val="21"/>
              </w:rPr>
              <w:t>，内存支持</w:t>
            </w:r>
            <w:r>
              <w:rPr>
                <w:rFonts w:hint="eastAsia" w:ascii="宋体" w:hAnsi="宋体" w:cs="宋体"/>
                <w:color w:val="000000"/>
                <w:kern w:val="0"/>
                <w:szCs w:val="21"/>
              </w:rPr>
              <w:t>≥1</w:t>
            </w:r>
            <w:r>
              <w:rPr>
                <w:rFonts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主板内存槽数量</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非板载内存的可扩展插槽数量≥4个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主板存储接口</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支持SATA、SAS、M.2、U.2等存储接口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PCIe插槽接口</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符合PCIe4.0或以上的高速串行计算机扩展总线标准，PCIe的接口速率与位宽需保证向下兼容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主板PCIe插槽数量及规格</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高度≥44.45mm双路或以上服务器PCIe插槽或接口≥5个；b)单路服务器PCIe插槽或接口≥4个，可通过扩展卡进行插槽扩展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板载网络接口</w:t>
            </w:r>
          </w:p>
        </w:tc>
        <w:tc>
          <w:tcPr>
            <w:tcW w:w="2435" w:type="pct"/>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板载网络接口≥4个1GE网口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内存数量</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配置内存数量≥8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内存规格</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单条内存≥</w:t>
            </w:r>
            <w:r>
              <w:rPr>
                <w:rFonts w:ascii="宋体" w:hAnsi="宋体" w:cs="宋体"/>
                <w:color w:val="000000"/>
                <w:kern w:val="0"/>
                <w:szCs w:val="21"/>
              </w:rPr>
              <w:t xml:space="preserve">32GB </w:t>
            </w:r>
            <w:r>
              <w:rPr>
                <w:rFonts w:hint="eastAsia" w:ascii="宋体" w:hAnsi="宋体" w:cs="宋体"/>
                <w:color w:val="000000"/>
                <w:kern w:val="0"/>
                <w:szCs w:val="21"/>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内存通道</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支持多个内存接口通道，每个通道可支持1DPC或2DPC，当支持2DPC 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存储规格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硬磁盘实配容量</w:t>
            </w:r>
          </w:p>
        </w:tc>
        <w:tc>
          <w:tcPr>
            <w:tcW w:w="2435" w:type="pct"/>
            <w:shd w:val="clear" w:color="auto" w:fill="auto"/>
            <w:vAlign w:val="center"/>
          </w:tcPr>
          <w:p>
            <w:pPr>
              <w:widowControl/>
              <w:jc w:val="left"/>
              <w:textAlignment w:val="center"/>
              <w:rPr>
                <w:rFonts w:ascii="宋体" w:hAnsi="宋体" w:cs="宋体"/>
                <w:bCs/>
                <w:color w:val="000000"/>
                <w:kern w:val="0"/>
                <w:szCs w:val="21"/>
              </w:rPr>
            </w:pPr>
            <w:r>
              <w:rPr>
                <w:rFonts w:hint="eastAsia" w:ascii="宋体" w:hAnsi="宋体" w:cs="宋体"/>
                <w:bCs/>
                <w:color w:val="000000"/>
                <w:kern w:val="0"/>
                <w:szCs w:val="21"/>
              </w:rPr>
              <w:t>a)配置磁盘容量≥960GB（</w:t>
            </w:r>
            <w:r>
              <w:rPr>
                <w:rFonts w:hint="eastAsia" w:ascii="宋体" w:hAnsi="宋体" w:cs="宋体"/>
                <w:bCs/>
                <w:color w:val="000000"/>
                <w:kern w:val="0"/>
                <w:szCs w:val="21"/>
                <w:lang w:eastAsia="zh-CN"/>
              </w:rPr>
              <w:t>2*4</w:t>
            </w:r>
            <w:r>
              <w:rPr>
                <w:rFonts w:hint="eastAsia" w:ascii="宋体" w:hAnsi="宋体" w:cs="宋体"/>
                <w:bCs/>
                <w:color w:val="000000"/>
                <w:kern w:val="0"/>
                <w:szCs w:val="21"/>
              </w:rPr>
              <w:t>80GB） SSD固态硬盘；</w:t>
            </w:r>
          </w:p>
          <w:p>
            <w:pPr>
              <w:widowControl/>
              <w:jc w:val="left"/>
              <w:textAlignment w:val="center"/>
              <w:rPr>
                <w:rFonts w:ascii="宋体" w:hAnsi="宋体" w:cs="宋体"/>
                <w:color w:val="000000"/>
                <w:szCs w:val="21"/>
              </w:rPr>
            </w:pPr>
            <w:r>
              <w:rPr>
                <w:rFonts w:hint="eastAsia" w:ascii="宋体" w:hAnsi="宋体" w:cs="宋体"/>
                <w:bCs/>
                <w:color w:val="000000"/>
                <w:kern w:val="0"/>
                <w:szCs w:val="21"/>
              </w:rPr>
              <w:t>b)配置磁盘容量≥48000GB （</w:t>
            </w:r>
            <w:r>
              <w:rPr>
                <w:rFonts w:hint="eastAsia" w:ascii="宋体" w:hAnsi="宋体" w:cs="宋体"/>
                <w:bCs/>
                <w:color w:val="000000"/>
                <w:kern w:val="0"/>
                <w:szCs w:val="21"/>
                <w:lang w:eastAsia="zh-CN"/>
              </w:rPr>
              <w:t>8*6</w:t>
            </w:r>
            <w:r>
              <w:rPr>
                <w:rFonts w:hint="eastAsia" w:ascii="宋体" w:hAnsi="宋体" w:cs="宋体"/>
                <w:bCs/>
                <w:color w:val="000000"/>
                <w:kern w:val="0"/>
                <w:szCs w:val="21"/>
              </w:rPr>
              <w:t>000GB）SATA机械硬盘。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硬磁盘实配数量</w:t>
            </w:r>
          </w:p>
        </w:tc>
        <w:tc>
          <w:tcPr>
            <w:tcW w:w="2435" w:type="pct"/>
            <w:shd w:val="clear" w:color="auto" w:fill="auto"/>
            <w:vAlign w:val="center"/>
          </w:tcPr>
          <w:p>
            <w:pPr>
              <w:widowControl/>
              <w:jc w:val="left"/>
              <w:textAlignment w:val="center"/>
              <w:rPr>
                <w:rFonts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eastAsia="zh-CN"/>
              </w:rPr>
              <w:t>2*4</w:t>
            </w:r>
            <w:r>
              <w:rPr>
                <w:rFonts w:hint="eastAsia" w:ascii="宋体" w:hAnsi="宋体" w:cs="宋体"/>
                <w:bCs/>
                <w:color w:val="000000"/>
                <w:kern w:val="0"/>
                <w:szCs w:val="21"/>
              </w:rPr>
              <w:t>80GB SSD固态硬盘；</w:t>
            </w:r>
          </w:p>
          <w:p>
            <w:pPr>
              <w:widowControl/>
              <w:jc w:val="left"/>
              <w:textAlignment w:val="center"/>
              <w:rPr>
                <w:rFonts w:ascii="宋体" w:hAnsi="宋体" w:cs="宋体"/>
                <w:color w:val="000000"/>
                <w:szCs w:val="21"/>
              </w:rPr>
            </w:pPr>
            <w:r>
              <w:rPr>
                <w:rFonts w:hint="eastAsia" w:ascii="宋体" w:hAnsi="宋体" w:cs="宋体"/>
                <w:bCs/>
                <w:color w:val="000000"/>
                <w:kern w:val="0"/>
                <w:szCs w:val="21"/>
              </w:rPr>
              <w:t>≥</w:t>
            </w:r>
            <w:r>
              <w:rPr>
                <w:rFonts w:hint="eastAsia" w:ascii="宋体" w:hAnsi="宋体" w:cs="宋体"/>
                <w:bCs/>
                <w:color w:val="000000"/>
                <w:kern w:val="0"/>
                <w:szCs w:val="21"/>
                <w:lang w:eastAsia="zh-CN"/>
              </w:rPr>
              <w:t>8*6</w:t>
            </w:r>
            <w:r>
              <w:rPr>
                <w:rFonts w:hint="eastAsia" w:ascii="宋体" w:hAnsi="宋体" w:cs="宋体"/>
                <w:bCs/>
                <w:color w:val="000000"/>
                <w:kern w:val="0"/>
                <w:szCs w:val="21"/>
              </w:rPr>
              <w:t>000GB SATA机械硬盘。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硬盘插槽数量及规格</w:t>
            </w:r>
          </w:p>
        </w:tc>
        <w:tc>
          <w:tcPr>
            <w:tcW w:w="2435" w:type="pct"/>
            <w:shd w:val="clear" w:color="auto" w:fill="auto"/>
            <w:vAlign w:val="center"/>
          </w:tcPr>
          <w:p>
            <w:pPr>
              <w:widowControl/>
              <w:jc w:val="left"/>
              <w:textAlignment w:val="top"/>
              <w:rPr>
                <w:rFonts w:ascii="宋体" w:hAnsi="宋体" w:cs="宋体"/>
                <w:color w:val="000000"/>
                <w:szCs w:val="21"/>
              </w:rPr>
            </w:pPr>
            <w:r>
              <w:rPr>
                <w:rFonts w:hint="eastAsia" w:ascii="宋体" w:hAnsi="宋体" w:cs="宋体"/>
                <w:color w:val="000000"/>
                <w:kern w:val="0"/>
                <w:szCs w:val="21"/>
              </w:rPr>
              <w:t>a)供应商应给出配置的硬盘尺寸，如2.5英寸、3.5英寸硬磁盘；b)机箱高度为88.9mm的服务器可支持的硬盘数量</w:t>
            </w:r>
            <w:r>
              <w:rPr>
                <w:rFonts w:hint="eastAsia" w:ascii="宋体" w:hAnsi="宋体" w:cs="宋体"/>
                <w:bCs/>
                <w:color w:val="000000"/>
                <w:kern w:val="0"/>
                <w:szCs w:val="21"/>
              </w:rPr>
              <w:t>≥</w:t>
            </w:r>
            <w:r>
              <w:rPr>
                <w:rFonts w:hint="eastAsia" w:ascii="宋体" w:hAnsi="宋体" w:cs="宋体"/>
                <w:color w:val="000000"/>
                <w:kern w:val="0"/>
                <w:szCs w:val="21"/>
              </w:rPr>
              <w:t>8块，机箱高度为44.45mm的服务器可支持的硬盘数量</w:t>
            </w:r>
            <w:r>
              <w:rPr>
                <w:rFonts w:hint="eastAsia" w:ascii="宋体" w:hAnsi="宋体" w:cs="宋体"/>
                <w:bCs/>
                <w:color w:val="000000"/>
                <w:kern w:val="0"/>
                <w:szCs w:val="21"/>
              </w:rPr>
              <w:t>≥</w:t>
            </w:r>
            <w:r>
              <w:rPr>
                <w:rFonts w:hint="eastAsia" w:ascii="宋体" w:hAnsi="宋体" w:cs="宋体"/>
                <w:color w:val="000000"/>
                <w:kern w:val="0"/>
                <w:szCs w:val="21"/>
              </w:rPr>
              <w:t>4块。c)存储型服务器可支持硬盘数量</w:t>
            </w:r>
            <w:r>
              <w:rPr>
                <w:rFonts w:hint="eastAsia" w:ascii="宋体" w:hAnsi="宋体" w:cs="宋体"/>
                <w:bCs/>
                <w:color w:val="000000"/>
                <w:kern w:val="0"/>
                <w:szCs w:val="21"/>
              </w:rPr>
              <w:t>≥</w:t>
            </w:r>
            <w:r>
              <w:rPr>
                <w:rFonts w:hint="eastAsia" w:ascii="宋体" w:hAnsi="宋体" w:cs="宋体"/>
                <w:color w:val="000000"/>
                <w:kern w:val="0"/>
                <w:szCs w:val="21"/>
              </w:rPr>
              <w:t>24块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RAID卡支持的SAS接口数</w:t>
            </w:r>
          </w:p>
        </w:tc>
        <w:tc>
          <w:tcPr>
            <w:tcW w:w="2435"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网口速率和数量</w:t>
            </w:r>
          </w:p>
        </w:tc>
        <w:tc>
          <w:tcPr>
            <w:tcW w:w="2435" w:type="pct"/>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配置≥</w:t>
            </w:r>
            <w:r>
              <w:rPr>
                <w:rFonts w:ascii="宋体" w:hAnsi="宋体" w:cs="宋体"/>
                <w:bCs/>
                <w:color w:val="000000"/>
                <w:kern w:val="0"/>
                <w:szCs w:val="21"/>
              </w:rPr>
              <w:t>1</w:t>
            </w:r>
            <w:r>
              <w:rPr>
                <w:rFonts w:hint="eastAsia" w:ascii="宋体" w:hAnsi="宋体" w:cs="宋体"/>
                <w:bCs/>
                <w:color w:val="000000"/>
                <w:kern w:val="0"/>
                <w:szCs w:val="21"/>
              </w:rPr>
              <w:t>块独立双口万兆光网卡并满配光模块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外部接口规格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显示接口</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支持VGA、DP、HDMI等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USB 接口</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配备USB2.0、USB3.0等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电源模块数量</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
                <w:b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电源功率</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电源模块功率应有一定冗余，满足处理器满载时的需求，单电源模块功率≥900W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外观和结构</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a)服务器的零部件应紧固无松动，可插拔部件应可靠连接，开关、按钮和其它控制部件应灵活可靠，布局应方便使用； b) 产品表面不应有明显的凹痕、划伤、裂缝、变形和污染等。表面涂层均匀，不应起泡、龟裂、脱落和磨损，金属零部件无锈蚀及其它机械损伤； c) 产品表面说明功能的文字、符号和标志应清晰、端正且牢固； d) 应在服务器的显著位置提供运行状态的指示功能，并在随机文件中明确具体含义； e) 机架、机箱的尺寸应符合通用机柜的安装要求，插入总线插座的电路板接口外形尺寸应符合有关总线标准的规定，将机箱固定在机柜上，机箱底面最大下垂变形不得干涉相邻机体；f) 高密度服务器应给出CPU个数与机柜高度； 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尺寸（高×宽×深）</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2U机架式服务器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环境适应性</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气候环境适应性应符合GB/T9813.3的有关规定，工作温度10～ 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机械环境适应性</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机械环境适应性应符合GB/T9813.3的有关规定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噪声</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9813.3的有关规定，在产品说明中给出具体测试值塔式服务器噪声在空闲状态下不大于50dB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机柜规格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机柜尺寸</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2U机架式服务器，能安装于19英寸标准服务器机柜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500" w:type="pct"/>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主板功能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主板外部接口种类</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支持VGA、DP、HDMI、USB3.0、PS/2接口、BMC管理端口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网络功能</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计算处理</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支持通用计算及虚拟化功能。处理器需集成整型计算单元、浮点计算单元、内存控制器、I/O模块等，处理器与存储部件、网络部件、I/O 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500" w:type="pct"/>
            <w:vMerge w:val="continue"/>
            <w:shd w:val="clear" w:color="auto" w:fill="auto"/>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kern w:val="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指令集支持</w:t>
            </w:r>
          </w:p>
        </w:tc>
        <w:tc>
          <w:tcPr>
            <w:tcW w:w="243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支持RISC指令集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500" w:type="pct"/>
            <w:vMerge w:val="continue"/>
            <w:shd w:val="clear" w:color="auto" w:fill="auto"/>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kern w:val="0"/>
                <w:szCs w:val="21"/>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kern w:val="0"/>
                <w:szCs w:val="21"/>
              </w:rPr>
              <w:t>硬件加速</w:t>
            </w:r>
          </w:p>
        </w:tc>
        <w:tc>
          <w:tcPr>
            <w:tcW w:w="243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支持具备RSA/SM3/SM4/DH/MD5/AES算法硬件加解密加速能力和ZLIB/GZIP算法硬件压缩加速能力，投标方提供处理器厂商官网截图或产品文档截图。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密码算法实现</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CPU芯片应符合GM/T0008的相关规定，或芯片密码模块应符合GB/T37092或GM/T 0028的相关规定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RAID卡级别支持</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支持RAID 0/1/5/6/10/50/60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电源热插拔</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电源过流保护</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散热方式</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管理系统功能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BMC 固件基础功能</w:t>
            </w:r>
          </w:p>
        </w:tc>
        <w:tc>
          <w:tcPr>
            <w:tcW w:w="2435"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1) 支持DHCP设置网络功能；</w:t>
            </w:r>
          </w:p>
          <w:p>
            <w:pPr>
              <w:widowControl/>
              <w:rPr>
                <w:rFonts w:ascii="宋体" w:hAnsi="宋体" w:cs="宋体"/>
                <w:color w:val="000000"/>
                <w:szCs w:val="21"/>
              </w:rPr>
            </w:pPr>
            <w:r>
              <w:rPr>
                <w:rFonts w:hint="eastAsia" w:ascii="宋体" w:hAnsi="宋体" w:cs="宋体"/>
                <w:color w:val="000000"/>
                <w:szCs w:val="21"/>
              </w:rPr>
              <w:t>2)支持静态IP设置网络功能；</w:t>
            </w:r>
          </w:p>
          <w:p>
            <w:pPr>
              <w:widowControl/>
              <w:rPr>
                <w:rFonts w:ascii="宋体" w:hAnsi="宋体" w:cs="宋体"/>
                <w:color w:val="000000"/>
                <w:szCs w:val="21"/>
              </w:rPr>
            </w:pPr>
            <w:r>
              <w:rPr>
                <w:rFonts w:hint="eastAsia" w:ascii="宋体" w:hAnsi="宋体" w:cs="宋体"/>
                <w:color w:val="000000"/>
                <w:szCs w:val="21"/>
              </w:rPr>
              <w:t>3)支持设备日志记录，包括但不限于登录日志、操作日志和报警日志等功能；</w:t>
            </w:r>
          </w:p>
          <w:p>
            <w:pPr>
              <w:widowControl/>
              <w:rPr>
                <w:rFonts w:ascii="宋体" w:hAnsi="宋体" w:cs="宋体"/>
                <w:color w:val="000000"/>
                <w:szCs w:val="21"/>
              </w:rPr>
            </w:pPr>
            <w:r>
              <w:rPr>
                <w:rFonts w:hint="eastAsia" w:ascii="宋体" w:hAnsi="宋体" w:cs="宋体"/>
                <w:color w:val="000000"/>
                <w:szCs w:val="21"/>
              </w:rPr>
              <w:t>4)支持日志信息导出和记录删除功能；</w:t>
            </w:r>
          </w:p>
          <w:p>
            <w:pPr>
              <w:widowControl/>
              <w:rPr>
                <w:rFonts w:ascii="宋体" w:hAnsi="宋体" w:cs="宋体"/>
                <w:color w:val="000000"/>
                <w:szCs w:val="21"/>
              </w:rPr>
            </w:pPr>
            <w:r>
              <w:rPr>
                <w:rFonts w:hint="eastAsia" w:ascii="宋体" w:hAnsi="宋体" w:cs="宋体"/>
                <w:color w:val="000000"/>
                <w:szCs w:val="21"/>
              </w:rPr>
              <w:t>5)支持通过管理接口向外输出准确的报警信息功能；</w:t>
            </w:r>
          </w:p>
          <w:p>
            <w:pPr>
              <w:widowControl/>
              <w:rPr>
                <w:rFonts w:ascii="宋体" w:hAnsi="宋体" w:cs="宋体"/>
                <w:color w:val="000000"/>
                <w:szCs w:val="21"/>
              </w:rPr>
            </w:pPr>
            <w:r>
              <w:rPr>
                <w:rFonts w:hint="eastAsia" w:ascii="宋体" w:hAnsi="宋体" w:cs="宋体"/>
                <w:color w:val="000000"/>
                <w:szCs w:val="21"/>
              </w:rPr>
              <w:t>6)设备的BMC管理软件应能够按报</w:t>
            </w:r>
          </w:p>
          <w:p>
            <w:pPr>
              <w:widowControl/>
              <w:rPr>
                <w:rFonts w:ascii="宋体" w:hAnsi="宋体" w:cs="宋体"/>
                <w:color w:val="000000"/>
                <w:szCs w:val="21"/>
              </w:rPr>
            </w:pPr>
            <w:r>
              <w:rPr>
                <w:rFonts w:hint="eastAsia" w:ascii="宋体" w:hAnsi="宋体" w:cs="宋体"/>
                <w:color w:val="000000"/>
                <w:szCs w:val="21"/>
              </w:rPr>
              <w:t>警的严重程度进行区分；</w:t>
            </w:r>
          </w:p>
          <w:p>
            <w:pPr>
              <w:widowControl/>
              <w:rPr>
                <w:rFonts w:ascii="宋体" w:hAnsi="宋体" w:cs="宋体"/>
                <w:color w:val="000000"/>
                <w:szCs w:val="21"/>
              </w:rPr>
            </w:pPr>
            <w:r>
              <w:rPr>
                <w:rFonts w:hint="eastAsia" w:ascii="宋体" w:hAnsi="宋体" w:cs="宋体"/>
                <w:color w:val="000000"/>
                <w:szCs w:val="21"/>
              </w:rPr>
              <w:t>7)支持IPMI2.0、SNMP或Redfish 等接口功能；</w:t>
            </w:r>
          </w:p>
          <w:p>
            <w:pPr>
              <w:widowControl/>
              <w:rPr>
                <w:rFonts w:ascii="宋体" w:hAnsi="宋体" w:cs="宋体"/>
                <w:color w:val="000000"/>
                <w:szCs w:val="21"/>
              </w:rPr>
            </w:pPr>
            <w:r>
              <w:rPr>
                <w:rFonts w:hint="eastAsia" w:ascii="宋体" w:hAnsi="宋体" w:cs="宋体"/>
                <w:color w:val="000000"/>
                <w:szCs w:val="21"/>
              </w:rPr>
              <w:t>8)支持键盘、鼠标和视频的重定向、文本控制台的重定向、远程虚拟媒体、高可靠的硬件监控和管理功能；</w:t>
            </w:r>
          </w:p>
          <w:p>
            <w:pPr>
              <w:widowControl/>
              <w:rPr>
                <w:rFonts w:ascii="宋体" w:hAnsi="宋体" w:cs="宋体"/>
                <w:color w:val="000000"/>
                <w:szCs w:val="21"/>
              </w:rPr>
            </w:pPr>
            <w:r>
              <w:rPr>
                <w:rFonts w:hint="eastAsia" w:ascii="宋体" w:hAnsi="宋体" w:cs="宋体"/>
                <w:color w:val="000000"/>
                <w:szCs w:val="21"/>
              </w:rPr>
              <w:t>9)支持基于网络开启、关闭和重启设备的功能，并查询当前设备开机运行状态；</w:t>
            </w:r>
          </w:p>
          <w:p>
            <w:pPr>
              <w:widowControl/>
              <w:rPr>
                <w:rFonts w:ascii="宋体" w:hAnsi="宋体" w:cs="宋体"/>
                <w:color w:val="000000"/>
                <w:szCs w:val="21"/>
              </w:rPr>
            </w:pPr>
            <w:r>
              <w:rPr>
                <w:rFonts w:hint="eastAsia" w:ascii="宋体" w:hAnsi="宋体" w:cs="宋体"/>
                <w:color w:val="000000"/>
                <w:szCs w:val="21"/>
              </w:rPr>
              <w:t>10)支持故障提示功能，并可通过接口读取服务器故障信息；</w:t>
            </w:r>
          </w:p>
          <w:p>
            <w:pPr>
              <w:widowControl/>
              <w:rPr>
                <w:rFonts w:ascii="宋体" w:hAnsi="宋体" w:cs="宋体"/>
                <w:color w:val="000000"/>
                <w:szCs w:val="21"/>
              </w:rPr>
            </w:pPr>
            <w:r>
              <w:rPr>
                <w:rFonts w:hint="eastAsia" w:ascii="宋体" w:hAnsi="宋体" w:cs="宋体"/>
                <w:color w:val="000000"/>
                <w:szCs w:val="21"/>
              </w:rPr>
              <w:t>11)支持基于网络的固件更新功能，包括BMC和BIOS等；</w:t>
            </w:r>
          </w:p>
          <w:p>
            <w:pPr>
              <w:widowControl/>
              <w:rPr>
                <w:rFonts w:ascii="宋体" w:hAnsi="宋体" w:cs="宋体"/>
                <w:color w:val="000000"/>
                <w:szCs w:val="21"/>
              </w:rPr>
            </w:pPr>
            <w:r>
              <w:rPr>
                <w:rFonts w:hint="eastAsia" w:ascii="宋体" w:hAnsi="宋体" w:cs="宋体"/>
                <w:color w:val="000000"/>
                <w:szCs w:val="21"/>
              </w:rPr>
              <w:t>12)支持基于网络安装操作系统的功能，并可通过网络控制台访问设备；</w:t>
            </w:r>
          </w:p>
          <w:p>
            <w:pPr>
              <w:widowControl/>
              <w:rPr>
                <w:rFonts w:ascii="宋体" w:hAnsi="宋体" w:cs="宋体"/>
                <w:color w:val="000000"/>
                <w:szCs w:val="21"/>
              </w:rPr>
            </w:pPr>
            <w:r>
              <w:rPr>
                <w:rFonts w:hint="eastAsia" w:ascii="宋体" w:hAnsi="宋体" w:cs="宋体"/>
                <w:color w:val="000000"/>
                <w:szCs w:val="21"/>
              </w:rPr>
              <w:t>13)支持通过本地的硬盘或光驱等存储设备，基于网络完成设备的操作系统安装功能；</w:t>
            </w:r>
          </w:p>
          <w:p>
            <w:pPr>
              <w:widowControl/>
              <w:rPr>
                <w:rFonts w:ascii="宋体" w:hAnsi="宋体" w:cs="宋体"/>
                <w:color w:val="000000"/>
                <w:szCs w:val="21"/>
              </w:rPr>
            </w:pPr>
            <w:r>
              <w:rPr>
                <w:rFonts w:hint="eastAsia" w:ascii="宋体" w:hAnsi="宋体" w:cs="宋体"/>
                <w:color w:val="000000"/>
                <w:szCs w:val="21"/>
              </w:rPr>
              <w:t>14)支持通过浏览器打开管理界面并登录功能；</w:t>
            </w:r>
          </w:p>
          <w:p>
            <w:pPr>
              <w:widowControl/>
              <w:rPr>
                <w:rFonts w:ascii="宋体" w:hAnsi="宋体" w:cs="宋体"/>
                <w:color w:val="000000"/>
                <w:szCs w:val="21"/>
              </w:rPr>
            </w:pPr>
            <w:r>
              <w:rPr>
                <w:rFonts w:hint="eastAsia" w:ascii="宋体" w:hAnsi="宋体" w:cs="宋体"/>
                <w:color w:val="000000"/>
                <w:szCs w:val="21"/>
              </w:rPr>
              <w:t>15)支持设置口令策略功能；</w:t>
            </w:r>
          </w:p>
          <w:p>
            <w:pPr>
              <w:widowControl/>
              <w:rPr>
                <w:rFonts w:ascii="宋体" w:hAnsi="宋体" w:cs="宋体"/>
                <w:color w:val="000000"/>
                <w:szCs w:val="21"/>
              </w:rPr>
            </w:pPr>
            <w:r>
              <w:rPr>
                <w:rFonts w:hint="eastAsia" w:ascii="宋体" w:hAnsi="宋体" w:cs="宋体"/>
                <w:color w:val="000000"/>
                <w:szCs w:val="21"/>
              </w:rPr>
              <w:t>16)支持访问权限设置功能，并通过日志记录访问事件；</w:t>
            </w:r>
          </w:p>
          <w:p>
            <w:pPr>
              <w:widowControl/>
              <w:rPr>
                <w:rFonts w:ascii="宋体" w:hAnsi="宋体" w:cs="宋体"/>
                <w:color w:val="000000"/>
                <w:szCs w:val="21"/>
              </w:rPr>
            </w:pPr>
            <w:r>
              <w:rPr>
                <w:rFonts w:hint="eastAsia" w:ascii="宋体" w:hAnsi="宋体" w:cs="宋体"/>
                <w:color w:val="000000"/>
                <w:szCs w:val="21"/>
              </w:rPr>
              <w:t>17)支持对出厂默认的用户名及口令进行安全保护功能，并提供默认口令修改提示；</w:t>
            </w:r>
          </w:p>
          <w:p>
            <w:pPr>
              <w:widowControl/>
              <w:rPr>
                <w:rFonts w:ascii="宋体" w:hAnsi="宋体" w:cs="宋体"/>
                <w:color w:val="000000"/>
                <w:szCs w:val="21"/>
              </w:rPr>
            </w:pPr>
            <w:r>
              <w:rPr>
                <w:rFonts w:hint="eastAsia" w:ascii="宋体" w:hAnsi="宋体" w:cs="宋体"/>
                <w:color w:val="000000"/>
                <w:szCs w:val="21"/>
              </w:rPr>
              <w:t>18)支持读取设备主板的工作环境温度功能；</w:t>
            </w:r>
          </w:p>
          <w:p>
            <w:pPr>
              <w:widowControl/>
              <w:rPr>
                <w:rFonts w:ascii="宋体" w:hAnsi="宋体" w:cs="宋体"/>
                <w:color w:val="000000"/>
                <w:szCs w:val="21"/>
              </w:rPr>
            </w:pPr>
            <w:r>
              <w:rPr>
                <w:rFonts w:hint="eastAsia" w:ascii="宋体" w:hAnsi="宋体" w:cs="宋体"/>
                <w:color w:val="000000"/>
                <w:szCs w:val="21"/>
              </w:rPr>
              <w:t>19)支持读取服务器CPU等核心器件的温度功能；</w:t>
            </w:r>
          </w:p>
          <w:p>
            <w:pPr>
              <w:widowControl/>
              <w:rPr>
                <w:rFonts w:ascii="宋体" w:hAnsi="宋体" w:cs="宋体"/>
                <w:color w:val="000000"/>
                <w:szCs w:val="21"/>
              </w:rPr>
            </w:pPr>
            <w:r>
              <w:rPr>
                <w:rFonts w:hint="eastAsia" w:ascii="宋体" w:hAnsi="宋体" w:cs="宋体"/>
                <w:color w:val="000000"/>
                <w:szCs w:val="21"/>
              </w:rPr>
              <w:t>20)支持通过外部管理工具进行BMC参数设置的功能，并可基于网络通过外部管理工具对BMC进行管理；</w:t>
            </w:r>
          </w:p>
          <w:p>
            <w:pPr>
              <w:widowControl/>
              <w:rPr>
                <w:rFonts w:ascii="宋体" w:hAnsi="宋体" w:cs="宋体"/>
                <w:color w:val="000000"/>
                <w:szCs w:val="21"/>
              </w:rPr>
            </w:pPr>
            <w:r>
              <w:rPr>
                <w:rFonts w:hint="eastAsia" w:ascii="宋体" w:hAnsi="宋体" w:cs="宋体"/>
                <w:color w:val="000000"/>
                <w:szCs w:val="21"/>
              </w:rPr>
              <w:t>21)应支持固件版本查询、固件升级</w:t>
            </w:r>
          </w:p>
          <w:p>
            <w:pPr>
              <w:widowControl/>
              <w:rPr>
                <w:rFonts w:ascii="宋体" w:hAnsi="宋体" w:cs="宋体"/>
                <w:color w:val="000000"/>
                <w:szCs w:val="21"/>
              </w:rPr>
            </w:pPr>
            <w:r>
              <w:rPr>
                <w:rFonts w:hint="eastAsia" w:ascii="宋体" w:hAnsi="宋体" w:cs="宋体"/>
                <w:color w:val="000000"/>
                <w:szCs w:val="21"/>
              </w:rPr>
              <w:t>22)支持基于网络实现开关机和复位控制的功能；</w:t>
            </w:r>
          </w:p>
          <w:p>
            <w:pPr>
              <w:widowControl/>
              <w:rPr>
                <w:rFonts w:ascii="宋体" w:hAnsi="宋体" w:cs="宋体"/>
                <w:color w:val="000000"/>
                <w:szCs w:val="21"/>
              </w:rPr>
            </w:pPr>
            <w:r>
              <w:rPr>
                <w:rFonts w:hint="eastAsia" w:ascii="宋体" w:hAnsi="宋体" w:cs="宋体"/>
                <w:color w:val="000000"/>
                <w:szCs w:val="21"/>
              </w:rPr>
              <w:t>23)BMC启动时间应不超过180s，实现功能包括网络、IPMI、散热、传感器服务可用；</w:t>
            </w:r>
          </w:p>
          <w:p>
            <w:pPr>
              <w:widowControl/>
              <w:rPr>
                <w:rFonts w:ascii="宋体" w:hAnsi="宋体" w:cs="宋体"/>
                <w:color w:val="000000"/>
                <w:szCs w:val="21"/>
              </w:rPr>
            </w:pPr>
            <w:r>
              <w:rPr>
                <w:rFonts w:hint="eastAsia" w:ascii="宋体" w:hAnsi="宋体" w:cs="宋体"/>
                <w:color w:val="000000"/>
                <w:szCs w:val="21"/>
              </w:rPr>
              <w:t>24)支持BMC固件设置的恢复出厂功能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BIOS 固件基础功能</w:t>
            </w:r>
          </w:p>
        </w:tc>
        <w:tc>
          <w:tcPr>
            <w:tcW w:w="2435"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a）支持查看固件版本、内存信息、主板信息、处理器信息和系统时间信息功能； b）支持上电初始化界面显示CPU信息、内存信息、固件版本和部分快捷键信息功能； c）支持设置界面中英文显示切换功能；d）支持查看PCIe设备信息，SATA 设备信息功能； e）支持操作系统安装和引导功能，应并向操作系统提供计算机主板信息和服务接口； f）支持设置启动顺序，并按照设置的启动顺序启动功能； g）支持安全启动功能； h）支持设置口令、修改口令、验证口令功能； i）支持板载显示控制或独立显卡的显示控制功能； j）支持RAID识别和启动功能； k）支持串口重定向功能； l）支持固件更新功能；m）支持BIOS固件设置的恢复出厂功能； 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kern w:val="0"/>
                <w:szCs w:val="21"/>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kern w:val="0"/>
                <w:szCs w:val="21"/>
              </w:rPr>
              <w:t>BIOS软件</w:t>
            </w:r>
          </w:p>
        </w:tc>
        <w:tc>
          <w:tcPr>
            <w:tcW w:w="243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服务器BIOS软件须通过EAL4+认证级别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远程控制</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操作系统及驱动功能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操作系统及驱动的升级</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操作系统功能</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支持访问控制、安全审计、网络接入鉴别等功能； b) 操作系统其他功能应满足操作系统政府采购需求标准中加▲的指标要求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中文信息处理功能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中文信息处理</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 18030的有关规定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关键部件安全要求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关键部件安全要求</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CPU和操作系统等关键部件应当符合安全可靠测评要求，通过政府有关部门指定的中国信息安全测评中心和国家保密科技测评中心网站查看安全可靠测评结果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固件安全要求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故障检测</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系统安全要求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弱口令字典检查</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白名单访问控制</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支持基于时间、IP或MAC白名单访问控制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二次鉴别</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密码证书安全加密存储</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敏感信息安全加密传输</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支持使用安全的传输加密协议（如SSH或HTTPS等）传输用户的敏感信息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信息安全要求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研发过程安全</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物理安全</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物理安全</w:t>
            </w:r>
          </w:p>
        </w:tc>
        <w:tc>
          <w:tcPr>
            <w:tcW w:w="2435"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安全要求应符合GB 4943.1的规定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限用物质的限量要求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限用物质的限量要求</w:t>
            </w:r>
          </w:p>
        </w:tc>
        <w:tc>
          <w:tcPr>
            <w:tcW w:w="2435"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限用物质的限量应符合GB/T 26572 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CPU性能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CPU 主频</w:t>
            </w:r>
          </w:p>
        </w:tc>
        <w:tc>
          <w:tcPr>
            <w:tcW w:w="2435"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核数</w:t>
            </w:r>
          </w:p>
        </w:tc>
        <w:tc>
          <w:tcPr>
            <w:tcW w:w="2435"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末级缓存容量</w:t>
            </w:r>
          </w:p>
        </w:tc>
        <w:tc>
          <w:tcPr>
            <w:tcW w:w="2435"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≥48MB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内存性能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内存速率</w:t>
            </w:r>
          </w:p>
        </w:tc>
        <w:tc>
          <w:tcPr>
            <w:tcW w:w="2435"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≥2933MT/s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RAID卡性能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Raid卡缓存容量大小</w:t>
            </w:r>
          </w:p>
        </w:tc>
        <w:tc>
          <w:tcPr>
            <w:tcW w:w="2435" w:type="pct"/>
            <w:shd w:val="clear" w:color="auto" w:fill="auto"/>
            <w:noWrap/>
            <w:vAlign w:val="center"/>
          </w:tcPr>
          <w:p>
            <w:pPr>
              <w:widowControl/>
              <w:jc w:val="left"/>
              <w:textAlignment w:val="center"/>
              <w:rPr>
                <w:rFonts w:ascii="宋体" w:hAnsi="宋体" w:cs="宋体"/>
                <w:bCs/>
                <w:color w:val="000000"/>
                <w:szCs w:val="21"/>
              </w:rPr>
            </w:pPr>
            <w:r>
              <w:rPr>
                <w:rFonts w:hint="eastAsia" w:ascii="宋体" w:hAnsi="宋体" w:cs="宋体"/>
                <w:color w:val="000000"/>
                <w:kern w:val="0"/>
                <w:szCs w:val="21"/>
              </w:rPr>
              <w:t>配备RAID卡且RAID卡缓存容量</w:t>
            </w:r>
            <w:r>
              <w:rPr>
                <w:rFonts w:hint="eastAsia" w:ascii="宋体" w:hAnsi="宋体" w:cs="宋体"/>
                <w:bCs/>
                <w:color w:val="000000"/>
                <w:kern w:val="0"/>
                <w:szCs w:val="21"/>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电源能耗</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电源能耗</w:t>
            </w:r>
          </w:p>
        </w:tc>
        <w:tc>
          <w:tcPr>
            <w:tcW w:w="2435"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部件兼容性要求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内存兼容性</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适配3种及以上厂商的内存产品，且均不低于产品支持的内存规格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固态存储兼容性</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适配3种或以上厂商的固态存储产品，且均不低于产品支持的固态存储设备规格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网卡兼容性</w:t>
            </w:r>
          </w:p>
        </w:tc>
        <w:tc>
          <w:tcPr>
            <w:tcW w:w="2435"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功能卡兼容性</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内置或适配符合PCIe的功能卡，如：网络功能卡、存储功能卡及图形显示功能卡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外设兼容性</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外设兼容性</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兼容多种主流生产商的外部设备，包括显示器、键盘、鼠标、闪存盘、移动硬盘、USB光驱及KVM等，要求使用不同厂商的外部设备时，系统均能正常识别和安装驱动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软件兼容性</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数据库兼容</w:t>
            </w:r>
          </w:p>
        </w:tc>
        <w:tc>
          <w:tcPr>
            <w:tcW w:w="2435"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兼容3个及以上厂商的数据库产品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中间件兼容</w:t>
            </w:r>
          </w:p>
        </w:tc>
        <w:tc>
          <w:tcPr>
            <w:tcW w:w="2435"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兼容3个及以上厂商的中间件产品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平台软件兼容</w:t>
            </w:r>
          </w:p>
        </w:tc>
        <w:tc>
          <w:tcPr>
            <w:tcW w:w="2435"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兼容3个及以上厂商的大数据平台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整机可靠性要求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整机可靠性</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m1值（MTBF的不可接受值）</w:t>
            </w:r>
            <w:r>
              <w:rPr>
                <w:rFonts w:hint="eastAsia" w:ascii="宋体" w:hAnsi="宋体" w:cs="宋体"/>
                <w:bCs/>
                <w:color w:val="000000"/>
                <w:kern w:val="0"/>
                <w:szCs w:val="21"/>
              </w:rPr>
              <w:t>≥</w:t>
            </w:r>
            <w:r>
              <w:rPr>
                <w:rFonts w:hint="eastAsia" w:ascii="宋体" w:hAnsi="宋体" w:cs="宋体"/>
                <w:color w:val="000000"/>
                <w:kern w:val="0"/>
                <w:szCs w:val="21"/>
              </w:rPr>
              <w:t>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风扇可靠性</w:t>
            </w:r>
          </w:p>
        </w:tc>
        <w:tc>
          <w:tcPr>
            <w:tcW w:w="2435"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风扇寿命</w:t>
            </w:r>
            <w:r>
              <w:rPr>
                <w:rFonts w:hint="eastAsia" w:ascii="宋体" w:hAnsi="宋体" w:cs="宋体"/>
                <w:bCs/>
                <w:color w:val="000000"/>
                <w:kern w:val="0"/>
                <w:szCs w:val="21"/>
              </w:rPr>
              <w:t>≥</w:t>
            </w:r>
            <w:r>
              <w:rPr>
                <w:rFonts w:hint="eastAsia" w:ascii="宋体" w:hAnsi="宋体" w:cs="宋体"/>
                <w:color w:val="000000"/>
                <w:kern w:val="0"/>
                <w:szCs w:val="21"/>
              </w:rPr>
              <w:t>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部件可靠性</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支持硬盘、电源、风扇热插拔(内置风扇除外)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包装及运输要求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标志、包装、运输和贮存</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服务响应</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服务响应</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提供电话、电子邮件、远程连接等多种形式服务；b) 提供同城4h、异地12h技术响应服务，2个工作日解决问题，对于未能解决的问题和故障应提供可行的升级方案，并提供周转设备； c) 建立全国技术服务体系和服务团体，符合专业服务体系标准要求，提供原厂中文服务； 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培训服务</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服务周期</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服务周期</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产品免费服务周期（含换件和维修）</w:t>
            </w:r>
            <w:r>
              <w:rPr>
                <w:rFonts w:hint="eastAsia" w:ascii="宋体" w:hAnsi="宋体" w:cs="宋体"/>
                <w:bCs/>
                <w:color w:val="000000"/>
                <w:kern w:val="0"/>
                <w:szCs w:val="21"/>
              </w:rPr>
              <w:t>≥</w:t>
            </w:r>
            <w:r>
              <w:rPr>
                <w:rFonts w:hint="eastAsia" w:ascii="宋体" w:hAnsi="宋体" w:cs="宋体"/>
                <w:b/>
                <w:bCs/>
                <w:color w:val="000000"/>
                <w:kern w:val="0"/>
                <w:szCs w:val="21"/>
              </w:rPr>
              <w:t>5</w:t>
            </w:r>
            <w:r>
              <w:rPr>
                <w:rFonts w:hint="eastAsia" w:ascii="宋体" w:hAnsi="宋体" w:cs="宋体"/>
                <w:color w:val="000000"/>
                <w:kern w:val="0"/>
                <w:szCs w:val="21"/>
              </w:rPr>
              <w:t>年，</w:t>
            </w:r>
            <w:r>
              <w:rPr>
                <w:rFonts w:hint="eastAsia" w:ascii="宋体" w:hAnsi="宋体" w:cs="宋体"/>
                <w:bCs/>
                <w:color w:val="000000"/>
                <w:kern w:val="0"/>
                <w:szCs w:val="21"/>
              </w:rPr>
              <w:t>包含硬盘不返还服务</w:t>
            </w:r>
            <w:r>
              <w:rPr>
                <w:rFonts w:hint="eastAsia" w:ascii="宋体" w:hAnsi="宋体" w:cs="宋体"/>
                <w:color w:val="000000"/>
                <w:kern w:val="0"/>
                <w:szCs w:val="21"/>
              </w:rPr>
              <w:t>； b) 设备停产后继续提供质量保障服务（含备品备件），服务终止时间与最后一批设备交付时间间隔</w:t>
            </w:r>
            <w:r>
              <w:rPr>
                <w:rFonts w:hint="eastAsia" w:ascii="宋体" w:hAnsi="宋体" w:cs="宋体"/>
                <w:bCs/>
                <w:color w:val="000000"/>
                <w:kern w:val="0"/>
                <w:szCs w:val="21"/>
              </w:rPr>
              <w:t>≥</w:t>
            </w:r>
            <w:r>
              <w:rPr>
                <w:rFonts w:hint="eastAsia" w:ascii="宋体" w:hAnsi="宋体" w:cs="宋体"/>
                <w:color w:val="000000"/>
                <w:kern w:val="0"/>
                <w:szCs w:val="21"/>
              </w:rPr>
              <w:t>6年； c) 产品停止服务时间应提前1年告知客户；d)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服务工具要求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工具要求</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驱动安装升级指引</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管理软件</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7</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增值服务</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厂家升级产品软件与扩容服务</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提供上门服务</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7*2</w:t>
            </w:r>
            <w:r>
              <w:rPr>
                <w:rFonts w:ascii="宋体" w:hAnsi="宋体" w:cs="宋体"/>
                <w:color w:val="000000"/>
                <w:kern w:val="0"/>
                <w:szCs w:val="21"/>
              </w:rPr>
              <w:t>4</w:t>
            </w:r>
            <w:r>
              <w:rPr>
                <w:rFonts w:hint="eastAsia" w:ascii="宋体" w:hAnsi="宋体" w:cs="宋体"/>
                <w:color w:val="000000"/>
                <w:kern w:val="0"/>
                <w:szCs w:val="21"/>
              </w:rPr>
              <w:t>小时上门服务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9</w:t>
            </w:r>
          </w:p>
        </w:tc>
        <w:tc>
          <w:tcPr>
            <w:tcW w:w="500" w:type="pct"/>
            <w:vMerge w:val="restart"/>
            <w:shd w:val="clear" w:color="auto" w:fill="auto"/>
            <w:vAlign w:val="center"/>
          </w:tcPr>
          <w:p>
            <w:pPr>
              <w:widowControl/>
              <w:jc w:val="center"/>
              <w:rPr>
                <w:rFonts w:ascii="宋体" w:hAnsi="宋体" w:cs="宋体"/>
                <w:szCs w:val="21"/>
              </w:rPr>
            </w:pPr>
            <w:r>
              <w:rPr>
                <w:rFonts w:hint="eastAsia" w:ascii="宋体" w:hAnsi="宋体" w:cs="宋体"/>
                <w:szCs w:val="21"/>
              </w:rPr>
              <w:t>供应链质量</w:t>
            </w:r>
          </w:p>
        </w:tc>
        <w:tc>
          <w:tcPr>
            <w:tcW w:w="500" w:type="pct"/>
            <w:vAlign w:val="center"/>
          </w:tcPr>
          <w:p>
            <w:pPr>
              <w:widowControl/>
              <w:jc w:val="center"/>
              <w:rPr>
                <w:rFonts w:ascii="宋体" w:hAnsi="宋体" w:cs="宋体"/>
                <w:szCs w:val="21"/>
              </w:rPr>
            </w:pPr>
            <w:r>
              <w:rPr>
                <w:rFonts w:hint="eastAsia" w:ascii="宋体" w:hAnsi="宋体" w:cs="宋体"/>
                <w:szCs w:val="21"/>
              </w:rPr>
              <w:t>▲抗干扰性</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0</w:t>
            </w:r>
          </w:p>
        </w:tc>
        <w:tc>
          <w:tcPr>
            <w:tcW w:w="500" w:type="pct"/>
            <w:vMerge w:val="continue"/>
            <w:vAlign w:val="center"/>
          </w:tcPr>
          <w:p>
            <w:pPr>
              <w:widowControl/>
              <w:jc w:val="center"/>
              <w:rPr>
                <w:rFonts w:ascii="宋体" w:hAnsi="宋体" w:cs="宋体"/>
                <w:szCs w:val="21"/>
              </w:rPr>
            </w:pPr>
          </w:p>
        </w:tc>
        <w:tc>
          <w:tcPr>
            <w:tcW w:w="500" w:type="pct"/>
            <w:vAlign w:val="center"/>
          </w:tcPr>
          <w:p>
            <w:pPr>
              <w:widowControl/>
              <w:jc w:val="center"/>
              <w:rPr>
                <w:rFonts w:ascii="宋体" w:hAnsi="宋体" w:cs="宋体"/>
                <w:szCs w:val="21"/>
              </w:rPr>
            </w:pPr>
            <w:r>
              <w:rPr>
                <w:rFonts w:hint="eastAsia" w:ascii="宋体" w:hAnsi="宋体" w:cs="宋体"/>
                <w:szCs w:val="21"/>
              </w:rPr>
              <w:t>▲供应能力证明</w:t>
            </w:r>
          </w:p>
        </w:tc>
        <w:tc>
          <w:tcPr>
            <w:tcW w:w="2435"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提供供应链稳定承诺书，确保产品的部件在产品服务周期内稳定供货；供应商须提供服务器主板供应商针对本次采购项目出具的供应保障函，内容须明确保障本次采购的服务器主板供应。</w:t>
            </w:r>
          </w:p>
        </w:tc>
      </w:tr>
    </w:tbl>
    <w:p>
      <w:pPr>
        <w:rPr>
          <w:color w:val="000000"/>
        </w:rPr>
      </w:pPr>
    </w:p>
    <w:p>
      <w:pPr>
        <w:pStyle w:val="5"/>
        <w:ind w:firstLine="482" w:firstLineChars="200"/>
        <w:rPr>
          <w:rFonts w:hint="eastAsia"/>
          <w:sz w:val="24"/>
          <w:szCs w:val="22"/>
          <w:lang w:val="en-US" w:eastAsia="zh-CN"/>
        </w:rPr>
      </w:pPr>
    </w:p>
    <w:p>
      <w:pPr>
        <w:pStyle w:val="5"/>
        <w:ind w:firstLine="482" w:firstLineChars="200"/>
        <w:rPr>
          <w:rFonts w:hint="eastAsia"/>
          <w:sz w:val="24"/>
          <w:szCs w:val="22"/>
          <w:lang w:val="en-US" w:eastAsia="zh-CN"/>
        </w:rPr>
      </w:pPr>
    </w:p>
    <w:p>
      <w:pPr>
        <w:rPr>
          <w:rFonts w:hint="eastAsia"/>
          <w:sz w:val="24"/>
          <w:szCs w:val="22"/>
          <w:lang w:val="en-US" w:eastAsia="zh-CN"/>
        </w:rPr>
      </w:pPr>
      <w:r>
        <w:rPr>
          <w:rFonts w:hint="eastAsia"/>
          <w:sz w:val="24"/>
          <w:szCs w:val="22"/>
          <w:lang w:val="en-US" w:eastAsia="zh-CN"/>
        </w:rPr>
        <w:br w:type="page"/>
      </w:r>
    </w:p>
    <w:p>
      <w:pPr>
        <w:pStyle w:val="5"/>
        <w:ind w:firstLine="482" w:firstLineChars="200"/>
        <w:rPr>
          <w:sz w:val="24"/>
          <w:szCs w:val="22"/>
        </w:rPr>
      </w:pPr>
      <w:r>
        <w:rPr>
          <w:rFonts w:hint="eastAsia"/>
          <w:sz w:val="24"/>
          <w:szCs w:val="22"/>
          <w:lang w:val="en-US" w:eastAsia="zh-CN"/>
        </w:rPr>
        <w:t>4.</w:t>
      </w:r>
      <w:r>
        <w:rPr>
          <w:rFonts w:hint="eastAsia"/>
          <w:sz w:val="24"/>
          <w:szCs w:val="22"/>
        </w:rPr>
        <w:t>消息队列服务器（3台）</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33"/>
        <w:gridCol w:w="533"/>
        <w:gridCol w:w="533"/>
        <w:gridCol w:w="1066"/>
        <w:gridCol w:w="1066"/>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500" w:type="pct"/>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指标</w:t>
            </w:r>
          </w:p>
        </w:tc>
        <w:tc>
          <w:tcPr>
            <w:tcW w:w="500" w:type="pct"/>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2357"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restar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消息队列服务器</w:t>
            </w:r>
          </w:p>
        </w:tc>
        <w:tc>
          <w:tcPr>
            <w:tcW w:w="250" w:type="pct"/>
            <w:vMerge w:val="restar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250" w:type="pct"/>
            <w:vMerge w:val="restar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台</w:t>
            </w: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CPU规格</w:t>
            </w: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CPU信息</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（1）配置2颗国产化ARM处理器；</w:t>
            </w:r>
          </w:p>
          <w:p>
            <w:pPr>
              <w:widowControl/>
              <w:jc w:val="left"/>
              <w:textAlignment w:val="center"/>
              <w:rPr>
                <w:rFonts w:ascii="宋体" w:hAnsi="宋体" w:cs="宋体"/>
                <w:color w:val="000000"/>
                <w:szCs w:val="21"/>
              </w:rPr>
            </w:pPr>
            <w:r>
              <w:rPr>
                <w:rFonts w:hint="eastAsia" w:ascii="宋体" w:hAnsi="宋体" w:cs="宋体"/>
                <w:color w:val="000000"/>
                <w:szCs w:val="21"/>
              </w:rPr>
              <w:t>（2）单颗CPU型号kunpeng920，单颗CPU物理核心数</w:t>
            </w:r>
            <w:r>
              <w:rPr>
                <w:rFonts w:hint="eastAsia" w:ascii="宋体" w:hAnsi="宋体" w:cs="宋体"/>
                <w:b/>
                <w:bCs/>
                <w:color w:val="000000"/>
                <w:kern w:val="0"/>
                <w:szCs w:val="21"/>
              </w:rPr>
              <w:t>≥</w:t>
            </w:r>
            <w:r>
              <w:rPr>
                <w:rFonts w:hint="eastAsia" w:ascii="宋体" w:hAnsi="宋体" w:cs="宋体"/>
                <w:color w:val="000000"/>
                <w:szCs w:val="21"/>
              </w:rPr>
              <w:t>48核、主频</w:t>
            </w:r>
            <w:r>
              <w:rPr>
                <w:rFonts w:hint="eastAsia" w:ascii="宋体" w:hAnsi="宋体" w:cs="宋体"/>
                <w:b/>
                <w:bCs/>
                <w:color w:val="000000"/>
                <w:kern w:val="0"/>
                <w:szCs w:val="21"/>
              </w:rPr>
              <w:t>≥</w:t>
            </w:r>
            <w:r>
              <w:rPr>
                <w:rFonts w:hint="eastAsia" w:ascii="宋体" w:hAnsi="宋体" w:cs="宋体"/>
                <w:color w:val="000000"/>
                <w:szCs w:val="21"/>
              </w:rPr>
              <w:t>2.6GHz、末级缓存容量</w:t>
            </w:r>
            <w:r>
              <w:rPr>
                <w:rFonts w:hint="eastAsia" w:ascii="宋体" w:hAnsi="宋体" w:cs="宋体"/>
                <w:b/>
                <w:bCs/>
                <w:color w:val="000000"/>
                <w:kern w:val="0"/>
                <w:szCs w:val="21"/>
              </w:rPr>
              <w:t>≥</w:t>
            </w:r>
            <w:r>
              <w:rPr>
                <w:rFonts w:hint="eastAsia" w:ascii="宋体" w:hAnsi="宋体" w:cs="宋体"/>
                <w:color w:val="000000"/>
                <w:szCs w:val="21"/>
              </w:rPr>
              <w:t>48MB、TDP功耗</w:t>
            </w:r>
            <w:r>
              <w:rPr>
                <w:rFonts w:hint="eastAsia" w:ascii="宋体" w:hAnsi="宋体" w:cs="宋体"/>
                <w:color w:val="000000"/>
                <w:kern w:val="0"/>
                <w:szCs w:val="21"/>
              </w:rPr>
              <w:t>≤</w:t>
            </w:r>
            <w:r>
              <w:rPr>
                <w:rFonts w:hint="eastAsia" w:ascii="宋体" w:hAnsi="宋体" w:cs="宋体"/>
                <w:color w:val="000000"/>
                <w:szCs w:val="21"/>
              </w:rPr>
              <w:t>150W、最高内存频率</w:t>
            </w:r>
            <w:r>
              <w:rPr>
                <w:rFonts w:hint="eastAsia" w:ascii="宋体" w:hAnsi="宋体" w:cs="宋体"/>
                <w:b/>
                <w:bCs/>
                <w:color w:val="000000"/>
                <w:kern w:val="0"/>
                <w:szCs w:val="21"/>
              </w:rPr>
              <w:t>≥</w:t>
            </w:r>
            <w:r>
              <w:rPr>
                <w:rFonts w:hint="eastAsia" w:ascii="宋体" w:hAnsi="宋体" w:cs="宋体"/>
                <w:color w:val="000000"/>
                <w:szCs w:val="21"/>
              </w:rPr>
              <w:t>2933MHz、内存通道数</w:t>
            </w:r>
            <w:r>
              <w:rPr>
                <w:rFonts w:hint="eastAsia" w:ascii="宋体" w:hAnsi="宋体" w:cs="宋体"/>
                <w:b/>
                <w:bCs/>
                <w:color w:val="000000"/>
                <w:kern w:val="0"/>
                <w:szCs w:val="21"/>
              </w:rPr>
              <w:t>≥</w:t>
            </w:r>
            <w:r>
              <w:rPr>
                <w:rFonts w:hint="eastAsia" w:ascii="宋体" w:hAnsi="宋体" w:cs="宋体"/>
                <w:color w:val="000000"/>
                <w:szCs w:val="21"/>
              </w:rPr>
              <w:t>8</w:t>
            </w:r>
            <w:r>
              <w:rPr>
                <w:rFonts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主板规格</w:t>
            </w: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主板支持的CPU和内存情况</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主板支持2颗</w:t>
            </w:r>
            <w:r>
              <w:rPr>
                <w:rFonts w:hint="eastAsia" w:ascii="宋体" w:hAnsi="宋体" w:cs="宋体"/>
                <w:color w:val="000000"/>
                <w:szCs w:val="21"/>
              </w:rPr>
              <w:t>kunpeng920</w:t>
            </w:r>
            <w:r>
              <w:rPr>
                <w:rFonts w:ascii="宋体" w:hAnsi="宋体" w:cs="宋体"/>
                <w:color w:val="000000"/>
                <w:szCs w:val="21"/>
              </w:rPr>
              <w:t xml:space="preserve"> CPU</w:t>
            </w:r>
            <w:r>
              <w:rPr>
                <w:rFonts w:hint="eastAsia" w:ascii="宋体" w:hAnsi="宋体" w:cs="宋体"/>
                <w:color w:val="000000"/>
                <w:szCs w:val="21"/>
              </w:rPr>
              <w:t>，内存支持</w:t>
            </w:r>
            <w:r>
              <w:rPr>
                <w:rFonts w:hint="eastAsia" w:ascii="宋体" w:hAnsi="宋体" w:cs="宋体"/>
                <w:color w:val="000000"/>
                <w:kern w:val="0"/>
                <w:szCs w:val="21"/>
              </w:rPr>
              <w:t>≥1</w:t>
            </w:r>
            <w:r>
              <w:rPr>
                <w:rFonts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主板内存槽数量</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非板载内存的可扩展插槽数量≥4个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主板存储接口</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支持SATA、SAS、M.2、U.2等存储接口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PCIe插槽接口</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符合PCIe4.0或以上的高速串行计算机扩展总线标准，PCIe的接口速率与位宽需保证向下兼容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主板PCIe插槽数量及规格</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高度≥44.45mm双路或以上服务器PCIe插槽或接口≥5个；b)单路服务器PCIe插槽或接口≥4个，可通过扩展卡进行插槽扩展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板载网络接口</w:t>
            </w:r>
          </w:p>
        </w:tc>
        <w:tc>
          <w:tcPr>
            <w:tcW w:w="2357" w:type="pct"/>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板载网络接口≥4个1GE网口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内存数量</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配置内存数量≥8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内存规格</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单条内存≥</w:t>
            </w:r>
            <w:r>
              <w:rPr>
                <w:rFonts w:ascii="宋体" w:hAnsi="宋体" w:cs="宋体"/>
                <w:color w:val="000000"/>
                <w:kern w:val="0"/>
                <w:szCs w:val="21"/>
              </w:rPr>
              <w:t xml:space="preserve">32GB </w:t>
            </w:r>
            <w:r>
              <w:rPr>
                <w:rFonts w:hint="eastAsia" w:ascii="宋体" w:hAnsi="宋体" w:cs="宋体"/>
                <w:color w:val="000000"/>
                <w:kern w:val="0"/>
                <w:szCs w:val="21"/>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内存通道</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支持多个内存接口通道，每个通道可支持1DPC或2DPC，当支持2DPC 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存储规格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硬磁盘实配容量</w:t>
            </w:r>
          </w:p>
        </w:tc>
        <w:tc>
          <w:tcPr>
            <w:tcW w:w="2357" w:type="pct"/>
            <w:shd w:val="clear" w:color="auto" w:fill="auto"/>
            <w:vAlign w:val="center"/>
          </w:tcPr>
          <w:p>
            <w:pPr>
              <w:widowControl/>
              <w:jc w:val="left"/>
              <w:textAlignment w:val="center"/>
              <w:rPr>
                <w:rFonts w:ascii="宋体" w:hAnsi="宋体" w:cs="宋体"/>
                <w:bCs/>
                <w:color w:val="000000"/>
                <w:kern w:val="0"/>
                <w:szCs w:val="21"/>
              </w:rPr>
            </w:pPr>
            <w:r>
              <w:rPr>
                <w:rFonts w:hint="eastAsia" w:ascii="宋体" w:hAnsi="宋体" w:cs="宋体"/>
                <w:bCs/>
                <w:color w:val="000000"/>
                <w:kern w:val="0"/>
                <w:szCs w:val="21"/>
              </w:rPr>
              <w:t>a)配置磁盘容量≥960GB（</w:t>
            </w:r>
            <w:r>
              <w:rPr>
                <w:rFonts w:hint="eastAsia" w:ascii="宋体" w:hAnsi="宋体" w:cs="宋体"/>
                <w:bCs/>
                <w:color w:val="000000"/>
                <w:kern w:val="0"/>
                <w:szCs w:val="21"/>
                <w:lang w:eastAsia="zh-CN"/>
              </w:rPr>
              <w:t>2*4</w:t>
            </w:r>
            <w:r>
              <w:rPr>
                <w:rFonts w:hint="eastAsia" w:ascii="宋体" w:hAnsi="宋体" w:cs="宋体"/>
                <w:bCs/>
                <w:color w:val="000000"/>
                <w:kern w:val="0"/>
                <w:szCs w:val="21"/>
              </w:rPr>
              <w:t>80GB） SSD固态硬盘；</w:t>
            </w:r>
          </w:p>
          <w:p>
            <w:pPr>
              <w:widowControl/>
              <w:jc w:val="left"/>
              <w:textAlignment w:val="center"/>
              <w:rPr>
                <w:rFonts w:ascii="宋体" w:hAnsi="宋体" w:cs="宋体"/>
                <w:color w:val="000000"/>
                <w:szCs w:val="21"/>
              </w:rPr>
            </w:pPr>
            <w:r>
              <w:rPr>
                <w:rFonts w:hint="eastAsia" w:ascii="宋体" w:hAnsi="宋体" w:cs="宋体"/>
                <w:bCs/>
                <w:color w:val="000000"/>
                <w:kern w:val="0"/>
                <w:szCs w:val="21"/>
              </w:rPr>
              <w:t>b)配置磁盘容量≥96000GB（1</w:t>
            </w:r>
            <w:r>
              <w:rPr>
                <w:rFonts w:hint="eastAsia" w:ascii="宋体" w:hAnsi="宋体" w:cs="宋体"/>
                <w:bCs/>
                <w:color w:val="000000"/>
                <w:kern w:val="0"/>
                <w:szCs w:val="21"/>
                <w:lang w:eastAsia="zh-CN"/>
              </w:rPr>
              <w:t>2*8</w:t>
            </w:r>
            <w:r>
              <w:rPr>
                <w:rFonts w:hint="eastAsia" w:ascii="宋体" w:hAnsi="宋体" w:cs="宋体"/>
                <w:bCs/>
                <w:color w:val="000000"/>
                <w:kern w:val="0"/>
                <w:szCs w:val="21"/>
              </w:rPr>
              <w:t>000GB） SATA机械硬盘。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硬磁盘实配数量</w:t>
            </w:r>
          </w:p>
        </w:tc>
        <w:tc>
          <w:tcPr>
            <w:tcW w:w="2357" w:type="pct"/>
            <w:shd w:val="clear" w:color="auto" w:fill="auto"/>
            <w:vAlign w:val="center"/>
          </w:tcPr>
          <w:p>
            <w:pPr>
              <w:widowControl/>
              <w:jc w:val="left"/>
              <w:textAlignment w:val="center"/>
              <w:rPr>
                <w:rFonts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eastAsia="zh-CN"/>
              </w:rPr>
              <w:t>2*4</w:t>
            </w:r>
            <w:r>
              <w:rPr>
                <w:rFonts w:hint="eastAsia" w:ascii="宋体" w:hAnsi="宋体" w:cs="宋体"/>
                <w:bCs/>
                <w:color w:val="000000"/>
                <w:kern w:val="0"/>
                <w:szCs w:val="21"/>
              </w:rPr>
              <w:t>80GB SSD固态硬盘；</w:t>
            </w:r>
          </w:p>
          <w:p>
            <w:pPr>
              <w:widowControl/>
              <w:jc w:val="left"/>
              <w:textAlignment w:val="center"/>
              <w:rPr>
                <w:rFonts w:ascii="宋体" w:hAnsi="宋体" w:cs="宋体"/>
                <w:color w:val="000000"/>
                <w:szCs w:val="21"/>
              </w:rPr>
            </w:pPr>
            <w:r>
              <w:rPr>
                <w:rFonts w:hint="eastAsia" w:ascii="宋体" w:hAnsi="宋体" w:cs="宋体"/>
                <w:bCs/>
                <w:color w:val="000000"/>
                <w:kern w:val="0"/>
                <w:szCs w:val="21"/>
              </w:rPr>
              <w:t>≥1</w:t>
            </w:r>
            <w:r>
              <w:rPr>
                <w:rFonts w:hint="eastAsia" w:ascii="宋体" w:hAnsi="宋体" w:cs="宋体"/>
                <w:bCs/>
                <w:color w:val="000000"/>
                <w:kern w:val="0"/>
                <w:szCs w:val="21"/>
                <w:lang w:eastAsia="zh-CN"/>
              </w:rPr>
              <w:t>2*8</w:t>
            </w:r>
            <w:r>
              <w:rPr>
                <w:rFonts w:hint="eastAsia" w:ascii="宋体" w:hAnsi="宋体" w:cs="宋体"/>
                <w:bCs/>
                <w:color w:val="000000"/>
                <w:kern w:val="0"/>
                <w:szCs w:val="21"/>
              </w:rPr>
              <w:t>000GB SATA机械硬盘。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硬盘插槽数量及规格</w:t>
            </w:r>
          </w:p>
        </w:tc>
        <w:tc>
          <w:tcPr>
            <w:tcW w:w="2357" w:type="pct"/>
            <w:shd w:val="clear" w:color="auto" w:fill="auto"/>
            <w:vAlign w:val="center"/>
          </w:tcPr>
          <w:p>
            <w:pPr>
              <w:widowControl/>
              <w:jc w:val="left"/>
              <w:textAlignment w:val="top"/>
              <w:rPr>
                <w:rFonts w:ascii="宋体" w:hAnsi="宋体" w:cs="宋体"/>
                <w:color w:val="000000"/>
                <w:szCs w:val="21"/>
              </w:rPr>
            </w:pPr>
            <w:r>
              <w:rPr>
                <w:rFonts w:hint="eastAsia" w:ascii="宋体" w:hAnsi="宋体" w:cs="宋体"/>
                <w:color w:val="000000"/>
                <w:kern w:val="0"/>
                <w:szCs w:val="21"/>
              </w:rPr>
              <w:t>a)供应商应给出配置的硬盘尺寸，如2.5英寸、3.5英寸硬磁盘；b)机箱高度为88.9mm的服务器可支持的硬盘数量</w:t>
            </w:r>
            <w:r>
              <w:rPr>
                <w:rFonts w:hint="eastAsia" w:ascii="宋体" w:hAnsi="宋体" w:cs="宋体"/>
                <w:bCs/>
                <w:color w:val="000000"/>
                <w:kern w:val="0"/>
                <w:szCs w:val="21"/>
              </w:rPr>
              <w:t>≥</w:t>
            </w:r>
            <w:r>
              <w:rPr>
                <w:rFonts w:hint="eastAsia" w:ascii="宋体" w:hAnsi="宋体" w:cs="宋体"/>
                <w:color w:val="000000"/>
                <w:kern w:val="0"/>
                <w:szCs w:val="21"/>
              </w:rPr>
              <w:t>8块，机箱高度为44.45mm的服务器可支持的硬盘数量</w:t>
            </w:r>
            <w:r>
              <w:rPr>
                <w:rFonts w:hint="eastAsia" w:ascii="宋体" w:hAnsi="宋体" w:cs="宋体"/>
                <w:bCs/>
                <w:color w:val="000000"/>
                <w:kern w:val="0"/>
                <w:szCs w:val="21"/>
              </w:rPr>
              <w:t>≥</w:t>
            </w:r>
            <w:r>
              <w:rPr>
                <w:rFonts w:hint="eastAsia" w:ascii="宋体" w:hAnsi="宋体" w:cs="宋体"/>
                <w:color w:val="000000"/>
                <w:kern w:val="0"/>
                <w:szCs w:val="21"/>
              </w:rPr>
              <w:t>4块。c)存储型服务器可支持硬盘数量</w:t>
            </w:r>
            <w:r>
              <w:rPr>
                <w:rFonts w:hint="eastAsia" w:ascii="宋体" w:hAnsi="宋体" w:cs="宋体"/>
                <w:bCs/>
                <w:color w:val="000000"/>
                <w:kern w:val="0"/>
                <w:szCs w:val="21"/>
              </w:rPr>
              <w:t>≥</w:t>
            </w:r>
            <w:r>
              <w:rPr>
                <w:rFonts w:hint="eastAsia" w:ascii="宋体" w:hAnsi="宋体" w:cs="宋体"/>
                <w:color w:val="000000"/>
                <w:kern w:val="0"/>
                <w:szCs w:val="21"/>
              </w:rPr>
              <w:t>24块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RAID卡支持的SAS接口数</w:t>
            </w:r>
          </w:p>
        </w:tc>
        <w:tc>
          <w:tcPr>
            <w:tcW w:w="2357"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网口速率和数量</w:t>
            </w:r>
          </w:p>
        </w:tc>
        <w:tc>
          <w:tcPr>
            <w:tcW w:w="2357" w:type="pct"/>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配置≥</w:t>
            </w:r>
            <w:r>
              <w:rPr>
                <w:rFonts w:ascii="宋体" w:hAnsi="宋体" w:cs="宋体"/>
                <w:bCs/>
                <w:color w:val="000000"/>
                <w:kern w:val="0"/>
                <w:szCs w:val="21"/>
              </w:rPr>
              <w:t>1</w:t>
            </w:r>
            <w:r>
              <w:rPr>
                <w:rFonts w:hint="eastAsia" w:ascii="宋体" w:hAnsi="宋体" w:cs="宋体"/>
                <w:bCs/>
                <w:color w:val="000000"/>
                <w:kern w:val="0"/>
                <w:szCs w:val="21"/>
              </w:rPr>
              <w:t>块独立双口万兆光网卡并满配光模块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外部接口规格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显示接口</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支持VGA、DP、HDMI等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USB 接口</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配备USB2.0、USB3.0等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电源模块数量</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
                <w:b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电源功率</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电源模块功率应有一定冗余，满足处理器满载时的需求，单电源模块功率≥900W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外观和结构</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a)服务器的零部件应紧固无松动，可插拔部件应可靠连接，开关、按钮和其它控制部件应灵活可靠，布局应方便使用； b) 产品表面不应有明显的凹痕、划伤、裂缝、变形和污染等。表面涂层均匀，不应起泡、龟裂、脱落和磨损，金属零部件无锈蚀及其它机械损伤； c) 产品表面说明功能的文字、符号和标志应清晰、端正且牢固； d) 应在服务器的显著位置提供运行状态的指示功能，并在随机文件中明确具体含义； e) 机架、机箱的尺寸应符合通用机柜的安装要求，插入总线插座的电路板接口外形尺寸应符合有关总线标准的规定，将机箱固定在机柜上，机箱底面最大下垂变形不得干涉相邻机体；f) 高密度服务器应给出CPU个数与机柜高度； 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尺寸（高×宽×深）</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2U机架式服务器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环境适应性</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气候环境适应性应符合GB/T9813.3的有关规定，工作温度10～ 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机械环境适应性</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机械环境适应性应符合GB/T9813.3的有关规定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噪声</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9813.3的有关规定，在产品说明中给出具体测试值塔式服务器噪声在空闲状态下不大于50dB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机柜规格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机柜尺寸</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2U机架式服务器，能安装于19英寸标准服务器机柜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500" w:type="pct"/>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主板功能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主板外部接口种类</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支持VGA、DP、HDMI、USB3.0、PS/2接口、BMC管理端口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网络功能</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计算处理</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支持通用计算及虚拟化功能。处理器需集成整型计算单元、浮点计算单元、内存控制器、I/O模块等，处理器与存储部件、网络部件、I/O 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500" w:type="pct"/>
            <w:vMerge w:val="continue"/>
            <w:shd w:val="clear" w:color="auto" w:fill="auto"/>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kern w:val="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指令集支持</w:t>
            </w:r>
          </w:p>
        </w:tc>
        <w:tc>
          <w:tcPr>
            <w:tcW w:w="2357"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支持RISC指令集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500" w:type="pct"/>
            <w:vMerge w:val="continue"/>
            <w:shd w:val="clear" w:color="auto" w:fill="auto"/>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kern w:val="0"/>
                <w:szCs w:val="21"/>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kern w:val="0"/>
                <w:szCs w:val="21"/>
              </w:rPr>
              <w:t>硬件加速</w:t>
            </w:r>
          </w:p>
        </w:tc>
        <w:tc>
          <w:tcPr>
            <w:tcW w:w="2357"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支持具备RSA/SM3/SM4/DH/MD5/AES算法硬件加解密加速能力和ZLIB/GZIP算法硬件压缩加速能力，投标方提供处理器厂商官网截图或产品文档截图。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密码算法实现</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CPU芯片应符合GM/T0008的相关规定，或芯片密码模块应符合GB/T37092或GM/T 0028的相关规定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RAID卡级别支持</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支持RAID 0/1/5/6/10/50/60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电源热插拔</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电源过流保护</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散热方式</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管理系统功能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BMC 固件基础功能</w:t>
            </w:r>
          </w:p>
        </w:tc>
        <w:tc>
          <w:tcPr>
            <w:tcW w:w="2357"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1) 支持DHCP设置网络功能；</w:t>
            </w:r>
          </w:p>
          <w:p>
            <w:pPr>
              <w:widowControl/>
              <w:rPr>
                <w:rFonts w:ascii="宋体" w:hAnsi="宋体" w:cs="宋体"/>
                <w:color w:val="000000"/>
                <w:szCs w:val="21"/>
              </w:rPr>
            </w:pPr>
            <w:r>
              <w:rPr>
                <w:rFonts w:hint="eastAsia" w:ascii="宋体" w:hAnsi="宋体" w:cs="宋体"/>
                <w:color w:val="000000"/>
                <w:szCs w:val="21"/>
              </w:rPr>
              <w:t>2)支持静态IP设置网络功能；</w:t>
            </w:r>
          </w:p>
          <w:p>
            <w:pPr>
              <w:widowControl/>
              <w:rPr>
                <w:rFonts w:ascii="宋体" w:hAnsi="宋体" w:cs="宋体"/>
                <w:color w:val="000000"/>
                <w:szCs w:val="21"/>
              </w:rPr>
            </w:pPr>
            <w:r>
              <w:rPr>
                <w:rFonts w:hint="eastAsia" w:ascii="宋体" w:hAnsi="宋体" w:cs="宋体"/>
                <w:color w:val="000000"/>
                <w:szCs w:val="21"/>
              </w:rPr>
              <w:t>3)支持设备日志记录，包括但不限于登录日志、操作日志和报警日志等功能；</w:t>
            </w:r>
          </w:p>
          <w:p>
            <w:pPr>
              <w:widowControl/>
              <w:rPr>
                <w:rFonts w:ascii="宋体" w:hAnsi="宋体" w:cs="宋体"/>
                <w:color w:val="000000"/>
                <w:szCs w:val="21"/>
              </w:rPr>
            </w:pPr>
            <w:r>
              <w:rPr>
                <w:rFonts w:hint="eastAsia" w:ascii="宋体" w:hAnsi="宋体" w:cs="宋体"/>
                <w:color w:val="000000"/>
                <w:szCs w:val="21"/>
              </w:rPr>
              <w:t>4)支持日志信息导出和记录删除功能；</w:t>
            </w:r>
          </w:p>
          <w:p>
            <w:pPr>
              <w:widowControl/>
              <w:rPr>
                <w:rFonts w:ascii="宋体" w:hAnsi="宋体" w:cs="宋体"/>
                <w:color w:val="000000"/>
                <w:szCs w:val="21"/>
              </w:rPr>
            </w:pPr>
            <w:r>
              <w:rPr>
                <w:rFonts w:hint="eastAsia" w:ascii="宋体" w:hAnsi="宋体" w:cs="宋体"/>
                <w:color w:val="000000"/>
                <w:szCs w:val="21"/>
              </w:rPr>
              <w:t>5)支持通过管理接口向外输出准确的报警信息功能；</w:t>
            </w:r>
          </w:p>
          <w:p>
            <w:pPr>
              <w:widowControl/>
              <w:rPr>
                <w:rFonts w:ascii="宋体" w:hAnsi="宋体" w:cs="宋体"/>
                <w:color w:val="000000"/>
                <w:szCs w:val="21"/>
              </w:rPr>
            </w:pPr>
            <w:r>
              <w:rPr>
                <w:rFonts w:hint="eastAsia" w:ascii="宋体" w:hAnsi="宋体" w:cs="宋体"/>
                <w:color w:val="000000"/>
                <w:szCs w:val="21"/>
              </w:rPr>
              <w:t>6)设备的BMC管理软件应能够按报</w:t>
            </w:r>
          </w:p>
          <w:p>
            <w:pPr>
              <w:widowControl/>
              <w:rPr>
                <w:rFonts w:ascii="宋体" w:hAnsi="宋体" w:cs="宋体"/>
                <w:color w:val="000000"/>
                <w:szCs w:val="21"/>
              </w:rPr>
            </w:pPr>
            <w:r>
              <w:rPr>
                <w:rFonts w:hint="eastAsia" w:ascii="宋体" w:hAnsi="宋体" w:cs="宋体"/>
                <w:color w:val="000000"/>
                <w:szCs w:val="21"/>
              </w:rPr>
              <w:t>警的严重程度进行区分；</w:t>
            </w:r>
          </w:p>
          <w:p>
            <w:pPr>
              <w:widowControl/>
              <w:rPr>
                <w:rFonts w:ascii="宋体" w:hAnsi="宋体" w:cs="宋体"/>
                <w:color w:val="000000"/>
                <w:szCs w:val="21"/>
              </w:rPr>
            </w:pPr>
            <w:r>
              <w:rPr>
                <w:rFonts w:hint="eastAsia" w:ascii="宋体" w:hAnsi="宋体" w:cs="宋体"/>
                <w:color w:val="000000"/>
                <w:szCs w:val="21"/>
              </w:rPr>
              <w:t>7)支持IPMI2.0、SNMP或Redfish 等接口功能；</w:t>
            </w:r>
          </w:p>
          <w:p>
            <w:pPr>
              <w:widowControl/>
              <w:rPr>
                <w:rFonts w:ascii="宋体" w:hAnsi="宋体" w:cs="宋体"/>
                <w:color w:val="000000"/>
                <w:szCs w:val="21"/>
              </w:rPr>
            </w:pPr>
            <w:r>
              <w:rPr>
                <w:rFonts w:hint="eastAsia" w:ascii="宋体" w:hAnsi="宋体" w:cs="宋体"/>
                <w:color w:val="000000"/>
                <w:szCs w:val="21"/>
              </w:rPr>
              <w:t>8)支持键盘、鼠标和视频的重定向、文本控制台的重定向、远程虚拟媒体、高可靠的硬件监控和管理功能；</w:t>
            </w:r>
          </w:p>
          <w:p>
            <w:pPr>
              <w:widowControl/>
              <w:rPr>
                <w:rFonts w:ascii="宋体" w:hAnsi="宋体" w:cs="宋体"/>
                <w:color w:val="000000"/>
                <w:szCs w:val="21"/>
              </w:rPr>
            </w:pPr>
            <w:r>
              <w:rPr>
                <w:rFonts w:hint="eastAsia" w:ascii="宋体" w:hAnsi="宋体" w:cs="宋体"/>
                <w:color w:val="000000"/>
                <w:szCs w:val="21"/>
              </w:rPr>
              <w:t>9)支持基于网络开启、关闭和重启设备的功能，并查询当前设备开机运行状态；</w:t>
            </w:r>
          </w:p>
          <w:p>
            <w:pPr>
              <w:widowControl/>
              <w:rPr>
                <w:rFonts w:ascii="宋体" w:hAnsi="宋体" w:cs="宋体"/>
                <w:color w:val="000000"/>
                <w:szCs w:val="21"/>
              </w:rPr>
            </w:pPr>
            <w:r>
              <w:rPr>
                <w:rFonts w:hint="eastAsia" w:ascii="宋体" w:hAnsi="宋体" w:cs="宋体"/>
                <w:color w:val="000000"/>
                <w:szCs w:val="21"/>
              </w:rPr>
              <w:t>10)支持故障提示功能，并可通过接口读取服务器故障信息；</w:t>
            </w:r>
          </w:p>
          <w:p>
            <w:pPr>
              <w:widowControl/>
              <w:rPr>
                <w:rFonts w:ascii="宋体" w:hAnsi="宋体" w:cs="宋体"/>
                <w:color w:val="000000"/>
                <w:szCs w:val="21"/>
              </w:rPr>
            </w:pPr>
            <w:r>
              <w:rPr>
                <w:rFonts w:hint="eastAsia" w:ascii="宋体" w:hAnsi="宋体" w:cs="宋体"/>
                <w:color w:val="000000"/>
                <w:szCs w:val="21"/>
              </w:rPr>
              <w:t>11)支持基于网络的固件更新功能，包括BMC和BIOS等；</w:t>
            </w:r>
          </w:p>
          <w:p>
            <w:pPr>
              <w:widowControl/>
              <w:rPr>
                <w:rFonts w:ascii="宋体" w:hAnsi="宋体" w:cs="宋体"/>
                <w:color w:val="000000"/>
                <w:szCs w:val="21"/>
              </w:rPr>
            </w:pPr>
            <w:r>
              <w:rPr>
                <w:rFonts w:hint="eastAsia" w:ascii="宋体" w:hAnsi="宋体" w:cs="宋体"/>
                <w:color w:val="000000"/>
                <w:szCs w:val="21"/>
              </w:rPr>
              <w:t>12)支持基于网络安装操作系统的功能，并可通过网络控制台访问设备；</w:t>
            </w:r>
          </w:p>
          <w:p>
            <w:pPr>
              <w:widowControl/>
              <w:rPr>
                <w:rFonts w:ascii="宋体" w:hAnsi="宋体" w:cs="宋体"/>
                <w:color w:val="000000"/>
                <w:szCs w:val="21"/>
              </w:rPr>
            </w:pPr>
            <w:r>
              <w:rPr>
                <w:rFonts w:hint="eastAsia" w:ascii="宋体" w:hAnsi="宋体" w:cs="宋体"/>
                <w:color w:val="000000"/>
                <w:szCs w:val="21"/>
              </w:rPr>
              <w:t>13)支持通过本地的硬盘或光驱等存储设备，基于网络完成设备的操作系统安装功能；</w:t>
            </w:r>
          </w:p>
          <w:p>
            <w:pPr>
              <w:widowControl/>
              <w:rPr>
                <w:rFonts w:ascii="宋体" w:hAnsi="宋体" w:cs="宋体"/>
                <w:color w:val="000000"/>
                <w:szCs w:val="21"/>
              </w:rPr>
            </w:pPr>
            <w:r>
              <w:rPr>
                <w:rFonts w:hint="eastAsia" w:ascii="宋体" w:hAnsi="宋体" w:cs="宋体"/>
                <w:color w:val="000000"/>
                <w:szCs w:val="21"/>
              </w:rPr>
              <w:t>14)支持通过浏览器打开管理界面并登录功能；</w:t>
            </w:r>
          </w:p>
          <w:p>
            <w:pPr>
              <w:widowControl/>
              <w:rPr>
                <w:rFonts w:ascii="宋体" w:hAnsi="宋体" w:cs="宋体"/>
                <w:color w:val="000000"/>
                <w:szCs w:val="21"/>
              </w:rPr>
            </w:pPr>
            <w:r>
              <w:rPr>
                <w:rFonts w:hint="eastAsia" w:ascii="宋体" w:hAnsi="宋体" w:cs="宋体"/>
                <w:color w:val="000000"/>
                <w:szCs w:val="21"/>
              </w:rPr>
              <w:t>15)支持设置口令策略功能；</w:t>
            </w:r>
          </w:p>
          <w:p>
            <w:pPr>
              <w:widowControl/>
              <w:rPr>
                <w:rFonts w:ascii="宋体" w:hAnsi="宋体" w:cs="宋体"/>
                <w:color w:val="000000"/>
                <w:szCs w:val="21"/>
              </w:rPr>
            </w:pPr>
            <w:r>
              <w:rPr>
                <w:rFonts w:hint="eastAsia" w:ascii="宋体" w:hAnsi="宋体" w:cs="宋体"/>
                <w:color w:val="000000"/>
                <w:szCs w:val="21"/>
              </w:rPr>
              <w:t>16)支持访问权限设置功能，并通过日志记录访问事件；</w:t>
            </w:r>
          </w:p>
          <w:p>
            <w:pPr>
              <w:widowControl/>
              <w:rPr>
                <w:rFonts w:ascii="宋体" w:hAnsi="宋体" w:cs="宋体"/>
                <w:color w:val="000000"/>
                <w:szCs w:val="21"/>
              </w:rPr>
            </w:pPr>
            <w:r>
              <w:rPr>
                <w:rFonts w:hint="eastAsia" w:ascii="宋体" w:hAnsi="宋体" w:cs="宋体"/>
                <w:color w:val="000000"/>
                <w:szCs w:val="21"/>
              </w:rPr>
              <w:t>17)支持对出厂默认的用户名及口令进行安全保护功能，并提供默认口令修改提示；</w:t>
            </w:r>
          </w:p>
          <w:p>
            <w:pPr>
              <w:widowControl/>
              <w:rPr>
                <w:rFonts w:ascii="宋体" w:hAnsi="宋体" w:cs="宋体"/>
                <w:color w:val="000000"/>
                <w:szCs w:val="21"/>
              </w:rPr>
            </w:pPr>
            <w:r>
              <w:rPr>
                <w:rFonts w:hint="eastAsia" w:ascii="宋体" w:hAnsi="宋体" w:cs="宋体"/>
                <w:color w:val="000000"/>
                <w:szCs w:val="21"/>
              </w:rPr>
              <w:t>18)支持读取设备主板的工作环境温度功能；</w:t>
            </w:r>
          </w:p>
          <w:p>
            <w:pPr>
              <w:widowControl/>
              <w:rPr>
                <w:rFonts w:ascii="宋体" w:hAnsi="宋体" w:cs="宋体"/>
                <w:color w:val="000000"/>
                <w:szCs w:val="21"/>
              </w:rPr>
            </w:pPr>
            <w:r>
              <w:rPr>
                <w:rFonts w:hint="eastAsia" w:ascii="宋体" w:hAnsi="宋体" w:cs="宋体"/>
                <w:color w:val="000000"/>
                <w:szCs w:val="21"/>
              </w:rPr>
              <w:t>19)支持读取服务器CPU等核心器件的温度功能；</w:t>
            </w:r>
          </w:p>
          <w:p>
            <w:pPr>
              <w:widowControl/>
              <w:rPr>
                <w:rFonts w:ascii="宋体" w:hAnsi="宋体" w:cs="宋体"/>
                <w:color w:val="000000"/>
                <w:szCs w:val="21"/>
              </w:rPr>
            </w:pPr>
            <w:r>
              <w:rPr>
                <w:rFonts w:hint="eastAsia" w:ascii="宋体" w:hAnsi="宋体" w:cs="宋体"/>
                <w:color w:val="000000"/>
                <w:szCs w:val="21"/>
              </w:rPr>
              <w:t>20)支持通过外部管理工具进行BMC参数设置的功能，并可基于网络通过外部管理工具对BMC进行管理；</w:t>
            </w:r>
          </w:p>
          <w:p>
            <w:pPr>
              <w:widowControl/>
              <w:rPr>
                <w:rFonts w:ascii="宋体" w:hAnsi="宋体" w:cs="宋体"/>
                <w:color w:val="000000"/>
                <w:szCs w:val="21"/>
              </w:rPr>
            </w:pPr>
            <w:r>
              <w:rPr>
                <w:rFonts w:hint="eastAsia" w:ascii="宋体" w:hAnsi="宋体" w:cs="宋体"/>
                <w:color w:val="000000"/>
                <w:szCs w:val="21"/>
              </w:rPr>
              <w:t>21)应支持固件版本查询、固件升级</w:t>
            </w:r>
          </w:p>
          <w:p>
            <w:pPr>
              <w:widowControl/>
              <w:rPr>
                <w:rFonts w:ascii="宋体" w:hAnsi="宋体" w:cs="宋体"/>
                <w:color w:val="000000"/>
                <w:szCs w:val="21"/>
              </w:rPr>
            </w:pPr>
            <w:r>
              <w:rPr>
                <w:rFonts w:hint="eastAsia" w:ascii="宋体" w:hAnsi="宋体" w:cs="宋体"/>
                <w:color w:val="000000"/>
                <w:szCs w:val="21"/>
              </w:rPr>
              <w:t>22)支持基于网络实现开关机和复位控制的功能；</w:t>
            </w:r>
          </w:p>
          <w:p>
            <w:pPr>
              <w:widowControl/>
              <w:rPr>
                <w:rFonts w:ascii="宋体" w:hAnsi="宋体" w:cs="宋体"/>
                <w:color w:val="000000"/>
                <w:szCs w:val="21"/>
              </w:rPr>
            </w:pPr>
            <w:r>
              <w:rPr>
                <w:rFonts w:hint="eastAsia" w:ascii="宋体" w:hAnsi="宋体" w:cs="宋体"/>
                <w:color w:val="000000"/>
                <w:szCs w:val="21"/>
              </w:rPr>
              <w:t>23)BMC启动时间应不超过180s，实现功能包括网络、IPMI、散热、传感器服务可用；</w:t>
            </w:r>
          </w:p>
          <w:p>
            <w:pPr>
              <w:widowControl/>
              <w:rPr>
                <w:rFonts w:ascii="宋体" w:hAnsi="宋体" w:cs="宋体"/>
                <w:color w:val="000000"/>
                <w:szCs w:val="21"/>
              </w:rPr>
            </w:pPr>
            <w:r>
              <w:rPr>
                <w:rFonts w:hint="eastAsia" w:ascii="宋体" w:hAnsi="宋体" w:cs="宋体"/>
                <w:color w:val="000000"/>
                <w:szCs w:val="21"/>
              </w:rPr>
              <w:t>24)支持BMC固件设置的恢复出厂功能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BIOS 固件基础功能</w:t>
            </w:r>
          </w:p>
        </w:tc>
        <w:tc>
          <w:tcPr>
            <w:tcW w:w="2357"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a）支持查看固件版本、内存信息、主板信息、处理器信息和系统时间信息功能； b）支持上电初始化界面显示CPU信息、内存信息、固件版本和部分快捷键信息功能； c）支持设置界面中英文显示切换功能；d）支持查看PCIe设备信息，SATA 设备信息功能； e）支持操作系统安装和引导功能，应并向操作系统提供计算机主板信息和服务接口； f）支持设置启动顺序，并按照设置的启动顺序启动功能； g）支持安全启动功能； h）支持设置口令、修改口令、验证口令功能； i）支持板载显示控制或独立显卡的显示控制功能； j）支持RAID识别和启动功能； k）支持串口重定向功能； l）支持固件更新功能；m）支持BIOS固件设置的恢复出厂功能； 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kern w:val="0"/>
                <w:szCs w:val="21"/>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kern w:val="0"/>
                <w:szCs w:val="21"/>
              </w:rPr>
              <w:t>BIOS软件</w:t>
            </w:r>
          </w:p>
        </w:tc>
        <w:tc>
          <w:tcPr>
            <w:tcW w:w="2357"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服务器BIOS软件须通过EAL4+认证级别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远程控制</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操作系统及驱动功能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操作系统及驱动的升级</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操作系统功能</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支持访问控制、安全审计、网络接入鉴别等功能； b) 操作系统其他功能应满足操作系统政府采购需求标准中加▲的指标要求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中文信息处理功能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中文信息处理</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 18030的有关规定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关键部件安全要求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关键部件安全要求</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CPU和操作系统等关键部件应当符合安全可靠测评要求，通过政府有关部门指定的中国信息安全测评中心和国家保密科技测评中心网站查看安全可靠测评结果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固件安全要求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故障检测</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系统安全要求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弱口令字典检查</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白名单访问控制</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支持基于时间、IP或MAC白名单访问控制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二次鉴别</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密码证书安全加密存储</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敏感信息安全加密传输</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支持使用安全的传输加密协议（如SSH或HTTPS等）传输用户的敏感信息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信息安全要求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研发过程安全</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物理安全</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物理安全</w:t>
            </w:r>
          </w:p>
        </w:tc>
        <w:tc>
          <w:tcPr>
            <w:tcW w:w="2357"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安全要求应符合GB 4943.1的规定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限用物质的限量要求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限用物质的限量要求</w:t>
            </w:r>
          </w:p>
        </w:tc>
        <w:tc>
          <w:tcPr>
            <w:tcW w:w="2357"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限用物质的限量应符合GB/T 26572 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CPU性能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CPU 主频</w:t>
            </w:r>
          </w:p>
        </w:tc>
        <w:tc>
          <w:tcPr>
            <w:tcW w:w="2357"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核数</w:t>
            </w:r>
          </w:p>
        </w:tc>
        <w:tc>
          <w:tcPr>
            <w:tcW w:w="2357"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末级缓存容量</w:t>
            </w:r>
          </w:p>
        </w:tc>
        <w:tc>
          <w:tcPr>
            <w:tcW w:w="2357"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≥48MB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内存性能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内存速率</w:t>
            </w:r>
          </w:p>
        </w:tc>
        <w:tc>
          <w:tcPr>
            <w:tcW w:w="2357"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≥2933MT/s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RAID卡性能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Raid卡缓存容量大小</w:t>
            </w:r>
          </w:p>
        </w:tc>
        <w:tc>
          <w:tcPr>
            <w:tcW w:w="2357" w:type="pct"/>
            <w:shd w:val="clear" w:color="auto" w:fill="auto"/>
            <w:noWrap/>
            <w:vAlign w:val="center"/>
          </w:tcPr>
          <w:p>
            <w:pPr>
              <w:widowControl/>
              <w:jc w:val="left"/>
              <w:textAlignment w:val="center"/>
              <w:rPr>
                <w:rFonts w:ascii="宋体" w:hAnsi="宋体" w:cs="宋体"/>
                <w:bCs/>
                <w:color w:val="000000"/>
                <w:szCs w:val="21"/>
              </w:rPr>
            </w:pPr>
            <w:r>
              <w:rPr>
                <w:rFonts w:hint="eastAsia" w:ascii="宋体" w:hAnsi="宋体" w:cs="宋体"/>
                <w:color w:val="000000"/>
                <w:kern w:val="0"/>
                <w:szCs w:val="21"/>
              </w:rPr>
              <w:t>配备RAID卡且RAID卡缓存容量</w:t>
            </w:r>
            <w:r>
              <w:rPr>
                <w:rFonts w:hint="eastAsia" w:ascii="宋体" w:hAnsi="宋体" w:cs="宋体"/>
                <w:bCs/>
                <w:color w:val="000000"/>
                <w:kern w:val="0"/>
                <w:szCs w:val="21"/>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电源能耗</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电源能耗</w:t>
            </w:r>
          </w:p>
        </w:tc>
        <w:tc>
          <w:tcPr>
            <w:tcW w:w="2357"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部件兼容性要求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内存兼容性</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适配3种及以上厂商的内存产品，且均不低于产品支持的内存规格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固态存储兼容性</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适配3种或以上厂商的固态存储产品，且均不低于产品支持的固态存储设备规格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网卡兼容性</w:t>
            </w:r>
          </w:p>
        </w:tc>
        <w:tc>
          <w:tcPr>
            <w:tcW w:w="2357"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功能卡兼容性</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内置或适配符合PCIe的功能卡，如：网络功能卡、存储功能卡及图形显示功能卡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外设兼容性</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外设兼容性</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兼容多种主流生产商的外部设备，包括显示器、键盘、鼠标、闪存盘、移动硬盘、USB光驱及KVM等，要求使用不同厂商的外部设备时，系统均能正常识别和安装驱动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软件兼容性</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数据库兼容</w:t>
            </w:r>
          </w:p>
        </w:tc>
        <w:tc>
          <w:tcPr>
            <w:tcW w:w="2357"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兼容3个及以上厂商的数据库产品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中间件兼容</w:t>
            </w:r>
          </w:p>
        </w:tc>
        <w:tc>
          <w:tcPr>
            <w:tcW w:w="2357"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兼容3个及以上厂商的中间件产品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平台软件兼容</w:t>
            </w:r>
          </w:p>
        </w:tc>
        <w:tc>
          <w:tcPr>
            <w:tcW w:w="2357"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兼容3个及以上厂商的大数据平台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整机可靠性要求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整机可靠性</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m1值（MTBF的不可接受值）</w:t>
            </w:r>
            <w:r>
              <w:rPr>
                <w:rFonts w:hint="eastAsia" w:ascii="宋体" w:hAnsi="宋体" w:cs="宋体"/>
                <w:bCs/>
                <w:color w:val="000000"/>
                <w:kern w:val="0"/>
                <w:szCs w:val="21"/>
              </w:rPr>
              <w:t>≥</w:t>
            </w:r>
            <w:r>
              <w:rPr>
                <w:rFonts w:hint="eastAsia" w:ascii="宋体" w:hAnsi="宋体" w:cs="宋体"/>
                <w:color w:val="000000"/>
                <w:kern w:val="0"/>
                <w:szCs w:val="21"/>
              </w:rPr>
              <w:t>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风扇可靠性</w:t>
            </w:r>
          </w:p>
        </w:tc>
        <w:tc>
          <w:tcPr>
            <w:tcW w:w="2357" w:type="pct"/>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风扇寿命</w:t>
            </w:r>
            <w:r>
              <w:rPr>
                <w:rFonts w:hint="eastAsia" w:ascii="宋体" w:hAnsi="宋体" w:cs="宋体"/>
                <w:bCs/>
                <w:color w:val="000000"/>
                <w:kern w:val="0"/>
                <w:szCs w:val="21"/>
              </w:rPr>
              <w:t>≥</w:t>
            </w:r>
            <w:r>
              <w:rPr>
                <w:rFonts w:hint="eastAsia" w:ascii="宋体" w:hAnsi="宋体" w:cs="宋体"/>
                <w:color w:val="000000"/>
                <w:kern w:val="0"/>
                <w:szCs w:val="21"/>
              </w:rPr>
              <w:t>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部件可靠性</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支持硬盘、电源、风扇热插拔(内置风扇除外)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包装及运输要求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标志、包装、运输和贮存</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服务响应</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服务响应</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提供电话、电子邮件、远程连接等多种形式服务；b) 提供同城4h、异地12h技术响应服务，2个工作日解决问题，对于未能解决的问题和故障应提供可行的升级方案，并提供周转设备； c) 建立全国技术服务体系和服务团体，符合专业服务体系标准要求，提供原厂中文服务； 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培训服务</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服务周期</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服务周期</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产品免费服务周期（含换件和维修）</w:t>
            </w:r>
            <w:r>
              <w:rPr>
                <w:rFonts w:hint="eastAsia" w:ascii="宋体" w:hAnsi="宋体" w:cs="宋体"/>
                <w:bCs/>
                <w:color w:val="000000"/>
                <w:kern w:val="0"/>
                <w:szCs w:val="21"/>
              </w:rPr>
              <w:t>≥</w:t>
            </w:r>
            <w:r>
              <w:rPr>
                <w:rFonts w:hint="eastAsia" w:ascii="宋体" w:hAnsi="宋体" w:cs="宋体"/>
                <w:b/>
                <w:bCs/>
                <w:color w:val="000000"/>
                <w:kern w:val="0"/>
                <w:szCs w:val="21"/>
              </w:rPr>
              <w:t>5</w:t>
            </w:r>
            <w:r>
              <w:rPr>
                <w:rFonts w:hint="eastAsia" w:ascii="宋体" w:hAnsi="宋体" w:cs="宋体"/>
                <w:color w:val="000000"/>
                <w:kern w:val="0"/>
                <w:szCs w:val="21"/>
              </w:rPr>
              <w:t>年，</w:t>
            </w:r>
            <w:r>
              <w:rPr>
                <w:rFonts w:hint="eastAsia" w:ascii="宋体" w:hAnsi="宋体" w:cs="宋体"/>
                <w:bCs/>
                <w:color w:val="000000"/>
                <w:kern w:val="0"/>
                <w:szCs w:val="21"/>
              </w:rPr>
              <w:t>包含硬盘不返还服务</w:t>
            </w:r>
            <w:r>
              <w:rPr>
                <w:rFonts w:hint="eastAsia" w:ascii="宋体" w:hAnsi="宋体" w:cs="宋体"/>
                <w:color w:val="000000"/>
                <w:kern w:val="0"/>
                <w:szCs w:val="21"/>
              </w:rPr>
              <w:t>； b) 设备停产后继续提供质量保障服务（含备品备件），服务终止时间与最后一批设备交付时间间隔</w:t>
            </w:r>
            <w:r>
              <w:rPr>
                <w:rFonts w:hint="eastAsia" w:ascii="宋体" w:hAnsi="宋体" w:cs="宋体"/>
                <w:bCs/>
                <w:color w:val="000000"/>
                <w:kern w:val="0"/>
                <w:szCs w:val="21"/>
              </w:rPr>
              <w:t>≥</w:t>
            </w:r>
            <w:r>
              <w:rPr>
                <w:rFonts w:hint="eastAsia" w:ascii="宋体" w:hAnsi="宋体" w:cs="宋体"/>
                <w:color w:val="000000"/>
                <w:kern w:val="0"/>
                <w:szCs w:val="21"/>
              </w:rPr>
              <w:t>6年； c) 产品停止服务时间应提前1年告知客户；d)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服务工具要求</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工具要求</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驱动安装升级指引</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Merge w:val="continue"/>
            <w:vAlign w:val="center"/>
          </w:tcPr>
          <w:p>
            <w:pPr>
              <w:widowControl/>
              <w:jc w:val="center"/>
              <w:textAlignment w:val="center"/>
              <w:rPr>
                <w:rFonts w:ascii="宋体" w:hAnsi="宋体" w:cs="宋体"/>
                <w:color w:val="000000"/>
                <w:kern w:val="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管理软件</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7</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增值服务</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厂家升级产品软件与扩容服务</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提供上门服务</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7*2</w:t>
            </w:r>
            <w:r>
              <w:rPr>
                <w:rFonts w:ascii="宋体" w:hAnsi="宋体" w:cs="宋体"/>
                <w:color w:val="000000"/>
                <w:kern w:val="0"/>
                <w:szCs w:val="21"/>
              </w:rPr>
              <w:t>4</w:t>
            </w:r>
            <w:r>
              <w:rPr>
                <w:rFonts w:hint="eastAsia" w:ascii="宋体" w:hAnsi="宋体" w:cs="宋体"/>
                <w:color w:val="000000"/>
                <w:kern w:val="0"/>
                <w:szCs w:val="21"/>
              </w:rPr>
              <w:t>小时上门服务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szCs w:val="21"/>
              </w:rPr>
            </w:pPr>
            <w:r>
              <w:rPr>
                <w:rFonts w:hint="eastAsia" w:ascii="宋体" w:hAnsi="宋体" w:cs="宋体"/>
                <w:szCs w:val="21"/>
              </w:rPr>
              <w:t>7</w:t>
            </w:r>
            <w:r>
              <w:rPr>
                <w:rFonts w:ascii="宋体" w:hAnsi="宋体" w:cs="宋体"/>
                <w:szCs w:val="21"/>
              </w:rPr>
              <w:t>9</w:t>
            </w:r>
          </w:p>
        </w:tc>
        <w:tc>
          <w:tcPr>
            <w:tcW w:w="500" w:type="pct"/>
            <w:vMerge w:val="restart"/>
            <w:shd w:val="clear" w:color="auto" w:fill="auto"/>
            <w:vAlign w:val="center"/>
          </w:tcPr>
          <w:p>
            <w:pPr>
              <w:widowControl/>
              <w:jc w:val="center"/>
              <w:rPr>
                <w:rFonts w:ascii="宋体" w:hAnsi="宋体" w:cs="宋体"/>
                <w:szCs w:val="21"/>
              </w:rPr>
            </w:pPr>
            <w:r>
              <w:rPr>
                <w:rFonts w:hint="eastAsia" w:ascii="宋体" w:hAnsi="宋体" w:cs="宋体"/>
                <w:szCs w:val="21"/>
              </w:rPr>
              <w:t>供应链质量</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抗干扰性</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Merge w:val="continue"/>
            <w:vAlign w:val="center"/>
          </w:tcPr>
          <w:p>
            <w:pPr>
              <w:widowControl/>
              <w:jc w:val="center"/>
              <w:textAlignment w:val="center"/>
              <w:rPr>
                <w:rFonts w:ascii="宋体" w:hAnsi="宋体" w:cs="宋体"/>
                <w:color w:val="000000"/>
                <w:szCs w:val="21"/>
              </w:rPr>
            </w:pPr>
          </w:p>
        </w:tc>
        <w:tc>
          <w:tcPr>
            <w:tcW w:w="250" w:type="pct"/>
            <w:vAlign w:val="center"/>
          </w:tcPr>
          <w:p>
            <w:pPr>
              <w:widowControl/>
              <w:jc w:val="center"/>
              <w:textAlignment w:val="center"/>
              <w:rPr>
                <w:rFonts w:ascii="宋体" w:hAnsi="宋体" w:cs="宋体"/>
                <w:szCs w:val="21"/>
              </w:rPr>
            </w:pPr>
            <w:r>
              <w:rPr>
                <w:rFonts w:hint="eastAsia" w:ascii="宋体" w:hAnsi="宋体" w:cs="宋体"/>
                <w:szCs w:val="21"/>
              </w:rPr>
              <w:t>8</w:t>
            </w:r>
            <w:r>
              <w:rPr>
                <w:rFonts w:ascii="宋体" w:hAnsi="宋体" w:cs="宋体"/>
                <w:szCs w:val="21"/>
              </w:rPr>
              <w:t>0</w:t>
            </w:r>
          </w:p>
        </w:tc>
        <w:tc>
          <w:tcPr>
            <w:tcW w:w="500" w:type="pct"/>
            <w:vMerge w:val="continue"/>
            <w:vAlign w:val="center"/>
          </w:tcPr>
          <w:p>
            <w:pPr>
              <w:widowControl/>
              <w:jc w:val="center"/>
              <w:rPr>
                <w:rFonts w:ascii="宋体" w:hAnsi="宋体" w:cs="宋体"/>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供应能力证明</w:t>
            </w:r>
          </w:p>
        </w:tc>
        <w:tc>
          <w:tcPr>
            <w:tcW w:w="2357" w:type="pct"/>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提供供应链稳定承诺书，确保产品的部件在产品服务周期内稳定供货；供应商须提供服务器主板供应商针对本次采购项目出具的供应保障函，内容须明确保障本次采购的服务器主板供应。</w:t>
            </w:r>
          </w:p>
        </w:tc>
      </w:tr>
    </w:tbl>
    <w:p>
      <w:pPr>
        <w:rPr>
          <w:rFonts w:hint="eastAsia" w:ascii="宋体" w:hAnsi="宋体" w:eastAsia="宋体" w:cs="宋体"/>
          <w:b/>
          <w:bCs/>
          <w:sz w:val="24"/>
          <w:szCs w:val="22"/>
          <w:lang w:val="en-US" w:eastAsia="zh-CN"/>
        </w:rPr>
      </w:pPr>
    </w:p>
    <w:p>
      <w:pPr>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br w:type="page"/>
      </w:r>
    </w:p>
    <w:p>
      <w:pPr>
        <w:ind w:firstLine="482" w:firstLineChars="200"/>
        <w:rPr>
          <w:rFonts w:hint="eastAsia" w:ascii="宋体" w:hAnsi="宋体" w:eastAsia="宋体" w:cs="宋体"/>
          <w:b/>
          <w:bCs/>
          <w:sz w:val="24"/>
          <w:szCs w:val="22"/>
        </w:rPr>
      </w:pPr>
      <w:r>
        <w:rPr>
          <w:rFonts w:hint="eastAsia" w:ascii="宋体" w:hAnsi="宋体" w:eastAsia="宋体" w:cs="宋体"/>
          <w:b/>
          <w:bCs/>
          <w:sz w:val="24"/>
          <w:szCs w:val="22"/>
          <w:lang w:val="en-US" w:eastAsia="zh-CN"/>
        </w:rPr>
        <w:t>5.</w:t>
      </w:r>
      <w:r>
        <w:rPr>
          <w:rFonts w:hint="eastAsia" w:ascii="宋体" w:hAnsi="宋体" w:eastAsia="宋体" w:cs="宋体"/>
          <w:b/>
          <w:bCs/>
          <w:sz w:val="24"/>
          <w:szCs w:val="22"/>
        </w:rPr>
        <w:t>数据入库服务器（2台）</w:t>
      </w:r>
    </w:p>
    <w:tbl>
      <w:tblPr>
        <w:tblStyle w:val="21"/>
        <w:tblW w:w="5000" w:type="pct"/>
        <w:jc w:val="center"/>
        <w:tblLayout w:type="fixed"/>
        <w:tblCellMar>
          <w:top w:w="0" w:type="dxa"/>
          <w:left w:w="108" w:type="dxa"/>
          <w:bottom w:w="0" w:type="dxa"/>
          <w:right w:w="108" w:type="dxa"/>
        </w:tblCellMar>
      </w:tblPr>
      <w:tblGrid>
        <w:gridCol w:w="514"/>
        <w:gridCol w:w="514"/>
        <w:gridCol w:w="514"/>
        <w:gridCol w:w="514"/>
        <w:gridCol w:w="1027"/>
        <w:gridCol w:w="1027"/>
        <w:gridCol w:w="5176"/>
      </w:tblGrid>
      <w:tr>
        <w:tblPrEx>
          <w:tblCellMar>
            <w:top w:w="0" w:type="dxa"/>
            <w:left w:w="108" w:type="dxa"/>
            <w:bottom w:w="0" w:type="dxa"/>
            <w:right w:w="108" w:type="dxa"/>
          </w:tblCellMar>
        </w:tblPrEx>
        <w:trPr>
          <w:trHeight w:val="555" w:hRule="atLeast"/>
          <w:jc w:val="center"/>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5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指标</w:t>
            </w:r>
          </w:p>
        </w:tc>
        <w:tc>
          <w:tcPr>
            <w:tcW w:w="5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2519"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CellMar>
            <w:top w:w="0" w:type="dxa"/>
            <w:left w:w="108" w:type="dxa"/>
            <w:bottom w:w="0" w:type="dxa"/>
            <w:right w:w="108" w:type="dxa"/>
          </w:tblCellMar>
        </w:tblPrEx>
        <w:trPr>
          <w:trHeight w:val="936" w:hRule="atLeast"/>
          <w:jc w:val="center"/>
        </w:trPr>
        <w:tc>
          <w:tcPr>
            <w:tcW w:w="250" w:type="pct"/>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数据入库服务器</w:t>
            </w:r>
          </w:p>
        </w:tc>
        <w:tc>
          <w:tcPr>
            <w:tcW w:w="250" w:type="pct"/>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50" w:type="pct"/>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台</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CPU信息</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（1）配置2颗国产化ARM处理器；</w:t>
            </w:r>
          </w:p>
          <w:p>
            <w:pPr>
              <w:widowControl/>
              <w:jc w:val="left"/>
              <w:textAlignment w:val="center"/>
              <w:rPr>
                <w:rFonts w:ascii="宋体" w:hAnsi="宋体" w:cs="宋体"/>
                <w:color w:val="000000"/>
                <w:szCs w:val="21"/>
              </w:rPr>
            </w:pPr>
            <w:r>
              <w:rPr>
                <w:rFonts w:hint="eastAsia" w:ascii="宋体" w:hAnsi="宋体" w:cs="宋体"/>
                <w:color w:val="000000"/>
                <w:szCs w:val="21"/>
              </w:rPr>
              <w:t>（2）单颗CPU型号kunpeng920，单颗CPU物理核心数</w:t>
            </w:r>
            <w:r>
              <w:rPr>
                <w:rFonts w:hint="eastAsia" w:ascii="宋体" w:hAnsi="宋体" w:cs="宋体"/>
                <w:color w:val="000000"/>
                <w:kern w:val="0"/>
                <w:szCs w:val="21"/>
              </w:rPr>
              <w:t>≥</w:t>
            </w:r>
            <w:r>
              <w:rPr>
                <w:rFonts w:hint="eastAsia" w:ascii="宋体" w:hAnsi="宋体" w:cs="宋体"/>
                <w:color w:val="000000"/>
                <w:szCs w:val="21"/>
              </w:rPr>
              <w:t>48核、主频</w:t>
            </w:r>
            <w:r>
              <w:rPr>
                <w:rFonts w:hint="eastAsia" w:ascii="宋体" w:hAnsi="宋体" w:cs="宋体"/>
                <w:color w:val="000000"/>
                <w:kern w:val="0"/>
                <w:szCs w:val="21"/>
              </w:rPr>
              <w:t>≥</w:t>
            </w:r>
            <w:r>
              <w:rPr>
                <w:rFonts w:hint="eastAsia" w:ascii="宋体" w:hAnsi="宋体" w:cs="宋体"/>
                <w:color w:val="000000"/>
                <w:szCs w:val="21"/>
              </w:rPr>
              <w:t>2.6GHz、末级缓存容量</w:t>
            </w:r>
            <w:r>
              <w:rPr>
                <w:rFonts w:hint="eastAsia" w:ascii="宋体" w:hAnsi="宋体" w:cs="宋体"/>
                <w:color w:val="000000"/>
                <w:kern w:val="0"/>
                <w:szCs w:val="21"/>
              </w:rPr>
              <w:t>≥</w:t>
            </w:r>
            <w:r>
              <w:rPr>
                <w:rFonts w:hint="eastAsia" w:ascii="宋体" w:hAnsi="宋体" w:cs="宋体"/>
                <w:color w:val="000000"/>
                <w:szCs w:val="21"/>
              </w:rPr>
              <w:t>48MB、TDP功耗</w:t>
            </w:r>
            <w:r>
              <w:rPr>
                <w:rFonts w:hint="eastAsia" w:ascii="宋体" w:hAnsi="宋体" w:cs="宋体"/>
                <w:color w:val="000000"/>
                <w:kern w:val="0"/>
                <w:szCs w:val="21"/>
              </w:rPr>
              <w:t>≤</w:t>
            </w:r>
            <w:r>
              <w:rPr>
                <w:rFonts w:hint="eastAsia" w:ascii="宋体" w:hAnsi="宋体" w:cs="宋体"/>
                <w:color w:val="000000"/>
                <w:szCs w:val="21"/>
              </w:rPr>
              <w:t>150W、最高内存频率</w:t>
            </w:r>
            <w:r>
              <w:rPr>
                <w:rFonts w:hint="eastAsia" w:ascii="宋体" w:hAnsi="宋体" w:cs="宋体"/>
                <w:color w:val="000000"/>
                <w:kern w:val="0"/>
                <w:szCs w:val="21"/>
              </w:rPr>
              <w:t>≥</w:t>
            </w:r>
            <w:r>
              <w:rPr>
                <w:rFonts w:hint="eastAsia" w:ascii="宋体" w:hAnsi="宋体" w:cs="宋体"/>
                <w:color w:val="000000"/>
                <w:szCs w:val="21"/>
              </w:rPr>
              <w:t>2933MHz、内存通道数</w:t>
            </w:r>
            <w:r>
              <w:rPr>
                <w:rFonts w:hint="eastAsia" w:ascii="宋体" w:hAnsi="宋体" w:cs="宋体"/>
                <w:color w:val="000000"/>
                <w:kern w:val="0"/>
                <w:szCs w:val="21"/>
              </w:rPr>
              <w:t>≥</w:t>
            </w:r>
            <w:r>
              <w:rPr>
                <w:rFonts w:hint="eastAsia" w:ascii="宋体" w:hAnsi="宋体" w:cs="宋体"/>
                <w:color w:val="000000"/>
                <w:szCs w:val="21"/>
              </w:rPr>
              <w:t>8</w:t>
            </w:r>
            <w:r>
              <w:rPr>
                <w:rFonts w:ascii="宋体" w:hAnsi="宋体" w:cs="宋体"/>
                <w:color w:val="000000"/>
                <w:szCs w:val="21"/>
              </w:rPr>
              <w:t>；</w:t>
            </w:r>
          </w:p>
        </w:tc>
      </w:tr>
      <w:tr>
        <w:tblPrEx>
          <w:tblCellMar>
            <w:top w:w="0" w:type="dxa"/>
            <w:left w:w="108" w:type="dxa"/>
            <w:bottom w:w="0" w:type="dxa"/>
            <w:right w:w="108" w:type="dxa"/>
          </w:tblCellMar>
        </w:tblPrEx>
        <w:trPr>
          <w:trHeight w:val="3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500"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主板规格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主板支持的CPU和内存情况</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主板支持2颗</w:t>
            </w:r>
            <w:r>
              <w:rPr>
                <w:rFonts w:hint="eastAsia" w:ascii="宋体" w:hAnsi="宋体" w:cs="宋体"/>
                <w:color w:val="000000"/>
                <w:szCs w:val="21"/>
              </w:rPr>
              <w:t>kunpeng920</w:t>
            </w:r>
            <w:r>
              <w:rPr>
                <w:rFonts w:ascii="宋体" w:hAnsi="宋体" w:cs="宋体"/>
                <w:color w:val="000000"/>
                <w:szCs w:val="21"/>
              </w:rPr>
              <w:t xml:space="preserve"> CPU</w:t>
            </w:r>
            <w:r>
              <w:rPr>
                <w:rFonts w:hint="eastAsia" w:ascii="宋体" w:hAnsi="宋体" w:cs="宋体"/>
                <w:color w:val="000000"/>
                <w:szCs w:val="21"/>
              </w:rPr>
              <w:t>，内存支持</w:t>
            </w:r>
            <w:r>
              <w:rPr>
                <w:rFonts w:hint="eastAsia" w:ascii="宋体" w:hAnsi="宋体" w:cs="宋体"/>
                <w:color w:val="000000"/>
                <w:kern w:val="0"/>
                <w:szCs w:val="21"/>
              </w:rPr>
              <w:t>≥1</w:t>
            </w:r>
            <w:r>
              <w:rPr>
                <w:rFonts w:ascii="宋体" w:hAnsi="宋体" w:cs="宋体"/>
                <w:color w:val="000000"/>
                <w:kern w:val="0"/>
                <w:szCs w:val="21"/>
              </w:rPr>
              <w:t>6</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50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主板内存槽数量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非板载内存的可扩展插槽数量≥4个</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50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主板存储接口</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支持SATA、SAS、M.2、U.2等存储接口</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50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PCIe插槽接口</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符合PCIe4.0或以上的高速串行计算机扩展总线标准，PCIe的接口速率与位宽需保证向下兼容</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50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主板PCIe插槽数量及规格</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高度≥44.45mm双路或以上服务器PCIe插槽或接口≥5个；b)单路服务器PCIe插槽或接口≥4个，可通过扩展卡进行插槽扩展</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50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板载网络接口</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板载网络接口应≥4个1GE网口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内存数量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配置内存数量≥8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内存规格</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单条内存≥</w:t>
            </w:r>
            <w:r>
              <w:rPr>
                <w:rFonts w:ascii="宋体" w:hAnsi="宋体" w:cs="宋体"/>
                <w:color w:val="000000"/>
                <w:kern w:val="0"/>
                <w:szCs w:val="21"/>
              </w:rPr>
              <w:t xml:space="preserve">32GB </w:t>
            </w:r>
            <w:r>
              <w:rPr>
                <w:rFonts w:hint="eastAsia" w:ascii="宋体" w:hAnsi="宋体" w:cs="宋体"/>
                <w:color w:val="000000"/>
                <w:kern w:val="0"/>
                <w:szCs w:val="21"/>
              </w:rPr>
              <w:t>DDR4</w:t>
            </w:r>
          </w:p>
        </w:tc>
      </w:tr>
      <w:tr>
        <w:tblPrEx>
          <w:tblCellMar>
            <w:top w:w="0" w:type="dxa"/>
            <w:left w:w="108" w:type="dxa"/>
            <w:bottom w:w="0" w:type="dxa"/>
            <w:right w:w="108" w:type="dxa"/>
          </w:tblCellMar>
        </w:tblPrEx>
        <w:trPr>
          <w:trHeight w:val="415"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内存通道</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支持多个内存接口通道，每个通道可支持1DPC或2DPC，当支持2DPC 时，印制电路板上应具备插槽的序号标识，具体通道数应在随机文件中明确</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存储规格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硬磁盘实配容量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kern w:val="0"/>
                <w:szCs w:val="21"/>
              </w:rPr>
            </w:pPr>
            <w:r>
              <w:rPr>
                <w:rFonts w:hint="eastAsia" w:ascii="宋体" w:hAnsi="宋体" w:cs="宋体"/>
                <w:bCs/>
                <w:color w:val="000000"/>
                <w:kern w:val="0"/>
                <w:szCs w:val="21"/>
              </w:rPr>
              <w:t>a)配置磁盘容量≥960GB（</w:t>
            </w:r>
            <w:r>
              <w:rPr>
                <w:rFonts w:hint="eastAsia" w:ascii="宋体" w:hAnsi="宋体" w:cs="宋体"/>
                <w:bCs/>
                <w:color w:val="000000"/>
                <w:kern w:val="0"/>
                <w:szCs w:val="21"/>
                <w:lang w:eastAsia="zh-CN"/>
              </w:rPr>
              <w:t>2*4</w:t>
            </w:r>
            <w:r>
              <w:rPr>
                <w:rFonts w:hint="eastAsia" w:ascii="宋体" w:hAnsi="宋体" w:cs="宋体"/>
                <w:bCs/>
                <w:color w:val="000000"/>
                <w:kern w:val="0"/>
                <w:szCs w:val="21"/>
              </w:rPr>
              <w:t>80GB） SSD固态硬盘；</w:t>
            </w:r>
          </w:p>
          <w:p>
            <w:pPr>
              <w:widowControl/>
              <w:jc w:val="left"/>
              <w:textAlignment w:val="center"/>
              <w:rPr>
                <w:rFonts w:ascii="宋体" w:hAnsi="宋体" w:cs="宋体"/>
                <w:color w:val="000000"/>
                <w:szCs w:val="21"/>
              </w:rPr>
            </w:pPr>
            <w:r>
              <w:rPr>
                <w:rFonts w:hint="eastAsia" w:ascii="宋体" w:hAnsi="宋体" w:cs="宋体"/>
                <w:bCs/>
                <w:color w:val="000000"/>
                <w:kern w:val="0"/>
                <w:szCs w:val="21"/>
              </w:rPr>
              <w:t>b)配置磁盘容量≥24000GB（</w:t>
            </w:r>
            <w:r>
              <w:rPr>
                <w:rFonts w:hint="eastAsia" w:ascii="宋体" w:hAnsi="宋体" w:cs="宋体"/>
                <w:bCs/>
                <w:color w:val="000000"/>
                <w:kern w:val="0"/>
                <w:szCs w:val="21"/>
                <w:lang w:eastAsia="zh-CN"/>
              </w:rPr>
              <w:t>4*6</w:t>
            </w:r>
            <w:r>
              <w:rPr>
                <w:rFonts w:hint="eastAsia" w:ascii="宋体" w:hAnsi="宋体" w:cs="宋体"/>
                <w:bCs/>
                <w:color w:val="000000"/>
                <w:kern w:val="0"/>
                <w:szCs w:val="21"/>
              </w:rPr>
              <w:t>000GB） SATA机械硬盘。</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硬磁盘实配数量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eastAsia="zh-CN"/>
              </w:rPr>
              <w:t>2*4</w:t>
            </w:r>
            <w:r>
              <w:rPr>
                <w:rFonts w:hint="eastAsia" w:ascii="宋体" w:hAnsi="宋体" w:cs="宋体"/>
                <w:bCs/>
                <w:color w:val="000000"/>
                <w:kern w:val="0"/>
                <w:szCs w:val="21"/>
              </w:rPr>
              <w:t>80GB SSD固态硬盘；</w:t>
            </w:r>
          </w:p>
          <w:p>
            <w:pPr>
              <w:widowControl/>
              <w:jc w:val="left"/>
              <w:textAlignment w:val="center"/>
              <w:rPr>
                <w:rFonts w:ascii="宋体" w:hAnsi="宋体" w:cs="宋体"/>
                <w:color w:val="000000"/>
                <w:szCs w:val="21"/>
              </w:rPr>
            </w:pPr>
            <w:r>
              <w:rPr>
                <w:rFonts w:hint="eastAsia" w:ascii="宋体" w:hAnsi="宋体" w:cs="宋体"/>
                <w:bCs/>
                <w:color w:val="000000"/>
                <w:kern w:val="0"/>
                <w:szCs w:val="21"/>
              </w:rPr>
              <w:t>≥</w:t>
            </w:r>
            <w:r>
              <w:rPr>
                <w:rFonts w:hint="eastAsia" w:ascii="宋体" w:hAnsi="宋体" w:cs="宋体"/>
                <w:bCs/>
                <w:color w:val="000000"/>
                <w:kern w:val="0"/>
                <w:szCs w:val="21"/>
                <w:lang w:eastAsia="zh-CN"/>
              </w:rPr>
              <w:t>4*6</w:t>
            </w:r>
            <w:r>
              <w:rPr>
                <w:rFonts w:hint="eastAsia" w:ascii="宋体" w:hAnsi="宋体" w:cs="宋体"/>
                <w:bCs/>
                <w:color w:val="000000"/>
                <w:kern w:val="0"/>
                <w:szCs w:val="21"/>
              </w:rPr>
              <w:t>000GB SATA机械硬盘。</w:t>
            </w:r>
          </w:p>
        </w:tc>
      </w:tr>
      <w:tr>
        <w:tblPrEx>
          <w:tblCellMar>
            <w:top w:w="0" w:type="dxa"/>
            <w:left w:w="108" w:type="dxa"/>
            <w:bottom w:w="0" w:type="dxa"/>
            <w:right w:w="108" w:type="dxa"/>
          </w:tblCellMar>
        </w:tblPrEx>
        <w:trPr>
          <w:trHeight w:val="95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硬盘插槽数量及规格</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top"/>
              <w:rPr>
                <w:rFonts w:ascii="宋体" w:hAnsi="宋体" w:cs="宋体"/>
                <w:color w:val="000000"/>
                <w:szCs w:val="21"/>
              </w:rPr>
            </w:pPr>
            <w:r>
              <w:rPr>
                <w:rFonts w:hint="eastAsia" w:ascii="宋体" w:hAnsi="宋体" w:cs="宋体"/>
                <w:color w:val="000000"/>
                <w:kern w:val="0"/>
                <w:szCs w:val="21"/>
              </w:rPr>
              <w:t>a)供应商应给出配置的硬盘尺寸，如2.5英寸、3.5英寸硬磁盘；b)机箱高度为88.9mm的服务器可支持的硬盘数量</w:t>
            </w:r>
            <w:r>
              <w:rPr>
                <w:rFonts w:hint="eastAsia" w:ascii="宋体" w:hAnsi="宋体" w:cs="宋体"/>
                <w:bCs/>
                <w:color w:val="000000"/>
                <w:kern w:val="0"/>
                <w:szCs w:val="21"/>
              </w:rPr>
              <w:t>≥</w:t>
            </w:r>
            <w:r>
              <w:rPr>
                <w:rFonts w:hint="eastAsia" w:ascii="宋体" w:hAnsi="宋体" w:cs="宋体"/>
                <w:color w:val="000000"/>
                <w:kern w:val="0"/>
                <w:szCs w:val="21"/>
              </w:rPr>
              <w:t xml:space="preserve"> 8块，机箱高度为44.45mm的服务器可支持的硬盘数量</w:t>
            </w:r>
            <w:r>
              <w:rPr>
                <w:rFonts w:hint="eastAsia" w:ascii="宋体" w:hAnsi="宋体" w:cs="宋体"/>
                <w:bCs/>
                <w:color w:val="000000"/>
                <w:kern w:val="0"/>
                <w:szCs w:val="21"/>
              </w:rPr>
              <w:t>≥</w:t>
            </w:r>
            <w:r>
              <w:rPr>
                <w:rFonts w:hint="eastAsia" w:ascii="宋体" w:hAnsi="宋体" w:cs="宋体"/>
                <w:color w:val="000000"/>
                <w:kern w:val="0"/>
                <w:szCs w:val="21"/>
              </w:rPr>
              <w:t>4块。c)存储型服务器可支持硬盘数量</w:t>
            </w:r>
            <w:r>
              <w:rPr>
                <w:rFonts w:hint="eastAsia" w:ascii="宋体" w:hAnsi="宋体" w:cs="宋体"/>
                <w:bCs/>
                <w:color w:val="000000"/>
                <w:kern w:val="0"/>
                <w:szCs w:val="21"/>
              </w:rPr>
              <w:t>≥</w:t>
            </w:r>
            <w:r>
              <w:rPr>
                <w:rFonts w:hint="eastAsia" w:ascii="宋体" w:hAnsi="宋体" w:cs="宋体"/>
                <w:color w:val="000000"/>
                <w:kern w:val="0"/>
                <w:szCs w:val="21"/>
              </w:rPr>
              <w:t>24块</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RAID卡支持的SAS接口数</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网口速率和数量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配置≥</w:t>
            </w:r>
            <w:r>
              <w:rPr>
                <w:rFonts w:ascii="宋体" w:hAnsi="宋体" w:cs="宋体"/>
                <w:bCs/>
                <w:color w:val="000000"/>
                <w:kern w:val="0"/>
                <w:szCs w:val="21"/>
              </w:rPr>
              <w:t>1</w:t>
            </w:r>
            <w:r>
              <w:rPr>
                <w:rFonts w:hint="eastAsia" w:ascii="宋体" w:hAnsi="宋体" w:cs="宋体"/>
                <w:bCs/>
                <w:color w:val="000000"/>
                <w:kern w:val="0"/>
                <w:szCs w:val="21"/>
              </w:rPr>
              <w:t>块独立双口万兆光网卡并满配光模块</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外部接口规格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显示接口</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支持VGA、DP、HDMI等</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USB 接口</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配备USB2.0、USB3.0等</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电源模块数量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
                <w:bCs/>
                <w:color w:val="000000"/>
                <w:kern w:val="0"/>
                <w:szCs w:val="21"/>
              </w:rPr>
              <w:t>≥2</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电源功率</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电源模块功率应有一定冗余，满足处理器满载时的需求，单电源模块功率≥900W</w:t>
            </w:r>
          </w:p>
        </w:tc>
      </w:tr>
      <w:tr>
        <w:tblPrEx>
          <w:tblCellMar>
            <w:top w:w="0" w:type="dxa"/>
            <w:left w:w="108" w:type="dxa"/>
            <w:bottom w:w="0" w:type="dxa"/>
            <w:right w:w="108" w:type="dxa"/>
          </w:tblCellMar>
        </w:tblPrEx>
        <w:trPr>
          <w:trHeight w:val="983"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外观和结构</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a)服务器的零部件应紧固无松动，可插拔部件应可靠连接，开关、按钮和其它控制部件应灵活可靠，布局应方便使用； b) 产品表面不应有明显的凹痕、划伤、裂缝、变形和污染等。表面涂层均匀，不应起泡、龟裂、脱落和磨损，金属零部件无锈蚀及其它机械损伤； c) 产品表面说明功能的文字、符号和标志应清晰、端正且牢固； d) 应在服务器的显著位置提供运行状态的指示功能，并在随机文件中明确具体含义； e) 机架、机箱的尺寸应符合通用机柜的安装要求，插入总线插座的电路板接口外形尺寸应符合有关总线标准的规定，将机箱固定在机柜上，机箱底面最大下垂变形不得干涉相邻机体；f) 高密度服务器应给出CPU个数与机柜高度； g) 服务器尺寸具体要求在随机文件中明确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尺寸（高×宽×深）</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2U机架式服务器</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环境适应性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气候环境适应性应符合GB/T9813.3的有关规定，工作温度10～ 35℃，贮存运输温度-40～55℃；工作相对湿度35%～80%，贮存运输相对湿度20％～93%（40℃）；大气压86～106kPa</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机械环境适应性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机械环境适应性应符合GB/T9813.3的有关规定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噪声</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9813.3的有关规定，在产品说明中给出具体测试值塔式服务器噪声在空闲状态下不大于50dB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机柜规格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机柜尺寸</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2U机架式服务器，能安装于19英寸标准服务器机柜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主板功能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主板外部接口种类</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支持VGA、DP、HDMI、USB3.0、PS/2接口、BMC管理端口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网络功能</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支持网络连接、网络访问、数据交换和网络管控功能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计算处理</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支持通用计算及虚拟化功能。处理器需集成整型计算单元、浮点计算单元、内存控制器、I/O模块等，处理器与存储部件、网络部件、I/O 部件等组成计算系统，提供数据处理、网络接入等计算相关功能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指令集支持</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支持RISC指令集</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kern w:val="0"/>
                <w:szCs w:val="21"/>
              </w:rPr>
              <w:t>硬件加速</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支持具备RSA/SM3/SM4/DH/MD5/AES算法硬件加解密加速能力和ZLIB/GZIP算法硬件压缩加速能力，投标方提供处理器厂商官网截图或产品文档截图。</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密码算法实现</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CPU芯片应符合GM/T0008的相关规定，或芯片密码模块应符合GB/T37092或GM/T 0028的相关规定</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RAID卡级别支持</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支持RAID 0/1/5/6/10/50/60</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电源热插拔</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整机电源模块应具备热插拔功能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电源过流保护</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支持过流及短路保护的功能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散热方式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支持风冷或液冷等散热方式</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管理系统功能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BMC 固件基础功能</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 支持DHCP设置网络功能；</w:t>
            </w:r>
          </w:p>
          <w:p>
            <w:pPr>
              <w:widowControl/>
              <w:rPr>
                <w:rFonts w:ascii="宋体" w:hAnsi="宋体" w:cs="宋体"/>
                <w:color w:val="000000"/>
                <w:szCs w:val="21"/>
              </w:rPr>
            </w:pPr>
            <w:r>
              <w:rPr>
                <w:rFonts w:hint="eastAsia" w:ascii="宋体" w:hAnsi="宋体" w:cs="宋体"/>
                <w:color w:val="000000"/>
                <w:szCs w:val="21"/>
              </w:rPr>
              <w:t>2)支持静态IP设置网络功能；</w:t>
            </w:r>
          </w:p>
          <w:p>
            <w:pPr>
              <w:widowControl/>
              <w:rPr>
                <w:rFonts w:ascii="宋体" w:hAnsi="宋体" w:cs="宋体"/>
                <w:color w:val="000000"/>
                <w:szCs w:val="21"/>
              </w:rPr>
            </w:pPr>
            <w:r>
              <w:rPr>
                <w:rFonts w:hint="eastAsia" w:ascii="宋体" w:hAnsi="宋体" w:cs="宋体"/>
                <w:color w:val="000000"/>
                <w:szCs w:val="21"/>
              </w:rPr>
              <w:t>3)支持设备日志记录，包括但不限于登录日志、操作日志和报警日志等功能；</w:t>
            </w:r>
          </w:p>
          <w:p>
            <w:pPr>
              <w:widowControl/>
              <w:rPr>
                <w:rFonts w:ascii="宋体" w:hAnsi="宋体" w:cs="宋体"/>
                <w:color w:val="000000"/>
                <w:szCs w:val="21"/>
              </w:rPr>
            </w:pPr>
            <w:r>
              <w:rPr>
                <w:rFonts w:hint="eastAsia" w:ascii="宋体" w:hAnsi="宋体" w:cs="宋体"/>
                <w:color w:val="000000"/>
                <w:szCs w:val="21"/>
              </w:rPr>
              <w:t>4)支持日志信息导出和记录删除功能；</w:t>
            </w:r>
          </w:p>
          <w:p>
            <w:pPr>
              <w:widowControl/>
              <w:rPr>
                <w:rFonts w:ascii="宋体" w:hAnsi="宋体" w:cs="宋体"/>
                <w:color w:val="000000"/>
                <w:szCs w:val="21"/>
              </w:rPr>
            </w:pPr>
            <w:r>
              <w:rPr>
                <w:rFonts w:hint="eastAsia" w:ascii="宋体" w:hAnsi="宋体" w:cs="宋体"/>
                <w:color w:val="000000"/>
                <w:szCs w:val="21"/>
              </w:rPr>
              <w:t>5)支持通过管理接口向外输出准确的报警信息功能；</w:t>
            </w:r>
          </w:p>
          <w:p>
            <w:pPr>
              <w:widowControl/>
              <w:rPr>
                <w:rFonts w:ascii="宋体" w:hAnsi="宋体" w:cs="宋体"/>
                <w:color w:val="000000"/>
                <w:szCs w:val="21"/>
              </w:rPr>
            </w:pPr>
            <w:r>
              <w:rPr>
                <w:rFonts w:hint="eastAsia" w:ascii="宋体" w:hAnsi="宋体" w:cs="宋体"/>
                <w:color w:val="000000"/>
                <w:szCs w:val="21"/>
              </w:rPr>
              <w:t>6)设备的BMC管理软件应能够按报</w:t>
            </w:r>
          </w:p>
          <w:p>
            <w:pPr>
              <w:widowControl/>
              <w:rPr>
                <w:rFonts w:ascii="宋体" w:hAnsi="宋体" w:cs="宋体"/>
                <w:color w:val="000000"/>
                <w:szCs w:val="21"/>
              </w:rPr>
            </w:pPr>
            <w:r>
              <w:rPr>
                <w:rFonts w:hint="eastAsia" w:ascii="宋体" w:hAnsi="宋体" w:cs="宋体"/>
                <w:color w:val="000000"/>
                <w:szCs w:val="21"/>
              </w:rPr>
              <w:t>警的严重程度进行区分；</w:t>
            </w:r>
          </w:p>
          <w:p>
            <w:pPr>
              <w:widowControl/>
              <w:rPr>
                <w:rFonts w:ascii="宋体" w:hAnsi="宋体" w:cs="宋体"/>
                <w:color w:val="000000"/>
                <w:szCs w:val="21"/>
              </w:rPr>
            </w:pPr>
            <w:r>
              <w:rPr>
                <w:rFonts w:hint="eastAsia" w:ascii="宋体" w:hAnsi="宋体" w:cs="宋体"/>
                <w:color w:val="000000"/>
                <w:szCs w:val="21"/>
              </w:rPr>
              <w:t>7)支持IPMI2.0、SNMP或Redfish 等接口功能；</w:t>
            </w:r>
          </w:p>
          <w:p>
            <w:pPr>
              <w:widowControl/>
              <w:rPr>
                <w:rFonts w:ascii="宋体" w:hAnsi="宋体" w:cs="宋体"/>
                <w:color w:val="000000"/>
                <w:szCs w:val="21"/>
              </w:rPr>
            </w:pPr>
            <w:r>
              <w:rPr>
                <w:rFonts w:hint="eastAsia" w:ascii="宋体" w:hAnsi="宋体" w:cs="宋体"/>
                <w:color w:val="000000"/>
                <w:szCs w:val="21"/>
              </w:rPr>
              <w:t>8)支持键盘、鼠标和视频的重定向、文本控制台的重定向、远程虚拟媒体、高可靠的硬件监控和管理功能；</w:t>
            </w:r>
          </w:p>
          <w:p>
            <w:pPr>
              <w:widowControl/>
              <w:rPr>
                <w:rFonts w:ascii="宋体" w:hAnsi="宋体" w:cs="宋体"/>
                <w:color w:val="000000"/>
                <w:szCs w:val="21"/>
              </w:rPr>
            </w:pPr>
            <w:r>
              <w:rPr>
                <w:rFonts w:hint="eastAsia" w:ascii="宋体" w:hAnsi="宋体" w:cs="宋体"/>
                <w:color w:val="000000"/>
                <w:szCs w:val="21"/>
              </w:rPr>
              <w:t>9)支持基于网络开启、关闭和重启设备的功能，并查询当前设备开机运行状态；</w:t>
            </w:r>
          </w:p>
          <w:p>
            <w:pPr>
              <w:widowControl/>
              <w:rPr>
                <w:rFonts w:ascii="宋体" w:hAnsi="宋体" w:cs="宋体"/>
                <w:color w:val="000000"/>
                <w:szCs w:val="21"/>
              </w:rPr>
            </w:pPr>
            <w:r>
              <w:rPr>
                <w:rFonts w:hint="eastAsia" w:ascii="宋体" w:hAnsi="宋体" w:cs="宋体"/>
                <w:color w:val="000000"/>
                <w:szCs w:val="21"/>
              </w:rPr>
              <w:t>10)支持故障提示功能，并可通过接口读取服务器故障信息；</w:t>
            </w:r>
          </w:p>
          <w:p>
            <w:pPr>
              <w:widowControl/>
              <w:rPr>
                <w:rFonts w:ascii="宋体" w:hAnsi="宋体" w:cs="宋体"/>
                <w:color w:val="000000"/>
                <w:szCs w:val="21"/>
              </w:rPr>
            </w:pPr>
            <w:r>
              <w:rPr>
                <w:rFonts w:hint="eastAsia" w:ascii="宋体" w:hAnsi="宋体" w:cs="宋体"/>
                <w:color w:val="000000"/>
                <w:szCs w:val="21"/>
              </w:rPr>
              <w:t>11)支持基于网络的固件更新功能，包括BMC和BIOS等；</w:t>
            </w:r>
          </w:p>
          <w:p>
            <w:pPr>
              <w:widowControl/>
              <w:rPr>
                <w:rFonts w:ascii="宋体" w:hAnsi="宋体" w:cs="宋体"/>
                <w:color w:val="000000"/>
                <w:szCs w:val="21"/>
              </w:rPr>
            </w:pPr>
            <w:r>
              <w:rPr>
                <w:rFonts w:hint="eastAsia" w:ascii="宋体" w:hAnsi="宋体" w:cs="宋体"/>
                <w:color w:val="000000"/>
                <w:szCs w:val="21"/>
              </w:rPr>
              <w:t>12)支持基于网络安装操作系统的功能，并可通过网络控制台访问设备；</w:t>
            </w:r>
          </w:p>
          <w:p>
            <w:pPr>
              <w:widowControl/>
              <w:rPr>
                <w:rFonts w:ascii="宋体" w:hAnsi="宋体" w:cs="宋体"/>
                <w:color w:val="000000"/>
                <w:szCs w:val="21"/>
              </w:rPr>
            </w:pPr>
            <w:r>
              <w:rPr>
                <w:rFonts w:hint="eastAsia" w:ascii="宋体" w:hAnsi="宋体" w:cs="宋体"/>
                <w:color w:val="000000"/>
                <w:szCs w:val="21"/>
              </w:rPr>
              <w:t>13)支持通过本地的硬盘或光驱等存储设备，基于网络完成设备的操作系统安装功能；</w:t>
            </w:r>
          </w:p>
          <w:p>
            <w:pPr>
              <w:widowControl/>
              <w:rPr>
                <w:rFonts w:ascii="宋体" w:hAnsi="宋体" w:cs="宋体"/>
                <w:color w:val="000000"/>
                <w:szCs w:val="21"/>
              </w:rPr>
            </w:pPr>
            <w:r>
              <w:rPr>
                <w:rFonts w:hint="eastAsia" w:ascii="宋体" w:hAnsi="宋体" w:cs="宋体"/>
                <w:color w:val="000000"/>
                <w:szCs w:val="21"/>
              </w:rPr>
              <w:t>14)支持通过浏览器打开管理界面并登录功能；</w:t>
            </w:r>
          </w:p>
          <w:p>
            <w:pPr>
              <w:widowControl/>
              <w:rPr>
                <w:rFonts w:ascii="宋体" w:hAnsi="宋体" w:cs="宋体"/>
                <w:color w:val="000000"/>
                <w:szCs w:val="21"/>
              </w:rPr>
            </w:pPr>
            <w:r>
              <w:rPr>
                <w:rFonts w:hint="eastAsia" w:ascii="宋体" w:hAnsi="宋体" w:cs="宋体"/>
                <w:color w:val="000000"/>
                <w:szCs w:val="21"/>
              </w:rPr>
              <w:t>15)支持设置口令策略功能；</w:t>
            </w:r>
          </w:p>
          <w:p>
            <w:pPr>
              <w:widowControl/>
              <w:rPr>
                <w:rFonts w:ascii="宋体" w:hAnsi="宋体" w:cs="宋体"/>
                <w:color w:val="000000"/>
                <w:szCs w:val="21"/>
              </w:rPr>
            </w:pPr>
            <w:r>
              <w:rPr>
                <w:rFonts w:hint="eastAsia" w:ascii="宋体" w:hAnsi="宋体" w:cs="宋体"/>
                <w:color w:val="000000"/>
                <w:szCs w:val="21"/>
              </w:rPr>
              <w:t>16)支持访问权限设置功能，并通过日志记录访问事件；</w:t>
            </w:r>
          </w:p>
          <w:p>
            <w:pPr>
              <w:widowControl/>
              <w:rPr>
                <w:rFonts w:ascii="宋体" w:hAnsi="宋体" w:cs="宋体"/>
                <w:color w:val="000000"/>
                <w:szCs w:val="21"/>
              </w:rPr>
            </w:pPr>
            <w:r>
              <w:rPr>
                <w:rFonts w:hint="eastAsia" w:ascii="宋体" w:hAnsi="宋体" w:cs="宋体"/>
                <w:color w:val="000000"/>
                <w:szCs w:val="21"/>
              </w:rPr>
              <w:t>17)支持对出厂默认的用户名及口令进行安全保护功能，并提供默认口令修改提示；</w:t>
            </w:r>
          </w:p>
          <w:p>
            <w:pPr>
              <w:widowControl/>
              <w:rPr>
                <w:rFonts w:ascii="宋体" w:hAnsi="宋体" w:cs="宋体"/>
                <w:color w:val="000000"/>
                <w:szCs w:val="21"/>
              </w:rPr>
            </w:pPr>
            <w:r>
              <w:rPr>
                <w:rFonts w:hint="eastAsia" w:ascii="宋体" w:hAnsi="宋体" w:cs="宋体"/>
                <w:color w:val="000000"/>
                <w:szCs w:val="21"/>
              </w:rPr>
              <w:t>18)支持读取设备主板的工作环境温度功能；</w:t>
            </w:r>
          </w:p>
          <w:p>
            <w:pPr>
              <w:widowControl/>
              <w:rPr>
                <w:rFonts w:ascii="宋体" w:hAnsi="宋体" w:cs="宋体"/>
                <w:color w:val="000000"/>
                <w:szCs w:val="21"/>
              </w:rPr>
            </w:pPr>
            <w:r>
              <w:rPr>
                <w:rFonts w:hint="eastAsia" w:ascii="宋体" w:hAnsi="宋体" w:cs="宋体"/>
                <w:color w:val="000000"/>
                <w:szCs w:val="21"/>
              </w:rPr>
              <w:t>19)支持读取服务器CPU等核心器件的温度功能；</w:t>
            </w:r>
          </w:p>
          <w:p>
            <w:pPr>
              <w:widowControl/>
              <w:rPr>
                <w:rFonts w:ascii="宋体" w:hAnsi="宋体" w:cs="宋体"/>
                <w:color w:val="000000"/>
                <w:szCs w:val="21"/>
              </w:rPr>
            </w:pPr>
            <w:r>
              <w:rPr>
                <w:rFonts w:hint="eastAsia" w:ascii="宋体" w:hAnsi="宋体" w:cs="宋体"/>
                <w:color w:val="000000"/>
                <w:szCs w:val="21"/>
              </w:rPr>
              <w:t>20)支持通过外部管理工具进行BMC参数设置的功能，并可基于网络通过外部管理工具对BMC进行管理；</w:t>
            </w:r>
          </w:p>
          <w:p>
            <w:pPr>
              <w:widowControl/>
              <w:rPr>
                <w:rFonts w:ascii="宋体" w:hAnsi="宋体" w:cs="宋体"/>
                <w:color w:val="000000"/>
                <w:szCs w:val="21"/>
              </w:rPr>
            </w:pPr>
            <w:r>
              <w:rPr>
                <w:rFonts w:hint="eastAsia" w:ascii="宋体" w:hAnsi="宋体" w:cs="宋体"/>
                <w:color w:val="000000"/>
                <w:szCs w:val="21"/>
              </w:rPr>
              <w:t>21)应支持固件版本查询、固件升级</w:t>
            </w:r>
          </w:p>
          <w:p>
            <w:pPr>
              <w:widowControl/>
              <w:rPr>
                <w:rFonts w:ascii="宋体" w:hAnsi="宋体" w:cs="宋体"/>
                <w:color w:val="000000"/>
                <w:szCs w:val="21"/>
              </w:rPr>
            </w:pPr>
            <w:r>
              <w:rPr>
                <w:rFonts w:hint="eastAsia" w:ascii="宋体" w:hAnsi="宋体" w:cs="宋体"/>
                <w:color w:val="000000"/>
                <w:szCs w:val="21"/>
              </w:rPr>
              <w:t>22)支持基于网络实现开关机和复位控制的功能；</w:t>
            </w:r>
          </w:p>
          <w:p>
            <w:pPr>
              <w:widowControl/>
              <w:rPr>
                <w:rFonts w:ascii="宋体" w:hAnsi="宋体" w:cs="宋体"/>
                <w:color w:val="000000"/>
                <w:szCs w:val="21"/>
              </w:rPr>
            </w:pPr>
            <w:r>
              <w:rPr>
                <w:rFonts w:hint="eastAsia" w:ascii="宋体" w:hAnsi="宋体" w:cs="宋体"/>
                <w:color w:val="000000"/>
                <w:szCs w:val="21"/>
              </w:rPr>
              <w:t>23)BMC启动时间应不超过180s，实现功能包括网络、IPMI、散热、传感器服务可用；</w:t>
            </w:r>
          </w:p>
          <w:p>
            <w:pPr>
              <w:widowControl/>
              <w:rPr>
                <w:rFonts w:ascii="宋体" w:hAnsi="宋体" w:cs="宋体"/>
                <w:color w:val="000000"/>
                <w:szCs w:val="21"/>
              </w:rPr>
            </w:pPr>
            <w:r>
              <w:rPr>
                <w:rFonts w:hint="eastAsia" w:ascii="宋体" w:hAnsi="宋体" w:cs="宋体"/>
                <w:color w:val="000000"/>
                <w:szCs w:val="21"/>
              </w:rPr>
              <w:t>24)支持BMC固件设置的恢复出厂功能</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BIOS 固件基础功能</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a）支持查看固件版本、内存信息、主板信息、处理器信息和系统时间信息功能； b）支持上电初始化界面显示CPU信息、内存信息、固件版本和部分快捷键信息功能； c）支持设置界面中英文显示切换功能；d）支持查看PCIe设备信息，SATA 设备信息功能； e）支持操作系统安装和引导功能，应并向操作系统提供计算机主板信息和服务接口； f）支持设置启动顺序，并按照设置的启动顺序启动功能； g）支持安全启动功能； h）支持设置口令、修改口令、验证口令功能； i）支持板载显示控制或独立显卡的显示控制功能； j）支持RAID识别和启动功能； k）支持串口重定向功能； l）支持固件更新功能；m）支持BIOS固件设置的恢复出厂功能； n）支持网络引导启用和关闭功能</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kern w:val="0"/>
                <w:szCs w:val="21"/>
              </w:rPr>
              <w:t>BIOS软件</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服务器BIOS软件须通过EAL4+认证级别</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远程控制</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支持远程关机和重新启动功能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操作系统及驱动功能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操作系统及驱动的升级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支持通过网络、闪存盘对操作系统、驱动进行升级</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操作系统功能</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支持访问控制、安全审计、网络接入鉴别等功能； b) 操作系统其他功能应满足操作系统政府采购需求标准中加▲的指标要求</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中文信息处理功能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中文信息处理</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 18030的有关规定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关键部件安全要求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关键部件安全要求</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CPU和操作系统等关键部件应当符合安全可靠测评要求，通过政府有关部门指定的中国信息安全测评中心和国家保密科技测评中心网站查看安全可靠测评结果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固件安全要求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故障检测</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支持故障检测功能，可以检测到具体的FRU（内存、硬盘等）的故障并发出告警</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系统安全要求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弱口令字典检查</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支持弱口令字典检查功能，出现在弱口令字典中的字符串不能被设置为用户口令</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白名单访问控制</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支持基于时间、IP或MAC白名单访问控制</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二次鉴别</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支持二次鉴别功能。对于用户配置、权限配置、公钥导入等重要的管理操作，已登录用户应通过二次鉴别后，才能执行操作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密码证书安全加密存储</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支持对带外管理系统中的用户口令和证书等敏感信息进行加密存储，禁止使用私有的和业界已知不安全的密码算法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敏感信息安全加密传输</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支持使用安全的传输加密协议（如SSH或HTTPS等）传输用户的敏感信息</w:t>
            </w:r>
          </w:p>
        </w:tc>
      </w:tr>
      <w:tr>
        <w:tblPrEx>
          <w:tblCellMar>
            <w:top w:w="0" w:type="dxa"/>
            <w:left w:w="108" w:type="dxa"/>
            <w:bottom w:w="0" w:type="dxa"/>
            <w:right w:w="108" w:type="dxa"/>
          </w:tblCellMar>
        </w:tblPrEx>
        <w:trPr>
          <w:trHeight w:val="499"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信息安全要求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研发过程安全</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物理安全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物理安全</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安全要求应符合GB 4943.1的规定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限用物质的限量要求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限用物质的限量要求</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限用物质的限量应符合GB/T 26572 的要求</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CPU 主频</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≥2.6GHz</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核数</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≥48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末级缓存容量</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≥48MB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内存速率</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≥2933MT/s</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Raid卡缓存容量大小</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bCs/>
                <w:color w:val="000000"/>
                <w:szCs w:val="21"/>
              </w:rPr>
            </w:pPr>
            <w:r>
              <w:rPr>
                <w:rFonts w:hint="eastAsia" w:ascii="宋体" w:hAnsi="宋体" w:cs="宋体"/>
                <w:color w:val="000000"/>
                <w:kern w:val="0"/>
                <w:szCs w:val="21"/>
              </w:rPr>
              <w:t>配备RAID卡且RAID卡缓存容量</w:t>
            </w:r>
            <w:r>
              <w:rPr>
                <w:rFonts w:hint="eastAsia" w:ascii="宋体" w:hAnsi="宋体" w:cs="宋体"/>
                <w:bCs/>
                <w:color w:val="000000"/>
                <w:kern w:val="0"/>
                <w:szCs w:val="21"/>
              </w:rPr>
              <w:t>≥4GB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电源能耗</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电源能耗</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9813.3的有关规定</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部件兼容性要求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内存兼容性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适配3种及以上厂商的内存产品，且均不低于产品支持的内存规格</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固态存储兼容性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适配3种或以上厂商的固态存储产品，且均不低于产品支持的固态存储设备规格</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网卡兼容性</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网卡应适配两种或以上厂商产品</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功能卡兼容性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内置或适配符合PCIe的功能卡，如：网络功能卡、存储功能卡及图形显示功能卡</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外设兼容性</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外设兼容性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兼容多种主流生产商的外部设备，包括显示器、键盘、鼠标、闪存盘、移动硬盘、USB光驱及KVM等，要求使用不同厂商的外部设备时，系统均能正常识别和安装驱动</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软件兼容性</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数据库兼容</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兼容3个及以上厂商的数据库产品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中间件兼容</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兼容3个及以上厂商的中间件产品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平台软件兼容</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兼容3个及以上厂商的大数据平台</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整机可靠性要求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整机可靠性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m1值（MTBF的不可接受值）</w:t>
            </w:r>
            <w:r>
              <w:rPr>
                <w:rFonts w:hint="eastAsia" w:ascii="宋体" w:hAnsi="宋体" w:cs="宋体"/>
                <w:bCs/>
                <w:color w:val="000000"/>
                <w:kern w:val="0"/>
                <w:szCs w:val="21"/>
              </w:rPr>
              <w:t>≥</w:t>
            </w:r>
            <w:r>
              <w:rPr>
                <w:rFonts w:hint="eastAsia" w:ascii="宋体" w:hAnsi="宋体" w:cs="宋体"/>
                <w:color w:val="000000"/>
                <w:kern w:val="0"/>
                <w:szCs w:val="21"/>
              </w:rPr>
              <w:t>30000h</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风扇可靠性</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风扇寿命</w:t>
            </w:r>
            <w:r>
              <w:rPr>
                <w:rFonts w:hint="eastAsia" w:ascii="宋体" w:hAnsi="宋体" w:cs="宋体"/>
                <w:bCs/>
                <w:color w:val="000000"/>
                <w:kern w:val="0"/>
                <w:szCs w:val="21"/>
              </w:rPr>
              <w:t>≥</w:t>
            </w:r>
            <w:r>
              <w:rPr>
                <w:rFonts w:hint="eastAsia" w:ascii="宋体" w:hAnsi="宋体" w:cs="宋体"/>
                <w:color w:val="000000"/>
                <w:kern w:val="0"/>
                <w:szCs w:val="21"/>
              </w:rPr>
              <w:t>40000h</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部件可靠性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支持硬盘、电源、风扇热插拔(内置风扇除外)</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包装及运输要求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标志、包装、运输和贮存</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9813.3和商品包装政府采购需求标准的相关规定</w:t>
            </w:r>
          </w:p>
        </w:tc>
      </w:tr>
      <w:tr>
        <w:tblPrEx>
          <w:tblCellMar>
            <w:top w:w="0" w:type="dxa"/>
            <w:left w:w="108" w:type="dxa"/>
            <w:bottom w:w="0" w:type="dxa"/>
            <w:right w:w="108" w:type="dxa"/>
          </w:tblCellMar>
        </w:tblPrEx>
        <w:trPr>
          <w:trHeight w:val="983"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服务响应</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服务响应</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提供电话、电子邮件、远程连接等多种形式服务；b) 提供同城4h、异地12h技术响应服务，2个工作日解决问题，对于未能解决的问题和故障应提供可行的升级方案，并提供周转设备； c) 建立全国技术服务体系和服务团体，符合专业服务体系标准要求，提供原厂中文服务； d) 服务周期内提供产品的维修、换件和升级服务</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培训服务</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提供培训材料、产品手册、培训视频等培训相关内容</w:t>
            </w:r>
          </w:p>
        </w:tc>
      </w:tr>
      <w:tr>
        <w:tblPrEx>
          <w:tblCellMar>
            <w:top w:w="0" w:type="dxa"/>
            <w:left w:w="108" w:type="dxa"/>
            <w:bottom w:w="0" w:type="dxa"/>
            <w:right w:w="108" w:type="dxa"/>
          </w:tblCellMar>
        </w:tblPrEx>
        <w:trPr>
          <w:trHeight w:val="1248"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服务周期</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服务周期</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产品免费服务周期（含换件和维修）</w:t>
            </w:r>
            <w:r>
              <w:rPr>
                <w:rFonts w:hint="eastAsia" w:ascii="宋体" w:hAnsi="宋体" w:cs="宋体"/>
                <w:bCs/>
                <w:color w:val="000000"/>
                <w:kern w:val="0"/>
                <w:szCs w:val="21"/>
              </w:rPr>
              <w:t>≥</w:t>
            </w:r>
            <w:r>
              <w:rPr>
                <w:rFonts w:hint="eastAsia" w:ascii="宋体" w:hAnsi="宋体" w:cs="宋体"/>
                <w:b/>
                <w:bCs/>
                <w:color w:val="000000"/>
                <w:kern w:val="0"/>
                <w:szCs w:val="21"/>
              </w:rPr>
              <w:t>5</w:t>
            </w:r>
            <w:r>
              <w:rPr>
                <w:rFonts w:hint="eastAsia" w:ascii="宋体" w:hAnsi="宋体" w:cs="宋体"/>
                <w:color w:val="000000"/>
                <w:kern w:val="0"/>
                <w:szCs w:val="21"/>
              </w:rPr>
              <w:t>年，</w:t>
            </w:r>
            <w:r>
              <w:rPr>
                <w:rFonts w:hint="eastAsia" w:ascii="宋体" w:hAnsi="宋体" w:cs="宋体"/>
                <w:bCs/>
                <w:color w:val="000000"/>
                <w:kern w:val="0"/>
                <w:szCs w:val="21"/>
              </w:rPr>
              <w:t>包含硬盘不返还服务</w:t>
            </w:r>
            <w:r>
              <w:rPr>
                <w:rFonts w:hint="eastAsia" w:ascii="宋体" w:hAnsi="宋体" w:cs="宋体"/>
                <w:color w:val="000000"/>
                <w:kern w:val="0"/>
                <w:szCs w:val="21"/>
              </w:rPr>
              <w:t>； b) 设备停产后继续提供质量保障服务（含备品备件），服务终止时间与最后一批设备交付时间间隔</w:t>
            </w:r>
            <w:r>
              <w:rPr>
                <w:rFonts w:hint="eastAsia" w:ascii="宋体" w:hAnsi="宋体" w:cs="宋体"/>
                <w:bCs/>
                <w:color w:val="000000"/>
                <w:kern w:val="0"/>
                <w:szCs w:val="21"/>
              </w:rPr>
              <w:t>≥</w:t>
            </w:r>
            <w:r>
              <w:rPr>
                <w:rFonts w:hint="eastAsia" w:ascii="宋体" w:hAnsi="宋体" w:cs="宋体"/>
                <w:color w:val="000000"/>
                <w:kern w:val="0"/>
                <w:szCs w:val="21"/>
              </w:rPr>
              <w:t>6年； c) 产品停止服务时间应提前1年告知客户；d) 产品发布日期需在随机文件中明确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服务工具要求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▲工具要求</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提供设置服务器硬件、辅助操作系统安装等功能的辅助工具和管理软件。且随附软件应具有合法授权或版权</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▲驱动安装升级指引</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提供出厂安装的配件所需的驱动程序，形式包括但不限于驱动光盘、驱动下载链接等。其他配件应提供指引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▲管理软件</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具备资源管理、系统管理、性能监控、健康监控、基于网络控制、报警设置功能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增值服务</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▲厂家升级产品软件与扩容服务</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提供原厂级的部件/软件产品升级和扩容能力</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▲提供上门服务</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7*2</w:t>
            </w:r>
            <w:r>
              <w:rPr>
                <w:rFonts w:ascii="宋体" w:hAnsi="宋体" w:cs="宋体"/>
                <w:color w:val="000000"/>
                <w:kern w:val="0"/>
                <w:szCs w:val="21"/>
              </w:rPr>
              <w:t>4</w:t>
            </w:r>
            <w:r>
              <w:rPr>
                <w:rFonts w:hint="eastAsia" w:ascii="宋体" w:hAnsi="宋体" w:cs="宋体"/>
                <w:color w:val="000000"/>
                <w:kern w:val="0"/>
                <w:szCs w:val="21"/>
              </w:rPr>
              <w:t>小时上门服务</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供应链质量</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▲抗干扰性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当产品部件出现供应风险时，应通知客户并提供风险应对方案确保产品的服务保障，必要时应停止相关受影响产品的销售</w:t>
            </w:r>
          </w:p>
        </w:tc>
      </w:tr>
      <w:tr>
        <w:tblPrEx>
          <w:tblCellMar>
            <w:top w:w="0" w:type="dxa"/>
            <w:left w:w="108" w:type="dxa"/>
            <w:bottom w:w="0" w:type="dxa"/>
            <w:right w:w="108" w:type="dxa"/>
          </w:tblCellMar>
        </w:tblPrEx>
        <w:trPr>
          <w:trHeight w:val="381" w:hRule="atLeast"/>
          <w:jc w:val="center"/>
        </w:trPr>
        <w:tc>
          <w:tcPr>
            <w:tcW w:w="250"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▲供应能力证明</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提供供应链稳定承诺书，确保产品的部件在产品服务周期内稳定供货；供应商须提供服务器主板供应商针对本次采购项目出具的供应保障函，内容须明确保障本次采购的服务器主板供应。</w:t>
            </w:r>
          </w:p>
        </w:tc>
      </w:tr>
    </w:tbl>
    <w:p>
      <w:pPr>
        <w:rPr>
          <w:color w:val="000000"/>
        </w:rPr>
      </w:pPr>
    </w:p>
    <w:p>
      <w:pPr>
        <w:pStyle w:val="2"/>
      </w:pPr>
      <w:r>
        <w:br w:type="page"/>
      </w:r>
    </w:p>
    <w:p>
      <w:pPr>
        <w:pStyle w:val="5"/>
        <w:ind w:firstLine="482" w:firstLineChars="200"/>
        <w:rPr>
          <w:sz w:val="24"/>
          <w:szCs w:val="22"/>
        </w:rPr>
      </w:pPr>
      <w:r>
        <w:rPr>
          <w:rFonts w:hint="eastAsia"/>
          <w:sz w:val="24"/>
          <w:szCs w:val="22"/>
          <w:lang w:val="en-US" w:eastAsia="zh-CN"/>
        </w:rPr>
        <w:t>6.</w:t>
      </w:r>
      <w:r>
        <w:rPr>
          <w:sz w:val="24"/>
          <w:szCs w:val="22"/>
        </w:rPr>
        <w:t>大规模并行计算分析服务器（</w:t>
      </w:r>
      <w:r>
        <w:rPr>
          <w:rFonts w:hint="eastAsia"/>
          <w:sz w:val="24"/>
          <w:szCs w:val="22"/>
        </w:rPr>
        <w:t>5台</w:t>
      </w:r>
      <w:r>
        <w:rPr>
          <w:sz w:val="24"/>
          <w:szCs w:val="22"/>
        </w:rPr>
        <w:t>）</w:t>
      </w:r>
    </w:p>
    <w:tbl>
      <w:tblPr>
        <w:tblStyle w:val="21"/>
        <w:tblW w:w="5000" w:type="pct"/>
        <w:jc w:val="center"/>
        <w:tblLayout w:type="fixed"/>
        <w:tblCellMar>
          <w:top w:w="0" w:type="dxa"/>
          <w:left w:w="108" w:type="dxa"/>
          <w:bottom w:w="0" w:type="dxa"/>
          <w:right w:w="108" w:type="dxa"/>
        </w:tblCellMar>
      </w:tblPr>
      <w:tblGrid>
        <w:gridCol w:w="523"/>
        <w:gridCol w:w="523"/>
        <w:gridCol w:w="523"/>
        <w:gridCol w:w="523"/>
        <w:gridCol w:w="1047"/>
        <w:gridCol w:w="1047"/>
        <w:gridCol w:w="5100"/>
      </w:tblGrid>
      <w:tr>
        <w:tblPrEx>
          <w:tblCellMar>
            <w:top w:w="0" w:type="dxa"/>
            <w:left w:w="108" w:type="dxa"/>
            <w:bottom w:w="0" w:type="dxa"/>
            <w:right w:w="108" w:type="dxa"/>
          </w:tblCellMar>
        </w:tblPrEx>
        <w:trPr>
          <w:trHeight w:val="555" w:hRule="atLeast"/>
          <w:jc w:val="center"/>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5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指标</w:t>
            </w:r>
          </w:p>
        </w:tc>
        <w:tc>
          <w:tcPr>
            <w:tcW w:w="5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2436"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CellMar>
            <w:top w:w="0" w:type="dxa"/>
            <w:left w:w="108" w:type="dxa"/>
            <w:bottom w:w="0" w:type="dxa"/>
            <w:right w:w="108" w:type="dxa"/>
          </w:tblCellMar>
        </w:tblPrEx>
        <w:trPr>
          <w:trHeight w:val="936" w:hRule="atLeast"/>
          <w:jc w:val="center"/>
        </w:trPr>
        <w:tc>
          <w:tcPr>
            <w:tcW w:w="250" w:type="pct"/>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大规模并行计算分析服务器</w:t>
            </w:r>
          </w:p>
        </w:tc>
        <w:tc>
          <w:tcPr>
            <w:tcW w:w="250" w:type="pct"/>
            <w:vMerge w:val="restart"/>
            <w:tcBorders>
              <w:top w:val="single" w:color="auto" w:sz="4" w:space="0"/>
              <w:left w:val="single" w:color="auto" w:sz="4" w:space="0"/>
              <w:right w:val="single" w:color="auto" w:sz="4" w:space="0"/>
            </w:tcBorders>
            <w:vAlign w:val="center"/>
          </w:tcPr>
          <w:p>
            <w:pPr>
              <w:widowControl/>
              <w:textAlignment w:val="center"/>
              <w:rPr>
                <w:rFonts w:ascii="宋体" w:hAnsi="宋体" w:cs="宋体"/>
                <w:color w:val="000000"/>
                <w:kern w:val="0"/>
                <w:szCs w:val="21"/>
              </w:rPr>
            </w:pPr>
            <w:r>
              <w:rPr>
                <w:rFonts w:ascii="宋体" w:hAnsi="宋体" w:cs="宋体"/>
                <w:color w:val="000000"/>
                <w:kern w:val="0"/>
                <w:szCs w:val="21"/>
              </w:rPr>
              <w:t>5</w:t>
            </w:r>
          </w:p>
        </w:tc>
        <w:tc>
          <w:tcPr>
            <w:tcW w:w="250" w:type="pct"/>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台</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CPU信息</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（1）配置2颗国产化ARM处理器；</w:t>
            </w:r>
          </w:p>
          <w:p>
            <w:pPr>
              <w:widowControl/>
              <w:jc w:val="left"/>
              <w:textAlignment w:val="center"/>
              <w:rPr>
                <w:rFonts w:ascii="宋体" w:hAnsi="宋体" w:cs="宋体"/>
                <w:color w:val="000000"/>
                <w:szCs w:val="21"/>
              </w:rPr>
            </w:pPr>
            <w:r>
              <w:rPr>
                <w:rFonts w:hint="eastAsia" w:ascii="宋体" w:hAnsi="宋体" w:cs="宋体"/>
                <w:color w:val="000000"/>
                <w:szCs w:val="21"/>
              </w:rPr>
              <w:t>（2）单颗CPU型号kunpeng920，单颗CPU物理核心数</w:t>
            </w:r>
            <w:r>
              <w:rPr>
                <w:rFonts w:hint="eastAsia" w:ascii="宋体" w:hAnsi="宋体" w:cs="宋体"/>
                <w:bCs/>
                <w:color w:val="000000"/>
                <w:kern w:val="0"/>
                <w:szCs w:val="21"/>
              </w:rPr>
              <w:t>≥</w:t>
            </w:r>
            <w:r>
              <w:rPr>
                <w:rFonts w:hint="eastAsia" w:ascii="宋体" w:hAnsi="宋体" w:cs="宋体"/>
                <w:color w:val="000000"/>
                <w:szCs w:val="21"/>
              </w:rPr>
              <w:t>48核、主频</w:t>
            </w:r>
            <w:r>
              <w:rPr>
                <w:rFonts w:hint="eastAsia" w:ascii="宋体" w:hAnsi="宋体" w:cs="宋体"/>
                <w:bCs/>
                <w:color w:val="000000"/>
                <w:kern w:val="0"/>
                <w:szCs w:val="21"/>
              </w:rPr>
              <w:t>≥</w:t>
            </w:r>
            <w:r>
              <w:rPr>
                <w:rFonts w:hint="eastAsia" w:ascii="宋体" w:hAnsi="宋体" w:cs="宋体"/>
                <w:color w:val="000000"/>
                <w:szCs w:val="21"/>
              </w:rPr>
              <w:t>2.6GHz、末级缓存容量</w:t>
            </w:r>
            <w:r>
              <w:rPr>
                <w:rFonts w:hint="eastAsia" w:ascii="宋体" w:hAnsi="宋体" w:cs="宋体"/>
                <w:bCs/>
                <w:color w:val="000000"/>
                <w:kern w:val="0"/>
                <w:szCs w:val="21"/>
              </w:rPr>
              <w:t>≥</w:t>
            </w:r>
            <w:r>
              <w:rPr>
                <w:rFonts w:hint="eastAsia" w:ascii="宋体" w:hAnsi="宋体" w:cs="宋体"/>
                <w:color w:val="000000"/>
                <w:szCs w:val="21"/>
              </w:rPr>
              <w:t>48MB、TDP功耗</w:t>
            </w:r>
            <w:r>
              <w:rPr>
                <w:rFonts w:hint="eastAsia" w:ascii="宋体" w:hAnsi="宋体" w:cs="宋体"/>
                <w:color w:val="000000"/>
                <w:kern w:val="0"/>
                <w:szCs w:val="21"/>
              </w:rPr>
              <w:t>≤</w:t>
            </w:r>
            <w:r>
              <w:rPr>
                <w:rFonts w:hint="eastAsia" w:ascii="宋体" w:hAnsi="宋体" w:cs="宋体"/>
                <w:color w:val="000000"/>
                <w:szCs w:val="21"/>
              </w:rPr>
              <w:t>150W、最高内存频率</w:t>
            </w:r>
            <w:r>
              <w:rPr>
                <w:rFonts w:hint="eastAsia" w:ascii="宋体" w:hAnsi="宋体" w:cs="宋体"/>
                <w:bCs/>
                <w:color w:val="000000"/>
                <w:kern w:val="0"/>
                <w:szCs w:val="21"/>
              </w:rPr>
              <w:t>≥</w:t>
            </w:r>
            <w:r>
              <w:rPr>
                <w:rFonts w:hint="eastAsia" w:ascii="宋体" w:hAnsi="宋体" w:cs="宋体"/>
                <w:color w:val="000000"/>
                <w:szCs w:val="21"/>
              </w:rPr>
              <w:t>2933MHz、内存通道数</w:t>
            </w:r>
            <w:r>
              <w:rPr>
                <w:rFonts w:hint="eastAsia" w:ascii="宋体" w:hAnsi="宋体" w:cs="宋体"/>
                <w:bCs/>
                <w:color w:val="000000"/>
                <w:kern w:val="0"/>
                <w:szCs w:val="21"/>
              </w:rPr>
              <w:t>≥</w:t>
            </w:r>
            <w:r>
              <w:rPr>
                <w:rFonts w:hint="eastAsia" w:ascii="宋体" w:hAnsi="宋体" w:cs="宋体"/>
                <w:color w:val="000000"/>
                <w:szCs w:val="21"/>
              </w:rPr>
              <w:t>8</w:t>
            </w:r>
            <w:r>
              <w:rPr>
                <w:rFonts w:ascii="宋体" w:hAnsi="宋体" w:cs="宋体"/>
                <w:color w:val="000000"/>
                <w:szCs w:val="21"/>
              </w:rPr>
              <w:t>；</w:t>
            </w:r>
          </w:p>
        </w:tc>
      </w:tr>
      <w:tr>
        <w:tblPrEx>
          <w:tblCellMar>
            <w:top w:w="0" w:type="dxa"/>
            <w:left w:w="108" w:type="dxa"/>
            <w:bottom w:w="0" w:type="dxa"/>
            <w:right w:w="108" w:type="dxa"/>
          </w:tblCellMar>
        </w:tblPrEx>
        <w:trPr>
          <w:trHeight w:val="3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500"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主板规格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主板支持的CPU和内存情况</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主板支持2颗</w:t>
            </w:r>
            <w:r>
              <w:rPr>
                <w:rFonts w:hint="eastAsia" w:ascii="宋体" w:hAnsi="宋体" w:cs="宋体"/>
                <w:color w:val="000000"/>
                <w:szCs w:val="21"/>
              </w:rPr>
              <w:t>kunpeng920</w:t>
            </w:r>
            <w:r>
              <w:rPr>
                <w:rFonts w:ascii="宋体" w:hAnsi="宋体" w:cs="宋体"/>
                <w:color w:val="000000"/>
                <w:szCs w:val="21"/>
              </w:rPr>
              <w:t xml:space="preserve"> CPU</w:t>
            </w:r>
            <w:r>
              <w:rPr>
                <w:rFonts w:hint="eastAsia" w:ascii="宋体" w:hAnsi="宋体" w:cs="宋体"/>
                <w:color w:val="000000"/>
                <w:szCs w:val="21"/>
              </w:rPr>
              <w:t>，内存支持</w:t>
            </w:r>
            <w:r>
              <w:rPr>
                <w:rFonts w:hint="eastAsia" w:ascii="宋体" w:hAnsi="宋体" w:cs="宋体"/>
                <w:color w:val="000000"/>
                <w:kern w:val="0"/>
                <w:szCs w:val="21"/>
              </w:rPr>
              <w:t>≥1</w:t>
            </w:r>
            <w:r>
              <w:rPr>
                <w:rFonts w:ascii="宋体" w:hAnsi="宋体" w:cs="宋体"/>
                <w:color w:val="000000"/>
                <w:kern w:val="0"/>
                <w:szCs w:val="21"/>
              </w:rPr>
              <w:t>6</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50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主板内存槽数量</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非板载内存的可扩展插槽数量≥4个</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50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主板存储接口</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支持SATA、SAS、M.2、U.2等存储接口</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50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PCIe插槽接口</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符合PCIe4.0或以上的高速串行计算机扩展总线标准，PCIe的接口速率与位宽需保证向下兼容</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50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主板PCIe插槽数量及规格</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高度≥44.45mm双路或以上服务器PCIe插槽或接口≥5个；b)单路服务器PCIe插槽或接口≥4个，可通过扩展卡进行插槽扩展</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50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板载网络接口</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板载网络接口应≥4个1GE网口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内存数量</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配置内存数量≥8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内存规格</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单条内存≥</w:t>
            </w:r>
            <w:r>
              <w:rPr>
                <w:rFonts w:ascii="宋体" w:hAnsi="宋体" w:cs="宋体"/>
                <w:color w:val="000000"/>
                <w:kern w:val="0"/>
                <w:szCs w:val="21"/>
              </w:rPr>
              <w:t xml:space="preserve">32GB </w:t>
            </w:r>
            <w:r>
              <w:rPr>
                <w:rFonts w:hint="eastAsia" w:ascii="宋体" w:hAnsi="宋体" w:cs="宋体"/>
                <w:color w:val="000000"/>
                <w:kern w:val="0"/>
                <w:szCs w:val="21"/>
              </w:rPr>
              <w:t>DDR4</w:t>
            </w:r>
          </w:p>
        </w:tc>
      </w:tr>
      <w:tr>
        <w:tblPrEx>
          <w:tblCellMar>
            <w:top w:w="0" w:type="dxa"/>
            <w:left w:w="108" w:type="dxa"/>
            <w:bottom w:w="0" w:type="dxa"/>
            <w:right w:w="108" w:type="dxa"/>
          </w:tblCellMar>
        </w:tblPrEx>
        <w:trPr>
          <w:trHeight w:val="415"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内存通道</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支持多个内存接口通道，每个通道可支持1DPC或2DPC，当支持2DPC 时，印制电路板上应具备插槽的序号标识，具体通道数应在随机文件中明确</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存储规格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硬磁盘实配容量</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kern w:val="0"/>
                <w:szCs w:val="21"/>
              </w:rPr>
            </w:pPr>
            <w:r>
              <w:rPr>
                <w:rFonts w:hint="eastAsia" w:ascii="宋体" w:hAnsi="宋体" w:cs="宋体"/>
                <w:bCs/>
                <w:color w:val="000000"/>
                <w:kern w:val="0"/>
                <w:szCs w:val="21"/>
              </w:rPr>
              <w:t>a)配置磁盘容量≥960GB（</w:t>
            </w:r>
            <w:r>
              <w:rPr>
                <w:rFonts w:hint="eastAsia" w:ascii="宋体" w:hAnsi="宋体" w:cs="宋体"/>
                <w:bCs/>
                <w:color w:val="000000"/>
                <w:kern w:val="0"/>
                <w:szCs w:val="21"/>
                <w:lang w:eastAsia="zh-CN"/>
              </w:rPr>
              <w:t>2*4</w:t>
            </w:r>
            <w:r>
              <w:rPr>
                <w:rFonts w:hint="eastAsia" w:ascii="宋体" w:hAnsi="宋体" w:cs="宋体"/>
                <w:bCs/>
                <w:color w:val="000000"/>
                <w:kern w:val="0"/>
                <w:szCs w:val="21"/>
              </w:rPr>
              <w:t>80GB） SSD固态硬盘；</w:t>
            </w:r>
          </w:p>
          <w:p>
            <w:pPr>
              <w:widowControl/>
              <w:jc w:val="left"/>
              <w:textAlignment w:val="center"/>
              <w:rPr>
                <w:rFonts w:ascii="宋体" w:hAnsi="宋体" w:cs="宋体"/>
                <w:color w:val="000000"/>
                <w:szCs w:val="21"/>
              </w:rPr>
            </w:pPr>
            <w:r>
              <w:rPr>
                <w:rFonts w:hint="eastAsia" w:ascii="宋体" w:hAnsi="宋体" w:cs="宋体"/>
                <w:bCs/>
                <w:color w:val="000000"/>
                <w:kern w:val="0"/>
                <w:szCs w:val="21"/>
              </w:rPr>
              <w:t>b)配置磁盘容量≥28800GB（1</w:t>
            </w:r>
            <w:r>
              <w:rPr>
                <w:rFonts w:hint="eastAsia" w:ascii="宋体" w:hAnsi="宋体" w:cs="宋体"/>
                <w:bCs/>
                <w:color w:val="000000"/>
                <w:kern w:val="0"/>
                <w:szCs w:val="21"/>
                <w:lang w:eastAsia="zh-CN"/>
              </w:rPr>
              <w:t>2*2</w:t>
            </w:r>
            <w:r>
              <w:rPr>
                <w:rFonts w:hint="eastAsia" w:ascii="宋体" w:hAnsi="宋体" w:cs="宋体"/>
                <w:bCs/>
                <w:color w:val="000000"/>
                <w:kern w:val="0"/>
                <w:szCs w:val="21"/>
              </w:rPr>
              <w:t>400GB） SAS机械硬盘。</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硬磁盘实配数量</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eastAsia="zh-CN"/>
              </w:rPr>
              <w:t>2*4</w:t>
            </w:r>
            <w:r>
              <w:rPr>
                <w:rFonts w:hint="eastAsia" w:ascii="宋体" w:hAnsi="宋体" w:cs="宋体"/>
                <w:bCs/>
                <w:color w:val="000000"/>
                <w:kern w:val="0"/>
                <w:szCs w:val="21"/>
              </w:rPr>
              <w:t>80GB SSD固态硬盘，并提供硬盘不返还服务；</w:t>
            </w:r>
          </w:p>
          <w:p>
            <w:pPr>
              <w:widowControl/>
              <w:jc w:val="left"/>
              <w:textAlignment w:val="center"/>
              <w:rPr>
                <w:rFonts w:ascii="宋体" w:hAnsi="宋体" w:cs="宋体"/>
                <w:color w:val="000000"/>
                <w:szCs w:val="21"/>
              </w:rPr>
            </w:pPr>
            <w:r>
              <w:rPr>
                <w:rFonts w:hint="eastAsia" w:ascii="宋体" w:hAnsi="宋体" w:cs="宋体"/>
                <w:bCs/>
                <w:color w:val="000000"/>
                <w:kern w:val="0"/>
                <w:szCs w:val="21"/>
              </w:rPr>
              <w:t>≥1</w:t>
            </w:r>
            <w:r>
              <w:rPr>
                <w:rFonts w:hint="eastAsia" w:ascii="宋体" w:hAnsi="宋体" w:cs="宋体"/>
                <w:bCs/>
                <w:color w:val="000000"/>
                <w:kern w:val="0"/>
                <w:szCs w:val="21"/>
                <w:lang w:eastAsia="zh-CN"/>
              </w:rPr>
              <w:t>2*2</w:t>
            </w:r>
            <w:r>
              <w:rPr>
                <w:rFonts w:hint="eastAsia" w:ascii="宋体" w:hAnsi="宋体" w:cs="宋体"/>
                <w:bCs/>
                <w:color w:val="000000"/>
                <w:kern w:val="0"/>
                <w:szCs w:val="21"/>
              </w:rPr>
              <w:t>400GB SAS机械硬盘，并提供硬盘不返还服务。</w:t>
            </w:r>
          </w:p>
        </w:tc>
      </w:tr>
      <w:tr>
        <w:tblPrEx>
          <w:tblCellMar>
            <w:top w:w="0" w:type="dxa"/>
            <w:left w:w="108" w:type="dxa"/>
            <w:bottom w:w="0" w:type="dxa"/>
            <w:right w:w="108" w:type="dxa"/>
          </w:tblCellMar>
        </w:tblPrEx>
        <w:trPr>
          <w:trHeight w:val="95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硬盘插槽数量及规格</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top"/>
              <w:rPr>
                <w:rFonts w:ascii="宋体" w:hAnsi="宋体" w:cs="宋体"/>
                <w:color w:val="000000"/>
                <w:szCs w:val="21"/>
              </w:rPr>
            </w:pPr>
            <w:r>
              <w:rPr>
                <w:rFonts w:hint="eastAsia" w:ascii="宋体" w:hAnsi="宋体" w:cs="宋体"/>
                <w:color w:val="000000"/>
                <w:kern w:val="0"/>
                <w:szCs w:val="21"/>
              </w:rPr>
              <w:t>a)供应商应给出配置的硬盘尺寸，如2.5英寸、3.5英寸硬磁盘；b)机箱高度为88.9mm的服务器可支持的硬盘数量</w:t>
            </w:r>
            <w:r>
              <w:rPr>
                <w:rFonts w:hint="eastAsia" w:ascii="宋体" w:hAnsi="宋体" w:cs="宋体"/>
                <w:bCs/>
                <w:color w:val="000000"/>
                <w:kern w:val="0"/>
                <w:szCs w:val="21"/>
              </w:rPr>
              <w:t>≥</w:t>
            </w:r>
            <w:r>
              <w:rPr>
                <w:rFonts w:hint="eastAsia" w:ascii="宋体" w:hAnsi="宋体" w:cs="宋体"/>
                <w:color w:val="000000"/>
                <w:kern w:val="0"/>
                <w:szCs w:val="21"/>
              </w:rPr>
              <w:t xml:space="preserve"> 8块，机箱高度为44.45mm的服务器可支持的硬盘数量</w:t>
            </w:r>
            <w:r>
              <w:rPr>
                <w:rFonts w:hint="eastAsia" w:ascii="宋体" w:hAnsi="宋体" w:cs="宋体"/>
                <w:bCs/>
                <w:color w:val="000000"/>
                <w:kern w:val="0"/>
                <w:szCs w:val="21"/>
              </w:rPr>
              <w:t>≥</w:t>
            </w:r>
            <w:r>
              <w:rPr>
                <w:rFonts w:hint="eastAsia" w:ascii="宋体" w:hAnsi="宋体" w:cs="宋体"/>
                <w:color w:val="000000"/>
                <w:kern w:val="0"/>
                <w:szCs w:val="21"/>
              </w:rPr>
              <w:t>4块。c)存储型服务器可支持硬盘数量</w:t>
            </w:r>
            <w:r>
              <w:rPr>
                <w:rFonts w:hint="eastAsia" w:ascii="宋体" w:hAnsi="宋体" w:cs="宋体"/>
                <w:bCs/>
                <w:color w:val="000000"/>
                <w:kern w:val="0"/>
                <w:szCs w:val="21"/>
              </w:rPr>
              <w:t>≥</w:t>
            </w:r>
            <w:r>
              <w:rPr>
                <w:rFonts w:hint="eastAsia" w:ascii="宋体" w:hAnsi="宋体" w:cs="宋体"/>
                <w:color w:val="000000"/>
                <w:kern w:val="0"/>
                <w:szCs w:val="21"/>
              </w:rPr>
              <w:t xml:space="preserve"> 24块</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RAID卡支持的SAS接口数</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网口速率和数量</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配置≥</w:t>
            </w:r>
            <w:r>
              <w:rPr>
                <w:rFonts w:ascii="宋体" w:hAnsi="宋体" w:cs="宋体"/>
                <w:bCs/>
                <w:color w:val="000000"/>
                <w:kern w:val="0"/>
                <w:szCs w:val="21"/>
              </w:rPr>
              <w:t>1</w:t>
            </w:r>
            <w:r>
              <w:rPr>
                <w:rFonts w:hint="eastAsia" w:ascii="宋体" w:hAnsi="宋体" w:cs="宋体"/>
                <w:bCs/>
                <w:color w:val="000000"/>
                <w:kern w:val="0"/>
                <w:szCs w:val="21"/>
              </w:rPr>
              <w:t>块独立双口万兆光网卡并满配光模块</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外部接口规格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显示接口</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支持VGA、DP、HDMI等</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USB 接口</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配备USB2.0、USB3.0等</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电源模块数量</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≥2</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电源功率</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电源模块功率应有一定冗余，满足处理器满载时的需求，单电源模块功率≥900W</w:t>
            </w:r>
          </w:p>
        </w:tc>
      </w:tr>
      <w:tr>
        <w:tblPrEx>
          <w:tblCellMar>
            <w:top w:w="0" w:type="dxa"/>
            <w:left w:w="108" w:type="dxa"/>
            <w:bottom w:w="0" w:type="dxa"/>
            <w:right w:w="108" w:type="dxa"/>
          </w:tblCellMar>
        </w:tblPrEx>
        <w:trPr>
          <w:trHeight w:val="983"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外观和结构</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a)服务器的零部件应紧固无松动，可插拔部件应可靠连接，开关、按钮和其它控制部件应灵活可靠，布局应方便使用； b) 产品表面不应有明显的凹痕、划伤、裂缝、变形和污染等。表面涂层均匀，不应起泡、龟裂、脱落和磨损，金属零部件无锈蚀及其它机械损伤； c) 产品表面说明功能的文字、符号和标志应清晰、端正且牢固； d) 应在服务器的显著位置提供运行状态的指示功能，并在随机文件中明确具体含义； e) 机架、机箱的尺寸应符合通用机柜的安装要求，插入总线插座的电路板接口外形尺寸应符合有关总线标准的规定，将机箱固定在机柜上，机箱底面最大下垂变形不得干涉相邻机体；f) 高密度服务器应给出CPU个数与机柜高度； g) 服务器尺寸具体要求在随机文件中明确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尺寸（高×宽×深）</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2U机架式服务器</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环境适应性</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气候环境适应性应符合GB/T9813.3的有关规定，工作温度10～ 35℃，贮存运输温度-40～55℃；工作相对湿度35%～80%，贮存运输相对湿度20％～93%（40℃）；大气压86～106kPa</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机械环境适应性</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机械环境适应性应符合GB/T9813.3的有关规定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噪声</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9813.3的有关规定，在产品说明中给出具体测试值塔式服务器噪声在空闲状态下不大于50dB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机柜规格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机柜尺寸</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2U机架式服务器，能安装于19英寸标准服务器机柜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主板功能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主板外部接口种类</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支持USB、显示、管理等接口，如：VGA、DP、HDMI、USB3.0、PS/2接口、BMC管理端口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网络功能</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支持网络连接、网络访问、数据交换和网络管控功能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计算处理</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支持通用计算及虚拟化功能。处理器需集成整型计算单元、浮点计算单元、内存控制器、I/O模块等，处理器与存储部件、网络部件、I/O 部件等组成计算系统，提供数据处理、网络接入等计算相关功能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kern w:val="0"/>
                <w:szCs w:val="21"/>
              </w:rPr>
              <w:t>指令集支持</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支持RISC指令集</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kern w:val="0"/>
                <w:szCs w:val="21"/>
              </w:rPr>
              <w:t>硬件加速</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支持具备RSA/SM3/SM4/DH/MD5/AES算法硬件加解密加速能力和ZLIB/GZIP算法硬件压缩加速能力，投标方提供处理器厂商官网截图或产品文档截图。</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密码算法实现</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CPU芯片应符合GM/T0008的相关规定，或芯片密码模块应符合GB/T37092或GM/T 0028的相关规定</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RAID卡级别支持</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支持RAID 0/1/5/6/10/50/60</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电源热插拔</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整机电源模块应具备热插拔功能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电源过流保护</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支持过流及短路保护的功能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散热方式</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支持风冷或液冷等散热方式</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管理系统功能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BMC 固件基础功能</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 支持DHCP设置网络功能；</w:t>
            </w:r>
          </w:p>
          <w:p>
            <w:pPr>
              <w:widowControl/>
              <w:rPr>
                <w:rFonts w:ascii="宋体" w:hAnsi="宋体" w:cs="宋体"/>
                <w:color w:val="000000"/>
                <w:szCs w:val="21"/>
              </w:rPr>
            </w:pPr>
            <w:r>
              <w:rPr>
                <w:rFonts w:hint="eastAsia" w:ascii="宋体" w:hAnsi="宋体" w:cs="宋体"/>
                <w:color w:val="000000"/>
                <w:szCs w:val="21"/>
              </w:rPr>
              <w:t>2)支持静态IP设置网络功能；</w:t>
            </w:r>
          </w:p>
          <w:p>
            <w:pPr>
              <w:widowControl/>
              <w:rPr>
                <w:rFonts w:ascii="宋体" w:hAnsi="宋体" w:cs="宋体"/>
                <w:color w:val="000000"/>
                <w:szCs w:val="21"/>
              </w:rPr>
            </w:pPr>
            <w:r>
              <w:rPr>
                <w:rFonts w:hint="eastAsia" w:ascii="宋体" w:hAnsi="宋体" w:cs="宋体"/>
                <w:color w:val="000000"/>
                <w:szCs w:val="21"/>
              </w:rPr>
              <w:t>3)支持设备日志记录，包括但不限于登录日志、操作日志和报警日志等功能；</w:t>
            </w:r>
          </w:p>
          <w:p>
            <w:pPr>
              <w:widowControl/>
              <w:rPr>
                <w:rFonts w:ascii="宋体" w:hAnsi="宋体" w:cs="宋体"/>
                <w:color w:val="000000"/>
                <w:szCs w:val="21"/>
              </w:rPr>
            </w:pPr>
            <w:r>
              <w:rPr>
                <w:rFonts w:hint="eastAsia" w:ascii="宋体" w:hAnsi="宋体" w:cs="宋体"/>
                <w:color w:val="000000"/>
                <w:szCs w:val="21"/>
              </w:rPr>
              <w:t>4)支持日志信息导出和记录删除功能；</w:t>
            </w:r>
          </w:p>
          <w:p>
            <w:pPr>
              <w:widowControl/>
              <w:rPr>
                <w:rFonts w:ascii="宋体" w:hAnsi="宋体" w:cs="宋体"/>
                <w:color w:val="000000"/>
                <w:szCs w:val="21"/>
              </w:rPr>
            </w:pPr>
            <w:r>
              <w:rPr>
                <w:rFonts w:hint="eastAsia" w:ascii="宋体" w:hAnsi="宋体" w:cs="宋体"/>
                <w:color w:val="000000"/>
                <w:szCs w:val="21"/>
              </w:rPr>
              <w:t>5)支持通过管理接口向外输出准确的报警信息功能；</w:t>
            </w:r>
          </w:p>
          <w:p>
            <w:pPr>
              <w:widowControl/>
              <w:rPr>
                <w:rFonts w:ascii="宋体" w:hAnsi="宋体" w:cs="宋体"/>
                <w:color w:val="000000"/>
                <w:szCs w:val="21"/>
              </w:rPr>
            </w:pPr>
            <w:r>
              <w:rPr>
                <w:rFonts w:hint="eastAsia" w:ascii="宋体" w:hAnsi="宋体" w:cs="宋体"/>
                <w:color w:val="000000"/>
                <w:szCs w:val="21"/>
              </w:rPr>
              <w:t>6)设备的BMC管理软件应能够按报</w:t>
            </w:r>
          </w:p>
          <w:p>
            <w:pPr>
              <w:widowControl/>
              <w:rPr>
                <w:rFonts w:ascii="宋体" w:hAnsi="宋体" w:cs="宋体"/>
                <w:color w:val="000000"/>
                <w:szCs w:val="21"/>
              </w:rPr>
            </w:pPr>
            <w:r>
              <w:rPr>
                <w:rFonts w:hint="eastAsia" w:ascii="宋体" w:hAnsi="宋体" w:cs="宋体"/>
                <w:color w:val="000000"/>
                <w:szCs w:val="21"/>
              </w:rPr>
              <w:t>警的严重程度进行区分；</w:t>
            </w:r>
          </w:p>
          <w:p>
            <w:pPr>
              <w:widowControl/>
              <w:rPr>
                <w:rFonts w:ascii="宋体" w:hAnsi="宋体" w:cs="宋体"/>
                <w:color w:val="000000"/>
                <w:szCs w:val="21"/>
              </w:rPr>
            </w:pPr>
            <w:r>
              <w:rPr>
                <w:rFonts w:hint="eastAsia" w:ascii="宋体" w:hAnsi="宋体" w:cs="宋体"/>
                <w:color w:val="000000"/>
                <w:szCs w:val="21"/>
              </w:rPr>
              <w:t>7)支持IPMI2.0、SNMP或Redfish 等接口功能；</w:t>
            </w:r>
          </w:p>
          <w:p>
            <w:pPr>
              <w:widowControl/>
              <w:rPr>
                <w:rFonts w:ascii="宋体" w:hAnsi="宋体" w:cs="宋体"/>
                <w:color w:val="000000"/>
                <w:szCs w:val="21"/>
              </w:rPr>
            </w:pPr>
            <w:r>
              <w:rPr>
                <w:rFonts w:hint="eastAsia" w:ascii="宋体" w:hAnsi="宋体" w:cs="宋体"/>
                <w:color w:val="000000"/>
                <w:szCs w:val="21"/>
              </w:rPr>
              <w:t>8)支持键盘、鼠标和视频的重定向、文本控制台的重定向、远程虚拟媒体、高可靠的硬件监控和管理功能；</w:t>
            </w:r>
          </w:p>
          <w:p>
            <w:pPr>
              <w:widowControl/>
              <w:rPr>
                <w:rFonts w:ascii="宋体" w:hAnsi="宋体" w:cs="宋体"/>
                <w:color w:val="000000"/>
                <w:szCs w:val="21"/>
              </w:rPr>
            </w:pPr>
            <w:r>
              <w:rPr>
                <w:rFonts w:hint="eastAsia" w:ascii="宋体" w:hAnsi="宋体" w:cs="宋体"/>
                <w:color w:val="000000"/>
                <w:szCs w:val="21"/>
              </w:rPr>
              <w:t>9)支持基于网络开启、关闭和重启设备的功能，并查询当前设备开机运行状态；</w:t>
            </w:r>
          </w:p>
          <w:p>
            <w:pPr>
              <w:widowControl/>
              <w:rPr>
                <w:rFonts w:ascii="宋体" w:hAnsi="宋体" w:cs="宋体"/>
                <w:color w:val="000000"/>
                <w:szCs w:val="21"/>
              </w:rPr>
            </w:pPr>
            <w:r>
              <w:rPr>
                <w:rFonts w:hint="eastAsia" w:ascii="宋体" w:hAnsi="宋体" w:cs="宋体"/>
                <w:color w:val="000000"/>
                <w:szCs w:val="21"/>
              </w:rPr>
              <w:t>10)支持故障提示功能，并可通过接口读取服务器故障信息；</w:t>
            </w:r>
          </w:p>
          <w:p>
            <w:pPr>
              <w:widowControl/>
              <w:rPr>
                <w:rFonts w:ascii="宋体" w:hAnsi="宋体" w:cs="宋体"/>
                <w:color w:val="000000"/>
                <w:szCs w:val="21"/>
              </w:rPr>
            </w:pPr>
            <w:r>
              <w:rPr>
                <w:rFonts w:hint="eastAsia" w:ascii="宋体" w:hAnsi="宋体" w:cs="宋体"/>
                <w:color w:val="000000"/>
                <w:szCs w:val="21"/>
              </w:rPr>
              <w:t>11)支持基于网络的固件更新功能，包括BMC和BIOS等；</w:t>
            </w:r>
          </w:p>
          <w:p>
            <w:pPr>
              <w:widowControl/>
              <w:rPr>
                <w:rFonts w:ascii="宋体" w:hAnsi="宋体" w:cs="宋体"/>
                <w:color w:val="000000"/>
                <w:szCs w:val="21"/>
              </w:rPr>
            </w:pPr>
            <w:r>
              <w:rPr>
                <w:rFonts w:hint="eastAsia" w:ascii="宋体" w:hAnsi="宋体" w:cs="宋体"/>
                <w:color w:val="000000"/>
                <w:szCs w:val="21"/>
              </w:rPr>
              <w:t>12)支持基于网络安装操作系统的功能，并可通过网络控制台访问设备；</w:t>
            </w:r>
          </w:p>
          <w:p>
            <w:pPr>
              <w:widowControl/>
              <w:rPr>
                <w:rFonts w:ascii="宋体" w:hAnsi="宋体" w:cs="宋体"/>
                <w:color w:val="000000"/>
                <w:szCs w:val="21"/>
              </w:rPr>
            </w:pPr>
            <w:r>
              <w:rPr>
                <w:rFonts w:hint="eastAsia" w:ascii="宋体" w:hAnsi="宋体" w:cs="宋体"/>
                <w:color w:val="000000"/>
                <w:szCs w:val="21"/>
              </w:rPr>
              <w:t>13)支持通过本地的硬盘或光驱等存储设备，基于网络完成设备的操作系统安装功能；</w:t>
            </w:r>
          </w:p>
          <w:p>
            <w:pPr>
              <w:widowControl/>
              <w:rPr>
                <w:rFonts w:ascii="宋体" w:hAnsi="宋体" w:cs="宋体"/>
                <w:color w:val="000000"/>
                <w:szCs w:val="21"/>
              </w:rPr>
            </w:pPr>
            <w:r>
              <w:rPr>
                <w:rFonts w:hint="eastAsia" w:ascii="宋体" w:hAnsi="宋体" w:cs="宋体"/>
                <w:color w:val="000000"/>
                <w:szCs w:val="21"/>
              </w:rPr>
              <w:t>14)支持通过浏览器打开管理界面并登录功能；</w:t>
            </w:r>
          </w:p>
          <w:p>
            <w:pPr>
              <w:widowControl/>
              <w:rPr>
                <w:rFonts w:ascii="宋体" w:hAnsi="宋体" w:cs="宋体"/>
                <w:color w:val="000000"/>
                <w:szCs w:val="21"/>
              </w:rPr>
            </w:pPr>
            <w:r>
              <w:rPr>
                <w:rFonts w:hint="eastAsia" w:ascii="宋体" w:hAnsi="宋体" w:cs="宋体"/>
                <w:color w:val="000000"/>
                <w:szCs w:val="21"/>
              </w:rPr>
              <w:t>15)支持设置口令策略功能；</w:t>
            </w:r>
          </w:p>
          <w:p>
            <w:pPr>
              <w:widowControl/>
              <w:rPr>
                <w:rFonts w:ascii="宋体" w:hAnsi="宋体" w:cs="宋体"/>
                <w:color w:val="000000"/>
                <w:szCs w:val="21"/>
              </w:rPr>
            </w:pPr>
            <w:r>
              <w:rPr>
                <w:rFonts w:hint="eastAsia" w:ascii="宋体" w:hAnsi="宋体" w:cs="宋体"/>
                <w:color w:val="000000"/>
                <w:szCs w:val="21"/>
              </w:rPr>
              <w:t>16)支持访问权限设置功能，并通过日志记录访问事件；</w:t>
            </w:r>
          </w:p>
          <w:p>
            <w:pPr>
              <w:widowControl/>
              <w:rPr>
                <w:rFonts w:ascii="宋体" w:hAnsi="宋体" w:cs="宋体"/>
                <w:color w:val="000000"/>
                <w:szCs w:val="21"/>
              </w:rPr>
            </w:pPr>
            <w:r>
              <w:rPr>
                <w:rFonts w:hint="eastAsia" w:ascii="宋体" w:hAnsi="宋体" w:cs="宋体"/>
                <w:color w:val="000000"/>
                <w:szCs w:val="21"/>
              </w:rPr>
              <w:t>17)支持对出厂默认的用户名及口令进行安全保护功能，并提供默认口令修改提示；</w:t>
            </w:r>
          </w:p>
          <w:p>
            <w:pPr>
              <w:widowControl/>
              <w:rPr>
                <w:rFonts w:ascii="宋体" w:hAnsi="宋体" w:cs="宋体"/>
                <w:color w:val="000000"/>
                <w:szCs w:val="21"/>
              </w:rPr>
            </w:pPr>
            <w:r>
              <w:rPr>
                <w:rFonts w:hint="eastAsia" w:ascii="宋体" w:hAnsi="宋体" w:cs="宋体"/>
                <w:color w:val="000000"/>
                <w:szCs w:val="21"/>
              </w:rPr>
              <w:t>18)支持读取设备主板的工作环境温度功能；</w:t>
            </w:r>
          </w:p>
          <w:p>
            <w:pPr>
              <w:widowControl/>
              <w:rPr>
                <w:rFonts w:ascii="宋体" w:hAnsi="宋体" w:cs="宋体"/>
                <w:color w:val="000000"/>
                <w:szCs w:val="21"/>
              </w:rPr>
            </w:pPr>
            <w:r>
              <w:rPr>
                <w:rFonts w:hint="eastAsia" w:ascii="宋体" w:hAnsi="宋体" w:cs="宋体"/>
                <w:color w:val="000000"/>
                <w:szCs w:val="21"/>
              </w:rPr>
              <w:t>19)支持读取服务器CPU等核心器件的温度功能；</w:t>
            </w:r>
          </w:p>
          <w:p>
            <w:pPr>
              <w:widowControl/>
              <w:rPr>
                <w:rFonts w:ascii="宋体" w:hAnsi="宋体" w:cs="宋体"/>
                <w:color w:val="000000"/>
                <w:szCs w:val="21"/>
              </w:rPr>
            </w:pPr>
            <w:r>
              <w:rPr>
                <w:rFonts w:hint="eastAsia" w:ascii="宋体" w:hAnsi="宋体" w:cs="宋体"/>
                <w:color w:val="000000"/>
                <w:szCs w:val="21"/>
              </w:rPr>
              <w:t>20)支持通过外部管理工具进行BMC参数设置的功能，并可基于网络通过外部管理工具对BMC进行管理；</w:t>
            </w:r>
          </w:p>
          <w:p>
            <w:pPr>
              <w:widowControl/>
              <w:rPr>
                <w:rFonts w:ascii="宋体" w:hAnsi="宋体" w:cs="宋体"/>
                <w:color w:val="000000"/>
                <w:szCs w:val="21"/>
              </w:rPr>
            </w:pPr>
            <w:r>
              <w:rPr>
                <w:rFonts w:hint="eastAsia" w:ascii="宋体" w:hAnsi="宋体" w:cs="宋体"/>
                <w:color w:val="000000"/>
                <w:szCs w:val="21"/>
              </w:rPr>
              <w:t>21)应支持固件版本查询、固件升级</w:t>
            </w:r>
          </w:p>
          <w:p>
            <w:pPr>
              <w:widowControl/>
              <w:rPr>
                <w:rFonts w:ascii="宋体" w:hAnsi="宋体" w:cs="宋体"/>
                <w:color w:val="000000"/>
                <w:szCs w:val="21"/>
              </w:rPr>
            </w:pPr>
            <w:r>
              <w:rPr>
                <w:rFonts w:hint="eastAsia" w:ascii="宋体" w:hAnsi="宋体" w:cs="宋体"/>
                <w:color w:val="000000"/>
                <w:szCs w:val="21"/>
              </w:rPr>
              <w:t>22)支持基于网络实现开关机和复位控制的功能；</w:t>
            </w:r>
          </w:p>
          <w:p>
            <w:pPr>
              <w:widowControl/>
              <w:rPr>
                <w:rFonts w:ascii="宋体" w:hAnsi="宋体" w:cs="宋体"/>
                <w:color w:val="000000"/>
                <w:szCs w:val="21"/>
              </w:rPr>
            </w:pPr>
            <w:r>
              <w:rPr>
                <w:rFonts w:hint="eastAsia" w:ascii="宋体" w:hAnsi="宋体" w:cs="宋体"/>
                <w:color w:val="000000"/>
                <w:szCs w:val="21"/>
              </w:rPr>
              <w:t>23)BMC启动时间应不超过180s，实现功能包括网络、IPMI、散热、传感器服务可用；</w:t>
            </w:r>
          </w:p>
          <w:p>
            <w:pPr>
              <w:widowControl/>
              <w:rPr>
                <w:rFonts w:ascii="宋体" w:hAnsi="宋体" w:cs="宋体"/>
                <w:color w:val="000000"/>
                <w:szCs w:val="21"/>
              </w:rPr>
            </w:pPr>
            <w:r>
              <w:rPr>
                <w:rFonts w:hint="eastAsia" w:ascii="宋体" w:hAnsi="宋体" w:cs="宋体"/>
                <w:color w:val="000000"/>
                <w:szCs w:val="21"/>
              </w:rPr>
              <w:t>24)支持BMC固件设置的恢复出厂功能</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BIOS 固件基础功能</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a）支持查看固件版本、内存信息、主板信息、处理器信息和系统时间信息功能； b）支持上电初始化界面显示CPU信息、内存信息、固件版本和部分快捷键信息功能； c）支持设置界面中英文显示切换功能；d）支持查看PCIe设备信息，SATA 设备信息功能； e）支持操作系统安装和引导功能，应并向操作系统提供计算机主板信息和服务接口； f）支持设置启动顺序，并按照设置的启动顺序启动功能； g）支持安全启动功能； h）支持设置口令、修改口令、验证口令功能； i）支持板载显示控制或独立显卡的显示控制功能； j）支持RAID识别和启动功能； k）支持串口重定向功能； l）支持固件更新功能；m）支持BIOS固件设置的恢复出厂功能； n）支持网络引导启用和关闭功能</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kern w:val="0"/>
                <w:szCs w:val="21"/>
              </w:rPr>
              <w:t>BIOS软件</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服务器BIOS软件须通过EAL4+认证级别</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远程控制</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支持远程关机和重新启动功能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操作系统及驱动功能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操作系统及驱动的升级</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支持通过网络、闪存盘对操作系统、驱动进行升级</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操作系统功能</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支持访问控制、安全审计、网络接入鉴别等功能； b) 操作系统其他功能应满足操作系统政府采购需求标准中加▲的指标要求</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中文信息处理功能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中文信息处理</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 18030的有关规定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关键部件安全要求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关键部件安全要求</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CPU和操作系统等关键部件应当符合安全可靠测评要求，通过政府有关部门指定的中国信息安全测评中心和国家保密科技测评中心网站查看安全可靠测评结果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固件安全要求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故障检测</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支持故障检测功能，可以检测到具体的FRU（内存、硬盘等）的故障并发出告警</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系统安全要求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弱口令字典检查</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支持弱口令字典检查功能，出现在弱口令字典中的字符串不能被设置为用户口令</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白名单访问控制</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支持基于时间、IP或MAC白名单访问控制</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二次鉴别</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支持二次鉴别功能。对于用户配置、权限配置、公钥导入等重要的管理操作，已登录用户应通过二次鉴别后，才能执行操作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密码证书安全加密存储</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支持对带外管理系统中的用户口令和证书等敏感信息进行加密存储，禁止使用私有的和业界已知不安全的密码算法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敏感信息安全加密传输</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支持使用安全的传输加密协议（如SSH或HTTPS等）传输用户的敏感信息</w:t>
            </w:r>
          </w:p>
        </w:tc>
      </w:tr>
      <w:tr>
        <w:tblPrEx>
          <w:tblCellMar>
            <w:top w:w="0" w:type="dxa"/>
            <w:left w:w="108" w:type="dxa"/>
            <w:bottom w:w="0" w:type="dxa"/>
            <w:right w:w="108" w:type="dxa"/>
          </w:tblCellMar>
        </w:tblPrEx>
        <w:trPr>
          <w:trHeight w:val="499"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信息安全要求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研发过程安全</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物理安全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物理安全</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安全要求应符合GB 4943.1的规定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限用物质的限量要求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限用物质的限量要求</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限用物质的限量应符合GB/T 26572 的要求</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CPU 主频</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≥2.6GHz</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核数</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≥48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单 CPU 末级缓存容量</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bCs/>
                <w:color w:val="000000"/>
                <w:kern w:val="0"/>
                <w:szCs w:val="21"/>
              </w:rPr>
              <w:t>≥48MB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内存速率</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≥2933MT/s</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Raid卡缓存容量大小</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bCs/>
                <w:color w:val="000000"/>
                <w:szCs w:val="21"/>
              </w:rPr>
            </w:pPr>
            <w:r>
              <w:rPr>
                <w:rFonts w:hint="eastAsia" w:ascii="宋体" w:hAnsi="宋体" w:cs="宋体"/>
                <w:color w:val="000000"/>
                <w:kern w:val="0"/>
                <w:szCs w:val="21"/>
              </w:rPr>
              <w:t>配备RAID卡且RAID卡缓存容量</w:t>
            </w:r>
            <w:r>
              <w:rPr>
                <w:rFonts w:hint="eastAsia" w:ascii="宋体" w:hAnsi="宋体" w:cs="宋体"/>
                <w:bCs/>
                <w:color w:val="000000"/>
                <w:kern w:val="0"/>
                <w:szCs w:val="21"/>
              </w:rPr>
              <w:t>≥4GB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电源能耗</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电源能耗</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9813.3的有关规定</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部件兼容性要求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内存兼容性</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适配3种及以上厂商的内存产品，且均不低于产品支持的内存规格</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固态存储兼容性</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适配3种或以上厂商的固态存储产品，且均不低于产品支持的固态存储设备规格</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网卡兼容性</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网卡应适配两种或以上厂商产品</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功能卡兼容性</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内置或适配符合PCIe的功能卡，如：网络功能卡、存储功能卡及图形显示功能卡</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外设兼容性</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外设兼容性</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兼容多种主流生产商的外部设备，包括显示器、键盘、鼠标、闪存盘、移动硬盘、USB光驱及KVM等，要求使用不同厂商的外部设备时，系统均能正常识别和安装驱动</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软件兼容性</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数据库兼容</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兼容3个及以上厂商的数据库产品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中间件兼容</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兼容3个及以上厂商的中间件产品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平台软件兼容</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兼容3个及以上厂商的大数据平台</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整机可靠性要求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整机可靠性</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m1值（MTBF的不可接受值）</w:t>
            </w:r>
            <w:r>
              <w:rPr>
                <w:rFonts w:hint="eastAsia" w:ascii="宋体" w:hAnsi="宋体" w:cs="宋体"/>
                <w:bCs/>
                <w:color w:val="000000"/>
                <w:kern w:val="0"/>
                <w:szCs w:val="21"/>
              </w:rPr>
              <w:t>≥</w:t>
            </w:r>
            <w:r>
              <w:rPr>
                <w:rFonts w:hint="eastAsia" w:ascii="宋体" w:hAnsi="宋体" w:cs="宋体"/>
                <w:color w:val="000000"/>
                <w:kern w:val="0"/>
                <w:szCs w:val="21"/>
              </w:rPr>
              <w:t>30000h</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风扇可靠性</w:t>
            </w:r>
          </w:p>
        </w:tc>
        <w:tc>
          <w:tcPr>
            <w:tcW w:w="2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风扇寿命</w:t>
            </w:r>
            <w:r>
              <w:rPr>
                <w:rFonts w:hint="eastAsia" w:ascii="宋体" w:hAnsi="宋体" w:cs="宋体"/>
                <w:bCs/>
                <w:color w:val="000000"/>
                <w:kern w:val="0"/>
                <w:szCs w:val="21"/>
              </w:rPr>
              <w:t>≥</w:t>
            </w:r>
            <w:r>
              <w:rPr>
                <w:rFonts w:hint="eastAsia" w:ascii="宋体" w:hAnsi="宋体" w:cs="宋体"/>
                <w:color w:val="000000"/>
                <w:kern w:val="0"/>
                <w:szCs w:val="21"/>
              </w:rPr>
              <w:t>40000h</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部件可靠性</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支持硬盘、电源、风扇热插拔(内置风扇除外)</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包装及运输要求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标志、包装、运输和贮存</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符合GB/T 9813.3和商品包装政府采购需求标准的相关规定</w:t>
            </w:r>
          </w:p>
        </w:tc>
      </w:tr>
      <w:tr>
        <w:tblPrEx>
          <w:tblCellMar>
            <w:top w:w="0" w:type="dxa"/>
            <w:left w:w="108" w:type="dxa"/>
            <w:bottom w:w="0" w:type="dxa"/>
            <w:right w:w="108" w:type="dxa"/>
          </w:tblCellMar>
        </w:tblPrEx>
        <w:trPr>
          <w:trHeight w:val="1560"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服务响应</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服务响应</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提供电话、电子邮件、远程连接等多种形式服务；b) 提供同城4h、异地12h技术响应服务，2个工作日解决问题，对于未能解决的问题和故障应提供可行的升级方案，并提供周转设备； c) 建立全国技术服务体系和服务团体，符合专业服务体系标准要求，提供原厂中文服务； d) 服务周期内提供产品的维修、换件和升级服务</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培训服务</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提供培训材料、产品手册、培训视频等培训相关内容</w:t>
            </w:r>
          </w:p>
        </w:tc>
      </w:tr>
      <w:tr>
        <w:tblPrEx>
          <w:tblCellMar>
            <w:top w:w="0" w:type="dxa"/>
            <w:left w:w="108" w:type="dxa"/>
            <w:bottom w:w="0" w:type="dxa"/>
            <w:right w:w="108" w:type="dxa"/>
          </w:tblCellMar>
        </w:tblPrEx>
        <w:trPr>
          <w:trHeight w:val="1248"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服务周期</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服务周期</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产品免费服务周期（含换件和维修）</w:t>
            </w:r>
            <w:r>
              <w:rPr>
                <w:rFonts w:hint="eastAsia" w:ascii="宋体" w:hAnsi="宋体" w:cs="宋体"/>
                <w:bCs/>
                <w:color w:val="000000"/>
                <w:kern w:val="0"/>
                <w:szCs w:val="21"/>
              </w:rPr>
              <w:t>≥</w:t>
            </w:r>
            <w:r>
              <w:rPr>
                <w:rFonts w:hint="eastAsia" w:ascii="宋体" w:hAnsi="宋体" w:cs="宋体"/>
                <w:b/>
                <w:bCs/>
                <w:color w:val="000000"/>
                <w:kern w:val="0"/>
                <w:szCs w:val="21"/>
              </w:rPr>
              <w:t>5</w:t>
            </w:r>
            <w:r>
              <w:rPr>
                <w:rFonts w:hint="eastAsia" w:ascii="宋体" w:hAnsi="宋体" w:cs="宋体"/>
                <w:color w:val="000000"/>
                <w:kern w:val="0"/>
                <w:szCs w:val="21"/>
              </w:rPr>
              <w:t>年，</w:t>
            </w:r>
            <w:r>
              <w:rPr>
                <w:rFonts w:hint="eastAsia" w:ascii="宋体" w:hAnsi="宋体" w:cs="宋体"/>
                <w:color w:val="000000"/>
                <w:szCs w:val="21"/>
              </w:rPr>
              <w:t>包含硬盘不返还服务；</w:t>
            </w:r>
            <w:r>
              <w:rPr>
                <w:rFonts w:hint="eastAsia" w:ascii="宋体" w:hAnsi="宋体" w:cs="宋体"/>
                <w:color w:val="000000"/>
                <w:kern w:val="0"/>
                <w:szCs w:val="21"/>
              </w:rPr>
              <w:t xml:space="preserve"> b) 设备停产后继续提供质量保障服务（含备品备件），服务终止时间与最后一批设备交付时间间隔</w:t>
            </w:r>
            <w:r>
              <w:rPr>
                <w:rFonts w:hint="eastAsia" w:ascii="宋体" w:hAnsi="宋体" w:cs="宋体"/>
                <w:bCs/>
                <w:color w:val="000000"/>
                <w:kern w:val="0"/>
                <w:szCs w:val="21"/>
              </w:rPr>
              <w:t>≥</w:t>
            </w:r>
            <w:r>
              <w:rPr>
                <w:rFonts w:hint="eastAsia" w:ascii="宋体" w:hAnsi="宋体" w:cs="宋体"/>
                <w:color w:val="000000"/>
                <w:kern w:val="0"/>
                <w:szCs w:val="21"/>
              </w:rPr>
              <w:t>6年； c) 产品停止服务时间应提前1年告知客户；d) 产品发布日期需在随机文件中明确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服务工具要求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工具要求</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提供设置服务器硬件、辅助操作系统安装等功能的辅助工具和管理软件。且随附软件应具有合法授权或版权</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驱动安装升级指引</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提供出厂安装的配件所需的驱动程序，形式包括但不限于驱动光盘、驱动下载链接等。其他配件应提供指引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管理软件</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具备资源管理、系统管理、性能监控、健康监控、基于网络控制、报警设置功能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增值服务</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厂家升级产品软件与扩容服务</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提供原厂级的部件/软件产品升级和扩容能力</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提供上门服务</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7*2</w:t>
            </w:r>
            <w:r>
              <w:rPr>
                <w:rFonts w:ascii="宋体" w:hAnsi="宋体" w:cs="宋体"/>
                <w:color w:val="000000"/>
                <w:kern w:val="0"/>
                <w:szCs w:val="21"/>
              </w:rPr>
              <w:t>4</w:t>
            </w:r>
            <w:r>
              <w:rPr>
                <w:rFonts w:hint="eastAsia" w:ascii="宋体" w:hAnsi="宋体" w:cs="宋体"/>
                <w:color w:val="000000"/>
                <w:kern w:val="0"/>
                <w:szCs w:val="21"/>
              </w:rPr>
              <w:t>小时上门服务</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供应链质量</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▲抗干扰性</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当产品部件出现供应风险时，应通知客户并提供风险应对方案确保产品的服务保障，必要时应停止相关受影响产品的销售</w:t>
            </w:r>
          </w:p>
        </w:tc>
      </w:tr>
      <w:tr>
        <w:tblPrEx>
          <w:tblCellMar>
            <w:top w:w="0" w:type="dxa"/>
            <w:left w:w="108" w:type="dxa"/>
            <w:bottom w:w="0" w:type="dxa"/>
            <w:right w:w="108" w:type="dxa"/>
          </w:tblCellMar>
        </w:tblPrEx>
        <w:trPr>
          <w:trHeight w:val="381" w:hRule="atLeast"/>
          <w:jc w:val="center"/>
        </w:trPr>
        <w:tc>
          <w:tcPr>
            <w:tcW w:w="250"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▲供应能力证明</w:t>
            </w:r>
          </w:p>
        </w:tc>
        <w:tc>
          <w:tcPr>
            <w:tcW w:w="2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供应商提供供应链稳定承诺书，确保产品的部件在产品服务周期内稳定供货；供应商须提供服务器主板供应商针对本次采购项目出具的供应保障函，内容须明确保障本次采购的服务器主板供应。</w:t>
            </w:r>
          </w:p>
        </w:tc>
      </w:tr>
    </w:tbl>
    <w:p>
      <w:pPr>
        <w:rPr>
          <w:color w:val="000000"/>
        </w:rPr>
      </w:pPr>
    </w:p>
    <w:p>
      <w:pPr>
        <w:widowControl/>
        <w:jc w:val="left"/>
      </w:pPr>
      <w:r>
        <w:br w:type="page"/>
      </w:r>
    </w:p>
    <w:p>
      <w:pPr>
        <w:pStyle w:val="5"/>
        <w:ind w:firstLine="482" w:firstLineChars="200"/>
        <w:rPr>
          <w:sz w:val="24"/>
          <w:szCs w:val="22"/>
        </w:rPr>
      </w:pPr>
      <w:r>
        <w:rPr>
          <w:rFonts w:hint="eastAsia"/>
          <w:sz w:val="24"/>
          <w:szCs w:val="22"/>
          <w:lang w:val="en-US" w:eastAsia="zh-CN"/>
        </w:rPr>
        <w:t>7.</w:t>
      </w:r>
      <w:r>
        <w:rPr>
          <w:rFonts w:hint="eastAsia"/>
          <w:sz w:val="24"/>
          <w:szCs w:val="22"/>
        </w:rPr>
        <w:t>分布式存储管理服务器（3台）</w:t>
      </w:r>
    </w:p>
    <w:tbl>
      <w:tblPr>
        <w:tblStyle w:val="21"/>
        <w:tblW w:w="5000" w:type="pct"/>
        <w:jc w:val="center"/>
        <w:tblLayout w:type="fixed"/>
        <w:tblCellMar>
          <w:top w:w="0" w:type="dxa"/>
          <w:left w:w="108" w:type="dxa"/>
          <w:bottom w:w="0" w:type="dxa"/>
          <w:right w:w="108" w:type="dxa"/>
        </w:tblCellMar>
      </w:tblPr>
      <w:tblGrid>
        <w:gridCol w:w="514"/>
        <w:gridCol w:w="514"/>
        <w:gridCol w:w="514"/>
        <w:gridCol w:w="514"/>
        <w:gridCol w:w="1027"/>
        <w:gridCol w:w="1027"/>
        <w:gridCol w:w="5176"/>
      </w:tblGrid>
      <w:tr>
        <w:tblPrEx>
          <w:tblCellMar>
            <w:top w:w="0" w:type="dxa"/>
            <w:left w:w="108" w:type="dxa"/>
            <w:bottom w:w="0" w:type="dxa"/>
            <w:right w:w="108" w:type="dxa"/>
          </w:tblCellMar>
        </w:tblPrEx>
        <w:trPr>
          <w:trHeight w:val="555" w:hRule="atLeast"/>
          <w:jc w:val="center"/>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5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指标</w:t>
            </w:r>
          </w:p>
        </w:tc>
        <w:tc>
          <w:tcPr>
            <w:tcW w:w="5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jc w:val="center"/>
              <w:rPr>
                <w:rFonts w:hint="eastAsia" w:ascii="宋体" w:hAnsi="宋体" w:eastAsia="宋体" w:cs="宋体"/>
                <w:b/>
                <w:bCs/>
                <w:color w:val="000000"/>
                <w:szCs w:val="21"/>
                <w:lang w:val="en-US" w:eastAsia="zh-CN"/>
              </w:rPr>
            </w:pPr>
            <w:r>
              <w:rPr>
                <w:rFonts w:hint="eastAsia" w:ascii="宋体" w:hAnsi="宋体" w:cs="宋体"/>
                <w:b/>
                <w:bCs/>
                <w:color w:val="000000"/>
                <w:szCs w:val="21"/>
                <w:lang w:val="en-US" w:eastAsia="zh-CN"/>
              </w:rPr>
              <w:t>指标</w:t>
            </w:r>
          </w:p>
        </w:tc>
        <w:tc>
          <w:tcPr>
            <w:tcW w:w="2519"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CellMar>
            <w:top w:w="0" w:type="dxa"/>
            <w:left w:w="108" w:type="dxa"/>
            <w:bottom w:w="0" w:type="dxa"/>
            <w:right w:w="108" w:type="dxa"/>
          </w:tblCellMar>
        </w:tblPrEx>
        <w:trPr>
          <w:trHeight w:val="936" w:hRule="atLeast"/>
          <w:jc w:val="center"/>
        </w:trPr>
        <w:tc>
          <w:tcPr>
            <w:tcW w:w="250" w:type="pct"/>
            <w:vMerge w:val="restart"/>
            <w:tcBorders>
              <w:top w:val="single" w:color="auto" w:sz="4" w:space="0"/>
              <w:left w:val="single" w:color="auto" w:sz="4" w:space="0"/>
              <w:right w:val="single" w:color="auto" w:sz="4" w:space="0"/>
            </w:tcBorders>
            <w:vAlign w:val="center"/>
          </w:tcPr>
          <w:p>
            <w:pPr>
              <w:widowControl/>
              <w:rPr>
                <w:rFonts w:ascii="宋体" w:hAnsi="宋体"/>
                <w:color w:val="000000"/>
                <w:szCs w:val="21"/>
              </w:rPr>
            </w:pPr>
            <w:r>
              <w:rPr>
                <w:rFonts w:ascii="宋体" w:hAnsi="宋体"/>
                <w:color w:val="000000"/>
                <w:szCs w:val="21"/>
              </w:rPr>
              <w:t>分布式存储管理服务器</w:t>
            </w:r>
          </w:p>
        </w:tc>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3</w:t>
            </w:r>
          </w:p>
        </w:tc>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台</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Cs w:val="21"/>
              </w:rPr>
            </w:pPr>
            <w:r>
              <w:rPr>
                <w:rFonts w:ascii="宋体" w:hAnsi="宋体"/>
                <w:color w:val="000000"/>
                <w:szCs w:val="21"/>
              </w:rPr>
              <w:t>CPU</w:t>
            </w:r>
            <w:r>
              <w:rPr>
                <w:rFonts w:hint="eastAsia" w:ascii="宋体" w:hAnsi="宋体"/>
                <w:color w:val="000000"/>
                <w:szCs w:val="21"/>
              </w:rPr>
              <w:t>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Theme="minorEastAsia" w:hAnsiTheme="minorEastAsia"/>
                <w:color w:val="000000" w:themeColor="text1"/>
                <w:szCs w:val="21"/>
                <w14:textFill>
                  <w14:solidFill>
                    <w14:schemeClr w14:val="tx1"/>
                  </w14:solidFill>
                </w14:textFill>
              </w:rPr>
              <w:t>▲</w:t>
            </w:r>
            <w:r>
              <w:rPr>
                <w:rFonts w:ascii="宋体" w:hAnsi="宋体"/>
                <w:color w:val="000000"/>
                <w:szCs w:val="21"/>
              </w:rPr>
              <w:t xml:space="preserve">CPU </w:t>
            </w:r>
            <w:r>
              <w:rPr>
                <w:rFonts w:hint="eastAsia" w:ascii="宋体" w:hAnsi="宋体"/>
                <w:color w:val="000000"/>
                <w:szCs w:val="21"/>
              </w:rPr>
              <w:t>信息</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（1）配置2颗国产C86架构处理器，支持超线程技术和睿频技术；</w:t>
            </w:r>
          </w:p>
          <w:p>
            <w:pPr>
              <w:widowControl/>
              <w:rPr>
                <w:rFonts w:ascii="宋体" w:hAnsi="宋体" w:cs="宋体"/>
                <w:color w:val="000000"/>
                <w:szCs w:val="21"/>
              </w:rPr>
            </w:pPr>
            <w:r>
              <w:rPr>
                <w:rFonts w:hint="eastAsia" w:ascii="宋体" w:hAnsi="宋体" w:cs="宋体"/>
                <w:color w:val="000000"/>
                <w:szCs w:val="21"/>
              </w:rPr>
              <w:t>（2）单颗CPU型号Hygon 5</w:t>
            </w:r>
            <w:r>
              <w:rPr>
                <w:rFonts w:ascii="宋体" w:hAnsi="宋体" w:cs="宋体"/>
                <w:color w:val="000000"/>
                <w:szCs w:val="21"/>
              </w:rPr>
              <w:t>380</w:t>
            </w:r>
            <w:r>
              <w:rPr>
                <w:rFonts w:hint="eastAsia" w:ascii="宋体" w:hAnsi="宋体" w:cs="宋体"/>
                <w:color w:val="000000"/>
                <w:szCs w:val="21"/>
              </w:rPr>
              <w:t>，单颗CPU物理核心数≥16核、主频≥2.5GHz、末级缓存容量≥32MB、线程数≥32、热设计功耗≥135W、支持内存的最高速率≥3200MHz、通道数≥4、位宽≥64位；</w:t>
            </w:r>
          </w:p>
        </w:tc>
      </w:tr>
      <w:tr>
        <w:tblPrEx>
          <w:tblCellMar>
            <w:top w:w="0" w:type="dxa"/>
            <w:left w:w="108" w:type="dxa"/>
            <w:bottom w:w="0" w:type="dxa"/>
            <w:right w:w="108" w:type="dxa"/>
          </w:tblCellMar>
        </w:tblPrEx>
        <w:trPr>
          <w:trHeight w:val="3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主板规格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主板支持的</w:t>
            </w:r>
            <w:r>
              <w:rPr>
                <w:rFonts w:ascii="宋体" w:hAnsi="宋体"/>
                <w:color w:val="000000"/>
                <w:szCs w:val="21"/>
              </w:rPr>
              <w:t xml:space="preserve">CPU </w:t>
            </w:r>
            <w:r>
              <w:rPr>
                <w:rFonts w:hint="eastAsia" w:ascii="宋体" w:hAnsi="宋体" w:cs="宋体"/>
                <w:color w:val="000000"/>
                <w:szCs w:val="21"/>
              </w:rPr>
              <w:t>和内存情况</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主板支持海光5</w:t>
            </w:r>
            <w:r>
              <w:rPr>
                <w:rFonts w:ascii="宋体" w:hAnsi="宋体" w:cs="宋体"/>
                <w:color w:val="000000"/>
                <w:szCs w:val="21"/>
              </w:rPr>
              <w:t>380</w:t>
            </w:r>
            <w:r>
              <w:rPr>
                <w:rFonts w:hint="eastAsia" w:ascii="宋体" w:hAnsi="宋体" w:cs="宋体"/>
                <w:color w:val="000000"/>
                <w:szCs w:val="21"/>
              </w:rPr>
              <w:t xml:space="preserve"> CPU</w:t>
            </w:r>
            <w:r>
              <w:rPr>
                <w:rFonts w:ascii="宋体" w:hAnsi="宋体" w:cs="宋体"/>
                <w:color w:val="000000"/>
                <w:szCs w:val="21"/>
              </w:rPr>
              <w:t xml:space="preserve"> </w:t>
            </w:r>
            <w:r>
              <w:rPr>
                <w:rFonts w:hint="eastAsia" w:ascii="宋体" w:hAnsi="宋体" w:cs="宋体"/>
                <w:color w:val="000000"/>
                <w:szCs w:val="21"/>
              </w:rPr>
              <w:t>≥2颗，内存数量支持 ≥</w:t>
            </w:r>
            <w:r>
              <w:rPr>
                <w:rFonts w:ascii="宋体" w:hAnsi="宋体" w:cs="宋体"/>
                <w:color w:val="000000"/>
                <w:szCs w:val="21"/>
              </w:rPr>
              <w:t>16</w:t>
            </w:r>
            <w:r>
              <w:rPr>
                <w:rFonts w:hint="eastAsia" w:ascii="宋体" w:hAnsi="宋体" w:cs="宋体"/>
                <w:color w:val="000000"/>
                <w:szCs w:val="21"/>
              </w:rPr>
              <w:t>个</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主板内存槽数量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主板内存槽数量≥</w:t>
            </w:r>
            <w:r>
              <w:rPr>
                <w:rFonts w:ascii="宋体" w:hAnsi="宋体" w:cs="宋体"/>
                <w:color w:val="000000"/>
                <w:szCs w:val="21"/>
              </w:rPr>
              <w:t>16</w:t>
            </w:r>
            <w:r>
              <w:rPr>
                <w:rFonts w:hint="eastAsia" w:ascii="宋体" w:hAnsi="宋体" w:cs="宋体"/>
                <w:color w:val="000000"/>
                <w:szCs w:val="21"/>
              </w:rPr>
              <w:t>个</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主板存储接口</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（1）主板支持SATA/SAS/M.2/U.2存储接口；</w:t>
            </w:r>
          </w:p>
          <w:p>
            <w:pPr>
              <w:widowControl/>
              <w:rPr>
                <w:rFonts w:ascii="宋体" w:hAnsi="宋体" w:cs="宋体"/>
                <w:color w:val="000000"/>
                <w:szCs w:val="21"/>
              </w:rPr>
            </w:pPr>
            <w:r>
              <w:rPr>
                <w:rFonts w:hint="eastAsia" w:ascii="宋体" w:hAnsi="宋体" w:cs="宋体"/>
                <w:color w:val="000000"/>
                <w:szCs w:val="21"/>
              </w:rPr>
              <w:t>（2）板载支持≥</w:t>
            </w:r>
            <w:r>
              <w:rPr>
                <w:rFonts w:ascii="宋体" w:hAnsi="宋体" w:cs="宋体"/>
                <w:color w:val="000000"/>
                <w:szCs w:val="21"/>
              </w:rPr>
              <w:t>12</w:t>
            </w:r>
            <w:r>
              <w:rPr>
                <w:rFonts w:hint="eastAsia" w:ascii="宋体" w:hAnsi="宋体" w:cs="宋体"/>
                <w:color w:val="000000"/>
                <w:szCs w:val="21"/>
              </w:rPr>
              <w:t>个SATA/</w:t>
            </w:r>
            <w:r>
              <w:rPr>
                <w:rFonts w:ascii="宋体" w:hAnsi="宋体" w:cs="宋体"/>
                <w:color w:val="000000"/>
                <w:szCs w:val="21"/>
              </w:rPr>
              <w:t>SAS</w:t>
            </w:r>
            <w:r>
              <w:rPr>
                <w:rFonts w:hint="eastAsia" w:ascii="宋体" w:hAnsi="宋体" w:cs="宋体"/>
                <w:color w:val="000000"/>
                <w:szCs w:val="21"/>
              </w:rPr>
              <w:t>盘；</w:t>
            </w:r>
          </w:p>
          <w:p>
            <w:pPr>
              <w:widowControl/>
              <w:rPr>
                <w:rFonts w:ascii="宋体" w:hAnsi="宋体" w:cs="宋体"/>
                <w:color w:val="000000"/>
                <w:szCs w:val="21"/>
              </w:rPr>
            </w:pPr>
            <w:r>
              <w:rPr>
                <w:rFonts w:hint="eastAsia" w:ascii="宋体" w:hAnsi="宋体" w:cs="宋体"/>
                <w:color w:val="000000"/>
                <w:szCs w:val="21"/>
              </w:rPr>
              <w:t>（3）板载可支持1个内置M.2 SSD；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Theme="minorEastAsia" w:hAnsiTheme="minorEastAsia"/>
                <w:color w:val="000000" w:themeColor="text1"/>
                <w:szCs w:val="21"/>
                <w14:textFill>
                  <w14:solidFill>
                    <w14:schemeClr w14:val="tx1"/>
                  </w14:solidFill>
                </w14:textFill>
              </w:rPr>
              <w:t>▲</w:t>
            </w:r>
            <w:r>
              <w:rPr>
                <w:rFonts w:ascii="宋体" w:hAnsi="宋体"/>
                <w:color w:val="000000"/>
                <w:szCs w:val="21"/>
              </w:rPr>
              <w:t xml:space="preserve">PCIe </w:t>
            </w:r>
            <w:r>
              <w:rPr>
                <w:rFonts w:hint="eastAsia" w:ascii="宋体" w:hAnsi="宋体"/>
                <w:color w:val="000000"/>
                <w:szCs w:val="21"/>
              </w:rPr>
              <w:t>插槽接口</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支持PCI-E 4.0插槽，可支持向下兼容</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 PCIe 插槽数量及规格</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主板可扩展≥6个PCIe 4.0插槽；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内存数量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内存数量≥</w:t>
            </w:r>
            <w:r>
              <w:rPr>
                <w:rFonts w:ascii="宋体" w:hAnsi="宋体" w:cs="宋体"/>
                <w:color w:val="000000"/>
                <w:szCs w:val="21"/>
              </w:rPr>
              <w:t>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内存规格</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实配≥5</w:t>
            </w:r>
            <w:r>
              <w:rPr>
                <w:rFonts w:ascii="宋体" w:hAnsi="宋体" w:cs="宋体"/>
                <w:color w:val="000000"/>
                <w:szCs w:val="21"/>
              </w:rPr>
              <w:t>12</w:t>
            </w:r>
            <w:r>
              <w:rPr>
                <w:rFonts w:hint="eastAsia" w:ascii="宋体" w:hAnsi="宋体" w:cs="宋体"/>
                <w:color w:val="000000"/>
                <w:szCs w:val="21"/>
              </w:rPr>
              <w:t>GB</w:t>
            </w:r>
            <w:r>
              <w:rPr>
                <w:rFonts w:ascii="宋体" w:hAnsi="宋体" w:cs="宋体"/>
                <w:color w:val="000000"/>
                <w:szCs w:val="21"/>
              </w:rPr>
              <w:t xml:space="preserve"> </w:t>
            </w:r>
            <w:r>
              <w:rPr>
                <w:rFonts w:hint="eastAsia" w:ascii="宋体" w:hAnsi="宋体" w:cs="宋体"/>
                <w:color w:val="000000"/>
                <w:szCs w:val="21"/>
              </w:rPr>
              <w:t>DDR4</w:t>
            </w:r>
          </w:p>
        </w:tc>
      </w:tr>
      <w:tr>
        <w:tblPrEx>
          <w:tblCellMar>
            <w:top w:w="0" w:type="dxa"/>
            <w:left w:w="108" w:type="dxa"/>
            <w:bottom w:w="0" w:type="dxa"/>
            <w:right w:w="108" w:type="dxa"/>
          </w:tblCellMar>
        </w:tblPrEx>
        <w:trPr>
          <w:trHeight w:val="41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内存通道</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w:t>
            </w:r>
            <w:r>
              <w:rPr>
                <w:rFonts w:ascii="宋体" w:hAnsi="宋体" w:cs="宋体"/>
                <w:color w:val="000000"/>
                <w:szCs w:val="21"/>
              </w:rPr>
              <w:t>4</w:t>
            </w:r>
            <w:r>
              <w:rPr>
                <w:rFonts w:hint="eastAsia" w:ascii="宋体" w:hAnsi="宋体" w:cs="宋体"/>
                <w:color w:val="000000"/>
                <w:szCs w:val="21"/>
              </w:rPr>
              <w:t>个内存接口通道</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存储规格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固态盘实配容量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Cs/>
                <w:color w:val="000000"/>
                <w:kern w:val="0"/>
                <w:szCs w:val="21"/>
              </w:rPr>
            </w:pPr>
            <w:r>
              <w:rPr>
                <w:rFonts w:hint="eastAsia" w:ascii="宋体" w:hAnsi="宋体" w:cs="宋体"/>
                <w:bCs/>
                <w:color w:val="000000"/>
                <w:kern w:val="0"/>
                <w:szCs w:val="21"/>
              </w:rPr>
              <w:t>a)配置磁盘容量≥960GB（</w:t>
            </w:r>
            <w:r>
              <w:rPr>
                <w:rFonts w:hint="eastAsia" w:ascii="宋体" w:hAnsi="宋体" w:cs="宋体"/>
                <w:bCs/>
                <w:color w:val="000000"/>
                <w:kern w:val="0"/>
                <w:szCs w:val="21"/>
                <w:lang w:eastAsia="zh-CN"/>
              </w:rPr>
              <w:t>2*4</w:t>
            </w:r>
            <w:r>
              <w:rPr>
                <w:rFonts w:hint="eastAsia" w:ascii="宋体" w:hAnsi="宋体" w:cs="宋体"/>
                <w:bCs/>
                <w:color w:val="000000"/>
                <w:kern w:val="0"/>
                <w:szCs w:val="21"/>
              </w:rPr>
              <w:t>80GB）SSD；</w:t>
            </w:r>
          </w:p>
          <w:p>
            <w:pPr>
              <w:widowControl/>
              <w:rPr>
                <w:rFonts w:ascii="宋体" w:hAnsi="宋体" w:cs="宋体"/>
                <w:color w:val="000000"/>
                <w:szCs w:val="21"/>
              </w:rPr>
            </w:pPr>
            <w:r>
              <w:rPr>
                <w:rFonts w:hint="eastAsia" w:ascii="宋体" w:hAnsi="宋体" w:cs="宋体"/>
                <w:bCs/>
                <w:color w:val="000000"/>
                <w:kern w:val="0"/>
                <w:szCs w:val="21"/>
              </w:rPr>
              <w:t>b)配置磁盘容量≥</w:t>
            </w:r>
            <w:r>
              <w:rPr>
                <w:rFonts w:ascii="宋体" w:hAnsi="宋体" w:cs="宋体"/>
                <w:bCs/>
                <w:color w:val="000000"/>
                <w:kern w:val="0"/>
                <w:szCs w:val="21"/>
              </w:rPr>
              <w:t>15.36T</w:t>
            </w:r>
            <w:r>
              <w:rPr>
                <w:rFonts w:hint="eastAsia" w:ascii="宋体" w:hAnsi="宋体" w:cs="宋体"/>
                <w:bCs/>
                <w:color w:val="000000"/>
                <w:kern w:val="0"/>
                <w:szCs w:val="21"/>
              </w:rPr>
              <w:t>B（</w:t>
            </w:r>
            <w:r>
              <w:rPr>
                <w:rFonts w:hint="eastAsia" w:ascii="宋体" w:hAnsi="宋体" w:cs="宋体"/>
                <w:bCs/>
                <w:color w:val="000000"/>
                <w:kern w:val="0"/>
                <w:szCs w:val="21"/>
                <w:lang w:eastAsia="zh-CN"/>
              </w:rPr>
              <w:t>4*3</w:t>
            </w:r>
            <w:r>
              <w:rPr>
                <w:rFonts w:ascii="宋体" w:hAnsi="宋体" w:cs="宋体"/>
                <w:bCs/>
                <w:color w:val="000000"/>
                <w:kern w:val="0"/>
                <w:szCs w:val="21"/>
              </w:rPr>
              <w:t>.84T</w:t>
            </w:r>
            <w:r>
              <w:rPr>
                <w:rFonts w:hint="eastAsia" w:ascii="宋体" w:hAnsi="宋体" w:cs="宋体"/>
                <w:bCs/>
                <w:color w:val="000000"/>
                <w:kern w:val="0"/>
                <w:szCs w:val="21"/>
              </w:rPr>
              <w:t>B）</w:t>
            </w:r>
            <w:r>
              <w:rPr>
                <w:rFonts w:hint="eastAsia" w:ascii="宋体" w:hAnsi="宋体" w:cs="宋体"/>
                <w:color w:val="000000"/>
                <w:szCs w:val="21"/>
              </w:rPr>
              <w:t>PCIe NVME SSD</w:t>
            </w:r>
            <w:r>
              <w:rPr>
                <w:rFonts w:hint="eastAsia" w:ascii="宋体" w:hAnsi="宋体" w:cs="宋体"/>
                <w:bCs/>
                <w:color w:val="000000"/>
                <w:kern w:val="0"/>
                <w:szCs w:val="21"/>
              </w:rPr>
              <w:t>。</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固态盘实配数量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w:t>
            </w:r>
            <w:r>
              <w:rPr>
                <w:rFonts w:hint="eastAsia" w:ascii="宋体" w:hAnsi="宋体" w:cs="宋体"/>
                <w:color w:val="000000"/>
                <w:szCs w:val="21"/>
                <w:lang w:eastAsia="zh-CN"/>
              </w:rPr>
              <w:t>2*4</w:t>
            </w:r>
            <w:r>
              <w:rPr>
                <w:rFonts w:hint="eastAsia" w:ascii="宋体" w:hAnsi="宋体" w:cs="宋体"/>
                <w:color w:val="000000"/>
                <w:szCs w:val="21"/>
              </w:rPr>
              <w:t>80GB SSD，≥</w:t>
            </w:r>
            <w:r>
              <w:rPr>
                <w:rFonts w:hint="eastAsia" w:ascii="宋体" w:hAnsi="宋体" w:cs="宋体"/>
                <w:color w:val="000000"/>
                <w:szCs w:val="21"/>
                <w:lang w:eastAsia="zh-CN"/>
              </w:rPr>
              <w:t>4*3</w:t>
            </w:r>
            <w:r>
              <w:rPr>
                <w:rFonts w:hint="eastAsia" w:ascii="宋体" w:hAnsi="宋体" w:cs="宋体"/>
                <w:color w:val="000000"/>
                <w:szCs w:val="21"/>
              </w:rPr>
              <w:t>.84TB PCIe NVME SSD</w:t>
            </w:r>
          </w:p>
        </w:tc>
      </w:tr>
      <w:tr>
        <w:tblPrEx>
          <w:tblCellMar>
            <w:top w:w="0" w:type="dxa"/>
            <w:left w:w="108" w:type="dxa"/>
            <w:bottom w:w="0" w:type="dxa"/>
            <w:right w:w="108" w:type="dxa"/>
          </w:tblCellMar>
        </w:tblPrEx>
        <w:trPr>
          <w:trHeight w:val="95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硬盘插槽数量及规格</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（1）支持≥12个前置热插拔3.5硬盘或2.5硬盘，支持SAS/SATA/NVMe SSD；</w:t>
            </w:r>
            <w:r>
              <w:rPr>
                <w:rFonts w:hint="eastAsia" w:ascii="宋体" w:hAnsi="宋体" w:cs="宋体"/>
                <w:color w:val="000000"/>
                <w:szCs w:val="21"/>
              </w:rPr>
              <w:br w:type="textWrapping"/>
            </w:r>
            <w:r>
              <w:rPr>
                <w:rFonts w:hint="eastAsia" w:ascii="宋体" w:hAnsi="宋体" w:cs="宋体"/>
                <w:color w:val="000000"/>
                <w:szCs w:val="21"/>
              </w:rPr>
              <w:t>（2）后置支持≥</w:t>
            </w:r>
            <w:r>
              <w:rPr>
                <w:rFonts w:ascii="宋体" w:hAnsi="宋体" w:cs="宋体"/>
                <w:color w:val="000000"/>
                <w:szCs w:val="21"/>
              </w:rPr>
              <w:t>2</w:t>
            </w:r>
            <w:r>
              <w:rPr>
                <w:rFonts w:hint="eastAsia" w:ascii="宋体" w:hAnsi="宋体" w:cs="宋体"/>
                <w:color w:val="000000"/>
                <w:szCs w:val="21"/>
              </w:rPr>
              <w:t>个2.5寸硬盘</w:t>
            </w:r>
            <w:r>
              <w:rPr>
                <w:rFonts w:ascii="宋体" w:hAnsi="宋体" w:cs="宋体"/>
                <w:color w:val="000000"/>
                <w:szCs w:val="21"/>
              </w:rPr>
              <w:t>/</w:t>
            </w:r>
            <w:r>
              <w:rPr>
                <w:rFonts w:hint="eastAsia" w:ascii="宋体" w:hAnsi="宋体" w:cs="宋体"/>
                <w:color w:val="000000"/>
                <w:szCs w:val="21"/>
              </w:rPr>
              <w:t>3.5寸硬盘；</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RAID卡支持的SAS接口数</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网口速率和数量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（1）实配1GE网口，RJ45接口，数量≥2个；</w:t>
            </w:r>
          </w:p>
          <w:p>
            <w:pPr>
              <w:widowControl/>
              <w:rPr>
                <w:rFonts w:ascii="宋体" w:hAnsi="宋体" w:cs="宋体"/>
                <w:color w:val="000000"/>
                <w:szCs w:val="21"/>
              </w:rPr>
            </w:pPr>
            <w:r>
              <w:rPr>
                <w:rFonts w:hint="eastAsia" w:ascii="宋体" w:hAnsi="宋体" w:cs="宋体"/>
                <w:color w:val="000000"/>
                <w:szCs w:val="21"/>
              </w:rPr>
              <w:t>（2）实配10GE网口，SFP+光口，数量≥2个；</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外部接口规格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显示接口</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配置≥1个VGA接口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USB 接口</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w:t>
            </w:r>
            <w:r>
              <w:rPr>
                <w:rFonts w:ascii="宋体" w:hAnsi="宋体" w:cs="宋体"/>
                <w:color w:val="000000"/>
                <w:szCs w:val="21"/>
              </w:rPr>
              <w:t>2</w:t>
            </w:r>
            <w:r>
              <w:rPr>
                <w:rFonts w:hint="eastAsia" w:ascii="宋体" w:hAnsi="宋体" w:cs="宋体"/>
                <w:color w:val="000000"/>
                <w:szCs w:val="21"/>
              </w:rPr>
              <w:t>个USB3.0接口，2个位于机箱后部</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电源模块数量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配置≥2个</w:t>
            </w:r>
            <w:r>
              <w:rPr>
                <w:rFonts w:ascii="宋体" w:hAnsi="宋体" w:cs="宋体"/>
                <w:color w:val="000000"/>
                <w:szCs w:val="21"/>
              </w:rPr>
              <w:t>550</w:t>
            </w:r>
            <w:r>
              <w:rPr>
                <w:rFonts w:hint="eastAsia" w:ascii="宋体" w:hAnsi="宋体" w:cs="宋体"/>
                <w:color w:val="000000"/>
                <w:szCs w:val="21"/>
              </w:rPr>
              <w:t>W/1200W CRPS标准电源，支持1+1冗余</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电源功率</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ascii="宋体" w:hAnsi="宋体" w:cs="宋体"/>
                <w:color w:val="000000"/>
                <w:szCs w:val="21"/>
              </w:rPr>
              <w:t>55</w:t>
            </w:r>
            <w:r>
              <w:rPr>
                <w:rFonts w:hint="eastAsia" w:ascii="宋体" w:hAnsi="宋体" w:cs="宋体"/>
                <w:color w:val="000000"/>
                <w:szCs w:val="21"/>
              </w:rPr>
              <w:t>0W/1200W，电源模块功率应有一定冗余， 满足处理器满载时的需求</w:t>
            </w:r>
          </w:p>
        </w:tc>
      </w:tr>
      <w:tr>
        <w:tblPrEx>
          <w:tblCellMar>
            <w:top w:w="0" w:type="dxa"/>
            <w:left w:w="108" w:type="dxa"/>
            <w:bottom w:w="0" w:type="dxa"/>
            <w:right w:w="108" w:type="dxa"/>
          </w:tblCellMar>
        </w:tblPrEx>
        <w:trPr>
          <w:trHeight w:val="983"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外观和结构</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a)服务器的零部件应紧固无松动，可插拔部件应可靠连接，开关、按钮和其它控制部件应灵活可靠，布局应方便使用；</w:t>
            </w:r>
            <w:r>
              <w:rPr>
                <w:rFonts w:hint="eastAsia" w:ascii="宋体" w:hAnsi="宋体" w:cs="宋体"/>
                <w:color w:val="000000"/>
                <w:szCs w:val="21"/>
              </w:rPr>
              <w:br w:type="textWrapping"/>
            </w:r>
            <w:r>
              <w:rPr>
                <w:rFonts w:hint="eastAsia" w:ascii="宋体" w:hAnsi="宋体" w:cs="宋体"/>
                <w:color w:val="000000"/>
                <w:szCs w:val="21"/>
              </w:rPr>
              <w:t>b) 产品表面不应有明显的凹痕、划伤、裂缝、变形和污染等。表面涂层均匀，不应起泡、龟裂、脱落和磨损，金属零部件无锈蚀及其它机械损伤；</w:t>
            </w:r>
            <w:r>
              <w:rPr>
                <w:rFonts w:hint="eastAsia" w:ascii="宋体" w:hAnsi="宋体" w:cs="宋体"/>
                <w:color w:val="000000"/>
                <w:szCs w:val="21"/>
              </w:rPr>
              <w:br w:type="textWrapping"/>
            </w:r>
            <w:r>
              <w:rPr>
                <w:rFonts w:hint="eastAsia" w:ascii="宋体" w:hAnsi="宋体" w:cs="宋体"/>
                <w:color w:val="000000"/>
                <w:szCs w:val="21"/>
              </w:rPr>
              <w:t>c) 产品表面说明功能的文字、符号和标志应清晰、端正且牢固；</w:t>
            </w:r>
            <w:r>
              <w:rPr>
                <w:rFonts w:hint="eastAsia" w:ascii="宋体" w:hAnsi="宋体" w:cs="宋体"/>
                <w:color w:val="000000"/>
                <w:szCs w:val="21"/>
              </w:rPr>
              <w:br w:type="textWrapping"/>
            </w:r>
            <w:r>
              <w:rPr>
                <w:rFonts w:hint="eastAsia" w:ascii="宋体" w:hAnsi="宋体" w:cs="宋体"/>
                <w:color w:val="000000"/>
                <w:szCs w:val="21"/>
              </w:rPr>
              <w:t>d) 应在服务器的显著位置提供运行状态的指示功能，并在随机文件中明确具体含义；</w:t>
            </w:r>
            <w:r>
              <w:rPr>
                <w:rFonts w:hint="eastAsia" w:ascii="宋体" w:hAnsi="宋体" w:cs="宋体"/>
                <w:color w:val="000000"/>
                <w:szCs w:val="21"/>
              </w:rPr>
              <w:br w:type="textWrapping"/>
            </w:r>
            <w:r>
              <w:rPr>
                <w:rFonts w:hint="eastAsia" w:ascii="宋体" w:hAnsi="宋体" w:cs="宋体"/>
                <w:color w:val="000000"/>
                <w:szCs w:val="21"/>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cs="宋体"/>
                <w:color w:val="000000"/>
                <w:szCs w:val="21"/>
              </w:rPr>
              <w:br w:type="textWrapping"/>
            </w:r>
            <w:r>
              <w:rPr>
                <w:rFonts w:hint="eastAsia" w:ascii="宋体" w:hAnsi="宋体" w:cs="宋体"/>
                <w:color w:val="000000"/>
                <w:szCs w:val="21"/>
              </w:rPr>
              <w:t>f) 高密度服务器应给出 CPU 个数与机柜高度；</w:t>
            </w:r>
            <w:r>
              <w:rPr>
                <w:rFonts w:hint="eastAsia" w:ascii="宋体" w:hAnsi="宋体" w:cs="宋体"/>
                <w:color w:val="000000"/>
                <w:szCs w:val="21"/>
              </w:rPr>
              <w:br w:type="textWrapping"/>
            </w:r>
            <w:r>
              <w:rPr>
                <w:rFonts w:hint="eastAsia" w:ascii="宋体" w:hAnsi="宋体" w:cs="宋体"/>
                <w:color w:val="000000"/>
                <w:szCs w:val="21"/>
              </w:rPr>
              <w:t>g) 服务器尺寸具体要求在随机文件中明确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尺寸（高×宽×深）</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2U机架式服务器，机箱深度小于800mm</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环境适应性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气候环境适应性应符合 GB/T9813.3 的有关规定，工作温度 10～35℃，贮存运输温度-40～55℃；工作相对湿度 35%～80%，贮存运输相对湿度 20％～93%（40℃）；大气压86～106kPa</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机械环境适应性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机械环境适应性应符合 GB/T9813.3 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噪声</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GB/T 9813.3 的有关规定，在产品说明中给出具体测试值塔式服务器噪声在空闲状态下不大于 50dB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机柜规格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机柜尺寸</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2U机架式服务器，能安装于19英寸标准服务器机柜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主板</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主板外部接口种类</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 USB、显示、管理等接口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网络功能</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支持网络连接、网络访问、数据交换和网络管控功能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计算处理</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支持通用计算及虚拟化功能。处理器需集成整型计算单元、浮点计算单元、内存控制器、I/O 模块等，处理器与存储部件、网络部件、I/O部件等组成计算系统，提供数据处理、网络接入等计算相关功能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密码算法实现</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宋体" w:hAnsi="宋体" w:cs="宋体"/>
                <w:color w:val="000000"/>
                <w:szCs w:val="21"/>
              </w:rPr>
            </w:pPr>
            <w:r>
              <w:rPr>
                <w:rFonts w:hint="eastAsia" w:ascii="宋体" w:hAnsi="宋体" w:cs="宋体"/>
                <w:color w:val="000000"/>
                <w:szCs w:val="21"/>
              </w:rPr>
              <w:t>CPU 芯片应符合 GM/T 0008 的相关规定，或芯片密码模块应符合 GB/T37092 或 GM/T 0028 的相关规定，芯片通过国家密码局颁发的商用密码产品二级及以上认证</w:t>
            </w:r>
            <w:r>
              <w:rPr>
                <w:rFonts w:hint="default" w:ascii="宋体" w:hAnsi="宋体" w:cs="宋体"/>
                <w:color w:val="000000"/>
                <w:szCs w:val="21"/>
              </w:rPr>
              <w:t>。</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9</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RAID卡级别支持</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RAID 模式支持 RAID 0/1/10/5</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电源热插拔</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整机电源模块应具备热插拔功能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电源过流保护</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支持过流及短路保护的功能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散热方式</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支持风冷或液冷等散热方式</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管理系统功能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BMC 固件基础功能</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支持设备日志记录，包括但不限于登录日志、操作日志和报警日志等功能；</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BIOS 固件基础功能</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支持查看固件版本、内存信息、主板信息、处理器信息和系统时间信息功能；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远程控制</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支持远程关机和重新启动功能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操作系统及驱动功能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操作系统及驱动的升级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支持通过网络、闪存盘对操作系统、驱动进行升级</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操作系统功能</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支持访问控制、安全审计、网络接入鉴别等功能；</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中文信息处理功能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中文信息处理</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 18030 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9</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关键部件安全要求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关键部件安全要求</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CPU 和操作系统等关键部件应当符合安全可靠测评要求</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固件安全要求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故障检测</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支持故障检测功能，可以检测到具体的 FRU（内存、硬盘等）的故障并发出告警</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系统安全要求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弱口令字典检查</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支持弱口令字典检查功能，出现在弱口令字典中的字符串不能被设置为用户口令</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白名单访问控制</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支持基于时间、IP 或 MAC 白名单访问控制</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二次鉴别</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支持二次鉴别功能。对于用户配置、权限配置、公钥导入等重要的管理操作，已登录用户应通过二次鉴别后，才能执行操作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密码证书安全加密存储</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支持对带外管理系统中的用户口令和证书等敏感信息进行加密存储，禁止使用私有的和业界已知不安全的密码算法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敏感信息安全加密传输</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支持使用安全的传输加密协议（如SSH 或 HTTPS 等）传输用户的敏感信息</w:t>
            </w:r>
          </w:p>
        </w:tc>
      </w:tr>
      <w:tr>
        <w:tblPrEx>
          <w:tblCellMar>
            <w:top w:w="0" w:type="dxa"/>
            <w:left w:w="108" w:type="dxa"/>
            <w:bottom w:w="0" w:type="dxa"/>
            <w:right w:w="108" w:type="dxa"/>
          </w:tblCellMar>
        </w:tblPrEx>
        <w:trPr>
          <w:trHeight w:val="703"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研发过程安全</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供应商承诺，生产商已建立从需求、设计、开发、测试、维护端到端的开发流程管理机制，输出和保存开发流程中每个阶段的产品需求清单、设计文档、开发文档、测试记录等材料，保证各个流程可追溯；</w:t>
            </w:r>
          </w:p>
          <w:p>
            <w:pPr>
              <w:widowControl/>
              <w:rPr>
                <w:rFonts w:hint="default"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产品生产商已建立一个覆盖信息化和工业化的融合全局、全要素、全过程的产品全生命周期内管理体系标准，</w:t>
            </w:r>
            <w:r>
              <w:rPr>
                <w:rFonts w:hint="default" w:ascii="宋体" w:hAnsi="宋体" w:cs="宋体"/>
                <w:color w:val="000000" w:themeColor="text1"/>
                <w:szCs w:val="21"/>
                <w14:textFill>
                  <w14:solidFill>
                    <w14:schemeClr w14:val="tx1"/>
                  </w14:solidFill>
                </w14:textFill>
              </w:rPr>
              <w:t>产品厂商有效期内须通过信息化和工业化融合管理体系认证；</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★增强要求</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支持可信平台控制模块(TPCM)；</w:t>
            </w:r>
          </w:p>
          <w:p>
            <w:pPr>
              <w:widowControl/>
              <w:rPr>
                <w:rFonts w:ascii="宋体" w:hAnsi="宋体" w:cs="宋体"/>
                <w:color w:val="000000"/>
                <w:szCs w:val="21"/>
              </w:rPr>
            </w:pPr>
            <w:r>
              <w:rPr>
                <w:rFonts w:hint="eastAsia" w:ascii="宋体" w:hAnsi="宋体" w:cs="宋体"/>
                <w:color w:val="000000"/>
                <w:szCs w:val="21"/>
              </w:rPr>
              <w:t>支持基于处理器或可信计算模块度量的功能；</w:t>
            </w:r>
          </w:p>
          <w:p>
            <w:pPr>
              <w:widowControl/>
              <w:rPr>
                <w:rFonts w:ascii="宋体" w:hAnsi="宋体" w:cs="宋体"/>
                <w:color w:val="000000"/>
                <w:szCs w:val="21"/>
              </w:rPr>
            </w:pPr>
            <w:r>
              <w:rPr>
                <w:rFonts w:hint="eastAsia" w:ascii="宋体" w:hAnsi="宋体" w:cs="宋体"/>
                <w:color w:val="000000"/>
                <w:szCs w:val="21"/>
              </w:rPr>
              <w:t>可信安全管理模块、 处理器等硬件载体应通过国家相关部门的认证和许可；</w:t>
            </w:r>
          </w:p>
          <w:p>
            <w:pPr>
              <w:widowControl/>
              <w:rPr>
                <w:rFonts w:hint="default" w:ascii="宋体" w:hAnsi="宋体" w:cs="宋体"/>
                <w:color w:val="000000"/>
                <w:szCs w:val="21"/>
              </w:rPr>
            </w:pPr>
            <w:r>
              <w:rPr>
                <w:rFonts w:hint="default" w:ascii="宋体" w:hAnsi="宋体" w:cs="宋体"/>
                <w:color w:val="000000"/>
                <w:szCs w:val="21"/>
              </w:rPr>
              <w:t>所投机型须通过可信计算兼容性测试来满足等保2.0三级要求。</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8</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物理安全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物理安全</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安全要求应符合 GB 4943.1 的规定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9</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限用物质的限量要求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限用物质的限量要求</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限用物质的限量应符合 GB/T 26572的要求</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CPU 主频</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2.5</w:t>
            </w:r>
            <w:r>
              <w:rPr>
                <w:rFonts w:hint="eastAsia" w:ascii="宋体" w:hAnsi="宋体" w:cs="宋体"/>
                <w:color w:val="000000"/>
                <w:szCs w:val="21"/>
              </w:rPr>
              <w:t>GHz</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单 CPU 核数</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16</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单 CPU 末级缓存容量</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32</w:t>
            </w:r>
            <w:r>
              <w:rPr>
                <w:rFonts w:hint="eastAsia" w:ascii="宋体" w:hAnsi="宋体" w:cs="宋体"/>
                <w:color w:val="000000"/>
                <w:szCs w:val="21"/>
              </w:rPr>
              <w:t>MB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ascii="宋体" w:hAnsi="宋体" w:cs="宋体"/>
                <w:color w:val="000000"/>
                <w:szCs w:val="21"/>
              </w:rPr>
              <w:t>53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内存速率</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3200</w:t>
            </w:r>
            <w:r>
              <w:rPr>
                <w:rFonts w:hint="eastAsia" w:ascii="宋体" w:hAnsi="宋体" w:cs="宋体"/>
                <w:color w:val="000000"/>
                <w:szCs w:val="21"/>
              </w:rPr>
              <w:t>MT/s</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ascii="宋体" w:hAnsi="宋体" w:cs="宋体"/>
                <w:color w:val="000000"/>
                <w:szCs w:val="21"/>
              </w:rPr>
              <w:t>R</w:t>
            </w:r>
            <w:r>
              <w:rPr>
                <w:rFonts w:hint="eastAsia" w:ascii="宋体" w:hAnsi="宋体" w:cs="宋体"/>
                <w:color w:val="000000"/>
                <w:szCs w:val="21"/>
              </w:rPr>
              <w:t>aid卡缓存容量大小</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缓存容量≥4GB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电源能耗</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电源能耗</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符合 GB/T 9813.3 的有关规定</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部件兼容性要求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内存兼容性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适配 3 种及以上厂商的内存产品，且均不低于产品支持的内存规格</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固态存储兼容性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适配 3 种或以上厂商的固态存储产品，且均不低于产品支持的固态存储设备规格</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网卡兼容性</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网卡应适配两种或以上厂商产品</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功能卡兼容性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内置或适配符合 PCIe 的功能卡，如：网络功能卡、存储功能卡及图形显示功能卡</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外设兼容性</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外设兼容性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兼容多种主流生产商的外部设备，包括显示器、键盘、鼠标、闪存盘、移动硬盘、USB 光驱及 KVM 等，要求使用不同厂商的外部设备时，系统均能正常识别和安装驱动</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软件兼容性</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数据库兼容</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szCs w:val="21"/>
                <w:lang w:eastAsia="zh-CN"/>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个及以上厂商的数据库产品</w:t>
            </w:r>
            <w:r>
              <w:rPr>
                <w:rFonts w:hint="eastAsia" w:ascii="宋体" w:hAnsi="宋体" w:cs="宋体"/>
                <w:color w:val="000000"/>
                <w:szCs w:val="21"/>
                <w:lang w:eastAsia="zh-CN"/>
              </w:rPr>
              <w:t>。</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中间件兼容</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szCs w:val="21"/>
                <w:lang w:eastAsia="zh-CN"/>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个及以上厂商的中间件产品</w:t>
            </w:r>
            <w:r>
              <w:rPr>
                <w:rFonts w:hint="eastAsia" w:ascii="宋体" w:hAnsi="宋体" w:cs="宋体"/>
                <w:color w:val="000000"/>
                <w:szCs w:val="21"/>
                <w:lang w:eastAsia="zh-CN"/>
              </w:rPr>
              <w:t>。</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平台软件兼容</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000000"/>
                <w:szCs w:val="21"/>
                <w:lang w:eastAsia="zh-CN"/>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个及以上厂商的大数据平台</w:t>
            </w:r>
            <w:r>
              <w:rPr>
                <w:rFonts w:hint="eastAsia" w:ascii="宋体" w:hAnsi="宋体" w:cs="宋体"/>
                <w:color w:val="000000"/>
                <w:szCs w:val="21"/>
                <w:lang w:eastAsia="zh-CN"/>
              </w:rPr>
              <w:t>。</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4</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整机可靠性要求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整机可靠性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m1 值（MTBF 的不可接受值）≥</w:t>
            </w:r>
            <w:r>
              <w:rPr>
                <w:rFonts w:ascii="宋体" w:hAnsi="宋体" w:cs="宋体"/>
                <w:color w:val="000000"/>
                <w:szCs w:val="21"/>
              </w:rPr>
              <w:t>10</w:t>
            </w:r>
            <w:r>
              <w:rPr>
                <w:rFonts w:hint="eastAsia" w:ascii="宋体" w:hAnsi="宋体" w:cs="宋体"/>
                <w:color w:val="000000"/>
                <w:szCs w:val="21"/>
              </w:rPr>
              <w:t>0000h，</w:t>
            </w:r>
            <w:r>
              <w:rPr>
                <w:rFonts w:hint="default" w:ascii="宋体" w:hAnsi="宋体" w:cs="宋体"/>
                <w:color w:val="000000"/>
                <w:szCs w:val="21"/>
              </w:rPr>
              <w:t>须通过</w:t>
            </w:r>
            <w:r>
              <w:rPr>
                <w:rFonts w:hint="eastAsia" w:ascii="宋体" w:hAnsi="宋体" w:cs="宋体"/>
                <w:color w:val="000000"/>
                <w:szCs w:val="21"/>
              </w:rPr>
              <w:t>MTBF认证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风扇可靠性</w:t>
            </w:r>
          </w:p>
        </w:tc>
        <w:tc>
          <w:tcPr>
            <w:tcW w:w="25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风扇寿命≥ 40000h</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部件可靠性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支持硬盘、电源、风扇热插拔(内置风扇除外)</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包装及运输要求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标志、包装、运输和贮存</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GB/T 9813.3 和商品包装政府采购需求标准的相关规定</w:t>
            </w:r>
          </w:p>
        </w:tc>
      </w:tr>
      <w:tr>
        <w:tblPrEx>
          <w:tblCellMar>
            <w:top w:w="0" w:type="dxa"/>
            <w:left w:w="108" w:type="dxa"/>
            <w:bottom w:w="0" w:type="dxa"/>
            <w:right w:w="108" w:type="dxa"/>
          </w:tblCellMar>
        </w:tblPrEx>
        <w:trPr>
          <w:trHeight w:val="156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服务响应</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服务响应</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a) 提供电话、电子邮件、远程连接等多种形式服务；b) 提供同城 4h、异地 12h 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培训服务</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供应商提供培训材料、产品手册、培训视频等培训相关内容</w:t>
            </w:r>
          </w:p>
        </w:tc>
      </w:tr>
      <w:tr>
        <w:tblPrEx>
          <w:tblCellMar>
            <w:top w:w="0" w:type="dxa"/>
            <w:left w:w="108" w:type="dxa"/>
            <w:bottom w:w="0" w:type="dxa"/>
            <w:right w:w="108" w:type="dxa"/>
          </w:tblCellMar>
        </w:tblPrEx>
        <w:trPr>
          <w:trHeight w:val="124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服务周期</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服务周期</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（1）产品免费服务周期（含换件和维修）≥5年，包含硬盘不返还服务；</w:t>
            </w:r>
          </w:p>
          <w:p>
            <w:pPr>
              <w:widowControl/>
              <w:rPr>
                <w:rFonts w:ascii="宋体" w:hAnsi="宋体" w:cs="宋体"/>
                <w:color w:val="000000"/>
                <w:szCs w:val="21"/>
              </w:rPr>
            </w:pPr>
            <w:r>
              <w:rPr>
                <w:rFonts w:hint="eastAsia" w:ascii="宋体" w:hAnsi="宋体" w:cs="宋体"/>
                <w:color w:val="000000"/>
                <w:szCs w:val="21"/>
              </w:rPr>
              <w:t>（2）设备停产后继续提供质量保障服务（含备品备件），服务终止时间与最后一批设备交付时间间隔≥6年；</w:t>
            </w:r>
          </w:p>
          <w:p>
            <w:pPr>
              <w:widowControl/>
              <w:rPr>
                <w:rFonts w:ascii="宋体" w:hAnsi="宋体" w:cs="宋体"/>
                <w:color w:val="000000"/>
                <w:szCs w:val="21"/>
              </w:rPr>
            </w:pPr>
            <w:r>
              <w:rPr>
                <w:rFonts w:hint="eastAsia" w:ascii="宋体" w:hAnsi="宋体" w:cs="宋体"/>
                <w:color w:val="000000"/>
                <w:szCs w:val="21"/>
              </w:rPr>
              <w:t>（3）产品停止服务时间应提前1年告知客户；</w:t>
            </w:r>
          </w:p>
          <w:p>
            <w:pPr>
              <w:widowControl/>
              <w:rPr>
                <w:rFonts w:ascii="宋体" w:hAnsi="宋体" w:cs="宋体"/>
                <w:color w:val="000000"/>
                <w:szCs w:val="21"/>
              </w:rPr>
            </w:pPr>
            <w:r>
              <w:rPr>
                <w:rFonts w:hint="eastAsia" w:ascii="宋体" w:hAnsi="宋体" w:cs="宋体"/>
                <w:color w:val="000000"/>
                <w:szCs w:val="21"/>
              </w:rPr>
              <w:t>（4）产品发布日期需在随机文件中明确。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服务工具要求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工具要求</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提供设置服务器硬件、辅助操作系统安装等功能的辅助工具和管理软件。且随附软件应具有合法授权或版权</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驱动安装升级指引</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提供出厂安装的配件所需的驱动程序，形式包括但不限于驱动光盘、驱动下载链接等。其他配件应提供指引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管理软件</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具备资源管理、系统管理、性能监控、健康监控、基于网络控制、报警设置功能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4</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增值服务</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厂家升级产品软件与扩容服务</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提供原厂级的部件/软件产品升级和扩容能力</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提供上门服务</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lang w:eastAsia="zh-CN"/>
                <w14:textFill>
                  <w14:solidFill>
                    <w14:schemeClr w14:val="tx1"/>
                  </w14:solidFill>
                </w14:textFill>
              </w:rPr>
              <w:t>7*2</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小时上门服务</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供应链质量</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抗干扰性</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当产品部件出现供应风险时，应通知客户并提供风险应对方案确保产品的服务保障，必要时应停止相关受影响产品的销售</w:t>
            </w:r>
          </w:p>
        </w:tc>
      </w:tr>
      <w:tr>
        <w:tblPrEx>
          <w:tblCellMar>
            <w:top w:w="0" w:type="dxa"/>
            <w:left w:w="108" w:type="dxa"/>
            <w:bottom w:w="0" w:type="dxa"/>
            <w:right w:w="108" w:type="dxa"/>
          </w:tblCellMar>
        </w:tblPrEx>
        <w:trPr>
          <w:trHeight w:val="381" w:hRule="atLeast"/>
          <w:jc w:val="center"/>
        </w:trPr>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供应能力证明</w:t>
            </w:r>
          </w:p>
        </w:tc>
        <w:tc>
          <w:tcPr>
            <w:tcW w:w="2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供应商需提供供应链稳定承诺书</w:t>
            </w:r>
          </w:p>
        </w:tc>
      </w:tr>
    </w:tbl>
    <w:p>
      <w:pPr>
        <w:rPr>
          <w:color w:val="000000"/>
        </w:rPr>
      </w:pPr>
    </w:p>
    <w:p>
      <w:pPr>
        <w:pStyle w:val="2"/>
      </w:pPr>
      <w:r>
        <w:br w:type="page"/>
      </w:r>
    </w:p>
    <w:p>
      <w:pPr>
        <w:pStyle w:val="5"/>
        <w:ind w:firstLine="482" w:firstLineChars="200"/>
        <w:rPr>
          <w:sz w:val="24"/>
          <w:szCs w:val="22"/>
        </w:rPr>
      </w:pPr>
      <w:r>
        <w:rPr>
          <w:rFonts w:hint="eastAsia"/>
          <w:sz w:val="24"/>
          <w:szCs w:val="22"/>
          <w:lang w:val="en-US" w:eastAsia="zh-CN"/>
        </w:rPr>
        <w:t>8.</w:t>
      </w:r>
      <w:r>
        <w:rPr>
          <w:rFonts w:hint="eastAsia"/>
          <w:sz w:val="24"/>
          <w:szCs w:val="22"/>
        </w:rPr>
        <w:t>分布式存储集群服务器（1</w:t>
      </w:r>
      <w:r>
        <w:rPr>
          <w:sz w:val="24"/>
          <w:szCs w:val="22"/>
        </w:rPr>
        <w:t>3台</w:t>
      </w:r>
      <w:r>
        <w:rPr>
          <w:rFonts w:hint="eastAsia"/>
          <w:sz w:val="24"/>
          <w:szCs w:val="22"/>
        </w:rPr>
        <w:t>）</w:t>
      </w:r>
    </w:p>
    <w:tbl>
      <w:tblPr>
        <w:tblStyle w:val="21"/>
        <w:tblW w:w="5000" w:type="pct"/>
        <w:jc w:val="center"/>
        <w:tblLayout w:type="fixed"/>
        <w:tblCellMar>
          <w:top w:w="0" w:type="dxa"/>
          <w:left w:w="108" w:type="dxa"/>
          <w:bottom w:w="0" w:type="dxa"/>
          <w:right w:w="108" w:type="dxa"/>
        </w:tblCellMar>
      </w:tblPr>
      <w:tblGrid>
        <w:gridCol w:w="514"/>
        <w:gridCol w:w="514"/>
        <w:gridCol w:w="514"/>
        <w:gridCol w:w="514"/>
        <w:gridCol w:w="1028"/>
        <w:gridCol w:w="1029"/>
        <w:gridCol w:w="5173"/>
      </w:tblGrid>
      <w:tr>
        <w:tblPrEx>
          <w:tblCellMar>
            <w:top w:w="0" w:type="dxa"/>
            <w:left w:w="108" w:type="dxa"/>
            <w:bottom w:w="0" w:type="dxa"/>
            <w:right w:w="108" w:type="dxa"/>
          </w:tblCellMar>
        </w:tblPrEx>
        <w:trPr>
          <w:trHeight w:val="555" w:hRule="atLeast"/>
          <w:jc w:val="center"/>
        </w:trPr>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50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50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2515"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CellMar>
            <w:top w:w="0" w:type="dxa"/>
            <w:left w:w="108" w:type="dxa"/>
            <w:bottom w:w="0" w:type="dxa"/>
            <w:right w:w="108" w:type="dxa"/>
          </w:tblCellMar>
        </w:tblPrEx>
        <w:trPr>
          <w:trHeight w:val="936" w:hRule="atLeast"/>
          <w:jc w:val="center"/>
        </w:trPr>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分布式存储集群服务器</w:t>
            </w:r>
          </w:p>
        </w:tc>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1</w:t>
            </w:r>
            <w:r>
              <w:rPr>
                <w:rFonts w:ascii="宋体" w:hAnsi="宋体"/>
                <w:color w:val="000000"/>
                <w:szCs w:val="21"/>
              </w:rPr>
              <w:t>3</w:t>
            </w:r>
          </w:p>
        </w:tc>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台</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Cs w:val="21"/>
              </w:rPr>
            </w:pPr>
            <w:r>
              <w:rPr>
                <w:rFonts w:ascii="宋体" w:hAnsi="宋体"/>
                <w:color w:val="000000"/>
                <w:szCs w:val="21"/>
              </w:rPr>
              <w:t>CPU</w:t>
            </w:r>
            <w:r>
              <w:rPr>
                <w:rFonts w:hint="eastAsia" w:ascii="宋体" w:hAnsi="宋体"/>
                <w:color w:val="000000"/>
                <w:szCs w:val="21"/>
              </w:rPr>
              <w:t>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Theme="minorEastAsia" w:hAnsiTheme="minorEastAsia"/>
                <w:color w:val="000000" w:themeColor="text1"/>
                <w:szCs w:val="21"/>
                <w14:textFill>
                  <w14:solidFill>
                    <w14:schemeClr w14:val="tx1"/>
                  </w14:solidFill>
                </w14:textFill>
              </w:rPr>
              <w:t>▲</w:t>
            </w:r>
            <w:r>
              <w:rPr>
                <w:rFonts w:ascii="宋体" w:hAnsi="宋体"/>
                <w:color w:val="000000"/>
                <w:szCs w:val="21"/>
              </w:rPr>
              <w:t xml:space="preserve">CPU </w:t>
            </w:r>
            <w:r>
              <w:rPr>
                <w:rFonts w:hint="eastAsia" w:ascii="宋体" w:hAnsi="宋体"/>
                <w:color w:val="000000"/>
                <w:szCs w:val="21"/>
              </w:rPr>
              <w:t>信息</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（1）配置2颗国产C86架构处理器，支持超线程技术和睿频技术；</w:t>
            </w:r>
          </w:p>
          <w:p>
            <w:pPr>
              <w:widowControl/>
              <w:rPr>
                <w:rFonts w:ascii="宋体" w:hAnsi="宋体" w:cs="宋体"/>
                <w:color w:val="000000"/>
                <w:szCs w:val="21"/>
              </w:rPr>
            </w:pPr>
            <w:r>
              <w:rPr>
                <w:rFonts w:hint="eastAsia" w:ascii="宋体" w:hAnsi="宋体" w:cs="宋体"/>
                <w:color w:val="000000"/>
                <w:szCs w:val="21"/>
              </w:rPr>
              <w:t xml:space="preserve">（2）单颗CPU型号Hygon </w:t>
            </w:r>
            <w:r>
              <w:rPr>
                <w:rFonts w:ascii="宋体" w:hAnsi="宋体" w:cs="宋体"/>
                <w:color w:val="000000"/>
                <w:szCs w:val="21"/>
              </w:rPr>
              <w:t>7360</w:t>
            </w:r>
            <w:r>
              <w:rPr>
                <w:rFonts w:hint="eastAsia" w:ascii="宋体" w:hAnsi="宋体" w:cs="宋体"/>
                <w:color w:val="000000"/>
                <w:szCs w:val="21"/>
              </w:rPr>
              <w:t>，单颗CPU物理核心数≥</w:t>
            </w:r>
            <w:r>
              <w:rPr>
                <w:rFonts w:ascii="宋体" w:hAnsi="宋体" w:cs="宋体"/>
                <w:color w:val="000000"/>
                <w:szCs w:val="21"/>
              </w:rPr>
              <w:t>24</w:t>
            </w:r>
            <w:r>
              <w:rPr>
                <w:rFonts w:hint="eastAsia" w:ascii="宋体" w:hAnsi="宋体" w:cs="宋体"/>
                <w:color w:val="000000"/>
                <w:szCs w:val="21"/>
              </w:rPr>
              <w:t>核、主频≥2.</w:t>
            </w:r>
            <w:r>
              <w:rPr>
                <w:rFonts w:ascii="宋体" w:hAnsi="宋体" w:cs="宋体"/>
                <w:color w:val="000000"/>
                <w:szCs w:val="21"/>
              </w:rPr>
              <w:t>2</w:t>
            </w:r>
            <w:r>
              <w:rPr>
                <w:rFonts w:hint="eastAsia" w:ascii="宋体" w:hAnsi="宋体" w:cs="宋体"/>
                <w:color w:val="000000"/>
                <w:szCs w:val="21"/>
              </w:rPr>
              <w:t>GHz、末级缓存容量≥</w:t>
            </w:r>
            <w:r>
              <w:rPr>
                <w:rFonts w:ascii="宋体" w:hAnsi="宋体" w:cs="宋体"/>
                <w:color w:val="000000"/>
                <w:szCs w:val="21"/>
              </w:rPr>
              <w:t>64</w:t>
            </w:r>
            <w:r>
              <w:rPr>
                <w:rFonts w:hint="eastAsia" w:ascii="宋体" w:hAnsi="宋体" w:cs="宋体"/>
                <w:color w:val="000000"/>
                <w:szCs w:val="21"/>
              </w:rPr>
              <w:t>MB、线程数≥4</w:t>
            </w:r>
            <w:r>
              <w:rPr>
                <w:rFonts w:ascii="宋体" w:hAnsi="宋体" w:cs="宋体"/>
                <w:color w:val="000000"/>
                <w:szCs w:val="21"/>
              </w:rPr>
              <w:t>8</w:t>
            </w:r>
            <w:r>
              <w:rPr>
                <w:rFonts w:hint="eastAsia" w:ascii="宋体" w:hAnsi="宋体" w:cs="宋体"/>
                <w:color w:val="000000"/>
                <w:szCs w:val="21"/>
              </w:rPr>
              <w:t>、热设计功耗≥1</w:t>
            </w:r>
            <w:r>
              <w:rPr>
                <w:rFonts w:ascii="宋体" w:hAnsi="宋体" w:cs="宋体"/>
                <w:color w:val="000000"/>
                <w:szCs w:val="21"/>
              </w:rPr>
              <w:t>80</w:t>
            </w:r>
            <w:r>
              <w:rPr>
                <w:rFonts w:hint="eastAsia" w:ascii="宋体" w:hAnsi="宋体" w:cs="宋体"/>
                <w:color w:val="000000"/>
                <w:szCs w:val="21"/>
              </w:rPr>
              <w:t>W、支持内存的最高速率≥3200MHz、通道数≥</w:t>
            </w:r>
            <w:r>
              <w:rPr>
                <w:rFonts w:ascii="宋体" w:hAnsi="宋体" w:cs="宋体"/>
                <w:color w:val="000000"/>
                <w:szCs w:val="21"/>
              </w:rPr>
              <w:t>8</w:t>
            </w:r>
            <w:r>
              <w:rPr>
                <w:rFonts w:hint="eastAsia" w:ascii="宋体" w:hAnsi="宋体" w:cs="宋体"/>
                <w:color w:val="000000"/>
                <w:szCs w:val="21"/>
              </w:rPr>
              <w:t>、位宽≥64位；</w:t>
            </w:r>
          </w:p>
        </w:tc>
      </w:tr>
      <w:tr>
        <w:tblPrEx>
          <w:tblCellMar>
            <w:top w:w="0" w:type="dxa"/>
            <w:left w:w="108" w:type="dxa"/>
            <w:bottom w:w="0" w:type="dxa"/>
            <w:right w:w="108" w:type="dxa"/>
          </w:tblCellMar>
        </w:tblPrEx>
        <w:trPr>
          <w:trHeight w:val="3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主板规格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主板支持的</w:t>
            </w:r>
            <w:r>
              <w:rPr>
                <w:rFonts w:ascii="宋体" w:hAnsi="宋体"/>
                <w:color w:val="000000"/>
                <w:szCs w:val="21"/>
              </w:rPr>
              <w:t xml:space="preserve">CPU </w:t>
            </w:r>
            <w:r>
              <w:rPr>
                <w:rFonts w:hint="eastAsia" w:ascii="宋体" w:hAnsi="宋体" w:cs="宋体"/>
                <w:color w:val="000000"/>
                <w:szCs w:val="21"/>
              </w:rPr>
              <w:t>和内存情况</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主板支持海光</w:t>
            </w:r>
            <w:r>
              <w:rPr>
                <w:rFonts w:ascii="宋体" w:hAnsi="宋体" w:cs="宋体"/>
                <w:color w:val="000000"/>
                <w:szCs w:val="21"/>
              </w:rPr>
              <w:t>736</w:t>
            </w:r>
            <w:r>
              <w:rPr>
                <w:rFonts w:hint="eastAsia" w:ascii="宋体" w:hAnsi="宋体" w:cs="宋体"/>
                <w:color w:val="000000"/>
                <w:szCs w:val="21"/>
              </w:rPr>
              <w:t xml:space="preserve">0 CPU ≥2颗，内存数量支持≥ </w:t>
            </w:r>
            <w:r>
              <w:rPr>
                <w:rFonts w:ascii="宋体" w:hAnsi="宋体" w:cs="宋体"/>
                <w:color w:val="000000"/>
                <w:szCs w:val="21"/>
              </w:rPr>
              <w:t>32</w:t>
            </w:r>
            <w:r>
              <w:rPr>
                <w:rFonts w:hint="eastAsia" w:ascii="宋体" w:hAnsi="宋体" w:cs="宋体"/>
                <w:color w:val="000000"/>
                <w:szCs w:val="21"/>
              </w:rPr>
              <w:t>个</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主板内存槽数量</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主板内存槽数量≥</w:t>
            </w:r>
            <w:r>
              <w:rPr>
                <w:rFonts w:ascii="宋体" w:hAnsi="宋体" w:cs="宋体"/>
                <w:color w:val="000000"/>
                <w:szCs w:val="21"/>
              </w:rPr>
              <w:t>32</w:t>
            </w:r>
            <w:r>
              <w:rPr>
                <w:rFonts w:hint="eastAsia" w:ascii="宋体" w:hAnsi="宋体" w:cs="宋体"/>
                <w:color w:val="000000"/>
                <w:szCs w:val="21"/>
              </w:rPr>
              <w:t>个</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主板存储接口</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（1）主板支持SATA/SAS/M.2/U.2存储接口；</w:t>
            </w:r>
          </w:p>
          <w:p>
            <w:pPr>
              <w:widowControl/>
              <w:rPr>
                <w:rFonts w:ascii="宋体" w:hAnsi="宋体" w:cs="宋体"/>
                <w:color w:val="000000"/>
                <w:szCs w:val="21"/>
              </w:rPr>
            </w:pPr>
            <w:r>
              <w:rPr>
                <w:rFonts w:hint="eastAsia" w:ascii="宋体" w:hAnsi="宋体" w:cs="宋体"/>
                <w:color w:val="000000"/>
                <w:szCs w:val="21"/>
              </w:rPr>
              <w:t>（2）板载支持≥</w:t>
            </w:r>
            <w:r>
              <w:rPr>
                <w:rFonts w:ascii="宋体" w:hAnsi="宋体" w:cs="宋体"/>
                <w:color w:val="000000"/>
                <w:szCs w:val="21"/>
              </w:rPr>
              <w:t>12</w:t>
            </w:r>
            <w:r>
              <w:rPr>
                <w:rFonts w:hint="eastAsia" w:ascii="宋体" w:hAnsi="宋体" w:cs="宋体"/>
                <w:color w:val="000000"/>
                <w:szCs w:val="21"/>
              </w:rPr>
              <w:t>个SATA/</w:t>
            </w:r>
            <w:r>
              <w:rPr>
                <w:rFonts w:ascii="宋体" w:hAnsi="宋体" w:cs="宋体"/>
                <w:color w:val="000000"/>
                <w:szCs w:val="21"/>
              </w:rPr>
              <w:t>SAS</w:t>
            </w:r>
            <w:r>
              <w:rPr>
                <w:rFonts w:hint="eastAsia" w:ascii="宋体" w:hAnsi="宋体" w:cs="宋体"/>
                <w:color w:val="000000"/>
                <w:szCs w:val="21"/>
              </w:rPr>
              <w:t>盘；</w:t>
            </w:r>
          </w:p>
          <w:p>
            <w:pPr>
              <w:widowControl/>
              <w:rPr>
                <w:rFonts w:ascii="宋体" w:hAnsi="宋体" w:cs="宋体"/>
                <w:color w:val="000000"/>
                <w:szCs w:val="21"/>
              </w:rPr>
            </w:pPr>
            <w:r>
              <w:rPr>
                <w:rFonts w:hint="eastAsia" w:ascii="宋体" w:hAnsi="宋体" w:cs="宋体"/>
                <w:color w:val="000000"/>
                <w:szCs w:val="21"/>
              </w:rPr>
              <w:t>（3）板载可支持</w:t>
            </w:r>
            <w:r>
              <w:rPr>
                <w:rFonts w:ascii="宋体" w:hAnsi="宋体" w:cs="宋体"/>
                <w:color w:val="000000"/>
                <w:szCs w:val="21"/>
              </w:rPr>
              <w:t>2</w:t>
            </w:r>
            <w:r>
              <w:rPr>
                <w:rFonts w:hint="eastAsia" w:ascii="宋体" w:hAnsi="宋体" w:cs="宋体"/>
                <w:color w:val="000000"/>
                <w:szCs w:val="21"/>
              </w:rPr>
              <w:t>个内置M.2 SSD；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r>
              <w:rPr>
                <w:rFonts w:hint="eastAsia" w:asciiTheme="minorEastAsia" w:hAnsiTheme="minorEastAsia"/>
                <w:color w:val="000000" w:themeColor="text1"/>
                <w:szCs w:val="21"/>
                <w14:textFill>
                  <w14:solidFill>
                    <w14:schemeClr w14:val="tx1"/>
                  </w14:solidFill>
                </w14:textFill>
              </w:rPr>
              <w:t>▲</w:t>
            </w:r>
            <w:r>
              <w:rPr>
                <w:rFonts w:ascii="宋体" w:hAnsi="宋体"/>
                <w:color w:val="000000"/>
                <w:szCs w:val="21"/>
              </w:rPr>
              <w:t xml:space="preserve">PCIe </w:t>
            </w:r>
            <w:r>
              <w:rPr>
                <w:rFonts w:hint="eastAsia" w:ascii="宋体" w:hAnsi="宋体"/>
                <w:color w:val="000000"/>
                <w:szCs w:val="21"/>
              </w:rPr>
              <w:t>插槽接口</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支持PCI-E 4.0插槽，可支持向下兼容</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 PCIe 插槽数量及规格</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主板最大可扩展</w:t>
            </w:r>
            <w:r>
              <w:rPr>
                <w:rFonts w:ascii="宋体" w:hAnsi="宋体" w:cs="宋体"/>
                <w:color w:val="000000"/>
                <w:szCs w:val="21"/>
              </w:rPr>
              <w:t>10</w:t>
            </w:r>
            <w:r>
              <w:rPr>
                <w:rFonts w:hint="eastAsia" w:ascii="宋体" w:hAnsi="宋体" w:cs="宋体"/>
                <w:color w:val="000000"/>
                <w:szCs w:val="21"/>
              </w:rPr>
              <w:t>个PCIe 4.0插槽；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内存数量</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内存数量≥</w:t>
            </w:r>
            <w:r>
              <w:rPr>
                <w:rFonts w:ascii="宋体" w:hAnsi="宋体" w:cs="宋体"/>
                <w:color w:val="000000"/>
                <w:szCs w:val="21"/>
              </w:rPr>
              <w:t>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内存规格</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w:t>
            </w:r>
            <w:r>
              <w:rPr>
                <w:rFonts w:ascii="宋体" w:hAnsi="宋体" w:cs="宋体"/>
                <w:color w:val="000000"/>
                <w:szCs w:val="21"/>
              </w:rPr>
              <w:t>512</w:t>
            </w:r>
            <w:r>
              <w:rPr>
                <w:rFonts w:hint="eastAsia" w:ascii="宋体" w:hAnsi="宋体" w:cs="宋体"/>
                <w:color w:val="000000"/>
                <w:szCs w:val="21"/>
              </w:rPr>
              <w:t>GB</w:t>
            </w:r>
            <w:r>
              <w:rPr>
                <w:rFonts w:ascii="宋体" w:hAnsi="宋体" w:cs="宋体"/>
                <w:color w:val="000000"/>
                <w:szCs w:val="21"/>
              </w:rPr>
              <w:t xml:space="preserve"> </w:t>
            </w:r>
            <w:r>
              <w:rPr>
                <w:rFonts w:hint="eastAsia" w:ascii="宋体" w:hAnsi="宋体" w:cs="宋体"/>
                <w:color w:val="000000"/>
                <w:szCs w:val="21"/>
              </w:rPr>
              <w:t>DDR4</w:t>
            </w:r>
          </w:p>
        </w:tc>
      </w:tr>
      <w:tr>
        <w:tblPrEx>
          <w:tblCellMar>
            <w:top w:w="0" w:type="dxa"/>
            <w:left w:w="108" w:type="dxa"/>
            <w:bottom w:w="0" w:type="dxa"/>
            <w:right w:w="108" w:type="dxa"/>
          </w:tblCellMar>
        </w:tblPrEx>
        <w:trPr>
          <w:trHeight w:val="41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内存通道</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w:t>
            </w:r>
            <w:r>
              <w:rPr>
                <w:rFonts w:ascii="宋体" w:hAnsi="宋体" w:cs="宋体"/>
                <w:color w:val="000000"/>
                <w:szCs w:val="21"/>
              </w:rPr>
              <w:t>8</w:t>
            </w:r>
            <w:r>
              <w:rPr>
                <w:rFonts w:hint="eastAsia" w:ascii="宋体" w:hAnsi="宋体" w:cs="宋体"/>
                <w:color w:val="000000"/>
                <w:szCs w:val="21"/>
              </w:rPr>
              <w:t>个内存接口通道</w:t>
            </w:r>
          </w:p>
        </w:tc>
      </w:tr>
      <w:tr>
        <w:tblPrEx>
          <w:tblCellMar>
            <w:top w:w="0" w:type="dxa"/>
            <w:left w:w="108" w:type="dxa"/>
            <w:bottom w:w="0" w:type="dxa"/>
            <w:right w:w="108" w:type="dxa"/>
          </w:tblCellMar>
        </w:tblPrEx>
        <w:trPr>
          <w:trHeight w:val="603"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存储规格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硬磁盘实配容量</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w:t>
            </w:r>
            <w:r>
              <w:rPr>
                <w:rFonts w:ascii="宋体" w:hAnsi="宋体" w:cs="宋体"/>
                <w:color w:val="000000"/>
                <w:szCs w:val="21"/>
              </w:rPr>
              <w:t>96</w:t>
            </w:r>
            <w:r>
              <w:rPr>
                <w:rFonts w:hint="eastAsia" w:ascii="宋体" w:hAnsi="宋体" w:cs="宋体"/>
                <w:color w:val="000000"/>
                <w:szCs w:val="21"/>
              </w:rPr>
              <w:t xml:space="preserve">TB </w:t>
            </w:r>
            <w:r>
              <w:rPr>
                <w:rFonts w:ascii="宋体" w:hAnsi="宋体" w:cs="宋体"/>
                <w:color w:val="000000"/>
                <w:szCs w:val="21"/>
              </w:rPr>
              <w:t>(1</w:t>
            </w:r>
            <w:r>
              <w:rPr>
                <w:rFonts w:hint="eastAsia" w:ascii="宋体" w:hAnsi="宋体" w:cs="宋体"/>
                <w:color w:val="000000"/>
                <w:szCs w:val="21"/>
                <w:lang w:eastAsia="zh-CN"/>
              </w:rPr>
              <w:t>2*8</w:t>
            </w:r>
            <w:r>
              <w:rPr>
                <w:rFonts w:ascii="宋体" w:hAnsi="宋体" w:cs="宋体"/>
                <w:color w:val="000000"/>
                <w:szCs w:val="21"/>
              </w:rPr>
              <w:t>TB)</w:t>
            </w:r>
            <w:r>
              <w:rPr>
                <w:rFonts w:hint="eastAsia" w:ascii="宋体" w:hAnsi="宋体" w:cs="宋体"/>
                <w:color w:val="000000"/>
                <w:szCs w:val="21"/>
              </w:rPr>
              <w:t>3.5英寸 SATA HDD；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硬盘实配数量</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实配≥1</w:t>
            </w:r>
            <w:r>
              <w:rPr>
                <w:rFonts w:hint="eastAsia" w:ascii="宋体" w:hAnsi="宋体" w:cs="宋体"/>
                <w:color w:val="000000"/>
                <w:szCs w:val="21"/>
                <w:lang w:eastAsia="zh-CN"/>
              </w:rPr>
              <w:t>2*8</w:t>
            </w:r>
            <w:r>
              <w:rPr>
                <w:rFonts w:hint="eastAsia" w:ascii="宋体" w:hAnsi="宋体" w:cs="宋体"/>
                <w:color w:val="000000"/>
                <w:szCs w:val="21"/>
              </w:rPr>
              <w:t>TB 3.5英寸 SATA HDD；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固态盘实配容量</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w:t>
            </w:r>
            <w:r>
              <w:rPr>
                <w:rFonts w:ascii="宋体" w:hAnsi="宋体" w:cs="宋体"/>
                <w:color w:val="000000"/>
                <w:szCs w:val="21"/>
              </w:rPr>
              <w:t>96</w:t>
            </w:r>
            <w:r>
              <w:rPr>
                <w:rFonts w:hint="eastAsia" w:ascii="宋体" w:hAnsi="宋体" w:cs="宋体"/>
                <w:color w:val="000000"/>
                <w:szCs w:val="21"/>
              </w:rPr>
              <w:t>0GB（</w:t>
            </w:r>
            <w:r>
              <w:rPr>
                <w:rFonts w:hint="eastAsia" w:ascii="宋体" w:hAnsi="宋体" w:cs="宋体"/>
                <w:color w:val="000000"/>
                <w:szCs w:val="21"/>
                <w:lang w:eastAsia="zh-CN"/>
              </w:rPr>
              <w:t>2*4</w:t>
            </w:r>
            <w:r>
              <w:rPr>
                <w:rFonts w:ascii="宋体" w:hAnsi="宋体" w:cs="宋体"/>
                <w:color w:val="000000"/>
                <w:szCs w:val="21"/>
              </w:rPr>
              <w:t>80GB</w:t>
            </w:r>
            <w:r>
              <w:rPr>
                <w:rFonts w:hint="eastAsia" w:ascii="宋体" w:hAnsi="宋体" w:cs="宋体"/>
                <w:color w:val="000000"/>
                <w:szCs w:val="21"/>
              </w:rPr>
              <w:t>） 2.5英寸 SATA SSD，≥3</w:t>
            </w:r>
            <w:r>
              <w:rPr>
                <w:rFonts w:ascii="宋体" w:hAnsi="宋体" w:cs="宋体"/>
                <w:color w:val="000000"/>
                <w:szCs w:val="21"/>
              </w:rPr>
              <w:t>.84TB</w:t>
            </w:r>
            <w:r>
              <w:rPr>
                <w:rFonts w:hint="eastAsia" w:ascii="宋体" w:hAnsi="宋体" w:cs="宋体"/>
                <w:color w:val="000000"/>
                <w:szCs w:val="21"/>
              </w:rPr>
              <w:t>(</w:t>
            </w:r>
            <w:r>
              <w:rPr>
                <w:rFonts w:hint="eastAsia" w:ascii="宋体" w:hAnsi="宋体" w:cs="宋体"/>
                <w:color w:val="000000"/>
                <w:szCs w:val="21"/>
                <w:lang w:eastAsia="zh-CN"/>
              </w:rPr>
              <w:t>2*1</w:t>
            </w:r>
            <w:r>
              <w:rPr>
                <w:rFonts w:hint="eastAsia" w:ascii="宋体" w:hAnsi="宋体" w:cs="宋体"/>
                <w:color w:val="000000"/>
                <w:szCs w:val="21"/>
              </w:rPr>
              <w:t>.</w:t>
            </w:r>
            <w:r>
              <w:rPr>
                <w:rFonts w:ascii="宋体" w:hAnsi="宋体" w:cs="宋体"/>
                <w:color w:val="000000"/>
                <w:szCs w:val="21"/>
              </w:rPr>
              <w:t>92</w:t>
            </w:r>
            <w:r>
              <w:rPr>
                <w:rFonts w:hint="eastAsia" w:ascii="宋体" w:hAnsi="宋体" w:cs="宋体"/>
                <w:color w:val="000000"/>
                <w:szCs w:val="21"/>
              </w:rPr>
              <w:t xml:space="preserve">TB </w:t>
            </w:r>
            <w:r>
              <w:rPr>
                <w:rFonts w:ascii="宋体" w:hAnsi="宋体" w:cs="宋体"/>
                <w:color w:val="000000"/>
                <w:szCs w:val="21"/>
              </w:rPr>
              <w:t>)</w:t>
            </w:r>
            <w:r>
              <w:rPr>
                <w:rFonts w:hint="eastAsia" w:ascii="宋体" w:hAnsi="宋体" w:cs="宋体"/>
                <w:color w:val="000000"/>
                <w:szCs w:val="21"/>
              </w:rPr>
              <w:t>2.5英寸/PCIe NVME SSD；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固态盘实配数量</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w:t>
            </w:r>
            <w:r>
              <w:rPr>
                <w:rFonts w:hint="eastAsia" w:ascii="宋体" w:hAnsi="宋体" w:cs="宋体"/>
                <w:color w:val="000000"/>
                <w:szCs w:val="21"/>
                <w:lang w:eastAsia="zh-CN"/>
              </w:rPr>
              <w:t>2*4</w:t>
            </w:r>
            <w:r>
              <w:rPr>
                <w:rFonts w:ascii="宋体" w:hAnsi="宋体" w:cs="宋体"/>
                <w:color w:val="000000"/>
                <w:szCs w:val="21"/>
              </w:rPr>
              <w:t>8</w:t>
            </w:r>
            <w:r>
              <w:rPr>
                <w:rFonts w:hint="eastAsia" w:ascii="宋体" w:hAnsi="宋体" w:cs="宋体"/>
                <w:color w:val="000000"/>
                <w:szCs w:val="21"/>
              </w:rPr>
              <w:t>0GB 2.5英寸 SATA SSD，≥</w:t>
            </w:r>
            <w:r>
              <w:rPr>
                <w:rFonts w:hint="eastAsia" w:ascii="宋体" w:hAnsi="宋体" w:cs="宋体"/>
                <w:color w:val="000000"/>
                <w:szCs w:val="21"/>
                <w:lang w:eastAsia="zh-CN"/>
              </w:rPr>
              <w:t>2*1</w:t>
            </w:r>
            <w:r>
              <w:rPr>
                <w:rFonts w:hint="eastAsia" w:ascii="宋体" w:hAnsi="宋体" w:cs="宋体"/>
                <w:color w:val="000000"/>
                <w:szCs w:val="21"/>
              </w:rPr>
              <w:t>.</w:t>
            </w:r>
            <w:r>
              <w:rPr>
                <w:rFonts w:ascii="宋体" w:hAnsi="宋体" w:cs="宋体"/>
                <w:color w:val="000000"/>
                <w:szCs w:val="21"/>
              </w:rPr>
              <w:t>92</w:t>
            </w:r>
            <w:r>
              <w:rPr>
                <w:rFonts w:hint="eastAsia" w:ascii="宋体" w:hAnsi="宋体" w:cs="宋体"/>
                <w:color w:val="000000"/>
                <w:szCs w:val="21"/>
              </w:rPr>
              <w:t>TB 2.5英寸/PCIe NVME SSD；</w:t>
            </w:r>
          </w:p>
        </w:tc>
      </w:tr>
      <w:tr>
        <w:tblPrEx>
          <w:tblCellMar>
            <w:top w:w="0" w:type="dxa"/>
            <w:left w:w="108" w:type="dxa"/>
            <w:bottom w:w="0" w:type="dxa"/>
            <w:right w:w="108" w:type="dxa"/>
          </w:tblCellMar>
        </w:tblPrEx>
        <w:trPr>
          <w:trHeight w:val="95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硬盘插槽数量及规格</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（1）支持≥12个前置热插拔3.5硬盘或24个2.5硬盘，支持SAS/SATA/NVMe SSD；</w:t>
            </w:r>
          </w:p>
          <w:p>
            <w:pPr>
              <w:widowControl/>
              <w:rPr>
                <w:rFonts w:ascii="宋体" w:hAnsi="宋体" w:cs="宋体"/>
                <w:color w:val="000000"/>
                <w:szCs w:val="21"/>
              </w:rPr>
            </w:pPr>
            <w:r>
              <w:rPr>
                <w:rFonts w:hint="eastAsia" w:ascii="宋体" w:hAnsi="宋体" w:cs="宋体"/>
                <w:color w:val="000000"/>
                <w:szCs w:val="21"/>
              </w:rPr>
              <w:t>（2）板载支持≥8个NVMe SSD，最高支持 24 个 NVMe SSD，提供官网截图证明</w:t>
            </w:r>
          </w:p>
          <w:p>
            <w:pPr>
              <w:widowControl/>
              <w:rPr>
                <w:rFonts w:ascii="宋体" w:hAnsi="宋体" w:cs="宋体"/>
                <w:color w:val="000000"/>
                <w:szCs w:val="21"/>
              </w:rPr>
            </w:pPr>
            <w:r>
              <w:rPr>
                <w:rFonts w:hint="eastAsia" w:ascii="宋体" w:hAnsi="宋体" w:cs="宋体"/>
                <w:color w:val="000000"/>
                <w:szCs w:val="21"/>
              </w:rPr>
              <w:t>（3）板载可支持2个内置M.2 SSD，兼容PCIe 和SATA规格，支持2个SATA M.2硬件RAID1,提供板载2个M.2接口实物照片</w:t>
            </w:r>
          </w:p>
          <w:p>
            <w:pPr>
              <w:widowControl/>
              <w:rPr>
                <w:rFonts w:ascii="宋体" w:hAnsi="宋体" w:cs="宋体"/>
                <w:color w:val="000000"/>
                <w:szCs w:val="21"/>
              </w:rPr>
            </w:pPr>
            <w:r>
              <w:rPr>
                <w:rFonts w:hint="eastAsia" w:ascii="宋体" w:hAnsi="宋体" w:cs="宋体"/>
                <w:color w:val="000000"/>
                <w:szCs w:val="21"/>
              </w:rPr>
              <w:t>（4）后置支持≥4个2.5寸硬盘+4个3.5寸硬盘,提供后置实物截图</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RAID卡支持的SAS接口数</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网口速率和数量</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（1）实配1GE网口，RJ45接口，数量≥2个；</w:t>
            </w:r>
          </w:p>
          <w:p>
            <w:pPr>
              <w:widowControl/>
              <w:rPr>
                <w:rFonts w:ascii="宋体" w:hAnsi="宋体" w:cs="宋体"/>
                <w:color w:val="000000"/>
                <w:szCs w:val="21"/>
              </w:rPr>
            </w:pPr>
            <w:r>
              <w:rPr>
                <w:rFonts w:hint="eastAsia" w:ascii="宋体" w:hAnsi="宋体" w:cs="宋体"/>
                <w:color w:val="000000"/>
                <w:szCs w:val="21"/>
              </w:rPr>
              <w:t>（2）实配10GE网口，SFP+光口，数量≥2个；</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外部接口规格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显示接口</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配置≥1个VGA接口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USB 接口</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w:t>
            </w:r>
            <w:r>
              <w:rPr>
                <w:rFonts w:ascii="宋体" w:hAnsi="宋体" w:cs="宋体"/>
                <w:color w:val="000000"/>
                <w:szCs w:val="21"/>
              </w:rPr>
              <w:t>2</w:t>
            </w:r>
            <w:r>
              <w:rPr>
                <w:rFonts w:hint="eastAsia" w:ascii="宋体" w:hAnsi="宋体" w:cs="宋体"/>
                <w:color w:val="000000"/>
                <w:szCs w:val="21"/>
              </w:rPr>
              <w:t>个USB3.0接口，2个位于机箱后部</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电源模块数量</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配置≥2个</w:t>
            </w:r>
            <w:r>
              <w:rPr>
                <w:rFonts w:ascii="宋体" w:hAnsi="宋体" w:cs="宋体"/>
                <w:color w:val="000000"/>
                <w:szCs w:val="21"/>
              </w:rPr>
              <w:t>800W/1200W/1300</w:t>
            </w:r>
            <w:r>
              <w:rPr>
                <w:rFonts w:hint="eastAsia" w:ascii="宋体" w:hAnsi="宋体" w:cs="宋体"/>
                <w:color w:val="000000"/>
                <w:szCs w:val="21"/>
              </w:rPr>
              <w:t xml:space="preserve"> CRPS标准电源，支持1+1冗余</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电源功率</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ascii="宋体" w:hAnsi="宋体" w:cs="宋体"/>
                <w:color w:val="000000"/>
                <w:szCs w:val="21"/>
              </w:rPr>
              <w:t>800W/1200W/1300</w:t>
            </w:r>
            <w:r>
              <w:rPr>
                <w:rFonts w:hint="eastAsia" w:ascii="宋体" w:hAnsi="宋体" w:cs="宋体"/>
                <w:color w:val="000000"/>
                <w:szCs w:val="21"/>
              </w:rPr>
              <w:t>，电源模块功率应有一定冗余， 满足处理器满载时的需求</w:t>
            </w:r>
          </w:p>
        </w:tc>
      </w:tr>
      <w:tr>
        <w:tblPrEx>
          <w:tblCellMar>
            <w:top w:w="0" w:type="dxa"/>
            <w:left w:w="108" w:type="dxa"/>
            <w:bottom w:w="0" w:type="dxa"/>
            <w:right w:w="108" w:type="dxa"/>
          </w:tblCellMar>
        </w:tblPrEx>
        <w:trPr>
          <w:trHeight w:val="405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外观和结构</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a)服务器的零部件应紧固无松动，可插拔部件应可靠连接，开关、按钮和其它控制部件应灵活可靠，布局应方便使用；</w:t>
            </w:r>
            <w:r>
              <w:rPr>
                <w:rFonts w:hint="eastAsia" w:ascii="宋体" w:hAnsi="宋体" w:cs="宋体"/>
                <w:color w:val="000000"/>
                <w:szCs w:val="21"/>
              </w:rPr>
              <w:br w:type="textWrapping"/>
            </w:r>
            <w:r>
              <w:rPr>
                <w:rFonts w:hint="eastAsia" w:ascii="宋体" w:hAnsi="宋体" w:cs="宋体"/>
                <w:color w:val="000000"/>
                <w:szCs w:val="21"/>
              </w:rPr>
              <w:t>b) 产品表面不应有明显的凹痕、划伤、裂缝、变形和污染等。表面涂层均匀，不应起泡、龟裂、脱落和磨损，金属零部件无锈蚀及其它机械损伤；</w:t>
            </w:r>
            <w:r>
              <w:rPr>
                <w:rFonts w:hint="eastAsia" w:ascii="宋体" w:hAnsi="宋体" w:cs="宋体"/>
                <w:color w:val="000000"/>
                <w:szCs w:val="21"/>
              </w:rPr>
              <w:br w:type="textWrapping"/>
            </w:r>
            <w:r>
              <w:rPr>
                <w:rFonts w:hint="eastAsia" w:ascii="宋体" w:hAnsi="宋体" w:cs="宋体"/>
                <w:color w:val="000000"/>
                <w:szCs w:val="21"/>
              </w:rPr>
              <w:t>c) 产品表面说明功能的文字、符号和标志应清晰、端正且牢固；</w:t>
            </w:r>
            <w:r>
              <w:rPr>
                <w:rFonts w:hint="eastAsia" w:ascii="宋体" w:hAnsi="宋体" w:cs="宋体"/>
                <w:color w:val="000000"/>
                <w:szCs w:val="21"/>
              </w:rPr>
              <w:br w:type="textWrapping"/>
            </w:r>
            <w:r>
              <w:rPr>
                <w:rFonts w:hint="eastAsia" w:ascii="宋体" w:hAnsi="宋体" w:cs="宋体"/>
                <w:color w:val="000000"/>
                <w:szCs w:val="21"/>
              </w:rPr>
              <w:t>d) 应在服务器的显著位置提供运行状态的指示功能，并在随机文件中明确具体含义；</w:t>
            </w:r>
            <w:r>
              <w:rPr>
                <w:rFonts w:hint="eastAsia" w:ascii="宋体" w:hAnsi="宋体" w:cs="宋体"/>
                <w:color w:val="000000"/>
                <w:szCs w:val="21"/>
              </w:rPr>
              <w:br w:type="textWrapping"/>
            </w:r>
            <w:r>
              <w:rPr>
                <w:rFonts w:hint="eastAsia" w:ascii="宋体" w:hAnsi="宋体" w:cs="宋体"/>
                <w:color w:val="000000"/>
                <w:szCs w:val="21"/>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cs="宋体"/>
                <w:color w:val="000000"/>
                <w:szCs w:val="21"/>
              </w:rPr>
              <w:br w:type="textWrapping"/>
            </w:r>
            <w:r>
              <w:rPr>
                <w:rFonts w:hint="eastAsia" w:ascii="宋体" w:hAnsi="宋体" w:cs="宋体"/>
                <w:color w:val="000000"/>
                <w:szCs w:val="21"/>
              </w:rPr>
              <w:t>f) 高密度服务器应给出 CPU 个数与机柜高度；</w:t>
            </w:r>
            <w:r>
              <w:rPr>
                <w:rFonts w:hint="eastAsia" w:ascii="宋体" w:hAnsi="宋体" w:cs="宋体"/>
                <w:color w:val="000000"/>
                <w:szCs w:val="21"/>
              </w:rPr>
              <w:br w:type="textWrapping"/>
            </w:r>
            <w:r>
              <w:rPr>
                <w:rFonts w:hint="eastAsia" w:ascii="宋体" w:hAnsi="宋体" w:cs="宋体"/>
                <w:color w:val="000000"/>
                <w:szCs w:val="21"/>
              </w:rPr>
              <w:t>g) 服务器尺寸具体要求在随机文件中明确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尺寸（高×宽×深）</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2U机架式服务器，机箱深度小于800mm</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环境适应性</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气候环境适应性应符合 GB/T9813.3 的有关规定，工作温度 10～35℃，贮存运输温度-40～55℃；工作相对湿度 35%～80%，贮存运输相对湿度 20％～93%（40℃）；大气压86～106kPa</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机械环境适应性</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机械环境适应性应符合 GB/T9813.3 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噪声</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GB/T 9813.3 的有关规定，在产品说明中给出具体测试值塔式服务器噪声在空闲状态下不大于 50dB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机柜规格</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机柜尺寸</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2U机架式服务器，能安装于19英寸标准服务器机柜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主板</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主板外部接口种类</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 USB、显示、管理等接口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8</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网络功能</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支持网络连接、网络访问、数据交换和网络管控功能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计算处理</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支持通用计算及虚拟化功能。处理器需集成整型计算单元、浮点计算单元、内存控制器、I/O 模块等，处理器与存储部件、网络部件、I/O部件等组成计算系统，提供数据处理、网络接入等计算相关功能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密码算法实现</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CPU 芯片应符合 GM/T 0008 的相关规定，或芯片密码模块应符合 GB/T37092 或 GM/T 0028 的相关规定，芯片通过国家密码局颁发的商用密码产品二级及以上认证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RAID卡级别支持</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RAID 模式支持 RAID 0/1/10/5</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电源热插拔</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整机电源模块应具备热插拔功能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电源过流保护</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支持过流及短路保护的功能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散热方式</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支持风冷或液冷等散热方式</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管理系统功能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BMC 固件基础功能</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支持设备日志记录，包括但不限于登录日志、操作日志和报警日志等功能；</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BIOS 固件基础功能</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支持查看固件版本、内存信息、主板信息、处理器信息和系统时间信息功能；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远程控制</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支持远程关机和重新启动功能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操作系统及驱动功能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操作系统及驱动的升级</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支持通过网络、闪存盘对操作系统、驱动进行升级</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操作系统功能</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支持访问控制、安全审计、网络接入鉴别等功能；</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中文信息处理功能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中文信息处理</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 18030 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关键部件安全要求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关键部件安全要求</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CPU 和操作系统等关键部件应当符合安全可靠测评要求</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固件安全要求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故障检测</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支持故障检测功能，可以检测到具体的 FRU（内存、硬盘等）的故障并发出告警</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系统安全要求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弱口令字典检查</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支持弱口令字典检查功能，出现在弱口令字典中的字符串不能被设置为用户口令</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白名单访问控制</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支持基于时间、IP 或 MAC 白名单访问控制</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二次鉴别</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支持二次鉴别功能。对于用户配置、权限配置、公钥导入等重要的管理操作，已登录用户应通过二次鉴别后，才能执行操作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密码证书安全加密存储</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支持对带外管理系统中的用户口令和证书等敏感信息进行加密存储，禁止使用私有的和业界已知不安全的密码算法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敏感信息安全加密传输</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支持使用安全的传输加密协议（如SSH 或 HTTPS 等）传输用户的敏感信息</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信息安全要求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研发过程安全</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供应商承诺，生产商已建立从需求、设计、开发、测试、维护端到端的开发流程管理机制，输出和保存开发流程中每个阶段的产品需求清单、设计文档、开发文档、测试记录等材料，保证各个流程可追溯；</w:t>
            </w:r>
          </w:p>
          <w:p>
            <w:pPr>
              <w:widowControl/>
              <w:rPr>
                <w:rFonts w:hint="default" w:ascii="宋体" w:hAnsi="宋体" w:cs="宋体"/>
                <w:color w:val="000000"/>
                <w:szCs w:val="21"/>
              </w:rPr>
            </w:pPr>
            <w:r>
              <w:rPr>
                <w:rFonts w:hint="eastAsia" w:ascii="宋体" w:hAnsi="宋体" w:cs="宋体"/>
                <w:color w:val="000000"/>
                <w:szCs w:val="21"/>
              </w:rPr>
              <w:t>产品生产商已建立一个覆盖信息化和工业化的融合全局、全要素、全过程的产品全生命周期内管理体系标准，</w:t>
            </w:r>
            <w:r>
              <w:rPr>
                <w:rFonts w:hint="default" w:ascii="宋体" w:hAnsi="宋体" w:cs="宋体"/>
                <w:color w:val="000000"/>
                <w:szCs w:val="21"/>
              </w:rPr>
              <w:t>产品厂商有效期内须通过信息化和工业化融合管理体系认证；</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Cs w:val="21"/>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★增强要求</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支持可信平台控制模块(TPCM)；</w:t>
            </w:r>
          </w:p>
          <w:p>
            <w:pPr>
              <w:widowControl/>
              <w:rPr>
                <w:rFonts w:ascii="宋体" w:hAnsi="宋体" w:cs="宋体"/>
                <w:color w:val="000000"/>
                <w:szCs w:val="21"/>
              </w:rPr>
            </w:pPr>
            <w:r>
              <w:rPr>
                <w:rFonts w:hint="eastAsia" w:ascii="宋体" w:hAnsi="宋体" w:cs="宋体"/>
                <w:color w:val="000000"/>
                <w:szCs w:val="21"/>
              </w:rPr>
              <w:t>支持基于处理器或可信计算模块度量的功能；</w:t>
            </w:r>
          </w:p>
          <w:p>
            <w:pPr>
              <w:widowControl/>
              <w:rPr>
                <w:rFonts w:ascii="宋体" w:hAnsi="宋体" w:cs="宋体"/>
                <w:color w:val="000000"/>
                <w:szCs w:val="21"/>
              </w:rPr>
            </w:pPr>
            <w:r>
              <w:rPr>
                <w:rFonts w:hint="eastAsia" w:ascii="宋体" w:hAnsi="宋体" w:cs="宋体"/>
                <w:color w:val="000000"/>
                <w:szCs w:val="21"/>
              </w:rPr>
              <w:t>可信安全管理模块、 处理器等硬件载体应通过国家相关部门的认证和许可；</w:t>
            </w:r>
          </w:p>
          <w:p>
            <w:pPr>
              <w:widowControl/>
              <w:rPr>
                <w:rFonts w:hint="default" w:ascii="宋体" w:hAnsi="宋体" w:cs="宋体"/>
                <w:color w:val="000000"/>
                <w:szCs w:val="21"/>
              </w:rPr>
            </w:pPr>
            <w:r>
              <w:rPr>
                <w:rFonts w:hint="default" w:ascii="宋体" w:hAnsi="宋体" w:cs="宋体"/>
                <w:color w:val="000000"/>
                <w:szCs w:val="21"/>
              </w:rPr>
              <w:t>所投机型须通过可信计算兼容性测试来满足等保2.0三级要求。</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物理安全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物理安全</w:t>
            </w:r>
          </w:p>
        </w:tc>
        <w:tc>
          <w:tcPr>
            <w:tcW w:w="25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安全要求应符合 GB 4943.1 的规定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限用物质的限量要求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限用物质的限量要求</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限用物质的限量应符合 GB/T 26572的要求</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2</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CPU 主频</w:t>
            </w:r>
          </w:p>
        </w:tc>
        <w:tc>
          <w:tcPr>
            <w:tcW w:w="25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GHz</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ascii="宋体" w:hAnsi="宋体" w:cs="宋体"/>
                <w:color w:val="000000"/>
                <w:szCs w:val="21"/>
              </w:rPr>
              <w:t>53</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单 CPU 核数</w:t>
            </w:r>
          </w:p>
        </w:tc>
        <w:tc>
          <w:tcPr>
            <w:tcW w:w="25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24</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单 CPU 末级缓存容量</w:t>
            </w:r>
          </w:p>
        </w:tc>
        <w:tc>
          <w:tcPr>
            <w:tcW w:w="25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64</w:t>
            </w:r>
            <w:r>
              <w:rPr>
                <w:rFonts w:hint="eastAsia" w:ascii="宋体" w:hAnsi="宋体" w:cs="宋体"/>
                <w:color w:val="000000"/>
                <w:szCs w:val="21"/>
              </w:rPr>
              <w:t>MB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内存速率</w:t>
            </w:r>
          </w:p>
        </w:tc>
        <w:tc>
          <w:tcPr>
            <w:tcW w:w="25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3200</w:t>
            </w:r>
            <w:r>
              <w:rPr>
                <w:rFonts w:hint="eastAsia" w:ascii="宋体" w:hAnsi="宋体" w:cs="宋体"/>
                <w:color w:val="000000"/>
                <w:szCs w:val="21"/>
              </w:rPr>
              <w:t>MT/s</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RAID卡性能</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ascii="宋体" w:hAnsi="宋体" w:cs="宋体"/>
                <w:color w:val="000000"/>
                <w:szCs w:val="21"/>
              </w:rPr>
              <w:t>R</w:t>
            </w:r>
            <w:r>
              <w:rPr>
                <w:rFonts w:hint="eastAsia" w:ascii="宋体" w:hAnsi="宋体" w:cs="宋体"/>
                <w:color w:val="000000"/>
                <w:szCs w:val="21"/>
              </w:rPr>
              <w:t>aid卡缓存容量大小</w:t>
            </w:r>
          </w:p>
        </w:tc>
        <w:tc>
          <w:tcPr>
            <w:tcW w:w="25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缓存容量≥4GB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电源能耗</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电源能耗</w:t>
            </w:r>
          </w:p>
        </w:tc>
        <w:tc>
          <w:tcPr>
            <w:tcW w:w="25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符合 GB/T 9813.3 的有关规定</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部件兼容性要求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内存兼容性</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适配 3 种及以上厂商的内存产品，且均不低于产品支持的内存规格</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固态存储兼容性</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适配 3 种或以上厂商的固态存储产品，且均不低于产品支持的固态存储设备规格</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网卡兼容性</w:t>
            </w:r>
          </w:p>
        </w:tc>
        <w:tc>
          <w:tcPr>
            <w:tcW w:w="25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网卡应适配两种或以上厂商产品</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功能卡兼容性</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内置或适配符合 PCIe 的功能卡，如：网络功能卡、存储功能卡及图形显示功能卡</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外设兼容性</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外设兼容性</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兼容多种主流生产商的外部设备，包括显示器、键盘、鼠标、闪存盘、移动硬盘、USB 光驱及 KVM 等，要求使用不同厂商的外部设备时，系统均能正常识别和安装驱动</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软件兼容性</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数据库兼容</w:t>
            </w:r>
          </w:p>
        </w:tc>
        <w:tc>
          <w:tcPr>
            <w:tcW w:w="5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个及以上厂商的数据库产品。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中间件兼容</w:t>
            </w:r>
          </w:p>
        </w:tc>
        <w:tc>
          <w:tcPr>
            <w:tcW w:w="5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个及以上厂商的中间件产品。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平台软件兼容</w:t>
            </w:r>
          </w:p>
        </w:tc>
        <w:tc>
          <w:tcPr>
            <w:tcW w:w="5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个及以上厂商的大数据平台。</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整机可靠性要求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整机可靠性</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宋体" w:hAnsi="宋体" w:cs="宋体"/>
                <w:color w:val="000000"/>
                <w:szCs w:val="21"/>
              </w:rPr>
            </w:pPr>
            <w:r>
              <w:rPr>
                <w:rFonts w:hint="eastAsia" w:ascii="宋体" w:hAnsi="宋体" w:cs="宋体"/>
                <w:color w:val="000000"/>
                <w:szCs w:val="21"/>
              </w:rPr>
              <w:t>m1 值（MTBF 的不可接受值）≥250000h，</w:t>
            </w:r>
            <w:r>
              <w:rPr>
                <w:rFonts w:hint="default" w:ascii="宋体" w:hAnsi="宋体" w:cs="宋体"/>
                <w:color w:val="000000"/>
                <w:szCs w:val="21"/>
              </w:rPr>
              <w:t>须通过MTBF认证。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风扇可靠性</w:t>
            </w:r>
          </w:p>
        </w:tc>
        <w:tc>
          <w:tcPr>
            <w:tcW w:w="25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风扇寿命≥ 40000h</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部件可靠性</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支持硬盘、电源、风扇热插拔(内置风扇除外)</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9</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包装及运输要求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标志、包装、运输和贮存</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GB/T 9813.3 和商品包装政府采购需求标准的相关规定</w:t>
            </w:r>
          </w:p>
        </w:tc>
      </w:tr>
      <w:tr>
        <w:tblPrEx>
          <w:tblCellMar>
            <w:top w:w="0" w:type="dxa"/>
            <w:left w:w="108" w:type="dxa"/>
            <w:bottom w:w="0" w:type="dxa"/>
            <w:right w:w="108" w:type="dxa"/>
          </w:tblCellMar>
        </w:tblPrEx>
        <w:trPr>
          <w:trHeight w:val="156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服务响应</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服务响应</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a) 提供电话、电子邮件、远程连接等多种形式服务；b) 提供同城 4h、异地 12h 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培训服务</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提供培训材料、产品手册、培训视频等培训相关内容</w:t>
            </w:r>
          </w:p>
        </w:tc>
      </w:tr>
      <w:tr>
        <w:tblPrEx>
          <w:tblCellMar>
            <w:top w:w="0" w:type="dxa"/>
            <w:left w:w="108" w:type="dxa"/>
            <w:bottom w:w="0" w:type="dxa"/>
            <w:right w:w="108" w:type="dxa"/>
          </w:tblCellMar>
        </w:tblPrEx>
        <w:trPr>
          <w:trHeight w:val="124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服务周期</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服务周期</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（1）产品免费服务周期（含换件和维修）≥5年，包含硬盘不返还服务；</w:t>
            </w:r>
          </w:p>
          <w:p>
            <w:pPr>
              <w:widowControl/>
              <w:rPr>
                <w:rFonts w:ascii="宋体" w:hAnsi="宋体" w:cs="宋体"/>
                <w:color w:val="000000"/>
                <w:szCs w:val="21"/>
              </w:rPr>
            </w:pPr>
            <w:r>
              <w:rPr>
                <w:rFonts w:hint="eastAsia" w:ascii="宋体" w:hAnsi="宋体" w:cs="宋体"/>
                <w:color w:val="000000"/>
                <w:szCs w:val="21"/>
              </w:rPr>
              <w:t>（2）设备停产后继续提供质量保障服务（含备品备件），服务终止时间与最后一批设备交付时间间隔≥6年；</w:t>
            </w:r>
          </w:p>
          <w:p>
            <w:pPr>
              <w:widowControl/>
              <w:rPr>
                <w:rFonts w:ascii="宋体" w:hAnsi="宋体" w:cs="宋体"/>
                <w:color w:val="000000"/>
                <w:szCs w:val="21"/>
              </w:rPr>
            </w:pPr>
            <w:r>
              <w:rPr>
                <w:rFonts w:hint="eastAsia" w:ascii="宋体" w:hAnsi="宋体" w:cs="宋体"/>
                <w:color w:val="000000"/>
                <w:szCs w:val="21"/>
              </w:rPr>
              <w:t>（3）产品停止服务时间应提前1年告知客户；</w:t>
            </w:r>
          </w:p>
          <w:p>
            <w:pPr>
              <w:widowControl/>
              <w:rPr>
                <w:rFonts w:ascii="宋体" w:hAnsi="宋体" w:cs="宋体"/>
                <w:color w:val="000000"/>
                <w:szCs w:val="21"/>
              </w:rPr>
            </w:pPr>
            <w:r>
              <w:rPr>
                <w:rFonts w:hint="eastAsia" w:ascii="宋体" w:hAnsi="宋体" w:cs="宋体"/>
                <w:color w:val="000000"/>
                <w:szCs w:val="21"/>
              </w:rPr>
              <w:t>（4）产品发布日期需在随机文件中明确。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服务工具要求</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工具要求</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提供设置服务器硬件、辅助操作系统安装等功能的辅助工具和管理软件。且随附软件应具有合法授权或版权</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驱动安装升级指引</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提供出厂安装的配件所需的驱动程序，形式包括但不限于驱动光盘、驱动下载链接等。其他配件应提供指引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管理软件</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具备资源管理、系统管理、性能监控、健康监控、基于网络控制、报警设置功能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增值服务</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厂家升级产品软件与扩容服务</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提供原厂级的部件/软件产品升级和扩容能力</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提供上门服务</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7*2</w:t>
            </w:r>
            <w:r>
              <w:rPr>
                <w:rFonts w:ascii="宋体" w:hAnsi="宋体" w:cs="宋体"/>
                <w:color w:val="000000"/>
                <w:kern w:val="0"/>
                <w:szCs w:val="21"/>
              </w:rPr>
              <w:t>4</w:t>
            </w:r>
            <w:r>
              <w:rPr>
                <w:rFonts w:hint="eastAsia" w:ascii="宋体" w:hAnsi="宋体" w:cs="宋体"/>
                <w:color w:val="000000"/>
                <w:kern w:val="0"/>
                <w:szCs w:val="21"/>
              </w:rPr>
              <w:t>小时上门服务</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供应链质量</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抗干扰性</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当产品部件出现供应风险时，应通知客户并提供风险应对方案确保产品的服务保障，必要时应停止相关受影响产品的销售</w:t>
            </w:r>
          </w:p>
        </w:tc>
      </w:tr>
      <w:tr>
        <w:tblPrEx>
          <w:tblCellMar>
            <w:top w:w="0" w:type="dxa"/>
            <w:left w:w="108" w:type="dxa"/>
            <w:bottom w:w="0" w:type="dxa"/>
            <w:right w:w="108" w:type="dxa"/>
          </w:tblCellMar>
        </w:tblPrEx>
        <w:trPr>
          <w:trHeight w:val="381" w:hRule="atLeast"/>
          <w:jc w:val="center"/>
        </w:trPr>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供应能力证明</w:t>
            </w:r>
          </w:p>
        </w:tc>
        <w:tc>
          <w:tcPr>
            <w:tcW w:w="2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供应商需</w:t>
            </w:r>
            <w:r>
              <w:rPr>
                <w:rFonts w:hint="eastAsia" w:ascii="宋体" w:hAnsi="宋体" w:cs="宋体"/>
                <w:color w:val="000000" w:themeColor="text1"/>
                <w:szCs w:val="21"/>
                <w14:textFill>
                  <w14:solidFill>
                    <w14:schemeClr w14:val="tx1"/>
                  </w14:solidFill>
                </w14:textFill>
              </w:rPr>
              <w:t>提供供应链稳定承诺书</w:t>
            </w:r>
          </w:p>
        </w:tc>
      </w:tr>
    </w:tbl>
    <w:p>
      <w:pPr>
        <w:rPr>
          <w:color w:val="000000"/>
        </w:rPr>
      </w:pPr>
    </w:p>
    <w:p>
      <w:pPr>
        <w:rPr>
          <w:rFonts w:hint="eastAsia"/>
          <w:sz w:val="24"/>
          <w:szCs w:val="22"/>
          <w:lang w:val="en-US" w:eastAsia="zh-CN"/>
        </w:rPr>
      </w:pPr>
      <w:r>
        <w:rPr>
          <w:rFonts w:hint="eastAsia"/>
          <w:sz w:val="24"/>
          <w:szCs w:val="22"/>
          <w:lang w:val="en-US" w:eastAsia="zh-CN"/>
        </w:rPr>
        <w:br w:type="page"/>
      </w:r>
    </w:p>
    <w:p>
      <w:pPr>
        <w:pStyle w:val="5"/>
        <w:ind w:firstLine="482" w:firstLineChars="200"/>
        <w:rPr>
          <w:sz w:val="24"/>
          <w:szCs w:val="22"/>
        </w:rPr>
      </w:pPr>
      <w:r>
        <w:rPr>
          <w:rFonts w:hint="eastAsia"/>
          <w:sz w:val="24"/>
          <w:szCs w:val="22"/>
          <w:lang w:val="en-US" w:eastAsia="zh-CN"/>
        </w:rPr>
        <w:t>9.</w:t>
      </w:r>
      <w:r>
        <w:rPr>
          <w:rFonts w:hint="eastAsia"/>
          <w:sz w:val="24"/>
          <w:szCs w:val="22"/>
        </w:rPr>
        <w:t>分布式存储控制服务器（3台）</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7"/>
        <w:gridCol w:w="497"/>
        <w:gridCol w:w="497"/>
        <w:gridCol w:w="993"/>
        <w:gridCol w:w="993"/>
        <w:gridCol w:w="5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500" w:type="pct"/>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500" w:type="pct"/>
            <w:shd w:val="clear" w:color="auto" w:fill="D9D9D9"/>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2674" w:type="pct"/>
            <w:shd w:val="clear" w:color="auto" w:fill="D9D9D9"/>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restart"/>
            <w:vAlign w:val="center"/>
          </w:tcPr>
          <w:p>
            <w:pPr>
              <w:widowControl/>
              <w:jc w:val="center"/>
              <w:rPr>
                <w:rFonts w:ascii="宋体" w:hAnsi="宋体"/>
                <w:color w:val="000000"/>
                <w:szCs w:val="21"/>
              </w:rPr>
            </w:pPr>
            <w:r>
              <w:rPr>
                <w:rFonts w:hint="eastAsia" w:ascii="宋体" w:hAnsi="宋体"/>
                <w:color w:val="000000"/>
                <w:szCs w:val="21"/>
              </w:rPr>
              <w:t>分布式存储控制服务器</w:t>
            </w:r>
          </w:p>
        </w:tc>
        <w:tc>
          <w:tcPr>
            <w:tcW w:w="250" w:type="pct"/>
            <w:vMerge w:val="restart"/>
            <w:vAlign w:val="center"/>
          </w:tcPr>
          <w:p>
            <w:pPr>
              <w:widowControl/>
              <w:jc w:val="center"/>
              <w:rPr>
                <w:rFonts w:ascii="宋体" w:hAnsi="宋体"/>
                <w:color w:val="000000"/>
                <w:szCs w:val="21"/>
              </w:rPr>
            </w:pPr>
            <w:r>
              <w:rPr>
                <w:rFonts w:hint="eastAsia" w:ascii="宋体" w:hAnsi="宋体"/>
                <w:color w:val="000000"/>
                <w:szCs w:val="21"/>
              </w:rPr>
              <w:t>3</w:t>
            </w:r>
          </w:p>
        </w:tc>
        <w:tc>
          <w:tcPr>
            <w:tcW w:w="250" w:type="pct"/>
            <w:vMerge w:val="restart"/>
            <w:vAlign w:val="center"/>
          </w:tcPr>
          <w:p>
            <w:pPr>
              <w:widowControl/>
              <w:jc w:val="center"/>
              <w:rPr>
                <w:rFonts w:ascii="宋体" w:hAnsi="宋体"/>
                <w:color w:val="000000"/>
                <w:szCs w:val="21"/>
              </w:rPr>
            </w:pPr>
            <w:r>
              <w:rPr>
                <w:rFonts w:hint="eastAsia" w:ascii="宋体" w:hAnsi="宋体"/>
                <w:color w:val="000000"/>
                <w:szCs w:val="21"/>
              </w:rPr>
              <w:t>台</w:t>
            </w:r>
          </w:p>
        </w:tc>
        <w:tc>
          <w:tcPr>
            <w:tcW w:w="250" w:type="pct"/>
            <w:vAlign w:val="center"/>
          </w:tcPr>
          <w:p>
            <w:pPr>
              <w:widowControl/>
              <w:jc w:val="center"/>
              <w:rPr>
                <w:rFonts w:ascii="宋体" w:hAnsi="宋体"/>
                <w:color w:val="000000"/>
                <w:szCs w:val="21"/>
              </w:rPr>
            </w:pPr>
            <w:r>
              <w:rPr>
                <w:rFonts w:hint="eastAsia" w:ascii="宋体" w:hAnsi="宋体"/>
                <w:color w:val="000000"/>
                <w:szCs w:val="21"/>
              </w:rPr>
              <w:t>1</w:t>
            </w:r>
          </w:p>
        </w:tc>
        <w:tc>
          <w:tcPr>
            <w:tcW w:w="500" w:type="pct"/>
            <w:shd w:val="clear" w:color="auto" w:fill="auto"/>
            <w:vAlign w:val="center"/>
          </w:tcPr>
          <w:p>
            <w:pPr>
              <w:widowControl/>
              <w:jc w:val="center"/>
              <w:rPr>
                <w:rFonts w:ascii="宋体" w:hAnsi="宋体"/>
                <w:color w:val="000000"/>
                <w:szCs w:val="21"/>
              </w:rPr>
            </w:pPr>
            <w:r>
              <w:rPr>
                <w:rFonts w:ascii="宋体" w:hAnsi="宋体"/>
                <w:color w:val="000000"/>
                <w:szCs w:val="21"/>
              </w:rPr>
              <w:t>CPU</w:t>
            </w:r>
            <w:r>
              <w:rPr>
                <w:rFonts w:hint="eastAsia" w:ascii="宋体" w:hAnsi="宋体"/>
                <w:color w:val="000000"/>
                <w:szCs w:val="21"/>
              </w:rPr>
              <w:t>规格</w:t>
            </w:r>
          </w:p>
        </w:tc>
        <w:tc>
          <w:tcPr>
            <w:tcW w:w="500" w:type="pct"/>
            <w:vAlign w:val="center"/>
          </w:tcPr>
          <w:p>
            <w:pPr>
              <w:widowControl/>
              <w:jc w:val="center"/>
              <w:rPr>
                <w:rFonts w:ascii="宋体" w:hAnsi="宋体"/>
                <w:color w:val="000000"/>
                <w:szCs w:val="21"/>
              </w:rPr>
            </w:pPr>
            <w:r>
              <w:rPr>
                <w:rFonts w:asciiTheme="minorEastAsia" w:hAnsiTheme="minorEastAsia"/>
                <w:color w:val="000000" w:themeColor="text1"/>
                <w:szCs w:val="21"/>
                <w14:textFill>
                  <w14:solidFill>
                    <w14:schemeClr w14:val="tx1"/>
                  </w14:solidFill>
                </w14:textFill>
              </w:rPr>
              <w:t>▲</w:t>
            </w:r>
            <w:r>
              <w:rPr>
                <w:rFonts w:ascii="宋体" w:hAnsi="宋体"/>
                <w:color w:val="000000"/>
                <w:szCs w:val="21"/>
              </w:rPr>
              <w:t xml:space="preserve">CPU </w:t>
            </w:r>
            <w:r>
              <w:rPr>
                <w:rFonts w:hint="eastAsia" w:ascii="宋体" w:hAnsi="宋体"/>
                <w:color w:val="000000"/>
                <w:szCs w:val="21"/>
              </w:rPr>
              <w:t>信息</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（1）配置2颗国产C86架构处理器，支持超线程技术和睿频技术；</w:t>
            </w:r>
          </w:p>
          <w:p>
            <w:pPr>
              <w:widowControl/>
              <w:rPr>
                <w:rFonts w:ascii="宋体" w:hAnsi="宋体" w:cs="宋体"/>
                <w:color w:val="000000"/>
                <w:szCs w:val="21"/>
              </w:rPr>
            </w:pPr>
            <w:r>
              <w:rPr>
                <w:rFonts w:hint="eastAsia" w:ascii="宋体" w:hAnsi="宋体" w:cs="宋体"/>
                <w:color w:val="000000"/>
                <w:szCs w:val="21"/>
              </w:rPr>
              <w:t>（2）单颗CPU型号Hygon 5</w:t>
            </w:r>
            <w:r>
              <w:rPr>
                <w:rFonts w:ascii="宋体" w:hAnsi="宋体" w:cs="宋体"/>
                <w:color w:val="000000"/>
                <w:szCs w:val="21"/>
              </w:rPr>
              <w:t>380</w:t>
            </w:r>
            <w:r>
              <w:rPr>
                <w:rFonts w:hint="eastAsia" w:ascii="宋体" w:hAnsi="宋体" w:cs="宋体"/>
                <w:color w:val="000000"/>
                <w:szCs w:val="21"/>
              </w:rPr>
              <w:t>，单颗CPU物理核心数≥16核、主频≥2.5GHz、末级缓存容量≥32MB、线程数≥32、热设计功耗≥135W、支持内存的最高速率≥3200MHz、通道数≥4、位宽≥64位；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2</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主板规格</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主板支持的</w:t>
            </w:r>
            <w:r>
              <w:rPr>
                <w:rFonts w:ascii="宋体" w:hAnsi="宋体"/>
                <w:color w:val="000000"/>
                <w:szCs w:val="21"/>
              </w:rPr>
              <w:t xml:space="preserve">CPU </w:t>
            </w:r>
            <w:r>
              <w:rPr>
                <w:rFonts w:hint="eastAsia" w:ascii="宋体" w:hAnsi="宋体" w:cs="宋体"/>
                <w:color w:val="000000"/>
                <w:szCs w:val="21"/>
              </w:rPr>
              <w:t>和内存情况</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主板支持海光</w:t>
            </w:r>
            <w:r>
              <w:rPr>
                <w:rFonts w:ascii="宋体" w:hAnsi="宋体" w:cs="宋体"/>
                <w:color w:val="000000"/>
                <w:szCs w:val="21"/>
              </w:rPr>
              <w:t xml:space="preserve">5380 </w:t>
            </w:r>
            <w:r>
              <w:rPr>
                <w:rFonts w:hint="eastAsia" w:ascii="宋体" w:hAnsi="宋体" w:cs="宋体"/>
                <w:color w:val="000000"/>
                <w:szCs w:val="21"/>
              </w:rPr>
              <w:t xml:space="preserve">CPU ≥2颗，内存数量支持≥ </w:t>
            </w:r>
            <w:r>
              <w:rPr>
                <w:rFonts w:ascii="宋体" w:hAnsi="宋体" w:cs="宋体"/>
                <w:color w:val="000000"/>
                <w:szCs w:val="21"/>
              </w:rPr>
              <w:t>16</w:t>
            </w:r>
            <w:r>
              <w:rPr>
                <w:rFonts w:hint="eastAsia" w:ascii="宋体" w:hAnsi="宋体" w:cs="宋体"/>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主板内存槽数量</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主板内存槽数量≥</w:t>
            </w:r>
            <w:r>
              <w:rPr>
                <w:rFonts w:ascii="宋体" w:hAnsi="宋体" w:cs="宋体"/>
                <w:color w:val="000000"/>
                <w:szCs w:val="21"/>
              </w:rPr>
              <w:t>16</w:t>
            </w:r>
            <w:r>
              <w:rPr>
                <w:rFonts w:hint="eastAsia" w:ascii="宋体" w:hAnsi="宋体" w:cs="宋体"/>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主板存储接口</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（1）主板支持SATA/SAS/M.2/U.2存储接口；</w:t>
            </w:r>
          </w:p>
          <w:p>
            <w:pPr>
              <w:widowControl/>
              <w:rPr>
                <w:rFonts w:ascii="宋体" w:hAnsi="宋体" w:cs="宋体"/>
                <w:color w:val="000000"/>
                <w:szCs w:val="21"/>
              </w:rPr>
            </w:pPr>
            <w:r>
              <w:rPr>
                <w:rFonts w:hint="eastAsia" w:ascii="宋体" w:hAnsi="宋体" w:cs="宋体"/>
                <w:color w:val="000000"/>
                <w:szCs w:val="21"/>
              </w:rPr>
              <w:t>（2）板载支持≥</w:t>
            </w:r>
            <w:r>
              <w:rPr>
                <w:rFonts w:ascii="宋体" w:hAnsi="宋体" w:cs="宋体"/>
                <w:color w:val="000000"/>
                <w:szCs w:val="21"/>
              </w:rPr>
              <w:t>12</w:t>
            </w:r>
            <w:r>
              <w:rPr>
                <w:rFonts w:hint="eastAsia" w:ascii="宋体" w:hAnsi="宋体" w:cs="宋体"/>
                <w:color w:val="000000"/>
                <w:szCs w:val="21"/>
              </w:rPr>
              <w:t>个SATA/</w:t>
            </w:r>
            <w:r>
              <w:rPr>
                <w:rFonts w:ascii="宋体" w:hAnsi="宋体" w:cs="宋体"/>
                <w:color w:val="000000"/>
                <w:szCs w:val="21"/>
              </w:rPr>
              <w:t>SAS</w:t>
            </w:r>
            <w:r>
              <w:rPr>
                <w:rFonts w:hint="eastAsia" w:ascii="宋体" w:hAnsi="宋体" w:cs="宋体"/>
                <w:color w:val="000000"/>
                <w:szCs w:val="21"/>
              </w:rPr>
              <w:t>盘；</w:t>
            </w:r>
          </w:p>
          <w:p>
            <w:pPr>
              <w:widowControl/>
              <w:rPr>
                <w:rFonts w:ascii="宋体" w:hAnsi="宋体" w:cs="宋体"/>
                <w:color w:val="000000"/>
                <w:szCs w:val="21"/>
              </w:rPr>
            </w:pPr>
            <w:r>
              <w:rPr>
                <w:rFonts w:hint="eastAsia" w:ascii="宋体" w:hAnsi="宋体" w:cs="宋体"/>
                <w:color w:val="000000"/>
                <w:szCs w:val="21"/>
              </w:rPr>
              <w:t>（3）板载可支持1个内置M.2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olor w:val="000000"/>
                <w:szCs w:val="21"/>
              </w:rPr>
            </w:pPr>
            <w:r>
              <w:rPr>
                <w:rFonts w:asciiTheme="minorEastAsia" w:hAnsiTheme="minorEastAsia"/>
                <w:color w:val="000000" w:themeColor="text1"/>
                <w:szCs w:val="21"/>
                <w14:textFill>
                  <w14:solidFill>
                    <w14:schemeClr w14:val="tx1"/>
                  </w14:solidFill>
                </w14:textFill>
              </w:rPr>
              <w:t>▲</w:t>
            </w:r>
            <w:r>
              <w:rPr>
                <w:rFonts w:ascii="宋体" w:hAnsi="宋体"/>
                <w:color w:val="000000"/>
                <w:szCs w:val="21"/>
              </w:rPr>
              <w:t xml:space="preserve">PCIe </w:t>
            </w:r>
            <w:r>
              <w:rPr>
                <w:rFonts w:hint="eastAsia" w:ascii="宋体" w:hAnsi="宋体"/>
                <w:color w:val="000000"/>
                <w:szCs w:val="21"/>
              </w:rPr>
              <w:t>插槽接口</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支持PCI-E 4.0插槽，可支持向下兼容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 PCIe 插槽数量及规格</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主板最大可扩展6个PCIe 4.0插槽；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7</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内存规格</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内存数量</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内存数量≥</w:t>
            </w:r>
            <w:r>
              <w:rPr>
                <w:rFonts w:ascii="宋体" w:hAnsi="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内存规格</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实配≥3</w:t>
            </w:r>
            <w:r>
              <w:rPr>
                <w:rFonts w:ascii="宋体" w:hAnsi="宋体" w:cs="宋体"/>
                <w:color w:val="000000"/>
                <w:szCs w:val="21"/>
              </w:rPr>
              <w:t>84</w:t>
            </w:r>
            <w:r>
              <w:rPr>
                <w:rFonts w:hint="eastAsia" w:ascii="宋体" w:hAnsi="宋体" w:cs="宋体"/>
                <w:color w:val="000000"/>
                <w:szCs w:val="21"/>
              </w:rPr>
              <w:t>GB</w:t>
            </w:r>
            <w:r>
              <w:rPr>
                <w:rFonts w:ascii="宋体" w:hAnsi="宋体" w:cs="宋体"/>
                <w:color w:val="000000"/>
                <w:szCs w:val="21"/>
              </w:rPr>
              <w:t xml:space="preserve"> </w:t>
            </w:r>
            <w:r>
              <w:rPr>
                <w:rFonts w:hint="eastAsia" w:ascii="宋体" w:hAnsi="宋体" w:cs="宋体"/>
                <w:color w:val="000000"/>
                <w:szCs w:val="21"/>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内存通道</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w:t>
            </w:r>
            <w:r>
              <w:rPr>
                <w:rFonts w:ascii="宋体" w:hAnsi="宋体" w:cs="宋体"/>
                <w:color w:val="000000"/>
                <w:szCs w:val="21"/>
              </w:rPr>
              <w:t>4</w:t>
            </w:r>
            <w:r>
              <w:rPr>
                <w:rFonts w:hint="eastAsia" w:ascii="宋体" w:hAnsi="宋体" w:cs="宋体"/>
                <w:color w:val="000000"/>
                <w:szCs w:val="21"/>
              </w:rPr>
              <w:t>个内存接口通道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存储规格</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硬磁盘实配容量</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实配≥9</w:t>
            </w:r>
            <w:r>
              <w:rPr>
                <w:rFonts w:ascii="宋体" w:hAnsi="宋体" w:cs="宋体"/>
                <w:color w:val="000000"/>
                <w:szCs w:val="21"/>
              </w:rPr>
              <w:t>6TB</w:t>
            </w:r>
            <w:r>
              <w:rPr>
                <w:rFonts w:hint="eastAsia" w:ascii="宋体" w:hAnsi="宋体" w:cs="宋体"/>
                <w:color w:val="000000"/>
                <w:szCs w:val="21"/>
              </w:rPr>
              <w:t>（1</w:t>
            </w:r>
            <w:r>
              <w:rPr>
                <w:rFonts w:hint="eastAsia" w:ascii="宋体" w:hAnsi="宋体" w:cs="宋体"/>
                <w:color w:val="000000"/>
                <w:szCs w:val="21"/>
                <w:lang w:eastAsia="zh-CN"/>
              </w:rPr>
              <w:t>2*8</w:t>
            </w:r>
            <w:r>
              <w:rPr>
                <w:rFonts w:hint="eastAsia" w:ascii="宋体" w:hAnsi="宋体" w:cs="宋体"/>
                <w:color w:val="000000"/>
                <w:szCs w:val="21"/>
              </w:rPr>
              <w:t>TB） 3.5英寸 SATA HDD；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硬盘实配数量</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实配≥1</w:t>
            </w:r>
            <w:r>
              <w:rPr>
                <w:rFonts w:hint="eastAsia" w:ascii="宋体" w:hAnsi="宋体" w:cs="宋体"/>
                <w:color w:val="000000"/>
                <w:szCs w:val="21"/>
                <w:lang w:eastAsia="zh-CN"/>
              </w:rPr>
              <w:t>2*8</w:t>
            </w:r>
            <w:r>
              <w:rPr>
                <w:rFonts w:hint="eastAsia" w:ascii="宋体" w:hAnsi="宋体" w:cs="宋体"/>
                <w:color w:val="000000"/>
                <w:szCs w:val="21"/>
              </w:rPr>
              <w:t>TB 3.5英寸 SATA HDD；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固态盘实配容量</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实配≥4</w:t>
            </w:r>
            <w:r>
              <w:rPr>
                <w:rFonts w:ascii="宋体" w:hAnsi="宋体" w:cs="宋体"/>
                <w:color w:val="000000"/>
                <w:szCs w:val="21"/>
              </w:rPr>
              <w:t>80GB</w:t>
            </w:r>
            <w:r>
              <w:rPr>
                <w:rFonts w:hint="eastAsia" w:ascii="宋体" w:hAnsi="宋体" w:cs="宋体"/>
                <w:color w:val="000000"/>
                <w:szCs w:val="21"/>
              </w:rPr>
              <w:t>(</w:t>
            </w:r>
            <w:r>
              <w:rPr>
                <w:rFonts w:hint="eastAsia" w:ascii="宋体" w:hAnsi="宋体" w:cs="宋体"/>
                <w:color w:val="000000"/>
                <w:szCs w:val="21"/>
                <w:lang w:eastAsia="zh-CN"/>
              </w:rPr>
              <w:t>2*2</w:t>
            </w:r>
            <w:r>
              <w:rPr>
                <w:rFonts w:hint="eastAsia" w:ascii="宋体" w:hAnsi="宋体" w:cs="宋体"/>
                <w:color w:val="000000"/>
                <w:szCs w:val="21"/>
              </w:rPr>
              <w:t>40GB</w:t>
            </w:r>
            <w:r>
              <w:rPr>
                <w:rFonts w:ascii="宋体" w:hAnsi="宋体" w:cs="宋体"/>
                <w:color w:val="000000"/>
                <w:szCs w:val="21"/>
              </w:rPr>
              <w:t>)</w:t>
            </w:r>
            <w:r>
              <w:rPr>
                <w:rFonts w:hint="eastAsia" w:ascii="宋体" w:hAnsi="宋体" w:cs="宋体"/>
                <w:color w:val="000000"/>
                <w:szCs w:val="21"/>
              </w:rPr>
              <w:t xml:space="preserve"> 2.5英寸 SATA SSD，≥3</w:t>
            </w:r>
            <w:r>
              <w:rPr>
                <w:rFonts w:ascii="宋体" w:hAnsi="宋体" w:cs="宋体"/>
                <w:color w:val="000000"/>
                <w:szCs w:val="21"/>
              </w:rPr>
              <w:t>.2TB</w:t>
            </w:r>
            <w:r>
              <w:rPr>
                <w:rFonts w:hint="eastAsia" w:ascii="宋体" w:hAnsi="宋体" w:cs="宋体"/>
                <w:color w:val="000000"/>
                <w:szCs w:val="21"/>
              </w:rPr>
              <w:t>(</w:t>
            </w:r>
            <w:r>
              <w:rPr>
                <w:rFonts w:hint="eastAsia" w:ascii="宋体" w:hAnsi="宋体" w:cs="宋体"/>
                <w:color w:val="000000"/>
                <w:szCs w:val="21"/>
                <w:lang w:eastAsia="zh-CN"/>
              </w:rPr>
              <w:t>2*1</w:t>
            </w:r>
            <w:r>
              <w:rPr>
                <w:rFonts w:hint="eastAsia" w:ascii="宋体" w:hAnsi="宋体" w:cs="宋体"/>
                <w:color w:val="000000"/>
                <w:szCs w:val="21"/>
              </w:rPr>
              <w:t>.6TB</w:t>
            </w:r>
            <w:r>
              <w:rPr>
                <w:rFonts w:ascii="宋体" w:hAnsi="宋体" w:cs="宋体"/>
                <w:color w:val="000000"/>
                <w:szCs w:val="21"/>
              </w:rPr>
              <w:t>)</w:t>
            </w:r>
            <w:r>
              <w:rPr>
                <w:rFonts w:hint="eastAsia" w:ascii="宋体" w:hAnsi="宋体" w:cs="宋体"/>
                <w:color w:val="000000"/>
                <w:szCs w:val="21"/>
              </w:rPr>
              <w:t xml:space="preserve"> 2.5英寸/PCIe NVME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固态盘实配数量</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w:t>
            </w:r>
            <w:r>
              <w:rPr>
                <w:rFonts w:hint="eastAsia" w:ascii="宋体" w:hAnsi="宋体" w:cs="宋体"/>
                <w:color w:val="000000"/>
                <w:szCs w:val="21"/>
                <w:lang w:eastAsia="zh-CN"/>
              </w:rPr>
              <w:t>2*2</w:t>
            </w:r>
            <w:r>
              <w:rPr>
                <w:rFonts w:hint="eastAsia" w:ascii="宋体" w:hAnsi="宋体" w:cs="宋体"/>
                <w:color w:val="000000"/>
                <w:szCs w:val="21"/>
              </w:rPr>
              <w:t>40GB 2.5英寸 SATA SSD，≥</w:t>
            </w:r>
            <w:r>
              <w:rPr>
                <w:rFonts w:hint="eastAsia" w:ascii="宋体" w:hAnsi="宋体" w:cs="宋体"/>
                <w:color w:val="000000"/>
                <w:szCs w:val="21"/>
                <w:lang w:eastAsia="zh-CN"/>
              </w:rPr>
              <w:t>2*1</w:t>
            </w:r>
            <w:r>
              <w:rPr>
                <w:rFonts w:hint="eastAsia" w:ascii="宋体" w:hAnsi="宋体" w:cs="宋体"/>
                <w:color w:val="000000"/>
                <w:szCs w:val="21"/>
              </w:rPr>
              <w:t>.6TB 2.5英寸/PCIe NVME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硬盘插槽数量及规格</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（1）支持≥12个前置热插拔3.5硬盘或2.5硬盘，支持SAS/SATA/NVMe SSD；</w:t>
            </w:r>
            <w:r>
              <w:rPr>
                <w:rFonts w:hint="eastAsia" w:ascii="宋体" w:hAnsi="宋体" w:cs="宋体"/>
                <w:color w:val="000000"/>
                <w:szCs w:val="21"/>
              </w:rPr>
              <w:br w:type="textWrapping"/>
            </w:r>
            <w:r>
              <w:rPr>
                <w:rFonts w:hint="eastAsia" w:ascii="宋体" w:hAnsi="宋体" w:cs="宋体"/>
                <w:color w:val="000000"/>
                <w:szCs w:val="21"/>
              </w:rPr>
              <w:t>（2）后置支持≥</w:t>
            </w:r>
            <w:r>
              <w:rPr>
                <w:rFonts w:ascii="宋体" w:hAnsi="宋体" w:cs="宋体"/>
                <w:color w:val="000000"/>
                <w:szCs w:val="21"/>
              </w:rPr>
              <w:t>2</w:t>
            </w:r>
            <w:r>
              <w:rPr>
                <w:rFonts w:hint="eastAsia" w:ascii="宋体" w:hAnsi="宋体" w:cs="宋体"/>
                <w:color w:val="000000"/>
                <w:szCs w:val="21"/>
              </w:rPr>
              <w:t>个2.5寸硬盘</w:t>
            </w:r>
            <w:r>
              <w:rPr>
                <w:rFonts w:ascii="宋体" w:hAnsi="宋体" w:cs="宋体"/>
                <w:color w:val="000000"/>
                <w:szCs w:val="21"/>
              </w:rPr>
              <w:t>/</w:t>
            </w:r>
            <w:r>
              <w:rPr>
                <w:rFonts w:hint="eastAsia" w:ascii="宋体" w:hAnsi="宋体" w:cs="宋体"/>
                <w:color w:val="000000"/>
                <w:szCs w:val="21"/>
              </w:rPr>
              <w:t>3.5寸硬盘；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RAID卡支持的SAS接口数</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网络规格</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网口速率和数量</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（1）实配1GE网口，RJ45接口，数量≥2个；</w:t>
            </w:r>
          </w:p>
          <w:p>
            <w:pPr>
              <w:widowControl/>
              <w:rPr>
                <w:rFonts w:ascii="宋体" w:hAnsi="宋体" w:cs="宋体"/>
                <w:color w:val="000000"/>
                <w:szCs w:val="21"/>
              </w:rPr>
            </w:pPr>
            <w:r>
              <w:rPr>
                <w:rFonts w:hint="eastAsia" w:ascii="宋体" w:hAnsi="宋体" w:cs="宋体"/>
                <w:color w:val="000000"/>
                <w:szCs w:val="21"/>
              </w:rPr>
              <w:t>（2）实配10GE网口，SFP+光口，数量≥2个；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外部接口规格</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显示接口</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配置≥1个VGA接口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USB 接口</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w:t>
            </w:r>
            <w:r>
              <w:rPr>
                <w:rFonts w:ascii="宋体" w:hAnsi="宋体" w:cs="宋体"/>
                <w:color w:val="000000"/>
                <w:szCs w:val="21"/>
              </w:rPr>
              <w:t>2</w:t>
            </w:r>
            <w:r>
              <w:rPr>
                <w:rFonts w:hint="eastAsia" w:ascii="宋体" w:hAnsi="宋体" w:cs="宋体"/>
                <w:color w:val="000000"/>
                <w:szCs w:val="21"/>
              </w:rPr>
              <w:t>个USB3.0接口，2个位于机箱后部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9</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电源规格</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电源模块数量</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配置≥2个</w:t>
            </w:r>
            <w:r>
              <w:rPr>
                <w:rFonts w:ascii="宋体" w:hAnsi="宋体" w:cs="宋体"/>
                <w:color w:val="000000"/>
                <w:szCs w:val="21"/>
              </w:rPr>
              <w:t>550</w:t>
            </w:r>
            <w:r>
              <w:rPr>
                <w:rFonts w:hint="eastAsia" w:ascii="宋体" w:hAnsi="宋体" w:cs="宋体"/>
                <w:color w:val="000000"/>
                <w:szCs w:val="21"/>
              </w:rPr>
              <w:t>W/1200W CRPS标准电源，支持1+1冗余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电源功率</w:t>
            </w:r>
          </w:p>
        </w:tc>
        <w:tc>
          <w:tcPr>
            <w:tcW w:w="2674" w:type="pct"/>
            <w:shd w:val="clear" w:color="auto" w:fill="auto"/>
            <w:vAlign w:val="center"/>
          </w:tcPr>
          <w:p>
            <w:pPr>
              <w:widowControl/>
              <w:rPr>
                <w:rFonts w:ascii="宋体" w:hAnsi="宋体" w:cs="宋体"/>
                <w:color w:val="000000"/>
                <w:szCs w:val="21"/>
              </w:rPr>
            </w:pPr>
            <w:r>
              <w:rPr>
                <w:rFonts w:ascii="宋体" w:hAnsi="宋体" w:cs="宋体"/>
                <w:color w:val="000000"/>
                <w:szCs w:val="21"/>
              </w:rPr>
              <w:t>55</w:t>
            </w:r>
            <w:r>
              <w:rPr>
                <w:rFonts w:hint="eastAsia" w:ascii="宋体" w:hAnsi="宋体" w:cs="宋体"/>
                <w:color w:val="000000"/>
                <w:szCs w:val="21"/>
              </w:rPr>
              <w:t>0W/1200W，电源模块功率应有一定冗余， 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整机规格</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外观和结构</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a)服务器的零部件应紧固无松动，可插拔部件应可靠连接，开关、按钮和其它控制部件应灵活可靠，布局应方便使用；</w:t>
            </w:r>
            <w:r>
              <w:rPr>
                <w:rFonts w:hint="eastAsia" w:ascii="宋体" w:hAnsi="宋体" w:cs="宋体"/>
                <w:color w:val="000000"/>
                <w:szCs w:val="21"/>
              </w:rPr>
              <w:br w:type="textWrapping"/>
            </w:r>
            <w:r>
              <w:rPr>
                <w:rFonts w:hint="eastAsia" w:ascii="宋体" w:hAnsi="宋体" w:cs="宋体"/>
                <w:color w:val="000000"/>
                <w:szCs w:val="21"/>
              </w:rPr>
              <w:t>b) 产品表面不应有明显的凹痕、划伤、裂缝、变形和污染等。表面涂层均匀，不应起泡、龟裂、脱落和磨损，金属零部件无锈蚀及其它机械损伤；</w:t>
            </w:r>
            <w:r>
              <w:rPr>
                <w:rFonts w:hint="eastAsia" w:ascii="宋体" w:hAnsi="宋体" w:cs="宋体"/>
                <w:color w:val="000000"/>
                <w:szCs w:val="21"/>
              </w:rPr>
              <w:br w:type="textWrapping"/>
            </w:r>
            <w:r>
              <w:rPr>
                <w:rFonts w:hint="eastAsia" w:ascii="宋体" w:hAnsi="宋体" w:cs="宋体"/>
                <w:color w:val="000000"/>
                <w:szCs w:val="21"/>
              </w:rPr>
              <w:t>c) 产品表面说明功能的文字、符号和标志应清晰、端正且牢固；</w:t>
            </w:r>
            <w:r>
              <w:rPr>
                <w:rFonts w:hint="eastAsia" w:ascii="宋体" w:hAnsi="宋体" w:cs="宋体"/>
                <w:color w:val="000000"/>
                <w:szCs w:val="21"/>
              </w:rPr>
              <w:br w:type="textWrapping"/>
            </w:r>
            <w:r>
              <w:rPr>
                <w:rFonts w:hint="eastAsia" w:ascii="宋体" w:hAnsi="宋体" w:cs="宋体"/>
                <w:color w:val="000000"/>
                <w:szCs w:val="21"/>
              </w:rPr>
              <w:t>d) 应在服务器的显著位置提供运行状态的指示功能，并在随机文件中明确具体含义；</w:t>
            </w:r>
            <w:r>
              <w:rPr>
                <w:rFonts w:hint="eastAsia" w:ascii="宋体" w:hAnsi="宋体" w:cs="宋体"/>
                <w:color w:val="000000"/>
                <w:szCs w:val="21"/>
              </w:rPr>
              <w:br w:type="textWrapping"/>
            </w:r>
            <w:r>
              <w:rPr>
                <w:rFonts w:hint="eastAsia" w:ascii="宋体" w:hAnsi="宋体" w:cs="宋体"/>
                <w:color w:val="000000"/>
                <w:szCs w:val="21"/>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cs="宋体"/>
                <w:color w:val="000000"/>
                <w:szCs w:val="21"/>
              </w:rPr>
              <w:br w:type="textWrapping"/>
            </w:r>
            <w:r>
              <w:rPr>
                <w:rFonts w:hint="eastAsia" w:ascii="宋体" w:hAnsi="宋体" w:cs="宋体"/>
                <w:color w:val="000000"/>
                <w:szCs w:val="21"/>
              </w:rPr>
              <w:t>f) 高密度服务器应给出 CPU 个数与机柜高度；</w:t>
            </w:r>
            <w:r>
              <w:rPr>
                <w:rFonts w:hint="eastAsia" w:ascii="宋体" w:hAnsi="宋体" w:cs="宋体"/>
                <w:color w:val="000000"/>
                <w:szCs w:val="21"/>
              </w:rPr>
              <w:br w:type="textWrapping"/>
            </w:r>
            <w:r>
              <w:rPr>
                <w:rFonts w:hint="eastAsia" w:ascii="宋体" w:hAnsi="宋体" w:cs="宋体"/>
                <w:color w:val="000000"/>
                <w:szCs w:val="21"/>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2</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尺寸（高×宽×深）</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2U机架式服务器，机箱深度小于800mm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环境适应性</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气候环境适应性应符合 GB/T9813.3 的有关规定，工作温度 10～35℃，贮存运输温度-40～55℃；工作相对湿度 35%～80%，贮存运输相对湿度 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机械环境适应性</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机械环境适应性应符合 GB/T9813.3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噪声</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GB/T 9813.3 的有关规定，在产品说明中给出具体测试值塔式服务器噪声在空闲状态下不大于 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6</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机柜规格</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机柜尺寸</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2U机架式服务器，能安装于19英寸标准服务器机柜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w:t>
            </w:r>
          </w:p>
        </w:tc>
        <w:tc>
          <w:tcPr>
            <w:tcW w:w="500" w:type="pct"/>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主板</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主板外部接口种类</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 USB、显示、管理等接口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8</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网络功能</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网络功能</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9</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CPU功能</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计算处理</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0</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密码算法实现</w:t>
            </w:r>
          </w:p>
        </w:tc>
        <w:tc>
          <w:tcPr>
            <w:tcW w:w="2674" w:type="pct"/>
            <w:shd w:val="clear" w:color="auto" w:fill="auto"/>
            <w:vAlign w:val="center"/>
          </w:tcPr>
          <w:p>
            <w:pPr>
              <w:widowControl/>
              <w:rPr>
                <w:rFonts w:hint="default" w:ascii="宋体" w:hAnsi="宋体" w:cs="宋体"/>
                <w:color w:val="000000"/>
                <w:szCs w:val="21"/>
              </w:rPr>
            </w:pPr>
            <w:r>
              <w:rPr>
                <w:rFonts w:hint="eastAsia" w:ascii="宋体" w:hAnsi="宋体" w:cs="宋体"/>
                <w:color w:val="000000"/>
                <w:szCs w:val="21"/>
              </w:rPr>
              <w:t>CPU 芯片应符合 GM/T 0008 的相关规定，或芯片密码模块应符合 GB/T37092 或 GM/T 0028 的相关规定，芯片通过国家密码局颁发的商用密码产品二级及以上认证</w:t>
            </w:r>
            <w:r>
              <w:rPr>
                <w:rFonts w:hint="default"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RAID功能</w:t>
            </w:r>
          </w:p>
        </w:tc>
        <w:tc>
          <w:tcPr>
            <w:tcW w:w="500" w:type="pct"/>
            <w:vAlign w:val="center"/>
          </w:tcPr>
          <w:p>
            <w:pPr>
              <w:widowControl/>
              <w:jc w:val="center"/>
              <w:rPr>
                <w:rFonts w:ascii="宋体" w:hAnsi="宋体" w:cs="宋体"/>
                <w:color w:val="000000"/>
                <w:szCs w:val="21"/>
              </w:rPr>
            </w:pPr>
            <w:r>
              <w:rPr>
                <w:rFonts w:hint="eastAsia" w:ascii="宋体" w:hAnsi="宋体" w:cs="宋体"/>
                <w:color w:val="000000"/>
                <w:szCs w:val="21"/>
              </w:rPr>
              <w:t>RAID卡级别支持</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RAID 模式支持 RAID 0/1/10/5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电源功能</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电源热插拔</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电源过流保护</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整机功能</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散热方式</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5</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管理系统功能</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BMC 固件基础功能</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支持设备日志记录，包括但不限于登录日志、操作日志和报警日志等功能；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BIOS 固件基础功能</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支持查看固件版本、内存信息、主板信息、处理器信息和系统时间信息功能；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远程控制</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操作系统及驱动功能</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操作系统及驱动的升级</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操作系统功能</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支持访问控制、安全审计、网络接入鉴别等功能；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中文信息处理功能</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中文信息处理</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1</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关键部件安全要求</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关键部件安全要求</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CPU 和操作系统等关键部件应当符合安全可靠测评要求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固件安全要求</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故障检测</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支持故障检测功能，可以检测到具体的 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3</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系统安全要求</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弱口令字典检查</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白名单访问控制</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支持基于时间、IP 或 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二次鉴别</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6</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密码证书安全加密存储</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敏感信息安全加密传输</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支持使用安全的传输加密协议（如SSH 或 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8</w:t>
            </w:r>
          </w:p>
        </w:tc>
        <w:tc>
          <w:tcPr>
            <w:tcW w:w="500" w:type="pct"/>
            <w:vMerge w:val="restart"/>
            <w:shd w:val="clear" w:color="auto" w:fill="auto"/>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信息安全要求</w:t>
            </w:r>
          </w:p>
        </w:tc>
        <w:tc>
          <w:tcPr>
            <w:tcW w:w="500" w:type="pct"/>
            <w:vAlign w:val="center"/>
          </w:tcPr>
          <w:p>
            <w:pPr>
              <w:widowControl/>
              <w:jc w:val="center"/>
              <w:rPr>
                <w:rFonts w:ascii="宋体" w:hAnsi="宋体" w:cs="宋体"/>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研发过程安全</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供应商承诺，生产商已建立从需求、设计、开发、测试、维护端到端的开发流程管理机制，输出和保存开发流程中每个阶段的产品需求清单、设计文档、开发文档、测试记录等材料，保证各个流程可追溯；</w:t>
            </w:r>
          </w:p>
          <w:p>
            <w:pPr>
              <w:widowControl/>
              <w:rPr>
                <w:rFonts w:hint="default" w:ascii="宋体" w:hAnsi="宋体" w:cs="宋体"/>
                <w:color w:val="000000"/>
                <w:szCs w:val="21"/>
              </w:rPr>
            </w:pPr>
            <w:r>
              <w:rPr>
                <w:rFonts w:hint="eastAsia" w:ascii="宋体" w:hAnsi="宋体" w:cs="宋体"/>
                <w:color w:val="000000"/>
                <w:szCs w:val="21"/>
              </w:rPr>
              <w:t>产品生产商已建立一个覆盖信息化和工业化的融合全局、全要素、全过程的产品全生命周期内管理体系标准，</w:t>
            </w:r>
            <w:r>
              <w:rPr>
                <w:rFonts w:hint="default" w:ascii="宋体" w:hAnsi="宋体" w:cs="宋体"/>
                <w:color w:val="000000"/>
                <w:szCs w:val="21"/>
              </w:rPr>
              <w:t>产品厂商有效期内须通过信息化和工业化融合管理体系认证；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9</w:t>
            </w:r>
          </w:p>
        </w:tc>
        <w:tc>
          <w:tcPr>
            <w:tcW w:w="500" w:type="pct"/>
            <w:vMerge w:val="continue"/>
            <w:shd w:val="clear" w:color="auto" w:fill="auto"/>
            <w:vAlign w:val="center"/>
          </w:tcPr>
          <w:p>
            <w:pPr>
              <w:widowControl/>
              <w:jc w:val="center"/>
              <w:rPr>
                <w:rFonts w:ascii="宋体" w:hAnsi="宋体" w:cs="宋体"/>
                <w:color w:val="000000" w:themeColor="text1"/>
                <w:szCs w:val="21"/>
                <w14:textFill>
                  <w14:solidFill>
                    <w14:schemeClr w14:val="tx1"/>
                  </w14:solidFill>
                </w14:textFill>
              </w:rPr>
            </w:pPr>
          </w:p>
        </w:tc>
        <w:tc>
          <w:tcPr>
            <w:tcW w:w="500" w:type="pct"/>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★增强要求</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支持可信平台控制模块(TPCM)；</w:t>
            </w:r>
          </w:p>
          <w:p>
            <w:pPr>
              <w:widowControl/>
              <w:rPr>
                <w:rFonts w:ascii="宋体" w:hAnsi="宋体" w:cs="宋体"/>
                <w:color w:val="000000"/>
                <w:szCs w:val="21"/>
              </w:rPr>
            </w:pPr>
            <w:r>
              <w:rPr>
                <w:rFonts w:hint="eastAsia" w:ascii="宋体" w:hAnsi="宋体" w:cs="宋体"/>
                <w:color w:val="000000"/>
                <w:szCs w:val="21"/>
              </w:rPr>
              <w:t>支持基于处理器或可信计算模块度量的功能；</w:t>
            </w:r>
          </w:p>
          <w:p>
            <w:pPr>
              <w:widowControl/>
              <w:rPr>
                <w:rFonts w:ascii="宋体" w:hAnsi="宋体" w:cs="宋体"/>
                <w:color w:val="000000"/>
                <w:szCs w:val="21"/>
              </w:rPr>
            </w:pPr>
            <w:r>
              <w:rPr>
                <w:rFonts w:hint="eastAsia" w:ascii="宋体" w:hAnsi="宋体" w:cs="宋体"/>
                <w:color w:val="000000"/>
                <w:szCs w:val="21"/>
              </w:rPr>
              <w:t>可信安全管理模块、 处理器等硬件载体应通过国家相关部门的认证和许可；</w:t>
            </w:r>
          </w:p>
          <w:p>
            <w:pPr>
              <w:widowControl/>
              <w:rPr>
                <w:rFonts w:hint="default" w:ascii="宋体" w:hAnsi="宋体" w:cs="宋体"/>
                <w:color w:val="000000"/>
                <w:szCs w:val="21"/>
              </w:rPr>
            </w:pPr>
            <w:r>
              <w:rPr>
                <w:rFonts w:hint="default" w:ascii="宋体" w:hAnsi="宋体" w:cs="宋体"/>
                <w:color w:val="000000"/>
                <w:szCs w:val="21"/>
              </w:rPr>
              <w:t>所投机型须通过可信计算兼容性测试来满足等保2.0三级要求。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0</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物理安全</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物理安全</w:t>
            </w:r>
          </w:p>
        </w:tc>
        <w:tc>
          <w:tcPr>
            <w:tcW w:w="2674"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安全要求应符合 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1</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限用物质的限量要求</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限用物质的限量要求</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限用物质的限量应符合 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2</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CPU性能</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CPU 主频</w:t>
            </w:r>
          </w:p>
        </w:tc>
        <w:tc>
          <w:tcPr>
            <w:tcW w:w="2674"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2.5</w:t>
            </w:r>
            <w:r>
              <w:rPr>
                <w:rFonts w:hint="eastAsia" w:ascii="宋体" w:hAnsi="宋体" w:cs="宋体"/>
                <w:color w:val="000000"/>
                <w:szCs w:val="21"/>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ascii="宋体" w:hAnsi="宋体" w:cs="宋体"/>
                <w:color w:val="000000"/>
                <w:szCs w:val="21"/>
              </w:rPr>
              <w:t>53</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单 CPU 核数</w:t>
            </w:r>
          </w:p>
        </w:tc>
        <w:tc>
          <w:tcPr>
            <w:tcW w:w="2674"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单 CPU 末级缓存容量</w:t>
            </w:r>
          </w:p>
        </w:tc>
        <w:tc>
          <w:tcPr>
            <w:tcW w:w="2674"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32</w:t>
            </w:r>
            <w:r>
              <w:rPr>
                <w:rFonts w:hint="eastAsia" w:ascii="宋体" w:hAnsi="宋体" w:cs="宋体"/>
                <w:color w:val="000000"/>
                <w:szCs w:val="21"/>
              </w:rPr>
              <w: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5</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内存性能</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内存速率</w:t>
            </w:r>
          </w:p>
        </w:tc>
        <w:tc>
          <w:tcPr>
            <w:tcW w:w="2674"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3200</w:t>
            </w:r>
            <w:r>
              <w:rPr>
                <w:rFonts w:hint="eastAsia" w:ascii="宋体" w:hAnsi="宋体" w:cs="宋体"/>
                <w:color w:val="000000"/>
                <w:szCs w:val="21"/>
              </w:rPr>
              <w:t>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6</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RAID卡性能</w:t>
            </w:r>
          </w:p>
        </w:tc>
        <w:tc>
          <w:tcPr>
            <w:tcW w:w="500" w:type="pct"/>
            <w:vAlign w:val="center"/>
          </w:tcPr>
          <w:p>
            <w:pPr>
              <w:widowControl/>
              <w:jc w:val="center"/>
              <w:rPr>
                <w:rFonts w:ascii="宋体" w:hAnsi="宋体" w:cs="宋体"/>
                <w:color w:val="000000"/>
                <w:szCs w:val="21"/>
              </w:rPr>
            </w:pPr>
            <w:r>
              <w:rPr>
                <w:rFonts w:ascii="宋体" w:hAnsi="宋体" w:cs="宋体"/>
                <w:color w:val="000000"/>
                <w:szCs w:val="21"/>
              </w:rPr>
              <w:t>R</w:t>
            </w:r>
            <w:r>
              <w:rPr>
                <w:rFonts w:hint="eastAsia" w:ascii="宋体" w:hAnsi="宋体" w:cs="宋体"/>
                <w:color w:val="000000"/>
                <w:szCs w:val="21"/>
              </w:rPr>
              <w:t>aid卡缓存容量大小</w:t>
            </w:r>
          </w:p>
        </w:tc>
        <w:tc>
          <w:tcPr>
            <w:tcW w:w="2674"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缓存容量≥4GB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7</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电源能耗</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电源能耗</w:t>
            </w:r>
          </w:p>
        </w:tc>
        <w:tc>
          <w:tcPr>
            <w:tcW w:w="2674"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符合 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8</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部件兼容性要求</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内存兼容性</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适配 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9</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固态存储兼容性</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适配 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0</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网卡兼容性</w:t>
            </w:r>
          </w:p>
        </w:tc>
        <w:tc>
          <w:tcPr>
            <w:tcW w:w="2674"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功能卡兼容性</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内置或适配符合 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外设兼容性</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外设兼容性</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兼容多种主流生产商的外部设备，包括显示器、键盘、鼠标、闪存盘、移动硬盘、USB 光驱及 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3</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软件兼容性</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数据库兼容</w:t>
            </w:r>
          </w:p>
        </w:tc>
        <w:tc>
          <w:tcPr>
            <w:tcW w:w="2674" w:type="pct"/>
            <w:shd w:val="clear" w:color="auto" w:fill="auto"/>
            <w:noWrap/>
            <w:vAlign w:val="center"/>
          </w:tcPr>
          <w:p>
            <w:pPr>
              <w:widowControl/>
              <w:rPr>
                <w:rFonts w:hint="eastAsia" w:ascii="宋体" w:hAnsi="宋体" w:eastAsia="宋体" w:cs="宋体"/>
                <w:color w:val="000000"/>
                <w:szCs w:val="21"/>
                <w:lang w:eastAsia="zh-CN"/>
              </w:rPr>
            </w:pPr>
            <w:r>
              <w:rPr>
                <w:rFonts w:hint="eastAsia" w:ascii="宋体" w:hAnsi="宋体" w:cs="宋体"/>
                <w:color w:val="000000"/>
                <w:szCs w:val="21"/>
              </w:rPr>
              <w:t>兼容3个及以上厂商的数据库产品</w:t>
            </w:r>
            <w:r>
              <w:rPr>
                <w:rFonts w:hint="eastAsia" w:ascii="宋体" w:hAns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中间件兼容</w:t>
            </w:r>
          </w:p>
        </w:tc>
        <w:tc>
          <w:tcPr>
            <w:tcW w:w="2674" w:type="pct"/>
            <w:shd w:val="clear" w:color="auto" w:fill="auto"/>
            <w:noWrap/>
            <w:vAlign w:val="center"/>
          </w:tcPr>
          <w:p>
            <w:pPr>
              <w:widowControl/>
              <w:rPr>
                <w:rFonts w:hint="eastAsia" w:ascii="宋体" w:hAnsi="宋体" w:eastAsia="宋体" w:cs="宋体"/>
                <w:color w:val="000000"/>
                <w:szCs w:val="21"/>
                <w:lang w:eastAsia="zh-CN"/>
              </w:rPr>
            </w:pPr>
            <w:r>
              <w:rPr>
                <w:rFonts w:hint="eastAsia" w:ascii="宋体" w:hAnsi="宋体" w:cs="宋体"/>
                <w:color w:val="000000"/>
                <w:szCs w:val="21"/>
              </w:rPr>
              <w:t>兼容3个及以上厂商的中间件产品</w:t>
            </w:r>
            <w:r>
              <w:rPr>
                <w:rFonts w:hint="eastAsia" w:ascii="宋体" w:hAns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平台软件兼容</w:t>
            </w:r>
          </w:p>
        </w:tc>
        <w:tc>
          <w:tcPr>
            <w:tcW w:w="2674" w:type="pct"/>
            <w:shd w:val="clear" w:color="auto" w:fill="auto"/>
            <w:noWrap/>
            <w:vAlign w:val="center"/>
          </w:tcPr>
          <w:p>
            <w:pPr>
              <w:widowControl/>
              <w:rPr>
                <w:rFonts w:hint="eastAsia" w:ascii="宋体" w:hAnsi="宋体" w:eastAsia="宋体" w:cs="宋体"/>
                <w:color w:val="000000"/>
                <w:szCs w:val="21"/>
                <w:lang w:eastAsia="zh-CN"/>
              </w:rPr>
            </w:pPr>
            <w:r>
              <w:rPr>
                <w:rFonts w:hint="eastAsia" w:ascii="宋体" w:hAnsi="宋体" w:cs="宋体"/>
                <w:color w:val="000000"/>
                <w:szCs w:val="21"/>
              </w:rPr>
              <w:t>兼容3个及以上厂商的大数据平台</w:t>
            </w:r>
            <w:r>
              <w:rPr>
                <w:rFonts w:hint="eastAsia" w:ascii="宋体" w:hAns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6</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整机可靠性要求</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整机可靠性</w:t>
            </w:r>
          </w:p>
        </w:tc>
        <w:tc>
          <w:tcPr>
            <w:tcW w:w="2674" w:type="pct"/>
            <w:shd w:val="clear" w:color="auto" w:fill="auto"/>
            <w:vAlign w:val="center"/>
          </w:tcPr>
          <w:p>
            <w:pPr>
              <w:widowControl/>
              <w:rPr>
                <w:rFonts w:hint="default" w:ascii="宋体" w:hAnsi="宋体" w:cs="宋体"/>
                <w:color w:val="000000"/>
                <w:szCs w:val="21"/>
              </w:rPr>
            </w:pPr>
            <w:r>
              <w:rPr>
                <w:rFonts w:hint="eastAsia" w:ascii="宋体" w:hAnsi="宋体" w:cs="宋体"/>
                <w:color w:val="000000"/>
                <w:szCs w:val="21"/>
              </w:rPr>
              <w:t>m1 值（MTBF 的不可接受值）≥</w:t>
            </w:r>
            <w:r>
              <w:rPr>
                <w:rFonts w:ascii="宋体" w:hAnsi="宋体" w:cs="宋体"/>
                <w:color w:val="000000"/>
                <w:szCs w:val="21"/>
              </w:rPr>
              <w:t>10</w:t>
            </w:r>
            <w:r>
              <w:rPr>
                <w:rFonts w:hint="eastAsia" w:ascii="宋体" w:hAnsi="宋体" w:cs="宋体"/>
                <w:color w:val="000000"/>
                <w:szCs w:val="21"/>
              </w:rPr>
              <w:t>0000h，</w:t>
            </w:r>
            <w:r>
              <w:rPr>
                <w:rFonts w:hint="default" w:ascii="宋体" w:hAnsi="宋体" w:cs="宋体"/>
                <w:color w:val="000000"/>
                <w:szCs w:val="21"/>
              </w:rPr>
              <w:t>须通过MTBF认证。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风扇可靠性</w:t>
            </w:r>
          </w:p>
        </w:tc>
        <w:tc>
          <w:tcPr>
            <w:tcW w:w="2674" w:type="pct"/>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风扇寿命≥ 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部件可靠性</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支持硬盘、电源、风扇热插拔(内置风扇除外)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9</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包装及运输要求</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标志、包装、运输和贮存</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0</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服务响应</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服务响应</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a) 提供电话、电子邮件、远程连接等多种形式服务；b) 提供同城 4h、异地 12h 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1</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培训服务</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2</w:t>
            </w:r>
          </w:p>
        </w:tc>
        <w:tc>
          <w:tcPr>
            <w:tcW w:w="500" w:type="pc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服务周期</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服务周期</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（1）产品免费服务周期（含换件和维修）≥5年，包含硬盘不返还服务；</w:t>
            </w:r>
          </w:p>
          <w:p>
            <w:pPr>
              <w:widowControl/>
              <w:rPr>
                <w:rFonts w:ascii="宋体" w:hAnsi="宋体" w:cs="宋体"/>
                <w:color w:val="000000"/>
                <w:szCs w:val="21"/>
              </w:rPr>
            </w:pPr>
            <w:r>
              <w:rPr>
                <w:rFonts w:hint="eastAsia" w:ascii="宋体" w:hAnsi="宋体" w:cs="宋体"/>
                <w:color w:val="000000"/>
                <w:szCs w:val="21"/>
              </w:rPr>
              <w:t>（2）设备停产后继续提供质量保障服务（含备品备件），服务终止时间与最后一批设备交付时间间隔≥6年；</w:t>
            </w:r>
          </w:p>
          <w:p>
            <w:pPr>
              <w:widowControl/>
              <w:rPr>
                <w:rFonts w:ascii="宋体" w:hAnsi="宋体" w:cs="宋体"/>
                <w:color w:val="000000"/>
                <w:szCs w:val="21"/>
              </w:rPr>
            </w:pPr>
            <w:r>
              <w:rPr>
                <w:rFonts w:hint="eastAsia" w:ascii="宋体" w:hAnsi="宋体" w:cs="宋体"/>
                <w:color w:val="000000"/>
                <w:szCs w:val="21"/>
              </w:rPr>
              <w:t>（3）产品停止服务时间应提前1年告知客户；</w:t>
            </w:r>
          </w:p>
          <w:p>
            <w:pPr>
              <w:widowControl/>
              <w:rPr>
                <w:rFonts w:ascii="宋体" w:hAnsi="宋体" w:cs="宋体"/>
                <w:color w:val="000000"/>
                <w:szCs w:val="21"/>
              </w:rPr>
            </w:pPr>
            <w:r>
              <w:rPr>
                <w:rFonts w:hint="eastAsia" w:ascii="宋体" w:hAnsi="宋体" w:cs="宋体"/>
                <w:color w:val="000000"/>
                <w:szCs w:val="21"/>
              </w:rPr>
              <w:t>（4）产品发布日期需在随机文件中明确。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3</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服务工具要求</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工具要求</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4</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驱动安装升级指引</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5</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管理软件</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6</w:t>
            </w:r>
          </w:p>
        </w:tc>
        <w:tc>
          <w:tcPr>
            <w:tcW w:w="500" w:type="pct"/>
            <w:vMerge w:val="restart"/>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增值服务</w:t>
            </w: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厂家升级产品软件与扩容服务</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7</w:t>
            </w:r>
          </w:p>
        </w:tc>
        <w:tc>
          <w:tcPr>
            <w:tcW w:w="500" w:type="pct"/>
            <w:vMerge w:val="continue"/>
            <w:vAlign w:val="center"/>
          </w:tcPr>
          <w:p>
            <w:pPr>
              <w:widowControl/>
              <w:jc w:val="center"/>
              <w:rPr>
                <w:rFonts w:ascii="宋体" w:hAnsi="宋体" w:cs="宋体"/>
                <w:color w:val="000000"/>
                <w:szCs w:val="21"/>
              </w:rPr>
            </w:pPr>
          </w:p>
        </w:tc>
        <w:tc>
          <w:tcPr>
            <w:tcW w:w="500" w:type="pct"/>
            <w:vAlign w:val="center"/>
          </w:tcPr>
          <w:p>
            <w:pPr>
              <w:widowControl/>
              <w:jc w:val="center"/>
              <w:rPr>
                <w:rFonts w:ascii="宋体" w:hAnsi="宋体" w:cs="宋体"/>
                <w:color w:val="000000"/>
                <w:szCs w:val="21"/>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szCs w:val="21"/>
              </w:rPr>
              <w:t>提供上门服务</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7*2</w:t>
            </w:r>
            <w:r>
              <w:rPr>
                <w:rFonts w:ascii="宋体" w:hAnsi="宋体" w:cs="宋体"/>
                <w:color w:val="000000"/>
                <w:kern w:val="0"/>
                <w:szCs w:val="21"/>
              </w:rPr>
              <w:t>4</w:t>
            </w:r>
            <w:r>
              <w:rPr>
                <w:rFonts w:hint="eastAsia" w:ascii="宋体" w:hAnsi="宋体" w:cs="宋体"/>
                <w:color w:val="000000"/>
                <w:kern w:val="0"/>
                <w:szCs w:val="21"/>
              </w:rPr>
              <w:t>小时上门服务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8</w:t>
            </w:r>
          </w:p>
        </w:tc>
        <w:tc>
          <w:tcPr>
            <w:tcW w:w="500" w:type="pct"/>
            <w:vMerge w:val="restart"/>
            <w:shd w:val="clear" w:color="auto" w:fill="auto"/>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供应链质量</w:t>
            </w:r>
          </w:p>
        </w:tc>
        <w:tc>
          <w:tcPr>
            <w:tcW w:w="500" w:type="pct"/>
            <w:vAlign w:val="center"/>
          </w:tcPr>
          <w:p>
            <w:pPr>
              <w:widowControl/>
              <w:jc w:val="center"/>
              <w:rPr>
                <w:rFonts w:ascii="宋体" w:hAnsi="宋体" w:cs="宋体"/>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抗干扰性</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Merge w:val="continue"/>
            <w:vAlign w:val="center"/>
          </w:tcPr>
          <w:p>
            <w:pPr>
              <w:widowControl/>
              <w:jc w:val="center"/>
              <w:rPr>
                <w:rFonts w:ascii="宋体" w:hAnsi="宋体" w:cs="宋体"/>
                <w:color w:val="000000"/>
                <w:szCs w:val="21"/>
              </w:rPr>
            </w:pPr>
          </w:p>
        </w:tc>
        <w:tc>
          <w:tcPr>
            <w:tcW w:w="250" w:type="pct"/>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9</w:t>
            </w:r>
          </w:p>
        </w:tc>
        <w:tc>
          <w:tcPr>
            <w:tcW w:w="500" w:type="pct"/>
            <w:vMerge w:val="continue"/>
            <w:vAlign w:val="center"/>
          </w:tcPr>
          <w:p>
            <w:pPr>
              <w:widowControl/>
              <w:jc w:val="center"/>
              <w:rPr>
                <w:rFonts w:ascii="宋体" w:hAnsi="宋体" w:cs="宋体"/>
                <w:color w:val="000000" w:themeColor="text1"/>
                <w:szCs w:val="21"/>
                <w14:textFill>
                  <w14:solidFill>
                    <w14:schemeClr w14:val="tx1"/>
                  </w14:solidFill>
                </w14:textFill>
              </w:rPr>
            </w:pPr>
          </w:p>
        </w:tc>
        <w:tc>
          <w:tcPr>
            <w:tcW w:w="500" w:type="pct"/>
            <w:vAlign w:val="center"/>
          </w:tcPr>
          <w:p>
            <w:pPr>
              <w:widowControl/>
              <w:jc w:val="center"/>
              <w:rPr>
                <w:rFonts w:ascii="宋体" w:hAnsi="宋体" w:cs="宋体"/>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供应能力证明</w:t>
            </w:r>
          </w:p>
        </w:tc>
        <w:tc>
          <w:tcPr>
            <w:tcW w:w="2674" w:type="pct"/>
            <w:shd w:val="clear" w:color="auto" w:fill="auto"/>
            <w:vAlign w:val="center"/>
          </w:tcPr>
          <w:p>
            <w:pPr>
              <w:widowControl/>
              <w:rPr>
                <w:rFonts w:ascii="宋体" w:hAnsi="宋体" w:cs="宋体"/>
                <w:color w:val="000000"/>
                <w:szCs w:val="21"/>
              </w:rPr>
            </w:pPr>
            <w:r>
              <w:rPr>
                <w:rFonts w:hint="eastAsia" w:ascii="宋体" w:hAnsi="宋体" w:cs="宋体"/>
                <w:color w:val="000000"/>
                <w:szCs w:val="21"/>
              </w:rPr>
              <w:t>供应商需提供供应链稳定承诺书</w:t>
            </w:r>
          </w:p>
        </w:tc>
      </w:tr>
    </w:tbl>
    <w:p>
      <w:pPr>
        <w:rPr>
          <w:color w:val="000000"/>
        </w:rPr>
      </w:pPr>
    </w:p>
    <w:p>
      <w:r>
        <w:br w:type="page"/>
      </w:r>
    </w:p>
    <w:p>
      <w:pPr>
        <w:pStyle w:val="5"/>
        <w:ind w:firstLine="482" w:firstLineChars="200"/>
        <w:rPr>
          <w:sz w:val="24"/>
          <w:szCs w:val="22"/>
        </w:rPr>
      </w:pPr>
      <w:r>
        <w:rPr>
          <w:rFonts w:hint="eastAsia"/>
          <w:sz w:val="24"/>
          <w:szCs w:val="22"/>
          <w:lang w:val="en-US" w:eastAsia="zh-CN"/>
        </w:rPr>
        <w:t>10.</w:t>
      </w:r>
      <w:r>
        <w:rPr>
          <w:rFonts w:hint="eastAsia"/>
          <w:sz w:val="24"/>
          <w:szCs w:val="22"/>
        </w:rPr>
        <w:t>流计算VP</w:t>
      </w:r>
      <w:r>
        <w:rPr>
          <w:sz w:val="24"/>
          <w:szCs w:val="22"/>
        </w:rPr>
        <w:t>C</w:t>
      </w:r>
      <w:r>
        <w:rPr>
          <w:rFonts w:hint="eastAsia"/>
          <w:sz w:val="24"/>
          <w:szCs w:val="22"/>
        </w:rPr>
        <w:t>服务器（2台）</w:t>
      </w:r>
    </w:p>
    <w:tbl>
      <w:tblPr>
        <w:tblStyle w:val="21"/>
        <w:tblW w:w="5000" w:type="pct"/>
        <w:jc w:val="center"/>
        <w:tblLayout w:type="fixed"/>
        <w:tblCellMar>
          <w:top w:w="0" w:type="dxa"/>
          <w:left w:w="108" w:type="dxa"/>
          <w:bottom w:w="0" w:type="dxa"/>
          <w:right w:w="108" w:type="dxa"/>
        </w:tblCellMar>
      </w:tblPr>
      <w:tblGrid>
        <w:gridCol w:w="496"/>
        <w:gridCol w:w="496"/>
        <w:gridCol w:w="497"/>
        <w:gridCol w:w="497"/>
        <w:gridCol w:w="993"/>
        <w:gridCol w:w="993"/>
        <w:gridCol w:w="5314"/>
      </w:tblGrid>
      <w:tr>
        <w:tblPrEx>
          <w:tblCellMar>
            <w:top w:w="0" w:type="dxa"/>
            <w:left w:w="108" w:type="dxa"/>
            <w:bottom w:w="0" w:type="dxa"/>
            <w:right w:w="108" w:type="dxa"/>
          </w:tblCellMar>
        </w:tblPrEx>
        <w:trPr>
          <w:trHeight w:val="555" w:hRule="atLeast"/>
          <w:jc w:val="center"/>
        </w:trPr>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50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指标</w:t>
            </w:r>
          </w:p>
        </w:tc>
        <w:tc>
          <w:tcPr>
            <w:tcW w:w="50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2675"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CellMar>
            <w:top w:w="0" w:type="dxa"/>
            <w:left w:w="108" w:type="dxa"/>
            <w:bottom w:w="0" w:type="dxa"/>
            <w:right w:w="108" w:type="dxa"/>
          </w:tblCellMar>
        </w:tblPrEx>
        <w:trPr>
          <w:trHeight w:val="936" w:hRule="atLeast"/>
          <w:jc w:val="center"/>
        </w:trPr>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流计算V</w:t>
            </w:r>
            <w:r>
              <w:rPr>
                <w:rFonts w:ascii="宋体" w:hAnsi="宋体"/>
                <w:color w:val="000000"/>
                <w:szCs w:val="21"/>
              </w:rPr>
              <w:t>PC服务器</w:t>
            </w:r>
          </w:p>
        </w:tc>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2</w:t>
            </w:r>
          </w:p>
        </w:tc>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台</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Cs w:val="21"/>
              </w:rPr>
            </w:pPr>
            <w:r>
              <w:rPr>
                <w:rFonts w:hint="eastAsia" w:ascii="宋体" w:hAnsi="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Cs w:val="21"/>
              </w:rPr>
            </w:pPr>
            <w:r>
              <w:rPr>
                <w:rFonts w:ascii="宋体" w:hAnsi="宋体"/>
                <w:color w:val="000000"/>
                <w:szCs w:val="21"/>
              </w:rPr>
              <w:t>CPU</w:t>
            </w:r>
            <w:r>
              <w:rPr>
                <w:rFonts w:hint="eastAsia" w:ascii="宋体" w:hAnsi="宋体"/>
                <w:color w:val="000000"/>
                <w:szCs w:val="21"/>
              </w:rPr>
              <w:t>规格</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Cs w:val="21"/>
              </w:rPr>
            </w:pPr>
            <w:r>
              <w:rPr>
                <w:rFonts w:ascii="宋体" w:hAnsi="宋体"/>
                <w:color w:val="000000"/>
                <w:szCs w:val="21"/>
              </w:rPr>
              <w:t xml:space="preserve">▲CPU </w:t>
            </w:r>
            <w:r>
              <w:rPr>
                <w:rFonts w:hint="eastAsia" w:ascii="宋体" w:hAnsi="宋体"/>
                <w:color w:val="000000"/>
                <w:szCs w:val="21"/>
              </w:rPr>
              <w:t>信息</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（1）配置2颗国产C86架构处理器，支持超线程技术和睿频技术；</w:t>
            </w:r>
          </w:p>
          <w:p>
            <w:pPr>
              <w:widowControl/>
              <w:rPr>
                <w:rFonts w:ascii="宋体" w:hAnsi="宋体" w:cs="宋体"/>
                <w:color w:val="000000"/>
                <w:szCs w:val="21"/>
              </w:rPr>
            </w:pPr>
            <w:r>
              <w:rPr>
                <w:rFonts w:hint="eastAsia" w:ascii="宋体" w:hAnsi="宋体" w:cs="宋体"/>
                <w:color w:val="000000"/>
                <w:szCs w:val="21"/>
              </w:rPr>
              <w:t xml:space="preserve">（2）单颗CPU型号Hygon </w:t>
            </w:r>
            <w:r>
              <w:rPr>
                <w:rFonts w:ascii="宋体" w:hAnsi="宋体" w:cs="宋体"/>
                <w:color w:val="000000"/>
                <w:szCs w:val="21"/>
              </w:rPr>
              <w:t>7381</w:t>
            </w:r>
            <w:r>
              <w:rPr>
                <w:rFonts w:hint="eastAsia" w:ascii="宋体" w:hAnsi="宋体" w:cs="宋体"/>
                <w:color w:val="000000"/>
                <w:szCs w:val="21"/>
              </w:rPr>
              <w:t>，单颗CPU物理核心数≥</w:t>
            </w:r>
            <w:r>
              <w:rPr>
                <w:rFonts w:ascii="宋体" w:hAnsi="宋体" w:cs="宋体"/>
                <w:color w:val="000000"/>
                <w:szCs w:val="21"/>
              </w:rPr>
              <w:t>32</w:t>
            </w:r>
            <w:r>
              <w:rPr>
                <w:rFonts w:hint="eastAsia" w:ascii="宋体" w:hAnsi="宋体" w:cs="宋体"/>
                <w:color w:val="000000"/>
                <w:szCs w:val="21"/>
              </w:rPr>
              <w:t>核、主频≥2.</w:t>
            </w:r>
            <w:r>
              <w:rPr>
                <w:rFonts w:ascii="宋体" w:hAnsi="宋体" w:cs="宋体"/>
                <w:color w:val="000000"/>
                <w:szCs w:val="21"/>
              </w:rPr>
              <w:t>3</w:t>
            </w:r>
            <w:r>
              <w:rPr>
                <w:rFonts w:hint="eastAsia" w:ascii="宋体" w:hAnsi="宋体" w:cs="宋体"/>
                <w:color w:val="000000"/>
                <w:szCs w:val="21"/>
              </w:rPr>
              <w:t>GHz、末级缓存容量≥</w:t>
            </w:r>
            <w:r>
              <w:rPr>
                <w:rFonts w:ascii="宋体" w:hAnsi="宋体" w:cs="宋体"/>
                <w:color w:val="000000"/>
                <w:szCs w:val="21"/>
              </w:rPr>
              <w:t>64</w:t>
            </w:r>
            <w:r>
              <w:rPr>
                <w:rFonts w:hint="eastAsia" w:ascii="宋体" w:hAnsi="宋体" w:cs="宋体"/>
                <w:color w:val="000000"/>
                <w:szCs w:val="21"/>
              </w:rPr>
              <w:t>MB、线程数≥</w:t>
            </w:r>
            <w:r>
              <w:rPr>
                <w:rFonts w:ascii="宋体" w:hAnsi="宋体" w:cs="宋体"/>
                <w:color w:val="000000"/>
                <w:szCs w:val="21"/>
              </w:rPr>
              <w:t>64</w:t>
            </w:r>
            <w:r>
              <w:rPr>
                <w:rFonts w:hint="eastAsia" w:ascii="宋体" w:hAnsi="宋体" w:cs="宋体"/>
                <w:color w:val="000000"/>
                <w:szCs w:val="21"/>
              </w:rPr>
              <w:t>、热设计功耗≥</w:t>
            </w:r>
            <w:r>
              <w:rPr>
                <w:rFonts w:ascii="宋体" w:hAnsi="宋体" w:cs="宋体"/>
                <w:color w:val="000000"/>
                <w:szCs w:val="21"/>
              </w:rPr>
              <w:t>208</w:t>
            </w:r>
            <w:r>
              <w:rPr>
                <w:rFonts w:hint="eastAsia" w:ascii="宋体" w:hAnsi="宋体" w:cs="宋体"/>
                <w:color w:val="000000"/>
                <w:szCs w:val="21"/>
              </w:rPr>
              <w:t>W、支持内存的最高速率≥3200MHz、通道数≥</w:t>
            </w:r>
            <w:r>
              <w:rPr>
                <w:rFonts w:ascii="宋体" w:hAnsi="宋体" w:cs="宋体"/>
                <w:color w:val="000000"/>
                <w:szCs w:val="21"/>
              </w:rPr>
              <w:t>8</w:t>
            </w:r>
            <w:r>
              <w:rPr>
                <w:rFonts w:hint="eastAsia" w:ascii="宋体" w:hAnsi="宋体" w:cs="宋体"/>
                <w:color w:val="000000"/>
                <w:szCs w:val="21"/>
              </w:rPr>
              <w:t>、位宽≥64位；</w:t>
            </w:r>
          </w:p>
        </w:tc>
      </w:tr>
      <w:tr>
        <w:tblPrEx>
          <w:tblCellMar>
            <w:top w:w="0" w:type="dxa"/>
            <w:left w:w="108" w:type="dxa"/>
            <w:bottom w:w="0" w:type="dxa"/>
            <w:right w:w="108" w:type="dxa"/>
          </w:tblCellMar>
        </w:tblPrEx>
        <w:trPr>
          <w:trHeight w:val="3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主板规格</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主板支持的</w:t>
            </w:r>
            <w:r>
              <w:rPr>
                <w:rFonts w:ascii="宋体" w:hAnsi="宋体"/>
                <w:color w:val="000000"/>
                <w:szCs w:val="21"/>
              </w:rPr>
              <w:t xml:space="preserve">CPU </w:t>
            </w:r>
            <w:r>
              <w:rPr>
                <w:rFonts w:hint="eastAsia" w:ascii="宋体" w:hAnsi="宋体" w:cs="宋体"/>
                <w:color w:val="000000"/>
                <w:szCs w:val="21"/>
              </w:rPr>
              <w:t>和内存情况</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主板支持海光</w:t>
            </w:r>
            <w:r>
              <w:rPr>
                <w:rFonts w:ascii="宋体" w:hAnsi="宋体" w:cs="宋体"/>
                <w:color w:val="000000"/>
                <w:szCs w:val="21"/>
              </w:rPr>
              <w:t>7381</w:t>
            </w:r>
            <w:r>
              <w:rPr>
                <w:rFonts w:hint="eastAsia" w:ascii="宋体" w:hAnsi="宋体" w:cs="宋体"/>
                <w:color w:val="000000"/>
                <w:szCs w:val="21"/>
              </w:rPr>
              <w:t xml:space="preserve"> CPU≥ 2颗，内存数量支持≥</w:t>
            </w:r>
            <w:r>
              <w:rPr>
                <w:rFonts w:ascii="宋体" w:hAnsi="宋体" w:cs="宋体"/>
                <w:color w:val="000000"/>
                <w:szCs w:val="21"/>
              </w:rPr>
              <w:t>32</w:t>
            </w:r>
            <w:r>
              <w:rPr>
                <w:rFonts w:hint="eastAsia" w:ascii="宋体" w:hAnsi="宋体" w:cs="宋体"/>
                <w:color w:val="000000"/>
                <w:szCs w:val="21"/>
              </w:rPr>
              <w:t>个</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主板内存槽数量</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主板内存槽数量≥</w:t>
            </w:r>
            <w:r>
              <w:rPr>
                <w:rFonts w:ascii="宋体" w:hAnsi="宋体" w:cs="宋体"/>
                <w:color w:val="000000"/>
                <w:szCs w:val="21"/>
              </w:rPr>
              <w:t>32</w:t>
            </w:r>
            <w:r>
              <w:rPr>
                <w:rFonts w:hint="eastAsia" w:ascii="宋体" w:hAnsi="宋体" w:cs="宋体"/>
                <w:color w:val="000000"/>
                <w:szCs w:val="21"/>
              </w:rPr>
              <w:t>个</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主板存储接口</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（1）主板支持SATA/SAS/M.2/U.2存储接口；</w:t>
            </w:r>
          </w:p>
          <w:p>
            <w:pPr>
              <w:widowControl/>
              <w:rPr>
                <w:rFonts w:ascii="宋体" w:hAnsi="宋体" w:cs="宋体"/>
                <w:color w:val="000000"/>
                <w:szCs w:val="21"/>
              </w:rPr>
            </w:pPr>
            <w:r>
              <w:rPr>
                <w:rFonts w:hint="eastAsia" w:ascii="宋体" w:hAnsi="宋体" w:cs="宋体"/>
                <w:color w:val="000000"/>
                <w:szCs w:val="21"/>
              </w:rPr>
              <w:t>（2）板载支持≥</w:t>
            </w:r>
            <w:r>
              <w:rPr>
                <w:rFonts w:ascii="宋体" w:hAnsi="宋体" w:cs="宋体"/>
                <w:color w:val="000000"/>
                <w:szCs w:val="21"/>
              </w:rPr>
              <w:t>12</w:t>
            </w:r>
            <w:r>
              <w:rPr>
                <w:rFonts w:hint="eastAsia" w:ascii="宋体" w:hAnsi="宋体" w:cs="宋体"/>
                <w:color w:val="000000"/>
                <w:szCs w:val="21"/>
              </w:rPr>
              <w:t>个SATA/</w:t>
            </w:r>
            <w:r>
              <w:rPr>
                <w:rFonts w:ascii="宋体" w:hAnsi="宋体" w:cs="宋体"/>
                <w:color w:val="000000"/>
                <w:szCs w:val="21"/>
              </w:rPr>
              <w:t>SAS</w:t>
            </w:r>
            <w:r>
              <w:rPr>
                <w:rFonts w:hint="eastAsia" w:ascii="宋体" w:hAnsi="宋体" w:cs="宋体"/>
                <w:color w:val="000000"/>
                <w:szCs w:val="21"/>
              </w:rPr>
              <w:t>盘；</w:t>
            </w:r>
          </w:p>
          <w:p>
            <w:pPr>
              <w:widowControl/>
              <w:rPr>
                <w:rFonts w:ascii="宋体" w:hAnsi="宋体" w:cs="宋体"/>
                <w:color w:val="000000"/>
                <w:szCs w:val="21"/>
              </w:rPr>
            </w:pPr>
            <w:r>
              <w:rPr>
                <w:rFonts w:hint="eastAsia" w:ascii="宋体" w:hAnsi="宋体" w:cs="宋体"/>
                <w:color w:val="000000"/>
                <w:szCs w:val="21"/>
              </w:rPr>
              <w:t>（3）板载可支持</w:t>
            </w:r>
            <w:r>
              <w:rPr>
                <w:rFonts w:ascii="宋体" w:hAnsi="宋体" w:cs="宋体"/>
                <w:color w:val="000000"/>
                <w:szCs w:val="21"/>
              </w:rPr>
              <w:t>2</w:t>
            </w:r>
            <w:r>
              <w:rPr>
                <w:rFonts w:hint="eastAsia" w:ascii="宋体" w:hAnsi="宋体" w:cs="宋体"/>
                <w:color w:val="000000"/>
                <w:szCs w:val="21"/>
              </w:rPr>
              <w:t>个内置M.2 SSD；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Cs w:val="21"/>
              </w:rPr>
            </w:pPr>
            <w:r>
              <w:rPr>
                <w:rFonts w:ascii="宋体" w:hAnsi="宋体"/>
                <w:color w:val="000000"/>
                <w:szCs w:val="21"/>
              </w:rPr>
              <w:t xml:space="preserve">▲PCIe </w:t>
            </w:r>
            <w:r>
              <w:rPr>
                <w:rFonts w:hint="eastAsia" w:ascii="宋体" w:hAnsi="宋体"/>
                <w:color w:val="000000"/>
                <w:szCs w:val="21"/>
              </w:rPr>
              <w:t>插槽接口</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支持PCI-E 4.0插槽，可支持向下兼容</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主板 PCIe 插槽数量及规格</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主板最大可扩展</w:t>
            </w:r>
            <w:r>
              <w:rPr>
                <w:rFonts w:ascii="宋体" w:hAnsi="宋体" w:cs="宋体"/>
                <w:color w:val="000000"/>
                <w:szCs w:val="21"/>
              </w:rPr>
              <w:t>10</w:t>
            </w:r>
            <w:r>
              <w:rPr>
                <w:rFonts w:hint="eastAsia" w:ascii="宋体" w:hAnsi="宋体" w:cs="宋体"/>
                <w:color w:val="000000"/>
                <w:szCs w:val="21"/>
              </w:rPr>
              <w:t>个PCIe 4.0插槽；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内存规格</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内存数量</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内存数量≥4</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内存规格</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w:t>
            </w:r>
            <w:r>
              <w:rPr>
                <w:rFonts w:ascii="宋体" w:hAnsi="宋体" w:cs="宋体"/>
                <w:color w:val="000000"/>
                <w:szCs w:val="21"/>
              </w:rPr>
              <w:t>256</w:t>
            </w:r>
            <w:r>
              <w:rPr>
                <w:rFonts w:hint="eastAsia" w:ascii="宋体" w:hAnsi="宋体" w:cs="宋体"/>
                <w:color w:val="000000"/>
                <w:szCs w:val="21"/>
              </w:rPr>
              <w:t>GB</w:t>
            </w:r>
            <w:r>
              <w:rPr>
                <w:rFonts w:ascii="宋体" w:hAnsi="宋体" w:cs="宋体"/>
                <w:color w:val="000000"/>
                <w:szCs w:val="21"/>
              </w:rPr>
              <w:t xml:space="preserve"> </w:t>
            </w:r>
            <w:r>
              <w:rPr>
                <w:rFonts w:hint="eastAsia" w:ascii="宋体" w:hAnsi="宋体" w:cs="宋体"/>
                <w:color w:val="000000"/>
                <w:szCs w:val="21"/>
              </w:rPr>
              <w:t>DDR4</w:t>
            </w:r>
          </w:p>
        </w:tc>
      </w:tr>
      <w:tr>
        <w:tblPrEx>
          <w:tblCellMar>
            <w:top w:w="0" w:type="dxa"/>
            <w:left w:w="108" w:type="dxa"/>
            <w:bottom w:w="0" w:type="dxa"/>
            <w:right w:w="108" w:type="dxa"/>
          </w:tblCellMar>
        </w:tblPrEx>
        <w:trPr>
          <w:trHeight w:val="41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内存通道</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w:t>
            </w:r>
            <w:r>
              <w:rPr>
                <w:rFonts w:ascii="宋体" w:hAnsi="宋体" w:cs="宋体"/>
                <w:color w:val="000000"/>
                <w:szCs w:val="21"/>
              </w:rPr>
              <w:t>8</w:t>
            </w:r>
            <w:r>
              <w:rPr>
                <w:rFonts w:hint="eastAsia" w:ascii="宋体" w:hAnsi="宋体" w:cs="宋体"/>
                <w:color w:val="000000"/>
                <w:szCs w:val="21"/>
              </w:rPr>
              <w:t>个内存接口通道</w:t>
            </w:r>
          </w:p>
        </w:tc>
      </w:tr>
      <w:tr>
        <w:tblPrEx>
          <w:tblCellMar>
            <w:top w:w="0" w:type="dxa"/>
            <w:left w:w="108" w:type="dxa"/>
            <w:bottom w:w="0" w:type="dxa"/>
            <w:right w:w="108" w:type="dxa"/>
          </w:tblCellMar>
        </w:tblPrEx>
        <w:trPr>
          <w:trHeight w:val="603"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存储规格</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硬磁盘实配容量</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实配≥2</w:t>
            </w:r>
            <w:r>
              <w:rPr>
                <w:rFonts w:ascii="宋体" w:hAnsi="宋体" w:cs="宋体"/>
                <w:color w:val="000000"/>
                <w:szCs w:val="21"/>
              </w:rPr>
              <w:t>1.6TB</w:t>
            </w:r>
            <w:r>
              <w:rPr>
                <w:rFonts w:hint="eastAsia" w:ascii="宋体" w:hAnsi="宋体" w:cs="宋体"/>
                <w:color w:val="000000"/>
                <w:szCs w:val="21"/>
              </w:rPr>
              <w:t>(1</w:t>
            </w:r>
            <w:r>
              <w:rPr>
                <w:rFonts w:hint="eastAsia" w:ascii="宋体" w:hAnsi="宋体" w:cs="宋体"/>
                <w:color w:val="000000"/>
                <w:szCs w:val="21"/>
                <w:lang w:eastAsia="zh-CN"/>
              </w:rPr>
              <w:t>2*1</w:t>
            </w:r>
            <w:r>
              <w:rPr>
                <w:rFonts w:hint="eastAsia" w:ascii="宋体" w:hAnsi="宋体" w:cs="宋体"/>
                <w:color w:val="000000"/>
                <w:szCs w:val="21"/>
              </w:rPr>
              <w:t xml:space="preserve">.8TB </w:t>
            </w:r>
            <w:r>
              <w:rPr>
                <w:rFonts w:ascii="宋体" w:hAnsi="宋体" w:cs="宋体"/>
                <w:color w:val="000000"/>
                <w:szCs w:val="21"/>
              </w:rPr>
              <w:t>)</w:t>
            </w:r>
            <w:r>
              <w:rPr>
                <w:rFonts w:hint="eastAsia" w:ascii="宋体" w:hAnsi="宋体" w:cs="宋体"/>
                <w:color w:val="000000"/>
                <w:szCs w:val="21"/>
              </w:rPr>
              <w:t>2.5英寸 SAS HDD；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硬盘实配数量</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实配≥1</w:t>
            </w:r>
            <w:r>
              <w:rPr>
                <w:rFonts w:hint="eastAsia" w:ascii="宋体" w:hAnsi="宋体" w:cs="宋体"/>
                <w:color w:val="000000"/>
                <w:szCs w:val="21"/>
                <w:lang w:eastAsia="zh-CN"/>
              </w:rPr>
              <w:t>2*1</w:t>
            </w:r>
            <w:r>
              <w:rPr>
                <w:rFonts w:hint="eastAsia" w:ascii="宋体" w:hAnsi="宋体" w:cs="宋体"/>
                <w:color w:val="000000"/>
                <w:szCs w:val="21"/>
              </w:rPr>
              <w:t>.8TB 2.5英寸 SAS HDD；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固态盘实配容量</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实配≥9</w:t>
            </w:r>
            <w:r>
              <w:rPr>
                <w:rFonts w:ascii="宋体" w:hAnsi="宋体" w:cs="宋体"/>
                <w:color w:val="000000"/>
                <w:szCs w:val="21"/>
              </w:rPr>
              <w:t>60GB</w:t>
            </w:r>
            <w:r>
              <w:rPr>
                <w:rFonts w:hint="eastAsia" w:ascii="宋体" w:hAnsi="宋体" w:cs="宋体"/>
                <w:color w:val="000000"/>
                <w:szCs w:val="21"/>
              </w:rPr>
              <w:t>(</w:t>
            </w:r>
            <w:r>
              <w:rPr>
                <w:rFonts w:hint="eastAsia" w:ascii="宋体" w:hAnsi="宋体" w:cs="宋体"/>
                <w:color w:val="000000"/>
                <w:szCs w:val="21"/>
                <w:lang w:eastAsia="zh-CN"/>
              </w:rPr>
              <w:t>2*4</w:t>
            </w:r>
            <w:r>
              <w:rPr>
                <w:rFonts w:hint="eastAsia" w:ascii="宋体" w:hAnsi="宋体" w:cs="宋体"/>
                <w:color w:val="000000"/>
                <w:szCs w:val="21"/>
              </w:rPr>
              <w:t>80GB</w:t>
            </w:r>
            <w:r>
              <w:rPr>
                <w:rFonts w:ascii="宋体" w:hAnsi="宋体" w:cs="宋体"/>
                <w:color w:val="000000"/>
                <w:szCs w:val="21"/>
              </w:rPr>
              <w:t>)</w:t>
            </w:r>
            <w:r>
              <w:rPr>
                <w:rFonts w:hint="eastAsia" w:ascii="宋体" w:hAnsi="宋体" w:cs="宋体"/>
                <w:color w:val="000000"/>
                <w:szCs w:val="21"/>
              </w:rPr>
              <w:t xml:space="preserve"> 2.5英寸 SATA SSD；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固态盘实配数量</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w:t>
            </w:r>
            <w:r>
              <w:rPr>
                <w:rFonts w:hint="eastAsia" w:ascii="宋体" w:hAnsi="宋体" w:cs="宋体"/>
                <w:color w:val="000000"/>
                <w:szCs w:val="21"/>
                <w:lang w:eastAsia="zh-CN"/>
              </w:rPr>
              <w:t>2*4</w:t>
            </w:r>
            <w:r>
              <w:rPr>
                <w:rFonts w:hint="eastAsia" w:ascii="宋体" w:hAnsi="宋体" w:cs="宋体"/>
                <w:color w:val="000000"/>
                <w:szCs w:val="21"/>
              </w:rPr>
              <w:t>80GB 2.5英寸 SATA SSD；</w:t>
            </w:r>
          </w:p>
        </w:tc>
      </w:tr>
      <w:tr>
        <w:tblPrEx>
          <w:tblCellMar>
            <w:top w:w="0" w:type="dxa"/>
            <w:left w:w="108" w:type="dxa"/>
            <w:bottom w:w="0" w:type="dxa"/>
            <w:right w:w="108" w:type="dxa"/>
          </w:tblCellMar>
        </w:tblPrEx>
        <w:trPr>
          <w:trHeight w:val="95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硬盘插槽数量及规格</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（1）支持≥12个前置热插拔3.5硬盘或24个2.5硬盘，支持SAS/SATA/NVMe SSD；</w:t>
            </w:r>
          </w:p>
          <w:p>
            <w:pPr>
              <w:widowControl/>
              <w:rPr>
                <w:rFonts w:ascii="宋体" w:hAnsi="宋体" w:cs="宋体"/>
                <w:color w:val="000000"/>
                <w:szCs w:val="21"/>
              </w:rPr>
            </w:pPr>
            <w:r>
              <w:rPr>
                <w:rFonts w:hint="eastAsia" w:ascii="宋体" w:hAnsi="宋体" w:cs="宋体"/>
                <w:color w:val="000000"/>
                <w:szCs w:val="21"/>
              </w:rPr>
              <w:t>（2）板载支持≥8个NVMe SSD，最高支持 24 个 NVMe SSD，提供官网截图证明</w:t>
            </w:r>
          </w:p>
          <w:p>
            <w:pPr>
              <w:widowControl/>
              <w:rPr>
                <w:rFonts w:ascii="宋体" w:hAnsi="宋体" w:cs="宋体"/>
                <w:color w:val="000000"/>
                <w:szCs w:val="21"/>
              </w:rPr>
            </w:pPr>
            <w:r>
              <w:rPr>
                <w:rFonts w:hint="eastAsia" w:ascii="宋体" w:hAnsi="宋体" w:cs="宋体"/>
                <w:color w:val="000000"/>
                <w:szCs w:val="21"/>
              </w:rPr>
              <w:t>（3）板载可支持2个内置M.2 SSD，兼容PCIe 和SATA规格，支持2个SATA M.2硬件RAID1,提供板载2个M.2接口实物照片</w:t>
            </w:r>
          </w:p>
          <w:p>
            <w:pPr>
              <w:widowControl/>
              <w:rPr>
                <w:rFonts w:ascii="宋体" w:hAnsi="宋体" w:cs="宋体"/>
                <w:color w:val="000000"/>
                <w:szCs w:val="21"/>
              </w:rPr>
            </w:pPr>
            <w:r>
              <w:rPr>
                <w:rFonts w:hint="eastAsia" w:ascii="宋体" w:hAnsi="宋体" w:cs="宋体"/>
                <w:color w:val="000000"/>
                <w:szCs w:val="21"/>
              </w:rPr>
              <w:t>（4）后置支持≥4个2.5寸硬盘+4个3.5寸硬盘,提供后置实物截图</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RAID卡规格</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RAID卡支持的SAS接口数</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网络规格</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网口速率和数量</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（1）实配1GE网口，RJ45接口，数量≥2个；</w:t>
            </w:r>
          </w:p>
          <w:p>
            <w:pPr>
              <w:widowControl/>
              <w:rPr>
                <w:rFonts w:ascii="宋体" w:hAnsi="宋体" w:cs="宋体"/>
                <w:color w:val="000000"/>
                <w:szCs w:val="21"/>
              </w:rPr>
            </w:pPr>
            <w:r>
              <w:rPr>
                <w:rFonts w:hint="eastAsia" w:ascii="宋体" w:hAnsi="宋体" w:cs="宋体"/>
                <w:color w:val="000000"/>
                <w:szCs w:val="21"/>
              </w:rPr>
              <w:t>（2）实配10GE网口，SFP+光口，数量≥2个；</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外部接口规格</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显示接口</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配置≥1个VGA接口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USB 接口</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w:t>
            </w:r>
            <w:r>
              <w:rPr>
                <w:rFonts w:ascii="宋体" w:hAnsi="宋体" w:cs="宋体"/>
                <w:color w:val="000000"/>
                <w:szCs w:val="21"/>
              </w:rPr>
              <w:t>2</w:t>
            </w:r>
            <w:r>
              <w:rPr>
                <w:rFonts w:hint="eastAsia" w:ascii="宋体" w:hAnsi="宋体" w:cs="宋体"/>
                <w:color w:val="000000"/>
                <w:szCs w:val="21"/>
              </w:rPr>
              <w:t>个USB3.0接口，2个位于机箱后部</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电源规格</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电源模块数量</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配置≥2个</w:t>
            </w:r>
            <w:r>
              <w:rPr>
                <w:rFonts w:ascii="宋体" w:hAnsi="宋体" w:cs="宋体"/>
                <w:color w:val="000000"/>
                <w:szCs w:val="21"/>
              </w:rPr>
              <w:t>800W/1200W/1300</w:t>
            </w:r>
            <w:r>
              <w:rPr>
                <w:rFonts w:hint="eastAsia" w:ascii="宋体" w:hAnsi="宋体" w:cs="宋体"/>
                <w:color w:val="000000"/>
                <w:szCs w:val="21"/>
              </w:rPr>
              <w:t xml:space="preserve"> CRPS标准电源，支持1+1冗余</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电源功率</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ascii="宋体" w:hAnsi="宋体" w:cs="宋体"/>
                <w:color w:val="000000"/>
                <w:szCs w:val="21"/>
              </w:rPr>
              <w:t>800W/1200W/1300</w:t>
            </w:r>
            <w:r>
              <w:rPr>
                <w:rFonts w:hint="eastAsia" w:ascii="宋体" w:hAnsi="宋体" w:cs="宋体"/>
                <w:color w:val="000000"/>
                <w:szCs w:val="21"/>
              </w:rPr>
              <w:t>，电源模块功率应有一定冗余， 满足处理器满载时的需求</w:t>
            </w:r>
          </w:p>
        </w:tc>
      </w:tr>
      <w:tr>
        <w:tblPrEx>
          <w:tblCellMar>
            <w:top w:w="0" w:type="dxa"/>
            <w:left w:w="108" w:type="dxa"/>
            <w:bottom w:w="0" w:type="dxa"/>
            <w:right w:w="108" w:type="dxa"/>
          </w:tblCellMar>
        </w:tblPrEx>
        <w:trPr>
          <w:trHeight w:val="225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整机规格</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外观和结构</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a)服务器的零部件应紧固无松动，可插拔部件应可靠连接，开关、按钮和其它控制部件应灵活可靠，布局应方便使用；</w:t>
            </w:r>
            <w:r>
              <w:rPr>
                <w:rFonts w:hint="eastAsia" w:ascii="宋体" w:hAnsi="宋体" w:cs="宋体"/>
                <w:color w:val="000000"/>
                <w:szCs w:val="21"/>
              </w:rPr>
              <w:br w:type="textWrapping"/>
            </w:r>
            <w:r>
              <w:rPr>
                <w:rFonts w:hint="eastAsia" w:ascii="宋体" w:hAnsi="宋体" w:cs="宋体"/>
                <w:color w:val="000000"/>
                <w:szCs w:val="21"/>
              </w:rPr>
              <w:t>b) 产品表面不应有明显的凹痕、划伤、裂缝、变形和污染等。表面涂层均匀，不应起泡、龟裂、脱落和磨损，金属零部件无锈蚀及其它机械损伤；</w:t>
            </w:r>
            <w:r>
              <w:rPr>
                <w:rFonts w:hint="eastAsia" w:ascii="宋体" w:hAnsi="宋体" w:cs="宋体"/>
                <w:color w:val="000000"/>
                <w:szCs w:val="21"/>
              </w:rPr>
              <w:br w:type="textWrapping"/>
            </w:r>
            <w:r>
              <w:rPr>
                <w:rFonts w:hint="eastAsia" w:ascii="宋体" w:hAnsi="宋体" w:cs="宋体"/>
                <w:color w:val="000000"/>
                <w:szCs w:val="21"/>
              </w:rPr>
              <w:t>c) 产品表面说明功能的文字、符号和标志应清晰、端正且牢固；</w:t>
            </w:r>
            <w:r>
              <w:rPr>
                <w:rFonts w:hint="eastAsia" w:ascii="宋体" w:hAnsi="宋体" w:cs="宋体"/>
                <w:color w:val="000000"/>
                <w:szCs w:val="21"/>
              </w:rPr>
              <w:br w:type="textWrapping"/>
            </w:r>
            <w:r>
              <w:rPr>
                <w:rFonts w:hint="eastAsia" w:ascii="宋体" w:hAnsi="宋体" w:cs="宋体"/>
                <w:color w:val="000000"/>
                <w:szCs w:val="21"/>
              </w:rPr>
              <w:t>d) 应在服务器的显著位置提供运行状态的指示功能，并在随机文件中明确具体含义；</w:t>
            </w:r>
            <w:r>
              <w:rPr>
                <w:rFonts w:hint="eastAsia" w:ascii="宋体" w:hAnsi="宋体" w:cs="宋体"/>
                <w:color w:val="000000"/>
                <w:szCs w:val="21"/>
              </w:rPr>
              <w:br w:type="textWrapping"/>
            </w:r>
            <w:r>
              <w:rPr>
                <w:rFonts w:hint="eastAsia" w:ascii="宋体" w:hAnsi="宋体" w:cs="宋体"/>
                <w:color w:val="000000"/>
                <w:szCs w:val="21"/>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cs="宋体"/>
                <w:color w:val="000000"/>
                <w:szCs w:val="21"/>
              </w:rPr>
              <w:br w:type="textWrapping"/>
            </w:r>
            <w:r>
              <w:rPr>
                <w:rFonts w:hint="eastAsia" w:ascii="宋体" w:hAnsi="宋体" w:cs="宋体"/>
                <w:color w:val="000000"/>
                <w:szCs w:val="21"/>
              </w:rPr>
              <w:t>f) 高密度服务器应给出 CPU 个数与机柜高度；</w:t>
            </w:r>
            <w:r>
              <w:rPr>
                <w:rFonts w:hint="eastAsia" w:ascii="宋体" w:hAnsi="宋体" w:cs="宋体"/>
                <w:color w:val="000000"/>
                <w:szCs w:val="21"/>
              </w:rPr>
              <w:br w:type="textWrapping"/>
            </w:r>
            <w:r>
              <w:rPr>
                <w:rFonts w:hint="eastAsia" w:ascii="宋体" w:hAnsi="宋体" w:cs="宋体"/>
                <w:color w:val="000000"/>
                <w:szCs w:val="21"/>
              </w:rPr>
              <w:t>g) 服务器尺寸具体要求在随机文件中明确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尺寸（高×宽×深）</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2U机架式服务器，机箱深度小于800mm</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环境适应性</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气候环境适应性应符合 GB/T9813.3 的有关规定，工作温度 10～35℃，贮存运输温度-40～55℃；工作相对湿度 35%～80%，贮存运输相对湿度 20％～93%（40℃）；大气压86～106kPa</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机械环境适应性</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机械环境适应性应符合 GB/T9813.3 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噪声</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GB/T 9813.3 的有关规定，在产品说明中给出具体测试值塔式服务器噪声在空闲状态下不大于 50dB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机柜规格</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机柜尺寸</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2U机架式服务器，能安装于19英寸标准服务器机柜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主板</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主板外部接口种类</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 USB、显示、管理等接口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8</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网络功能</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网络功能</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支持网络连接、网络访问、数据交换和网络管控功能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CPU功能</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计算处理</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支持通用计算及虚拟化功能。处理器需集成整型计算单元、浮点计算单元、内存控制器、I/O 模块等，处理器与存储部件、网络部件、I/O部件等组成计算系统，提供数据处理、网络接入等计算相关功能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密码算法实现</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CPU 芯片应符合 GM/T 0008 的相关规定，或芯片密码模块应符合 GB/T37092 或 GM/T 0028 的相关规定，芯片通过国家密码局颁发的商用密码产品二级及以上认证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RAID功能</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RAID卡级别支持</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RAID 模式支持 RAID 0/1/10/5</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RAID卡BBU单元</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RAID卡支持掉电电容备份单元</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电源功能</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电源热插拔</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整机电源模块应具备热插拔功能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电源过流保护</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支持过流及短路保护的功能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整机功能</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散热方式</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支持风冷或液冷等散热方式</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管理系统功能</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BMC 固件基础功能</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支持设备日志记录，包括但不限于登录日志、操作日志和报警日志等功能；</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BIOS 固件基础功能</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支持查看固件版本、内存信息、主板信息、处理器信息和系统时间信息功能；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远程控制</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支持远程关机和重新启动功能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操作系统及驱动功能</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操作系统及驱动的升级</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支持通过网络、闪存盘对操作系统、驱动进行升级</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操作系统功能</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支持访问控制、安全审计、网络接入鉴别等功能；</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中文信息处理功能</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中文信息处理</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 18030 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关键部件安全要求</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关键部件安全要求</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CPU 和操作系统等关键部件应当符合安全可靠测评要求</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固件安全要求</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故障检测</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支持故障检测功能，可以检测到具体的 FRU（内存、硬盘等）的故障并发出告警</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4</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系统安全要求</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弱口令字典检查</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支持弱口令字典检查功能，出现在弱口令字典中的字符串不能被设置为用户口令</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白名单访问控制</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支持基于时间、IP 或 MAC 白名单访问控制</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二次鉴别</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支持二次鉴别功能。对于用户配置、权限配置、公钥导入等重要的管理操作，已登录用户应通过二次鉴别后，才能执行操作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密码证书安全加密存储</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支持对带外管理系统中的用户口令和证书等敏感信息进行加密存储，禁止使用私有的和业界已知不安全的密码算法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敏感信息安全加密传输</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支持使用安全的传输加密协议（如SSH 或 HTTPS 等）传输用户的敏感信息</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信息安全要求</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研发过程安全</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供应商承诺，生产商已建立从需求、设计、开发、测试、维护端到端的开发流程管理机制，输出和保存开发流程中每个阶段的产品需求清单、设计文档、开发文档、测试记录等材料，保证各个流程可追溯；</w:t>
            </w:r>
          </w:p>
          <w:p>
            <w:pPr>
              <w:widowControl/>
              <w:rPr>
                <w:rFonts w:hint="default" w:ascii="宋体" w:hAnsi="宋体" w:cs="宋体"/>
                <w:szCs w:val="21"/>
              </w:rPr>
            </w:pPr>
            <w:r>
              <w:rPr>
                <w:rFonts w:hint="eastAsia" w:ascii="宋体" w:hAnsi="宋体" w:cs="宋体"/>
                <w:szCs w:val="21"/>
              </w:rPr>
              <w:t>产品生产商已建立一个覆盖信息化和工业化的融合全局、全要素、全过程的产品全生命周期内管理体系标准，</w:t>
            </w:r>
            <w:r>
              <w:rPr>
                <w:rFonts w:hint="default" w:ascii="宋体" w:hAnsi="宋体" w:cs="宋体"/>
                <w:szCs w:val="21"/>
              </w:rPr>
              <w:t>产品厂商有效期内须通过信息化和工业化融合管理体系认证；</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★增强要求</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支持可信平台控制模块(TPCM)；</w:t>
            </w:r>
          </w:p>
          <w:p>
            <w:pPr>
              <w:widowControl/>
              <w:rPr>
                <w:rFonts w:ascii="宋体" w:hAnsi="宋体" w:cs="宋体"/>
                <w:szCs w:val="21"/>
              </w:rPr>
            </w:pPr>
            <w:r>
              <w:rPr>
                <w:rFonts w:hint="eastAsia" w:ascii="宋体" w:hAnsi="宋体" w:cs="宋体"/>
                <w:szCs w:val="21"/>
              </w:rPr>
              <w:t>支持基于处理器或可信计算模块度量的功能；</w:t>
            </w:r>
          </w:p>
          <w:p>
            <w:pPr>
              <w:widowControl/>
              <w:rPr>
                <w:rFonts w:ascii="宋体" w:hAnsi="宋体" w:cs="宋体"/>
                <w:szCs w:val="21"/>
              </w:rPr>
            </w:pPr>
            <w:r>
              <w:rPr>
                <w:rFonts w:hint="eastAsia" w:ascii="宋体" w:hAnsi="宋体" w:cs="宋体"/>
                <w:szCs w:val="21"/>
              </w:rPr>
              <w:t>可信安全管理模块、 处理器等硬件载体应通过国家相关部门的认证和许可；</w:t>
            </w:r>
          </w:p>
          <w:p>
            <w:pPr>
              <w:widowControl/>
              <w:rPr>
                <w:rFonts w:hint="default" w:ascii="宋体" w:hAnsi="宋体" w:cs="宋体"/>
                <w:szCs w:val="21"/>
              </w:rPr>
            </w:pPr>
            <w:r>
              <w:rPr>
                <w:rFonts w:hint="default" w:ascii="宋体" w:hAnsi="宋体" w:cs="宋体"/>
                <w:szCs w:val="21"/>
              </w:rPr>
              <w:t>所投机型须通过可信计算兼容性测试来满足等保2.0三级要求。</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物理安全</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物理安全</w:t>
            </w:r>
          </w:p>
        </w:tc>
        <w:tc>
          <w:tcPr>
            <w:tcW w:w="26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安全要求应符合 GB 4943.1 的规定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限用物质的限量要求</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限用物质的限量要求</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限用物质的限量应符合 GB/T 26572的要求</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s="宋体"/>
                <w:color w:val="000000"/>
                <w:szCs w:val="21"/>
              </w:rPr>
              <w:t>53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CPU性能</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CPU 主频</w:t>
            </w:r>
          </w:p>
        </w:tc>
        <w:tc>
          <w:tcPr>
            <w:tcW w:w="26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2.3</w:t>
            </w:r>
            <w:r>
              <w:rPr>
                <w:rFonts w:hint="eastAsia" w:ascii="宋体" w:hAnsi="宋体" w:cs="宋体"/>
                <w:color w:val="000000"/>
                <w:szCs w:val="21"/>
              </w:rPr>
              <w:t>GHz</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单 CPU 核数</w:t>
            </w:r>
          </w:p>
        </w:tc>
        <w:tc>
          <w:tcPr>
            <w:tcW w:w="26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32</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单 CPU 末级缓存容量</w:t>
            </w:r>
          </w:p>
        </w:tc>
        <w:tc>
          <w:tcPr>
            <w:tcW w:w="26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64</w:t>
            </w:r>
            <w:r>
              <w:rPr>
                <w:rFonts w:hint="eastAsia" w:ascii="宋体" w:hAnsi="宋体" w:cs="宋体"/>
                <w:color w:val="000000"/>
                <w:szCs w:val="21"/>
              </w:rPr>
              <w:t>MB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内存性能</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内存速率</w:t>
            </w:r>
          </w:p>
        </w:tc>
        <w:tc>
          <w:tcPr>
            <w:tcW w:w="26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3200</w:t>
            </w:r>
            <w:r>
              <w:rPr>
                <w:rFonts w:hint="eastAsia" w:ascii="宋体" w:hAnsi="宋体" w:cs="宋体"/>
                <w:color w:val="000000"/>
                <w:szCs w:val="21"/>
              </w:rPr>
              <w:t>MT/s</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RAID卡性能</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s="宋体"/>
                <w:color w:val="000000"/>
                <w:szCs w:val="21"/>
              </w:rPr>
              <w:t>R</w:t>
            </w:r>
            <w:r>
              <w:rPr>
                <w:rFonts w:hint="eastAsia" w:ascii="宋体" w:hAnsi="宋体" w:cs="宋体"/>
                <w:color w:val="000000"/>
                <w:szCs w:val="21"/>
              </w:rPr>
              <w:t>aid卡缓存容量大小</w:t>
            </w:r>
          </w:p>
        </w:tc>
        <w:tc>
          <w:tcPr>
            <w:tcW w:w="26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缓存容量≥4GB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8</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电源能耗</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电源能耗</w:t>
            </w:r>
          </w:p>
        </w:tc>
        <w:tc>
          <w:tcPr>
            <w:tcW w:w="26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符合 GB/T 9813.3 的有关规定</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部件兼容性要求</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内存兼容性</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适配 3 种及以上厂商的内存产品，且均不低于产品支持的内存规格</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固态存储兼容性</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适配 3 种或以上厂商的固态存储产品，且均不低于产品支持的固态存储设备规格</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网卡兼容性</w:t>
            </w:r>
          </w:p>
        </w:tc>
        <w:tc>
          <w:tcPr>
            <w:tcW w:w="26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网卡应适配两种或以上厂商产品</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功能卡兼容性</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内置或适配符合 PCIe 的功能卡，如：网络功能卡、存储功能卡及图形显示功能卡</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外设兼容性</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外设兼容性</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兼容多种主流生产商的外部设备，包括显示器、键盘、鼠标、闪存盘、移动硬盘、USB 光驱及 KVM 等，要求使用不同厂商的外部设备时，系统均能正常识别和安装驱动</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4</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软件兼容性</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数据库兼容</w:t>
            </w:r>
          </w:p>
        </w:tc>
        <w:tc>
          <w:tcPr>
            <w:tcW w:w="53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个及以上厂商的数据库产品。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中间件兼容</w:t>
            </w:r>
          </w:p>
        </w:tc>
        <w:tc>
          <w:tcPr>
            <w:tcW w:w="53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个及以上厂商的中间件产品。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平台软件兼容</w:t>
            </w:r>
          </w:p>
        </w:tc>
        <w:tc>
          <w:tcPr>
            <w:tcW w:w="53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个及以上厂商的大数据平台。</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整机可靠性要求</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整机可靠性</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宋体" w:hAnsi="宋体" w:cs="宋体"/>
                <w:color w:val="000000"/>
                <w:szCs w:val="21"/>
              </w:rPr>
            </w:pPr>
            <w:r>
              <w:rPr>
                <w:rFonts w:hint="eastAsia" w:ascii="宋体" w:hAnsi="宋体" w:cs="宋体"/>
                <w:color w:val="000000"/>
                <w:szCs w:val="21"/>
              </w:rPr>
              <w:t>m1 值（MTBF 的不可接受值）≥ 250000h，</w:t>
            </w:r>
            <w:r>
              <w:rPr>
                <w:rFonts w:hint="default" w:ascii="宋体" w:hAnsi="宋体" w:cs="宋体"/>
                <w:color w:val="000000"/>
                <w:szCs w:val="21"/>
              </w:rPr>
              <w:t>须通过MTBF认证。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风扇可靠性</w:t>
            </w:r>
          </w:p>
        </w:tc>
        <w:tc>
          <w:tcPr>
            <w:tcW w:w="26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风扇寿命≥ 40000h</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部件可靠性</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支持硬盘、电源、风扇热插拔(内置风扇除外)</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包装及运输要求</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标志、包装、运输和贮存</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GB/T 9813.3 和商品包装政府采购需求标准的相关规定</w:t>
            </w:r>
          </w:p>
        </w:tc>
      </w:tr>
      <w:tr>
        <w:tblPrEx>
          <w:tblCellMar>
            <w:top w:w="0" w:type="dxa"/>
            <w:left w:w="108" w:type="dxa"/>
            <w:bottom w:w="0" w:type="dxa"/>
            <w:right w:w="108" w:type="dxa"/>
          </w:tblCellMar>
        </w:tblPrEx>
        <w:trPr>
          <w:trHeight w:val="156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服务响应</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服务响应</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a) 提供电话、电子邮件、远程连接等多种形式服务；b) 提供同城 4h、异地 12h 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培训服务</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供应商提供培训材料、产品手册、培训视频等培训相关内容</w:t>
            </w:r>
          </w:p>
        </w:tc>
      </w:tr>
      <w:tr>
        <w:tblPrEx>
          <w:tblCellMar>
            <w:top w:w="0" w:type="dxa"/>
            <w:left w:w="108" w:type="dxa"/>
            <w:bottom w:w="0" w:type="dxa"/>
            <w:right w:w="108" w:type="dxa"/>
          </w:tblCellMar>
        </w:tblPrEx>
        <w:trPr>
          <w:trHeight w:val="124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服务周期</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服务周期</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（1）产品免费服务周期（含换件和维修）应不小于5年，包含硬盘不返还服务；</w:t>
            </w:r>
          </w:p>
          <w:p>
            <w:pPr>
              <w:widowControl/>
              <w:rPr>
                <w:rFonts w:ascii="宋体" w:hAnsi="宋体" w:cs="宋体"/>
                <w:color w:val="000000"/>
                <w:szCs w:val="21"/>
              </w:rPr>
            </w:pPr>
            <w:r>
              <w:rPr>
                <w:rFonts w:hint="eastAsia" w:ascii="宋体" w:hAnsi="宋体" w:cs="宋体"/>
                <w:color w:val="000000"/>
                <w:szCs w:val="21"/>
              </w:rPr>
              <w:t>（2）设备停产后继续提供质量保障服务（含备品备件），服务终止时间与最后一批设备交付时间间隔不低于6年；</w:t>
            </w:r>
          </w:p>
          <w:p>
            <w:pPr>
              <w:widowControl/>
              <w:rPr>
                <w:rFonts w:ascii="宋体" w:hAnsi="宋体" w:cs="宋体"/>
                <w:color w:val="000000"/>
                <w:szCs w:val="21"/>
              </w:rPr>
            </w:pPr>
            <w:r>
              <w:rPr>
                <w:rFonts w:hint="eastAsia" w:ascii="宋体" w:hAnsi="宋体" w:cs="宋体"/>
                <w:color w:val="000000"/>
                <w:szCs w:val="21"/>
              </w:rPr>
              <w:t>（3）产品停止服务时间应提前1年告知客户；</w:t>
            </w:r>
          </w:p>
          <w:p>
            <w:pPr>
              <w:widowControl/>
              <w:rPr>
                <w:rFonts w:ascii="宋体" w:hAnsi="宋体" w:cs="宋体"/>
                <w:color w:val="000000"/>
                <w:szCs w:val="21"/>
              </w:rPr>
            </w:pPr>
            <w:r>
              <w:rPr>
                <w:rFonts w:hint="eastAsia" w:ascii="宋体" w:hAnsi="宋体" w:cs="宋体"/>
                <w:color w:val="000000"/>
                <w:szCs w:val="21"/>
              </w:rPr>
              <w:t>（4）产品发布日期需在随机文件中明确。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4</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服务工具要求</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工具要求</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提供设置服务器硬件、辅助操作系统安装等功能的辅助工具和管理软件。且随附软件应具有合法授权或版权</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驱动安装升级指引</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提供出厂安装的配件所需的驱动程序，形式包括但不限于驱动光盘、驱动下载链接等。其他配件应提供指引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管理软件</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具备资源管理、系统管理、性能监控、健康监控、基于网络控制、报警设置功能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增值服务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厂家升级产品软件与扩容服务</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提供原厂级的部件/软件产品升级和扩容能力</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提供上门服务</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7*2</w:t>
            </w:r>
            <w:r>
              <w:rPr>
                <w:rFonts w:ascii="宋体" w:hAnsi="宋体" w:cs="宋体"/>
                <w:color w:val="000000"/>
                <w:kern w:val="0"/>
                <w:szCs w:val="21"/>
              </w:rPr>
              <w:t>4</w:t>
            </w:r>
            <w:r>
              <w:rPr>
                <w:rFonts w:hint="eastAsia" w:ascii="宋体" w:hAnsi="宋体" w:cs="宋体"/>
                <w:color w:val="000000"/>
                <w:kern w:val="0"/>
                <w:szCs w:val="21"/>
              </w:rPr>
              <w:t>小时上门服务</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供应链质量</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抗干扰性</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当产品部件出现供应风险时，应通知客户并提供风险应对方案确保产品的服务保障，必要时应停止相关受影响产品的销售</w:t>
            </w:r>
          </w:p>
        </w:tc>
      </w:tr>
      <w:tr>
        <w:tblPrEx>
          <w:tblCellMar>
            <w:top w:w="0" w:type="dxa"/>
            <w:left w:w="108" w:type="dxa"/>
            <w:bottom w:w="0" w:type="dxa"/>
            <w:right w:w="108" w:type="dxa"/>
          </w:tblCellMar>
        </w:tblPrEx>
        <w:trPr>
          <w:trHeight w:val="381" w:hRule="atLeast"/>
          <w:jc w:val="center"/>
        </w:trPr>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供应能力证明</w:t>
            </w:r>
          </w:p>
        </w:tc>
        <w:tc>
          <w:tcPr>
            <w:tcW w:w="2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供应商需提供供应链稳定承诺书</w:t>
            </w:r>
          </w:p>
        </w:tc>
      </w:tr>
    </w:tbl>
    <w:p>
      <w:pPr>
        <w:rPr>
          <w:color w:val="000000"/>
        </w:rPr>
      </w:pPr>
    </w:p>
    <w:p>
      <w:pPr>
        <w:pStyle w:val="2"/>
      </w:pPr>
      <w:r>
        <w:br w:type="page"/>
      </w:r>
    </w:p>
    <w:p>
      <w:pPr>
        <w:pStyle w:val="5"/>
        <w:ind w:firstLine="482" w:firstLineChars="200"/>
        <w:rPr>
          <w:sz w:val="24"/>
          <w:szCs w:val="22"/>
        </w:rPr>
      </w:pPr>
      <w:r>
        <w:rPr>
          <w:rFonts w:hint="eastAsia"/>
          <w:sz w:val="24"/>
          <w:szCs w:val="22"/>
          <w:lang w:val="en-US" w:eastAsia="zh-CN"/>
        </w:rPr>
        <w:t>11.</w:t>
      </w:r>
      <w:r>
        <w:rPr>
          <w:rFonts w:hint="eastAsia"/>
          <w:sz w:val="24"/>
          <w:szCs w:val="22"/>
        </w:rPr>
        <w:t>离线计算VPC服务器（5台）</w:t>
      </w:r>
    </w:p>
    <w:tbl>
      <w:tblPr>
        <w:tblStyle w:val="21"/>
        <w:tblW w:w="5000" w:type="pct"/>
        <w:jc w:val="center"/>
        <w:tblLayout w:type="fixed"/>
        <w:tblCellMar>
          <w:top w:w="0" w:type="dxa"/>
          <w:left w:w="108" w:type="dxa"/>
          <w:bottom w:w="0" w:type="dxa"/>
          <w:right w:w="108" w:type="dxa"/>
        </w:tblCellMar>
      </w:tblPr>
      <w:tblGrid>
        <w:gridCol w:w="514"/>
        <w:gridCol w:w="514"/>
        <w:gridCol w:w="514"/>
        <w:gridCol w:w="514"/>
        <w:gridCol w:w="1028"/>
        <w:gridCol w:w="1029"/>
        <w:gridCol w:w="5173"/>
      </w:tblGrid>
      <w:tr>
        <w:tblPrEx>
          <w:tblCellMar>
            <w:top w:w="0" w:type="dxa"/>
            <w:left w:w="108" w:type="dxa"/>
            <w:bottom w:w="0" w:type="dxa"/>
            <w:right w:w="108" w:type="dxa"/>
          </w:tblCellMar>
        </w:tblPrEx>
        <w:trPr>
          <w:trHeight w:val="555" w:hRule="atLeast"/>
          <w:jc w:val="center"/>
        </w:trPr>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50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50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2515"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CellMar>
            <w:top w:w="0" w:type="dxa"/>
            <w:left w:w="108" w:type="dxa"/>
            <w:bottom w:w="0" w:type="dxa"/>
            <w:right w:w="108" w:type="dxa"/>
          </w:tblCellMar>
        </w:tblPrEx>
        <w:trPr>
          <w:trHeight w:val="936" w:hRule="atLeast"/>
          <w:jc w:val="center"/>
        </w:trPr>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离线计算V</w:t>
            </w:r>
            <w:r>
              <w:rPr>
                <w:rFonts w:ascii="宋体" w:hAnsi="宋体"/>
                <w:color w:val="000000"/>
                <w:szCs w:val="21"/>
              </w:rPr>
              <w:t>PC服务器</w:t>
            </w:r>
          </w:p>
        </w:tc>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5</w:t>
            </w:r>
          </w:p>
        </w:tc>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台</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Cs w:val="21"/>
              </w:rPr>
            </w:pPr>
            <w:r>
              <w:rPr>
                <w:rFonts w:hint="eastAsia" w:ascii="宋体" w:hAnsi="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Cs w:val="21"/>
              </w:rPr>
            </w:pPr>
            <w:r>
              <w:rPr>
                <w:rFonts w:ascii="宋体" w:hAnsi="宋体"/>
                <w:color w:val="000000"/>
                <w:szCs w:val="21"/>
              </w:rPr>
              <w:t>CPU</w:t>
            </w:r>
            <w:r>
              <w:rPr>
                <w:rFonts w:hint="eastAsia" w:ascii="宋体" w:hAnsi="宋体"/>
                <w:color w:val="000000"/>
                <w:szCs w:val="21"/>
              </w:rPr>
              <w:t>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szCs w:val="21"/>
              </w:rPr>
            </w:pPr>
            <w:r>
              <w:rPr>
                <w:rFonts w:ascii="宋体" w:hAnsi="宋体"/>
                <w:color w:val="000000"/>
                <w:szCs w:val="21"/>
              </w:rPr>
              <w:t xml:space="preserve">▲CPU </w:t>
            </w:r>
            <w:r>
              <w:rPr>
                <w:rFonts w:hint="eastAsia" w:ascii="宋体" w:hAnsi="宋体"/>
                <w:color w:val="000000"/>
                <w:szCs w:val="21"/>
              </w:rPr>
              <w:t>信息</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（1）配置2颗国产C86架构处理器，支持超线程技术和睿频技术；</w:t>
            </w:r>
          </w:p>
          <w:p>
            <w:pPr>
              <w:widowControl/>
              <w:rPr>
                <w:rFonts w:ascii="宋体" w:hAnsi="宋体" w:cs="宋体"/>
                <w:color w:val="000000"/>
                <w:szCs w:val="21"/>
              </w:rPr>
            </w:pPr>
            <w:r>
              <w:rPr>
                <w:rFonts w:hint="eastAsia" w:ascii="宋体" w:hAnsi="宋体" w:cs="宋体"/>
                <w:color w:val="000000"/>
                <w:szCs w:val="21"/>
              </w:rPr>
              <w:t xml:space="preserve">（2）单颗CPU型号Hygon </w:t>
            </w:r>
            <w:r>
              <w:rPr>
                <w:rFonts w:ascii="宋体" w:hAnsi="宋体" w:cs="宋体"/>
                <w:color w:val="000000"/>
                <w:szCs w:val="21"/>
              </w:rPr>
              <w:t>7360</w:t>
            </w:r>
            <w:r>
              <w:rPr>
                <w:rFonts w:hint="eastAsia" w:ascii="宋体" w:hAnsi="宋体" w:cs="宋体"/>
                <w:color w:val="000000"/>
                <w:szCs w:val="21"/>
              </w:rPr>
              <w:t>，单颗CPU物理核心数≥</w:t>
            </w:r>
            <w:r>
              <w:rPr>
                <w:rFonts w:ascii="宋体" w:hAnsi="宋体" w:cs="宋体"/>
                <w:color w:val="000000"/>
                <w:szCs w:val="21"/>
              </w:rPr>
              <w:t>24</w:t>
            </w:r>
            <w:r>
              <w:rPr>
                <w:rFonts w:hint="eastAsia" w:ascii="宋体" w:hAnsi="宋体" w:cs="宋体"/>
                <w:color w:val="000000"/>
                <w:szCs w:val="21"/>
              </w:rPr>
              <w:t>核、主频≥2.</w:t>
            </w:r>
            <w:r>
              <w:rPr>
                <w:rFonts w:ascii="宋体" w:hAnsi="宋体" w:cs="宋体"/>
                <w:color w:val="000000"/>
                <w:szCs w:val="21"/>
              </w:rPr>
              <w:t>2</w:t>
            </w:r>
            <w:r>
              <w:rPr>
                <w:rFonts w:hint="eastAsia" w:ascii="宋体" w:hAnsi="宋体" w:cs="宋体"/>
                <w:color w:val="000000"/>
                <w:szCs w:val="21"/>
              </w:rPr>
              <w:t>GHz、末级缓存容量≥</w:t>
            </w:r>
            <w:r>
              <w:rPr>
                <w:rFonts w:ascii="宋体" w:hAnsi="宋体" w:cs="宋体"/>
                <w:color w:val="000000"/>
                <w:szCs w:val="21"/>
              </w:rPr>
              <w:t>64</w:t>
            </w:r>
            <w:r>
              <w:rPr>
                <w:rFonts w:hint="eastAsia" w:ascii="宋体" w:hAnsi="宋体" w:cs="宋体"/>
                <w:color w:val="000000"/>
                <w:szCs w:val="21"/>
              </w:rPr>
              <w:t>MB、线程数≥4</w:t>
            </w:r>
            <w:r>
              <w:rPr>
                <w:rFonts w:ascii="宋体" w:hAnsi="宋体" w:cs="宋体"/>
                <w:color w:val="000000"/>
                <w:szCs w:val="21"/>
              </w:rPr>
              <w:t>8</w:t>
            </w:r>
            <w:r>
              <w:rPr>
                <w:rFonts w:hint="eastAsia" w:ascii="宋体" w:hAnsi="宋体" w:cs="宋体"/>
                <w:color w:val="000000"/>
                <w:szCs w:val="21"/>
              </w:rPr>
              <w:t>、热设计功耗≥1</w:t>
            </w:r>
            <w:r>
              <w:rPr>
                <w:rFonts w:ascii="宋体" w:hAnsi="宋体" w:cs="宋体"/>
                <w:color w:val="000000"/>
                <w:szCs w:val="21"/>
              </w:rPr>
              <w:t>80</w:t>
            </w:r>
            <w:r>
              <w:rPr>
                <w:rFonts w:hint="eastAsia" w:ascii="宋体" w:hAnsi="宋体" w:cs="宋体"/>
                <w:color w:val="000000"/>
                <w:szCs w:val="21"/>
              </w:rPr>
              <w:t>W、支持内存的最高速率≥3200MHz、通道数≥</w:t>
            </w:r>
            <w:r>
              <w:rPr>
                <w:rFonts w:ascii="宋体" w:hAnsi="宋体" w:cs="宋体"/>
                <w:color w:val="000000"/>
                <w:szCs w:val="21"/>
              </w:rPr>
              <w:t>8</w:t>
            </w:r>
            <w:r>
              <w:rPr>
                <w:rFonts w:hint="eastAsia" w:ascii="宋体" w:hAnsi="宋体" w:cs="宋体"/>
                <w:color w:val="000000"/>
                <w:szCs w:val="21"/>
              </w:rPr>
              <w:t>、位宽≥64位；</w:t>
            </w:r>
          </w:p>
        </w:tc>
      </w:tr>
      <w:tr>
        <w:tblPrEx>
          <w:tblCellMar>
            <w:top w:w="0" w:type="dxa"/>
            <w:left w:w="108" w:type="dxa"/>
            <w:bottom w:w="0" w:type="dxa"/>
            <w:right w:w="108" w:type="dxa"/>
          </w:tblCellMar>
        </w:tblPrEx>
        <w:trPr>
          <w:trHeight w:val="3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主板规格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主板支持的</w:t>
            </w:r>
            <w:r>
              <w:rPr>
                <w:rFonts w:ascii="宋体" w:hAnsi="宋体"/>
                <w:color w:val="000000"/>
                <w:szCs w:val="21"/>
              </w:rPr>
              <w:t xml:space="preserve">CPU </w:t>
            </w:r>
            <w:r>
              <w:rPr>
                <w:rFonts w:hint="eastAsia" w:ascii="宋体" w:hAnsi="宋体" w:cs="宋体"/>
                <w:color w:val="000000"/>
                <w:szCs w:val="21"/>
              </w:rPr>
              <w:t>和内存情况</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主板支持海光</w:t>
            </w:r>
            <w:r>
              <w:rPr>
                <w:rFonts w:ascii="宋体" w:hAnsi="宋体" w:cs="宋体"/>
                <w:color w:val="000000"/>
                <w:szCs w:val="21"/>
              </w:rPr>
              <w:t xml:space="preserve">7360 </w:t>
            </w:r>
            <w:r>
              <w:rPr>
                <w:rFonts w:hint="eastAsia" w:ascii="宋体" w:hAnsi="宋体" w:cs="宋体"/>
                <w:color w:val="000000"/>
                <w:szCs w:val="21"/>
              </w:rPr>
              <w:t>CPU ≥2颗，内存数量支持≥</w:t>
            </w:r>
            <w:r>
              <w:rPr>
                <w:rFonts w:ascii="宋体" w:hAnsi="宋体" w:cs="宋体"/>
                <w:color w:val="000000"/>
                <w:szCs w:val="21"/>
              </w:rPr>
              <w:t>32</w:t>
            </w:r>
            <w:r>
              <w:rPr>
                <w:rFonts w:hint="eastAsia" w:ascii="宋体" w:hAnsi="宋体" w:cs="宋体"/>
                <w:color w:val="000000"/>
                <w:szCs w:val="21"/>
              </w:rPr>
              <w:t>个</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主板内存槽数量</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主板内存槽数量≥</w:t>
            </w:r>
            <w:r>
              <w:rPr>
                <w:rFonts w:ascii="宋体" w:hAnsi="宋体" w:cs="宋体"/>
                <w:color w:val="000000"/>
                <w:szCs w:val="21"/>
              </w:rPr>
              <w:t>32</w:t>
            </w:r>
            <w:r>
              <w:rPr>
                <w:rFonts w:hint="eastAsia" w:ascii="宋体" w:hAnsi="宋体" w:cs="宋体"/>
                <w:color w:val="000000"/>
                <w:szCs w:val="21"/>
              </w:rPr>
              <w:t>个</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主板存储接口</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（1）主板支持SATA/SAS/M.2/U.2存储接口；</w:t>
            </w:r>
          </w:p>
          <w:p>
            <w:pPr>
              <w:widowControl/>
              <w:rPr>
                <w:rFonts w:ascii="宋体" w:hAnsi="宋体" w:cs="宋体"/>
                <w:color w:val="000000"/>
                <w:szCs w:val="21"/>
              </w:rPr>
            </w:pPr>
            <w:r>
              <w:rPr>
                <w:rFonts w:hint="eastAsia" w:ascii="宋体" w:hAnsi="宋体" w:cs="宋体"/>
                <w:color w:val="000000"/>
                <w:szCs w:val="21"/>
              </w:rPr>
              <w:t>（2）板载支持≥</w:t>
            </w:r>
            <w:r>
              <w:rPr>
                <w:rFonts w:ascii="宋体" w:hAnsi="宋体" w:cs="宋体"/>
                <w:color w:val="000000"/>
                <w:szCs w:val="21"/>
              </w:rPr>
              <w:t>12</w:t>
            </w:r>
            <w:r>
              <w:rPr>
                <w:rFonts w:hint="eastAsia" w:ascii="宋体" w:hAnsi="宋体" w:cs="宋体"/>
                <w:color w:val="000000"/>
                <w:szCs w:val="21"/>
              </w:rPr>
              <w:t>个SATA/</w:t>
            </w:r>
            <w:r>
              <w:rPr>
                <w:rFonts w:ascii="宋体" w:hAnsi="宋体" w:cs="宋体"/>
                <w:color w:val="000000"/>
                <w:szCs w:val="21"/>
              </w:rPr>
              <w:t>SAS</w:t>
            </w:r>
            <w:r>
              <w:rPr>
                <w:rFonts w:hint="eastAsia" w:ascii="宋体" w:hAnsi="宋体" w:cs="宋体"/>
                <w:color w:val="000000"/>
                <w:szCs w:val="21"/>
              </w:rPr>
              <w:t>盘；</w:t>
            </w:r>
          </w:p>
          <w:p>
            <w:pPr>
              <w:widowControl/>
              <w:rPr>
                <w:rFonts w:ascii="宋体" w:hAnsi="宋体" w:cs="宋体"/>
                <w:color w:val="000000"/>
                <w:szCs w:val="21"/>
              </w:rPr>
            </w:pPr>
            <w:r>
              <w:rPr>
                <w:rFonts w:hint="eastAsia" w:ascii="宋体" w:hAnsi="宋体" w:cs="宋体"/>
                <w:color w:val="000000"/>
                <w:szCs w:val="21"/>
              </w:rPr>
              <w:t>（3）板载可支持</w:t>
            </w:r>
            <w:r>
              <w:rPr>
                <w:rFonts w:ascii="宋体" w:hAnsi="宋体" w:cs="宋体"/>
                <w:color w:val="000000"/>
                <w:szCs w:val="21"/>
              </w:rPr>
              <w:t>2</w:t>
            </w:r>
            <w:r>
              <w:rPr>
                <w:rFonts w:hint="eastAsia" w:ascii="宋体" w:hAnsi="宋体" w:cs="宋体"/>
                <w:color w:val="000000"/>
                <w:szCs w:val="21"/>
              </w:rPr>
              <w:t>个内置M.2 SSD；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szCs w:val="21"/>
              </w:rPr>
            </w:pPr>
            <w:r>
              <w:rPr>
                <w:rFonts w:ascii="宋体" w:hAnsi="宋体"/>
                <w:color w:val="000000"/>
                <w:szCs w:val="21"/>
              </w:rPr>
              <w:t xml:space="preserve">▲PCIe </w:t>
            </w:r>
            <w:r>
              <w:rPr>
                <w:rFonts w:hint="eastAsia" w:ascii="宋体" w:hAnsi="宋体"/>
                <w:color w:val="000000"/>
                <w:szCs w:val="21"/>
              </w:rPr>
              <w:t>插槽接口</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支持PCI-E 4.0插槽，可支持向下兼容</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主板 PCIe 插槽数量及规格</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主板最大可扩展</w:t>
            </w:r>
            <w:r>
              <w:rPr>
                <w:rFonts w:ascii="宋体" w:hAnsi="宋体" w:cs="宋体"/>
                <w:color w:val="000000"/>
                <w:szCs w:val="21"/>
              </w:rPr>
              <w:t>10</w:t>
            </w:r>
            <w:r>
              <w:rPr>
                <w:rFonts w:hint="eastAsia" w:ascii="宋体" w:hAnsi="宋体" w:cs="宋体"/>
                <w:color w:val="000000"/>
                <w:szCs w:val="21"/>
              </w:rPr>
              <w:t>个PCIe 4.0插槽；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内存数量</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内存数量≥</w:t>
            </w:r>
            <w:r>
              <w:rPr>
                <w:rFonts w:ascii="宋体" w:hAnsi="宋体" w:cs="宋体"/>
                <w:color w:val="000000"/>
                <w:szCs w:val="21"/>
              </w:rPr>
              <w:t>6</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内存规格</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w:t>
            </w:r>
            <w:r>
              <w:rPr>
                <w:rFonts w:ascii="宋体" w:hAnsi="宋体" w:cs="宋体"/>
                <w:color w:val="000000"/>
                <w:szCs w:val="21"/>
              </w:rPr>
              <w:t>384</w:t>
            </w:r>
            <w:r>
              <w:rPr>
                <w:rFonts w:hint="eastAsia" w:ascii="宋体" w:hAnsi="宋体" w:cs="宋体"/>
                <w:color w:val="000000"/>
                <w:szCs w:val="21"/>
              </w:rPr>
              <w:t>GB</w:t>
            </w:r>
            <w:r>
              <w:rPr>
                <w:rFonts w:ascii="宋体" w:hAnsi="宋体" w:cs="宋体"/>
                <w:color w:val="000000"/>
                <w:szCs w:val="21"/>
              </w:rPr>
              <w:t xml:space="preserve"> </w:t>
            </w:r>
            <w:r>
              <w:rPr>
                <w:rFonts w:hint="eastAsia" w:ascii="宋体" w:hAnsi="宋体" w:cs="宋体"/>
                <w:color w:val="000000"/>
                <w:szCs w:val="21"/>
              </w:rPr>
              <w:t>DDR4</w:t>
            </w:r>
          </w:p>
        </w:tc>
      </w:tr>
      <w:tr>
        <w:tblPrEx>
          <w:tblCellMar>
            <w:top w:w="0" w:type="dxa"/>
            <w:left w:w="108" w:type="dxa"/>
            <w:bottom w:w="0" w:type="dxa"/>
            <w:right w:w="108" w:type="dxa"/>
          </w:tblCellMar>
        </w:tblPrEx>
        <w:trPr>
          <w:trHeight w:val="41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内存通道</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w:t>
            </w:r>
            <w:r>
              <w:rPr>
                <w:rFonts w:ascii="宋体" w:hAnsi="宋体" w:cs="宋体"/>
                <w:color w:val="000000"/>
                <w:szCs w:val="21"/>
              </w:rPr>
              <w:t>8</w:t>
            </w:r>
            <w:r>
              <w:rPr>
                <w:rFonts w:hint="eastAsia" w:ascii="宋体" w:hAnsi="宋体" w:cs="宋体"/>
                <w:color w:val="000000"/>
                <w:szCs w:val="21"/>
              </w:rPr>
              <w:t>个内存接口通道</w:t>
            </w:r>
          </w:p>
        </w:tc>
      </w:tr>
      <w:tr>
        <w:tblPrEx>
          <w:tblCellMar>
            <w:top w:w="0" w:type="dxa"/>
            <w:left w:w="108" w:type="dxa"/>
            <w:bottom w:w="0" w:type="dxa"/>
            <w:right w:w="108" w:type="dxa"/>
          </w:tblCellMar>
        </w:tblPrEx>
        <w:trPr>
          <w:trHeight w:val="603"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存储规格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硬磁盘实配容量</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实配≥9</w:t>
            </w:r>
            <w:r>
              <w:rPr>
                <w:rFonts w:ascii="宋体" w:hAnsi="宋体" w:cs="宋体"/>
                <w:color w:val="000000"/>
                <w:szCs w:val="21"/>
              </w:rPr>
              <w:t>6TB</w:t>
            </w:r>
            <w:r>
              <w:rPr>
                <w:rFonts w:hint="eastAsia" w:ascii="宋体" w:hAnsi="宋体" w:cs="宋体"/>
                <w:color w:val="000000"/>
                <w:szCs w:val="21"/>
              </w:rPr>
              <w:t>(1</w:t>
            </w:r>
            <w:r>
              <w:rPr>
                <w:rFonts w:hint="eastAsia" w:ascii="宋体" w:hAnsi="宋体" w:cs="宋体"/>
                <w:color w:val="000000"/>
                <w:szCs w:val="21"/>
                <w:lang w:eastAsia="zh-CN"/>
              </w:rPr>
              <w:t>2*8</w:t>
            </w:r>
            <w:r>
              <w:rPr>
                <w:rFonts w:hint="eastAsia" w:ascii="宋体" w:hAnsi="宋体" w:cs="宋体"/>
                <w:color w:val="000000"/>
                <w:szCs w:val="21"/>
              </w:rPr>
              <w:t>TB</w:t>
            </w:r>
            <w:r>
              <w:rPr>
                <w:rFonts w:ascii="宋体" w:hAnsi="宋体" w:cs="宋体"/>
                <w:color w:val="000000"/>
                <w:szCs w:val="21"/>
              </w:rPr>
              <w:t>)</w:t>
            </w:r>
            <w:r>
              <w:rPr>
                <w:rFonts w:hint="eastAsia" w:ascii="宋体" w:hAnsi="宋体" w:cs="宋体"/>
                <w:color w:val="000000"/>
                <w:szCs w:val="21"/>
              </w:rPr>
              <w:t xml:space="preserve"> 3.5英寸 SATA HDD；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硬盘实配数量</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实配≥1</w:t>
            </w:r>
            <w:r>
              <w:rPr>
                <w:rFonts w:hint="eastAsia" w:ascii="宋体" w:hAnsi="宋体" w:cs="宋体"/>
                <w:color w:val="000000"/>
                <w:szCs w:val="21"/>
                <w:lang w:eastAsia="zh-CN"/>
              </w:rPr>
              <w:t>2*8</w:t>
            </w:r>
            <w:r>
              <w:rPr>
                <w:rFonts w:hint="eastAsia" w:ascii="宋体" w:hAnsi="宋体" w:cs="宋体"/>
                <w:color w:val="000000"/>
                <w:szCs w:val="21"/>
              </w:rPr>
              <w:t>TB 3.5英寸 SATA HDD；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固态盘实配容量</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实配≥9</w:t>
            </w:r>
            <w:r>
              <w:rPr>
                <w:rFonts w:ascii="宋体" w:hAnsi="宋体" w:cs="宋体"/>
                <w:color w:val="000000"/>
                <w:szCs w:val="21"/>
              </w:rPr>
              <w:t>60GB</w:t>
            </w:r>
            <w:r>
              <w:rPr>
                <w:rFonts w:hint="eastAsia" w:ascii="宋体" w:hAnsi="宋体" w:cs="宋体"/>
                <w:color w:val="000000"/>
                <w:szCs w:val="21"/>
              </w:rPr>
              <w:t>(</w:t>
            </w:r>
            <w:r>
              <w:rPr>
                <w:rFonts w:hint="eastAsia" w:ascii="宋体" w:hAnsi="宋体" w:cs="宋体"/>
                <w:color w:val="000000"/>
                <w:szCs w:val="21"/>
                <w:lang w:eastAsia="zh-CN"/>
              </w:rPr>
              <w:t>2*4</w:t>
            </w:r>
            <w:r>
              <w:rPr>
                <w:rFonts w:ascii="宋体" w:hAnsi="宋体" w:cs="宋体"/>
                <w:color w:val="000000"/>
                <w:szCs w:val="21"/>
              </w:rPr>
              <w:t>8</w:t>
            </w:r>
            <w:r>
              <w:rPr>
                <w:rFonts w:hint="eastAsia" w:ascii="宋体" w:hAnsi="宋体" w:cs="宋体"/>
                <w:color w:val="000000"/>
                <w:szCs w:val="21"/>
              </w:rPr>
              <w:t>0GB</w:t>
            </w:r>
            <w:r>
              <w:rPr>
                <w:rFonts w:ascii="宋体" w:hAnsi="宋体" w:cs="宋体"/>
                <w:color w:val="000000"/>
                <w:szCs w:val="21"/>
              </w:rPr>
              <w:t>)</w:t>
            </w:r>
            <w:r>
              <w:rPr>
                <w:rFonts w:hint="eastAsia" w:ascii="宋体" w:hAnsi="宋体" w:cs="宋体"/>
                <w:color w:val="000000"/>
                <w:szCs w:val="21"/>
              </w:rPr>
              <w:t xml:space="preserve"> 2.5英寸 SATA SSD，≥3</w:t>
            </w:r>
            <w:r>
              <w:rPr>
                <w:rFonts w:ascii="宋体" w:hAnsi="宋体" w:cs="宋体"/>
                <w:color w:val="000000"/>
                <w:szCs w:val="21"/>
              </w:rPr>
              <w:t>.84TB</w:t>
            </w:r>
            <w:r>
              <w:rPr>
                <w:rFonts w:hint="eastAsia" w:ascii="宋体" w:hAnsi="宋体" w:cs="宋体"/>
                <w:color w:val="000000"/>
                <w:szCs w:val="21"/>
              </w:rPr>
              <w:t>(</w:t>
            </w:r>
            <w:r>
              <w:rPr>
                <w:rFonts w:hint="eastAsia" w:ascii="宋体" w:hAnsi="宋体" w:cs="宋体"/>
                <w:color w:val="000000"/>
                <w:szCs w:val="21"/>
                <w:lang w:eastAsia="zh-CN"/>
              </w:rPr>
              <w:t>2*1</w:t>
            </w:r>
            <w:r>
              <w:rPr>
                <w:rFonts w:hint="eastAsia" w:ascii="宋体" w:hAnsi="宋体" w:cs="宋体"/>
                <w:color w:val="000000"/>
                <w:szCs w:val="21"/>
              </w:rPr>
              <w:t>.</w:t>
            </w:r>
            <w:r>
              <w:rPr>
                <w:rFonts w:ascii="宋体" w:hAnsi="宋体" w:cs="宋体"/>
                <w:color w:val="000000"/>
                <w:szCs w:val="21"/>
              </w:rPr>
              <w:t>92</w:t>
            </w:r>
            <w:r>
              <w:rPr>
                <w:rFonts w:hint="eastAsia" w:ascii="宋体" w:hAnsi="宋体" w:cs="宋体"/>
                <w:color w:val="000000"/>
                <w:szCs w:val="21"/>
              </w:rPr>
              <w:t>TB</w:t>
            </w:r>
            <w:r>
              <w:rPr>
                <w:rFonts w:ascii="宋体" w:hAnsi="宋体" w:cs="宋体"/>
                <w:color w:val="000000"/>
                <w:szCs w:val="21"/>
              </w:rPr>
              <w:t>)</w:t>
            </w:r>
            <w:r>
              <w:rPr>
                <w:rFonts w:hint="eastAsia" w:ascii="宋体" w:hAnsi="宋体" w:cs="宋体"/>
                <w:color w:val="000000"/>
                <w:szCs w:val="21"/>
              </w:rPr>
              <w:t xml:space="preserve"> 2.5英寸/PCIe NVME SSD；</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固态盘实配数量</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实配≥</w:t>
            </w:r>
            <w:r>
              <w:rPr>
                <w:rFonts w:hint="eastAsia" w:ascii="宋体" w:hAnsi="宋体" w:cs="宋体"/>
                <w:color w:val="000000"/>
                <w:szCs w:val="21"/>
                <w:lang w:eastAsia="zh-CN"/>
              </w:rPr>
              <w:t>2*4</w:t>
            </w:r>
            <w:r>
              <w:rPr>
                <w:rFonts w:ascii="宋体" w:hAnsi="宋体" w:cs="宋体"/>
                <w:color w:val="000000"/>
                <w:szCs w:val="21"/>
              </w:rPr>
              <w:t>8</w:t>
            </w:r>
            <w:r>
              <w:rPr>
                <w:rFonts w:hint="eastAsia" w:ascii="宋体" w:hAnsi="宋体" w:cs="宋体"/>
                <w:color w:val="000000"/>
                <w:szCs w:val="21"/>
              </w:rPr>
              <w:t>0GB 2.5英寸 SATA SSD，≥</w:t>
            </w:r>
            <w:r>
              <w:rPr>
                <w:rFonts w:hint="eastAsia" w:ascii="宋体" w:hAnsi="宋体" w:cs="宋体"/>
                <w:color w:val="000000"/>
                <w:szCs w:val="21"/>
                <w:lang w:eastAsia="zh-CN"/>
              </w:rPr>
              <w:t>2*1</w:t>
            </w:r>
            <w:r>
              <w:rPr>
                <w:rFonts w:hint="eastAsia" w:ascii="宋体" w:hAnsi="宋体" w:cs="宋体"/>
                <w:color w:val="000000"/>
                <w:szCs w:val="21"/>
              </w:rPr>
              <w:t>.</w:t>
            </w:r>
            <w:r>
              <w:rPr>
                <w:rFonts w:ascii="宋体" w:hAnsi="宋体" w:cs="宋体"/>
                <w:color w:val="000000"/>
                <w:szCs w:val="21"/>
              </w:rPr>
              <w:t>92</w:t>
            </w:r>
            <w:r>
              <w:rPr>
                <w:rFonts w:hint="eastAsia" w:ascii="宋体" w:hAnsi="宋体" w:cs="宋体"/>
                <w:color w:val="000000"/>
                <w:szCs w:val="21"/>
              </w:rPr>
              <w:t>TB 2.5英寸/PCIe NVME SSD；</w:t>
            </w:r>
          </w:p>
        </w:tc>
      </w:tr>
      <w:tr>
        <w:tblPrEx>
          <w:tblCellMar>
            <w:top w:w="0" w:type="dxa"/>
            <w:left w:w="108" w:type="dxa"/>
            <w:bottom w:w="0" w:type="dxa"/>
            <w:right w:w="108" w:type="dxa"/>
          </w:tblCellMar>
        </w:tblPrEx>
        <w:trPr>
          <w:trHeight w:val="95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硬盘插槽数量及规格</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（1）支持≥12个前置热插拔3.5硬盘或24个2.5硬盘，支持SAS/SATA/NVMe SSD；</w:t>
            </w:r>
          </w:p>
          <w:p>
            <w:pPr>
              <w:widowControl/>
              <w:rPr>
                <w:rFonts w:ascii="宋体" w:hAnsi="宋体" w:cs="宋体"/>
                <w:color w:val="000000"/>
                <w:szCs w:val="21"/>
              </w:rPr>
            </w:pPr>
            <w:r>
              <w:rPr>
                <w:rFonts w:hint="eastAsia" w:ascii="宋体" w:hAnsi="宋体" w:cs="宋体"/>
                <w:color w:val="000000"/>
                <w:szCs w:val="21"/>
              </w:rPr>
              <w:t>（2）板载支持≥8个NVMe SSD，最高支持 24 个 NVMe SSD，提供官网截图证明</w:t>
            </w:r>
          </w:p>
          <w:p>
            <w:pPr>
              <w:widowControl/>
              <w:rPr>
                <w:rFonts w:ascii="宋体" w:hAnsi="宋体" w:cs="宋体"/>
                <w:color w:val="000000"/>
                <w:szCs w:val="21"/>
              </w:rPr>
            </w:pPr>
            <w:r>
              <w:rPr>
                <w:rFonts w:hint="eastAsia" w:ascii="宋体" w:hAnsi="宋体" w:cs="宋体"/>
                <w:color w:val="000000"/>
                <w:szCs w:val="21"/>
              </w:rPr>
              <w:t>（3）板载可支持2个内置M.2 SSD，兼容PCIe 和SATA规格，支持2个SATA M.2硬件RAID1,提供板载2个M.2接口实物照片</w:t>
            </w:r>
          </w:p>
          <w:p>
            <w:pPr>
              <w:widowControl/>
              <w:rPr>
                <w:rFonts w:ascii="宋体" w:hAnsi="宋体" w:cs="宋体"/>
                <w:color w:val="000000"/>
                <w:szCs w:val="21"/>
              </w:rPr>
            </w:pPr>
            <w:r>
              <w:rPr>
                <w:rFonts w:hint="eastAsia" w:ascii="宋体" w:hAnsi="宋体" w:cs="宋体"/>
                <w:color w:val="000000"/>
                <w:szCs w:val="21"/>
              </w:rPr>
              <w:t>（4）后置支持≥4个2.5寸硬盘+4个3.5寸硬盘,提供后置实物截图</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RAID卡支持的SAS接口数</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≥8</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网口速率和数量</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（1）实配1GE网口，RJ45接口，数量≥2个；</w:t>
            </w:r>
          </w:p>
          <w:p>
            <w:pPr>
              <w:widowControl/>
              <w:rPr>
                <w:rFonts w:ascii="宋体" w:hAnsi="宋体" w:cs="宋体"/>
                <w:color w:val="000000"/>
                <w:szCs w:val="21"/>
              </w:rPr>
            </w:pPr>
            <w:r>
              <w:rPr>
                <w:rFonts w:hint="eastAsia" w:ascii="宋体" w:hAnsi="宋体" w:cs="宋体"/>
                <w:color w:val="000000"/>
                <w:szCs w:val="21"/>
              </w:rPr>
              <w:t>（2）实配10GE网口，SFP+光口，数量≥2个；</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外部接口规格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显示接口</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配置≥1个VGA接口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USB 接口</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w:t>
            </w:r>
            <w:r>
              <w:rPr>
                <w:rFonts w:ascii="宋体" w:hAnsi="宋体" w:cs="宋体"/>
                <w:color w:val="000000"/>
                <w:szCs w:val="21"/>
              </w:rPr>
              <w:t>2</w:t>
            </w:r>
            <w:r>
              <w:rPr>
                <w:rFonts w:hint="eastAsia" w:ascii="宋体" w:hAnsi="宋体" w:cs="宋体"/>
                <w:color w:val="000000"/>
                <w:szCs w:val="21"/>
              </w:rPr>
              <w:t>个USB3.0接口，2个位于机箱后部</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电源模块数量</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配置≥2个</w:t>
            </w:r>
            <w:r>
              <w:rPr>
                <w:rFonts w:ascii="宋体" w:hAnsi="宋体" w:cs="宋体"/>
                <w:color w:val="000000"/>
                <w:szCs w:val="21"/>
              </w:rPr>
              <w:t>800W/1200W/1300</w:t>
            </w:r>
            <w:r>
              <w:rPr>
                <w:rFonts w:hint="eastAsia" w:ascii="宋体" w:hAnsi="宋体" w:cs="宋体"/>
                <w:color w:val="000000"/>
                <w:szCs w:val="21"/>
              </w:rPr>
              <w:t xml:space="preserve"> CRPS标准电源，支持1+1冗余</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电源功率</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ascii="宋体" w:hAnsi="宋体" w:cs="宋体"/>
                <w:color w:val="000000"/>
                <w:szCs w:val="21"/>
              </w:rPr>
              <w:t>800W/1200W/1300</w:t>
            </w:r>
            <w:r>
              <w:rPr>
                <w:rFonts w:hint="eastAsia" w:ascii="宋体" w:hAnsi="宋体" w:cs="宋体"/>
                <w:color w:val="000000"/>
                <w:szCs w:val="21"/>
              </w:rPr>
              <w:t>，电源模块功率应有一定冗余， 满足处理器满载时的需求</w:t>
            </w:r>
          </w:p>
        </w:tc>
      </w:tr>
      <w:tr>
        <w:tblPrEx>
          <w:tblCellMar>
            <w:top w:w="0" w:type="dxa"/>
            <w:left w:w="108" w:type="dxa"/>
            <w:bottom w:w="0" w:type="dxa"/>
            <w:right w:w="108" w:type="dxa"/>
          </w:tblCellMar>
        </w:tblPrEx>
        <w:trPr>
          <w:trHeight w:val="983"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外观和结构</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a)服务器的零部件应紧固无松动，可插拔部件应可靠连接，开关、按钮和其它控制部件应灵活可靠，布局应方便使用；</w:t>
            </w:r>
            <w:r>
              <w:rPr>
                <w:rFonts w:hint="eastAsia" w:ascii="宋体" w:hAnsi="宋体" w:cs="宋体"/>
                <w:color w:val="000000"/>
                <w:szCs w:val="21"/>
              </w:rPr>
              <w:br w:type="textWrapping"/>
            </w:r>
            <w:r>
              <w:rPr>
                <w:rFonts w:hint="eastAsia" w:ascii="宋体" w:hAnsi="宋体" w:cs="宋体"/>
                <w:color w:val="000000"/>
                <w:szCs w:val="21"/>
              </w:rPr>
              <w:t>b) 产品表面不应有明显的凹痕、划伤、裂缝、变形和污染等。表面涂层均匀，不应起泡、龟裂、脱落和磨损，金属零部件无锈蚀及其它机械损伤；</w:t>
            </w:r>
            <w:r>
              <w:rPr>
                <w:rFonts w:hint="eastAsia" w:ascii="宋体" w:hAnsi="宋体" w:cs="宋体"/>
                <w:color w:val="000000"/>
                <w:szCs w:val="21"/>
              </w:rPr>
              <w:br w:type="textWrapping"/>
            </w:r>
            <w:r>
              <w:rPr>
                <w:rFonts w:hint="eastAsia" w:ascii="宋体" w:hAnsi="宋体" w:cs="宋体"/>
                <w:color w:val="000000"/>
                <w:szCs w:val="21"/>
              </w:rPr>
              <w:t>c) 产品表面说明功能的文字、符号和标志应清晰、端正且牢固；</w:t>
            </w:r>
            <w:r>
              <w:rPr>
                <w:rFonts w:hint="eastAsia" w:ascii="宋体" w:hAnsi="宋体" w:cs="宋体"/>
                <w:color w:val="000000"/>
                <w:szCs w:val="21"/>
              </w:rPr>
              <w:br w:type="textWrapping"/>
            </w:r>
            <w:r>
              <w:rPr>
                <w:rFonts w:hint="eastAsia" w:ascii="宋体" w:hAnsi="宋体" w:cs="宋体"/>
                <w:color w:val="000000"/>
                <w:szCs w:val="21"/>
              </w:rPr>
              <w:t>d) 应在服务器的显著位置提供运行状态的指示功能，并在随机文件中明确具体含义；</w:t>
            </w:r>
            <w:r>
              <w:rPr>
                <w:rFonts w:hint="eastAsia" w:ascii="宋体" w:hAnsi="宋体" w:cs="宋体"/>
                <w:color w:val="000000"/>
                <w:szCs w:val="21"/>
              </w:rPr>
              <w:br w:type="textWrapping"/>
            </w:r>
            <w:r>
              <w:rPr>
                <w:rFonts w:hint="eastAsia" w:ascii="宋体" w:hAnsi="宋体" w:cs="宋体"/>
                <w:color w:val="000000"/>
                <w:szCs w:val="21"/>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cs="宋体"/>
                <w:color w:val="000000"/>
                <w:szCs w:val="21"/>
              </w:rPr>
              <w:br w:type="textWrapping"/>
            </w:r>
            <w:r>
              <w:rPr>
                <w:rFonts w:hint="eastAsia" w:ascii="宋体" w:hAnsi="宋体" w:cs="宋体"/>
                <w:color w:val="000000"/>
                <w:szCs w:val="21"/>
              </w:rPr>
              <w:t>f) 高密度服务器应给出 CPU 个数与机柜高度；</w:t>
            </w:r>
            <w:r>
              <w:rPr>
                <w:rFonts w:hint="eastAsia" w:ascii="宋体" w:hAnsi="宋体" w:cs="宋体"/>
                <w:color w:val="000000"/>
                <w:szCs w:val="21"/>
              </w:rPr>
              <w:br w:type="textWrapping"/>
            </w:r>
            <w:r>
              <w:rPr>
                <w:rFonts w:hint="eastAsia" w:ascii="宋体" w:hAnsi="宋体" w:cs="宋体"/>
                <w:color w:val="000000"/>
                <w:szCs w:val="21"/>
              </w:rPr>
              <w:t>g) 服务器尺寸具体要求在随机文件中明确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尺寸（高×宽×深）</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2U机架式服务器，机箱深度小于800mm</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环境适应性</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气候环境适应性应符合 GB/T9813.3 的有关规定，工作温度 10～35℃，贮存运输温度-40～55℃；工作相对湿度 35%～80%，贮存运输相对湿度 20％～93%（40℃）；大气压86～106kPa</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机械环境适应性</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机械环境适应性应符合 GB/T9813.3 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噪声</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GB/T 9813.3 的有关规定，在产品说明中给出具体测试值塔式服务器噪声在空闲状态下不大于 50dB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机柜规格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机柜尺寸</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2U机架式服务器，能安装于19英寸标准服务器机柜</w:t>
            </w:r>
          </w:p>
        </w:tc>
      </w:tr>
      <w:tr>
        <w:tblPrEx>
          <w:tblCellMar>
            <w:top w:w="0" w:type="dxa"/>
            <w:left w:w="108" w:type="dxa"/>
            <w:bottom w:w="0" w:type="dxa"/>
            <w:right w:w="108" w:type="dxa"/>
          </w:tblCellMar>
        </w:tblPrEx>
        <w:trPr>
          <w:trHeight w:val="963"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主板</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主板外部接口种类</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 USB、显示、管理等接口</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8</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网络功能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网络功能</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支持网络连接、网络访问、数据交换和网络管控功能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计算处理</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支持通用计算及虚拟化功能。处理器需集成整型计算单元、浮点计算单元、内存控制器、I/O 模块等，处理器与存储部件、网络部件、I/O部件等组成计算系统，提供数据处理、网络接入等计算相关功能</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密码算法实现</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hint="default" w:ascii="宋体" w:hAnsi="宋体" w:cs="宋体"/>
                <w:color w:val="000000"/>
                <w:szCs w:val="21"/>
              </w:rPr>
            </w:pPr>
            <w:r>
              <w:rPr>
                <w:rFonts w:hint="eastAsia" w:ascii="宋体" w:hAnsi="宋体" w:cs="宋体"/>
                <w:color w:val="000000"/>
                <w:szCs w:val="21"/>
              </w:rPr>
              <w:t>CPU 芯片应符合 GM/T 0008 的相关规定，或芯片密码模块应符合 GB/T37092 或 GM/T 0028 的相关规定，芯片通过国家密码局颁发的商用密码产品二级及以上认证</w:t>
            </w:r>
            <w:r>
              <w:rPr>
                <w:rFonts w:hint="default" w:ascii="宋体" w:hAnsi="宋体" w:cs="宋体"/>
                <w:color w:val="000000"/>
                <w:szCs w:val="21"/>
              </w:rPr>
              <w:t>。</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RAID卡级别支持</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RAID 模式支持 RAID 0/1/10/5</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电源热插拔</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整机电源模块应具备热插拔功能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电源过流保护</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支持过流及短路保护的功能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散热方式</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支持风冷或液冷等散热方式</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管理系统功能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BMC 固件基础功能</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支持设备日志记录，包括但不限于登录日志、操作日志和报警日志等功能；</w:t>
            </w:r>
          </w:p>
        </w:tc>
      </w:tr>
      <w:tr>
        <w:tblPrEx>
          <w:tblCellMar>
            <w:top w:w="0" w:type="dxa"/>
            <w:left w:w="108" w:type="dxa"/>
            <w:bottom w:w="0" w:type="dxa"/>
            <w:right w:w="108" w:type="dxa"/>
          </w:tblCellMar>
        </w:tblPrEx>
        <w:trPr>
          <w:trHeight w:val="5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BIOS 固件基础功能</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支持查看固件版本、内存信息、主板信息、处理器信息和系统时间信息功能；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远程控制</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支持远程关机和重新启动功能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操作系统及驱动功能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操作系统及驱动的升级</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支持通过网络、闪存盘对操作系统、驱动进行升级</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操作系统功能</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支持访问控制、安全审计、网络接入鉴别等功能；</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中文信息处理功能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中文信息处理</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 18030 的有关规定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关键部件安全要求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关键部件安全要求</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CPU 和操作系统等关键部件应当符合安全可靠测评要求</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固件安全要求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故障检测</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支持故障检测功能，可以检测到具体的 FRU（内存、硬盘等）的故障并发出告警</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系统安全要求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弱口令字典检查</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支持弱口令字典检查功能，出现在弱口令字典中的字符串不能被设置为用户口令</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白名单访问控制</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支持基于时间、IP 或 MAC 白名单访问控制</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二次鉴别</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支持二次鉴别功能。对于用户配置、权限配置、公钥导入等重要的管理操作，已登录用户应通过二次鉴别后，才能执行操作</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密码证书安全加密存储</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支持对带外管理系统中的用户口令和证书等敏感信息进行加密存储，禁止使用私有的和业界已知不安全的密码算法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敏感信息安全加密传输</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支持使用安全的传输加密协议（如SSH 或 HTTPS 等）传输用户的敏感信息</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信息安全要求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研发过程安全</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供应商承诺，生产商已建立从需求、设计、开发、测试、维护端到端的开发流程管理机制，输出和保存开发流程中每个阶段的产品需求清单、设计文档、开发文档、测试记录等材料，保证各个流程可追溯；</w:t>
            </w:r>
          </w:p>
          <w:p>
            <w:pPr>
              <w:widowControl/>
              <w:rPr>
                <w:rFonts w:hint="default" w:ascii="宋体" w:hAnsi="宋体" w:cs="宋体"/>
                <w:color w:val="000000"/>
                <w:szCs w:val="21"/>
              </w:rPr>
            </w:pPr>
            <w:r>
              <w:rPr>
                <w:rFonts w:hint="eastAsia" w:ascii="宋体" w:hAnsi="宋体" w:cs="宋体"/>
                <w:color w:val="000000"/>
                <w:szCs w:val="21"/>
              </w:rPr>
              <w:t>产品生产商已建立一个覆盖信息化和工业化的融合全局、全要素、全过程的产品全生命周期内管理体系标准，</w:t>
            </w:r>
            <w:r>
              <w:rPr>
                <w:rFonts w:hint="default" w:ascii="宋体" w:hAnsi="宋体" w:cs="宋体"/>
                <w:color w:val="000000"/>
                <w:szCs w:val="21"/>
              </w:rPr>
              <w:t>产品厂商有效期内须通过信息化和工业化融合管理体系认证；</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★增强要求</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支持可信平台控制模块(TPCM)；</w:t>
            </w:r>
          </w:p>
          <w:p>
            <w:pPr>
              <w:widowControl/>
              <w:rPr>
                <w:rFonts w:ascii="宋体" w:hAnsi="宋体" w:cs="宋体"/>
                <w:color w:val="000000"/>
                <w:szCs w:val="21"/>
              </w:rPr>
            </w:pPr>
            <w:r>
              <w:rPr>
                <w:rFonts w:hint="eastAsia" w:ascii="宋体" w:hAnsi="宋体" w:cs="宋体"/>
                <w:color w:val="000000"/>
                <w:szCs w:val="21"/>
              </w:rPr>
              <w:t>支持基于处理器或可信计算模块度量的功能；</w:t>
            </w:r>
          </w:p>
          <w:p>
            <w:pPr>
              <w:widowControl/>
              <w:rPr>
                <w:rFonts w:ascii="宋体" w:hAnsi="宋体" w:cs="宋体"/>
                <w:color w:val="000000"/>
                <w:szCs w:val="21"/>
              </w:rPr>
            </w:pPr>
            <w:r>
              <w:rPr>
                <w:rFonts w:hint="eastAsia" w:ascii="宋体" w:hAnsi="宋体" w:cs="宋体"/>
                <w:color w:val="000000"/>
                <w:szCs w:val="21"/>
              </w:rPr>
              <w:t>可信安全管理模块、 处理器等硬件载体应通过国家相关部门的认证和许可；</w:t>
            </w:r>
          </w:p>
          <w:p>
            <w:pPr>
              <w:widowControl/>
              <w:rPr>
                <w:rFonts w:hint="default" w:ascii="宋体" w:hAnsi="宋体" w:cs="宋体"/>
                <w:color w:val="000000"/>
                <w:szCs w:val="21"/>
              </w:rPr>
            </w:pPr>
            <w:r>
              <w:rPr>
                <w:rFonts w:hint="default" w:ascii="宋体" w:hAnsi="宋体" w:cs="宋体"/>
                <w:color w:val="000000"/>
                <w:szCs w:val="21"/>
              </w:rPr>
              <w:t>所投机型须通过可信计算兼容性测试来满足等保2.0三级要求。</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物理安全</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物理安全</w:t>
            </w:r>
          </w:p>
        </w:tc>
        <w:tc>
          <w:tcPr>
            <w:tcW w:w="2515"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安全要求应符合 GB 4943.1 的规定</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限用物质的限量要求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限用物质的限量要求</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限用物质的限量应符合 GB/T 26572的要求</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2</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CPU性能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CPU 主频</w:t>
            </w:r>
          </w:p>
        </w:tc>
        <w:tc>
          <w:tcPr>
            <w:tcW w:w="2515"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GHz</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s="宋体"/>
                <w:color w:val="000000"/>
                <w:szCs w:val="21"/>
              </w:rPr>
              <w:t>53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单 CPU 核数</w:t>
            </w:r>
          </w:p>
        </w:tc>
        <w:tc>
          <w:tcPr>
            <w:tcW w:w="2515"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24</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单 CPU 末级缓存容量</w:t>
            </w:r>
          </w:p>
        </w:tc>
        <w:tc>
          <w:tcPr>
            <w:tcW w:w="2515"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64</w:t>
            </w:r>
            <w:r>
              <w:rPr>
                <w:rFonts w:hint="eastAsia" w:ascii="宋体" w:hAnsi="宋体" w:cs="宋体"/>
                <w:color w:val="000000"/>
                <w:szCs w:val="21"/>
              </w:rPr>
              <w:t>MB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5</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内存性能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内存速率</w:t>
            </w:r>
          </w:p>
        </w:tc>
        <w:tc>
          <w:tcPr>
            <w:tcW w:w="2515"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3200</w:t>
            </w:r>
            <w:r>
              <w:rPr>
                <w:rFonts w:hint="eastAsia" w:ascii="宋体" w:hAnsi="宋体" w:cs="宋体"/>
                <w:color w:val="000000"/>
                <w:szCs w:val="21"/>
              </w:rPr>
              <w:t>MT/s</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RAID卡性能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s="宋体"/>
                <w:color w:val="000000"/>
                <w:szCs w:val="21"/>
              </w:rPr>
              <w:t>R</w:t>
            </w:r>
            <w:r>
              <w:rPr>
                <w:rFonts w:hint="eastAsia" w:ascii="宋体" w:hAnsi="宋体" w:cs="宋体"/>
                <w:color w:val="000000"/>
                <w:szCs w:val="21"/>
              </w:rPr>
              <w:t>aid卡缓存容量大小</w:t>
            </w:r>
          </w:p>
        </w:tc>
        <w:tc>
          <w:tcPr>
            <w:tcW w:w="2515"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缓存容量≥4GB</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电源能耗</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电源能耗</w:t>
            </w:r>
          </w:p>
        </w:tc>
        <w:tc>
          <w:tcPr>
            <w:tcW w:w="2515"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符合 GB/T 9813.3 的有关规定</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部件兼容性要求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内存兼容性</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适配 3 种及以上厂商的内存产品，且均不低于产品支持的内存规格</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固态存储兼容性</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适配 3 种或以上厂商的固态存储产品，且均不低于产品支持的固态存储设备规格</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网卡兼容性</w:t>
            </w:r>
          </w:p>
        </w:tc>
        <w:tc>
          <w:tcPr>
            <w:tcW w:w="2515"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网卡应适配两种或以上厂商产品</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功能卡兼容性</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内置或适配符合 PCIe 的功能卡，如：网络功能卡、存储功能卡及图形显示功能卡</w:t>
            </w:r>
          </w:p>
        </w:tc>
      </w:tr>
      <w:tr>
        <w:tblPrEx>
          <w:tblCellMar>
            <w:top w:w="0" w:type="dxa"/>
            <w:left w:w="108" w:type="dxa"/>
            <w:bottom w:w="0" w:type="dxa"/>
            <w:right w:w="108" w:type="dxa"/>
          </w:tblCellMar>
        </w:tblPrEx>
        <w:trPr>
          <w:trHeight w:val="9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外设兼容性</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外设兼容性</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兼容多种主流生产商的外部设备，包括显示器、键盘、鼠标、闪存盘、移动硬盘、USB 光驱及 KVM 等，要求使用不同厂商的外部设备时，系统均能正常识别和安装驱动</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软件兼容性</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数据库兼容</w:t>
            </w:r>
          </w:p>
        </w:tc>
        <w:tc>
          <w:tcPr>
            <w:tcW w:w="517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个及以上厂商的数据库产品。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中间件兼容</w:t>
            </w:r>
          </w:p>
        </w:tc>
        <w:tc>
          <w:tcPr>
            <w:tcW w:w="517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个及以上厂商的中间件产品。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平台软件兼容</w:t>
            </w:r>
          </w:p>
        </w:tc>
        <w:tc>
          <w:tcPr>
            <w:tcW w:w="517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兼容</w:t>
            </w:r>
            <w:r>
              <w:rPr>
                <w:rFonts w:ascii="宋体" w:hAnsi="宋体" w:cs="宋体"/>
                <w:color w:val="000000"/>
                <w:szCs w:val="21"/>
              </w:rPr>
              <w:t>3</w:t>
            </w:r>
            <w:r>
              <w:rPr>
                <w:rFonts w:hint="eastAsia" w:ascii="宋体" w:hAnsi="宋体" w:cs="宋体"/>
                <w:color w:val="000000"/>
                <w:szCs w:val="21"/>
              </w:rPr>
              <w:t>个及以上厂商的大数据平台。</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整机可靠性要求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整机可靠性</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hint="default" w:ascii="宋体" w:hAnsi="宋体" w:cs="宋体"/>
                <w:color w:val="000000"/>
                <w:szCs w:val="21"/>
              </w:rPr>
            </w:pPr>
            <w:r>
              <w:rPr>
                <w:rFonts w:hint="eastAsia" w:ascii="宋体" w:hAnsi="宋体" w:cs="宋体"/>
                <w:color w:val="000000"/>
                <w:szCs w:val="21"/>
              </w:rPr>
              <w:t>m1 值（MTBF 的不可接受值）≥ 250000h，</w:t>
            </w:r>
            <w:r>
              <w:rPr>
                <w:rFonts w:hint="default" w:ascii="宋体" w:hAnsi="宋体" w:cs="宋体"/>
                <w:color w:val="000000"/>
                <w:szCs w:val="21"/>
              </w:rPr>
              <w:t>须通过MTBF认证。</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风扇可靠性</w:t>
            </w:r>
          </w:p>
        </w:tc>
        <w:tc>
          <w:tcPr>
            <w:tcW w:w="2515"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szCs w:val="21"/>
              </w:rPr>
            </w:pPr>
            <w:r>
              <w:rPr>
                <w:rFonts w:hint="eastAsia" w:ascii="宋体" w:hAnsi="宋体" w:cs="宋体"/>
                <w:color w:val="000000"/>
                <w:szCs w:val="21"/>
              </w:rPr>
              <w:t>风扇寿命≥ 40000h</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部件可靠性</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支持硬盘、电源、风扇热插拔(内置风扇除外)</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9</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包装及运输要求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标志、包装、运输和贮存</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符合 GB/T 9813.3 和商品包装政府采购需求标准的相关规定</w:t>
            </w:r>
          </w:p>
        </w:tc>
      </w:tr>
      <w:tr>
        <w:tblPrEx>
          <w:tblCellMar>
            <w:top w:w="0" w:type="dxa"/>
            <w:left w:w="108" w:type="dxa"/>
            <w:bottom w:w="0" w:type="dxa"/>
            <w:right w:w="108" w:type="dxa"/>
          </w:tblCellMar>
        </w:tblPrEx>
        <w:trPr>
          <w:trHeight w:val="983"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服务响应</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服务响应</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a) 提供电话、电子邮件、远程连接等多种形式服务；b) 提供同城 4h、异地 12h 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培训服务</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供应商提供培训材料、产品手册、培训视频等培训相关内容</w:t>
            </w:r>
          </w:p>
        </w:tc>
      </w:tr>
      <w:tr>
        <w:tblPrEx>
          <w:tblCellMar>
            <w:top w:w="0" w:type="dxa"/>
            <w:left w:w="108" w:type="dxa"/>
            <w:bottom w:w="0" w:type="dxa"/>
            <w:right w:w="108" w:type="dxa"/>
          </w:tblCellMar>
        </w:tblPrEx>
        <w:trPr>
          <w:trHeight w:val="124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服务周期</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服务周期</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（1）产品免费服务周期（含换件和维修）≥5年，包含硬盘不返还服务；</w:t>
            </w:r>
          </w:p>
          <w:p>
            <w:pPr>
              <w:widowControl/>
              <w:rPr>
                <w:rFonts w:ascii="宋体" w:hAnsi="宋体" w:cs="宋体"/>
                <w:color w:val="000000"/>
                <w:szCs w:val="21"/>
              </w:rPr>
            </w:pPr>
            <w:r>
              <w:rPr>
                <w:rFonts w:hint="eastAsia" w:ascii="宋体" w:hAnsi="宋体" w:cs="宋体"/>
                <w:color w:val="000000"/>
                <w:szCs w:val="21"/>
              </w:rPr>
              <w:t>（2）设备停产后继续提供质量保障服务（含备品备件），服务终止时间与最后一批设备交付时间间隔≥6年；</w:t>
            </w:r>
          </w:p>
          <w:p>
            <w:pPr>
              <w:widowControl/>
              <w:rPr>
                <w:rFonts w:ascii="宋体" w:hAnsi="宋体" w:cs="宋体"/>
                <w:color w:val="000000"/>
                <w:szCs w:val="21"/>
              </w:rPr>
            </w:pPr>
            <w:r>
              <w:rPr>
                <w:rFonts w:hint="eastAsia" w:ascii="宋体" w:hAnsi="宋体" w:cs="宋体"/>
                <w:color w:val="000000"/>
                <w:szCs w:val="21"/>
              </w:rPr>
              <w:t>（3）产品停止服务时间应提前1年告知客户；</w:t>
            </w:r>
          </w:p>
          <w:p>
            <w:pPr>
              <w:widowControl/>
              <w:rPr>
                <w:rFonts w:ascii="宋体" w:hAnsi="宋体" w:cs="宋体"/>
                <w:color w:val="000000"/>
                <w:szCs w:val="21"/>
              </w:rPr>
            </w:pPr>
            <w:r>
              <w:rPr>
                <w:rFonts w:hint="eastAsia" w:ascii="宋体" w:hAnsi="宋体" w:cs="宋体"/>
                <w:color w:val="000000"/>
                <w:szCs w:val="21"/>
              </w:rPr>
              <w:t>（4）产品发布日期需在随机文件中明确。</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服务工具要求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工具要求</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提供设置服务器硬件、辅助操作系统安装等功能的辅助工具和管理软件。且随附软件应具有合法授权或版权</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驱动安装升级指引</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提供出厂安装的配件所需的驱动程序，形式包括但不限于驱动光盘、驱动下载链接等。其他配件应提供指引</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管理软件</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具备资源管理、系统管理、性能监控、健康监控、基于网络控制、报警设置功能</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增值服务</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厂家升级产品软件与扩容服务</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提供原厂级的部件/软件产品升级和扩容能力</w:t>
            </w:r>
          </w:p>
        </w:tc>
      </w:tr>
      <w:tr>
        <w:tblPrEx>
          <w:tblCellMar>
            <w:top w:w="0" w:type="dxa"/>
            <w:left w:w="108" w:type="dxa"/>
            <w:bottom w:w="0" w:type="dxa"/>
            <w:right w:w="108" w:type="dxa"/>
          </w:tblCellMar>
        </w:tblPrEx>
        <w:trPr>
          <w:trHeight w:val="3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宋体"/>
                <w:color w:val="000000"/>
                <w:szCs w:val="21"/>
              </w:rPr>
              <w:t>提供上门服务</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7*2</w:t>
            </w:r>
            <w:r>
              <w:rPr>
                <w:rFonts w:ascii="宋体" w:hAnsi="宋体" w:cs="宋体"/>
                <w:color w:val="000000"/>
                <w:kern w:val="0"/>
                <w:szCs w:val="21"/>
              </w:rPr>
              <w:t>4</w:t>
            </w:r>
            <w:r>
              <w:rPr>
                <w:rFonts w:hint="eastAsia" w:ascii="宋体" w:hAnsi="宋体" w:cs="宋体"/>
                <w:color w:val="000000"/>
                <w:kern w:val="0"/>
                <w:szCs w:val="21"/>
              </w:rPr>
              <w:t>小时上门服务</w:t>
            </w:r>
          </w:p>
        </w:tc>
      </w:tr>
      <w:tr>
        <w:tblPrEx>
          <w:tblCellMar>
            <w:top w:w="0" w:type="dxa"/>
            <w:left w:w="108" w:type="dxa"/>
            <w:bottom w:w="0" w:type="dxa"/>
            <w:right w:w="108" w:type="dxa"/>
          </w:tblCellMar>
        </w:tblPrEx>
        <w:trPr>
          <w:trHeight w:val="62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供应链质量</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抗干扰性</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当产品部件出现供应风险时，应通知客户并提供风险应对方案确保产品的服务保障，必要时应停止相关受影响产品的销售</w:t>
            </w:r>
          </w:p>
        </w:tc>
      </w:tr>
      <w:tr>
        <w:tblPrEx>
          <w:tblCellMar>
            <w:top w:w="0" w:type="dxa"/>
            <w:left w:w="108" w:type="dxa"/>
            <w:bottom w:w="0" w:type="dxa"/>
            <w:right w:w="108" w:type="dxa"/>
          </w:tblCellMar>
        </w:tblPrEx>
        <w:trPr>
          <w:trHeight w:val="381" w:hRule="atLeast"/>
          <w:jc w:val="center"/>
        </w:trPr>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宋体"/>
                <w:szCs w:val="21"/>
              </w:rPr>
              <w:t>供应能力证明</w:t>
            </w:r>
          </w:p>
        </w:tc>
        <w:tc>
          <w:tcPr>
            <w:tcW w:w="2515"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szCs w:val="21"/>
              </w:rPr>
            </w:pPr>
            <w:r>
              <w:rPr>
                <w:rFonts w:hint="eastAsia" w:ascii="宋体" w:hAnsi="宋体" w:cs="宋体"/>
                <w:color w:val="000000"/>
                <w:szCs w:val="21"/>
              </w:rPr>
              <w:t>供应商需提供供应链稳定承诺书</w:t>
            </w:r>
          </w:p>
        </w:tc>
      </w:tr>
    </w:tbl>
    <w:p>
      <w:pPr>
        <w:rPr>
          <w:color w:val="000000"/>
        </w:rPr>
      </w:pPr>
    </w:p>
    <w:p>
      <w:pPr>
        <w:pStyle w:val="2"/>
      </w:pPr>
      <w:r>
        <w:br w:type="page"/>
      </w:r>
    </w:p>
    <w:p>
      <w:pPr>
        <w:pStyle w:val="5"/>
        <w:ind w:firstLine="482" w:firstLineChars="200"/>
        <w:rPr>
          <w:sz w:val="24"/>
          <w:szCs w:val="22"/>
        </w:rPr>
      </w:pPr>
      <w:r>
        <w:rPr>
          <w:rFonts w:hint="eastAsia"/>
          <w:sz w:val="24"/>
          <w:szCs w:val="22"/>
          <w:lang w:val="en-US" w:eastAsia="zh-CN"/>
        </w:rPr>
        <w:t>12.</w:t>
      </w:r>
      <w:r>
        <w:rPr>
          <w:sz w:val="24"/>
          <w:szCs w:val="22"/>
        </w:rPr>
        <w:t>显示屏（</w:t>
      </w:r>
      <w:r>
        <w:rPr>
          <w:rFonts w:hint="eastAsia"/>
          <w:sz w:val="24"/>
          <w:szCs w:val="22"/>
        </w:rPr>
        <w:t>2台</w:t>
      </w:r>
      <w:r>
        <w:rPr>
          <w:sz w:val="24"/>
          <w:szCs w:val="22"/>
        </w:rPr>
        <w:t>）</w:t>
      </w:r>
    </w:p>
    <w:tbl>
      <w:tblPr>
        <w:tblStyle w:val="21"/>
        <w:tblW w:w="5000" w:type="pct"/>
        <w:jc w:val="center"/>
        <w:tblLayout w:type="autofit"/>
        <w:tblCellMar>
          <w:top w:w="0" w:type="dxa"/>
          <w:left w:w="108" w:type="dxa"/>
          <w:bottom w:w="0" w:type="dxa"/>
          <w:right w:w="108" w:type="dxa"/>
        </w:tblCellMar>
      </w:tblPr>
      <w:tblGrid>
        <w:gridCol w:w="427"/>
        <w:gridCol w:w="427"/>
        <w:gridCol w:w="427"/>
        <w:gridCol w:w="638"/>
        <w:gridCol w:w="1476"/>
        <w:gridCol w:w="1687"/>
        <w:gridCol w:w="4204"/>
      </w:tblGrid>
      <w:tr>
        <w:tblPrEx>
          <w:tblCellMar>
            <w:top w:w="0" w:type="dxa"/>
            <w:left w:w="108" w:type="dxa"/>
            <w:bottom w:w="0" w:type="dxa"/>
            <w:right w:w="108" w:type="dxa"/>
          </w:tblCellMar>
        </w:tblPrEx>
        <w:trPr>
          <w:trHeight w:val="272" w:hRule="atLeast"/>
          <w:jc w:val="center"/>
        </w:trPr>
        <w:tc>
          <w:tcPr>
            <w:tcW w:w="250" w:type="pct"/>
            <w:tcBorders>
              <w:top w:val="single" w:color="auto" w:sz="4" w:space="0"/>
              <w:left w:val="single" w:color="auto" w:sz="4" w:space="0"/>
              <w:bottom w:val="single" w:color="auto" w:sz="4" w:space="0"/>
              <w:right w:val="single" w:color="auto" w:sz="4" w:space="0"/>
            </w:tcBorders>
            <w:shd w:val="clear" w:color="000000" w:fill="D0CECE"/>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货物名称</w:t>
            </w:r>
          </w:p>
        </w:tc>
        <w:tc>
          <w:tcPr>
            <w:tcW w:w="250" w:type="pct"/>
            <w:tcBorders>
              <w:top w:val="single" w:color="auto" w:sz="4" w:space="0"/>
              <w:left w:val="nil"/>
              <w:bottom w:val="single" w:color="auto" w:sz="4" w:space="0"/>
              <w:right w:val="single" w:color="auto" w:sz="4" w:space="0"/>
            </w:tcBorders>
            <w:shd w:val="clear" w:color="000000" w:fill="D0CECE"/>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250" w:type="pct"/>
            <w:tcBorders>
              <w:top w:val="single" w:color="auto" w:sz="4" w:space="0"/>
              <w:left w:val="nil"/>
              <w:bottom w:val="single" w:color="auto" w:sz="4" w:space="0"/>
              <w:right w:val="single" w:color="auto" w:sz="4" w:space="0"/>
            </w:tcBorders>
            <w:shd w:val="clear" w:color="000000" w:fill="D0CECE"/>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250" w:type="pct"/>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0" w:type="pct"/>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一级指标</w:t>
            </w:r>
          </w:p>
        </w:tc>
        <w:tc>
          <w:tcPr>
            <w:tcW w:w="500" w:type="pct"/>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val="en-US" w:eastAsia="zh-CN"/>
              </w:rPr>
              <w:t>二级指标</w:t>
            </w:r>
          </w:p>
        </w:tc>
        <w:tc>
          <w:tcPr>
            <w:tcW w:w="3000" w:type="pct"/>
            <w:tcBorders>
              <w:top w:val="single" w:color="auto" w:sz="4" w:space="0"/>
              <w:left w:val="nil"/>
              <w:bottom w:val="single" w:color="auto" w:sz="4" w:space="0"/>
              <w:right w:val="single" w:color="auto" w:sz="4" w:space="0"/>
            </w:tcBorders>
            <w:shd w:val="clear" w:color="000000" w:fill="D0CECE"/>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指标要求</w:t>
            </w:r>
          </w:p>
        </w:tc>
      </w:tr>
      <w:tr>
        <w:tblPrEx>
          <w:tblCellMar>
            <w:top w:w="0" w:type="dxa"/>
            <w:left w:w="108" w:type="dxa"/>
            <w:bottom w:w="0" w:type="dxa"/>
            <w:right w:w="108" w:type="dxa"/>
          </w:tblCellMar>
        </w:tblPrEx>
        <w:trPr>
          <w:trHeight w:val="270" w:hRule="atLeast"/>
          <w:jc w:val="center"/>
        </w:trPr>
        <w:tc>
          <w:tcPr>
            <w:tcW w:w="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显示屏</w:t>
            </w:r>
          </w:p>
        </w:tc>
        <w:tc>
          <w:tcPr>
            <w:tcW w:w="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0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规格参数</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▲显示尺寸</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≥98 英寸</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背光源类型</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DLED</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▲分辨率</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物理分辨率≥3840 x 2160</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像素间距</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0.1625（H）x 0.4875（V）</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对比度</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6000:01:00</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响应时间</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 ms</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可视角</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≥178°(H)/178°(V)</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连续使用时间</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 x 16 H</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触摸方式</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红外触控</w:t>
            </w:r>
          </w:p>
        </w:tc>
      </w:tr>
      <w:tr>
        <w:tblPrEx>
          <w:tblCellMar>
            <w:top w:w="0" w:type="dxa"/>
            <w:left w:w="108" w:type="dxa"/>
            <w:bottom w:w="0" w:type="dxa"/>
            <w:right w:w="108" w:type="dxa"/>
          </w:tblCellMar>
        </w:tblPrEx>
        <w:trPr>
          <w:trHeight w:val="469"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触控点</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auto"/>
                <w:kern w:val="0"/>
                <w:szCs w:val="21"/>
              </w:rPr>
              <w:t>安卓下</w:t>
            </w:r>
            <w:r>
              <w:rPr>
                <w:rFonts w:hint="eastAsia" w:ascii="宋体" w:hAnsi="宋体" w:cs="宋体"/>
                <w:color w:val="auto"/>
                <w:kern w:val="0"/>
                <w:szCs w:val="21"/>
                <w:lang w:val="en-US" w:eastAsia="zh-CN"/>
              </w:rPr>
              <w:t>不少于</w:t>
            </w:r>
            <w:r>
              <w:rPr>
                <w:rFonts w:hint="eastAsia" w:ascii="宋体" w:hAnsi="宋体" w:cs="宋体"/>
                <w:color w:val="auto"/>
                <w:kern w:val="0"/>
                <w:szCs w:val="21"/>
              </w:rPr>
              <w:t>20点，Windows下</w:t>
            </w:r>
            <w:r>
              <w:rPr>
                <w:rFonts w:hint="eastAsia" w:ascii="宋体" w:hAnsi="宋体" w:cs="宋体"/>
                <w:color w:val="auto"/>
                <w:kern w:val="0"/>
                <w:szCs w:val="21"/>
                <w:lang w:val="en-US" w:eastAsia="zh-CN"/>
              </w:rPr>
              <w:t>不少于</w:t>
            </w:r>
            <w:r>
              <w:rPr>
                <w:rFonts w:hint="eastAsia" w:ascii="宋体" w:hAnsi="宋体" w:cs="宋体"/>
                <w:color w:val="auto"/>
                <w:kern w:val="0"/>
                <w:szCs w:val="21"/>
              </w:rPr>
              <w:t>50点</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触控响应速度</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≤12ms</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触摸精度</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90%以上的触摸区域为 ±1 mm</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处理器</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A76 x 4+A55 x 4，主频≥2.4GHz</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内存</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 GB</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内置存储</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≥64 GB</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网络</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内置千兆网卡，支持路由功能，双WiFi</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像素</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拍照≥4800万，录像≥800万</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麦克风功能</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支持回声消除，智能降噪、智能音幕、发言人跟踪</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拾音距离</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≥12 m</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网络接口</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LAN (1000 Mbps) × 2</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无线网络</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WIFI AP&amp;Station，2.4G/5G</w:t>
            </w:r>
          </w:p>
        </w:tc>
      </w:tr>
      <w:tr>
        <w:tblPrEx>
          <w:tblCellMar>
            <w:top w:w="0" w:type="dxa"/>
            <w:left w:w="108" w:type="dxa"/>
            <w:bottom w:w="0" w:type="dxa"/>
            <w:right w:w="108" w:type="dxa"/>
          </w:tblCellMar>
        </w:tblPrEx>
        <w:trPr>
          <w:trHeight w:val="765"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传输接口</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USB 3.0 × 3, USB 2.0 × 1, Type-C × 1 (Type-C接口支持 USB 2.0, DP 1.2投屏和快充功能;前置快充支持功率 65 W)，Touch USB × 1，支持NFC</w:t>
            </w:r>
          </w:p>
        </w:tc>
      </w:tr>
      <w:tr>
        <w:tblPrEx>
          <w:tblCellMar>
            <w:top w:w="0" w:type="dxa"/>
            <w:left w:w="108" w:type="dxa"/>
            <w:bottom w:w="0" w:type="dxa"/>
            <w:right w:w="108" w:type="dxa"/>
          </w:tblCellMar>
        </w:tblPrEx>
        <w:trPr>
          <w:trHeight w:val="765"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摄像头</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★摄像头</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内置4800W 像素高清摄像头，分辨率最高支持3840×2160@30fps；支持Auto Framing功能，实现最佳视角功能；支持发言人跟随功能；需提供相应证明材料。</w:t>
            </w:r>
          </w:p>
        </w:tc>
      </w:tr>
      <w:tr>
        <w:tblPrEx>
          <w:tblCellMar>
            <w:top w:w="0" w:type="dxa"/>
            <w:left w:w="108" w:type="dxa"/>
            <w:bottom w:w="0" w:type="dxa"/>
            <w:right w:w="108" w:type="dxa"/>
          </w:tblCellMar>
        </w:tblPrEx>
        <w:trPr>
          <w:trHeight w:val="102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全局交互设计</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★全局交互设计</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系统采用全屏应用框架设计，无侧边栏中控菜单遮挡主界面展示，底部常驻系统操作栏，可手动向下滑动自动收起和底部向上滑动自动展开；底部栏各功能图标支持位置自定义调节；需提供相应证明材料。</w:t>
            </w:r>
          </w:p>
        </w:tc>
      </w:tr>
      <w:tr>
        <w:tblPrEx>
          <w:tblCellMar>
            <w:top w:w="0" w:type="dxa"/>
            <w:left w:w="108" w:type="dxa"/>
            <w:bottom w:w="0" w:type="dxa"/>
            <w:right w:w="108" w:type="dxa"/>
          </w:tblCellMar>
        </w:tblPrEx>
        <w:trPr>
          <w:trHeight w:val="765"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用户管理</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★用户管理</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支持用户管理功能，可将设备设置为私人、公共设备；提供USB权限、网络权限、蓝牙权限、应用管理权限、个性化权限设置；需提供相应证明材料。</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50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智能交互会议平板支架</w:t>
            </w: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颜色</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银灰色</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载荷承重</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110 kg</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适用尺寸</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86-98 寸</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升降高度</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挂架固定高度调节（调节档位1468/1543/1618/1693mm） </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50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投屏器</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接口</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USB device</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支持系统</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Windows 7/10/11 / Mac OS 10.12</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分辨率</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1080P/4K</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帧率</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20fps</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传输延迟</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≤300ms</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WiFi类型</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2.4G/5G 双频WIFI</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无线速率：</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≤300Mbps</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无线传输协议</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IEEE 802.11 a/g/n/ac</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频段</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2.4G&amp;5.0G</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加密</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AES</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50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验证协议</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WAP2-PSK </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移动控制终端</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移动控制终端</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含移动维护终端设备。</w:t>
            </w:r>
          </w:p>
        </w:tc>
      </w:tr>
      <w:tr>
        <w:tblPrEx>
          <w:tblCellMar>
            <w:top w:w="0" w:type="dxa"/>
            <w:left w:w="108" w:type="dxa"/>
            <w:bottom w:w="0" w:type="dxa"/>
            <w:right w:w="108" w:type="dxa"/>
          </w:tblCellMar>
        </w:tblPrEx>
        <w:trPr>
          <w:trHeight w:val="270" w:hRule="atLeas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2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质保</w:t>
            </w:r>
          </w:p>
        </w:tc>
        <w:tc>
          <w:tcPr>
            <w:tcW w:w="30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五年质保</w:t>
            </w:r>
          </w:p>
        </w:tc>
      </w:tr>
    </w:tbl>
    <w:p>
      <w:pPr>
        <w:rPr>
          <w:color w:val="000000"/>
          <w:highlight w:val="yellow"/>
        </w:rPr>
      </w:pPr>
    </w:p>
    <w:p>
      <w:pPr>
        <w:rPr>
          <w:rFonts w:hint="eastAsia"/>
          <w:sz w:val="24"/>
          <w:szCs w:val="22"/>
          <w:lang w:val="en-US" w:eastAsia="zh-CN"/>
        </w:rPr>
      </w:pPr>
      <w:r>
        <w:rPr>
          <w:rFonts w:hint="eastAsia"/>
          <w:sz w:val="24"/>
          <w:szCs w:val="22"/>
          <w:lang w:val="en-US" w:eastAsia="zh-CN"/>
        </w:rPr>
        <w:br w:type="page"/>
      </w:r>
    </w:p>
    <w:p>
      <w:pPr>
        <w:pStyle w:val="5"/>
        <w:ind w:firstLine="482" w:firstLineChars="200"/>
        <w:rPr>
          <w:sz w:val="24"/>
          <w:szCs w:val="22"/>
        </w:rPr>
      </w:pPr>
      <w:r>
        <w:rPr>
          <w:rFonts w:hint="eastAsia"/>
          <w:sz w:val="24"/>
          <w:szCs w:val="22"/>
          <w:lang w:val="en-US" w:eastAsia="zh-CN"/>
        </w:rPr>
        <w:t>13.</w:t>
      </w:r>
      <w:r>
        <w:rPr>
          <w:rFonts w:hint="eastAsia"/>
          <w:sz w:val="24"/>
          <w:szCs w:val="22"/>
        </w:rPr>
        <w:t>终端（1</w:t>
      </w:r>
      <w:r>
        <w:rPr>
          <w:sz w:val="24"/>
          <w:szCs w:val="22"/>
        </w:rPr>
        <w:t>5套</w:t>
      </w:r>
      <w:r>
        <w:rPr>
          <w:rFonts w:hint="eastAsia"/>
          <w:sz w:val="24"/>
          <w:szCs w:val="22"/>
        </w:rPr>
        <w:t>）</w:t>
      </w:r>
    </w:p>
    <w:tbl>
      <w:tblPr>
        <w:tblStyle w:val="21"/>
        <w:tblW w:w="5000" w:type="pct"/>
        <w:jc w:val="center"/>
        <w:tblLayout w:type="fixed"/>
        <w:tblCellMar>
          <w:top w:w="0" w:type="dxa"/>
          <w:left w:w="108" w:type="dxa"/>
          <w:bottom w:w="0" w:type="dxa"/>
          <w:right w:w="108" w:type="dxa"/>
        </w:tblCellMar>
      </w:tblPr>
      <w:tblGrid>
        <w:gridCol w:w="533"/>
        <w:gridCol w:w="533"/>
        <w:gridCol w:w="534"/>
        <w:gridCol w:w="534"/>
        <w:gridCol w:w="1068"/>
        <w:gridCol w:w="1068"/>
        <w:gridCol w:w="5016"/>
      </w:tblGrid>
      <w:tr>
        <w:tblPrEx>
          <w:tblCellMar>
            <w:top w:w="0" w:type="dxa"/>
            <w:left w:w="108" w:type="dxa"/>
            <w:bottom w:w="0" w:type="dxa"/>
            <w:right w:w="108" w:type="dxa"/>
          </w:tblCellMar>
        </w:tblPrEx>
        <w:trPr>
          <w:trHeight w:val="737" w:hRule="atLeast"/>
          <w:jc w:val="center"/>
        </w:trPr>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50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50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二级</w:t>
            </w:r>
          </w:p>
          <w:p>
            <w:pPr>
              <w:widowControl/>
              <w:jc w:val="center"/>
              <w:rPr>
                <w:rFonts w:ascii="宋体" w:hAnsi="宋体" w:cs="宋体"/>
                <w:b/>
                <w:bCs/>
                <w:color w:val="000000"/>
                <w:szCs w:val="21"/>
              </w:rPr>
            </w:pPr>
            <w:r>
              <w:rPr>
                <w:rFonts w:hint="eastAsia" w:ascii="宋体" w:hAnsi="宋体" w:cs="宋体"/>
                <w:b/>
                <w:bCs/>
                <w:color w:val="000000"/>
                <w:szCs w:val="21"/>
              </w:rPr>
              <w:t>指标</w:t>
            </w:r>
          </w:p>
        </w:tc>
        <w:tc>
          <w:tcPr>
            <w:tcW w:w="2349"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指标要求</w:t>
            </w:r>
          </w:p>
        </w:tc>
      </w:tr>
      <w:tr>
        <w:tblPrEx>
          <w:tblCellMar>
            <w:top w:w="0" w:type="dxa"/>
            <w:left w:w="108" w:type="dxa"/>
            <w:bottom w:w="0" w:type="dxa"/>
            <w:right w:w="108" w:type="dxa"/>
          </w:tblCellMar>
        </w:tblPrEx>
        <w:trPr>
          <w:trHeight w:val="648" w:hRule="atLeast"/>
          <w:jc w:val="center"/>
        </w:trPr>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终端</w:t>
            </w:r>
          </w:p>
        </w:tc>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1</w:t>
            </w:r>
            <w:r>
              <w:rPr>
                <w:rFonts w:ascii="宋体" w:hAnsi="宋体"/>
                <w:color w:val="000000"/>
                <w:szCs w:val="21"/>
              </w:rPr>
              <w:t>5</w:t>
            </w:r>
          </w:p>
        </w:tc>
        <w:tc>
          <w:tcPr>
            <w:tcW w:w="250" w:type="pct"/>
            <w:vMerge w:val="restart"/>
            <w:tcBorders>
              <w:top w:val="single" w:color="auto" w:sz="4" w:space="0"/>
              <w:left w:val="single" w:color="auto" w:sz="4" w:space="0"/>
              <w:right w:val="single" w:color="auto" w:sz="4" w:space="0"/>
            </w:tcBorders>
            <w:vAlign w:val="center"/>
          </w:tcPr>
          <w:p>
            <w:pPr>
              <w:widowControl/>
              <w:jc w:val="center"/>
              <w:rPr>
                <w:rFonts w:ascii="宋体" w:hAnsi="宋体"/>
                <w:color w:val="000000"/>
                <w:szCs w:val="21"/>
              </w:rPr>
            </w:pPr>
            <w:r>
              <w:rPr>
                <w:rFonts w:hint="eastAsia" w:ascii="宋体" w:hAnsi="宋体"/>
                <w:color w:val="000000"/>
                <w:szCs w:val="21"/>
              </w:rPr>
              <w:t>套</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olor w:val="000000"/>
                <w:szCs w:val="21"/>
              </w:rPr>
              <w:t>1</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CPU规格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CPU 信息</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（1）配置1颗国产C86架构处理器，支持超线程技术和睿频技术；</w:t>
            </w:r>
          </w:p>
          <w:p>
            <w:pPr>
              <w:widowControl/>
              <w:rPr>
                <w:rFonts w:ascii="宋体" w:hAnsi="宋体" w:cs="Arial"/>
                <w:color w:val="000000"/>
                <w:szCs w:val="21"/>
              </w:rPr>
            </w:pPr>
            <w:r>
              <w:rPr>
                <w:rFonts w:hint="eastAsia" w:ascii="宋体" w:hAnsi="宋体" w:cs="Arial"/>
                <w:color w:val="000000"/>
                <w:szCs w:val="21"/>
              </w:rPr>
              <w:t xml:space="preserve">（2）单颗CPU型号Hygon </w:t>
            </w:r>
            <w:r>
              <w:rPr>
                <w:rFonts w:ascii="宋体" w:hAnsi="宋体" w:cs="Arial"/>
                <w:color w:val="000000"/>
                <w:szCs w:val="21"/>
              </w:rPr>
              <w:t>3250</w:t>
            </w:r>
            <w:r>
              <w:rPr>
                <w:rFonts w:hint="eastAsia" w:ascii="宋体" w:hAnsi="宋体" w:cs="Arial"/>
                <w:color w:val="000000"/>
                <w:szCs w:val="21"/>
              </w:rPr>
              <w:t>，单颗CPU物理核心数≥8核、主频≥2.8 GHz、末级缓存容量≥8MB、线程数≥16、热设计功耗≥90W、支持内存的最高速率≥2666MHz、通道数≥2、位宽≥64位；</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2</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内存规格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内存配置容量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16</w:t>
            </w:r>
            <w:r>
              <w:rPr>
                <w:rFonts w:hint="eastAsia" w:ascii="宋体" w:hAnsi="宋体" w:cs="Arial"/>
                <w:color w:val="000000"/>
                <w:szCs w:val="21"/>
              </w:rPr>
              <w:t>GB</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内存类型</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支持DDR4/LPDDR4/LPDDR4X及以上内存类型</w:t>
            </w:r>
          </w:p>
        </w:tc>
      </w:tr>
      <w:tr>
        <w:tblPrEx>
          <w:tblCellMar>
            <w:top w:w="0" w:type="dxa"/>
            <w:left w:w="108" w:type="dxa"/>
            <w:bottom w:w="0" w:type="dxa"/>
            <w:right w:w="108" w:type="dxa"/>
          </w:tblCellMar>
        </w:tblPrEx>
        <w:trPr>
          <w:trHeight w:val="76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内存条配置数量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1</w:t>
            </w:r>
          </w:p>
        </w:tc>
      </w:tr>
      <w:tr>
        <w:tblPrEx>
          <w:tblCellMar>
            <w:top w:w="0" w:type="dxa"/>
            <w:left w:w="108" w:type="dxa"/>
            <w:bottom w:w="0" w:type="dxa"/>
            <w:right w:w="108" w:type="dxa"/>
          </w:tblCellMar>
        </w:tblPrEx>
        <w:trPr>
          <w:trHeight w:val="687"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主板规格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主板集成模块</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集成资源扩展模块、计算处理模块、音频扩展模块等，主板的互联拓扑可通过处理器或交换电路实现</w:t>
            </w:r>
          </w:p>
        </w:tc>
      </w:tr>
      <w:tr>
        <w:tblPrEx>
          <w:tblCellMar>
            <w:top w:w="0" w:type="dxa"/>
            <w:left w:w="108" w:type="dxa"/>
            <w:bottom w:w="0" w:type="dxa"/>
            <w:right w:w="108" w:type="dxa"/>
          </w:tblCellMar>
        </w:tblPrEx>
        <w:trPr>
          <w:trHeight w:val="56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主板支持的 CPU和内存情况</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主板支持海光32</w:t>
            </w:r>
            <w:r>
              <w:rPr>
                <w:rFonts w:ascii="宋体" w:hAnsi="宋体" w:cs="Arial"/>
                <w:color w:val="000000"/>
                <w:szCs w:val="21"/>
              </w:rPr>
              <w:t xml:space="preserve">50 </w:t>
            </w:r>
            <w:r>
              <w:rPr>
                <w:rFonts w:hint="eastAsia" w:ascii="宋体" w:hAnsi="宋体" w:cs="Arial"/>
                <w:color w:val="000000"/>
                <w:szCs w:val="21"/>
              </w:rPr>
              <w:t>CPU 1颗，支持内存4根；</w:t>
            </w:r>
          </w:p>
        </w:tc>
      </w:tr>
      <w:tr>
        <w:tblPrEx>
          <w:tblCellMar>
            <w:top w:w="0" w:type="dxa"/>
            <w:left w:w="108" w:type="dxa"/>
            <w:bottom w:w="0" w:type="dxa"/>
            <w:right w:w="108" w:type="dxa"/>
          </w:tblCellMar>
        </w:tblPrEx>
        <w:trPr>
          <w:trHeight w:val="54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主板内置PCIe 插槽数量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主板的非板载内存的可扩展插槽数量≥4个，内存速率≥2666MT/s；</w:t>
            </w:r>
          </w:p>
        </w:tc>
      </w:tr>
      <w:tr>
        <w:tblPrEx>
          <w:tblCellMar>
            <w:top w:w="0" w:type="dxa"/>
            <w:left w:w="108" w:type="dxa"/>
            <w:bottom w:w="0" w:type="dxa"/>
            <w:right w:w="108" w:type="dxa"/>
          </w:tblCellMar>
        </w:tblPrEx>
        <w:trPr>
          <w:trHeight w:val="97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主板其他内置接口</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主板支持SATA/SAS/M.2/U.2存储接口；</w:t>
            </w:r>
          </w:p>
        </w:tc>
      </w:tr>
      <w:tr>
        <w:tblPrEx>
          <w:tblCellMar>
            <w:top w:w="0" w:type="dxa"/>
            <w:left w:w="108" w:type="dxa"/>
            <w:bottom w:w="0" w:type="dxa"/>
            <w:right w:w="108" w:type="dxa"/>
          </w:tblCellMar>
        </w:tblPrEx>
        <w:trPr>
          <w:trHeight w:val="5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单内存插槽最大可支持容量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≥8GB</w:t>
            </w:r>
          </w:p>
        </w:tc>
      </w:tr>
      <w:tr>
        <w:tblPrEx>
          <w:tblCellMar>
            <w:top w:w="0" w:type="dxa"/>
            <w:left w:w="108" w:type="dxa"/>
            <w:bottom w:w="0" w:type="dxa"/>
            <w:right w:w="108" w:type="dxa"/>
          </w:tblCellMar>
        </w:tblPrEx>
        <w:trPr>
          <w:trHeight w:val="13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1</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内存插槽满配时提供的最高内存总容量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32</w:t>
            </w:r>
            <w:r>
              <w:rPr>
                <w:rFonts w:hint="eastAsia" w:ascii="宋体" w:hAnsi="宋体" w:cs="Arial"/>
                <w:color w:val="000000"/>
                <w:szCs w:val="21"/>
              </w:rPr>
              <w:t>GB</w:t>
            </w:r>
          </w:p>
        </w:tc>
      </w:tr>
      <w:tr>
        <w:tblPrEx>
          <w:tblCellMar>
            <w:top w:w="0" w:type="dxa"/>
            <w:left w:w="108" w:type="dxa"/>
            <w:bottom w:w="0" w:type="dxa"/>
            <w:right w:w="108" w:type="dxa"/>
          </w:tblCellMar>
        </w:tblPrEx>
        <w:trPr>
          <w:trHeight w:val="49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1</w:t>
            </w:r>
            <w:r>
              <w:rPr>
                <w:rFonts w:ascii="宋体" w:hAnsi="宋体" w:cs="宋体"/>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存储设备规格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固态盘数量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 个</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1</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固态存储容量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≥2</w:t>
            </w:r>
            <w:r>
              <w:rPr>
                <w:rFonts w:ascii="宋体" w:hAnsi="宋体" w:cs="Arial"/>
                <w:color w:val="000000"/>
                <w:szCs w:val="21"/>
              </w:rPr>
              <w:t>56</w:t>
            </w:r>
            <w:r>
              <w:rPr>
                <w:rFonts w:hint="eastAsia" w:ascii="宋体" w:hAnsi="宋体" w:cs="Arial"/>
                <w:color w:val="000000"/>
                <w:szCs w:val="21"/>
              </w:rPr>
              <w:t>GB</w:t>
            </w:r>
          </w:p>
        </w:tc>
      </w:tr>
      <w:tr>
        <w:tblPrEx>
          <w:tblCellMar>
            <w:top w:w="0" w:type="dxa"/>
            <w:left w:w="108" w:type="dxa"/>
            <w:bottom w:w="0" w:type="dxa"/>
            <w:right w:w="108" w:type="dxa"/>
          </w:tblCellMar>
        </w:tblPrEx>
        <w:trPr>
          <w:trHeight w:val="467"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1</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固态存储接口协议</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M</w:t>
            </w:r>
            <w:r>
              <w:rPr>
                <w:rFonts w:ascii="宋体" w:hAnsi="宋体" w:cs="Arial"/>
                <w:color w:val="000000"/>
                <w:szCs w:val="21"/>
              </w:rPr>
              <w:t>.2</w:t>
            </w:r>
            <w:r>
              <w:rPr>
                <w:rFonts w:hint="eastAsia" w:ascii="宋体" w:hAnsi="宋体" w:cs="Arial"/>
                <w:color w:val="000000"/>
                <w:szCs w:val="21"/>
              </w:rPr>
              <w:t>接口协议</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1</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固态存储形态</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采用插卡或板载等形态，可选用符合M.2或2.5 寸SATA 或mSATA等标准的插卡形态</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1</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存储设备其他参数要求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固态盘应符合SJ/T 11654相关规定；</w:t>
            </w:r>
          </w:p>
        </w:tc>
      </w:tr>
      <w:tr>
        <w:tblPrEx>
          <w:tblCellMar>
            <w:top w:w="0" w:type="dxa"/>
            <w:left w:w="108" w:type="dxa"/>
            <w:bottom w:w="0" w:type="dxa"/>
            <w:right w:w="108" w:type="dxa"/>
          </w:tblCellMar>
        </w:tblPrEx>
        <w:trPr>
          <w:trHeight w:val="49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1</w:t>
            </w:r>
            <w:r>
              <w:rPr>
                <w:rFonts w:ascii="宋体" w:hAnsi="宋体" w:cs="宋体"/>
                <w:color w:val="000000"/>
                <w:szCs w:val="21"/>
              </w:rPr>
              <w:t>6</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显卡规格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显卡类型</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独立显卡</w:t>
            </w:r>
          </w:p>
        </w:tc>
      </w:tr>
      <w:tr>
        <w:tblPrEx>
          <w:tblCellMar>
            <w:top w:w="0" w:type="dxa"/>
            <w:left w:w="108" w:type="dxa"/>
            <w:bottom w:w="0" w:type="dxa"/>
            <w:right w:w="108" w:type="dxa"/>
          </w:tblCellMar>
        </w:tblPrEx>
        <w:trPr>
          <w:trHeight w:val="97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1</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独立显卡显存类型</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配置独立显卡，显存类型应为GDDR5</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1</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独立显卡显存位宽</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配置独立显卡，显存位宽≥16 位</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1</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独立显卡显存容量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配置独立显卡，显存容量≥</w:t>
            </w:r>
            <w:r>
              <w:rPr>
                <w:rFonts w:ascii="宋体" w:hAnsi="宋体" w:cs="Arial"/>
                <w:color w:val="000000"/>
                <w:szCs w:val="21"/>
              </w:rPr>
              <w:t>4</w:t>
            </w:r>
            <w:r>
              <w:rPr>
                <w:rFonts w:hint="eastAsia" w:ascii="宋体" w:hAnsi="宋体" w:cs="Arial"/>
                <w:color w:val="000000"/>
                <w:szCs w:val="21"/>
              </w:rPr>
              <w:t>GB</w:t>
            </w:r>
          </w:p>
        </w:tc>
      </w:tr>
      <w:tr>
        <w:tblPrEx>
          <w:tblCellMar>
            <w:top w:w="0" w:type="dxa"/>
            <w:left w:w="108" w:type="dxa"/>
            <w:bottom w:w="0" w:type="dxa"/>
            <w:right w:w="108" w:type="dxa"/>
          </w:tblCellMar>
        </w:tblPrEx>
        <w:trPr>
          <w:trHeight w:val="43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2</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独立显卡接口协议</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 PCIe 3.0以以上的独立显卡接口协议</w:t>
            </w:r>
          </w:p>
        </w:tc>
      </w:tr>
      <w:tr>
        <w:tblPrEx>
          <w:tblCellMar>
            <w:top w:w="0" w:type="dxa"/>
            <w:left w:w="108" w:type="dxa"/>
            <w:bottom w:w="0" w:type="dxa"/>
            <w:right w:w="108" w:type="dxa"/>
          </w:tblCellMar>
        </w:tblPrEx>
        <w:trPr>
          <w:trHeight w:val="153"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2</w:t>
            </w:r>
            <w:r>
              <w:rPr>
                <w:rFonts w:ascii="宋体" w:hAnsi="宋体" w:cs="宋体"/>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显示设备规格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显示屏屏占比</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≥80%</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2</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显示屏分辨率</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ascii="宋体" w:hAnsi="宋体" w:cs="Arial"/>
                <w:color w:val="000000"/>
                <w:szCs w:val="21"/>
              </w:rPr>
              <w:t>≥</w:t>
            </w:r>
            <w:r>
              <w:rPr>
                <w:rFonts w:hint="eastAsia" w:ascii="宋体" w:hAnsi="宋体" w:cs="Arial"/>
                <w:color w:val="000000"/>
                <w:szCs w:val="21"/>
              </w:rPr>
              <w:t>1920x1080</w:t>
            </w:r>
          </w:p>
        </w:tc>
      </w:tr>
      <w:tr>
        <w:tblPrEx>
          <w:tblCellMar>
            <w:top w:w="0" w:type="dxa"/>
            <w:left w:w="108" w:type="dxa"/>
            <w:bottom w:w="0" w:type="dxa"/>
            <w:right w:w="108" w:type="dxa"/>
          </w:tblCellMar>
        </w:tblPrEx>
        <w:trPr>
          <w:trHeight w:val="107"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2</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显示屏尺寸</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≥2</w:t>
            </w:r>
            <w:r>
              <w:rPr>
                <w:rFonts w:ascii="宋体" w:hAnsi="宋体" w:cs="Arial"/>
                <w:color w:val="000000"/>
                <w:szCs w:val="21"/>
              </w:rPr>
              <w:t>7</w:t>
            </w:r>
            <w:r>
              <w:rPr>
                <w:rFonts w:hint="eastAsia" w:ascii="宋体" w:hAnsi="宋体" w:cs="Arial"/>
                <w:color w:val="000000"/>
                <w:szCs w:val="21"/>
              </w:rPr>
              <w:t xml:space="preserve"> 英寸</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2</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显示屏屏幕比例</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16:9等</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2</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显示器外观颜色</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黑色系</w:t>
            </w:r>
          </w:p>
        </w:tc>
      </w:tr>
      <w:tr>
        <w:tblPrEx>
          <w:tblCellMar>
            <w:top w:w="0" w:type="dxa"/>
            <w:left w:w="108" w:type="dxa"/>
            <w:bottom w:w="0" w:type="dxa"/>
            <w:right w:w="108" w:type="dxa"/>
          </w:tblCellMar>
        </w:tblPrEx>
        <w:trPr>
          <w:trHeight w:val="497"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2</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显示屏防蓝光</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支持防蓝光模式，蓝光加权辐射亮度比应0.0012W/(·cd·sr)（瓦每坎特拉每球面度）</w:t>
            </w:r>
          </w:p>
        </w:tc>
      </w:tr>
      <w:tr>
        <w:tblPrEx>
          <w:tblCellMar>
            <w:top w:w="0" w:type="dxa"/>
            <w:left w:w="108" w:type="dxa"/>
            <w:bottom w:w="0" w:type="dxa"/>
            <w:right w:w="108" w:type="dxa"/>
          </w:tblCellMar>
        </w:tblPrEx>
        <w:trPr>
          <w:trHeight w:val="8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2</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显示屏低频闪</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显示屏应支持低频闪</w:t>
            </w:r>
            <w:r>
              <w:rPr>
                <w:rFonts w:ascii="宋体" w:hAnsi="宋体" w:cs="Arial"/>
                <w:color w:val="000000"/>
                <w:szCs w:val="21"/>
              </w:rPr>
              <w:t>≤</w:t>
            </w:r>
            <w:r>
              <w:rPr>
                <w:rFonts w:hint="eastAsia" w:ascii="宋体" w:hAnsi="宋体" w:cs="Arial"/>
                <w:color w:val="000000"/>
                <w:szCs w:val="21"/>
              </w:rPr>
              <w:t>-35dB</w:t>
            </w:r>
          </w:p>
        </w:tc>
      </w:tr>
      <w:tr>
        <w:tblPrEx>
          <w:tblCellMar>
            <w:top w:w="0" w:type="dxa"/>
            <w:left w:w="108" w:type="dxa"/>
            <w:bottom w:w="0" w:type="dxa"/>
            <w:right w:w="108" w:type="dxa"/>
          </w:tblCellMar>
        </w:tblPrEx>
        <w:trPr>
          <w:trHeight w:val="22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2</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显示屏防炫目</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显示屏镜面反射率</w:t>
            </w:r>
            <w:r>
              <w:rPr>
                <w:rFonts w:ascii="宋体" w:hAnsi="宋体" w:cs="Arial"/>
                <w:color w:val="000000"/>
                <w:szCs w:val="21"/>
              </w:rPr>
              <w:t>≤</w:t>
            </w:r>
            <w:r>
              <w:rPr>
                <w:rFonts w:hint="eastAsia" w:ascii="宋体" w:hAnsi="宋体" w:cs="Arial"/>
                <w:color w:val="000000"/>
                <w:szCs w:val="21"/>
              </w:rPr>
              <w:t>10%</w:t>
            </w:r>
          </w:p>
        </w:tc>
      </w:tr>
      <w:tr>
        <w:tblPrEx>
          <w:tblCellMar>
            <w:top w:w="0" w:type="dxa"/>
            <w:left w:w="108" w:type="dxa"/>
            <w:bottom w:w="0" w:type="dxa"/>
            <w:right w:w="108" w:type="dxa"/>
          </w:tblCellMar>
        </w:tblPrEx>
        <w:trPr>
          <w:trHeight w:val="22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2</w:t>
            </w:r>
            <w:r>
              <w:rPr>
                <w:rFonts w:ascii="宋体" w:hAnsi="宋体" w:cs="宋体"/>
                <w:color w:val="000000"/>
                <w:szCs w:val="21"/>
              </w:rPr>
              <w:t>9</w:t>
            </w:r>
          </w:p>
        </w:tc>
        <w:tc>
          <w:tcPr>
            <w:tcW w:w="500" w:type="pct"/>
            <w:tcBorders>
              <w:top w:val="single" w:color="auto" w:sz="4" w:space="0"/>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鼠标数量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 个</w:t>
            </w:r>
          </w:p>
        </w:tc>
      </w:tr>
      <w:tr>
        <w:tblPrEx>
          <w:tblCellMar>
            <w:top w:w="0" w:type="dxa"/>
            <w:left w:w="108" w:type="dxa"/>
            <w:bottom w:w="0" w:type="dxa"/>
            <w:right w:w="108" w:type="dxa"/>
          </w:tblCellMar>
        </w:tblPrEx>
        <w:trPr>
          <w:trHeight w:val="77"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3</w:t>
            </w:r>
            <w:r>
              <w:rPr>
                <w:rFonts w:ascii="宋体" w:hAnsi="宋体" w:cs="宋体"/>
                <w:color w:val="000000"/>
                <w:szCs w:val="21"/>
              </w:rPr>
              <w:t>0</w:t>
            </w:r>
          </w:p>
        </w:tc>
        <w:tc>
          <w:tcPr>
            <w:tcW w:w="500" w:type="pct"/>
            <w:vMerge w:val="restart"/>
            <w:tcBorders>
              <w:left w:val="single" w:color="auto" w:sz="4" w:space="0"/>
              <w:right w:val="single" w:color="auto" w:sz="4" w:space="0"/>
            </w:tcBorders>
            <w:shd w:val="clear" w:color="auto" w:fill="auto"/>
            <w:vAlign w:val="center"/>
          </w:tcPr>
          <w:p>
            <w:pPr>
              <w:rPr>
                <w:rFonts w:ascii="宋体" w:hAnsi="宋体" w:cs="Arial"/>
                <w:color w:val="000000"/>
                <w:szCs w:val="21"/>
              </w:rPr>
            </w:pPr>
            <w:r>
              <w:rPr>
                <w:rFonts w:hint="eastAsia" w:ascii="宋体" w:hAnsi="宋体" w:cs="Arial"/>
                <w:color w:val="000000"/>
                <w:szCs w:val="21"/>
              </w:rPr>
              <w:t>外设规格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键盘数量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 个</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3</w:t>
            </w:r>
            <w:r>
              <w:rPr>
                <w:rFonts w:ascii="宋体" w:hAnsi="宋体" w:cs="宋体"/>
                <w:color w:val="000000"/>
                <w:szCs w:val="21"/>
              </w:rPr>
              <w:t>1</w:t>
            </w:r>
          </w:p>
        </w:tc>
        <w:tc>
          <w:tcPr>
            <w:tcW w:w="500" w:type="pct"/>
            <w:vMerge w:val="continue"/>
            <w:tcBorders>
              <w:left w:val="single" w:color="auto" w:sz="4" w:space="0"/>
              <w:right w:val="single" w:color="auto" w:sz="4" w:space="0"/>
            </w:tcBorders>
            <w:shd w:val="clear" w:color="auto" w:fill="auto"/>
            <w:vAlign w:val="center"/>
          </w:tcPr>
          <w:p>
            <w:pPr>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键盘按键数目</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104 键</w:t>
            </w:r>
          </w:p>
        </w:tc>
      </w:tr>
      <w:tr>
        <w:tblPrEx>
          <w:tblCellMar>
            <w:top w:w="0" w:type="dxa"/>
            <w:left w:w="108" w:type="dxa"/>
            <w:bottom w:w="0" w:type="dxa"/>
            <w:right w:w="108" w:type="dxa"/>
          </w:tblCellMar>
        </w:tblPrEx>
        <w:trPr>
          <w:trHeight w:val="203"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3</w:t>
            </w:r>
            <w:r>
              <w:rPr>
                <w:rFonts w:ascii="宋体" w:hAnsi="宋体" w:cs="宋体"/>
                <w:color w:val="000000"/>
                <w:szCs w:val="21"/>
              </w:rPr>
              <w:t>2</w:t>
            </w:r>
          </w:p>
        </w:tc>
        <w:tc>
          <w:tcPr>
            <w:tcW w:w="500" w:type="pct"/>
            <w:vMerge w:val="continue"/>
            <w:tcBorders>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键盘连接方式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有线</w:t>
            </w:r>
          </w:p>
        </w:tc>
      </w:tr>
      <w:tr>
        <w:tblPrEx>
          <w:tblCellMar>
            <w:top w:w="0" w:type="dxa"/>
            <w:left w:w="108" w:type="dxa"/>
            <w:bottom w:w="0" w:type="dxa"/>
            <w:right w:w="108" w:type="dxa"/>
          </w:tblCellMar>
        </w:tblPrEx>
        <w:trPr>
          <w:trHeight w:val="207"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3</w:t>
            </w:r>
            <w:r>
              <w:rPr>
                <w:rFonts w:ascii="宋体" w:hAnsi="宋体" w:cs="宋体"/>
                <w:color w:val="000000"/>
                <w:szCs w:val="21"/>
              </w:rPr>
              <w:t>3</w:t>
            </w:r>
          </w:p>
        </w:tc>
        <w:tc>
          <w:tcPr>
            <w:tcW w:w="500" w:type="pct"/>
            <w:vMerge w:val="continue"/>
            <w:tcBorders>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键盘键程</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2.3mm~4.0mm</w:t>
            </w:r>
          </w:p>
        </w:tc>
      </w:tr>
      <w:tr>
        <w:tblPrEx>
          <w:tblCellMar>
            <w:top w:w="0" w:type="dxa"/>
            <w:left w:w="108" w:type="dxa"/>
            <w:bottom w:w="0" w:type="dxa"/>
            <w:right w:w="108" w:type="dxa"/>
          </w:tblCellMar>
        </w:tblPrEx>
        <w:trPr>
          <w:trHeight w:val="19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3</w:t>
            </w:r>
            <w:r>
              <w:rPr>
                <w:rFonts w:ascii="宋体" w:hAnsi="宋体" w:cs="宋体"/>
                <w:color w:val="000000"/>
                <w:szCs w:val="21"/>
              </w:rPr>
              <w:t>4</w:t>
            </w:r>
          </w:p>
        </w:tc>
        <w:tc>
          <w:tcPr>
            <w:tcW w:w="500" w:type="pct"/>
            <w:vMerge w:val="continue"/>
            <w:tcBorders>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键盘按键压力</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按键压力应在 0.54 N±0.14N</w:t>
            </w:r>
          </w:p>
        </w:tc>
      </w:tr>
      <w:tr>
        <w:tblPrEx>
          <w:tblCellMar>
            <w:top w:w="0" w:type="dxa"/>
            <w:left w:w="108" w:type="dxa"/>
            <w:bottom w:w="0" w:type="dxa"/>
            <w:right w:w="108" w:type="dxa"/>
          </w:tblCellMar>
        </w:tblPrEx>
        <w:trPr>
          <w:trHeight w:val="21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3</w:t>
            </w:r>
            <w:r>
              <w:rPr>
                <w:rFonts w:ascii="宋体" w:hAnsi="宋体" w:cs="宋体"/>
                <w:color w:val="000000"/>
                <w:szCs w:val="21"/>
              </w:rPr>
              <w:t>5</w:t>
            </w:r>
          </w:p>
        </w:tc>
        <w:tc>
          <w:tcPr>
            <w:tcW w:w="500" w:type="pct"/>
            <w:vMerge w:val="continue"/>
            <w:tcBorders>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有线键盘连接线</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≥1.5 米</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3</w:t>
            </w:r>
            <w:r>
              <w:rPr>
                <w:rFonts w:ascii="宋体" w:hAnsi="宋体" w:cs="宋体"/>
                <w:color w:val="000000"/>
                <w:szCs w:val="21"/>
              </w:rPr>
              <w:t>6</w:t>
            </w:r>
          </w:p>
        </w:tc>
        <w:tc>
          <w:tcPr>
            <w:tcW w:w="500" w:type="pct"/>
            <w:vMerge w:val="continue"/>
            <w:tcBorders>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键盘颜色</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黑色系</w:t>
            </w:r>
          </w:p>
        </w:tc>
      </w:tr>
      <w:tr>
        <w:tblPrEx>
          <w:tblCellMar>
            <w:top w:w="0" w:type="dxa"/>
            <w:left w:w="108" w:type="dxa"/>
            <w:bottom w:w="0" w:type="dxa"/>
            <w:right w:w="108" w:type="dxa"/>
          </w:tblCellMar>
        </w:tblPrEx>
        <w:trPr>
          <w:trHeight w:val="36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3</w:t>
            </w:r>
            <w:r>
              <w:rPr>
                <w:rFonts w:ascii="宋体" w:hAnsi="宋体" w:cs="宋体"/>
                <w:color w:val="000000"/>
                <w:szCs w:val="21"/>
              </w:rPr>
              <w:t>7</w:t>
            </w:r>
          </w:p>
        </w:tc>
        <w:tc>
          <w:tcPr>
            <w:tcW w:w="500" w:type="pct"/>
            <w:vMerge w:val="continue"/>
            <w:tcBorders>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键盘其他要求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键盘外观结构、连接方式、主要功能、安全、电磁兼容性、可靠性应符合 GB/T14081 的相关规定</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3</w:t>
            </w:r>
            <w:r>
              <w:rPr>
                <w:rFonts w:ascii="宋体" w:hAnsi="宋体" w:cs="宋体"/>
                <w:color w:val="000000"/>
                <w:szCs w:val="21"/>
              </w:rPr>
              <w:t>8</w:t>
            </w:r>
          </w:p>
        </w:tc>
        <w:tc>
          <w:tcPr>
            <w:tcW w:w="500" w:type="pct"/>
            <w:vMerge w:val="continue"/>
            <w:tcBorders>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鼠标连接方式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有线</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3</w:t>
            </w:r>
            <w:r>
              <w:rPr>
                <w:rFonts w:ascii="宋体" w:hAnsi="宋体" w:cs="宋体"/>
                <w:color w:val="000000"/>
                <w:szCs w:val="21"/>
              </w:rPr>
              <w:t>9</w:t>
            </w:r>
          </w:p>
        </w:tc>
        <w:tc>
          <w:tcPr>
            <w:tcW w:w="500" w:type="pct"/>
            <w:vMerge w:val="continue"/>
            <w:tcBorders>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有线鼠标连接线</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≥1.5 米</w:t>
            </w:r>
          </w:p>
        </w:tc>
      </w:tr>
      <w:tr>
        <w:tblPrEx>
          <w:tblCellMar>
            <w:top w:w="0" w:type="dxa"/>
            <w:left w:w="108" w:type="dxa"/>
            <w:bottom w:w="0" w:type="dxa"/>
            <w:right w:w="108" w:type="dxa"/>
          </w:tblCellMar>
        </w:tblPrEx>
        <w:trPr>
          <w:trHeight w:val="72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4</w:t>
            </w:r>
            <w:r>
              <w:rPr>
                <w:rFonts w:ascii="宋体" w:hAnsi="宋体" w:cs="宋体"/>
                <w:color w:val="000000"/>
                <w:szCs w:val="21"/>
              </w:rPr>
              <w:t>0</w:t>
            </w:r>
          </w:p>
        </w:tc>
        <w:tc>
          <w:tcPr>
            <w:tcW w:w="500" w:type="pct"/>
            <w:vMerge w:val="continue"/>
            <w:tcBorders>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鼠标 DPI分辨率</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800~1600</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4</w:t>
            </w:r>
            <w:r>
              <w:rPr>
                <w:rFonts w:ascii="宋体" w:hAnsi="宋体" w:cs="宋体"/>
                <w:color w:val="000000"/>
                <w:szCs w:val="21"/>
              </w:rPr>
              <w:t>1</w:t>
            </w:r>
          </w:p>
        </w:tc>
        <w:tc>
          <w:tcPr>
            <w:tcW w:w="500" w:type="pct"/>
            <w:vMerge w:val="continue"/>
            <w:tcBorders>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鼠标颜色</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黑色系</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4</w:t>
            </w:r>
            <w:r>
              <w:rPr>
                <w:rFonts w:ascii="宋体" w:hAnsi="宋体" w:cs="宋体"/>
                <w:color w:val="000000"/>
                <w:szCs w:val="21"/>
              </w:rPr>
              <w:t>2</w:t>
            </w:r>
          </w:p>
        </w:tc>
        <w:tc>
          <w:tcPr>
            <w:tcW w:w="500" w:type="pct"/>
            <w:vMerge w:val="continue"/>
            <w:tcBorders>
              <w:left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鼠标其他要求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其它参数应符合 GB/T 26245 的相关规定</w:t>
            </w:r>
          </w:p>
        </w:tc>
      </w:tr>
      <w:tr>
        <w:tblPrEx>
          <w:tblCellMar>
            <w:top w:w="0" w:type="dxa"/>
            <w:left w:w="108" w:type="dxa"/>
            <w:bottom w:w="0" w:type="dxa"/>
            <w:right w:w="108" w:type="dxa"/>
          </w:tblCellMar>
        </w:tblPrEx>
        <w:trPr>
          <w:trHeight w:val="14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4</w:t>
            </w:r>
            <w:r>
              <w:rPr>
                <w:rFonts w:ascii="宋体" w:hAnsi="宋体" w:cs="宋体"/>
                <w:color w:val="000000"/>
                <w:szCs w:val="21"/>
              </w:rPr>
              <w:t>3</w:t>
            </w:r>
          </w:p>
        </w:tc>
        <w:tc>
          <w:tcPr>
            <w:tcW w:w="500" w:type="pct"/>
            <w:vMerge w:val="continue"/>
            <w:tcBorders>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内置光驱</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支持内置光驱</w:t>
            </w:r>
          </w:p>
        </w:tc>
      </w:tr>
      <w:tr>
        <w:tblPrEx>
          <w:tblCellMar>
            <w:top w:w="0" w:type="dxa"/>
            <w:left w:w="108" w:type="dxa"/>
            <w:bottom w:w="0" w:type="dxa"/>
            <w:right w:w="108" w:type="dxa"/>
          </w:tblCellMar>
        </w:tblPrEx>
        <w:trPr>
          <w:trHeight w:val="49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4</w:t>
            </w:r>
            <w:r>
              <w:rPr>
                <w:rFonts w:ascii="宋体" w:hAnsi="宋体" w:cs="宋体"/>
                <w:color w:val="000000"/>
                <w:szCs w:val="21"/>
              </w:rPr>
              <w:t>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网络设备规格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有线网卡数量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w:t>
            </w:r>
          </w:p>
        </w:tc>
      </w:tr>
      <w:tr>
        <w:tblPrEx>
          <w:tblCellMar>
            <w:top w:w="0" w:type="dxa"/>
            <w:left w:w="108" w:type="dxa"/>
            <w:bottom w:w="0" w:type="dxa"/>
            <w:right w:w="108" w:type="dxa"/>
          </w:tblCellMar>
        </w:tblPrEx>
        <w:trPr>
          <w:trHeight w:val="30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4</w:t>
            </w:r>
            <w:r>
              <w:rPr>
                <w:rFonts w:ascii="宋体" w:hAnsi="宋体" w:cs="宋体"/>
                <w:color w:val="000000"/>
                <w:szCs w:val="21"/>
              </w:rPr>
              <w:t>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外部接口规格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USB 接口数量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提供≥8个USB3.0接口（整机自带，非USB hub扩展），机箱前面板应提供不少于</w:t>
            </w:r>
            <w:r>
              <w:rPr>
                <w:rFonts w:ascii="宋体" w:hAnsi="宋体" w:cs="Arial"/>
                <w:color w:val="000000"/>
                <w:szCs w:val="21"/>
              </w:rPr>
              <w:t>4</w:t>
            </w:r>
            <w:r>
              <w:rPr>
                <w:rFonts w:hint="eastAsia" w:ascii="宋体" w:hAnsi="宋体" w:cs="Arial"/>
                <w:color w:val="000000"/>
                <w:szCs w:val="21"/>
              </w:rPr>
              <w:t xml:space="preserve"> 个 USB 接口；</w:t>
            </w:r>
          </w:p>
        </w:tc>
      </w:tr>
      <w:tr>
        <w:tblPrEx>
          <w:tblCellMar>
            <w:top w:w="0" w:type="dxa"/>
            <w:left w:w="108" w:type="dxa"/>
            <w:bottom w:w="0" w:type="dxa"/>
            <w:right w:w="108" w:type="dxa"/>
          </w:tblCellMar>
        </w:tblPrEx>
        <w:trPr>
          <w:trHeight w:val="26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4</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视频接口数量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w:t>
            </w:r>
          </w:p>
        </w:tc>
      </w:tr>
      <w:tr>
        <w:tblPrEx>
          <w:tblCellMar>
            <w:top w:w="0" w:type="dxa"/>
            <w:left w:w="108" w:type="dxa"/>
            <w:bottom w:w="0" w:type="dxa"/>
            <w:right w:w="108" w:type="dxa"/>
          </w:tblCellMar>
        </w:tblPrEx>
        <w:trPr>
          <w:trHeight w:val="117"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4</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音频接口数量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w:t>
            </w:r>
          </w:p>
        </w:tc>
      </w:tr>
      <w:tr>
        <w:tblPrEx>
          <w:tblCellMar>
            <w:top w:w="0" w:type="dxa"/>
            <w:left w:w="108" w:type="dxa"/>
            <w:bottom w:w="0" w:type="dxa"/>
            <w:right w:w="108" w:type="dxa"/>
          </w:tblCellMar>
        </w:tblPrEx>
        <w:trPr>
          <w:trHeight w:val="41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4</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整机基础规格</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整机外观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a) 产品表面不应有凹痕、划伤、裂缝、变形和污染等。表面涂层均匀，不应起泡、龟裂、脱落和磨损，金属零部件无锈蚀及其它机械损伤；</w:t>
            </w:r>
            <w:r>
              <w:rPr>
                <w:rFonts w:hint="eastAsia" w:ascii="宋体" w:hAnsi="宋体" w:cs="Arial"/>
                <w:color w:val="000000"/>
                <w:szCs w:val="21"/>
              </w:rPr>
              <w:br w:type="textWrapping"/>
            </w:r>
            <w:r>
              <w:rPr>
                <w:rFonts w:hint="eastAsia" w:ascii="宋体" w:hAnsi="宋体" w:cs="Arial"/>
                <w:color w:val="000000"/>
                <w:szCs w:val="21"/>
              </w:rPr>
              <w:t>b) 产品表面说明功能的文字、符号、标志，应清晰、端正、牢固</w:t>
            </w:r>
          </w:p>
        </w:tc>
      </w:tr>
      <w:tr>
        <w:tblPrEx>
          <w:tblCellMar>
            <w:top w:w="0" w:type="dxa"/>
            <w:left w:w="108" w:type="dxa"/>
            <w:bottom w:w="0" w:type="dxa"/>
            <w:right w:w="108" w:type="dxa"/>
          </w:tblCellMar>
        </w:tblPrEx>
        <w:trPr>
          <w:trHeight w:val="28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4</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状态指示灯</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在产品显著位置提供状态指示功能，如运行状态，提供≥1个Port80数码管，可支持故障诊断显示；</w:t>
            </w:r>
          </w:p>
        </w:tc>
      </w:tr>
      <w:tr>
        <w:tblPrEx>
          <w:tblCellMar>
            <w:top w:w="0" w:type="dxa"/>
            <w:left w:w="108" w:type="dxa"/>
            <w:bottom w:w="0" w:type="dxa"/>
            <w:right w:w="108" w:type="dxa"/>
          </w:tblCellMar>
        </w:tblPrEx>
        <w:trPr>
          <w:trHeight w:val="983"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5</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整机结构</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a) 机箱应符合 GB/T 4208、GB/T 26246的相关规定；</w:t>
            </w:r>
            <w:r>
              <w:rPr>
                <w:rFonts w:hint="eastAsia" w:ascii="宋体" w:hAnsi="宋体" w:cs="Arial"/>
                <w:color w:val="000000"/>
                <w:szCs w:val="21"/>
              </w:rPr>
              <w:br w:type="textWrapping"/>
            </w:r>
            <w:r>
              <w:rPr>
                <w:rFonts w:hint="eastAsia" w:ascii="宋体" w:hAnsi="宋体" w:cs="Arial"/>
                <w:color w:val="000000"/>
                <w:szCs w:val="21"/>
              </w:rPr>
              <w:t>b) 产品内部结构应符合通用部件的安装需求；</w:t>
            </w:r>
            <w:r>
              <w:rPr>
                <w:rFonts w:hint="eastAsia" w:ascii="宋体" w:hAnsi="宋体" w:cs="Arial"/>
                <w:color w:val="000000"/>
                <w:szCs w:val="21"/>
              </w:rPr>
              <w:br w:type="textWrapping"/>
            </w:r>
            <w:r>
              <w:rPr>
                <w:rFonts w:hint="eastAsia" w:ascii="宋体" w:hAnsi="宋体" w:cs="Arial"/>
                <w:color w:val="000000"/>
                <w:szCs w:val="21"/>
              </w:rPr>
              <w:t>c) 所有输入输出接口应符合相关国家或行业标准；</w:t>
            </w:r>
            <w:r>
              <w:rPr>
                <w:rFonts w:hint="eastAsia" w:ascii="宋体" w:hAnsi="宋体" w:cs="Arial"/>
                <w:color w:val="000000"/>
                <w:szCs w:val="21"/>
              </w:rPr>
              <w:br w:type="textWrapping"/>
            </w:r>
            <w:r>
              <w:rPr>
                <w:rFonts w:hint="eastAsia" w:ascii="宋体" w:hAnsi="宋体" w:cs="Arial"/>
                <w:color w:val="000000"/>
                <w:szCs w:val="21"/>
              </w:rPr>
              <w:t>d) 产品零部件应紧固无松动，可插拔部件应可靠连接，开关、按钮和其它控制部件应灵活可靠，布局应方便使用；</w:t>
            </w:r>
            <w:r>
              <w:rPr>
                <w:rFonts w:hint="eastAsia" w:ascii="宋体" w:hAnsi="宋体" w:cs="Arial"/>
                <w:color w:val="000000"/>
                <w:szCs w:val="21"/>
              </w:rPr>
              <w:br w:type="textWrapping"/>
            </w:r>
            <w:r>
              <w:rPr>
                <w:rFonts w:hint="eastAsia" w:ascii="宋体" w:hAnsi="宋体" w:cs="Arial"/>
                <w:color w:val="000000"/>
                <w:szCs w:val="21"/>
              </w:rPr>
              <w:t>e) 所有 I/O 连接器及需插接线缆的部位应预留采购人操作空间，方便插拔解锁与插拔线缆；</w:t>
            </w:r>
            <w:r>
              <w:rPr>
                <w:rFonts w:hint="eastAsia" w:ascii="宋体" w:hAnsi="宋体" w:cs="Arial"/>
                <w:color w:val="000000"/>
                <w:szCs w:val="21"/>
              </w:rPr>
              <w:br w:type="textWrapping"/>
            </w:r>
            <w:r>
              <w:rPr>
                <w:rFonts w:hint="eastAsia" w:ascii="宋体" w:hAnsi="宋体" w:cs="Arial"/>
                <w:color w:val="000000"/>
                <w:szCs w:val="21"/>
              </w:rPr>
              <w:t>f) 可插拔板卡插槽部位应预留安装、拆卸或更换板卡空间；</w:t>
            </w:r>
            <w:r>
              <w:rPr>
                <w:rFonts w:hint="eastAsia" w:ascii="宋体" w:hAnsi="宋体" w:cs="Arial"/>
                <w:color w:val="000000"/>
                <w:szCs w:val="21"/>
              </w:rPr>
              <w:br w:type="textWrapping"/>
            </w:r>
            <w:r>
              <w:rPr>
                <w:rFonts w:hint="eastAsia" w:ascii="宋体" w:hAnsi="宋体" w:cs="Arial"/>
                <w:color w:val="000000"/>
                <w:szCs w:val="21"/>
              </w:rPr>
              <w:t>g) 拆装可能接触到的金属剪口或金属尖角部位应做防划伤处理，以保证安全；</w:t>
            </w:r>
            <w:r>
              <w:rPr>
                <w:rFonts w:hint="eastAsia" w:ascii="宋体" w:hAnsi="宋体" w:cs="Arial"/>
                <w:color w:val="000000"/>
                <w:szCs w:val="21"/>
              </w:rPr>
              <w:br w:type="textWrapping"/>
            </w:r>
            <w:r>
              <w:rPr>
                <w:rFonts w:hint="eastAsia" w:ascii="宋体" w:hAnsi="宋体" w:cs="Arial"/>
                <w:color w:val="000000"/>
                <w:szCs w:val="21"/>
              </w:rPr>
              <w:t>h) 整机内部走线应规整，固线结构和位置要合理可靠并做防割线处理，需便于理线和插拔操作，走线应不影响系统各主要部件组装和拆卸；</w:t>
            </w:r>
            <w:r>
              <w:rPr>
                <w:rFonts w:hint="eastAsia" w:ascii="宋体" w:hAnsi="宋体" w:cs="Arial"/>
                <w:color w:val="000000"/>
                <w:szCs w:val="21"/>
              </w:rPr>
              <w:br w:type="textWrapping"/>
            </w:r>
            <w:r>
              <w:rPr>
                <w:rFonts w:hint="eastAsia" w:ascii="宋体" w:hAnsi="宋体" w:cs="Arial"/>
                <w:color w:val="000000"/>
                <w:szCs w:val="21"/>
              </w:rPr>
              <w:t>i) 如需通过孔走线，过线孔应做防割线处理；</w:t>
            </w:r>
            <w:r>
              <w:rPr>
                <w:rFonts w:hint="eastAsia" w:ascii="宋体" w:hAnsi="宋体" w:cs="Arial"/>
                <w:color w:val="000000"/>
                <w:szCs w:val="21"/>
              </w:rPr>
              <w:br w:type="textWrapping"/>
            </w:r>
            <w:r>
              <w:rPr>
                <w:rFonts w:hint="eastAsia" w:ascii="宋体" w:hAnsi="宋体" w:cs="Arial"/>
                <w:color w:val="000000"/>
                <w:szCs w:val="21"/>
              </w:rPr>
              <w:t>j) 各插头位置和插拔方向应合理，应做到插拔无障碍设计，具备防呆设计，有效避免误操作；</w:t>
            </w:r>
            <w:r>
              <w:rPr>
                <w:rFonts w:hint="eastAsia" w:ascii="宋体" w:hAnsi="宋体" w:cs="Arial"/>
                <w:color w:val="000000"/>
                <w:szCs w:val="21"/>
              </w:rPr>
              <w:br w:type="textWrapping"/>
            </w:r>
            <w:r>
              <w:rPr>
                <w:rFonts w:hint="eastAsia" w:ascii="宋体" w:hAnsi="宋体" w:cs="Arial"/>
                <w:color w:val="000000"/>
                <w:szCs w:val="21"/>
              </w:rPr>
              <w:t>k) 各主要部件拆装无障碍，使用常规工具拆装，无特殊拆装工具需求；</w:t>
            </w:r>
            <w:r>
              <w:rPr>
                <w:rFonts w:hint="eastAsia" w:ascii="宋体" w:hAnsi="宋体" w:cs="Arial"/>
                <w:color w:val="000000"/>
                <w:szCs w:val="21"/>
              </w:rPr>
              <w:br w:type="textWrapping"/>
            </w:r>
            <w:r>
              <w:rPr>
                <w:rFonts w:hint="eastAsia" w:ascii="宋体" w:hAnsi="宋体" w:cs="Arial"/>
                <w:color w:val="000000"/>
                <w:szCs w:val="21"/>
              </w:rPr>
              <w:t>l) 各主要部件拆装步骤要少，各自拆装需避免相互干扰；</w:t>
            </w:r>
            <w:r>
              <w:rPr>
                <w:rFonts w:hint="eastAsia" w:ascii="宋体" w:hAnsi="宋体" w:cs="Arial"/>
                <w:color w:val="000000"/>
                <w:szCs w:val="21"/>
              </w:rPr>
              <w:br w:type="textWrapping"/>
            </w:r>
            <w:r>
              <w:rPr>
                <w:rFonts w:hint="eastAsia" w:ascii="宋体" w:hAnsi="宋体" w:cs="Arial"/>
                <w:color w:val="000000"/>
                <w:szCs w:val="21"/>
              </w:rPr>
              <w:t>m) 对于整机或零部件外表面为高亮面的，应粘贴保护膜，保护膜需粘贴牢固，运输、组装等过程不易脱落，撕下无残留；</w:t>
            </w:r>
            <w:r>
              <w:rPr>
                <w:rFonts w:hint="eastAsia" w:ascii="宋体" w:hAnsi="宋体" w:cs="Arial"/>
                <w:color w:val="000000"/>
                <w:szCs w:val="21"/>
              </w:rPr>
              <w:br w:type="textWrapping"/>
            </w:r>
            <w:r>
              <w:rPr>
                <w:rFonts w:hint="eastAsia" w:ascii="宋体" w:hAnsi="宋体" w:cs="Arial"/>
                <w:color w:val="000000"/>
                <w:szCs w:val="21"/>
              </w:rPr>
              <w:t>n) 其它要求应符合 GB/T 9813.1 的相关规定</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5</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机箱防护要求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机箱应符合 GB/T 4208 中 IP20 防护要求</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5</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Arial"/>
                <w:color w:val="000000"/>
                <w:szCs w:val="21"/>
              </w:rPr>
              <w:t>整机噪音</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产品工作在空闲状态下，产品的声功率级应不超过 4.5 Bel；</w:t>
            </w:r>
            <w:r>
              <w:rPr>
                <w:rFonts w:ascii="宋体" w:hAnsi="宋体" w:cs="Arial"/>
                <w:color w:val="000000"/>
                <w:szCs w:val="21"/>
              </w:rPr>
              <w:t xml:space="preserve"> </w:t>
            </w:r>
          </w:p>
        </w:tc>
      </w:tr>
      <w:tr>
        <w:tblPrEx>
          <w:tblCellMar>
            <w:top w:w="0" w:type="dxa"/>
            <w:left w:w="108" w:type="dxa"/>
            <w:bottom w:w="0" w:type="dxa"/>
            <w:right w:w="108" w:type="dxa"/>
          </w:tblCellMar>
        </w:tblPrEx>
        <w:trPr>
          <w:trHeight w:val="94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s="宋体"/>
                <w:color w:val="000000"/>
                <w:szCs w:val="21"/>
              </w:rPr>
              <w:t>53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整机散热</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在环境温度 25</w:t>
            </w:r>
            <w:r>
              <w:rPr>
                <w:rFonts w:ascii="宋体" w:hAnsi="宋体" w:cs="Arial"/>
                <w:color w:val="000000"/>
                <w:szCs w:val="21"/>
              </w:rPr>
              <w:t>℃</w:t>
            </w:r>
            <w:r>
              <w:rPr>
                <w:rFonts w:hint="eastAsia" w:ascii="宋体" w:hAnsi="宋体" w:cs="Arial"/>
                <w:color w:val="000000"/>
                <w:szCs w:val="21"/>
              </w:rPr>
              <w:t>及处理器满载情况下，产品表面温度应符合如下要求：</w:t>
            </w:r>
            <w:r>
              <w:rPr>
                <w:rFonts w:ascii="宋体" w:hAnsi="宋体" w:cs="Arial"/>
                <w:color w:val="000000"/>
                <w:szCs w:val="21"/>
              </w:rPr>
              <w:br w:type="textWrapping"/>
            </w:r>
            <w:r>
              <w:rPr>
                <w:rFonts w:hint="eastAsia" w:ascii="宋体" w:hAnsi="宋体" w:cs="Arial"/>
                <w:color w:val="000000"/>
                <w:szCs w:val="21"/>
              </w:rPr>
              <w:t>a) 出风口在机箱后面板情况下，出风口温度不高于 55</w:t>
            </w:r>
            <w:r>
              <w:rPr>
                <w:rFonts w:ascii="宋体" w:hAnsi="宋体" w:cs="Arial"/>
                <w:color w:val="000000"/>
                <w:szCs w:val="21"/>
              </w:rPr>
              <w:t>℃</w:t>
            </w:r>
            <w:r>
              <w:rPr>
                <w:rFonts w:hint="eastAsia" w:ascii="宋体" w:hAnsi="宋体" w:cs="Arial"/>
                <w:color w:val="000000"/>
                <w:szCs w:val="21"/>
              </w:rPr>
              <w:t xml:space="preserve"> ;</w:t>
            </w:r>
            <w:r>
              <w:rPr>
                <w:rFonts w:ascii="宋体" w:hAnsi="宋体" w:cs="Arial"/>
                <w:color w:val="000000"/>
                <w:szCs w:val="21"/>
              </w:rPr>
              <w:br w:type="textWrapping"/>
            </w:r>
            <w:r>
              <w:rPr>
                <w:rFonts w:hint="eastAsia" w:ascii="宋体" w:hAnsi="宋体" w:cs="Arial"/>
                <w:color w:val="000000"/>
                <w:szCs w:val="21"/>
              </w:rPr>
              <w:t>b) 可触及面温度不高于 45</w:t>
            </w:r>
            <w:r>
              <w:rPr>
                <w:rFonts w:ascii="宋体" w:hAnsi="宋体" w:cs="Arial"/>
                <w:color w:val="000000"/>
                <w:szCs w:val="21"/>
              </w:rPr>
              <w:t>℃</w:t>
            </w:r>
            <w:r>
              <w:rPr>
                <w:rFonts w:hint="eastAsia" w:ascii="宋体" w:hAnsi="宋体" w:cs="Arial"/>
                <w:color w:val="000000"/>
                <w:szCs w:val="21"/>
              </w:rPr>
              <w:t xml:space="preserve"> ;</w:t>
            </w:r>
            <w:r>
              <w:rPr>
                <w:rFonts w:ascii="宋体" w:hAnsi="宋体" w:cs="Arial"/>
                <w:color w:val="000000"/>
                <w:szCs w:val="21"/>
              </w:rPr>
              <w:br w:type="textWrapping"/>
            </w:r>
            <w:r>
              <w:rPr>
                <w:rFonts w:hint="eastAsia" w:ascii="宋体" w:hAnsi="宋体" w:cs="Arial"/>
                <w:color w:val="000000"/>
                <w:szCs w:val="21"/>
              </w:rPr>
              <w:t>c) 显示器表面温度：显示屏不高于38</w:t>
            </w:r>
            <w:r>
              <w:rPr>
                <w:rFonts w:ascii="宋体" w:hAnsi="宋体" w:cs="Arial"/>
                <w:color w:val="000000"/>
                <w:szCs w:val="21"/>
              </w:rPr>
              <w:t>℃</w:t>
            </w:r>
            <w:r>
              <w:rPr>
                <w:rFonts w:hint="eastAsia" w:ascii="宋体" w:hAnsi="宋体" w:cs="Arial"/>
                <w:color w:val="000000"/>
                <w:szCs w:val="21"/>
              </w:rPr>
              <w:t xml:space="preserve"> , 显示屏上下灯带位置温度（如涉及）不高于 40</w:t>
            </w:r>
            <w:r>
              <w:rPr>
                <w:rFonts w:ascii="宋体" w:hAnsi="宋体" w:cs="Arial"/>
                <w:color w:val="000000"/>
                <w:szCs w:val="21"/>
              </w:rPr>
              <w:t>℃</w:t>
            </w:r>
            <w:r>
              <w:rPr>
                <w:rFonts w:hint="eastAsia" w:ascii="宋体" w:hAnsi="宋体" w:cs="Arial"/>
                <w:color w:val="000000"/>
                <w:szCs w:val="21"/>
              </w:rPr>
              <w:t xml:space="preserve"> , 出风口温度不高于 45</w:t>
            </w:r>
            <w:r>
              <w:rPr>
                <w:rFonts w:ascii="宋体" w:hAnsi="宋体" w:cs="Arial"/>
                <w:color w:val="000000"/>
                <w:szCs w:val="21"/>
              </w:rPr>
              <w:t>℃</w:t>
            </w:r>
          </w:p>
        </w:tc>
      </w:tr>
      <w:tr>
        <w:tblPrEx>
          <w:tblCellMar>
            <w:top w:w="0" w:type="dxa"/>
            <w:left w:w="108" w:type="dxa"/>
            <w:bottom w:w="0" w:type="dxa"/>
            <w:right w:w="108" w:type="dxa"/>
          </w:tblCellMar>
        </w:tblPrEx>
        <w:trPr>
          <w:trHeight w:val="58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5</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整机能效限定值</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产品能效限定值应达到 GB 28380-2012标准中能效等级</w:t>
            </w:r>
            <w:r>
              <w:rPr>
                <w:rFonts w:ascii="宋体" w:hAnsi="宋体" w:cs="Arial"/>
                <w:color w:val="000000"/>
                <w:szCs w:val="21"/>
              </w:rPr>
              <w:t>1</w:t>
            </w:r>
            <w:r>
              <w:rPr>
                <w:rFonts w:hint="eastAsia" w:ascii="宋体" w:hAnsi="宋体" w:cs="Arial"/>
                <w:color w:val="000000"/>
                <w:szCs w:val="21"/>
              </w:rPr>
              <w:t>级及以上</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5</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机身材质</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宋体"/>
                <w:color w:val="000000"/>
                <w:szCs w:val="21"/>
              </w:rPr>
              <w:t>机箱金属材质</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5</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机身颜色</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黑色商务色系</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5</w:t>
            </w:r>
            <w:r>
              <w:rPr>
                <w:rFonts w:ascii="宋体" w:hAnsi="宋体" w:cs="宋体"/>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机箱尺寸容量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机箱体积应不大于</w:t>
            </w:r>
            <w:r>
              <w:rPr>
                <w:rFonts w:ascii="宋体" w:hAnsi="宋体" w:cs="Arial"/>
                <w:color w:val="000000"/>
                <w:szCs w:val="21"/>
              </w:rPr>
              <w:t>12</w:t>
            </w:r>
            <w:r>
              <w:rPr>
                <w:rFonts w:hint="eastAsia" w:ascii="宋体" w:hAnsi="宋体" w:cs="Arial"/>
                <w:color w:val="000000"/>
                <w:szCs w:val="21"/>
              </w:rPr>
              <w:t>L</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5</w:t>
            </w:r>
            <w:r>
              <w:rPr>
                <w:rFonts w:ascii="宋体" w:hAnsi="宋体" w:cs="宋体"/>
                <w:color w:val="000000"/>
                <w:szCs w:val="21"/>
              </w:rPr>
              <w:t>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CPU性能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CPU 物理核数</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8</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5</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CPU 主频</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2</w:t>
            </w:r>
            <w:r>
              <w:rPr>
                <w:rFonts w:hint="eastAsia" w:ascii="宋体" w:hAnsi="宋体" w:cs="Arial"/>
                <w:color w:val="000000"/>
                <w:szCs w:val="21"/>
              </w:rPr>
              <w:t>.8GHz</w:t>
            </w:r>
          </w:p>
        </w:tc>
      </w:tr>
      <w:tr>
        <w:tblPrEx>
          <w:tblCellMar>
            <w:top w:w="0" w:type="dxa"/>
            <w:left w:w="108" w:type="dxa"/>
            <w:bottom w:w="0" w:type="dxa"/>
            <w:right w:w="108" w:type="dxa"/>
          </w:tblCellMar>
        </w:tblPrEx>
        <w:trPr>
          <w:trHeight w:val="12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6</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CPU 末级缓存容量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8</w:t>
            </w:r>
            <w:r>
              <w:rPr>
                <w:rFonts w:hint="eastAsia" w:ascii="宋体" w:hAnsi="宋体" w:cs="Arial"/>
                <w:color w:val="000000"/>
                <w:szCs w:val="21"/>
              </w:rPr>
              <w:t>MB</w:t>
            </w:r>
          </w:p>
        </w:tc>
      </w:tr>
      <w:tr>
        <w:tblPrEx>
          <w:tblCellMar>
            <w:top w:w="0" w:type="dxa"/>
            <w:left w:w="108" w:type="dxa"/>
            <w:bottom w:w="0" w:type="dxa"/>
            <w:right w:w="108" w:type="dxa"/>
          </w:tblCellMar>
        </w:tblPrEx>
        <w:trPr>
          <w:trHeight w:val="1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6</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CPU 支持的内存最高速率</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≥2666MT/s</w:t>
            </w:r>
          </w:p>
        </w:tc>
      </w:tr>
      <w:tr>
        <w:tblPrEx>
          <w:tblCellMar>
            <w:top w:w="0" w:type="dxa"/>
            <w:left w:w="108" w:type="dxa"/>
            <w:bottom w:w="0" w:type="dxa"/>
            <w:right w:w="108" w:type="dxa"/>
          </w:tblCellMar>
        </w:tblPrEx>
        <w:trPr>
          <w:trHeight w:val="13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6</w:t>
            </w:r>
            <w:r>
              <w:rPr>
                <w:rFonts w:ascii="宋体" w:hAnsi="宋体" w:cs="宋体"/>
                <w:color w:val="000000"/>
                <w:szCs w:val="21"/>
              </w:rPr>
              <w:t>2</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内存性能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内存读写速率</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≥2666MT/s</w:t>
            </w:r>
          </w:p>
        </w:tc>
      </w:tr>
      <w:tr>
        <w:tblPrEx>
          <w:tblCellMar>
            <w:top w:w="0" w:type="dxa"/>
            <w:left w:w="108" w:type="dxa"/>
            <w:bottom w:w="0" w:type="dxa"/>
            <w:right w:w="108" w:type="dxa"/>
          </w:tblCellMar>
        </w:tblPrEx>
        <w:trPr>
          <w:trHeight w:val="49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6</w:t>
            </w:r>
            <w:r>
              <w:rPr>
                <w:rFonts w:ascii="宋体" w:hAnsi="宋体" w:cs="宋体"/>
                <w:color w:val="000000"/>
                <w:szCs w:val="21"/>
              </w:rPr>
              <w:t>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显卡性能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显示分辨率</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≥1920x1080</w:t>
            </w:r>
          </w:p>
        </w:tc>
      </w:tr>
      <w:tr>
        <w:tblPrEx>
          <w:tblCellMar>
            <w:top w:w="0" w:type="dxa"/>
            <w:left w:w="108" w:type="dxa"/>
            <w:bottom w:w="0" w:type="dxa"/>
            <w:right w:w="108" w:type="dxa"/>
          </w:tblCellMar>
        </w:tblPrEx>
        <w:trPr>
          <w:trHeight w:val="72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6</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显卡显示芯片核心频率</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ascii="宋体" w:hAnsi="宋体" w:cs="Arial"/>
                <w:color w:val="000000"/>
                <w:szCs w:val="21"/>
              </w:rPr>
              <w:t>≥</w:t>
            </w:r>
            <w:r>
              <w:rPr>
                <w:rFonts w:hint="eastAsia" w:ascii="宋体" w:hAnsi="宋体" w:cs="Arial"/>
                <w:color w:val="000000"/>
                <w:szCs w:val="21"/>
              </w:rPr>
              <w:t>300MHz</w:t>
            </w:r>
          </w:p>
        </w:tc>
      </w:tr>
      <w:tr>
        <w:tblPrEx>
          <w:tblCellMar>
            <w:top w:w="0" w:type="dxa"/>
            <w:left w:w="108" w:type="dxa"/>
            <w:bottom w:w="0" w:type="dxa"/>
            <w:right w:w="108" w:type="dxa"/>
          </w:tblCellMar>
        </w:tblPrEx>
        <w:trPr>
          <w:trHeight w:val="72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6</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显存等效频率</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≥1000MT/s</w:t>
            </w:r>
          </w:p>
        </w:tc>
      </w:tr>
      <w:tr>
        <w:tblPrEx>
          <w:tblCellMar>
            <w:top w:w="0" w:type="dxa"/>
            <w:left w:w="108" w:type="dxa"/>
            <w:bottom w:w="0" w:type="dxa"/>
            <w:right w:w="108" w:type="dxa"/>
          </w:tblCellMar>
        </w:tblPrEx>
        <w:trPr>
          <w:trHeight w:val="45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6</w:t>
            </w:r>
            <w:r>
              <w:rPr>
                <w:rFonts w:ascii="宋体" w:hAnsi="宋体" w:cs="宋体"/>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显卡可支持多屏同时显示数量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显卡应支持2块屏幕同时显示，分辨率应不低于 1920×1080</w:t>
            </w:r>
          </w:p>
        </w:tc>
      </w:tr>
      <w:tr>
        <w:tblPrEx>
          <w:tblCellMar>
            <w:top w:w="0" w:type="dxa"/>
            <w:left w:w="108" w:type="dxa"/>
            <w:bottom w:w="0" w:type="dxa"/>
            <w:right w:w="108" w:type="dxa"/>
          </w:tblCellMar>
        </w:tblPrEx>
        <w:trPr>
          <w:trHeight w:val="201"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6</w:t>
            </w:r>
            <w:r>
              <w:rPr>
                <w:rFonts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显示设备性能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显示屏刷新率</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≥75Hz</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6</w:t>
            </w:r>
            <w:r>
              <w:rPr>
                <w:rFonts w:ascii="宋体" w:hAnsi="宋体" w:cs="宋体"/>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显示屏位深</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≥8 位</w:t>
            </w:r>
          </w:p>
        </w:tc>
      </w:tr>
      <w:tr>
        <w:tblPrEx>
          <w:tblCellMar>
            <w:top w:w="0" w:type="dxa"/>
            <w:left w:w="108" w:type="dxa"/>
            <w:bottom w:w="0" w:type="dxa"/>
            <w:right w:w="108" w:type="dxa"/>
          </w:tblCellMar>
        </w:tblPrEx>
        <w:trPr>
          <w:trHeight w:val="19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6</w:t>
            </w:r>
            <w:r>
              <w:rPr>
                <w:rFonts w:ascii="宋体" w:hAnsi="宋体" w:cs="宋体"/>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显示屏色域</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≥99% sRGB</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7</w:t>
            </w:r>
            <w:r>
              <w:rPr>
                <w:rFonts w:ascii="宋体" w:hAnsi="宋体" w:cs="宋体"/>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显示屏色准</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△E ≤ 4</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7</w:t>
            </w:r>
            <w:r>
              <w:rPr>
                <w:rFonts w:ascii="宋体" w:hAnsi="宋体" w:cs="宋体"/>
                <w:color w:val="000000"/>
                <w:szCs w:val="21"/>
              </w:rPr>
              <w:t>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显示屏响应时间</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6</w:t>
            </w:r>
            <w:r>
              <w:rPr>
                <w:rFonts w:hint="eastAsia" w:ascii="宋体" w:hAnsi="宋体" w:cs="Arial"/>
                <w:color w:val="000000"/>
                <w:szCs w:val="21"/>
              </w:rPr>
              <w:t>ms</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7</w:t>
            </w:r>
            <w:r>
              <w:rPr>
                <w:rFonts w:ascii="宋体" w:hAnsi="宋体" w:cs="宋体"/>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显示屏亮度</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≥250 尼特</w:t>
            </w:r>
          </w:p>
        </w:tc>
      </w:tr>
      <w:tr>
        <w:tblPrEx>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7</w:t>
            </w:r>
            <w:r>
              <w:rPr>
                <w:rFonts w:ascii="宋体" w:hAnsi="宋体" w:cs="宋体"/>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显示屏亮度一致性</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≥70%</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7</w:t>
            </w:r>
            <w:r>
              <w:rPr>
                <w:rFonts w:ascii="宋体" w:hAnsi="宋体" w:cs="宋体"/>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显示屏对比度</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10</w:t>
            </w:r>
            <w:r>
              <w:rPr>
                <w:rFonts w:hint="eastAsia" w:ascii="宋体" w:hAnsi="宋体" w:cs="Arial"/>
                <w:color w:val="000000"/>
                <w:szCs w:val="21"/>
              </w:rPr>
              <w:t>00：1</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7</w:t>
            </w:r>
            <w:r>
              <w:rPr>
                <w:rFonts w:ascii="宋体" w:hAnsi="宋体" w:cs="宋体"/>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Arial"/>
                <w:color w:val="000000"/>
                <w:szCs w:val="21"/>
              </w:rPr>
              <w:t>显示屏其他参数</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其它参数应符合SJ/T 11292的相关规定；</w:t>
            </w:r>
          </w:p>
          <w:p>
            <w:pPr>
              <w:widowControl/>
              <w:rPr>
                <w:rFonts w:ascii="宋体" w:hAnsi="宋体" w:cs="Arial"/>
                <w:color w:val="000000"/>
                <w:szCs w:val="21"/>
              </w:rPr>
            </w:pPr>
            <w:r>
              <w:rPr>
                <w:rFonts w:hint="eastAsia" w:ascii="宋体" w:hAnsi="宋体" w:cs="Arial"/>
                <w:color w:val="000000"/>
                <w:szCs w:val="21"/>
              </w:rPr>
              <w:t>所有显示器与终端同品牌，提供所有显示器型号的有效期内CCC、节能、环标认证；</w:t>
            </w:r>
          </w:p>
        </w:tc>
      </w:tr>
      <w:tr>
        <w:tblPrEx>
          <w:tblCellMar>
            <w:top w:w="0" w:type="dxa"/>
            <w:left w:w="108" w:type="dxa"/>
            <w:bottom w:w="0" w:type="dxa"/>
            <w:right w:w="108" w:type="dxa"/>
          </w:tblCellMar>
        </w:tblPrEx>
        <w:trPr>
          <w:trHeight w:val="43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7</w:t>
            </w:r>
            <w:r>
              <w:rPr>
                <w:rFonts w:ascii="宋体" w:hAnsi="宋体" w:cs="宋体"/>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网络设备性能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有线网卡速率</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实配1GE网口，支持10Mbps、100Mbps、1000Mbps 速率自适应，RJ45接口，数量≥1个；</w:t>
            </w:r>
          </w:p>
        </w:tc>
      </w:tr>
      <w:tr>
        <w:tblPrEx>
          <w:tblCellMar>
            <w:top w:w="0" w:type="dxa"/>
            <w:left w:w="108" w:type="dxa"/>
            <w:bottom w:w="0" w:type="dxa"/>
            <w:right w:w="108" w:type="dxa"/>
          </w:tblCellMar>
        </w:tblPrEx>
        <w:trPr>
          <w:trHeight w:val="181"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宋体"/>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宋体"/>
                <w:color w:val="000000"/>
                <w:szCs w:val="21"/>
              </w:rPr>
              <w:t>7</w:t>
            </w:r>
            <w:r>
              <w:rPr>
                <w:rFonts w:ascii="宋体" w:hAnsi="宋体" w:cs="宋体"/>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主板功能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内存扩展接口</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4</w:t>
            </w:r>
            <w:r>
              <w:rPr>
                <w:rFonts w:hint="eastAsia" w:ascii="宋体" w:hAnsi="宋体" w:cs="Arial"/>
                <w:color w:val="000000"/>
                <w:szCs w:val="21"/>
              </w:rPr>
              <w:t>个</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7</w:t>
            </w:r>
            <w:r>
              <w:rPr>
                <w:rFonts w:ascii="宋体" w:hAnsi="宋体" w:cs="Arial"/>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主板 USB瞬间过流保护</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支持有瞬间过流保护功能</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7</w:t>
            </w:r>
            <w:r>
              <w:rPr>
                <w:rFonts w:ascii="宋体" w:hAnsi="宋体" w:cs="Arial"/>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主板防静电保护</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支持防静电保护功能</w:t>
            </w:r>
          </w:p>
        </w:tc>
      </w:tr>
      <w:tr>
        <w:tblPrEx>
          <w:tblCellMar>
            <w:top w:w="0" w:type="dxa"/>
            <w:left w:w="108" w:type="dxa"/>
            <w:bottom w:w="0" w:type="dxa"/>
            <w:right w:w="108" w:type="dxa"/>
          </w:tblCellMar>
        </w:tblPrEx>
        <w:trPr>
          <w:trHeight w:val="7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8</w:t>
            </w:r>
            <w:r>
              <w:rPr>
                <w:rFonts w:ascii="宋体" w:hAnsi="宋体" w:cs="Arial"/>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I/O 接口功能</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8</w:t>
            </w:r>
            <w:r>
              <w:rPr>
                <w:rFonts w:ascii="宋体" w:hAnsi="宋体" w:cs="Arial"/>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显卡功能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显卡外接显示接口</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显卡支持HDMI、DP显示接口，并与显示器接口相匹配</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8</w:t>
            </w:r>
            <w:r>
              <w:rPr>
                <w:rFonts w:ascii="宋体" w:hAnsi="宋体" w:cs="Arial"/>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独立显卡数量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8</w:t>
            </w:r>
            <w:r>
              <w:rPr>
                <w:rFonts w:ascii="宋体" w:hAnsi="宋体" w:cs="Arial"/>
                <w:color w:val="000000"/>
                <w:szCs w:val="21"/>
              </w:rPr>
              <w:t>3</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显示设备功能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显示器接口</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显示器接口HDMI，与显卡外接显示接口匹配</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8</w:t>
            </w:r>
            <w:r>
              <w:rPr>
                <w:rFonts w:ascii="宋体" w:hAnsi="宋体" w:cs="Arial"/>
                <w:color w:val="000000"/>
                <w:szCs w:val="21"/>
              </w:rPr>
              <w:t>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显示器支架</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显示器应提供显示器支架，根据采购人需求支持屏幕旋转、升降等</w:t>
            </w:r>
          </w:p>
        </w:tc>
      </w:tr>
      <w:tr>
        <w:tblPrEx>
          <w:tblCellMar>
            <w:top w:w="0" w:type="dxa"/>
            <w:left w:w="108" w:type="dxa"/>
            <w:bottom w:w="0" w:type="dxa"/>
            <w:right w:w="108" w:type="dxa"/>
          </w:tblCellMar>
        </w:tblPrEx>
        <w:trPr>
          <w:trHeight w:val="637"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8</w:t>
            </w:r>
            <w:r>
              <w:rPr>
                <w:rFonts w:ascii="宋体" w:hAnsi="宋体" w:cs="Arial"/>
                <w:color w:val="000000"/>
                <w:szCs w:val="21"/>
              </w:rPr>
              <w:t>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显示器参数调节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a)提供 OSD 选单按钮用于调节色彩、模式等；</w:t>
            </w:r>
            <w:r>
              <w:rPr>
                <w:rFonts w:hint="eastAsia" w:ascii="宋体" w:hAnsi="宋体" w:cs="Arial"/>
                <w:color w:val="000000"/>
                <w:szCs w:val="21"/>
              </w:rPr>
              <w:br w:type="textWrapping"/>
            </w:r>
            <w:r>
              <w:rPr>
                <w:rFonts w:hint="eastAsia" w:ascii="宋体" w:hAnsi="宋体" w:cs="Arial"/>
                <w:color w:val="000000"/>
                <w:szCs w:val="21"/>
              </w:rPr>
              <w:t>b)支持色温、亮度、对比度调节</w:t>
            </w:r>
          </w:p>
        </w:tc>
      </w:tr>
      <w:tr>
        <w:tblPrEx>
          <w:tblCellMar>
            <w:top w:w="0" w:type="dxa"/>
            <w:left w:w="108" w:type="dxa"/>
            <w:bottom w:w="0" w:type="dxa"/>
            <w:right w:w="108" w:type="dxa"/>
          </w:tblCellMar>
        </w:tblPrEx>
        <w:trPr>
          <w:trHeight w:val="45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8</w:t>
            </w:r>
            <w:r>
              <w:rPr>
                <w:rFonts w:ascii="宋体" w:hAnsi="宋体" w:cs="Arial"/>
                <w:color w:val="000000"/>
                <w:szCs w:val="21"/>
              </w:rPr>
              <w:t>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存储功能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存储功能</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通过 SATA 固态存储部件提供存储功能</w:t>
            </w:r>
          </w:p>
        </w:tc>
      </w:tr>
      <w:tr>
        <w:tblPrEx>
          <w:tblCellMar>
            <w:top w:w="0" w:type="dxa"/>
            <w:left w:w="108" w:type="dxa"/>
            <w:bottom w:w="0" w:type="dxa"/>
            <w:right w:w="108" w:type="dxa"/>
          </w:tblCellMar>
        </w:tblPrEx>
        <w:trPr>
          <w:trHeight w:val="69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8</w:t>
            </w:r>
            <w:r>
              <w:rPr>
                <w:rFonts w:ascii="宋体" w:hAnsi="宋体" w:cs="Arial"/>
                <w:color w:val="000000"/>
                <w:szCs w:val="21"/>
              </w:rPr>
              <w:t>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网络设备功能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网络功能</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a)支持网络连接、网络开启/关闭功能；</w:t>
            </w:r>
            <w:r>
              <w:rPr>
                <w:rFonts w:hint="eastAsia" w:ascii="宋体" w:hAnsi="宋体" w:cs="Arial"/>
                <w:color w:val="000000"/>
                <w:szCs w:val="21"/>
              </w:rPr>
              <w:br w:type="textWrapping"/>
            </w:r>
            <w:r>
              <w:rPr>
                <w:rFonts w:hint="eastAsia" w:ascii="宋体" w:hAnsi="宋体" w:cs="Arial"/>
                <w:color w:val="000000"/>
                <w:szCs w:val="21"/>
              </w:rPr>
              <w:t>b)支持访问网络和数据交换功能</w:t>
            </w:r>
          </w:p>
        </w:tc>
      </w:tr>
      <w:tr>
        <w:tblPrEx>
          <w:tblCellMar>
            <w:top w:w="0" w:type="dxa"/>
            <w:left w:w="108" w:type="dxa"/>
            <w:bottom w:w="0" w:type="dxa"/>
            <w:right w:w="108" w:type="dxa"/>
          </w:tblCellMar>
        </w:tblPrEx>
        <w:trPr>
          <w:trHeight w:val="4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8</w:t>
            </w:r>
            <w:r>
              <w:rPr>
                <w:rFonts w:ascii="宋体" w:hAnsi="宋体" w:cs="Arial"/>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数据传输</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支持数据传输能力，并提供数据流量和异常日志记录功能</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8</w:t>
            </w:r>
            <w:r>
              <w:rPr>
                <w:rFonts w:ascii="宋体" w:hAnsi="宋体" w:cs="Arial"/>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有线网卡接口类型</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支持RJ45接口</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9</w:t>
            </w:r>
            <w:r>
              <w:rPr>
                <w:rFonts w:ascii="宋体" w:hAnsi="宋体" w:cs="Arial"/>
                <w:color w:val="000000"/>
                <w:szCs w:val="21"/>
              </w:rPr>
              <w:t>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网络设备拆装</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网络设备支持物理拆装，包括无线网卡和蓝牙模块等</w:t>
            </w:r>
          </w:p>
        </w:tc>
      </w:tr>
      <w:tr>
        <w:tblPrEx>
          <w:tblCellMar>
            <w:top w:w="0" w:type="dxa"/>
            <w:left w:w="108" w:type="dxa"/>
            <w:bottom w:w="0" w:type="dxa"/>
            <w:right w:w="108" w:type="dxa"/>
          </w:tblCellMar>
        </w:tblPrEx>
        <w:trPr>
          <w:trHeight w:val="4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9</w:t>
            </w:r>
            <w:r>
              <w:rPr>
                <w:rFonts w:ascii="宋体" w:hAnsi="宋体" w:cs="Arial"/>
                <w:color w:val="000000"/>
                <w:szCs w:val="21"/>
              </w:rPr>
              <w:t>1</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外部</w:t>
            </w:r>
            <w:r>
              <w:rPr>
                <w:rFonts w:hint="eastAsia" w:ascii="宋体" w:hAnsi="宋体" w:cs="Arial"/>
                <w:color w:val="000000"/>
                <w:szCs w:val="21"/>
              </w:rPr>
              <w:br w:type="textWrapping"/>
            </w:r>
            <w:r>
              <w:rPr>
                <w:rFonts w:hint="eastAsia" w:ascii="宋体" w:hAnsi="宋体" w:cs="Arial"/>
                <w:color w:val="000000"/>
                <w:szCs w:val="21"/>
              </w:rPr>
              <w:t>接口</w:t>
            </w:r>
            <w:r>
              <w:rPr>
                <w:rFonts w:hint="eastAsia" w:ascii="宋体" w:hAnsi="宋体" w:cs="Arial"/>
                <w:color w:val="000000"/>
                <w:szCs w:val="21"/>
              </w:rPr>
              <w:br w:type="textWrapping"/>
            </w:r>
            <w:r>
              <w:rPr>
                <w:rFonts w:hint="eastAsia" w:ascii="宋体" w:hAnsi="宋体" w:cs="Arial"/>
                <w:color w:val="000000"/>
                <w:szCs w:val="21"/>
              </w:rPr>
              <w:t>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音频接口类型</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支持3.5mm孔径3段式或4段式接口</w:t>
            </w:r>
          </w:p>
        </w:tc>
      </w:tr>
      <w:tr>
        <w:tblPrEx>
          <w:tblCellMar>
            <w:top w:w="0" w:type="dxa"/>
            <w:left w:w="108" w:type="dxa"/>
            <w:bottom w:w="0" w:type="dxa"/>
            <w:right w:w="108" w:type="dxa"/>
          </w:tblCellMar>
        </w:tblPrEx>
        <w:trPr>
          <w:trHeight w:val="381"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9</w:t>
            </w:r>
            <w:r>
              <w:rPr>
                <w:rFonts w:ascii="宋体" w:hAnsi="宋体" w:cs="Arial"/>
                <w:color w:val="000000"/>
                <w:szCs w:val="21"/>
              </w:rPr>
              <w:t>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视频接口类型</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 HDMI、DP显示接口</w:t>
            </w:r>
          </w:p>
        </w:tc>
      </w:tr>
      <w:tr>
        <w:tblPrEx>
          <w:tblCellMar>
            <w:top w:w="0" w:type="dxa"/>
            <w:left w:w="108" w:type="dxa"/>
            <w:bottom w:w="0" w:type="dxa"/>
            <w:right w:w="108" w:type="dxa"/>
          </w:tblCellMar>
        </w:tblPrEx>
        <w:trPr>
          <w:trHeight w:val="41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9</w:t>
            </w:r>
            <w:r>
              <w:rPr>
                <w:rFonts w:ascii="宋体" w:hAnsi="宋体" w:cs="Arial"/>
                <w:color w:val="000000"/>
                <w:szCs w:val="21"/>
              </w:rPr>
              <w:t>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HDMI、DP、Type-C 显示接口要求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若提供 HDMI 或 DP 或 Type-C 作为显示接口，应支持音频和视频同步输出</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9</w:t>
            </w:r>
            <w:r>
              <w:rPr>
                <w:rFonts w:ascii="宋体" w:hAnsi="宋体" w:cs="Arial"/>
                <w:color w:val="000000"/>
                <w:szCs w:val="21"/>
              </w:rPr>
              <w:t>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电源功能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电源线适配能力</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电源适配器电线组件应符合GB/T 15934的要求，可拆线的插头和连接器可以不做要求</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9</w:t>
            </w:r>
            <w:r>
              <w:rPr>
                <w:rFonts w:ascii="宋体" w:hAnsi="宋体" w:cs="Arial"/>
                <w:color w:val="000000"/>
                <w:szCs w:val="21"/>
              </w:rPr>
              <w:t>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操作系统及软件功能</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中文信息处理要求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符合GB 18030的相关规定</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9</w:t>
            </w:r>
            <w:r>
              <w:rPr>
                <w:rFonts w:ascii="宋体" w:hAnsi="宋体" w:cs="Arial"/>
                <w:color w:val="000000"/>
                <w:szCs w:val="21"/>
              </w:rPr>
              <w:t>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操作系统备份及还原功能</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支持操作系统备份及还原功能</w:t>
            </w:r>
          </w:p>
        </w:tc>
      </w:tr>
      <w:tr>
        <w:tblPrEx>
          <w:tblCellMar>
            <w:top w:w="0" w:type="dxa"/>
            <w:left w:w="108" w:type="dxa"/>
            <w:bottom w:w="0" w:type="dxa"/>
            <w:right w:w="108" w:type="dxa"/>
          </w:tblCellMar>
        </w:tblPrEx>
        <w:trPr>
          <w:trHeight w:val="4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9</w:t>
            </w:r>
            <w:r>
              <w:rPr>
                <w:rFonts w:ascii="宋体" w:hAnsi="宋体" w:cs="Arial"/>
                <w:color w:val="000000"/>
                <w:szCs w:val="21"/>
              </w:rPr>
              <w:t>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固件备份还原能力</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支持备份及还原固件的功能</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9</w:t>
            </w:r>
            <w:r>
              <w:rPr>
                <w:rFonts w:ascii="宋体" w:hAnsi="宋体" w:cs="Arial"/>
                <w:color w:val="000000"/>
                <w:szCs w:val="21"/>
              </w:rPr>
              <w:t>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操作系统及驱动升级</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支持通过网络、闪存盘等方式对操作系统、驱动进行升级</w:t>
            </w:r>
          </w:p>
        </w:tc>
      </w:tr>
      <w:tr>
        <w:tblPrEx>
          <w:tblCellMar>
            <w:top w:w="0" w:type="dxa"/>
            <w:left w:w="108" w:type="dxa"/>
            <w:bottom w:w="0" w:type="dxa"/>
            <w:right w:w="108" w:type="dxa"/>
          </w:tblCellMar>
        </w:tblPrEx>
        <w:trPr>
          <w:trHeight w:val="4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9</w:t>
            </w:r>
            <w:r>
              <w:rPr>
                <w:rFonts w:ascii="宋体" w:hAnsi="宋体" w:cs="Arial"/>
                <w:color w:val="000000"/>
                <w:szCs w:val="21"/>
              </w:rPr>
              <w:t>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固件升级</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支持通过网络、闪存盘等方式对固件进行升级</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00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BIOS 支持关闭通讯接口</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支持BIOS关闭以太网及USB接口</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01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固件查看信息</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支持查看固件版本、内存信息、主板信息、处理器信息和系统时间信息等功能</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02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固件设置启动顺序</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支持设置启动顺序功能，并按照设置的启动顺序启动</w:t>
            </w:r>
          </w:p>
        </w:tc>
      </w:tr>
      <w:tr>
        <w:tblPrEx>
          <w:tblCellMar>
            <w:top w:w="0" w:type="dxa"/>
            <w:left w:w="108" w:type="dxa"/>
            <w:bottom w:w="0" w:type="dxa"/>
            <w:right w:w="108" w:type="dxa"/>
          </w:tblCellMar>
        </w:tblPrEx>
        <w:trPr>
          <w:trHeight w:val="58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03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固件设置口令</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支持设置口令、修改口令、验证口令功能</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04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固件设置网络引导</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支持网络引导启动和关闭功能</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05</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存储设备可靠性</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固态存储寿命</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TBW ≥ 80TB（条件：240GB 硬盘容量）</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06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机械硬盘寿命</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通电时间≥5 万小时</w:t>
            </w:r>
          </w:p>
        </w:tc>
      </w:tr>
      <w:tr>
        <w:tblPrEx>
          <w:tblCellMar>
            <w:top w:w="0" w:type="dxa"/>
            <w:left w:w="108" w:type="dxa"/>
            <w:bottom w:w="0" w:type="dxa"/>
            <w:right w:w="108" w:type="dxa"/>
          </w:tblCellMar>
        </w:tblPrEx>
        <w:trPr>
          <w:trHeight w:val="97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07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显示设备可靠性</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显示屏屏幕失效点</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符合GB/T 9813.2的要求</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08</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外设可靠性</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键盘按键寿命</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≥1000 万次</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09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鼠标按键寿命</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≥500 万次</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10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键盘鼠标线材寿命</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键盘鼠标所用线材经±60°弯折不低</w:t>
            </w:r>
            <w:r>
              <w:rPr>
                <w:rFonts w:hint="eastAsia" w:ascii="宋体" w:hAnsi="宋体" w:cs="Arial"/>
                <w:color w:val="000000"/>
                <w:szCs w:val="21"/>
              </w:rPr>
              <w:br w:type="textWrapping"/>
            </w:r>
            <w:r>
              <w:rPr>
                <w:rFonts w:hint="eastAsia" w:ascii="宋体" w:hAnsi="宋体" w:cs="Arial"/>
                <w:color w:val="000000"/>
                <w:szCs w:val="21"/>
              </w:rPr>
              <w:t>于3000次，功能、外观完好</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11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风扇寿命</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≥4 万小时</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12</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整机可靠性要求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Arial"/>
                <w:color w:val="000000"/>
                <w:szCs w:val="21"/>
              </w:rPr>
              <w:t>电磁兼容性要求的抗扰度</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符合GB/T 9254.2的规定</w:t>
            </w:r>
          </w:p>
        </w:tc>
      </w:tr>
      <w:tr>
        <w:tblPrEx>
          <w:tblCellMar>
            <w:top w:w="0" w:type="dxa"/>
            <w:left w:w="108" w:type="dxa"/>
            <w:bottom w:w="0" w:type="dxa"/>
            <w:right w:w="108" w:type="dxa"/>
          </w:tblCellMar>
        </w:tblPrEx>
        <w:trPr>
          <w:trHeight w:val="97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13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环境条件要求的气候环境适应性</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符合GB/T 9813.1中规定</w:t>
            </w:r>
          </w:p>
        </w:tc>
      </w:tr>
      <w:tr>
        <w:tblPrEx>
          <w:tblCellMar>
            <w:top w:w="0" w:type="dxa"/>
            <w:left w:w="108" w:type="dxa"/>
            <w:bottom w:w="0" w:type="dxa"/>
            <w:right w:w="108" w:type="dxa"/>
          </w:tblCellMar>
        </w:tblPrEx>
        <w:trPr>
          <w:trHeight w:val="97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14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Arial"/>
                <w:color w:val="000000"/>
                <w:szCs w:val="21"/>
              </w:rPr>
              <w:t>环境条件要求的振动适应性</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符合GB/T 9813.1中规定</w:t>
            </w:r>
          </w:p>
        </w:tc>
      </w:tr>
      <w:tr>
        <w:tblPrEx>
          <w:tblCellMar>
            <w:top w:w="0" w:type="dxa"/>
            <w:left w:w="108" w:type="dxa"/>
            <w:bottom w:w="0" w:type="dxa"/>
            <w:right w:w="108" w:type="dxa"/>
          </w:tblCellMar>
        </w:tblPrEx>
        <w:trPr>
          <w:trHeight w:val="97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15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环境条件要求的冲击适应性</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符合GB/T 9813.1中规定</w:t>
            </w:r>
          </w:p>
        </w:tc>
      </w:tr>
      <w:tr>
        <w:tblPrEx>
          <w:tblCellMar>
            <w:top w:w="0" w:type="dxa"/>
            <w:left w:w="108" w:type="dxa"/>
            <w:bottom w:w="0" w:type="dxa"/>
            <w:right w:w="108" w:type="dxa"/>
          </w:tblCellMar>
        </w:tblPrEx>
        <w:trPr>
          <w:trHeight w:val="97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16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环境条件要求的碰撞适应性</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符合GB/T 9813.1中规定</w:t>
            </w:r>
          </w:p>
        </w:tc>
      </w:tr>
      <w:tr>
        <w:tblPrEx>
          <w:tblCellMar>
            <w:top w:w="0" w:type="dxa"/>
            <w:left w:w="108" w:type="dxa"/>
            <w:bottom w:w="0" w:type="dxa"/>
            <w:right w:w="108" w:type="dxa"/>
          </w:tblCellMar>
        </w:tblPrEx>
        <w:trPr>
          <w:trHeight w:val="121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17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环境条件要求的运输包装件跌落适</w:t>
            </w:r>
            <w:r>
              <w:rPr>
                <w:rFonts w:hint="eastAsia" w:ascii="宋体" w:hAnsi="宋体" w:cs="Arial"/>
                <w:color w:val="000000"/>
                <w:szCs w:val="21"/>
              </w:rPr>
              <w:br w:type="textWrapping"/>
            </w:r>
            <w:r>
              <w:rPr>
                <w:rFonts w:hint="eastAsia" w:ascii="宋体" w:hAnsi="宋体" w:cs="Arial"/>
                <w:color w:val="000000"/>
                <w:szCs w:val="21"/>
              </w:rPr>
              <w:t>应性</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符合GB/T 9813.1中规定</w:t>
            </w:r>
          </w:p>
        </w:tc>
      </w:tr>
      <w:tr>
        <w:tblPrEx>
          <w:tblCellMar>
            <w:top w:w="0" w:type="dxa"/>
            <w:left w:w="108" w:type="dxa"/>
            <w:bottom w:w="0" w:type="dxa"/>
            <w:right w:w="108" w:type="dxa"/>
          </w:tblCellMar>
        </w:tblPrEx>
        <w:trPr>
          <w:trHeight w:val="97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18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Arial"/>
                <w:color w:val="000000"/>
                <w:szCs w:val="21"/>
              </w:rPr>
              <w:t>MTBF 测试</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宋体"/>
                <w:color w:val="000000"/>
                <w:szCs w:val="21"/>
              </w:rPr>
              <w:t>MTBF(m1)≥</w:t>
            </w:r>
            <w:r>
              <w:rPr>
                <w:rFonts w:ascii="宋体" w:hAnsi="宋体" w:cs="宋体"/>
                <w:color w:val="000000"/>
                <w:szCs w:val="21"/>
              </w:rPr>
              <w:t>20</w:t>
            </w:r>
            <w:r>
              <w:rPr>
                <w:rFonts w:hint="eastAsia" w:ascii="宋体" w:hAnsi="宋体" w:cs="宋体"/>
                <w:color w:val="000000"/>
                <w:szCs w:val="21"/>
              </w:rPr>
              <w:t>万小时</w:t>
            </w:r>
          </w:p>
        </w:tc>
      </w:tr>
      <w:tr>
        <w:tblPrEx>
          <w:tblCellMar>
            <w:top w:w="0" w:type="dxa"/>
            <w:left w:w="108" w:type="dxa"/>
            <w:bottom w:w="0" w:type="dxa"/>
            <w:right w:w="108" w:type="dxa"/>
          </w:tblCellMar>
        </w:tblPrEx>
        <w:trPr>
          <w:trHeight w:val="648"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19</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兼容要求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常用软件兼容</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支持流式软件、版式软件、浏览器、邮件采购人端、解压软件、多媒体、图形图像处理等常用软件</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20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数据库兼容</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兼容3个及以上厂商的数据库产品</w:t>
            </w:r>
          </w:p>
        </w:tc>
      </w:tr>
      <w:tr>
        <w:tblPrEx>
          <w:tblCellMar>
            <w:top w:w="0" w:type="dxa"/>
            <w:left w:w="108" w:type="dxa"/>
            <w:bottom w:w="0" w:type="dxa"/>
            <w:right w:w="108" w:type="dxa"/>
          </w:tblCellMar>
        </w:tblPrEx>
        <w:trPr>
          <w:trHeight w:val="51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s="Arial"/>
                <w:color w:val="000000"/>
                <w:szCs w:val="21"/>
              </w:rPr>
              <w:t>121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中间件兼容</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兼容3个及以上厂商中间件产品</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s="Arial"/>
                <w:color w:val="000000"/>
                <w:szCs w:val="21"/>
              </w:rPr>
              <w:t>122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平台软件兼容</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兼容3个及以上厂商云计算及大数据平台</w:t>
            </w:r>
          </w:p>
        </w:tc>
      </w:tr>
      <w:tr>
        <w:tblPrEx>
          <w:tblCellMar>
            <w:top w:w="0" w:type="dxa"/>
            <w:left w:w="108" w:type="dxa"/>
            <w:bottom w:w="0" w:type="dxa"/>
            <w:right w:w="108" w:type="dxa"/>
          </w:tblCellMar>
        </w:tblPrEx>
        <w:trPr>
          <w:trHeight w:val="864"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23</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包装及运输要求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标志、包装、运输和贮存</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符合GB/T 9813.1和商品包装政府采购需求标准的相关规定</w:t>
            </w:r>
          </w:p>
        </w:tc>
      </w:tr>
      <w:tr>
        <w:tblPrEx>
          <w:tblCellMar>
            <w:top w:w="0" w:type="dxa"/>
            <w:left w:w="108" w:type="dxa"/>
            <w:bottom w:w="0" w:type="dxa"/>
            <w:right w:w="108" w:type="dxa"/>
          </w:tblCellMar>
        </w:tblPrEx>
        <w:trPr>
          <w:trHeight w:val="4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24</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服务要求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配置检查工具</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供应商提供自检测试工具</w:t>
            </w:r>
          </w:p>
        </w:tc>
      </w:tr>
      <w:tr>
        <w:tblPrEx>
          <w:tblCellMar>
            <w:top w:w="0" w:type="dxa"/>
            <w:left w:w="108" w:type="dxa"/>
            <w:bottom w:w="0" w:type="dxa"/>
            <w:right w:w="108" w:type="dxa"/>
          </w:tblCellMar>
        </w:tblPrEx>
        <w:trPr>
          <w:trHeight w:val="866"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25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服务响应</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a)供应商提供电话、电子邮件、远程连接等多种形式服务；</w:t>
            </w:r>
            <w:r>
              <w:rPr>
                <w:rFonts w:hint="eastAsia" w:ascii="宋体" w:hAnsi="宋体" w:cs="Arial"/>
                <w:color w:val="000000"/>
                <w:szCs w:val="21"/>
              </w:rPr>
              <w:br w:type="textWrapping"/>
            </w:r>
            <w:r>
              <w:rPr>
                <w:rFonts w:hint="eastAsia" w:ascii="宋体" w:hAnsi="宋体" w:cs="Arial"/>
                <w:color w:val="000000"/>
                <w:szCs w:val="21"/>
              </w:rPr>
              <w:t>b)供应商提供同城4h、异地12h技术响应服务，2 个工作日解决问题，对于未能解决的问题和故障应提供可行的升级方案，并提供周转设备或更换设备；</w:t>
            </w:r>
            <w:r>
              <w:rPr>
                <w:rFonts w:hint="eastAsia" w:ascii="宋体" w:hAnsi="宋体" w:cs="Arial"/>
                <w:color w:val="000000"/>
                <w:szCs w:val="21"/>
              </w:rPr>
              <w:br w:type="textWrapping"/>
            </w:r>
            <w:r>
              <w:rPr>
                <w:rFonts w:hint="eastAsia" w:ascii="宋体" w:hAnsi="宋体" w:cs="Arial"/>
                <w:color w:val="000000"/>
                <w:szCs w:val="21"/>
              </w:rPr>
              <w:t>c)建立全国技术服务体系和服务团体，符合专业服务体系标准要求，提供原厂中文服务；</w:t>
            </w:r>
            <w:r>
              <w:rPr>
                <w:rFonts w:hint="eastAsia" w:ascii="宋体" w:hAnsi="宋体" w:cs="Arial"/>
                <w:color w:val="000000"/>
                <w:szCs w:val="21"/>
              </w:rPr>
              <w:br w:type="textWrapping"/>
            </w:r>
            <w:r>
              <w:rPr>
                <w:rFonts w:hint="eastAsia" w:ascii="宋体" w:hAnsi="宋体" w:cs="Arial"/>
                <w:color w:val="000000"/>
                <w:szCs w:val="21"/>
              </w:rPr>
              <w:t>d)服务周期内提供产品的维修、换件和升级服务；</w:t>
            </w:r>
          </w:p>
        </w:tc>
      </w:tr>
      <w:tr>
        <w:tblPrEx>
          <w:tblCellMar>
            <w:top w:w="0" w:type="dxa"/>
            <w:left w:w="108" w:type="dxa"/>
            <w:bottom w:w="0" w:type="dxa"/>
            <w:right w:w="108" w:type="dxa"/>
          </w:tblCellMar>
        </w:tblPrEx>
        <w:trPr>
          <w:trHeight w:val="1077"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26</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服务周期</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a) 设备停产后应继续提供质量保障服务（含备品备件），服务终止时间与最后一批设备交付时间间隔不低于6年；</w:t>
            </w:r>
            <w:r>
              <w:rPr>
                <w:rFonts w:hint="eastAsia" w:ascii="宋体" w:hAnsi="宋体" w:cs="Arial"/>
                <w:color w:val="000000"/>
                <w:szCs w:val="21"/>
              </w:rPr>
              <w:br w:type="textWrapping"/>
            </w:r>
            <w:r>
              <w:rPr>
                <w:rFonts w:hint="eastAsia" w:ascii="宋体" w:hAnsi="宋体" w:cs="Arial"/>
                <w:color w:val="000000"/>
                <w:szCs w:val="21"/>
              </w:rPr>
              <w:t>b) 产品停止服务时间应提前1年告知；</w:t>
            </w:r>
            <w:r>
              <w:rPr>
                <w:rFonts w:hint="eastAsia" w:ascii="宋体" w:hAnsi="宋体" w:cs="Arial"/>
                <w:color w:val="000000"/>
                <w:szCs w:val="21"/>
              </w:rPr>
              <w:br w:type="textWrapping"/>
            </w:r>
            <w:r>
              <w:rPr>
                <w:rFonts w:hint="eastAsia" w:ascii="宋体" w:hAnsi="宋体" w:cs="Arial"/>
                <w:color w:val="000000"/>
                <w:szCs w:val="21"/>
              </w:rPr>
              <w:t>c) 应明确产品发布日期</w:t>
            </w:r>
          </w:p>
        </w:tc>
      </w:tr>
      <w:tr>
        <w:tblPrEx>
          <w:tblCellMar>
            <w:top w:w="0" w:type="dxa"/>
            <w:left w:w="108" w:type="dxa"/>
            <w:bottom w:w="0" w:type="dxa"/>
            <w:right w:w="108" w:type="dxa"/>
          </w:tblCellMar>
        </w:tblPrEx>
        <w:trPr>
          <w:trHeight w:val="257"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27</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预装操作系统</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预装符合桌面操作系统政府采购需求标准的正版操作系统</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28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培训服务</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供应商提供培训材料、产品手册、培训视频等培训相关内容</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29</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典型问题解决手册</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供应商提供典型问题解决说明文档或视频</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30</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厂家升级软件与扩容服务</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供应商提供上门升级部件/软件与扩容的增值服务</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31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szCs w:val="21"/>
              </w:rPr>
            </w:pPr>
            <w:r>
              <w:rPr>
                <w:rFonts w:ascii="宋体" w:hAnsi="宋体"/>
                <w:color w:val="000000"/>
                <w:szCs w:val="21"/>
              </w:rPr>
              <w:t>▲</w:t>
            </w:r>
            <w:r>
              <w:rPr>
                <w:rFonts w:hint="eastAsia" w:ascii="宋体" w:hAnsi="宋体" w:cs="Arial"/>
                <w:color w:val="000000"/>
                <w:szCs w:val="21"/>
              </w:rPr>
              <w:t>整机质量服务要求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宋体"/>
                <w:color w:val="000000"/>
                <w:szCs w:val="21"/>
              </w:rPr>
              <w:t>免费服务周期（含换件和维修）应不小于5年，包含硬盘不返还服务；</w:t>
            </w:r>
          </w:p>
        </w:tc>
      </w:tr>
      <w:tr>
        <w:tblPrEx>
          <w:tblCellMar>
            <w:top w:w="0" w:type="dxa"/>
            <w:left w:w="108" w:type="dxa"/>
            <w:bottom w:w="0" w:type="dxa"/>
            <w:right w:w="108" w:type="dxa"/>
          </w:tblCellMar>
        </w:tblPrEx>
        <w:trPr>
          <w:trHeight w:val="579"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32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合格证书要求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供应商提供产品合格证</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33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开箱组装/使用指导要求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供应商提供开箱组装/使用指导</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34</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驱动下载服务要求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供应商提供驱动光盘或下载方式</w:t>
            </w:r>
          </w:p>
        </w:tc>
      </w:tr>
      <w:tr>
        <w:tblPrEx>
          <w:tblCellMar>
            <w:top w:w="0" w:type="dxa"/>
            <w:left w:w="108" w:type="dxa"/>
            <w:bottom w:w="0" w:type="dxa"/>
            <w:right w:w="108" w:type="dxa"/>
          </w:tblCellMar>
        </w:tblPrEx>
        <w:trPr>
          <w:trHeight w:val="97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35</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兼容适配软件下载服务要求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供应商提供兼容适配软件下载渠道（光盘、网站）</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36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szCs w:val="21"/>
              </w:rPr>
            </w:pPr>
            <w:r>
              <w:rPr>
                <w:rFonts w:hint="eastAsia" w:ascii="宋体" w:hAnsi="宋体" w:cs="Arial"/>
                <w:szCs w:val="21"/>
              </w:rPr>
              <w:t>供应链合规性</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szCs w:val="21"/>
              </w:rPr>
            </w:pPr>
            <w:r>
              <w:rPr>
                <w:rFonts w:ascii="宋体" w:hAnsi="宋体"/>
                <w:szCs w:val="21"/>
              </w:rPr>
              <w:t>▲</w:t>
            </w:r>
            <w:r>
              <w:rPr>
                <w:rFonts w:hint="eastAsia" w:ascii="宋体" w:hAnsi="宋体" w:cs="Arial"/>
                <w:szCs w:val="21"/>
              </w:rPr>
              <w:t>产品部件保障</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供应商保障产品主要部件，提供6年的备件服务能力（自购买之日起），或提供可兼容原设备的升级换代产品</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37</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szCs w:val="21"/>
              </w:rPr>
            </w:pPr>
            <w:r>
              <w:rPr>
                <w:rFonts w:hint="eastAsia" w:ascii="宋体" w:hAnsi="宋体" w:cs="Arial"/>
                <w:szCs w:val="21"/>
              </w:rPr>
              <w:t>供应链质量</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szCs w:val="21"/>
              </w:rPr>
            </w:pPr>
            <w:r>
              <w:rPr>
                <w:rFonts w:ascii="宋体" w:hAnsi="宋体"/>
                <w:szCs w:val="21"/>
              </w:rPr>
              <w:t>▲</w:t>
            </w:r>
            <w:r>
              <w:rPr>
                <w:rFonts w:hint="eastAsia" w:ascii="宋体" w:hAnsi="宋体" w:cs="Arial"/>
                <w:szCs w:val="21"/>
              </w:rPr>
              <w:t>抗干扰性</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当产品部件出现供应风险时，供应商应通知采购人并提供风险应对方案确保产品的服务保障</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38</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szCs w:val="21"/>
              </w:rPr>
              <w:t>▲</w:t>
            </w:r>
            <w:r>
              <w:rPr>
                <w:rFonts w:hint="eastAsia" w:ascii="宋体" w:hAnsi="宋体" w:cs="Arial"/>
                <w:szCs w:val="21"/>
              </w:rPr>
              <w:t>供应能力证明</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供应商须具备</w:t>
            </w:r>
            <w:r>
              <w:rPr>
                <w:rFonts w:hint="eastAsia" w:ascii="宋体" w:hAnsi="宋体" w:cs="宋体"/>
                <w:color w:val="000000"/>
                <w:szCs w:val="21"/>
              </w:rPr>
              <w:t>成熟的供应链，</w:t>
            </w:r>
            <w:r>
              <w:rPr>
                <w:rFonts w:hint="eastAsia" w:ascii="宋体" w:hAnsi="宋体" w:cs="Arial"/>
                <w:color w:val="000000"/>
                <w:szCs w:val="21"/>
              </w:rPr>
              <w:t>确保产品的部件在产品服务周期内稳定供货,</w:t>
            </w:r>
            <w:r>
              <w:rPr>
                <w:rFonts w:hint="eastAsia" w:ascii="宋体" w:hAnsi="宋体" w:cs="宋体"/>
                <w:color w:val="000000"/>
                <w:szCs w:val="21"/>
              </w:rPr>
              <w:t xml:space="preserve"> 提供相关证明材料或承诺书</w:t>
            </w:r>
          </w:p>
        </w:tc>
      </w:tr>
      <w:tr>
        <w:tblPrEx>
          <w:tblCellMar>
            <w:top w:w="0" w:type="dxa"/>
            <w:left w:w="108" w:type="dxa"/>
            <w:bottom w:w="0" w:type="dxa"/>
            <w:right w:w="108" w:type="dxa"/>
          </w:tblCellMar>
        </w:tblPrEx>
        <w:trPr>
          <w:trHeight w:val="465"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39</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关键部件安全要求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关键部件安全要求</w:t>
            </w:r>
            <w:r>
              <w:rPr>
                <w:rFonts w:hint="eastAsia" w:ascii="宋体" w:hAnsi="宋体" w:cs="Arial"/>
                <w:color w:val="000000"/>
                <w:szCs w:val="21"/>
                <w:vertAlign w:val="superscript"/>
              </w:rPr>
              <w:t>3</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CPU 和操作系统等关键部件应当符合安全可靠测评要求</w:t>
            </w:r>
          </w:p>
        </w:tc>
      </w:tr>
      <w:tr>
        <w:tblPrEx>
          <w:tblCellMar>
            <w:top w:w="0" w:type="dxa"/>
            <w:left w:w="108" w:type="dxa"/>
            <w:bottom w:w="0" w:type="dxa"/>
            <w:right w:w="108" w:type="dxa"/>
          </w:tblCellMar>
        </w:tblPrEx>
        <w:trPr>
          <w:trHeight w:val="7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40</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整机安全性要求</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密码算法实现</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CPU 芯片应符合GM/T 0008的相关规定，或芯片密码模块应符合GB/T 37092或GM/T 0028的相关规定</w:t>
            </w:r>
          </w:p>
        </w:tc>
      </w:tr>
      <w:tr>
        <w:tblPrEx>
          <w:tblCellMar>
            <w:top w:w="0" w:type="dxa"/>
            <w:left w:w="108" w:type="dxa"/>
            <w:bottom w:w="0" w:type="dxa"/>
            <w:right w:w="108" w:type="dxa"/>
          </w:tblCellMar>
        </w:tblPrEx>
        <w:trPr>
          <w:trHeight w:val="1030"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41</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信息安全基本要求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a) 产品应符合GB/T 39276的5.2的规定；</w:t>
            </w:r>
            <w:r>
              <w:rPr>
                <w:rFonts w:hint="eastAsia" w:ascii="宋体" w:hAnsi="宋体" w:cs="Arial"/>
                <w:color w:val="000000"/>
                <w:szCs w:val="21"/>
              </w:rPr>
              <w:br w:type="textWrapping"/>
            </w:r>
            <w:r>
              <w:rPr>
                <w:rFonts w:hint="eastAsia" w:ascii="宋体" w:hAnsi="宋体" w:cs="Arial"/>
                <w:color w:val="000000"/>
                <w:szCs w:val="21"/>
              </w:rPr>
              <w:t>b) 生产厂商应建立漏洞跟踪表，保证产品版本涉及到的漏洞(如驱动程序等)可查看；</w:t>
            </w:r>
            <w:r>
              <w:rPr>
                <w:rFonts w:hint="eastAsia" w:ascii="宋体" w:hAnsi="宋体" w:cs="Arial"/>
                <w:color w:val="000000"/>
                <w:szCs w:val="21"/>
              </w:rPr>
              <w:br w:type="textWrapping"/>
            </w:r>
            <w:r>
              <w:rPr>
                <w:rFonts w:hint="eastAsia" w:ascii="宋体" w:hAnsi="宋体" w:cs="Arial"/>
                <w:color w:val="000000"/>
                <w:szCs w:val="21"/>
              </w:rPr>
              <w:t>c) 产品不得包含已知的恶意代码或漏洞，不存在未声明的指令、功能、接口；</w:t>
            </w:r>
          </w:p>
        </w:tc>
      </w:tr>
      <w:tr>
        <w:tblPrEx>
          <w:tblCellMar>
            <w:top w:w="0" w:type="dxa"/>
            <w:left w:w="108" w:type="dxa"/>
            <w:bottom w:w="0" w:type="dxa"/>
            <w:right w:w="108" w:type="dxa"/>
          </w:tblCellMar>
        </w:tblPrEx>
        <w:trPr>
          <w:trHeight w:val="432" w:hRule="atLeast"/>
          <w:jc w:val="center"/>
        </w:trPr>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42</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固件安全启动</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支持固件安全启动功能，固件启动过程中只有通过启动校验才能正常启动</w:t>
            </w:r>
          </w:p>
        </w:tc>
      </w:tr>
      <w:tr>
        <w:tblPrEx>
          <w:tblCellMar>
            <w:top w:w="0" w:type="dxa"/>
            <w:left w:w="108" w:type="dxa"/>
            <w:bottom w:w="0" w:type="dxa"/>
            <w:right w:w="108" w:type="dxa"/>
          </w:tblCellMar>
        </w:tblPrEx>
        <w:trPr>
          <w:trHeight w:val="432" w:hRule="atLeast"/>
          <w:jc w:val="center"/>
        </w:trPr>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szCs w:val="21"/>
              </w:rPr>
            </w:pPr>
          </w:p>
        </w:tc>
        <w:tc>
          <w:tcPr>
            <w:tcW w:w="250"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43</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szCs w:val="21"/>
              </w:rPr>
            </w:pPr>
            <w:r>
              <w:rPr>
                <w:rFonts w:ascii="宋体" w:hAnsi="宋体"/>
                <w:color w:val="000000"/>
                <w:szCs w:val="21"/>
              </w:rPr>
              <w:t>▲</w:t>
            </w:r>
            <w:r>
              <w:rPr>
                <w:rFonts w:hint="eastAsia" w:ascii="宋体" w:hAnsi="宋体" w:cs="Arial"/>
                <w:color w:val="000000"/>
                <w:szCs w:val="21"/>
              </w:rPr>
              <w:t>限用物质的限量要求</w:t>
            </w:r>
          </w:p>
        </w:tc>
        <w:tc>
          <w:tcPr>
            <w:tcW w:w="2349"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color w:val="000000"/>
                <w:szCs w:val="21"/>
              </w:rPr>
            </w:pPr>
            <w:r>
              <w:rPr>
                <w:rFonts w:hint="eastAsia" w:ascii="宋体" w:hAnsi="宋体" w:cs="Arial"/>
                <w:color w:val="000000"/>
                <w:szCs w:val="21"/>
              </w:rPr>
              <w:t>符合GB/T 26572中规定</w:t>
            </w:r>
          </w:p>
        </w:tc>
      </w:tr>
    </w:tbl>
    <w:p>
      <w:pPr>
        <w:rPr>
          <w:color w:val="000000"/>
        </w:rPr>
      </w:pPr>
    </w:p>
    <w:p>
      <w:pPr>
        <w:pStyle w:val="2"/>
      </w:pPr>
      <w:r>
        <w:br w:type="page"/>
      </w:r>
    </w:p>
    <w:p>
      <w:pPr>
        <w:pStyle w:val="5"/>
        <w:ind w:firstLine="482" w:firstLineChars="200"/>
        <w:rPr>
          <w:sz w:val="24"/>
          <w:szCs w:val="22"/>
        </w:rPr>
      </w:pPr>
      <w:r>
        <w:rPr>
          <w:rFonts w:hint="eastAsia"/>
          <w:sz w:val="24"/>
          <w:szCs w:val="22"/>
          <w:lang w:val="en-US" w:eastAsia="zh-CN"/>
        </w:rPr>
        <w:t>14.</w:t>
      </w:r>
      <w:r>
        <w:rPr>
          <w:rFonts w:hint="eastAsia"/>
          <w:sz w:val="24"/>
          <w:szCs w:val="22"/>
        </w:rPr>
        <w:t>显示器（2</w:t>
      </w:r>
      <w:r>
        <w:rPr>
          <w:sz w:val="24"/>
          <w:szCs w:val="22"/>
        </w:rPr>
        <w:t>0</w:t>
      </w:r>
      <w:r>
        <w:rPr>
          <w:rFonts w:hint="eastAsia"/>
          <w:sz w:val="24"/>
          <w:szCs w:val="22"/>
        </w:rPr>
        <w:t>台）</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55"/>
        <w:gridCol w:w="556"/>
        <w:gridCol w:w="556"/>
        <w:gridCol w:w="1112"/>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货物名称</w:t>
            </w:r>
          </w:p>
        </w:tc>
        <w:tc>
          <w:tcPr>
            <w:tcW w:w="250" w:type="pct"/>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250" w:type="pct"/>
            <w:shd w:val="clear" w:color="auto" w:fill="D0CECE" w:themeFill="background2" w:themeFillShade="E6"/>
            <w:vAlign w:val="center"/>
          </w:tcPr>
          <w:p>
            <w:pPr>
              <w:widowControl/>
              <w:jc w:val="center"/>
              <w:rPr>
                <w:rFonts w:ascii="宋体" w:hAnsi="宋体" w:cs="宋体"/>
                <w:b/>
                <w:bCs/>
                <w:color w:val="000000"/>
                <w:szCs w:val="21"/>
              </w:rPr>
            </w:pPr>
            <w:r>
              <w:rPr>
                <w:rFonts w:hint="eastAsia" w:ascii="宋体" w:hAnsi="宋体" w:cs="宋体"/>
                <w:b/>
                <w:bCs/>
                <w:color w:val="000000"/>
                <w:szCs w:val="21"/>
              </w:rPr>
              <w:t>单位</w:t>
            </w:r>
          </w:p>
        </w:tc>
        <w:tc>
          <w:tcPr>
            <w:tcW w:w="250" w:type="pct"/>
            <w:shd w:val="clear" w:color="auto" w:fill="D0CECE" w:themeFill="background2" w:themeFillShade="E6"/>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500" w:type="pct"/>
            <w:shd w:val="clear" w:color="auto" w:fill="D0CECE" w:themeFill="background2" w:themeFillShade="E6"/>
            <w:vAlign w:val="center"/>
          </w:tcPr>
          <w:p>
            <w:pPr>
              <w:widowControl/>
              <w:jc w:val="center"/>
              <w:rPr>
                <w:rFonts w:hint="eastAsia" w:ascii="宋体" w:hAnsi="宋体" w:eastAsia="宋体" w:cs="宋体"/>
                <w:b/>
                <w:color w:val="000000"/>
                <w:kern w:val="0"/>
                <w:szCs w:val="21"/>
                <w:lang w:val="en-US" w:eastAsia="zh-CN"/>
              </w:rPr>
            </w:pPr>
            <w:r>
              <w:rPr>
                <w:rFonts w:hint="eastAsia" w:ascii="宋体" w:hAnsi="宋体" w:cs="宋体"/>
                <w:b/>
                <w:bCs/>
                <w:color w:val="000000"/>
                <w:szCs w:val="21"/>
              </w:rPr>
              <w:t>指标</w:t>
            </w:r>
            <w:r>
              <w:rPr>
                <w:rFonts w:hint="eastAsia" w:ascii="宋体" w:hAnsi="宋体" w:cs="宋体"/>
                <w:b/>
                <w:bCs/>
                <w:color w:val="000000"/>
                <w:szCs w:val="21"/>
                <w:lang w:val="en-US" w:eastAsia="zh-CN"/>
              </w:rPr>
              <w:t>项</w:t>
            </w:r>
          </w:p>
        </w:tc>
        <w:tc>
          <w:tcPr>
            <w:tcW w:w="2677" w:type="pct"/>
            <w:shd w:val="clear" w:color="auto" w:fill="D0CECE" w:themeFill="background2" w:themeFillShade="E6"/>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Align w:val="center"/>
          </w:tcPr>
          <w:p>
            <w:pPr>
              <w:spacing w:line="440" w:lineRule="exact"/>
              <w:jc w:val="center"/>
              <w:rPr>
                <w:rFonts w:ascii="宋体" w:hAnsi="宋体" w:cs="宋体"/>
                <w:color w:val="000000"/>
                <w:szCs w:val="21"/>
              </w:rPr>
            </w:pPr>
            <w:r>
              <w:rPr>
                <w:rFonts w:hint="eastAsia" w:ascii="宋体" w:hAnsi="宋体" w:cs="宋体"/>
                <w:color w:val="000000"/>
                <w:szCs w:val="21"/>
              </w:rPr>
              <w:t>显示器</w:t>
            </w:r>
          </w:p>
        </w:tc>
        <w:tc>
          <w:tcPr>
            <w:tcW w:w="250" w:type="pct"/>
            <w:vAlign w:val="center"/>
          </w:tcPr>
          <w:p>
            <w:pPr>
              <w:spacing w:line="440" w:lineRule="exact"/>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w:t>
            </w:r>
          </w:p>
        </w:tc>
        <w:tc>
          <w:tcPr>
            <w:tcW w:w="250" w:type="pct"/>
            <w:vAlign w:val="center"/>
          </w:tcPr>
          <w:p>
            <w:pPr>
              <w:spacing w:line="440" w:lineRule="exact"/>
              <w:jc w:val="center"/>
              <w:rPr>
                <w:rFonts w:ascii="宋体" w:hAnsi="宋体" w:cs="宋体"/>
                <w:color w:val="000000"/>
                <w:szCs w:val="21"/>
              </w:rPr>
            </w:pPr>
            <w:r>
              <w:rPr>
                <w:rFonts w:hint="eastAsia" w:ascii="宋体" w:hAnsi="宋体" w:cs="宋体"/>
                <w:color w:val="000000"/>
                <w:szCs w:val="21"/>
              </w:rPr>
              <w:t>台</w:t>
            </w:r>
          </w:p>
        </w:tc>
        <w:tc>
          <w:tcPr>
            <w:tcW w:w="250" w:type="pct"/>
            <w:shd w:val="clear" w:color="auto" w:fill="auto"/>
            <w:vAlign w:val="center"/>
          </w:tcPr>
          <w:p>
            <w:pPr>
              <w:spacing w:line="440" w:lineRule="exact"/>
              <w:jc w:val="center"/>
              <w:rPr>
                <w:rFonts w:ascii="宋体" w:hAnsi="宋体" w:cs="宋体"/>
                <w:color w:val="000000"/>
                <w:szCs w:val="21"/>
              </w:rPr>
            </w:pPr>
            <w:r>
              <w:rPr>
                <w:rFonts w:hint="eastAsia" w:ascii="宋体" w:hAnsi="宋体" w:cs="宋体"/>
                <w:color w:val="000000"/>
                <w:szCs w:val="21"/>
              </w:rPr>
              <w:t>1</w:t>
            </w:r>
          </w:p>
        </w:tc>
        <w:tc>
          <w:tcPr>
            <w:tcW w:w="500" w:type="pct"/>
            <w:shd w:val="clear" w:color="auto" w:fill="auto"/>
            <w:vAlign w:val="center"/>
          </w:tcPr>
          <w:p>
            <w:pPr>
              <w:spacing w:line="440" w:lineRule="exact"/>
              <w:jc w:val="center"/>
              <w:rPr>
                <w:rFonts w:ascii="宋体" w:hAnsi="宋体" w:cs="宋体"/>
                <w:color w:val="000000"/>
                <w:kern w:val="0"/>
                <w:szCs w:val="21"/>
              </w:rPr>
            </w:pPr>
            <w:r>
              <w:rPr>
                <w:rFonts w:hint="eastAsia" w:ascii="宋体" w:hAnsi="宋体"/>
                <w:color w:val="000000"/>
                <w:szCs w:val="21"/>
              </w:rPr>
              <w:t>基本要求</w:t>
            </w:r>
          </w:p>
        </w:tc>
        <w:tc>
          <w:tcPr>
            <w:tcW w:w="2677" w:type="pct"/>
            <w:shd w:val="clear" w:color="auto" w:fill="auto"/>
            <w:vAlign w:val="center"/>
          </w:tcPr>
          <w:p>
            <w:pPr>
              <w:spacing w:line="440" w:lineRule="exact"/>
              <w:rPr>
                <w:rFonts w:ascii="宋体" w:hAnsi="宋体"/>
                <w:color w:val="000000"/>
                <w:szCs w:val="21"/>
              </w:rPr>
            </w:pPr>
            <w:r>
              <w:rPr>
                <w:rFonts w:hint="eastAsia" w:ascii="宋体" w:hAnsi="宋体" w:cs="宋体"/>
                <w:color w:val="000000"/>
                <w:szCs w:val="21"/>
              </w:rPr>
              <w:t>屏幕尺寸：≥27英寸液晶显示器，分辨率：2</w:t>
            </w:r>
            <w:r>
              <w:rPr>
                <w:rFonts w:ascii="宋体" w:hAnsi="宋体" w:cs="宋体"/>
                <w:color w:val="000000"/>
                <w:szCs w:val="21"/>
              </w:rPr>
              <w:t>560 1440</w:t>
            </w:r>
            <w:r>
              <w:rPr>
                <w:rFonts w:hint="eastAsia" w:ascii="宋体" w:hAnsi="宋体" w:cs="宋体"/>
                <w:color w:val="000000"/>
                <w:szCs w:val="21"/>
              </w:rPr>
              <w:t>（2</w:t>
            </w:r>
            <w:r>
              <w:rPr>
                <w:rFonts w:ascii="宋体" w:hAnsi="宋体" w:cs="宋体"/>
                <w:color w:val="000000"/>
                <w:szCs w:val="21"/>
              </w:rPr>
              <w:t>K</w:t>
            </w:r>
            <w:r>
              <w:rPr>
                <w:rFonts w:hint="eastAsia" w:ascii="宋体" w:hAnsi="宋体" w:cs="宋体"/>
                <w:color w:val="000000"/>
                <w:szCs w:val="21"/>
              </w:rPr>
              <w:t>）,面板：I</w:t>
            </w:r>
            <w:r>
              <w:rPr>
                <w:rFonts w:ascii="宋体" w:hAnsi="宋体" w:cs="宋体"/>
                <w:color w:val="000000"/>
                <w:szCs w:val="21"/>
              </w:rPr>
              <w:t>PS</w:t>
            </w:r>
            <w:r>
              <w:rPr>
                <w:rFonts w:hint="eastAsia" w:ascii="宋体" w:hAnsi="宋体" w:cs="宋体"/>
                <w:color w:val="000000"/>
                <w:szCs w:val="21"/>
              </w:rPr>
              <w:t>技术，接口：D</w:t>
            </w:r>
            <w:r>
              <w:rPr>
                <w:rFonts w:ascii="宋体" w:hAnsi="宋体" w:cs="宋体"/>
                <w:color w:val="000000"/>
                <w:szCs w:val="21"/>
              </w:rPr>
              <w:t>P\HDMI,</w:t>
            </w:r>
            <w:r>
              <w:rPr>
                <w:rFonts w:hint="eastAsia" w:ascii="宋体" w:hAnsi="宋体" w:cs="宋体"/>
                <w:color w:val="000000"/>
                <w:szCs w:val="21"/>
              </w:rPr>
              <w:t>音频/耳机输出，五年原厂质保</w:t>
            </w:r>
          </w:p>
        </w:tc>
      </w:tr>
    </w:tbl>
    <w:p>
      <w:pPr>
        <w:pStyle w:val="8"/>
        <w:spacing w:line="360" w:lineRule="auto"/>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p>
    <w:p>
      <w:pPr>
        <w:pStyle w:val="8"/>
        <w:spacing w:line="360" w:lineRule="auto"/>
        <w:ind w:firstLine="420" w:firstLineChars="200"/>
        <w:rPr>
          <w:rFonts w:hint="default" w:asciiTheme="minorEastAsia" w:hAnsiTheme="minorEastAsia" w:eastAsiaTheme="minorEastAsia"/>
          <w:bCs/>
          <w:color w:val="000000" w:themeColor="text1"/>
          <w:kern w:val="0"/>
          <w:sz w:val="24"/>
          <w:lang w:val="en-US" w:eastAsia="zh-CN"/>
          <w14:textFill>
            <w14:solidFill>
              <w14:schemeClr w14:val="tx1"/>
            </w14:solidFill>
          </w14:textFill>
        </w:rPr>
      </w:pPr>
      <w:r>
        <w:rPr>
          <w:rFonts w:ascii="宋体" w:hAnsi="宋体"/>
          <w:szCs w:val="21"/>
        </w:rPr>
        <w:t>▲</w:t>
      </w:r>
      <w:r>
        <w:rPr>
          <w:rFonts w:hint="eastAsia" w:asciiTheme="minorEastAsia" w:hAnsiTheme="minorEastAsia" w:eastAsiaTheme="minorEastAsia"/>
          <w:b/>
          <w:bCs w:val="0"/>
          <w:color w:val="000000" w:themeColor="text1"/>
          <w:kern w:val="0"/>
          <w:sz w:val="24"/>
          <w:lang w:eastAsia="zh-CN"/>
          <w14:textFill>
            <w14:solidFill>
              <w14:schemeClr w14:val="tx1"/>
            </w14:solidFill>
          </w14:textFill>
        </w:rPr>
        <w:t>（</w:t>
      </w:r>
      <w:r>
        <w:rPr>
          <w:rFonts w:hint="eastAsia" w:asciiTheme="minorEastAsia" w:hAnsiTheme="minorEastAsia" w:eastAsiaTheme="minorEastAsia"/>
          <w:b/>
          <w:bCs w:val="0"/>
          <w:color w:val="000000" w:themeColor="text1"/>
          <w:kern w:val="0"/>
          <w:sz w:val="24"/>
          <w:lang w:val="en-US" w:eastAsia="zh-CN"/>
          <w14:textFill>
            <w14:solidFill>
              <w14:schemeClr w14:val="tx1"/>
            </w14:solidFill>
          </w14:textFill>
        </w:rPr>
        <w:t>三</w:t>
      </w:r>
      <w:r>
        <w:rPr>
          <w:rFonts w:hint="eastAsia" w:asciiTheme="minorEastAsia" w:hAnsiTheme="minorEastAsia" w:eastAsiaTheme="minorEastAsia"/>
          <w:b/>
          <w:bCs w:val="0"/>
          <w:color w:val="000000" w:themeColor="text1"/>
          <w:kern w:val="0"/>
          <w:sz w:val="24"/>
          <w:lang w:eastAsia="zh-CN"/>
          <w14:textFill>
            <w14:solidFill>
              <w14:schemeClr w14:val="tx1"/>
            </w14:solidFill>
          </w14:textFill>
        </w:rPr>
        <w:t>）</w:t>
      </w:r>
      <w:r>
        <w:rPr>
          <w:rFonts w:hint="eastAsia" w:asciiTheme="minorEastAsia" w:hAnsiTheme="minorEastAsia" w:eastAsiaTheme="minorEastAsia"/>
          <w:b/>
          <w:bCs w:val="0"/>
          <w:color w:val="000000" w:themeColor="text1"/>
          <w:kern w:val="0"/>
          <w:sz w:val="24"/>
          <w:lang w:val="en-US" w:eastAsia="zh-CN"/>
          <w14:textFill>
            <w14:solidFill>
              <w14:schemeClr w14:val="tx1"/>
            </w14:solidFill>
          </w14:textFill>
        </w:rPr>
        <w:t>售后服务标准</w:t>
      </w:r>
    </w:p>
    <w:p>
      <w:pPr>
        <w:pStyle w:val="8"/>
        <w:spacing w:line="360" w:lineRule="auto"/>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1.</w:t>
      </w:r>
      <w:r>
        <w:rPr>
          <w:rFonts w:hint="eastAsia" w:asciiTheme="minorEastAsia" w:hAnsiTheme="minorEastAsia" w:eastAsiaTheme="minorEastAsia"/>
          <w:bCs/>
          <w:color w:val="000000" w:themeColor="text1"/>
          <w:kern w:val="0"/>
          <w:sz w:val="24"/>
          <w14:textFill>
            <w14:solidFill>
              <w14:schemeClr w14:val="tx1"/>
            </w14:solidFill>
          </w14:textFill>
        </w:rPr>
        <w:t>提供7×24小时的电话和现场技术支持服务，保证在7×24小时内，系统有任何问题，随时可以找到服务商工程师回答和解决。</w:t>
      </w:r>
    </w:p>
    <w:p>
      <w:pPr>
        <w:pStyle w:val="8"/>
        <w:spacing w:line="360" w:lineRule="auto"/>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2.</w:t>
      </w:r>
      <w:r>
        <w:rPr>
          <w:rFonts w:hint="eastAsia" w:asciiTheme="minorEastAsia" w:hAnsiTheme="minorEastAsia" w:eastAsiaTheme="minorEastAsia"/>
          <w:bCs/>
          <w:color w:val="000000" w:themeColor="text1"/>
          <w:kern w:val="0"/>
          <w:sz w:val="24"/>
          <w14:textFill>
            <w14:solidFill>
              <w14:schemeClr w14:val="tx1"/>
            </w14:solidFill>
          </w14:textFill>
        </w:rPr>
        <w:t>供应商在接到用户故障申告电话后应在10分钟内给予响应，如故障未能在30分钟内通过远程支持得到解决，服务商应启动现场应急服务，在自用户电话</w:t>
      </w:r>
      <w:r>
        <w:rPr>
          <w:rFonts w:hint="eastAsia" w:asciiTheme="minorEastAsia" w:hAnsiTheme="minorEastAsia" w:eastAsiaTheme="minorEastAsia"/>
          <w:bCs/>
          <w:color w:val="auto"/>
          <w:kern w:val="0"/>
          <w:sz w:val="24"/>
        </w:rPr>
        <w:t>申告起</w:t>
      </w:r>
      <w:r>
        <w:rPr>
          <w:rFonts w:hint="eastAsia" w:asciiTheme="minorEastAsia" w:hAnsiTheme="minorEastAsia" w:eastAsiaTheme="minorEastAsia"/>
          <w:b w:val="0"/>
          <w:bCs/>
          <w:color w:val="auto"/>
          <w:kern w:val="0"/>
          <w:sz w:val="24"/>
          <w:lang w:val="en-US" w:eastAsia="zh-CN"/>
        </w:rPr>
        <w:t>4</w:t>
      </w:r>
      <w:r>
        <w:rPr>
          <w:rFonts w:hint="eastAsia" w:asciiTheme="minorEastAsia" w:hAnsiTheme="minorEastAsia" w:eastAsiaTheme="minorEastAsia"/>
          <w:b w:val="0"/>
          <w:bCs/>
          <w:color w:val="auto"/>
          <w:kern w:val="0"/>
          <w:sz w:val="24"/>
        </w:rPr>
        <w:t>小时</w:t>
      </w:r>
      <w:r>
        <w:rPr>
          <w:rFonts w:hint="eastAsia" w:asciiTheme="minorEastAsia" w:hAnsiTheme="minorEastAsia" w:eastAsiaTheme="minorEastAsia"/>
          <w:bCs/>
          <w:color w:val="000000" w:themeColor="text1"/>
          <w:kern w:val="0"/>
          <w:sz w:val="24"/>
          <w14:textFill>
            <w14:solidFill>
              <w14:schemeClr w14:val="tx1"/>
            </w14:solidFill>
          </w14:textFill>
        </w:rPr>
        <w:t>内赶到用户现场；故障应在服务商工程师到达现场后不超过24小时内给予恢复运行；如不能恢复的应提供备用设备，保障采购人的正常工作，在最迟不超过5个工作日内，将损坏的硬件部件进行维修。如果确认设备或者部件损坏无法修复致使该设备无法继续使用，服务商应将损坏设备进行整体更换，更换的设备配置不得低于当前配置。</w:t>
      </w:r>
    </w:p>
    <w:p>
      <w:pPr>
        <w:pStyle w:val="8"/>
        <w:spacing w:line="360" w:lineRule="auto"/>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p>
    <w:p>
      <w:pPr>
        <w:pStyle w:val="8"/>
        <w:spacing w:line="360" w:lineRule="auto"/>
        <w:ind w:firstLine="482" w:firstLineChars="200"/>
        <w:rPr>
          <w:rFonts w:hint="default" w:asciiTheme="minorEastAsia" w:hAnsiTheme="minorEastAsia" w:eastAsiaTheme="minorEastAsia"/>
          <w:b/>
          <w:bCs w:val="0"/>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bCs w:val="0"/>
          <w:color w:val="000000" w:themeColor="text1"/>
          <w:kern w:val="0"/>
          <w:sz w:val="24"/>
          <w:lang w:eastAsia="zh-CN"/>
          <w14:textFill>
            <w14:solidFill>
              <w14:schemeClr w14:val="tx1"/>
            </w14:solidFill>
          </w14:textFill>
        </w:rPr>
        <w:t>（</w:t>
      </w:r>
      <w:r>
        <w:rPr>
          <w:rFonts w:hint="eastAsia" w:asciiTheme="minorEastAsia" w:hAnsiTheme="minorEastAsia" w:eastAsiaTheme="minorEastAsia"/>
          <w:b/>
          <w:bCs w:val="0"/>
          <w:color w:val="000000" w:themeColor="text1"/>
          <w:kern w:val="0"/>
          <w:sz w:val="24"/>
          <w:lang w:val="en-US" w:eastAsia="zh-CN"/>
          <w14:textFill>
            <w14:solidFill>
              <w14:schemeClr w14:val="tx1"/>
            </w14:solidFill>
          </w14:textFill>
        </w:rPr>
        <w:t>四</w:t>
      </w:r>
      <w:r>
        <w:rPr>
          <w:rFonts w:hint="eastAsia" w:asciiTheme="minorEastAsia" w:hAnsiTheme="minorEastAsia" w:eastAsiaTheme="minorEastAsia"/>
          <w:b/>
          <w:bCs w:val="0"/>
          <w:color w:val="000000" w:themeColor="text1"/>
          <w:kern w:val="0"/>
          <w:sz w:val="24"/>
          <w:lang w:eastAsia="zh-CN"/>
          <w14:textFill>
            <w14:solidFill>
              <w14:schemeClr w14:val="tx1"/>
            </w14:solidFill>
          </w14:textFill>
        </w:rPr>
        <w:t>）</w:t>
      </w:r>
      <w:r>
        <w:rPr>
          <w:rFonts w:hint="eastAsia" w:asciiTheme="minorEastAsia" w:hAnsiTheme="minorEastAsia" w:eastAsiaTheme="minorEastAsia"/>
          <w:b/>
          <w:bCs w:val="0"/>
          <w:color w:val="000000" w:themeColor="text1"/>
          <w:kern w:val="0"/>
          <w:sz w:val="24"/>
          <w:lang w:val="en-US" w:eastAsia="zh-CN"/>
          <w14:textFill>
            <w14:solidFill>
              <w14:schemeClr w14:val="tx1"/>
            </w14:solidFill>
          </w14:textFill>
        </w:rPr>
        <w:t>其他要求</w:t>
      </w:r>
    </w:p>
    <w:p>
      <w:pPr>
        <w:pStyle w:val="8"/>
        <w:spacing w:line="360" w:lineRule="auto"/>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1.本项目属于 “交钥匙”工程，即所提供的软、硬件产品按招标方的要求采购、安装、调试。本次项目中要求中标人针对用户提供完整服务，协助用户完成于本次项目相关的系统调整和优化等工作，中标方须提供安装调试、系统集成和5年的免费现场技术支持，中标方须对系统集成的完整性负责，如相关配件在招标清单中未列出但安装所采购设备时须用到，中标人须提供，产生的一切费用，均由中标方负责。</w:t>
      </w:r>
    </w:p>
    <w:p>
      <w:pPr>
        <w:pStyle w:val="8"/>
        <w:spacing w:line="360" w:lineRule="auto"/>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2.项目实施期间发生的所有劳务支出、安全保险、住宿、运输、税金等一切费用都已包含在竞投报价中，由中标方自行负责。</w:t>
      </w:r>
    </w:p>
    <w:p>
      <w:pPr>
        <w:pStyle w:val="8"/>
        <w:spacing w:line="360" w:lineRule="auto"/>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2"/>
        <w:snapToGrid w:val="0"/>
        <w:spacing w:line="360" w:lineRule="auto"/>
        <w:ind w:firstLine="482" w:firstLineChars="200"/>
        <w:rPr>
          <w:rFonts w:hint="eastAsia" w:asciiTheme="minorEastAsia" w:hAnsiTheme="minorEastAsia" w:eastAsiaTheme="minorEastAsia"/>
          <w:b w:val="0"/>
          <w:bCs/>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（一）质保期：</w:t>
      </w:r>
      <w:r>
        <w:rPr>
          <w:rFonts w:hint="eastAsia" w:asciiTheme="minorEastAsia" w:hAnsiTheme="minorEastAsia" w:eastAsiaTheme="minorEastAsia"/>
          <w:b w:val="0"/>
          <w:bCs/>
          <w:color w:val="000000" w:themeColor="text1"/>
          <w:sz w:val="24"/>
          <w14:textFill>
            <w14:solidFill>
              <w14:schemeClr w14:val="tx1"/>
            </w14:solidFill>
          </w14:textFill>
        </w:rPr>
        <w:t>免费质保期至少</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5</w:t>
      </w:r>
      <w:r>
        <w:rPr>
          <w:rFonts w:hint="eastAsia" w:asciiTheme="minorEastAsia" w:hAnsiTheme="minorEastAsia" w:eastAsiaTheme="minorEastAsia"/>
          <w:b w:val="0"/>
          <w:bCs/>
          <w:color w:val="000000" w:themeColor="text1"/>
          <w:sz w:val="24"/>
          <w14:textFill>
            <w14:solidFill>
              <w14:schemeClr w14:val="tx1"/>
            </w14:solidFill>
          </w14:textFill>
        </w:rPr>
        <w:t>年</w:t>
      </w:r>
      <w:r>
        <w:rPr>
          <w:rFonts w:hint="eastAsia" w:asciiTheme="minorEastAsia" w:hAnsiTheme="minorEastAsia" w:eastAsiaTheme="minorEastAsia"/>
          <w:b w:val="0"/>
          <w:bCs/>
          <w:color w:val="000000" w:themeColor="text1"/>
          <w:sz w:val="24"/>
          <w:lang w:eastAsia="zh-CN"/>
          <w14:textFill>
            <w14:solidFill>
              <w14:schemeClr w14:val="tx1"/>
            </w14:solidFill>
          </w14:textFill>
        </w:rPr>
        <w:t>，</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中标人</w:t>
      </w:r>
      <w:r>
        <w:rPr>
          <w:rFonts w:hint="eastAsia" w:asciiTheme="minorEastAsia" w:hAnsiTheme="minorEastAsia" w:eastAsiaTheme="minorEastAsia"/>
          <w:b w:val="0"/>
          <w:bCs/>
          <w:color w:val="000000" w:themeColor="text1"/>
          <w:sz w:val="24"/>
          <w:lang w:eastAsia="zh-CN"/>
          <w14:textFill>
            <w14:solidFill>
              <w14:schemeClr w14:val="tx1"/>
            </w14:solidFill>
          </w14:textFill>
        </w:rPr>
        <w:t>须在</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中标后</w:t>
      </w:r>
      <w:r>
        <w:rPr>
          <w:rFonts w:hint="eastAsia" w:asciiTheme="minorEastAsia" w:hAnsiTheme="minorEastAsia" w:eastAsiaTheme="minorEastAsia"/>
          <w:b w:val="0"/>
          <w:bCs/>
          <w:color w:val="000000" w:themeColor="text1"/>
          <w:sz w:val="24"/>
          <w:lang w:eastAsia="zh-CN"/>
          <w14:textFill>
            <w14:solidFill>
              <w14:schemeClr w14:val="tx1"/>
            </w14:solidFill>
          </w14:textFill>
        </w:rPr>
        <w:t>合同签订前向采购人提供招标要求年限的原厂商针对本项目原厂盖章的服务承诺函原件，所有产品最终用户名为台州市公安局。</w:t>
      </w:r>
    </w:p>
    <w:p>
      <w:pPr>
        <w:pStyle w:val="12"/>
        <w:snapToGrid w:val="0"/>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（二）交货时间及地点：</w:t>
      </w:r>
    </w:p>
    <w:p>
      <w:pPr>
        <w:pStyle w:val="12"/>
        <w:snapToGrid w:val="0"/>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1</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项目工期：</w:t>
      </w:r>
      <w:r>
        <w:rPr>
          <w:rFonts w:hint="eastAsia" w:asciiTheme="minorEastAsia" w:hAnsiTheme="minorEastAsia" w:eastAsiaTheme="minorEastAsia"/>
          <w:b w:val="0"/>
          <w:bCs/>
          <w:color w:val="000000" w:themeColor="text1"/>
          <w:kern w:val="0"/>
          <w:sz w:val="24"/>
          <w14:textFill>
            <w14:solidFill>
              <w14:schemeClr w14:val="tx1"/>
            </w14:solidFill>
          </w14:textFill>
        </w:rPr>
        <w:t>自签订合同之日起30个工作日内供货、安装调试完毕</w:t>
      </w:r>
    </w:p>
    <w:p>
      <w:pPr>
        <w:pStyle w:val="12"/>
        <w:snapToGrid w:val="0"/>
        <w:spacing w:line="360" w:lineRule="auto"/>
        <w:ind w:firstLine="482" w:firstLineChars="200"/>
        <w:rPr>
          <w:rFonts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2</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交货地点：</w:t>
      </w:r>
      <w:r>
        <w:rPr>
          <w:rFonts w:hint="eastAsia" w:asciiTheme="minorEastAsia" w:hAnsiTheme="minorEastAsia" w:eastAsiaTheme="minorEastAsia"/>
          <w:b w:val="0"/>
          <w:bCs/>
          <w:color w:val="000000" w:themeColor="text1"/>
          <w:kern w:val="0"/>
          <w:sz w:val="24"/>
          <w14:textFill>
            <w14:solidFill>
              <w14:schemeClr w14:val="tx1"/>
            </w14:solidFill>
          </w14:textFill>
        </w:rPr>
        <w:t>台州市公安局</w:t>
      </w:r>
    </w:p>
    <w:p>
      <w:pPr>
        <w:pStyle w:val="12"/>
        <w:snapToGrid w:val="0"/>
        <w:spacing w:line="360" w:lineRule="auto"/>
        <w:ind w:firstLine="482" w:firstLineChars="200"/>
        <w:rPr>
          <w:rFonts w:hint="eastAsia" w:asciiTheme="minorEastAsia" w:hAnsiTheme="minorEastAsia" w:eastAsiaTheme="minorEastAsia"/>
          <w:b/>
          <w:color w:val="FF0000"/>
          <w:sz w:val="24"/>
          <w:lang w:eastAsia="zh-CN"/>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Theme="minorEastAsia" w:hAnsiTheme="minorEastAsia" w:eastAsiaTheme="minorEastAsia"/>
          <w:b w:val="0"/>
          <w:bCs/>
          <w:color w:val="000000" w:themeColor="text1"/>
          <w:sz w:val="24"/>
          <w14:textFill>
            <w14:solidFill>
              <w14:schemeClr w14:val="tx1"/>
            </w14:solidFill>
          </w14:textFill>
        </w:rPr>
        <w:t>合同签订后5个工作日内</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预付</w:t>
      </w:r>
      <w:r>
        <w:rPr>
          <w:rFonts w:hint="eastAsia" w:asciiTheme="minorEastAsia" w:hAnsiTheme="minorEastAsia" w:eastAsiaTheme="minorEastAsia"/>
          <w:b w:val="0"/>
          <w:bCs/>
          <w:color w:val="000000" w:themeColor="text1"/>
          <w:sz w:val="24"/>
          <w14:textFill>
            <w14:solidFill>
              <w14:schemeClr w14:val="tx1"/>
            </w14:solidFill>
          </w14:textFill>
        </w:rPr>
        <w:t>合同金额的60%，设备到货后7个工作日内支付合同金额的20%；项目通过初验后支付合同金额的10%；终验后支付合同金额的的10%。</w:t>
      </w:r>
    </w:p>
    <w:p>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rPr>
        <w:t>）履约保证金</w:t>
      </w:r>
      <w:r>
        <w:rPr>
          <w:rFonts w:hint="eastAsia" w:asciiTheme="minorEastAsia" w:hAnsiTheme="minorEastAsia" w:eastAsiaTheme="minorEastAsia"/>
          <w:b/>
          <w:sz w:val="24"/>
          <w:lang w:eastAsia="zh-CN"/>
        </w:rPr>
        <w:t>：</w:t>
      </w:r>
      <w:r>
        <w:rPr>
          <w:rFonts w:hint="eastAsia" w:ascii="宋体" w:hAnsi="宋体" w:cs="宋体"/>
          <w:color w:val="auto"/>
          <w:sz w:val="24"/>
          <w:highlight w:val="none"/>
        </w:rPr>
        <w:t>合同签订前，中标人应先缴纳合同总金额</w:t>
      </w:r>
      <w:r>
        <w:rPr>
          <w:rFonts w:hint="eastAsia" w:asciiTheme="minorEastAsia" w:hAnsiTheme="minorEastAsia" w:eastAsiaTheme="minorEastAsia"/>
          <w:color w:val="auto"/>
          <w:kern w:val="0"/>
          <w:sz w:val="24"/>
          <w:u w:val="none"/>
          <w:lang w:val="en-US" w:eastAsia="zh-CN"/>
        </w:rPr>
        <w:t>1</w:t>
      </w:r>
      <w:r>
        <w:rPr>
          <w:rFonts w:hint="eastAsia" w:ascii="宋体" w:hAnsi="宋体" w:cs="宋体"/>
          <w:color w:val="auto"/>
          <w:sz w:val="24"/>
          <w:highlight w:val="none"/>
          <w:u w:val="none"/>
        </w:rPr>
        <w:t>%</w:t>
      </w:r>
      <w:r>
        <w:rPr>
          <w:rFonts w:hint="eastAsia" w:ascii="宋体" w:hAnsi="宋体" w:cs="宋体"/>
          <w:color w:val="auto"/>
          <w:sz w:val="24"/>
          <w:highlight w:val="none"/>
        </w:rPr>
        <w:t>的履约保证金，</w:t>
      </w:r>
      <w:r>
        <w:rPr>
          <w:rFonts w:hint="eastAsia" w:ascii="宋体" w:hAnsi="宋体" w:cs="宋体"/>
          <w:color w:val="auto"/>
          <w:sz w:val="24"/>
          <w:highlight w:val="none"/>
          <w:lang w:val="en-US" w:eastAsia="zh-CN"/>
        </w:rPr>
        <w:t>履约保证金在项目终验结束</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及时返还</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可</w:t>
      </w:r>
      <w:r>
        <w:rPr>
          <w:rFonts w:hint="eastAsia" w:ascii="宋体" w:hAnsi="宋体" w:cs="宋体"/>
          <w:color w:val="auto"/>
          <w:sz w:val="24"/>
          <w:highlight w:val="none"/>
        </w:rPr>
        <w:t>以电汇、</w:t>
      </w:r>
      <w:r>
        <w:rPr>
          <w:rFonts w:hint="eastAsia" w:ascii="宋体" w:hAnsi="宋体" w:cs="宋体"/>
          <w:color w:val="auto"/>
          <w:sz w:val="24"/>
          <w:highlight w:val="none"/>
          <w:lang w:eastAsia="zh-CN"/>
        </w:rPr>
        <w:t>转账，或者</w:t>
      </w:r>
      <w:r>
        <w:rPr>
          <w:rFonts w:hint="eastAsia" w:ascii="宋体" w:hAnsi="宋体" w:cs="宋体"/>
          <w:color w:val="auto"/>
          <w:sz w:val="24"/>
          <w:highlight w:val="none"/>
        </w:rPr>
        <w:t>金融机构、担保机构出具的保函等形式提交履约保证金，注明用途为“履约保证金”</w:t>
      </w:r>
      <w:r>
        <w:rPr>
          <w:rFonts w:hint="eastAsia" w:ascii="宋体" w:hAnsi="宋体" w:cs="宋体"/>
          <w:color w:val="auto"/>
          <w:sz w:val="24"/>
          <w:highlight w:val="none"/>
          <w:lang w:eastAsia="zh-CN"/>
        </w:rPr>
        <w:t>。）</w:t>
      </w:r>
    </w:p>
    <w:p>
      <w:pPr>
        <w:rPr>
          <w:rFonts w:hint="eastAsia" w:cs="Times New Roman" w:asciiTheme="minorEastAsia" w:hAnsiTheme="minorEastAsia" w:eastAsiaTheme="minorEastAsia"/>
          <w:b/>
          <w:sz w:val="36"/>
          <w:szCs w:val="36"/>
        </w:rPr>
      </w:pPr>
      <w:bookmarkStart w:id="38" w:name="_Toc31173_WPSOffice_Level1"/>
      <w:r>
        <w:rPr>
          <w:rFonts w:hint="eastAsia" w:cs="Times New Roman" w:asciiTheme="minorEastAsia" w:hAnsiTheme="minorEastAsia" w:eastAsiaTheme="minorEastAsia"/>
          <w:b/>
          <w:sz w:val="36"/>
          <w:szCs w:val="36"/>
        </w:rPr>
        <w:br w:type="page"/>
      </w:r>
    </w:p>
    <w:p>
      <w:pPr>
        <w:pStyle w:val="12"/>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38"/>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0"/>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lang w:val="en-US" w:eastAsia="zh-CN"/>
        </w:rPr>
        <w:t>8</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8"/>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8"/>
        <w:spacing w:line="360" w:lineRule="auto"/>
        <w:ind w:firstLine="480" w:firstLineChars="200"/>
        <w:rPr>
          <w:rFonts w:hint="eastAsia" w:ascii="宋体" w:hAnsi="宋体" w:cs="宋体"/>
          <w:sz w:val="24"/>
          <w:szCs w:val="24"/>
        </w:rPr>
      </w:pPr>
      <w:r>
        <w:rPr>
          <w:rFonts w:hint="eastAsia" w:ascii="宋体" w:hAnsi="宋体" w:cs="宋体"/>
          <w:sz w:val="24"/>
          <w:szCs w:val="24"/>
        </w:rPr>
        <w:t>（十三）逾期或未按要求提交投标文件的；</w:t>
      </w:r>
    </w:p>
    <w:p>
      <w:pPr>
        <w:pStyle w:val="8"/>
        <w:spacing w:line="360" w:lineRule="auto"/>
        <w:ind w:firstLine="480" w:firstLineChars="200"/>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8"/>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五</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2"/>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2"/>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color w:val="auto"/>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color w:val="auto"/>
          <w:sz w:val="24"/>
          <w:lang w:val="zh-CN"/>
        </w:rPr>
        <w:t>》（</w:t>
      </w:r>
      <w:r>
        <w:rPr>
          <w:rFonts w:hint="eastAsia" w:ascii="宋体"/>
          <w:color w:val="auto"/>
          <w:sz w:val="24"/>
        </w:rPr>
        <w:t>见附件1</w:t>
      </w:r>
      <w:r>
        <w:rPr>
          <w:rFonts w:hint="eastAsia" w:ascii="宋体"/>
          <w:color w:val="auto"/>
          <w:sz w:val="24"/>
          <w:lang w:val="en-US" w:eastAsia="zh-CN"/>
        </w:rPr>
        <w:t>7</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r>
        <w:rPr>
          <w:rFonts w:hint="eastAsia" w:ascii="宋体"/>
          <w:color w:val="auto"/>
          <w:sz w:val="24"/>
          <w:lang w:eastAsia="zh-CN"/>
        </w:rPr>
        <w:t>。</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w:t>
      </w:r>
      <w:r>
        <w:rPr>
          <w:rFonts w:hint="eastAsia" w:ascii="宋体"/>
          <w:color w:val="auto"/>
          <w:sz w:val="24"/>
        </w:rPr>
        <w:t>1</w:t>
      </w:r>
      <w:r>
        <w:rPr>
          <w:rFonts w:hint="eastAsia" w:ascii="宋体"/>
          <w:color w:val="auto"/>
          <w:sz w:val="24"/>
          <w:lang w:val="en-US" w:eastAsia="zh-CN"/>
        </w:rPr>
        <w:t>7</w:t>
      </w:r>
      <w:r>
        <w:rPr>
          <w:rFonts w:hint="eastAsia" w:ascii="宋体"/>
          <w:color w:val="auto"/>
          <w:sz w:val="24"/>
          <w:lang w:val="zh-CN"/>
        </w:rPr>
        <w:t>），视同小型、微型企业，享受小微企业政府采购优惠政策。</w:t>
      </w:r>
    </w:p>
    <w:p>
      <w:pPr>
        <w:pStyle w:val="10"/>
        <w:spacing w:line="360" w:lineRule="auto"/>
        <w:ind w:firstLine="480" w:firstLineChars="200"/>
        <w:jc w:val="both"/>
        <w:rPr>
          <w:rFonts w:hint="eastAsia" w:ascii="宋体" w:hAnsi="宋体" w:eastAsia="宋体" w:cs="宋体"/>
          <w:sz w:val="24"/>
          <w:lang w:eastAsia="zh-CN"/>
        </w:rPr>
      </w:pPr>
      <w:r>
        <w:rPr>
          <w:rFonts w:hint="eastAsia" w:ascii="宋体"/>
          <w:color w:val="auto"/>
          <w:sz w:val="24"/>
        </w:rPr>
        <w:t>4.</w:t>
      </w:r>
      <w:r>
        <w:rPr>
          <w:rFonts w:hint="eastAsia" w:ascii="宋体" w:hAnsi="宋体" w:cs="宋体"/>
          <w:color w:val="auto"/>
          <w:sz w:val="24"/>
        </w:rPr>
        <w:t>投标产品中有符合最新一期行政主管部门公布的“节能产品政</w:t>
      </w:r>
      <w:r>
        <w:rPr>
          <w:rFonts w:hint="eastAsia" w:ascii="宋体" w:hAnsi="宋体" w:cs="宋体"/>
          <w:sz w:val="24"/>
        </w:rPr>
        <w:t>府采购品目清单”、“环境标志产品政府采购品目清单”标准的节能环保产品，应提供所投产品由国家确定的认证机关出具的节能产品、环保产品有效认证证书</w:t>
      </w:r>
      <w:r>
        <w:rPr>
          <w:rFonts w:hint="eastAsia" w:ascii="宋体" w:hAnsi="宋体" w:cs="宋体"/>
          <w:sz w:val="24"/>
          <w:lang w:eastAsia="zh-CN"/>
        </w:rPr>
        <w:t>。</w:t>
      </w:r>
      <w:r>
        <w:rPr>
          <w:rFonts w:hint="eastAsia" w:ascii="宋体" w:hAnsi="宋体" w:cs="宋体"/>
          <w:sz w:val="24"/>
        </w:rPr>
        <w:t>【特别提示：节能和环境标志产品最新一期政府采购品目清单，可在“中国政府采购网”中查看】</w:t>
      </w:r>
    </w:p>
    <w:p>
      <w:pPr>
        <w:pStyle w:val="10"/>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2"/>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0"/>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1"/>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以上两项须提供相关承诺函</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bl>
    <w:p>
      <w:pPr>
        <w:pStyle w:val="10"/>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0"/>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1"/>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val="en-US" w:eastAsia="zh-CN"/>
              </w:rPr>
              <w:t>无效标情形</w:t>
            </w:r>
          </w:p>
        </w:tc>
        <w:tc>
          <w:tcPr>
            <w:tcW w:w="7476" w:type="dxa"/>
            <w:shd w:val="clear" w:color="auto" w:fill="auto"/>
            <w:tcMar>
              <w:top w:w="57" w:type="dxa"/>
              <w:left w:w="108" w:type="dxa"/>
              <w:bottom w:w="0" w:type="dxa"/>
              <w:right w:w="108" w:type="dxa"/>
            </w:tcMar>
            <w:vAlign w:val="center"/>
          </w:tcPr>
          <w:p>
            <w:pPr>
              <w:pStyle w:val="10"/>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color w:val="auto"/>
                <w:spacing w:val="0"/>
                <w:w w:val="100"/>
                <w:kern w:val="2"/>
                <w:sz w:val="21"/>
                <w:szCs w:val="21"/>
                <w:lang w:val="en-US" w:eastAsia="zh-CN" w:bidi="ar-SA"/>
              </w:rPr>
            </w:pPr>
            <w:r>
              <w:rPr>
                <w:rFonts w:hint="eastAsia" w:ascii="宋体" w:hAnsi="宋体" w:cs="宋体"/>
                <w:color w:val="auto"/>
                <w:spacing w:val="0"/>
                <w:w w:val="100"/>
                <w:sz w:val="21"/>
                <w:szCs w:val="21"/>
                <w:lang w:val="en-US" w:eastAsia="zh-CN"/>
              </w:rPr>
              <w:t>投标文件未出现招标文件中规定的无效标情形。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投标文件未含有采购人不可接受的附加条件。</w:t>
            </w:r>
          </w:p>
        </w:tc>
      </w:tr>
    </w:tbl>
    <w:p>
      <w:pPr>
        <w:pStyle w:val="10"/>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标项</w:t>
      </w:r>
      <w:r>
        <w:rPr>
          <w:rFonts w:hint="eastAsia" w:ascii="宋体" w:hAnsi="宋体" w:cs="宋体"/>
          <w:sz w:val="24"/>
          <w:u w:val="single"/>
          <w:lang w:val="en-US" w:eastAsia="zh-CN"/>
        </w:rPr>
        <w:t xml:space="preserve"> 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p>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1"/>
        <w:tblpPr w:leftFromText="181" w:rightFromText="181" w:bottomFromText="170" w:vertAnchor="text" w:tblpXSpec="center" w:tblpY="1"/>
        <w:tblOverlap w:val="never"/>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5"/>
        <w:gridCol w:w="5903"/>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6" w:type="dxa"/>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评分项目</w:t>
            </w:r>
          </w:p>
        </w:tc>
        <w:tc>
          <w:tcPr>
            <w:tcW w:w="7068" w:type="dxa"/>
            <w:gridSpan w:val="2"/>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评分细则</w:t>
            </w:r>
          </w:p>
        </w:tc>
        <w:tc>
          <w:tcPr>
            <w:tcW w:w="664" w:type="dxa"/>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restart"/>
            <w:tcMar>
              <w:top w:w="57" w:type="dxa"/>
              <w:left w:w="108" w:type="dxa"/>
              <w:bottom w:w="0" w:type="dxa"/>
              <w:right w:w="108" w:type="dxa"/>
            </w:tcMar>
            <w:vAlign w:val="center"/>
          </w:tcPr>
          <w:p>
            <w:pPr>
              <w:pStyle w:val="8"/>
              <w:ind w:firstLine="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技术性能</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41</w:t>
            </w:r>
            <w:r>
              <w:rPr>
                <w:rFonts w:hint="eastAsia" w:asciiTheme="minorEastAsia" w:hAnsiTheme="minorEastAsia" w:eastAsiaTheme="minorEastAsia" w:cstheme="minorEastAsia"/>
                <w:b/>
                <w:bCs/>
                <w:sz w:val="21"/>
                <w:szCs w:val="21"/>
              </w:rPr>
              <w:t>分</w:t>
            </w:r>
          </w:p>
        </w:tc>
        <w:tc>
          <w:tcPr>
            <w:tcW w:w="1165" w:type="dxa"/>
            <w:tcMar>
              <w:top w:w="57" w:type="dxa"/>
              <w:left w:w="108" w:type="dxa"/>
              <w:bottom w:w="0" w:type="dxa"/>
              <w:right w:w="108" w:type="dxa"/>
            </w:tcMar>
            <w:vAlign w:val="center"/>
          </w:tcPr>
          <w:p>
            <w:pPr>
              <w:widowControl/>
              <w:spacing w:line="240" w:lineRule="auto"/>
              <w:jc w:val="center"/>
              <w:textAlignment w:val="center"/>
              <w:rPr>
                <w:rFonts w:hint="eastAsia" w:ascii="宋体" w:hAnsi="宋体" w:eastAsia="宋体" w:cs="宋体"/>
                <w:b/>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14:textFill>
                  <w14:solidFill>
                    <w14:schemeClr w14:val="tx1"/>
                  </w14:solidFill>
                </w14:textFill>
              </w:rPr>
              <w:t>项目整体方案</w:t>
            </w:r>
          </w:p>
        </w:tc>
        <w:tc>
          <w:tcPr>
            <w:tcW w:w="5903" w:type="dxa"/>
            <w:tcMar>
              <w:top w:w="57" w:type="dxa"/>
              <w:left w:w="108" w:type="dxa"/>
              <w:bottom w:w="0" w:type="dxa"/>
              <w:right w:w="108" w:type="dxa"/>
            </w:tcMar>
            <w:vAlign w:val="top"/>
          </w:tcPr>
          <w:p>
            <w:pPr>
              <w:jc w:val="left"/>
              <w:rPr>
                <w:rFonts w:hint="eastAsia"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根据投标人提供的</w:t>
            </w:r>
            <w:r>
              <w:rPr>
                <w:rFonts w:hint="eastAsia" w:ascii="宋体" w:hAnsi="宋体" w:eastAsia="宋体" w:cs="宋体"/>
                <w:b w:val="0"/>
                <w:bCs/>
                <w:color w:val="000000" w:themeColor="text1"/>
                <w:kern w:val="0"/>
                <w:sz w:val="21"/>
                <w:szCs w:val="21"/>
                <w:lang w:val="zh-CN"/>
                <w14:textFill>
                  <w14:solidFill>
                    <w14:schemeClr w14:val="tx1"/>
                  </w14:solidFill>
                </w14:textFill>
              </w:rPr>
              <w:t>投标方案（包含①总体思路②现状分析③需求分析④总体设计方案</w:t>
            </w:r>
            <w:r>
              <w:rPr>
                <w:rFonts w:hint="eastAsia" w:ascii="宋体" w:hAnsi="宋体" w:eastAsia="宋体" w:cs="宋体"/>
                <w:b w:val="0"/>
                <w:bCs/>
                <w:color w:val="000000" w:themeColor="text1"/>
                <w:kern w:val="0"/>
                <w:sz w:val="21"/>
                <w:szCs w:val="21"/>
                <w:lang w:val="en-US" w:eastAsia="zh-CN"/>
                <w14:textFill>
                  <w14:solidFill>
                    <w14:schemeClr w14:val="tx1"/>
                  </w14:solidFill>
                </w14:textFill>
              </w:rPr>
              <w:t>等）</w:t>
            </w:r>
            <w:r>
              <w:rPr>
                <w:rFonts w:hint="eastAsia" w:ascii="宋体" w:hAnsi="宋体" w:eastAsia="宋体" w:cs="宋体"/>
                <w:b w:val="0"/>
                <w:bCs/>
                <w:color w:val="000000" w:themeColor="text1"/>
                <w:kern w:val="0"/>
                <w:sz w:val="21"/>
                <w:szCs w:val="21"/>
                <w:lang w:val="zh-CN"/>
                <w14:textFill>
                  <w14:solidFill>
                    <w14:schemeClr w14:val="tx1"/>
                  </w14:solidFill>
                </w14:textFill>
              </w:rPr>
              <w:t>与需求的吻合程度、方案的科学性、先进性、可行性和扩展性、</w:t>
            </w:r>
            <w:r>
              <w:rPr>
                <w:rFonts w:hint="eastAsia" w:ascii="宋体" w:hAnsi="宋体" w:eastAsia="宋体" w:cs="宋体"/>
                <w:b w:val="0"/>
                <w:bCs/>
                <w:color w:val="000000" w:themeColor="text1"/>
                <w:kern w:val="0"/>
                <w:sz w:val="21"/>
                <w:szCs w:val="21"/>
                <w:lang w:val="en-US" w:eastAsia="zh-CN"/>
                <w14:textFill>
                  <w14:solidFill>
                    <w14:schemeClr w14:val="tx1"/>
                  </w14:solidFill>
                </w14:textFill>
              </w:rPr>
              <w:t>等方面进行综合评分：</w:t>
            </w:r>
          </w:p>
          <w:p>
            <w:pPr>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 xml:space="preserve">① </w:t>
            </w:r>
            <w:r>
              <w:rPr>
                <w:rFonts w:hint="eastAsia" w:ascii="宋体" w:hAnsi="宋体" w:eastAsia="宋体" w:cs="Times New Roman"/>
                <w:color w:val="auto"/>
                <w:kern w:val="0"/>
                <w:szCs w:val="21"/>
              </w:rPr>
              <w:t>方案</w:t>
            </w:r>
            <w:r>
              <w:rPr>
                <w:rFonts w:hint="eastAsia" w:ascii="宋体" w:hAnsi="宋体" w:eastAsia="宋体" w:cs="Times New Roman"/>
                <w:color w:val="auto"/>
                <w:kern w:val="0"/>
                <w:szCs w:val="21"/>
                <w:lang w:val="en-US" w:eastAsia="zh-CN"/>
              </w:rPr>
              <w:t>与需求吻合，设计</w:t>
            </w:r>
            <w:r>
              <w:rPr>
                <w:rFonts w:hint="eastAsia" w:ascii="宋体" w:hAnsi="宋体" w:eastAsia="宋体" w:cs="宋体"/>
                <w:b w:val="0"/>
                <w:bCs/>
                <w:color w:val="000000" w:themeColor="text1"/>
                <w:kern w:val="0"/>
                <w:sz w:val="21"/>
                <w:szCs w:val="21"/>
                <w:lang w:val="zh-CN"/>
                <w14:textFill>
                  <w14:solidFill>
                    <w14:schemeClr w14:val="tx1"/>
                  </w14:solidFill>
                </w14:textFill>
              </w:rPr>
              <w:t>科学合理、安全严密、具有一定的前瞻性，有独到的优势</w:t>
            </w:r>
            <w:r>
              <w:rPr>
                <w:rFonts w:hint="eastAsia" w:ascii="宋体" w:hAnsi="宋体" w:eastAsia="宋体" w:cs="Times New Roman"/>
                <w:color w:val="auto"/>
                <w:kern w:val="0"/>
                <w:szCs w:val="21"/>
              </w:rPr>
              <w:t>的</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rPr>
              <w:t>得</w:t>
            </w:r>
            <w:r>
              <w:rPr>
                <w:rFonts w:hint="eastAsia" w:ascii="宋体" w:hAnsi="宋体" w:eastAsia="宋体" w:cs="Times New Roman"/>
                <w:color w:val="auto"/>
                <w:kern w:val="0"/>
                <w:szCs w:val="21"/>
                <w:lang w:val="en-US" w:eastAsia="zh-CN"/>
              </w:rPr>
              <w:t>5-8</w:t>
            </w:r>
            <w:r>
              <w:rPr>
                <w:rFonts w:hint="eastAsia" w:ascii="宋体" w:hAnsi="宋体" w:eastAsia="宋体" w:cs="Times New Roman"/>
                <w:color w:val="auto"/>
                <w:kern w:val="0"/>
                <w:szCs w:val="21"/>
              </w:rPr>
              <w:t>分；</w:t>
            </w:r>
          </w:p>
          <w:p>
            <w:pPr>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 xml:space="preserve">② </w:t>
            </w:r>
            <w:r>
              <w:rPr>
                <w:rFonts w:hint="eastAsia" w:ascii="宋体" w:hAnsi="宋体" w:eastAsia="宋体" w:cs="Times New Roman"/>
                <w:color w:val="auto"/>
                <w:kern w:val="0"/>
                <w:szCs w:val="21"/>
              </w:rPr>
              <w:t>方案</w:t>
            </w:r>
            <w:r>
              <w:rPr>
                <w:rFonts w:hint="eastAsia" w:ascii="宋体" w:hAnsi="宋体" w:eastAsia="宋体" w:cs="Times New Roman"/>
                <w:color w:val="auto"/>
                <w:kern w:val="0"/>
                <w:szCs w:val="21"/>
                <w:lang w:val="en-US" w:eastAsia="zh-CN"/>
              </w:rPr>
              <w:t>与需求较吻合，具有一定的</w:t>
            </w:r>
            <w:r>
              <w:rPr>
                <w:rFonts w:hint="eastAsia" w:ascii="宋体" w:hAnsi="宋体" w:eastAsia="宋体" w:cs="宋体"/>
                <w:b w:val="0"/>
                <w:bCs/>
                <w:color w:val="000000" w:themeColor="text1"/>
                <w:kern w:val="0"/>
                <w:sz w:val="21"/>
                <w:szCs w:val="21"/>
                <w:lang w:val="zh-CN"/>
                <w14:textFill>
                  <w14:solidFill>
                    <w14:schemeClr w14:val="tx1"/>
                  </w14:solidFill>
                </w14:textFill>
              </w:rPr>
              <w:t>科学性、先进性、可行性和扩展性，</w:t>
            </w:r>
            <w:r>
              <w:rPr>
                <w:rFonts w:hint="eastAsia" w:ascii="宋体" w:hAnsi="宋体" w:eastAsia="宋体" w:cs="Times New Roman"/>
                <w:color w:val="auto"/>
                <w:kern w:val="0"/>
                <w:szCs w:val="21"/>
              </w:rPr>
              <w:t>基本满足用户需求的</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rPr>
              <w:t>得</w:t>
            </w:r>
            <w:r>
              <w:rPr>
                <w:rFonts w:hint="eastAsia" w:ascii="宋体" w:hAnsi="宋体" w:eastAsia="宋体" w:cs="Times New Roman"/>
                <w:color w:val="auto"/>
                <w:kern w:val="0"/>
                <w:szCs w:val="21"/>
                <w:lang w:val="en-US" w:eastAsia="zh-CN"/>
              </w:rPr>
              <w:t>2-4.9</w:t>
            </w:r>
            <w:r>
              <w:rPr>
                <w:rFonts w:hint="eastAsia" w:ascii="宋体" w:hAnsi="宋体" w:eastAsia="宋体" w:cs="Times New Roman"/>
                <w:color w:val="auto"/>
                <w:kern w:val="0"/>
                <w:szCs w:val="21"/>
              </w:rPr>
              <w:t>分；</w:t>
            </w:r>
          </w:p>
          <w:p>
            <w:pPr>
              <w:jc w:val="left"/>
              <w:rPr>
                <w:rFonts w:hint="eastAsia" w:ascii="宋体" w:hAnsi="宋体" w:eastAsia="宋体" w:cs="Times New Roman"/>
                <w:color w:val="auto"/>
                <w:kern w:val="0"/>
                <w:szCs w:val="21"/>
                <w:lang w:eastAsia="zh-CN"/>
              </w:rPr>
            </w:pPr>
            <w:r>
              <w:rPr>
                <w:rFonts w:hint="eastAsia" w:ascii="宋体" w:hAnsi="宋体" w:eastAsia="宋体" w:cs="Times New Roman"/>
                <w:color w:val="auto"/>
                <w:kern w:val="0"/>
                <w:szCs w:val="21"/>
                <w:lang w:val="en-US" w:eastAsia="zh-CN"/>
              </w:rPr>
              <w:t xml:space="preserve">③ </w:t>
            </w:r>
            <w:r>
              <w:rPr>
                <w:rFonts w:hint="eastAsia" w:ascii="宋体" w:hAnsi="宋体" w:eastAsia="宋体" w:cs="Times New Roman"/>
                <w:color w:val="auto"/>
                <w:kern w:val="0"/>
                <w:szCs w:val="21"/>
              </w:rPr>
              <w:t>方案</w:t>
            </w:r>
            <w:r>
              <w:rPr>
                <w:rFonts w:hint="eastAsia" w:ascii="宋体" w:hAnsi="宋体" w:eastAsia="宋体" w:cs="Times New Roman"/>
                <w:color w:val="auto"/>
                <w:kern w:val="0"/>
                <w:szCs w:val="21"/>
                <w:lang w:val="en-US" w:eastAsia="zh-CN"/>
              </w:rPr>
              <w:t>与需求基本吻合，</w:t>
            </w:r>
            <w:r>
              <w:rPr>
                <w:rFonts w:hint="eastAsia" w:ascii="宋体" w:hAnsi="宋体" w:eastAsia="宋体" w:cs="Times New Roman"/>
                <w:color w:val="auto"/>
                <w:kern w:val="0"/>
                <w:szCs w:val="21"/>
              </w:rPr>
              <w:t>方案设计</w:t>
            </w:r>
            <w:r>
              <w:rPr>
                <w:rFonts w:hint="eastAsia" w:ascii="宋体" w:hAnsi="宋体" w:eastAsia="宋体" w:cs="Times New Roman"/>
                <w:color w:val="auto"/>
                <w:kern w:val="0"/>
                <w:szCs w:val="21"/>
                <w:lang w:eastAsia="zh-CN"/>
              </w:rPr>
              <w:t>部分</w:t>
            </w:r>
            <w:r>
              <w:rPr>
                <w:rFonts w:hint="eastAsia" w:ascii="宋体" w:hAnsi="宋体" w:eastAsia="宋体" w:cs="Times New Roman"/>
                <w:color w:val="auto"/>
                <w:kern w:val="0"/>
                <w:szCs w:val="21"/>
              </w:rPr>
              <w:t>满足用户需求的</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rPr>
              <w:t>得</w:t>
            </w:r>
            <w:r>
              <w:rPr>
                <w:rFonts w:hint="eastAsia" w:ascii="宋体" w:hAnsi="宋体" w:eastAsia="宋体" w:cs="Times New Roman"/>
                <w:color w:val="auto"/>
                <w:kern w:val="0"/>
                <w:szCs w:val="21"/>
                <w:lang w:val="en-US" w:eastAsia="zh-CN"/>
              </w:rPr>
              <w:t>0.1-1.9</w:t>
            </w:r>
            <w:r>
              <w:rPr>
                <w:rFonts w:hint="eastAsia" w:ascii="宋体" w:hAnsi="宋体" w:eastAsia="宋体" w:cs="Times New Roman"/>
                <w:color w:val="auto"/>
                <w:kern w:val="0"/>
                <w:szCs w:val="21"/>
              </w:rPr>
              <w:t>分</w:t>
            </w:r>
            <w:r>
              <w:rPr>
                <w:rFonts w:hint="eastAsia" w:ascii="宋体" w:hAnsi="宋体" w:eastAsia="宋体" w:cs="Times New Roman"/>
                <w:color w:val="auto"/>
                <w:kern w:val="0"/>
                <w:szCs w:val="21"/>
                <w:lang w:eastAsia="zh-CN"/>
              </w:rPr>
              <w:t>；</w:t>
            </w:r>
          </w:p>
          <w:p>
            <w:pPr>
              <w:snapToGrid w:val="0"/>
              <w:spacing w:line="240" w:lineRule="auto"/>
              <w:rPr>
                <w:rFonts w:hint="eastAsia" w:ascii="宋体" w:hAnsi="宋体" w:eastAsia="宋体" w:cs="宋体"/>
                <w:b w:val="0"/>
                <w:bCs/>
                <w:color w:val="000000" w:themeColor="text1"/>
                <w:kern w:val="2"/>
                <w:sz w:val="21"/>
                <w:szCs w:val="21"/>
                <w:lang w:val="zh-CN" w:eastAsia="zh-CN" w:bidi="ar-SA"/>
                <w14:textFill>
                  <w14:solidFill>
                    <w14:schemeClr w14:val="tx1"/>
                  </w14:solidFill>
                </w14:textFill>
              </w:rPr>
            </w:pPr>
            <w:r>
              <w:rPr>
                <w:rFonts w:hint="eastAsia" w:ascii="宋体" w:hAnsi="宋体" w:eastAsia="宋体" w:cs="Times New Roman"/>
                <w:color w:val="auto"/>
                <w:kern w:val="0"/>
                <w:szCs w:val="21"/>
                <w:lang w:val="en-US" w:eastAsia="zh-CN"/>
              </w:rPr>
              <w:t xml:space="preserve">④ </w:t>
            </w:r>
            <w:r>
              <w:rPr>
                <w:rFonts w:hint="eastAsia" w:ascii="宋体" w:hAnsi="宋体" w:eastAsia="宋体" w:cs="Times New Roman"/>
                <w:color w:val="auto"/>
                <w:kern w:val="0"/>
                <w:szCs w:val="21"/>
              </w:rPr>
              <w:t>提供的方案设计不合理，对用户需求不理解、内容缺失严重</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rPr>
              <w:t>不贴合实际的不得分。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tcMar>
              <w:top w:w="57" w:type="dxa"/>
              <w:left w:w="108" w:type="dxa"/>
              <w:bottom w:w="0" w:type="dxa"/>
              <w:right w:w="108" w:type="dxa"/>
            </w:tcMar>
            <w:vAlign w:val="center"/>
          </w:tcPr>
          <w:p>
            <w:pPr>
              <w:jc w:val="center"/>
            </w:pPr>
          </w:p>
        </w:tc>
        <w:tc>
          <w:tcPr>
            <w:tcW w:w="1165" w:type="dxa"/>
            <w:tcMar>
              <w:top w:w="57" w:type="dxa"/>
              <w:left w:w="108" w:type="dxa"/>
              <w:bottom w:w="0" w:type="dxa"/>
              <w:right w:w="108" w:type="dxa"/>
            </w:tcMar>
            <w:vAlign w:val="center"/>
          </w:tcPr>
          <w:p>
            <w:pPr>
              <w:pStyle w:val="28"/>
              <w:spacing w:line="240" w:lineRule="auto"/>
              <w:ind w:firstLine="0" w:firstLineChars="0"/>
              <w:jc w:val="center"/>
              <w:textAlignment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技术参数偏离情况</w:t>
            </w:r>
          </w:p>
        </w:tc>
        <w:tc>
          <w:tcPr>
            <w:tcW w:w="5903" w:type="dxa"/>
            <w:tcMar>
              <w:top w:w="57" w:type="dxa"/>
              <w:left w:w="108" w:type="dxa"/>
              <w:bottom w:w="0" w:type="dxa"/>
              <w:right w:w="108" w:type="dxa"/>
            </w:tcMar>
            <w:vAlign w:val="center"/>
          </w:tcPr>
          <w:p>
            <w:pPr>
              <w:pStyle w:val="10"/>
              <w:keepNext w:val="0"/>
              <w:keepLines w:val="0"/>
              <w:pageBreakBefore w:val="0"/>
              <w:kinsoku/>
              <w:wordWrap/>
              <w:overflowPunct/>
              <w:topLinePunct w:val="0"/>
              <w:bidi w:val="0"/>
              <w:adjustRightInd/>
              <w:snapToGrid/>
              <w:spacing w:line="240" w:lineRule="auto"/>
              <w:jc w:val="left"/>
              <w:textAlignment w:val="auto"/>
              <w:rPr>
                <w:rFonts w:hint="eastAsia" w:ascii="宋体" w:hAnsi="宋体"/>
                <w:color w:val="auto"/>
                <w:kern w:val="0"/>
                <w:szCs w:val="21"/>
              </w:rPr>
            </w:pPr>
            <w:r>
              <w:rPr>
                <w:rFonts w:hint="eastAsia" w:ascii="宋体" w:hAnsi="宋体"/>
                <w:color w:val="auto"/>
                <w:kern w:val="0"/>
                <w:szCs w:val="21"/>
              </w:rPr>
              <w:t>根据投标产品的技术参数和功能实现是否完全满足招标文件要求，技术指标偏离情况逐条进行评分：</w:t>
            </w:r>
          </w:p>
          <w:p>
            <w:pPr>
              <w:pStyle w:val="10"/>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完全满足或高于招标文件要求的，得</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分；</w:t>
            </w:r>
          </w:p>
          <w:p>
            <w:pPr>
              <w:snapToGrid w:val="0"/>
              <w:spacing w:line="240" w:lineRule="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 xml:space="preserve">② </w:t>
            </w:r>
            <w:r>
              <w:rPr>
                <w:rFonts w:hint="eastAsia" w:ascii="宋体" w:hAnsi="宋体" w:eastAsia="宋体" w:cs="宋体"/>
                <w:color w:val="000000" w:themeColor="text1"/>
                <w:kern w:val="0"/>
                <w:sz w:val="21"/>
                <w:szCs w:val="21"/>
                <w:lang w:val="en-US" w:eastAsia="zh-CN"/>
                <w14:textFill>
                  <w14:solidFill>
                    <w14:schemeClr w14:val="tx1"/>
                  </w14:solidFill>
                </w14:textFill>
              </w:rPr>
              <w:t>实质性指标（</w:t>
            </w:r>
            <w:r>
              <w:rPr>
                <w:rFonts w:hint="eastAsia" w:ascii="宋体" w:hAnsi="宋体" w:eastAsia="宋体" w:cs="宋体"/>
                <w:color w:val="000000" w:themeColor="text1"/>
                <w:kern w:val="0"/>
                <w:sz w:val="21"/>
                <w:szCs w:val="21"/>
                <w:lang w:val="zh-CN"/>
                <w14:textFill>
                  <w14:solidFill>
                    <w14:schemeClr w14:val="tx1"/>
                  </w14:solidFill>
                </w14:textFill>
              </w:rPr>
              <w:t>标“</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val="zh-CN"/>
                <w14:textFill>
                  <w14:solidFill>
                    <w14:schemeClr w14:val="tx1"/>
                  </w14:solidFill>
                </w14:textFill>
              </w:rPr>
              <w:t>”）不允许偏离，</w:t>
            </w:r>
            <w:r>
              <w:rPr>
                <w:rFonts w:hint="eastAsia" w:ascii="宋体" w:hAnsi="宋体" w:eastAsia="宋体" w:cs="宋体"/>
                <w:color w:val="000000" w:themeColor="text1"/>
                <w:kern w:val="0"/>
                <w:sz w:val="21"/>
                <w:szCs w:val="21"/>
                <w:lang w:val="en-US" w:eastAsia="zh-CN"/>
                <w14:textFill>
                  <w14:solidFill>
                    <w14:schemeClr w14:val="tx1"/>
                  </w14:solidFill>
                </w14:textFill>
              </w:rPr>
              <w:t>否则为无效标；</w:t>
            </w:r>
          </w:p>
          <w:p>
            <w:pPr>
              <w:snapToGrid w:val="0"/>
              <w:spacing w:line="240" w:lineRule="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③ </w:t>
            </w:r>
            <w:r>
              <w:rPr>
                <w:rFonts w:hint="eastAsia" w:asciiTheme="minorEastAsia" w:hAnsiTheme="minorEastAsia" w:eastAsiaTheme="minorEastAsia" w:cstheme="minorEastAsia"/>
                <w:sz w:val="21"/>
                <w:szCs w:val="21"/>
              </w:rPr>
              <w:t>重要性能指标（</w:t>
            </w:r>
            <w:r>
              <w:rPr>
                <w:rFonts w:hint="eastAsia" w:ascii="宋体" w:hAnsi="宋体" w:eastAsia="宋体" w:cs="宋体"/>
                <w:color w:val="000000" w:themeColor="text1"/>
                <w:kern w:val="0"/>
                <w:sz w:val="21"/>
                <w:szCs w:val="21"/>
                <w:lang w:val="zh-CN"/>
                <w14:textFill>
                  <w14:solidFill>
                    <w14:schemeClr w14:val="tx1"/>
                  </w14:solidFill>
                </w14:textFill>
              </w:rPr>
              <w:t>标“</w:t>
            </w:r>
            <w:r>
              <w:rPr>
                <w:rFonts w:hint="eastAsia" w:ascii="宋体" w:hAnsi="宋体" w:eastAsia="宋体" w:cs="宋体"/>
                <w:b/>
                <w:bCs/>
                <w:color w:val="000000"/>
                <w:sz w:val="21"/>
                <w:szCs w:val="21"/>
              </w:rPr>
              <w:t>★</w:t>
            </w:r>
            <w:r>
              <w:rPr>
                <w:rFonts w:hint="eastAsia" w:ascii="宋体" w:hAnsi="宋体" w:eastAsia="宋体" w:cs="宋体"/>
                <w:color w:val="000000" w:themeColor="text1"/>
                <w:kern w:val="0"/>
                <w:sz w:val="21"/>
                <w:szCs w:val="21"/>
                <w:lang w:val="zh-CN"/>
                <w14:textFill>
                  <w14:solidFill>
                    <w14:schemeClr w14:val="tx1"/>
                  </w14:solidFill>
                </w14:textFill>
              </w:rPr>
              <w:t>”</w:t>
            </w:r>
            <w:r>
              <w:rPr>
                <w:rFonts w:hint="eastAsia" w:asciiTheme="minorEastAsia" w:hAnsiTheme="minorEastAsia" w:eastAsiaTheme="minorEastAsia" w:cstheme="minorEastAsia"/>
                <w:sz w:val="21"/>
                <w:szCs w:val="21"/>
              </w:rPr>
              <w:t>）每有一项负偏离或未响应的扣2分，其他性能指标每有一项负偏离或未响应的扣1分，扣完为止。</w:t>
            </w:r>
          </w:p>
          <w:p>
            <w:pPr>
              <w:pStyle w:val="10"/>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技术参数中要求提供证明材料而未提供的，视为负偏离；</w:t>
            </w:r>
          </w:p>
          <w:p>
            <w:pPr>
              <w:widowControl/>
              <w:spacing w:line="240" w:lineRule="auto"/>
              <w:rPr>
                <w:rFonts w:hint="eastAsia" w:ascii="宋体" w:hAnsi="宋体" w:cs="宋体" w:eastAsiaTheme="minorEastAsia"/>
                <w:b/>
                <w:color w:val="000000" w:themeColor="text1"/>
                <w:kern w:val="2"/>
                <w:sz w:val="21"/>
                <w:szCs w:val="21"/>
                <w:lang w:val="zh-CN" w:eastAsia="zh-CN" w:bidi="ar-SA"/>
                <w14:textFill>
                  <w14:solidFill>
                    <w14:schemeClr w14:val="tx1"/>
                  </w14:solidFill>
                </w14:textFill>
              </w:rPr>
            </w:pPr>
            <w:r>
              <w:rPr>
                <w:rFonts w:hint="eastAsia" w:asciiTheme="minorEastAsia" w:hAnsiTheme="minorEastAsia" w:eastAsiaTheme="minorEastAsia" w:cstheme="minorEastAsia"/>
                <w:b/>
                <w:bCs/>
                <w:sz w:val="21"/>
                <w:szCs w:val="21"/>
              </w:rPr>
              <w:t>所有产品重要性能指标（★）负偏</w:t>
            </w:r>
            <w:r>
              <w:rPr>
                <w:rFonts w:hint="eastAsia" w:asciiTheme="minorEastAsia" w:hAnsiTheme="minorEastAsia" w:eastAsiaTheme="minorEastAsia" w:cstheme="minorEastAsia"/>
                <w:b/>
                <w:bCs/>
                <w:color w:val="auto"/>
                <w:sz w:val="21"/>
                <w:szCs w:val="21"/>
              </w:rPr>
              <w:t>离</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rPr>
              <w:t>项（含</w:t>
            </w:r>
            <w:r>
              <w:rPr>
                <w:rFonts w:hint="eastAsia" w:asciiTheme="minorEastAsia" w:hAnsiTheme="minorEastAsia" w:eastAsiaTheme="minorEastAsia" w:cstheme="minorEastAsia"/>
                <w:b/>
                <w:bCs/>
                <w:sz w:val="21"/>
                <w:szCs w:val="21"/>
              </w:rPr>
              <w:t>）以上的为无效标</w:t>
            </w:r>
            <w:r>
              <w:rPr>
                <w:rFonts w:hint="eastAsia" w:asciiTheme="minorEastAsia" w:hAnsiTheme="minorEastAsia" w:eastAsiaTheme="minorEastAsia" w:cstheme="minorEastAsia"/>
                <w:b/>
                <w:bCs/>
                <w:sz w:val="21"/>
                <w:szCs w:val="21"/>
                <w:lang w:eastAsia="zh-CN"/>
              </w:rPr>
              <w:t>。）</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2</w:t>
            </w:r>
            <w:r>
              <w:rPr>
                <w:rFonts w:hint="eastAsia" w:ascii="宋体" w:hAnsi="宋体" w:cs="宋体"/>
                <w:b w:val="0"/>
                <w:bCs w:val="0"/>
                <w:color w:val="000000" w:themeColor="text1"/>
                <w:kern w:val="0"/>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165" w:type="dxa"/>
            <w:tcMar>
              <w:top w:w="57" w:type="dxa"/>
              <w:left w:w="108" w:type="dxa"/>
              <w:bottom w:w="0" w:type="dxa"/>
              <w:right w:w="108" w:type="dxa"/>
            </w:tcMar>
            <w:vAlign w:val="center"/>
          </w:tcPr>
          <w:p>
            <w:pPr>
              <w:snapToGrid w:val="0"/>
              <w:spacing w:line="240" w:lineRule="auto"/>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组织实施方案</w:t>
            </w:r>
          </w:p>
        </w:tc>
        <w:tc>
          <w:tcPr>
            <w:tcW w:w="5903" w:type="dxa"/>
            <w:tcMar>
              <w:top w:w="57" w:type="dxa"/>
              <w:left w:w="108" w:type="dxa"/>
              <w:bottom w:w="0" w:type="dxa"/>
              <w:right w:w="108" w:type="dxa"/>
            </w:tcMar>
            <w:vAlign w:val="center"/>
          </w:tcPr>
          <w:p>
            <w:pPr>
              <w:widowControl/>
              <w:spacing w:line="240" w:lineRule="auto"/>
              <w:textAlignment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根据投标人针对本项目提供的组织实施方案（包括但不限于项目进度及实施计划、质量保证措施、各项应急措施、技术维护等）进行</w:t>
            </w:r>
            <w:r>
              <w:rPr>
                <w:rFonts w:hint="eastAsia" w:ascii="宋体" w:hAnsi="宋体" w:eastAsia="宋体" w:cs="宋体"/>
                <w:color w:val="000000" w:themeColor="text1"/>
                <w:kern w:val="0"/>
                <w:sz w:val="21"/>
                <w:szCs w:val="21"/>
                <w:lang w:val="en-US" w:eastAsia="zh-CN"/>
                <w14:textFill>
                  <w14:solidFill>
                    <w14:schemeClr w14:val="tx1"/>
                  </w14:solidFill>
                </w14:textFill>
              </w:rPr>
              <w:t>综合评分</w:t>
            </w:r>
            <w:r>
              <w:rPr>
                <w:rFonts w:hint="eastAsia" w:ascii="宋体" w:hAnsi="宋体" w:eastAsia="宋体" w:cs="宋体"/>
                <w:color w:val="000000" w:themeColor="text1"/>
                <w:kern w:val="0"/>
                <w:sz w:val="21"/>
                <w:szCs w:val="21"/>
                <w:lang w:val="zh-CN"/>
                <w14:textFill>
                  <w14:solidFill>
                    <w14:schemeClr w14:val="tx1"/>
                  </w14:solidFill>
                </w14:textFill>
              </w:rPr>
              <w:t>：</w:t>
            </w:r>
          </w:p>
          <w:p>
            <w:pPr>
              <w:widowControl/>
              <w:spacing w:line="240" w:lineRule="auto"/>
              <w:textAlignment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① </w:t>
            </w:r>
            <w:r>
              <w:rPr>
                <w:rFonts w:hint="eastAsia" w:ascii="宋体" w:hAnsi="宋体" w:eastAsia="宋体" w:cs="宋体"/>
                <w:color w:val="000000" w:themeColor="text1"/>
                <w:kern w:val="0"/>
                <w:sz w:val="21"/>
                <w:szCs w:val="21"/>
                <w:lang w:val="zh-CN"/>
                <w14:textFill>
                  <w14:solidFill>
                    <w14:schemeClr w14:val="tx1"/>
                  </w14:solidFill>
                </w14:textFill>
              </w:rPr>
              <w:t>实施方案非常详尽、合理、规范、可行的，得 3.1-5分；</w:t>
            </w:r>
          </w:p>
          <w:p>
            <w:pPr>
              <w:widowControl/>
              <w:spacing w:line="240" w:lineRule="auto"/>
              <w:textAlignment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② </w:t>
            </w:r>
            <w:r>
              <w:rPr>
                <w:rFonts w:hint="eastAsia" w:ascii="宋体" w:hAnsi="宋体" w:eastAsia="宋体" w:cs="宋体"/>
                <w:color w:val="000000" w:themeColor="text1"/>
                <w:kern w:val="0"/>
                <w:sz w:val="21"/>
                <w:szCs w:val="21"/>
                <w:lang w:val="zh-CN"/>
                <w14:textFill>
                  <w14:solidFill>
                    <w14:schemeClr w14:val="tx1"/>
                  </w14:solidFill>
                </w14:textFill>
              </w:rPr>
              <w:t>实施方案比较详尽、合理、规范、可行的，得2.1-3分；</w:t>
            </w:r>
          </w:p>
          <w:p>
            <w:pPr>
              <w:widowControl/>
              <w:spacing w:line="240" w:lineRule="auto"/>
              <w:textAlignment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③ </w:t>
            </w:r>
            <w:r>
              <w:rPr>
                <w:rFonts w:hint="eastAsia" w:ascii="宋体" w:hAnsi="宋体" w:eastAsia="宋体" w:cs="宋体"/>
                <w:color w:val="000000" w:themeColor="text1"/>
                <w:kern w:val="0"/>
                <w:sz w:val="21"/>
                <w:szCs w:val="21"/>
                <w:lang w:val="zh-CN"/>
                <w14:textFill>
                  <w14:solidFill>
                    <w14:schemeClr w14:val="tx1"/>
                  </w14:solidFill>
                </w14:textFill>
              </w:rPr>
              <w:t>实施方案基本详尽、基本可行的，得 1.1-2分；</w:t>
            </w:r>
          </w:p>
          <w:p>
            <w:pPr>
              <w:widowControl/>
              <w:spacing w:line="240" w:lineRule="auto"/>
              <w:textAlignment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④ </w:t>
            </w:r>
            <w:r>
              <w:rPr>
                <w:rFonts w:hint="eastAsia" w:ascii="宋体" w:hAnsi="宋体" w:eastAsia="宋体" w:cs="宋体"/>
                <w:color w:val="000000" w:themeColor="text1"/>
                <w:kern w:val="0"/>
                <w:sz w:val="21"/>
                <w:szCs w:val="21"/>
                <w:lang w:val="zh-CN"/>
                <w14:textFill>
                  <w14:solidFill>
                    <w14:schemeClr w14:val="tx1"/>
                  </w14:solidFill>
                </w14:textFill>
              </w:rPr>
              <w:t>实施方案不够详尽、可行较差的，得 0.1-1分；</w:t>
            </w:r>
          </w:p>
          <w:p>
            <w:pPr>
              <w:snapToGrid w:val="0"/>
              <w:spacing w:line="240" w:lineRule="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⑤ </w:t>
            </w:r>
            <w:r>
              <w:rPr>
                <w:rFonts w:hint="eastAsia" w:ascii="宋体" w:hAnsi="宋体" w:eastAsia="宋体" w:cs="宋体"/>
                <w:color w:val="000000" w:themeColor="text1"/>
                <w:kern w:val="0"/>
                <w:sz w:val="21"/>
                <w:szCs w:val="21"/>
                <w:lang w:val="zh-CN"/>
                <w14:textFill>
                  <w14:solidFill>
                    <w14:schemeClr w14:val="tx1"/>
                  </w14:solidFill>
                </w14:textFill>
              </w:rPr>
              <w:t>未提供对应实施方案不得分。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165" w:type="dxa"/>
            <w:tcMar>
              <w:top w:w="57" w:type="dxa"/>
              <w:left w:w="108" w:type="dxa"/>
              <w:bottom w:w="0" w:type="dxa"/>
              <w:right w:w="108" w:type="dxa"/>
            </w:tcMar>
            <w:vAlign w:val="center"/>
          </w:tcPr>
          <w:p>
            <w:pPr>
              <w:snapToGrid w:val="0"/>
              <w:spacing w:line="240" w:lineRule="auto"/>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质量保障</w:t>
            </w:r>
          </w:p>
        </w:tc>
        <w:tc>
          <w:tcPr>
            <w:tcW w:w="5903" w:type="dxa"/>
            <w:tcMar>
              <w:top w:w="57" w:type="dxa"/>
              <w:left w:w="108" w:type="dxa"/>
              <w:bottom w:w="0" w:type="dxa"/>
              <w:right w:w="108" w:type="dxa"/>
            </w:tcMar>
            <w:vAlign w:val="center"/>
          </w:tcPr>
          <w:p>
            <w:pPr>
              <w:snapToGrid w:val="0"/>
              <w:spacing w:line="240" w:lineRule="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根据投标人</w:t>
            </w:r>
            <w:r>
              <w:rPr>
                <w:rFonts w:hint="eastAsia" w:ascii="宋体" w:hAnsi="宋体" w:eastAsia="宋体" w:cs="宋体"/>
                <w:color w:val="000000" w:themeColor="text1"/>
                <w:kern w:val="0"/>
                <w:sz w:val="21"/>
                <w:szCs w:val="21"/>
                <w:lang w:val="en-US" w:eastAsia="zh-CN"/>
                <w14:textFill>
                  <w14:solidFill>
                    <w14:schemeClr w14:val="tx1"/>
                  </w14:solidFill>
                </w14:textFill>
              </w:rPr>
              <w:t>提供的</w:t>
            </w:r>
            <w:r>
              <w:rPr>
                <w:rFonts w:hint="eastAsia" w:ascii="宋体" w:hAnsi="宋体" w:eastAsia="宋体" w:cs="宋体"/>
                <w:color w:val="000000" w:themeColor="text1"/>
                <w:kern w:val="0"/>
                <w:sz w:val="21"/>
                <w:szCs w:val="21"/>
                <w:lang w:val="zh-CN"/>
                <w14:textFill>
                  <w14:solidFill>
                    <w14:schemeClr w14:val="tx1"/>
                  </w14:solidFill>
                </w14:textFill>
              </w:rPr>
              <w:t>确保供应货物质量的设施、技术方案和措施进行</w:t>
            </w:r>
            <w:r>
              <w:rPr>
                <w:rFonts w:hint="eastAsia" w:ascii="宋体" w:hAnsi="宋体" w:eastAsia="宋体" w:cs="宋体"/>
                <w:color w:val="000000" w:themeColor="text1"/>
                <w:kern w:val="0"/>
                <w:sz w:val="21"/>
                <w:szCs w:val="21"/>
                <w:lang w:val="en-US" w:eastAsia="zh-CN"/>
                <w14:textFill>
                  <w14:solidFill>
                    <w14:schemeClr w14:val="tx1"/>
                  </w14:solidFill>
                </w14:textFill>
              </w:rPr>
              <w:t>综合评分</w:t>
            </w:r>
            <w:r>
              <w:rPr>
                <w:rFonts w:hint="eastAsia" w:ascii="宋体" w:hAnsi="宋体" w:eastAsia="宋体" w:cs="宋体"/>
                <w:color w:val="000000" w:themeColor="text1"/>
                <w:kern w:val="0"/>
                <w:sz w:val="21"/>
                <w:szCs w:val="21"/>
                <w:lang w:val="zh-CN"/>
                <w14:textFill>
                  <w14:solidFill>
                    <w14:schemeClr w14:val="tx1"/>
                  </w14:solidFill>
                </w14:textFill>
              </w:rPr>
              <w:t>：</w:t>
            </w:r>
          </w:p>
          <w:p>
            <w:pPr>
              <w:snapToGrid w:val="0"/>
              <w:spacing w:line="240" w:lineRule="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① </w:t>
            </w:r>
            <w:r>
              <w:rPr>
                <w:rFonts w:hint="eastAsia" w:ascii="宋体" w:hAnsi="宋体" w:eastAsia="宋体" w:cs="宋体"/>
                <w:color w:val="000000" w:themeColor="text1"/>
                <w:kern w:val="0"/>
                <w:sz w:val="21"/>
                <w:szCs w:val="21"/>
                <w:lang w:val="zh-CN"/>
                <w14:textFill>
                  <w14:solidFill>
                    <w14:schemeClr w14:val="tx1"/>
                  </w14:solidFill>
                </w14:textFill>
              </w:rPr>
              <w:t>有严密的质量监控措施和先进的质量检测全设施的，得2.6-5分；</w:t>
            </w:r>
          </w:p>
          <w:p>
            <w:pPr>
              <w:snapToGrid w:val="0"/>
              <w:spacing w:line="240" w:lineRule="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② </w:t>
            </w:r>
            <w:r>
              <w:rPr>
                <w:rFonts w:hint="eastAsia" w:ascii="宋体" w:hAnsi="宋体" w:eastAsia="宋体" w:cs="宋体"/>
                <w:color w:val="000000" w:themeColor="text1"/>
                <w:kern w:val="0"/>
                <w:sz w:val="21"/>
                <w:szCs w:val="21"/>
                <w:lang w:val="zh-CN"/>
                <w14:textFill>
                  <w14:solidFill>
                    <w14:schemeClr w14:val="tx1"/>
                  </w14:solidFill>
                </w14:textFill>
              </w:rPr>
              <w:t>质量监控措施和质量检测设施缺乏面性、严密性</w:t>
            </w:r>
            <w:r>
              <w:rPr>
                <w:rFonts w:hint="eastAsia" w:ascii="宋体" w:hAnsi="宋体" w:eastAsia="宋体" w:cs="宋体"/>
                <w:color w:val="000000" w:themeColor="text1"/>
                <w:kern w:val="0"/>
                <w:sz w:val="21"/>
                <w:szCs w:val="21"/>
                <w:lang w:val="en-US" w:eastAsia="zh-CN"/>
                <w14:textFill>
                  <w14:solidFill>
                    <w14:schemeClr w14:val="tx1"/>
                  </w14:solidFill>
                </w14:textFill>
              </w:rPr>
              <w:t>的，</w:t>
            </w:r>
            <w:r>
              <w:rPr>
                <w:rFonts w:hint="eastAsia" w:ascii="宋体" w:hAnsi="宋体" w:eastAsia="宋体" w:cs="宋体"/>
                <w:color w:val="000000" w:themeColor="text1"/>
                <w:kern w:val="0"/>
                <w:sz w:val="21"/>
                <w:szCs w:val="21"/>
                <w:lang w:val="zh-CN"/>
                <w14:textFill>
                  <w14:solidFill>
                    <w14:schemeClr w14:val="tx1"/>
                  </w14:solidFill>
                </w14:textFill>
              </w:rPr>
              <w:t>得0.1-2.5分</w:t>
            </w:r>
            <w:r>
              <w:rPr>
                <w:rFonts w:hint="eastAsia" w:ascii="宋体" w:hAnsi="宋体" w:cs="宋体"/>
                <w:color w:val="000000" w:themeColor="text1"/>
                <w:kern w:val="0"/>
                <w:sz w:val="21"/>
                <w:szCs w:val="21"/>
                <w:lang w:val="zh-CN"/>
                <w14:textFill>
                  <w14:solidFill>
                    <w14:schemeClr w14:val="tx1"/>
                  </w14:solidFill>
                </w14:textFill>
              </w:rPr>
              <w:t>；</w:t>
            </w:r>
            <w:bookmarkStart w:id="122" w:name="_GoBack"/>
            <w:bookmarkEnd w:id="122"/>
          </w:p>
          <w:p>
            <w:pPr>
              <w:snapToGrid w:val="0"/>
              <w:spacing w:line="240" w:lineRule="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③ 未提及此项的</w:t>
            </w:r>
            <w:r>
              <w:rPr>
                <w:rFonts w:hint="eastAsia" w:ascii="宋体" w:hAnsi="宋体" w:eastAsia="宋体" w:cs="宋体"/>
                <w:color w:val="000000" w:themeColor="text1"/>
                <w:kern w:val="0"/>
                <w:sz w:val="21"/>
                <w:szCs w:val="21"/>
                <w:lang w:val="zh-CN"/>
                <w14:textFill>
                  <w14:solidFill>
                    <w14:schemeClr w14:val="tx1"/>
                  </w14:solidFill>
                </w14:textFill>
              </w:rPr>
              <w:t>不得分。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86" w:type="dxa"/>
            <w:vMerge w:val="restart"/>
            <w:tcMar>
              <w:top w:w="57" w:type="dxa"/>
              <w:left w:w="108" w:type="dxa"/>
              <w:bottom w:w="0" w:type="dxa"/>
              <w:right w:w="108" w:type="dxa"/>
            </w:tcMar>
            <w:vAlign w:val="center"/>
          </w:tcPr>
          <w:p>
            <w:pPr>
              <w:pStyle w:val="8"/>
              <w:ind w:firstLine="0"/>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实力信誉及业绩</w:t>
            </w:r>
          </w:p>
          <w:p>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18</w:t>
            </w:r>
            <w:r>
              <w:rPr>
                <w:rFonts w:hint="eastAsia" w:asciiTheme="minorEastAsia" w:hAnsiTheme="minorEastAsia" w:eastAsiaTheme="minorEastAsia" w:cstheme="minorEastAsia"/>
                <w:b/>
                <w:bCs/>
                <w:sz w:val="21"/>
                <w:szCs w:val="21"/>
              </w:rPr>
              <w:t>分</w:t>
            </w:r>
          </w:p>
        </w:tc>
        <w:tc>
          <w:tcPr>
            <w:tcW w:w="1165" w:type="dxa"/>
            <w:vMerge w:val="restart"/>
            <w:tcMar>
              <w:top w:w="57" w:type="dxa"/>
              <w:left w:w="108" w:type="dxa"/>
              <w:bottom w:w="0" w:type="dxa"/>
              <w:right w:w="108" w:type="dxa"/>
            </w:tcMar>
            <w:vAlign w:val="center"/>
          </w:tcPr>
          <w:p>
            <w:pPr>
              <w:widowControl/>
              <w:spacing w:line="240" w:lineRule="auto"/>
              <w:jc w:val="center"/>
              <w:textAlignment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14:textFill>
                  <w14:solidFill>
                    <w14:schemeClr w14:val="tx1"/>
                  </w14:solidFill>
                </w14:textFill>
              </w:rPr>
              <w:t>投标人</w:t>
            </w:r>
            <w:r>
              <w:rPr>
                <w:rFonts w:hint="eastAsia" w:ascii="宋体" w:hAnsi="宋体" w:eastAsia="宋体" w:cs="宋体"/>
                <w:b/>
                <w:color w:val="000000" w:themeColor="text1"/>
                <w:kern w:val="0"/>
                <w:sz w:val="21"/>
                <w:szCs w:val="21"/>
                <w14:textFill>
                  <w14:solidFill>
                    <w14:schemeClr w14:val="tx1"/>
                  </w14:solidFill>
                </w14:textFill>
              </w:rPr>
              <w:t>实力</w:t>
            </w:r>
          </w:p>
        </w:tc>
        <w:tc>
          <w:tcPr>
            <w:tcW w:w="5903" w:type="dxa"/>
            <w:tcMar>
              <w:top w:w="57" w:type="dxa"/>
              <w:left w:w="108" w:type="dxa"/>
              <w:bottom w:w="0" w:type="dxa"/>
              <w:right w:w="108" w:type="dxa"/>
            </w:tcMar>
            <w:vAlign w:val="center"/>
          </w:tcPr>
          <w:p>
            <w:pPr>
              <w:widowControl/>
              <w:spacing w:line="240" w:lineRule="auto"/>
              <w:jc w:val="left"/>
              <w:textAlignment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投标人具有ISO20000 IT服务管理体系认证证书、ISO14001环境管理体系认证证书、ISO27001信息安全管理体系认证证书和ISO22301业务连续性管理体系认证证书</w:t>
            </w:r>
            <w:r>
              <w:rPr>
                <w:rFonts w:hint="eastAsia" w:ascii="宋体" w:hAnsi="宋体" w:eastAsia="宋体" w:cs="宋体"/>
                <w:color w:val="000000" w:themeColor="text1"/>
                <w:kern w:val="0"/>
                <w:sz w:val="21"/>
                <w:szCs w:val="21"/>
                <w:lang w:val="en-US" w:eastAsia="zh-CN"/>
                <w14:textFill>
                  <w14:solidFill>
                    <w14:schemeClr w14:val="tx1"/>
                  </w14:solidFill>
                </w14:textFill>
              </w:rPr>
              <w:t>的</w:t>
            </w:r>
            <w:r>
              <w:rPr>
                <w:rFonts w:hint="eastAsia" w:ascii="宋体" w:hAnsi="宋体" w:eastAsia="宋体" w:cs="宋体"/>
                <w:color w:val="000000" w:themeColor="text1"/>
                <w:kern w:val="0"/>
                <w:sz w:val="21"/>
                <w:szCs w:val="21"/>
                <w:lang w:val="zh-CN"/>
                <w14:textFill>
                  <w14:solidFill>
                    <w14:schemeClr w14:val="tx1"/>
                  </w14:solidFill>
                </w14:textFill>
              </w:rPr>
              <w:t>，每个证书得1分，最高得4分。</w:t>
            </w:r>
          </w:p>
          <w:p>
            <w:pPr>
              <w:widowControl/>
              <w:spacing w:line="240" w:lineRule="auto"/>
              <w:jc w:val="left"/>
              <w:textAlignment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w:t>
            </w:r>
            <w:r>
              <w:rPr>
                <w:rFonts w:hint="eastAsia" w:ascii="宋体" w:hAnsi="宋体" w:eastAsia="宋体" w:cs="宋体"/>
                <w:b/>
                <w:color w:val="000000" w:themeColor="text1"/>
                <w:kern w:val="0"/>
                <w:sz w:val="21"/>
                <w:szCs w:val="21"/>
                <w:lang w:val="zh-CN"/>
                <w14:textFill>
                  <w14:solidFill>
                    <w14:schemeClr w14:val="tx1"/>
                  </w14:solidFill>
                </w14:textFill>
              </w:rPr>
              <w:t>需提供有效期内证书原件扫描件以及在国家认证认可监督管理委员会官方网站</w:t>
            </w:r>
            <w:r>
              <w:rPr>
                <w:rFonts w:hint="eastAsia" w:ascii="宋体" w:hAnsi="宋体" w:eastAsia="宋体" w:cs="宋体"/>
                <w:b/>
                <w:color w:val="000000" w:themeColor="text1"/>
                <w:kern w:val="0"/>
                <w:sz w:val="21"/>
                <w:szCs w:val="21"/>
                <w14:textFill>
                  <w14:solidFill>
                    <w14:schemeClr w14:val="tx1"/>
                  </w14:solidFill>
                </w14:textFill>
              </w:rPr>
              <w:t>（http://www.cnca.gov.cn/）</w:t>
            </w:r>
            <w:r>
              <w:rPr>
                <w:rFonts w:hint="eastAsia" w:ascii="宋体" w:hAnsi="宋体" w:eastAsia="宋体" w:cs="宋体"/>
                <w:b/>
                <w:color w:val="000000" w:themeColor="text1"/>
                <w:kern w:val="0"/>
                <w:sz w:val="21"/>
                <w:szCs w:val="21"/>
                <w:lang w:val="zh-CN"/>
                <w14:textFill>
                  <w14:solidFill>
                    <w14:schemeClr w14:val="tx1"/>
                  </w14:solidFill>
                </w14:textFill>
              </w:rPr>
              <w:t>查询的认证结果截图扫描件并加盖投标人公章</w:t>
            </w:r>
            <w:r>
              <w:rPr>
                <w:rFonts w:hint="eastAsia" w:ascii="宋体" w:hAnsi="宋体" w:eastAsia="宋体" w:cs="宋体"/>
                <w:b/>
                <w:color w:val="000000" w:themeColor="text1"/>
                <w:kern w:val="0"/>
                <w:sz w:val="21"/>
                <w:szCs w:val="21"/>
                <w14:textFill>
                  <w14:solidFill>
                    <w14:schemeClr w14:val="tx1"/>
                  </w14:solidFill>
                </w14:textFill>
              </w:rPr>
              <w:t>，</w:t>
            </w:r>
            <w:r>
              <w:rPr>
                <w:rFonts w:hint="eastAsia" w:ascii="宋体" w:hAnsi="宋体" w:eastAsia="宋体" w:cs="宋体"/>
                <w:b/>
                <w:color w:val="000000" w:themeColor="text1"/>
                <w:kern w:val="0"/>
                <w:sz w:val="21"/>
                <w:szCs w:val="21"/>
                <w:lang w:val="zh-CN"/>
                <w14:textFill>
                  <w14:solidFill>
                    <w14:schemeClr w14:val="tx1"/>
                  </w14:solidFill>
                </w14:textFill>
              </w:rPr>
              <w:t>未提供或缺项不得分</w:t>
            </w:r>
            <w:r>
              <w:rPr>
                <w:rFonts w:hint="eastAsia" w:ascii="宋体" w:hAnsi="宋体" w:eastAsia="宋体" w:cs="宋体"/>
                <w:b/>
                <w:color w:val="000000" w:themeColor="text1"/>
                <w:kern w:val="0"/>
                <w:sz w:val="21"/>
                <w:szCs w:val="21"/>
                <w14:textFill>
                  <w14:solidFill>
                    <w14:schemeClr w14:val="tx1"/>
                  </w14:solidFill>
                </w14:textFill>
              </w:rPr>
              <w:t>）</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86" w:type="dxa"/>
            <w:vMerge w:val="continue"/>
            <w:tcMar>
              <w:top w:w="57" w:type="dxa"/>
              <w:left w:w="108" w:type="dxa"/>
              <w:bottom w:w="0" w:type="dxa"/>
              <w:right w:w="108" w:type="dxa"/>
            </w:tcMar>
            <w:vAlign w:val="center"/>
          </w:tcPr>
          <w:p>
            <w:pPr>
              <w:spacing w:line="220" w:lineRule="exact"/>
              <w:jc w:val="center"/>
            </w:pPr>
          </w:p>
        </w:tc>
        <w:tc>
          <w:tcPr>
            <w:tcW w:w="1165" w:type="dxa"/>
            <w:vMerge w:val="continue"/>
            <w:tcMar>
              <w:top w:w="57" w:type="dxa"/>
              <w:left w:w="108" w:type="dxa"/>
              <w:bottom w:w="0" w:type="dxa"/>
              <w:right w:w="108" w:type="dxa"/>
            </w:tcMar>
            <w:vAlign w:val="center"/>
          </w:tcPr>
          <w:p>
            <w:pPr>
              <w:spacing w:line="240" w:lineRule="auto"/>
              <w:jc w:val="center"/>
              <w:rPr>
                <w:rFonts w:hint="eastAsia" w:ascii="宋体" w:hAnsi="宋体" w:eastAsia="宋体" w:cs="宋体"/>
                <w:b/>
                <w:bCs w:val="0"/>
                <w:sz w:val="21"/>
                <w:szCs w:val="21"/>
              </w:rPr>
            </w:pPr>
          </w:p>
        </w:tc>
        <w:tc>
          <w:tcPr>
            <w:tcW w:w="5903" w:type="dxa"/>
            <w:tcMar>
              <w:top w:w="57" w:type="dxa"/>
              <w:left w:w="108" w:type="dxa"/>
              <w:bottom w:w="0" w:type="dxa"/>
              <w:right w:w="108" w:type="dxa"/>
            </w:tcMar>
            <w:vAlign w:val="center"/>
          </w:tcPr>
          <w:p>
            <w:pPr>
              <w:pStyle w:val="28"/>
              <w:widowControl/>
              <w:numPr>
                <w:ilvl w:val="0"/>
                <w:numId w:val="0"/>
              </w:numPr>
              <w:spacing w:line="240" w:lineRule="auto"/>
              <w:ind w:leftChars="0"/>
              <w:jc w:val="lef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投标人具有信息安全服务资质（安全工程类）证书的，得1分。</w:t>
            </w:r>
          </w:p>
          <w:p>
            <w:pPr>
              <w:widowControl/>
              <w:spacing w:line="240" w:lineRule="auto"/>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w:t>
            </w:r>
            <w:r>
              <w:rPr>
                <w:rFonts w:hint="eastAsia" w:ascii="宋体" w:hAnsi="宋体" w:eastAsia="宋体" w:cs="宋体"/>
                <w:b/>
                <w:color w:val="000000" w:themeColor="text1"/>
                <w:kern w:val="0"/>
                <w:sz w:val="21"/>
                <w:szCs w:val="21"/>
                <w:lang w:val="zh-CN"/>
                <w14:textFill>
                  <w14:solidFill>
                    <w14:schemeClr w14:val="tx1"/>
                  </w14:solidFill>
                </w14:textFill>
              </w:rPr>
              <w:t>须提供有效期内证书原件扫描件并加盖投标人公章</w:t>
            </w:r>
            <w:r>
              <w:rPr>
                <w:rFonts w:hint="eastAsia" w:ascii="宋体" w:hAnsi="宋体" w:eastAsia="宋体" w:cs="宋体"/>
                <w:b/>
                <w:color w:val="000000" w:themeColor="text1"/>
                <w:kern w:val="0"/>
                <w:sz w:val="21"/>
                <w:szCs w:val="21"/>
                <w14:textFill>
                  <w14:solidFill>
                    <w14:schemeClr w14:val="tx1"/>
                  </w14:solidFill>
                </w14:textFill>
              </w:rPr>
              <w:t>，</w:t>
            </w:r>
            <w:r>
              <w:rPr>
                <w:rFonts w:hint="eastAsia" w:ascii="宋体" w:hAnsi="宋体" w:eastAsia="宋体" w:cs="宋体"/>
                <w:b/>
                <w:color w:val="000000" w:themeColor="text1"/>
                <w:kern w:val="0"/>
                <w:sz w:val="21"/>
                <w:szCs w:val="21"/>
                <w:lang w:val="zh-CN"/>
                <w14:textFill>
                  <w14:solidFill>
                    <w14:schemeClr w14:val="tx1"/>
                  </w14:solidFill>
                </w14:textFill>
              </w:rPr>
              <w:t>未提供或缺项不得分</w:t>
            </w:r>
            <w:r>
              <w:rPr>
                <w:rFonts w:hint="eastAsia" w:ascii="宋体" w:hAnsi="宋体" w:eastAsia="宋体" w:cs="宋体"/>
                <w:b/>
                <w:color w:val="000000" w:themeColor="text1"/>
                <w:kern w:val="0"/>
                <w:sz w:val="21"/>
                <w:szCs w:val="21"/>
                <w14:textFill>
                  <w14:solidFill>
                    <w14:schemeClr w14:val="tx1"/>
                  </w14:solidFill>
                </w14:textFill>
              </w:rPr>
              <w:t>）</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86" w:type="dxa"/>
            <w:vMerge w:val="continue"/>
            <w:tcMar>
              <w:top w:w="57" w:type="dxa"/>
              <w:left w:w="108" w:type="dxa"/>
              <w:bottom w:w="0" w:type="dxa"/>
              <w:right w:w="108" w:type="dxa"/>
            </w:tcMar>
            <w:vAlign w:val="center"/>
          </w:tcPr>
          <w:p>
            <w:pPr>
              <w:spacing w:line="220" w:lineRule="exact"/>
              <w:jc w:val="center"/>
              <w:rPr>
                <w:rFonts w:hint="eastAsia" w:asciiTheme="minorEastAsia" w:hAnsiTheme="minorEastAsia" w:eastAsiaTheme="minorEastAsia" w:cstheme="minorEastAsia"/>
                <w:b/>
                <w:bCs w:val="0"/>
                <w:sz w:val="21"/>
                <w:szCs w:val="21"/>
              </w:rPr>
            </w:pPr>
          </w:p>
        </w:tc>
        <w:tc>
          <w:tcPr>
            <w:tcW w:w="1165" w:type="dxa"/>
            <w:tcMar>
              <w:top w:w="57" w:type="dxa"/>
              <w:left w:w="108" w:type="dxa"/>
              <w:bottom w:w="0" w:type="dxa"/>
              <w:right w:w="108" w:type="dxa"/>
            </w:tcMar>
            <w:vAlign w:val="center"/>
          </w:tcPr>
          <w:p>
            <w:pPr>
              <w:widowControl/>
              <w:spacing w:line="240" w:lineRule="auto"/>
              <w:jc w:val="center"/>
              <w:textAlignment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类似业绩</w:t>
            </w:r>
          </w:p>
        </w:tc>
        <w:tc>
          <w:tcPr>
            <w:tcW w:w="5903" w:type="dxa"/>
            <w:tcMar>
              <w:top w:w="57" w:type="dxa"/>
              <w:left w:w="108" w:type="dxa"/>
              <w:bottom w:w="0" w:type="dxa"/>
              <w:right w:w="108" w:type="dxa"/>
            </w:tcMar>
            <w:vAlign w:val="center"/>
          </w:tcPr>
          <w:p>
            <w:pPr>
              <w:widowControl/>
              <w:spacing w:line="240" w:lineRule="auto"/>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根据投标人自2021年</w:t>
            </w:r>
            <w:r>
              <w:rPr>
                <w:rFonts w:hint="eastAsia" w:ascii="宋体" w:hAnsi="宋体" w:cs="宋体"/>
                <w:color w:val="000000" w:themeColor="text1"/>
                <w:kern w:val="0"/>
                <w:sz w:val="21"/>
                <w:szCs w:val="21"/>
                <w:lang w:val="en-US" w:eastAsia="zh-CN"/>
                <w14:textFill>
                  <w14:solidFill>
                    <w14:schemeClr w14:val="tx1"/>
                  </w14:solidFill>
                </w14:textFill>
              </w:rPr>
              <w:t>3月</w:t>
            </w:r>
            <w:r>
              <w:rPr>
                <w:rFonts w:hint="eastAsia" w:ascii="宋体" w:hAnsi="宋体" w:eastAsia="宋体" w:cs="宋体"/>
                <w:color w:val="000000" w:themeColor="text1"/>
                <w:kern w:val="0"/>
                <w:sz w:val="21"/>
                <w:szCs w:val="21"/>
                <w14:textFill>
                  <w14:solidFill>
                    <w14:schemeClr w14:val="tx1"/>
                  </w14:solidFill>
                </w14:textFill>
              </w:rPr>
              <w:t>（含）至今（以合同签订时间为准）至今承担过同类项目实施业绩情况，每提供一份业绩得0.5分，最高得3分。</w:t>
            </w:r>
          </w:p>
          <w:p>
            <w:pPr>
              <w:widowControl/>
              <w:spacing w:line="240" w:lineRule="auto"/>
              <w:textAlignment w:val="center"/>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（须提供合同原件扫描件并加盖投标人公章，未提供或缺项不得分）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86" w:type="dxa"/>
            <w:vMerge w:val="continue"/>
            <w:tcMar>
              <w:top w:w="57" w:type="dxa"/>
              <w:left w:w="108" w:type="dxa"/>
              <w:bottom w:w="0" w:type="dxa"/>
              <w:right w:w="108" w:type="dxa"/>
            </w:tcMar>
            <w:vAlign w:val="center"/>
          </w:tcPr>
          <w:p>
            <w:pPr>
              <w:spacing w:line="220" w:lineRule="exact"/>
              <w:jc w:val="center"/>
              <w:rPr>
                <w:rFonts w:hint="eastAsia" w:asciiTheme="minorEastAsia" w:hAnsiTheme="minorEastAsia" w:eastAsiaTheme="minorEastAsia" w:cstheme="minorEastAsia"/>
                <w:b/>
                <w:bCs w:val="0"/>
                <w:sz w:val="21"/>
                <w:szCs w:val="21"/>
              </w:rPr>
            </w:pPr>
          </w:p>
        </w:tc>
        <w:tc>
          <w:tcPr>
            <w:tcW w:w="1165" w:type="dxa"/>
            <w:vMerge w:val="restart"/>
            <w:tcMar>
              <w:top w:w="57" w:type="dxa"/>
              <w:left w:w="108" w:type="dxa"/>
              <w:bottom w:w="0" w:type="dxa"/>
              <w:right w:w="108" w:type="dxa"/>
            </w:tcMar>
            <w:vAlign w:val="center"/>
          </w:tcPr>
          <w:p>
            <w:pPr>
              <w:widowControl/>
              <w:snapToGrid w:val="0"/>
              <w:spacing w:line="240" w:lineRule="auto"/>
              <w:jc w:val="center"/>
              <w:textAlignment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项目组人员情况</w:t>
            </w:r>
          </w:p>
        </w:tc>
        <w:tc>
          <w:tcPr>
            <w:tcW w:w="5903" w:type="dxa"/>
            <w:tcMar>
              <w:top w:w="57" w:type="dxa"/>
              <w:left w:w="108" w:type="dxa"/>
              <w:bottom w:w="0" w:type="dxa"/>
              <w:right w:w="108" w:type="dxa"/>
            </w:tcMar>
            <w:vAlign w:val="top"/>
          </w:tcPr>
          <w:p>
            <w:pPr>
              <w:snapToGrid w:val="0"/>
              <w:spacing w:line="240" w:lineRule="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项目经理具备信息系统项目管理师，注册信息安全</w:t>
            </w:r>
            <w:r>
              <w:rPr>
                <w:rFonts w:hint="eastAsia" w:ascii="宋体" w:hAnsi="宋体" w:eastAsia="宋体" w:cs="宋体"/>
                <w:color w:val="auto"/>
                <w:kern w:val="0"/>
                <w:sz w:val="21"/>
                <w:szCs w:val="21"/>
                <w:lang w:val="zh-CN"/>
              </w:rPr>
              <w:t>工程师，所投服务器自带操作系统认证工程师，计算机等级考试证书。每提供1个证书得1分，最高得4分。</w:t>
            </w:r>
          </w:p>
          <w:p>
            <w:pPr>
              <w:widowControl/>
              <w:spacing w:line="240" w:lineRule="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（须提供有效证书原件扫描件及投标人为其缴纳的近3个月社保证明并加盖投标人公章，未提供或缺项不得分）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86" w:type="dxa"/>
            <w:vMerge w:val="continue"/>
            <w:tcMar>
              <w:top w:w="57" w:type="dxa"/>
              <w:left w:w="108" w:type="dxa"/>
              <w:bottom w:w="0" w:type="dxa"/>
              <w:right w:w="108" w:type="dxa"/>
            </w:tcMar>
            <w:vAlign w:val="center"/>
          </w:tcPr>
          <w:p>
            <w:pPr>
              <w:spacing w:line="220" w:lineRule="exact"/>
              <w:jc w:val="center"/>
              <w:rPr>
                <w:rFonts w:hint="eastAsia" w:asciiTheme="minorEastAsia" w:hAnsiTheme="minorEastAsia" w:eastAsiaTheme="minorEastAsia" w:cstheme="minorEastAsia"/>
                <w:b/>
                <w:bCs w:val="0"/>
                <w:sz w:val="21"/>
                <w:szCs w:val="21"/>
              </w:rPr>
            </w:pPr>
          </w:p>
        </w:tc>
        <w:tc>
          <w:tcPr>
            <w:tcW w:w="1165" w:type="dxa"/>
            <w:vMerge w:val="continue"/>
            <w:tcMar>
              <w:top w:w="57" w:type="dxa"/>
              <w:left w:w="108" w:type="dxa"/>
              <w:bottom w:w="0" w:type="dxa"/>
              <w:right w:w="108" w:type="dxa"/>
            </w:tcMar>
            <w:vAlign w:val="center"/>
          </w:tcPr>
          <w:p>
            <w:pPr>
              <w:spacing w:line="240" w:lineRule="auto"/>
              <w:jc w:val="center"/>
              <w:rPr>
                <w:rFonts w:hint="eastAsia" w:ascii="宋体" w:hAnsi="宋体" w:eastAsia="宋体" w:cs="宋体"/>
                <w:b/>
                <w:bCs w:val="0"/>
                <w:sz w:val="21"/>
                <w:szCs w:val="21"/>
              </w:rPr>
            </w:pPr>
          </w:p>
        </w:tc>
        <w:tc>
          <w:tcPr>
            <w:tcW w:w="5903" w:type="dxa"/>
            <w:tcMar>
              <w:top w:w="57" w:type="dxa"/>
              <w:left w:w="108" w:type="dxa"/>
              <w:bottom w:w="0" w:type="dxa"/>
              <w:right w:w="108" w:type="dxa"/>
            </w:tcMar>
            <w:vAlign w:val="top"/>
          </w:tcPr>
          <w:p>
            <w:pPr>
              <w:snapToGrid w:val="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 xml:space="preserve">① </w:t>
            </w:r>
            <w:r>
              <w:rPr>
                <w:rFonts w:hint="eastAsia" w:ascii="宋体" w:hAnsi="宋体" w:cs="宋体"/>
                <w:color w:val="000000" w:themeColor="text1"/>
                <w:kern w:val="0"/>
                <w:szCs w:val="21"/>
                <w:lang w:val="zh-CN"/>
                <w14:textFill>
                  <w14:solidFill>
                    <w14:schemeClr w14:val="tx1"/>
                  </w14:solidFill>
                </w14:textFill>
              </w:rPr>
              <w:t>项目团队成员（项目经理除外）具备人社部门颁发的中级或高级计算机技术与软件专业技术资格证书，每提供一本中级证书得0.5分（</w:t>
            </w:r>
            <w:r>
              <w:rPr>
                <w:rFonts w:hint="eastAsia" w:ascii="宋体" w:hAnsi="宋体" w:cs="宋体"/>
                <w:color w:val="000000" w:themeColor="text1"/>
                <w:kern w:val="0"/>
                <w:szCs w:val="21"/>
                <w:lang w:val="en-US" w:eastAsia="zh-CN"/>
                <w14:textFill>
                  <w14:solidFill>
                    <w14:schemeClr w14:val="tx1"/>
                  </w14:solidFill>
                </w14:textFill>
              </w:rPr>
              <w:t>中级证书最高得1分）</w:t>
            </w:r>
            <w:r>
              <w:rPr>
                <w:rFonts w:hint="eastAsia" w:ascii="宋体" w:hAnsi="宋体" w:cs="宋体"/>
                <w:color w:val="000000" w:themeColor="text1"/>
                <w:kern w:val="0"/>
                <w:szCs w:val="21"/>
                <w:lang w:val="zh-CN"/>
                <w14:textFill>
                  <w14:solidFill>
                    <w14:schemeClr w14:val="tx1"/>
                  </w14:solidFill>
                </w14:textFill>
              </w:rPr>
              <w:t>，每提供一本高级证书得1分（高级证书</w:t>
            </w:r>
            <w:r>
              <w:rPr>
                <w:rFonts w:hint="eastAsia" w:ascii="宋体" w:hAnsi="宋体" w:cs="宋体"/>
                <w:color w:val="000000" w:themeColor="text1"/>
                <w:kern w:val="0"/>
                <w:szCs w:val="21"/>
                <w:lang w:val="en-US" w:eastAsia="zh-CN"/>
                <w14:textFill>
                  <w14:solidFill>
                    <w14:schemeClr w14:val="tx1"/>
                  </w14:solidFill>
                </w14:textFill>
              </w:rPr>
              <w:t>得分不做限制），</w:t>
            </w:r>
            <w:r>
              <w:rPr>
                <w:rFonts w:hint="eastAsia" w:ascii="宋体" w:hAnsi="宋体" w:cs="宋体"/>
                <w:color w:val="000000" w:themeColor="text1"/>
                <w:kern w:val="0"/>
                <w:szCs w:val="21"/>
                <w:lang w:val="zh-CN"/>
                <w14:textFill>
                  <w14:solidFill>
                    <w14:schemeClr w14:val="tx1"/>
                  </w14:solidFill>
                </w14:textFill>
              </w:rPr>
              <w:t>此项最高得3分；</w:t>
            </w:r>
          </w:p>
          <w:p>
            <w:pPr>
              <w:widowControl/>
              <w:spacing w:line="240" w:lineRule="auto"/>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 xml:space="preserve">② </w:t>
            </w:r>
            <w:r>
              <w:rPr>
                <w:rFonts w:hint="eastAsia" w:ascii="宋体" w:hAnsi="宋体" w:cs="宋体"/>
                <w:color w:val="000000" w:themeColor="text1"/>
                <w:kern w:val="0"/>
                <w:szCs w:val="21"/>
                <w:lang w:val="zh-CN"/>
                <w14:textFill>
                  <w14:solidFill>
                    <w14:schemeClr w14:val="tx1"/>
                  </w14:solidFill>
                </w14:textFill>
              </w:rPr>
              <w:t>项目团队成员（项目经理除外）具有人社部门颁发的信息技术（系统集成）高级工程师证书、网络工程师证书、注册信息安全专业人员渗透工程师证书</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lang w:val="zh-CN"/>
                <w14:textFill>
                  <w14:solidFill>
                    <w14:schemeClr w14:val="tx1"/>
                  </w14:solidFill>
                </w14:textFill>
              </w:rPr>
              <w:t>，每提供一本得1分，最高得3分。</w:t>
            </w:r>
          </w:p>
          <w:p>
            <w:pPr>
              <w:widowControl/>
              <w:spacing w:line="240" w:lineRule="auto"/>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（须提供有效证书原件扫描件及投标人为其缴纳的近3个月社保证明并加盖投标人公章，未提供或缺项不得分。同一人员拥有多项资格证书的，只按得分最高项一项计分，不重复计分）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86" w:type="dxa"/>
            <w:vMerge w:val="restart"/>
            <w:tcMar>
              <w:top w:w="57" w:type="dxa"/>
              <w:left w:w="108" w:type="dxa"/>
              <w:bottom w:w="0" w:type="dxa"/>
              <w:right w:w="108" w:type="dxa"/>
            </w:tcMar>
            <w:vAlign w:val="center"/>
          </w:tcPr>
          <w:p>
            <w:pPr>
              <w:pStyle w:val="8"/>
              <w:ind w:firstLine="0"/>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售后服务承诺</w:t>
            </w:r>
          </w:p>
          <w:p>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rPr>
              <w:t>分</w:t>
            </w:r>
          </w:p>
        </w:tc>
        <w:tc>
          <w:tcPr>
            <w:tcW w:w="1165" w:type="dxa"/>
            <w:tcMar>
              <w:top w:w="57" w:type="dxa"/>
              <w:left w:w="108" w:type="dxa"/>
              <w:bottom w:w="0" w:type="dxa"/>
              <w:right w:w="108" w:type="dxa"/>
            </w:tcMar>
            <w:vAlign w:val="center"/>
          </w:tcPr>
          <w:p>
            <w:pPr>
              <w:widowControl/>
              <w:spacing w:line="240" w:lineRule="auto"/>
              <w:jc w:val="center"/>
              <w:textAlignment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售后服务方案</w:t>
            </w:r>
          </w:p>
        </w:tc>
        <w:tc>
          <w:tcPr>
            <w:tcW w:w="5903" w:type="dxa"/>
            <w:tcMar>
              <w:top w:w="57" w:type="dxa"/>
              <w:left w:w="108" w:type="dxa"/>
              <w:bottom w:w="0" w:type="dxa"/>
              <w:right w:w="108" w:type="dxa"/>
            </w:tcMar>
            <w:vAlign w:val="center"/>
          </w:tcPr>
          <w:p>
            <w:pPr>
              <w:widowControl/>
              <w:spacing w:line="240" w:lineRule="auto"/>
              <w:textAlignment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根据投标人针对本项目提供的售后服务质保期、售后响应速度、技术力量、服务方式、维护修复时间承诺，包括项目维护计划（对用户故障的响应、处理、定期巡检等情况）的有效性等方面进行综合评分：</w:t>
            </w:r>
          </w:p>
          <w:p>
            <w:pPr>
              <w:widowControl/>
              <w:spacing w:line="240" w:lineRule="auto"/>
              <w:textAlignment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① </w:t>
            </w:r>
            <w:r>
              <w:rPr>
                <w:rFonts w:hint="eastAsia" w:ascii="宋体" w:hAnsi="宋体" w:eastAsia="宋体" w:cs="宋体"/>
                <w:color w:val="000000" w:themeColor="text1"/>
                <w:kern w:val="0"/>
                <w:sz w:val="21"/>
                <w:szCs w:val="21"/>
                <w:lang w:val="zh-CN"/>
                <w14:textFill>
                  <w14:solidFill>
                    <w14:schemeClr w14:val="tx1"/>
                  </w14:solidFill>
                </w14:textFill>
              </w:rPr>
              <w:t>具备完善的售后服务体系，后期服务针对本项目有专项售后小组、人员及队伍，服务响应时间迅速、预案合理的得3.5-6分；</w:t>
            </w:r>
          </w:p>
          <w:p>
            <w:pPr>
              <w:widowControl/>
              <w:spacing w:line="240" w:lineRule="auto"/>
              <w:textAlignment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② </w:t>
            </w:r>
            <w:r>
              <w:rPr>
                <w:rFonts w:hint="eastAsia" w:ascii="宋体" w:hAnsi="宋体" w:eastAsia="宋体" w:cs="宋体"/>
                <w:color w:val="000000" w:themeColor="text1"/>
                <w:kern w:val="0"/>
                <w:sz w:val="21"/>
                <w:szCs w:val="21"/>
                <w:lang w:val="zh-CN"/>
                <w14:textFill>
                  <w14:solidFill>
                    <w14:schemeClr w14:val="tx1"/>
                  </w14:solidFill>
                </w14:textFill>
              </w:rPr>
              <w:t>具备较完善的售后服务体系，后期服务针对本项目有专项售后小组、人员及队伍，服务响应时间较迅速、预案较合理的得1.4-3.4分；</w:t>
            </w:r>
          </w:p>
          <w:p>
            <w:pPr>
              <w:widowControl/>
              <w:spacing w:line="240" w:lineRule="auto"/>
              <w:textAlignment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③ </w:t>
            </w:r>
            <w:r>
              <w:rPr>
                <w:rFonts w:hint="eastAsia" w:ascii="宋体" w:hAnsi="宋体" w:eastAsia="宋体" w:cs="宋体"/>
                <w:color w:val="000000" w:themeColor="text1"/>
                <w:kern w:val="0"/>
                <w:sz w:val="21"/>
                <w:szCs w:val="21"/>
                <w:lang w:val="zh-CN"/>
                <w14:textFill>
                  <w14:solidFill>
                    <w14:schemeClr w14:val="tx1"/>
                  </w14:solidFill>
                </w14:textFill>
              </w:rPr>
              <w:t>具备的售后服务体系一般，后期服务针对本项目有专项售后小组、人员及队伍，服务响应时间一般、预案一般的得0.1-1.3分；</w:t>
            </w:r>
          </w:p>
          <w:p>
            <w:pPr>
              <w:widowControl/>
              <w:spacing w:line="240" w:lineRule="auto"/>
              <w:textAlignment w:val="center"/>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④ 未提及本项的不得分</w:t>
            </w:r>
            <w:r>
              <w:rPr>
                <w:rFonts w:hint="eastAsia" w:ascii="宋体" w:hAnsi="宋体" w:eastAsia="宋体" w:cs="宋体"/>
                <w:color w:val="000000" w:themeColor="text1"/>
                <w:kern w:val="0"/>
                <w:sz w:val="21"/>
                <w:szCs w:val="21"/>
                <w:lang w:val="zh-CN"/>
                <w14:textFill>
                  <w14:solidFill>
                    <w14:schemeClr w14:val="tx1"/>
                  </w14:solidFill>
                </w14:textFill>
              </w:rPr>
              <w:t>。</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86" w:type="dxa"/>
            <w:vMerge w:val="continue"/>
            <w:tcMar>
              <w:top w:w="57" w:type="dxa"/>
              <w:left w:w="108" w:type="dxa"/>
              <w:bottom w:w="0" w:type="dxa"/>
              <w:right w:w="108" w:type="dxa"/>
            </w:tcMar>
            <w:vAlign w:val="center"/>
          </w:tcPr>
          <w:p>
            <w:pPr>
              <w:spacing w:line="220" w:lineRule="exact"/>
              <w:jc w:val="center"/>
            </w:pPr>
          </w:p>
        </w:tc>
        <w:tc>
          <w:tcPr>
            <w:tcW w:w="1165" w:type="dxa"/>
            <w:tcMar>
              <w:top w:w="57" w:type="dxa"/>
              <w:left w:w="108" w:type="dxa"/>
              <w:bottom w:w="0" w:type="dxa"/>
              <w:right w:w="108" w:type="dxa"/>
            </w:tcMar>
            <w:vAlign w:val="center"/>
          </w:tcPr>
          <w:p>
            <w:pPr>
              <w:spacing w:line="220" w:lineRule="exact"/>
              <w:jc w:val="center"/>
              <w:rPr>
                <w:rFonts w:hint="default"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售后服务能力</w:t>
            </w:r>
          </w:p>
        </w:tc>
        <w:tc>
          <w:tcPr>
            <w:tcW w:w="5903" w:type="dxa"/>
            <w:tcMar>
              <w:top w:w="57" w:type="dxa"/>
              <w:left w:w="108" w:type="dxa"/>
              <w:bottom w:w="0" w:type="dxa"/>
              <w:right w:w="108" w:type="dxa"/>
            </w:tcMar>
            <w:vAlign w:val="center"/>
          </w:tcPr>
          <w:p>
            <w:pPr>
              <w:widowControl/>
              <w:spacing w:line="240" w:lineRule="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投标人具有服务认证证书五星级及以上的，得1分。</w:t>
            </w:r>
          </w:p>
          <w:p>
            <w:pPr>
              <w:widowControl/>
              <w:spacing w:line="240" w:lineRule="auto"/>
              <w:rPr>
                <w:rFonts w:hint="eastAsia" w:asciiTheme="minorEastAsia" w:hAnsiTheme="minorEastAsia" w:eastAsiaTheme="minorEastAsia" w:cstheme="minorEastAsia"/>
                <w:b/>
                <w:bCs w:val="0"/>
                <w:sz w:val="21"/>
                <w:szCs w:val="21"/>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（须提供有效证书原件扫描件并加盖投标人公章，未提供不得分）</w:t>
            </w:r>
          </w:p>
        </w:tc>
        <w:tc>
          <w:tcPr>
            <w:tcW w:w="664" w:type="dxa"/>
            <w:tcMar>
              <w:top w:w="57" w:type="dxa"/>
              <w:left w:w="108" w:type="dxa"/>
              <w:bottom w:w="0" w:type="dxa"/>
              <w:right w:w="108" w:type="dxa"/>
            </w:tcMar>
            <w:vAlign w:val="center"/>
          </w:tcPr>
          <w:p>
            <w:pPr>
              <w:spacing w:line="22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86" w:type="dxa"/>
            <w:vMerge w:val="continue"/>
            <w:tcMar>
              <w:top w:w="57" w:type="dxa"/>
              <w:left w:w="108" w:type="dxa"/>
              <w:bottom w:w="0" w:type="dxa"/>
              <w:right w:w="108" w:type="dxa"/>
            </w:tcMar>
            <w:vAlign w:val="center"/>
          </w:tcPr>
          <w:p>
            <w:pPr>
              <w:spacing w:line="220" w:lineRule="exact"/>
              <w:jc w:val="center"/>
              <w:rPr>
                <w:rFonts w:hint="eastAsia" w:asciiTheme="minorEastAsia" w:hAnsiTheme="minorEastAsia" w:eastAsiaTheme="minorEastAsia" w:cstheme="minorEastAsia"/>
                <w:b/>
                <w:bCs w:val="0"/>
                <w:sz w:val="21"/>
                <w:szCs w:val="21"/>
              </w:rPr>
            </w:pPr>
          </w:p>
        </w:tc>
        <w:tc>
          <w:tcPr>
            <w:tcW w:w="1165" w:type="dxa"/>
            <w:tcMar>
              <w:top w:w="57" w:type="dxa"/>
              <w:left w:w="108" w:type="dxa"/>
              <w:bottom w:w="0" w:type="dxa"/>
              <w:right w:w="108" w:type="dxa"/>
            </w:tcMar>
            <w:vAlign w:val="center"/>
          </w:tcPr>
          <w:p>
            <w:pPr>
              <w:spacing w:line="220" w:lineRule="exact"/>
              <w:jc w:val="center"/>
              <w:rPr>
                <w:rFonts w:hint="default"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功能测试与验收方案</w:t>
            </w:r>
          </w:p>
        </w:tc>
        <w:tc>
          <w:tcPr>
            <w:tcW w:w="5903" w:type="dxa"/>
            <w:tcMar>
              <w:top w:w="57" w:type="dxa"/>
              <w:left w:w="108" w:type="dxa"/>
              <w:bottom w:w="0" w:type="dxa"/>
              <w:right w:w="108" w:type="dxa"/>
            </w:tcMar>
            <w:vAlign w:val="center"/>
          </w:tcPr>
          <w:p>
            <w:pPr>
              <w:widowControl/>
              <w:spacing w:line="240" w:lineRule="auto"/>
              <w:textAlignment w:val="center"/>
              <w:rPr>
                <w:rFonts w:ascii="宋体" w:hAnsi="宋体" w:cs="宋体"/>
                <w:color w:val="000000" w:themeColor="text1"/>
                <w:kern w:val="0"/>
                <w:sz w:val="21"/>
                <w:szCs w:val="21"/>
                <w:lang w:val="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根据投标人提供的</w:t>
            </w:r>
            <w:r>
              <w:rPr>
                <w:rFonts w:hint="eastAsia" w:ascii="宋体" w:hAnsi="宋体" w:cs="宋体"/>
                <w:color w:val="000000" w:themeColor="text1"/>
                <w:kern w:val="0"/>
                <w:sz w:val="21"/>
                <w:szCs w:val="21"/>
                <w:lang w:val="zh-CN"/>
                <w14:textFill>
                  <w14:solidFill>
                    <w14:schemeClr w14:val="tx1"/>
                  </w14:solidFill>
                </w14:textFill>
              </w:rPr>
              <w:t>功能测试</w:t>
            </w:r>
            <w:r>
              <w:rPr>
                <w:rFonts w:hint="eastAsia" w:ascii="宋体" w:hAnsi="宋体" w:cs="宋体"/>
                <w:color w:val="000000" w:themeColor="text1"/>
                <w:kern w:val="0"/>
                <w:sz w:val="21"/>
                <w:szCs w:val="21"/>
                <w:lang w:val="en-US" w:eastAsia="zh-CN"/>
                <w14:textFill>
                  <w14:solidFill>
                    <w14:schemeClr w14:val="tx1"/>
                  </w14:solidFill>
                </w14:textFill>
              </w:rPr>
              <w:t>与</w:t>
            </w:r>
            <w:r>
              <w:rPr>
                <w:rFonts w:hint="eastAsia" w:ascii="宋体" w:hAnsi="宋体" w:cs="宋体"/>
                <w:color w:val="000000" w:themeColor="text1"/>
                <w:kern w:val="0"/>
                <w:sz w:val="21"/>
                <w:szCs w:val="21"/>
                <w:lang w:val="zh-CN"/>
                <w14:textFill>
                  <w14:solidFill>
                    <w14:schemeClr w14:val="tx1"/>
                  </w14:solidFill>
                </w14:textFill>
              </w:rPr>
              <w:t>验收方案</w:t>
            </w:r>
            <w:r>
              <w:rPr>
                <w:rFonts w:hint="eastAsia" w:ascii="宋体" w:hAnsi="宋体" w:cs="宋体"/>
                <w:color w:val="000000" w:themeColor="text1"/>
                <w:kern w:val="0"/>
                <w:sz w:val="21"/>
                <w:szCs w:val="21"/>
                <w:lang w:val="en-US" w:eastAsia="zh-CN"/>
                <w14:textFill>
                  <w14:solidFill>
                    <w14:schemeClr w14:val="tx1"/>
                  </w14:solidFill>
                </w14:textFill>
              </w:rPr>
              <w:t>的</w:t>
            </w:r>
            <w:r>
              <w:rPr>
                <w:rFonts w:hint="eastAsia" w:ascii="宋体" w:hAnsi="宋体" w:cs="宋体"/>
                <w:color w:val="000000" w:themeColor="text1"/>
                <w:kern w:val="0"/>
                <w:sz w:val="21"/>
                <w:szCs w:val="21"/>
                <w:lang w:val="zh-CN"/>
                <w14:textFill>
                  <w14:solidFill>
                    <w14:schemeClr w14:val="tx1"/>
                  </w14:solidFill>
                </w14:textFill>
              </w:rPr>
              <w:t>合理性、可行性，</w:t>
            </w:r>
            <w:r>
              <w:rPr>
                <w:rFonts w:hint="eastAsia" w:ascii="宋体" w:hAnsi="宋体" w:cs="宋体"/>
                <w:color w:val="000000" w:themeColor="text1"/>
                <w:kern w:val="0"/>
                <w:sz w:val="21"/>
                <w:szCs w:val="21"/>
                <w:lang w:val="en-US" w:eastAsia="zh-CN"/>
                <w14:textFill>
                  <w14:solidFill>
                    <w14:schemeClr w14:val="tx1"/>
                  </w14:solidFill>
                </w14:textFill>
              </w:rPr>
              <w:t>并</w:t>
            </w:r>
            <w:r>
              <w:rPr>
                <w:rFonts w:hint="eastAsia" w:ascii="宋体" w:hAnsi="宋体" w:cs="宋体"/>
                <w:color w:val="000000" w:themeColor="text1"/>
                <w:kern w:val="0"/>
                <w:sz w:val="21"/>
                <w:szCs w:val="21"/>
                <w:lang w:val="zh-CN"/>
                <w14:textFill>
                  <w14:solidFill>
                    <w14:schemeClr w14:val="tx1"/>
                  </w14:solidFill>
                </w14:textFill>
              </w:rPr>
              <w:t>结合本项目实际情况进行</w:t>
            </w:r>
            <w:r>
              <w:rPr>
                <w:rFonts w:hint="eastAsia" w:ascii="宋体" w:hAnsi="宋体" w:cs="宋体"/>
                <w:color w:val="000000" w:themeColor="text1"/>
                <w:kern w:val="0"/>
                <w:sz w:val="21"/>
                <w:szCs w:val="21"/>
                <w:lang w:val="en-US" w:eastAsia="zh-CN"/>
                <w14:textFill>
                  <w14:solidFill>
                    <w14:schemeClr w14:val="tx1"/>
                  </w14:solidFill>
                </w14:textFill>
              </w:rPr>
              <w:t>综合</w:t>
            </w:r>
            <w:r>
              <w:rPr>
                <w:rFonts w:hint="eastAsia" w:ascii="宋体" w:hAnsi="宋体" w:cs="宋体"/>
                <w:color w:val="000000" w:themeColor="text1"/>
                <w:kern w:val="0"/>
                <w:sz w:val="21"/>
                <w:szCs w:val="21"/>
                <w:lang w:val="zh-CN"/>
                <w14:textFill>
                  <w14:solidFill>
                    <w14:schemeClr w14:val="tx1"/>
                  </w14:solidFill>
                </w14:textFill>
              </w:rPr>
              <w:t>评分：</w:t>
            </w:r>
          </w:p>
          <w:p>
            <w:pPr>
              <w:widowControl/>
              <w:spacing w:line="240" w:lineRule="auto"/>
              <w:textAlignment w:val="center"/>
              <w:rPr>
                <w:rFonts w:ascii="宋体" w:hAnsi="宋体" w:cs="宋体"/>
                <w:color w:val="000000" w:themeColor="text1"/>
                <w:kern w:val="0"/>
                <w:sz w:val="21"/>
                <w:szCs w:val="21"/>
                <w:lang w:val="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① </w:t>
            </w:r>
            <w:r>
              <w:rPr>
                <w:rFonts w:hint="eastAsia" w:ascii="宋体" w:hAnsi="宋体" w:cs="宋体"/>
                <w:kern w:val="0"/>
                <w:sz w:val="21"/>
                <w:szCs w:val="21"/>
                <w:lang w:val="en-US" w:eastAsia="zh-CN"/>
              </w:rPr>
              <w:t>方案完整</w:t>
            </w:r>
            <w:r>
              <w:rPr>
                <w:rFonts w:hint="eastAsia" w:ascii="宋体" w:hAnsi="宋体" w:cs="宋体"/>
                <w:color w:val="000000" w:themeColor="text1"/>
                <w:kern w:val="0"/>
                <w:sz w:val="21"/>
                <w:szCs w:val="21"/>
                <w:lang w:val="zh-CN"/>
                <w14:textFill>
                  <w14:solidFill>
                    <w14:schemeClr w14:val="tx1"/>
                  </w14:solidFill>
                </w14:textFill>
              </w:rPr>
              <w:t>，且描述十分清晰、完全符合本项目实际情况的得</w:t>
            </w:r>
            <w:r>
              <w:rPr>
                <w:rFonts w:ascii="宋体" w:hAnsi="宋体" w:cs="宋体"/>
                <w:color w:val="000000" w:themeColor="text1"/>
                <w:kern w:val="0"/>
                <w:sz w:val="21"/>
                <w:szCs w:val="21"/>
                <w:lang w:val="zh-CN"/>
                <w14:textFill>
                  <w14:solidFill>
                    <w14:schemeClr w14:val="tx1"/>
                  </w14:solidFill>
                </w14:textFill>
              </w:rPr>
              <w:t>1</w:t>
            </w:r>
            <w:r>
              <w:rPr>
                <w:rFonts w:hint="eastAsia" w:ascii="宋体" w:hAnsi="宋体" w:cs="宋体"/>
                <w:color w:val="000000" w:themeColor="text1"/>
                <w:kern w:val="0"/>
                <w:sz w:val="21"/>
                <w:szCs w:val="21"/>
                <w:lang w:val="zh-CN"/>
                <w14:textFill>
                  <w14:solidFill>
                    <w14:schemeClr w14:val="tx1"/>
                  </w14:solidFill>
                </w14:textFill>
              </w:rPr>
              <w:t>.</w:t>
            </w:r>
            <w:r>
              <w:rPr>
                <w:rFonts w:ascii="宋体" w:hAnsi="宋体" w:cs="宋体"/>
                <w:color w:val="000000" w:themeColor="text1"/>
                <w:kern w:val="0"/>
                <w:sz w:val="21"/>
                <w:szCs w:val="21"/>
                <w:lang w:val="zh-CN"/>
                <w14:textFill>
                  <w14:solidFill>
                    <w14:schemeClr w14:val="tx1"/>
                  </w14:solidFill>
                </w14:textFill>
              </w:rPr>
              <w:t>3</w:t>
            </w:r>
            <w:r>
              <w:rPr>
                <w:rFonts w:hint="eastAsia" w:ascii="宋体" w:hAnsi="宋体" w:cs="宋体"/>
                <w:color w:val="000000" w:themeColor="text1"/>
                <w:kern w:val="0"/>
                <w:sz w:val="21"/>
                <w:szCs w:val="21"/>
                <w:lang w:val="zh-CN"/>
                <w14:textFill>
                  <w14:solidFill>
                    <w14:schemeClr w14:val="tx1"/>
                  </w14:solidFill>
                </w14:textFill>
              </w:rPr>
              <w:t>-</w:t>
            </w:r>
            <w:r>
              <w:rPr>
                <w:rFonts w:ascii="宋体" w:hAnsi="宋体" w:cs="宋体"/>
                <w:color w:val="000000" w:themeColor="text1"/>
                <w:kern w:val="0"/>
                <w:sz w:val="21"/>
                <w:szCs w:val="21"/>
                <w:lang w:val="zh-CN"/>
                <w14:textFill>
                  <w14:solidFill>
                    <w14:schemeClr w14:val="tx1"/>
                  </w14:solidFill>
                </w14:textFill>
              </w:rPr>
              <w:t>2</w:t>
            </w:r>
            <w:r>
              <w:rPr>
                <w:rFonts w:hint="eastAsia" w:ascii="宋体" w:hAnsi="宋体" w:cs="宋体"/>
                <w:color w:val="000000" w:themeColor="text1"/>
                <w:kern w:val="0"/>
                <w:sz w:val="21"/>
                <w:szCs w:val="21"/>
                <w:lang w:val="zh-CN"/>
                <w14:textFill>
                  <w14:solidFill>
                    <w14:schemeClr w14:val="tx1"/>
                  </w14:solidFill>
                </w14:textFill>
              </w:rPr>
              <w:t>分。</w:t>
            </w:r>
          </w:p>
          <w:p>
            <w:pPr>
              <w:widowControl/>
              <w:spacing w:line="240" w:lineRule="auto"/>
              <w:textAlignment w:val="center"/>
              <w:rPr>
                <w:rFonts w:ascii="宋体" w:hAnsi="宋体" w:cs="宋体"/>
                <w:color w:val="000000" w:themeColor="text1"/>
                <w:kern w:val="0"/>
                <w:sz w:val="21"/>
                <w:szCs w:val="21"/>
                <w:lang w:val="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② </w:t>
            </w:r>
            <w:r>
              <w:rPr>
                <w:rFonts w:hint="eastAsia" w:ascii="宋体" w:hAnsi="宋体" w:cs="宋体"/>
                <w:kern w:val="0"/>
                <w:sz w:val="21"/>
                <w:szCs w:val="21"/>
                <w:lang w:val="en-US" w:eastAsia="zh-CN"/>
              </w:rPr>
              <w:t>方案完整</w:t>
            </w:r>
            <w:r>
              <w:rPr>
                <w:rFonts w:hint="eastAsia" w:ascii="宋体" w:hAnsi="宋体" w:cs="宋体"/>
                <w:color w:val="000000" w:themeColor="text1"/>
                <w:kern w:val="0"/>
                <w:sz w:val="21"/>
                <w:szCs w:val="21"/>
                <w:lang w:val="zh-CN"/>
                <w14:textFill>
                  <w14:solidFill>
                    <w14:schemeClr w14:val="tx1"/>
                  </w14:solidFill>
                </w14:textFill>
              </w:rPr>
              <w:t>，描述基本清晰、基本符合本项目实际情况的得0.</w:t>
            </w:r>
            <w:r>
              <w:rPr>
                <w:rFonts w:ascii="宋体" w:hAnsi="宋体" w:cs="宋体"/>
                <w:color w:val="000000" w:themeColor="text1"/>
                <w:kern w:val="0"/>
                <w:sz w:val="21"/>
                <w:szCs w:val="21"/>
                <w:lang w:val="zh-CN"/>
                <w14:textFill>
                  <w14:solidFill>
                    <w14:schemeClr w14:val="tx1"/>
                  </w14:solidFill>
                </w14:textFill>
              </w:rPr>
              <w:t>7</w:t>
            </w:r>
            <w:r>
              <w:rPr>
                <w:rFonts w:hint="eastAsia" w:ascii="宋体" w:hAnsi="宋体" w:cs="宋体"/>
                <w:color w:val="000000" w:themeColor="text1"/>
                <w:kern w:val="0"/>
                <w:sz w:val="21"/>
                <w:szCs w:val="21"/>
                <w:lang w:val="zh-CN"/>
                <w14:textFill>
                  <w14:solidFill>
                    <w14:schemeClr w14:val="tx1"/>
                  </w14:solidFill>
                </w14:textFill>
              </w:rPr>
              <w:t>-</w:t>
            </w:r>
            <w:r>
              <w:rPr>
                <w:rFonts w:ascii="宋体" w:hAnsi="宋体" w:cs="宋体"/>
                <w:color w:val="000000" w:themeColor="text1"/>
                <w:kern w:val="0"/>
                <w:sz w:val="21"/>
                <w:szCs w:val="21"/>
                <w:lang w:val="zh-CN"/>
                <w14:textFill>
                  <w14:solidFill>
                    <w14:schemeClr w14:val="tx1"/>
                  </w14:solidFill>
                </w14:textFill>
              </w:rPr>
              <w:t>1</w:t>
            </w:r>
            <w:r>
              <w:rPr>
                <w:rFonts w:hint="eastAsia" w:ascii="宋体" w:hAnsi="宋体" w:cs="宋体"/>
                <w:color w:val="000000" w:themeColor="text1"/>
                <w:kern w:val="0"/>
                <w:sz w:val="21"/>
                <w:szCs w:val="21"/>
                <w:lang w:val="zh-CN"/>
                <w14:textFill>
                  <w14:solidFill>
                    <w14:schemeClr w14:val="tx1"/>
                  </w14:solidFill>
                </w14:textFill>
              </w:rPr>
              <w:t>.</w:t>
            </w:r>
            <w:r>
              <w:rPr>
                <w:rFonts w:ascii="宋体" w:hAnsi="宋体" w:cs="宋体"/>
                <w:color w:val="000000" w:themeColor="text1"/>
                <w:kern w:val="0"/>
                <w:sz w:val="21"/>
                <w:szCs w:val="21"/>
                <w:lang w:val="zh-CN"/>
                <w14:textFill>
                  <w14:solidFill>
                    <w14:schemeClr w14:val="tx1"/>
                  </w14:solidFill>
                </w14:textFill>
              </w:rPr>
              <w:t>2</w:t>
            </w:r>
            <w:r>
              <w:rPr>
                <w:rFonts w:hint="eastAsia" w:ascii="宋体" w:hAnsi="宋体" w:cs="宋体"/>
                <w:color w:val="000000" w:themeColor="text1"/>
                <w:kern w:val="0"/>
                <w:sz w:val="21"/>
                <w:szCs w:val="21"/>
                <w:lang w:val="zh-CN"/>
                <w14:textFill>
                  <w14:solidFill>
                    <w14:schemeClr w14:val="tx1"/>
                  </w14:solidFill>
                </w14:textFill>
              </w:rPr>
              <w:t>分。</w:t>
            </w:r>
          </w:p>
          <w:p>
            <w:pPr>
              <w:widowControl/>
              <w:spacing w:line="240" w:lineRule="auto"/>
              <w:textAlignment w:val="center"/>
              <w:rPr>
                <w:rFonts w:ascii="宋体" w:hAnsi="宋体" w:cs="宋体"/>
                <w:color w:val="000000" w:themeColor="text1"/>
                <w:kern w:val="0"/>
                <w:sz w:val="21"/>
                <w:szCs w:val="21"/>
                <w:lang w:val="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③ </w:t>
            </w:r>
            <w:r>
              <w:rPr>
                <w:rFonts w:hint="eastAsia" w:ascii="宋体" w:hAnsi="宋体" w:cs="宋体"/>
                <w:kern w:val="0"/>
                <w:sz w:val="21"/>
                <w:szCs w:val="21"/>
                <w:lang w:val="en-US" w:eastAsia="zh-CN"/>
              </w:rPr>
              <w:t>方案不够完整，对上述</w:t>
            </w:r>
            <w:r>
              <w:rPr>
                <w:rFonts w:hint="eastAsia" w:ascii="宋体" w:hAnsi="宋体" w:cs="宋体"/>
                <w:kern w:val="0"/>
                <w:sz w:val="21"/>
                <w:szCs w:val="21"/>
                <w:lang w:val="zh-CN"/>
              </w:rPr>
              <w:t>内容</w:t>
            </w:r>
            <w:r>
              <w:rPr>
                <w:rFonts w:hint="eastAsia" w:ascii="宋体" w:hAnsi="宋体" w:cs="宋体"/>
                <w:kern w:val="0"/>
                <w:sz w:val="21"/>
                <w:szCs w:val="21"/>
                <w:lang w:val="en-US" w:eastAsia="zh-CN"/>
              </w:rPr>
              <w:t>描述</w:t>
            </w:r>
            <w:r>
              <w:rPr>
                <w:rFonts w:hint="eastAsia" w:ascii="宋体" w:hAnsi="宋体" w:cs="宋体"/>
                <w:kern w:val="0"/>
                <w:sz w:val="21"/>
                <w:szCs w:val="21"/>
                <w:lang w:val="zh-CN"/>
              </w:rPr>
              <w:t>有缺项</w:t>
            </w:r>
            <w:r>
              <w:rPr>
                <w:rFonts w:hint="eastAsia" w:ascii="宋体" w:hAnsi="宋体" w:cs="宋体"/>
                <w:color w:val="000000" w:themeColor="text1"/>
                <w:kern w:val="0"/>
                <w:sz w:val="21"/>
                <w:szCs w:val="21"/>
                <w:lang w:val="zh-CN"/>
                <w14:textFill>
                  <w14:solidFill>
                    <w14:schemeClr w14:val="tx1"/>
                  </w14:solidFill>
                </w14:textFill>
              </w:rPr>
              <w:t>，且描述不够清晰、基本符合本项目实际情况的得0.1-0.</w:t>
            </w:r>
            <w:r>
              <w:rPr>
                <w:rFonts w:ascii="宋体" w:hAnsi="宋体" w:cs="宋体"/>
                <w:color w:val="000000" w:themeColor="text1"/>
                <w:kern w:val="0"/>
                <w:sz w:val="21"/>
                <w:szCs w:val="21"/>
                <w:lang w:val="zh-CN"/>
                <w14:textFill>
                  <w14:solidFill>
                    <w14:schemeClr w14:val="tx1"/>
                  </w14:solidFill>
                </w14:textFill>
              </w:rPr>
              <w:t>6</w:t>
            </w:r>
            <w:r>
              <w:rPr>
                <w:rFonts w:hint="eastAsia" w:ascii="宋体" w:hAnsi="宋体" w:cs="宋体"/>
                <w:color w:val="000000" w:themeColor="text1"/>
                <w:kern w:val="0"/>
                <w:sz w:val="21"/>
                <w:szCs w:val="21"/>
                <w:lang w:val="zh-CN"/>
                <w14:textFill>
                  <w14:solidFill>
                    <w14:schemeClr w14:val="tx1"/>
                  </w14:solidFill>
                </w14:textFill>
              </w:rPr>
              <w:t>分。</w:t>
            </w:r>
          </w:p>
          <w:p>
            <w:pPr>
              <w:widowControl/>
              <w:spacing w:line="240" w:lineRule="auto"/>
              <w:textAlignment w:val="center"/>
              <w:rPr>
                <w:rFonts w:hint="eastAsia" w:ascii="宋体" w:hAnsi="宋体" w:eastAsia="宋体" w:cs="宋体"/>
                <w:color w:val="FF0000"/>
                <w:kern w:val="0"/>
                <w:sz w:val="21"/>
                <w:szCs w:val="21"/>
                <w:lang w:val="zh-CN" w:eastAsia="zh-CN" w:bidi="ar-SA"/>
              </w:rPr>
            </w:pPr>
            <w:r>
              <w:rPr>
                <w:rFonts w:hint="eastAsia" w:ascii="宋体" w:hAnsi="宋体" w:cs="宋体"/>
                <w:color w:val="000000" w:themeColor="text1"/>
                <w:kern w:val="0"/>
                <w:sz w:val="21"/>
                <w:szCs w:val="21"/>
                <w:lang w:val="en-US" w:eastAsia="zh-CN"/>
                <w14:textFill>
                  <w14:solidFill>
                    <w14:schemeClr w14:val="tx1"/>
                  </w14:solidFill>
                </w14:textFill>
              </w:rPr>
              <w:t xml:space="preserve">④ </w:t>
            </w:r>
            <w:r>
              <w:rPr>
                <w:rFonts w:ascii="宋体" w:hAnsi="宋体" w:cs="宋体"/>
                <w:color w:val="000000" w:themeColor="text1"/>
                <w:kern w:val="0"/>
                <w:sz w:val="21"/>
                <w:szCs w:val="21"/>
                <w:lang w:val="zh-CN"/>
                <w14:textFill>
                  <w14:solidFill>
                    <w14:schemeClr w14:val="tx1"/>
                  </w14:solidFill>
                </w14:textFill>
              </w:rPr>
              <w:t>未提供方案</w:t>
            </w:r>
            <w:r>
              <w:rPr>
                <w:rFonts w:hint="eastAsia" w:ascii="宋体" w:hAnsi="宋体" w:cs="宋体"/>
                <w:color w:val="000000" w:themeColor="text1"/>
                <w:kern w:val="0"/>
                <w:sz w:val="21"/>
                <w:szCs w:val="21"/>
                <w:lang w:val="en-US" w:eastAsia="zh-CN"/>
                <w14:textFill>
                  <w14:solidFill>
                    <w14:schemeClr w14:val="tx1"/>
                  </w14:solidFill>
                </w14:textFill>
              </w:rPr>
              <w:t>的</w:t>
            </w:r>
            <w:r>
              <w:rPr>
                <w:rFonts w:ascii="宋体" w:hAnsi="宋体" w:cs="宋体"/>
                <w:color w:val="000000" w:themeColor="text1"/>
                <w:kern w:val="0"/>
                <w:sz w:val="21"/>
                <w:szCs w:val="21"/>
                <w:lang w:val="zh-CN"/>
                <w14:textFill>
                  <w14:solidFill>
                    <w14:schemeClr w14:val="tx1"/>
                  </w14:solidFill>
                </w14:textFill>
              </w:rPr>
              <w:t>不得分。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86" w:type="dxa"/>
            <w:vMerge w:val="continue"/>
            <w:tcMar>
              <w:top w:w="57" w:type="dxa"/>
              <w:left w:w="108" w:type="dxa"/>
              <w:bottom w:w="0" w:type="dxa"/>
              <w:right w:w="108" w:type="dxa"/>
            </w:tcMar>
            <w:vAlign w:val="center"/>
          </w:tcPr>
          <w:p>
            <w:pPr>
              <w:spacing w:line="220" w:lineRule="exact"/>
              <w:jc w:val="center"/>
              <w:rPr>
                <w:rFonts w:hint="eastAsia" w:asciiTheme="minorEastAsia" w:hAnsiTheme="minorEastAsia" w:eastAsiaTheme="minorEastAsia" w:cstheme="minorEastAsia"/>
                <w:b/>
                <w:bCs w:val="0"/>
                <w:sz w:val="21"/>
                <w:szCs w:val="21"/>
              </w:rPr>
            </w:pPr>
          </w:p>
        </w:tc>
        <w:tc>
          <w:tcPr>
            <w:tcW w:w="1165" w:type="dxa"/>
            <w:tcMar>
              <w:top w:w="57" w:type="dxa"/>
              <w:left w:w="108" w:type="dxa"/>
              <w:bottom w:w="0" w:type="dxa"/>
              <w:right w:w="108" w:type="dxa"/>
            </w:tcMar>
            <w:vAlign w:val="center"/>
          </w:tcPr>
          <w:p>
            <w:pPr>
              <w:spacing w:line="220" w:lineRule="exact"/>
              <w:jc w:val="center"/>
              <w:rPr>
                <w:rFonts w:hint="default"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培训方案</w:t>
            </w:r>
          </w:p>
        </w:tc>
        <w:tc>
          <w:tcPr>
            <w:tcW w:w="5903" w:type="dxa"/>
            <w:tcMar>
              <w:top w:w="57" w:type="dxa"/>
              <w:left w:w="108" w:type="dxa"/>
              <w:bottom w:w="0" w:type="dxa"/>
              <w:right w:w="108" w:type="dxa"/>
            </w:tcMar>
            <w:vAlign w:val="center"/>
          </w:tcPr>
          <w:p>
            <w:pPr>
              <w:jc w:val="left"/>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根据投标人提供的培训</w:t>
            </w:r>
            <w:r>
              <w:rPr>
                <w:rFonts w:hint="eastAsia" w:ascii="宋体" w:hAnsi="宋体" w:cs="Times New Roman"/>
                <w:color w:val="000000" w:themeColor="text1"/>
                <w:kern w:val="0"/>
                <w:szCs w:val="21"/>
                <w:lang w:val="en-US" w:eastAsia="zh-CN"/>
                <w14:textFill>
                  <w14:solidFill>
                    <w14:schemeClr w14:val="tx1"/>
                  </w14:solidFill>
                </w14:textFill>
              </w:rPr>
              <w:t>方案</w:t>
            </w:r>
            <w:r>
              <w:rPr>
                <w:rFonts w:hint="eastAsia" w:ascii="宋体" w:hAnsi="宋体" w:eastAsia="宋体" w:cs="Times New Roman"/>
                <w:color w:val="000000" w:themeColor="text1"/>
                <w:kern w:val="0"/>
                <w:szCs w:val="21"/>
                <w:lang w:val="en-US" w:eastAsia="zh-CN"/>
                <w14:textFill>
                  <w14:solidFill>
                    <w14:schemeClr w14:val="tx1"/>
                  </w14:solidFill>
                </w14:textFill>
              </w:rPr>
              <w:t>（包括</w:t>
            </w:r>
            <w:r>
              <w:rPr>
                <w:rFonts w:hint="eastAsia" w:ascii="宋体" w:hAnsi="宋体" w:cs="宋体"/>
                <w:kern w:val="0"/>
                <w:sz w:val="21"/>
                <w:szCs w:val="21"/>
                <w:lang w:val="zh-CN"/>
              </w:rPr>
              <w:t>培训内容、培训时间地点、培训对象、培训师资力量</w:t>
            </w:r>
            <w:r>
              <w:rPr>
                <w:rFonts w:hint="eastAsia" w:ascii="宋体" w:hAnsi="宋体" w:eastAsia="宋体" w:cs="Times New Roman"/>
                <w:color w:val="000000" w:themeColor="text1"/>
                <w:kern w:val="0"/>
                <w:szCs w:val="21"/>
                <w:lang w:val="en-US" w:eastAsia="zh-CN"/>
                <w14:textFill>
                  <w14:solidFill>
                    <w14:schemeClr w14:val="tx1"/>
                  </w14:solidFill>
                </w14:textFill>
              </w:rPr>
              <w:t>等内容)的完整性、合理性</w:t>
            </w:r>
            <w:r>
              <w:rPr>
                <w:rFonts w:hint="eastAsia" w:ascii="宋体" w:hAnsi="宋体" w:cs="Times New Roman"/>
                <w:color w:val="000000" w:themeColor="text1"/>
                <w:kern w:val="0"/>
                <w:szCs w:val="21"/>
                <w:lang w:val="en-US" w:eastAsia="zh-CN"/>
                <w14:textFill>
                  <w14:solidFill>
                    <w14:schemeClr w14:val="tx1"/>
                  </w14:solidFill>
                </w14:textFill>
              </w:rPr>
              <w:t>，并结合本项目实际情况</w:t>
            </w:r>
            <w:r>
              <w:rPr>
                <w:rFonts w:hint="eastAsia" w:ascii="宋体" w:hAnsi="宋体" w:eastAsia="宋体" w:cs="Times New Roman"/>
                <w:color w:val="000000" w:themeColor="text1"/>
                <w:kern w:val="0"/>
                <w:szCs w:val="21"/>
                <w:lang w:val="en-US" w:eastAsia="zh-CN"/>
                <w14:textFill>
                  <w14:solidFill>
                    <w14:schemeClr w14:val="tx1"/>
                  </w14:solidFill>
                </w14:textFill>
              </w:rPr>
              <w:t>进行综合评分：</w:t>
            </w:r>
          </w:p>
          <w:p>
            <w:pPr>
              <w:spacing w:line="240" w:lineRule="auto"/>
              <w:rPr>
                <w:rFonts w:ascii="宋体" w:hAnsi="宋体" w:cs="宋体"/>
                <w:kern w:val="0"/>
                <w:sz w:val="21"/>
                <w:szCs w:val="21"/>
                <w:lang w:val="zh-CN"/>
              </w:rPr>
            </w:pPr>
            <w:r>
              <w:rPr>
                <w:rFonts w:hint="eastAsia" w:ascii="宋体" w:hAnsi="宋体" w:cs="宋体"/>
                <w:kern w:val="0"/>
                <w:sz w:val="21"/>
                <w:szCs w:val="21"/>
                <w:lang w:val="en-US" w:eastAsia="zh-CN"/>
              </w:rPr>
              <w:t>① 方案完整，对上述内容</w:t>
            </w:r>
            <w:r>
              <w:rPr>
                <w:rFonts w:hint="eastAsia" w:ascii="宋体" w:hAnsi="宋体" w:cs="宋体"/>
                <w:kern w:val="0"/>
                <w:sz w:val="21"/>
                <w:szCs w:val="21"/>
                <w:lang w:val="zh-CN"/>
              </w:rPr>
              <w:t>均有描述，且描述十分清晰、方案完全符合本项目实际情况的得</w:t>
            </w:r>
            <w:r>
              <w:rPr>
                <w:rFonts w:ascii="宋体" w:hAnsi="宋体" w:cs="宋体"/>
                <w:kern w:val="0"/>
                <w:sz w:val="21"/>
                <w:szCs w:val="21"/>
                <w:lang w:val="zh-CN"/>
              </w:rPr>
              <w:t>1</w:t>
            </w:r>
            <w:r>
              <w:rPr>
                <w:rFonts w:hint="eastAsia" w:ascii="宋体" w:hAnsi="宋体" w:cs="宋体"/>
                <w:kern w:val="0"/>
                <w:sz w:val="21"/>
                <w:szCs w:val="21"/>
                <w:lang w:val="zh-CN"/>
              </w:rPr>
              <w:t>.</w:t>
            </w:r>
            <w:r>
              <w:rPr>
                <w:rFonts w:ascii="宋体" w:hAnsi="宋体" w:cs="宋体"/>
                <w:kern w:val="0"/>
                <w:sz w:val="21"/>
                <w:szCs w:val="21"/>
                <w:lang w:val="zh-CN"/>
              </w:rPr>
              <w:t>3</w:t>
            </w:r>
            <w:r>
              <w:rPr>
                <w:rFonts w:hint="eastAsia" w:ascii="宋体" w:hAnsi="宋体" w:cs="宋体"/>
                <w:kern w:val="0"/>
                <w:sz w:val="21"/>
                <w:szCs w:val="21"/>
                <w:lang w:val="zh-CN"/>
              </w:rPr>
              <w:t>-</w:t>
            </w:r>
            <w:r>
              <w:rPr>
                <w:rFonts w:ascii="宋体" w:hAnsi="宋体" w:cs="宋体"/>
                <w:kern w:val="0"/>
                <w:sz w:val="21"/>
                <w:szCs w:val="21"/>
                <w:lang w:val="zh-CN"/>
              </w:rPr>
              <w:t>2</w:t>
            </w:r>
            <w:r>
              <w:rPr>
                <w:rFonts w:hint="eastAsia" w:ascii="宋体" w:hAnsi="宋体" w:cs="宋体"/>
                <w:kern w:val="0"/>
                <w:sz w:val="21"/>
                <w:szCs w:val="21"/>
                <w:lang w:val="zh-CN"/>
              </w:rPr>
              <w:t>分。</w:t>
            </w:r>
          </w:p>
          <w:p>
            <w:pPr>
              <w:spacing w:line="240" w:lineRule="auto"/>
              <w:rPr>
                <w:rFonts w:ascii="宋体" w:hAnsi="宋体" w:cs="宋体"/>
                <w:kern w:val="0"/>
                <w:sz w:val="21"/>
                <w:szCs w:val="21"/>
                <w:lang w:val="zh-CN"/>
              </w:rPr>
            </w:pPr>
            <w:r>
              <w:rPr>
                <w:rFonts w:hint="eastAsia" w:ascii="宋体" w:hAnsi="宋体" w:cs="宋体"/>
                <w:kern w:val="0"/>
                <w:sz w:val="21"/>
                <w:szCs w:val="21"/>
                <w:lang w:val="en-US" w:eastAsia="zh-CN"/>
              </w:rPr>
              <w:t>② 方案完整，对上述</w:t>
            </w:r>
            <w:r>
              <w:rPr>
                <w:rFonts w:hint="eastAsia" w:ascii="宋体" w:hAnsi="宋体" w:cs="宋体"/>
                <w:kern w:val="0"/>
                <w:sz w:val="21"/>
                <w:szCs w:val="21"/>
                <w:lang w:val="zh-CN"/>
              </w:rPr>
              <w:t>内容均有描述，描述基本清晰、方案基本符合本项目实际情况的得0.</w:t>
            </w:r>
            <w:r>
              <w:rPr>
                <w:rFonts w:ascii="宋体" w:hAnsi="宋体" w:cs="宋体"/>
                <w:kern w:val="0"/>
                <w:sz w:val="21"/>
                <w:szCs w:val="21"/>
                <w:lang w:val="zh-CN"/>
              </w:rPr>
              <w:t>7</w:t>
            </w:r>
            <w:r>
              <w:rPr>
                <w:rFonts w:hint="eastAsia" w:ascii="宋体" w:hAnsi="宋体" w:cs="宋体"/>
                <w:kern w:val="0"/>
                <w:sz w:val="21"/>
                <w:szCs w:val="21"/>
                <w:lang w:val="zh-CN"/>
              </w:rPr>
              <w:t>-</w:t>
            </w:r>
            <w:r>
              <w:rPr>
                <w:rFonts w:ascii="宋体" w:hAnsi="宋体" w:cs="宋体"/>
                <w:kern w:val="0"/>
                <w:sz w:val="21"/>
                <w:szCs w:val="21"/>
                <w:lang w:val="zh-CN"/>
              </w:rPr>
              <w:t>1</w:t>
            </w:r>
            <w:r>
              <w:rPr>
                <w:rFonts w:hint="eastAsia" w:ascii="宋体" w:hAnsi="宋体" w:cs="宋体"/>
                <w:kern w:val="0"/>
                <w:sz w:val="21"/>
                <w:szCs w:val="21"/>
                <w:lang w:val="zh-CN"/>
              </w:rPr>
              <w:t>.</w:t>
            </w:r>
            <w:r>
              <w:rPr>
                <w:rFonts w:ascii="宋体" w:hAnsi="宋体" w:cs="宋体"/>
                <w:kern w:val="0"/>
                <w:sz w:val="21"/>
                <w:szCs w:val="21"/>
                <w:lang w:val="zh-CN"/>
              </w:rPr>
              <w:t>2</w:t>
            </w:r>
            <w:r>
              <w:rPr>
                <w:rFonts w:hint="eastAsia" w:ascii="宋体" w:hAnsi="宋体" w:cs="宋体"/>
                <w:kern w:val="0"/>
                <w:sz w:val="21"/>
                <w:szCs w:val="21"/>
                <w:lang w:val="zh-CN"/>
              </w:rPr>
              <w:t>分。</w:t>
            </w:r>
          </w:p>
          <w:p>
            <w:pPr>
              <w:spacing w:line="240" w:lineRule="auto"/>
              <w:rPr>
                <w:rFonts w:ascii="宋体" w:hAnsi="宋体" w:cs="宋体"/>
                <w:kern w:val="0"/>
                <w:sz w:val="21"/>
                <w:szCs w:val="21"/>
                <w:lang w:val="zh-CN"/>
              </w:rPr>
            </w:pPr>
            <w:r>
              <w:rPr>
                <w:rFonts w:hint="eastAsia" w:ascii="宋体" w:hAnsi="宋体" w:cs="宋体"/>
                <w:kern w:val="0"/>
                <w:sz w:val="21"/>
                <w:szCs w:val="21"/>
                <w:lang w:val="en-US" w:eastAsia="zh-CN"/>
              </w:rPr>
              <w:t>③ 方案不够完整，对上述</w:t>
            </w:r>
            <w:r>
              <w:rPr>
                <w:rFonts w:hint="eastAsia" w:ascii="宋体" w:hAnsi="宋体" w:cs="宋体"/>
                <w:kern w:val="0"/>
                <w:sz w:val="21"/>
                <w:szCs w:val="21"/>
                <w:lang w:val="zh-CN"/>
              </w:rPr>
              <w:t>内容</w:t>
            </w:r>
            <w:r>
              <w:rPr>
                <w:rFonts w:hint="eastAsia" w:ascii="宋体" w:hAnsi="宋体" w:cs="宋体"/>
                <w:kern w:val="0"/>
                <w:sz w:val="21"/>
                <w:szCs w:val="21"/>
                <w:lang w:val="en-US" w:eastAsia="zh-CN"/>
              </w:rPr>
              <w:t>描述</w:t>
            </w:r>
            <w:r>
              <w:rPr>
                <w:rFonts w:hint="eastAsia" w:ascii="宋体" w:hAnsi="宋体" w:cs="宋体"/>
                <w:kern w:val="0"/>
                <w:sz w:val="21"/>
                <w:szCs w:val="21"/>
                <w:lang w:val="zh-CN"/>
              </w:rPr>
              <w:t>有缺项，且描述不够清晰、方案基本符合本项目实际情况的得0.1-0.</w:t>
            </w:r>
            <w:r>
              <w:rPr>
                <w:rFonts w:ascii="宋体" w:hAnsi="宋体" w:cs="宋体"/>
                <w:kern w:val="0"/>
                <w:sz w:val="21"/>
                <w:szCs w:val="21"/>
                <w:lang w:val="zh-CN"/>
              </w:rPr>
              <w:t>6</w:t>
            </w:r>
            <w:r>
              <w:rPr>
                <w:rFonts w:hint="eastAsia" w:ascii="宋体" w:hAnsi="宋体" w:cs="宋体"/>
                <w:kern w:val="0"/>
                <w:sz w:val="21"/>
                <w:szCs w:val="21"/>
                <w:lang w:val="zh-CN"/>
              </w:rPr>
              <w:t>分。</w:t>
            </w:r>
          </w:p>
          <w:p>
            <w:pPr>
              <w:spacing w:line="240" w:lineRule="auto"/>
              <w:rPr>
                <w:rFonts w:hint="eastAsia" w:ascii="宋体" w:hAnsi="宋体" w:eastAsia="宋体" w:cs="宋体"/>
                <w:color w:val="FF0000"/>
                <w:kern w:val="0"/>
                <w:sz w:val="21"/>
                <w:szCs w:val="21"/>
                <w:lang w:val="zh-CN" w:eastAsia="zh-CN" w:bidi="ar-SA"/>
              </w:rPr>
            </w:pPr>
            <w:r>
              <w:rPr>
                <w:rFonts w:hint="eastAsia" w:ascii="宋体" w:hAnsi="宋体" w:cs="宋体"/>
                <w:kern w:val="0"/>
                <w:sz w:val="21"/>
                <w:szCs w:val="21"/>
                <w:lang w:val="en-US" w:eastAsia="zh-CN"/>
              </w:rPr>
              <w:t xml:space="preserve">④ </w:t>
            </w:r>
            <w:r>
              <w:rPr>
                <w:rFonts w:ascii="宋体" w:hAnsi="宋体" w:cs="宋体"/>
                <w:kern w:val="0"/>
                <w:sz w:val="21"/>
                <w:szCs w:val="21"/>
                <w:lang w:val="zh-CN"/>
              </w:rPr>
              <w:t>未提供方案</w:t>
            </w:r>
            <w:r>
              <w:rPr>
                <w:rFonts w:hint="eastAsia" w:ascii="宋体" w:hAnsi="宋体" w:cs="宋体"/>
                <w:kern w:val="0"/>
                <w:sz w:val="21"/>
                <w:szCs w:val="21"/>
                <w:lang w:val="en-US" w:eastAsia="zh-CN"/>
              </w:rPr>
              <w:t>的</w:t>
            </w:r>
            <w:r>
              <w:rPr>
                <w:rFonts w:ascii="宋体" w:hAnsi="宋体" w:cs="宋体"/>
                <w:kern w:val="0"/>
                <w:sz w:val="21"/>
                <w:szCs w:val="21"/>
                <w:lang w:val="zh-CN"/>
              </w:rPr>
              <w:t>不得分。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6" w:type="dxa"/>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价格</w:t>
            </w:r>
            <w:r>
              <w:rPr>
                <w:rFonts w:hint="eastAsia" w:asciiTheme="minorEastAsia" w:hAnsiTheme="minorEastAsia" w:eastAsiaTheme="minorEastAsia" w:cstheme="minorEastAsia"/>
                <w:b/>
                <w:sz w:val="21"/>
                <w:szCs w:val="21"/>
                <w:highlight w:val="none"/>
                <w:lang w:val="en-US" w:eastAsia="zh-CN"/>
              </w:rPr>
              <w:t>30</w:t>
            </w:r>
            <w:r>
              <w:rPr>
                <w:rFonts w:hint="eastAsia" w:asciiTheme="minorEastAsia" w:hAnsiTheme="minorEastAsia" w:eastAsiaTheme="minorEastAsia" w:cstheme="minorEastAsia"/>
                <w:b/>
                <w:sz w:val="21"/>
                <w:szCs w:val="21"/>
                <w:highlight w:val="none"/>
              </w:rPr>
              <w:t>分</w:t>
            </w:r>
          </w:p>
        </w:tc>
        <w:tc>
          <w:tcPr>
            <w:tcW w:w="7068" w:type="dxa"/>
            <w:gridSpan w:val="2"/>
            <w:tcMar>
              <w:top w:w="57" w:type="dxa"/>
              <w:left w:w="108" w:type="dxa"/>
              <w:bottom w:w="0" w:type="dxa"/>
              <w:right w:w="108" w:type="dxa"/>
            </w:tcMar>
            <w:vAlign w:val="center"/>
          </w:tcPr>
          <w:p>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以合格投标人有效投标总报价中的最低价为基准价，基准价为</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分。投标报价得分＝（评标基准价/投标报价）×</w:t>
            </w:r>
            <w:r>
              <w:rPr>
                <w:rFonts w:hint="eastAsia" w:asciiTheme="minorEastAsia" w:hAnsiTheme="minorEastAsia" w:eastAsiaTheme="minorEastAsia" w:cstheme="minorEastAsia"/>
                <w:kern w:val="0"/>
                <w:sz w:val="21"/>
                <w:szCs w:val="21"/>
                <w:highlight w:val="none"/>
                <w:lang w:val="en-US" w:eastAsia="zh-CN"/>
              </w:rPr>
              <w:t>30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kern w:val="0"/>
                <w:sz w:val="21"/>
                <w:szCs w:val="21"/>
                <w:highlight w:val="none"/>
              </w:rPr>
              <w:t>100</w:t>
            </w:r>
            <w:r>
              <w:rPr>
                <w:rFonts w:hint="eastAsia" w:asciiTheme="minorEastAsia" w:hAnsiTheme="minorEastAsia" w:eastAsiaTheme="minorEastAsia" w:cstheme="minorEastAsia"/>
                <w:sz w:val="21"/>
                <w:szCs w:val="21"/>
                <w:highlight w:val="none"/>
              </w:rPr>
              <w:t>（小数点后保留2位小数）。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w:t>
            </w:r>
            <w:r>
              <w:rPr>
                <w:rFonts w:hint="eastAsia" w:asciiTheme="minorEastAsia" w:hAnsiTheme="minorEastAsia" w:eastAsiaTheme="minorEastAsia" w:cstheme="minorEastAsia"/>
                <w:sz w:val="21"/>
                <w:szCs w:val="21"/>
                <w:highlight w:val="none"/>
              </w:rPr>
              <w:t>符合本章第</w:t>
            </w:r>
            <w:r>
              <w:rPr>
                <w:rFonts w:hint="eastAsia" w:asciiTheme="minorEastAsia" w:hAnsiTheme="minorEastAsia" w:eastAsiaTheme="minorEastAsia" w:cstheme="minorEastAsia"/>
                <w:sz w:val="21"/>
                <w:szCs w:val="21"/>
                <w:highlight w:val="none"/>
                <w:lang w:val="en-US" w:eastAsia="zh-CN"/>
              </w:rPr>
              <w:t>七</w:t>
            </w:r>
            <w:r>
              <w:rPr>
                <w:rFonts w:hint="eastAsia" w:asciiTheme="minorEastAsia" w:hAnsiTheme="minorEastAsia" w:eastAsiaTheme="minorEastAsia" w:cstheme="minorEastAsia"/>
                <w:sz w:val="21"/>
                <w:szCs w:val="21"/>
                <w:highlight w:val="none"/>
              </w:rPr>
              <w:t>点政府采购政策的，</w:t>
            </w:r>
            <w:r>
              <w:rPr>
                <w:rFonts w:hint="eastAsia" w:asciiTheme="minorEastAsia" w:hAnsiTheme="minorEastAsia" w:eastAsiaTheme="minorEastAsia" w:cstheme="minorEastAsia"/>
                <w:sz w:val="21"/>
                <w:szCs w:val="21"/>
                <w:highlight w:val="none"/>
                <w:lang w:val="en-US" w:eastAsia="zh-CN"/>
              </w:rPr>
              <w:t>根据对应情形，</w:t>
            </w:r>
            <w:r>
              <w:rPr>
                <w:rFonts w:hint="eastAsia" w:asciiTheme="minorEastAsia" w:hAnsiTheme="minorEastAsia" w:eastAsiaTheme="minorEastAsia" w:cstheme="minorEastAsia"/>
                <w:sz w:val="21"/>
                <w:szCs w:val="21"/>
                <w:highlight w:val="none"/>
              </w:rPr>
              <w:t>对报价给予</w:t>
            </w:r>
            <w:r>
              <w:rPr>
                <w:rFonts w:hint="eastAsia" w:asciiTheme="minorEastAsia" w:hAnsiTheme="minorEastAsia" w:eastAsiaTheme="minorEastAsia" w:cstheme="minorEastAsia"/>
                <w:sz w:val="21"/>
                <w:szCs w:val="21"/>
                <w:highlight w:val="none"/>
                <w:u w:val="single"/>
                <w:lang w:val="en-US" w:eastAsia="zh-CN"/>
              </w:rPr>
              <w:t xml:space="preserve"> 10%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none"/>
                <w:lang w:val="en-US" w:eastAsia="zh-CN"/>
              </w:rPr>
              <w:t>或</w:t>
            </w:r>
            <w:r>
              <w:rPr>
                <w:rFonts w:hint="eastAsia" w:asciiTheme="minorEastAsia" w:hAnsiTheme="minorEastAsia" w:eastAsiaTheme="minorEastAsia" w:cstheme="minorEastAsia"/>
                <w:sz w:val="21"/>
                <w:szCs w:val="21"/>
                <w:highlight w:val="none"/>
                <w:u w:val="single"/>
                <w:lang w:val="en-US" w:eastAsia="zh-CN"/>
              </w:rPr>
              <w:t xml:space="preserve"> 4%</w:t>
            </w:r>
            <w:r>
              <w:rPr>
                <w:rFonts w:hint="eastAsia" w:asciiTheme="minorEastAsia" w:hAnsiTheme="minorEastAsia" w:eastAsiaTheme="minorEastAsia" w:cstheme="minorEastAsia"/>
                <w:sz w:val="21"/>
                <w:szCs w:val="21"/>
                <w:highlight w:val="none"/>
              </w:rPr>
              <w:t>的价格扣除，用扣除后的价格参与评审。</w:t>
            </w:r>
          </w:p>
        </w:tc>
        <w:tc>
          <w:tcPr>
            <w:tcW w:w="664" w:type="dxa"/>
            <w:tcMar>
              <w:top w:w="57" w:type="dxa"/>
              <w:left w:w="108" w:type="dxa"/>
              <w:bottom w:w="0" w:type="dxa"/>
              <w:right w:w="108" w:type="dxa"/>
            </w:tcMar>
            <w:vAlign w:val="center"/>
          </w:tcPr>
          <w:p>
            <w:pPr>
              <w:autoSpaceDE w:val="0"/>
              <w:autoSpaceDN w:val="0"/>
              <w:adjustRightInd w:val="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30</w:t>
            </w:r>
          </w:p>
        </w:tc>
      </w:tr>
    </w:tbl>
    <w:p>
      <w:pPr>
        <w:spacing w:line="360" w:lineRule="auto"/>
        <w:rPr>
          <w:rFonts w:hint="eastAsia"/>
          <w:highlight w:val="none"/>
        </w:rPr>
      </w:pPr>
      <w:r>
        <w:rPr>
          <w:rFonts w:hint="eastAsia"/>
          <w:highlight w:val="none"/>
        </w:rPr>
        <w:t>注：①请扫描上传合同、证书、报告及其他相关证明材料的原件</w:t>
      </w:r>
      <w:r>
        <w:rPr>
          <w:rFonts w:hint="eastAsia"/>
          <w:highlight w:val="none"/>
          <w:lang w:val="en-US" w:eastAsia="zh-CN"/>
        </w:rPr>
        <w:t>扫描件</w:t>
      </w:r>
      <w:r>
        <w:rPr>
          <w:rFonts w:hint="eastAsia"/>
          <w:highlight w:val="none"/>
        </w:rPr>
        <w:t>至投标文件，并加盖公章。</w:t>
      </w:r>
    </w:p>
    <w:p>
      <w:pPr>
        <w:spacing w:line="360" w:lineRule="auto"/>
        <w:rPr>
          <w:rFonts w:hint="eastAsia"/>
          <w:color w:val="auto"/>
        </w:rPr>
      </w:pPr>
      <w:r>
        <w:rPr>
          <w:rFonts w:hint="eastAsia"/>
          <w:color w:val="auto"/>
          <w:highlight w:val="none"/>
          <w:lang w:val="en-US" w:eastAsia="zh-CN"/>
        </w:rPr>
        <w:t>②对省级以上主管部门认定的首台套产品，自纳入《</w:t>
      </w:r>
      <w:r>
        <w:rPr>
          <w:rFonts w:hint="eastAsia"/>
          <w:color w:val="auto"/>
          <w:lang w:val="en-US" w:eastAsia="zh-CN"/>
        </w:rPr>
        <w:t>省推广应用指导目录》起三年内参加政府采购活动时,视同已具备相应销售业绩，业绩分为满分。</w:t>
      </w:r>
    </w:p>
    <w:p>
      <w:pPr>
        <w:pStyle w:val="2"/>
        <w:rPr>
          <w:rFonts w:hint="eastAsia" w:eastAsia="宋体"/>
          <w:lang w:val="en-US" w:eastAsia="zh-CN"/>
        </w:rPr>
      </w:pP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39" w:name="_Toc27944_WPSOffice_Level1"/>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9"/>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2"/>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2"/>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2"/>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2"/>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2"/>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w:t>
      </w:r>
      <w:r>
        <w:rPr>
          <w:rFonts w:hint="eastAsia" w:asciiTheme="minorEastAsia" w:hAnsiTheme="minorEastAsia" w:eastAsiaTheme="minorEastAsia"/>
          <w:sz w:val="24"/>
          <w:lang w:eastAsia="zh-CN"/>
        </w:rPr>
        <w:t>给予</w:t>
      </w:r>
      <w:r>
        <w:rPr>
          <w:rFonts w:asciiTheme="minorEastAsia" w:hAnsiTheme="minorEastAsia" w:eastAsiaTheme="minorEastAsia"/>
          <w:sz w:val="24"/>
        </w:rPr>
        <w:t>履行本合同无关的任何其他人。即使向履行本合同有关的人员提供，也应注意保密并限于履行合同的必需范围。</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由乙方赔偿甲方因此遭受的损失（包括但不限于应对及追偿过程中所支付的律师费、差旅费、诉讼费、保全费、鉴定费、评估费等）。</w:t>
      </w:r>
    </w:p>
    <w:p>
      <w:pPr>
        <w:pStyle w:val="12"/>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2"/>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2"/>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2"/>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2"/>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2"/>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2"/>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w:t>
      </w:r>
      <w:r>
        <w:rPr>
          <w:rFonts w:hint="eastAsia" w:asciiTheme="minorEastAsia" w:hAnsiTheme="minorEastAsia" w:eastAsiaTheme="minorEastAsia"/>
          <w:sz w:val="24"/>
          <w:lang w:eastAsia="zh-CN"/>
        </w:rPr>
        <w:t>终身维修</w:t>
      </w:r>
      <w:r>
        <w:rPr>
          <w:rFonts w:asciiTheme="minorEastAsia" w:hAnsiTheme="minorEastAsia" w:eastAsiaTheme="minorEastAsia"/>
          <w:sz w:val="24"/>
        </w:rPr>
        <w:t>，维修时只收部件成本费。</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2"/>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w:t>
      </w:r>
      <w:r>
        <w:rPr>
          <w:rFonts w:hint="eastAsia" w:asciiTheme="minorEastAsia" w:hAnsiTheme="minorEastAsia" w:eastAsiaTheme="minorEastAsia"/>
          <w:sz w:val="24"/>
          <w:lang w:eastAsia="zh-CN"/>
        </w:rPr>
        <w:t>作</w:t>
      </w:r>
      <w:r>
        <w:rPr>
          <w:rFonts w:asciiTheme="minorEastAsia" w:hAnsiTheme="minorEastAsia" w:eastAsiaTheme="minorEastAsia"/>
          <w:sz w:val="24"/>
        </w:rPr>
        <w:t>最终验收。</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w:t>
      </w:r>
      <w:r>
        <w:rPr>
          <w:rFonts w:hint="eastAsia" w:asciiTheme="minorEastAsia" w:hAnsiTheme="minorEastAsia" w:eastAsiaTheme="minorEastAsia"/>
          <w:sz w:val="24"/>
          <w:lang w:eastAsia="zh-CN"/>
        </w:rPr>
        <w:t>做出</w:t>
      </w:r>
      <w:r>
        <w:rPr>
          <w:rFonts w:asciiTheme="minorEastAsia" w:hAnsiTheme="minorEastAsia" w:eastAsiaTheme="minorEastAsia"/>
          <w:sz w:val="24"/>
        </w:rPr>
        <w:t>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w:t>
      </w:r>
      <w:r>
        <w:rPr>
          <w:rFonts w:hint="eastAsia" w:asciiTheme="minorEastAsia" w:hAnsiTheme="minorEastAsia" w:eastAsiaTheme="minorEastAsia"/>
          <w:sz w:val="24"/>
          <w:lang w:eastAsia="zh-CN"/>
        </w:rPr>
        <w:t>〔2020〕</w:t>
      </w:r>
      <w:r>
        <w:rPr>
          <w:rFonts w:hint="eastAsia" w:asciiTheme="minorEastAsia" w:hAnsiTheme="minorEastAsia" w:eastAsiaTheme="minorEastAsia"/>
          <w:sz w:val="24"/>
        </w:rPr>
        <w:t>123号）。</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lang w:eastAsia="zh-CN"/>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2"/>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2"/>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w:t>
      </w:r>
      <w:r>
        <w:rPr>
          <w:rFonts w:hint="eastAsia" w:asciiTheme="minorEastAsia" w:hAnsiTheme="minorEastAsia" w:eastAsiaTheme="minorEastAsia"/>
          <w:b/>
          <w:sz w:val="24"/>
          <w:lang w:eastAsia="zh-CN"/>
        </w:rPr>
        <w:t>及其他</w:t>
      </w:r>
      <w:r>
        <w:rPr>
          <w:rFonts w:asciiTheme="minorEastAsia" w:hAnsiTheme="minorEastAsia" w:eastAsiaTheme="minorEastAsia"/>
          <w:b/>
          <w:sz w:val="24"/>
        </w:rPr>
        <w:tab/>
      </w:r>
    </w:p>
    <w:p>
      <w:pPr>
        <w:pStyle w:val="11"/>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11"/>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eastAsia="宋体" w:cs="宋体"/>
        </w:rPr>
        <w:t>《</w:t>
      </w:r>
      <w:r>
        <w:rPr>
          <w:rFonts w:hint="eastAsia" w:ascii="宋体" w:hAnsi="宋体" w:eastAsia="宋体" w:cs="宋体"/>
          <w:color w:val="111F2C"/>
          <w:szCs w:val="21"/>
          <w:shd w:val="clear" w:color="auto" w:fill="FFFFFF"/>
        </w:rPr>
        <w:t>中华人民共和国民法典</w:t>
      </w:r>
      <w:r>
        <w:rPr>
          <w:rFonts w:hint="eastAsia" w:ascii="宋体" w:hAnsi="宋体" w:eastAsia="宋体" w:cs="宋体"/>
        </w:rPr>
        <w:t>》有关</w:t>
      </w:r>
      <w:r>
        <w:rPr>
          <w:rFonts w:asciiTheme="minorEastAsia" w:hAnsiTheme="minorEastAsia" w:eastAsiaTheme="minorEastAsia"/>
        </w:rPr>
        <w:t>条文执行。</w:t>
      </w:r>
    </w:p>
    <w:p>
      <w:pPr>
        <w:pStyle w:val="11"/>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hint="eastAsia" w:asciiTheme="minorEastAsia" w:hAnsiTheme="minorEastAsia" w:eastAsiaTheme="minorEastAsia"/>
          <w:b/>
          <w:sz w:val="36"/>
          <w:szCs w:val="36"/>
        </w:rPr>
      </w:pPr>
      <w:bookmarkStart w:id="40"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0"/>
    </w:p>
    <w:p>
      <w:pPr>
        <w:rPr>
          <w:rFonts w:hint="eastAsia" w:ascii="宋体" w:hAnsi="宋体"/>
          <w:b/>
          <w:kern w:val="0"/>
          <w:sz w:val="28"/>
          <w:szCs w:val="28"/>
          <w:lang w:val="en-US" w:eastAsia="zh-CN"/>
        </w:rPr>
      </w:pPr>
      <w:r>
        <w:rPr>
          <w:rFonts w:hint="eastAsia" w:ascii="宋体" w:hAnsi="宋体"/>
          <w:b/>
          <w:kern w:val="0"/>
          <w:sz w:val="28"/>
          <w:szCs w:val="28"/>
          <w:lang w:val="en-US" w:eastAsia="zh-CN"/>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1" w:name="_Toc19093_WPSOffice_Level1"/>
      <w:bookmarkStart w:id="42" w:name="_Toc4956_WPSOffice_Level1"/>
      <w:bookmarkStart w:id="43" w:name="_Toc32372_WPSOffice_Level1"/>
      <w:r>
        <w:rPr>
          <w:rFonts w:hint="eastAsia"/>
          <w:sz w:val="52"/>
          <w:szCs w:val="52"/>
        </w:rPr>
        <w:t>项目名称</w:t>
      </w:r>
      <w:bookmarkEnd w:id="41"/>
      <w:bookmarkEnd w:id="42"/>
      <w:bookmarkEnd w:id="43"/>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rFonts w:hint="eastAsia"/>
          <w:b/>
          <w:bCs/>
          <w:sz w:val="36"/>
          <w:szCs w:val="36"/>
        </w:rPr>
      </w:pPr>
      <w:r>
        <w:rPr>
          <w:rFonts w:hint="eastAsia"/>
          <w:b/>
          <w:bCs/>
          <w:sz w:val="36"/>
          <w:szCs w:val="36"/>
        </w:rPr>
        <w:t>资格证明文件目录</w:t>
      </w:r>
    </w:p>
    <w:p>
      <w:pPr>
        <w:pStyle w:val="8"/>
      </w:pPr>
    </w:p>
    <w:p/>
    <w:p>
      <w:pPr>
        <w:numPr>
          <w:ilvl w:val="0"/>
          <w:numId w:val="7"/>
        </w:numPr>
        <w:spacing w:line="360" w:lineRule="auto"/>
        <w:ind w:hanging="5"/>
        <w:rPr>
          <w:rFonts w:hint="eastAsia"/>
          <w:sz w:val="28"/>
          <w:szCs w:val="36"/>
        </w:rPr>
      </w:pPr>
      <w:bookmarkStart w:id="44" w:name="_Toc12587_WPSOffice_Level1"/>
      <w:bookmarkStart w:id="45" w:name="_Toc27049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4"/>
      <w:bookmarkEnd w:id="45"/>
    </w:p>
    <w:p>
      <w:pPr>
        <w:numPr>
          <w:ilvl w:val="0"/>
          <w:numId w:val="7"/>
        </w:numPr>
        <w:spacing w:line="360" w:lineRule="auto"/>
        <w:ind w:hanging="5"/>
        <w:rPr>
          <w:sz w:val="28"/>
          <w:szCs w:val="36"/>
          <w:highlight w:val="none"/>
        </w:rPr>
      </w:pPr>
      <w:bookmarkStart w:id="46" w:name="_Toc28306_WPSOffice_Level1"/>
      <w:bookmarkStart w:id="47" w:name="_Toc25574_WPSOffice_Level1"/>
      <w:bookmarkStart w:id="48" w:name="_Toc32100_WPSOffice_Level1"/>
      <w:bookmarkStart w:id="49" w:name="_Toc29616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46"/>
      <w:bookmarkEnd w:id="47"/>
    </w:p>
    <w:p>
      <w:pPr>
        <w:numPr>
          <w:ilvl w:val="0"/>
          <w:numId w:val="7"/>
        </w:numPr>
        <w:spacing w:line="360" w:lineRule="auto"/>
        <w:ind w:hanging="5"/>
        <w:rPr>
          <w:rFonts w:hint="eastAsia"/>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w:t>
      </w:r>
      <w:r>
        <w:rPr>
          <w:rFonts w:hint="eastAsia"/>
          <w:sz w:val="28"/>
          <w:szCs w:val="36"/>
          <w:highlight w:val="none"/>
          <w:lang w:eastAsia="zh-CN"/>
        </w:rPr>
        <w:t>投标时需提供）（</w:t>
      </w:r>
      <w:r>
        <w:rPr>
          <w:rFonts w:hint="eastAsia"/>
          <w:sz w:val="28"/>
          <w:szCs w:val="36"/>
          <w:highlight w:val="none"/>
          <w:lang w:val="en-US" w:eastAsia="zh-CN"/>
        </w:rPr>
        <w:t>附件3</w:t>
      </w:r>
      <w:r>
        <w:rPr>
          <w:rFonts w:hint="eastAsia"/>
          <w:sz w:val="28"/>
          <w:szCs w:val="36"/>
          <w:highlight w:val="none"/>
        </w:rPr>
        <w:t>）</w:t>
      </w:r>
    </w:p>
    <w:p>
      <w:pPr>
        <w:numPr>
          <w:ilvl w:val="0"/>
          <w:numId w:val="7"/>
        </w:numPr>
        <w:spacing w:line="360" w:lineRule="auto"/>
        <w:ind w:hanging="5"/>
        <w:rPr>
          <w:rFonts w:hint="eastAsia"/>
          <w:sz w:val="28"/>
          <w:szCs w:val="36"/>
        </w:rPr>
      </w:pPr>
      <w:r>
        <w:rPr>
          <w:rFonts w:hint="eastAsia"/>
          <w:sz w:val="28"/>
          <w:szCs w:val="36"/>
          <w:highlight w:val="none"/>
        </w:rPr>
        <w:t>法人或者其他组织的营业执照等证明文件、自</w:t>
      </w:r>
      <w:r>
        <w:rPr>
          <w:rFonts w:hint="eastAsia"/>
          <w:sz w:val="28"/>
          <w:szCs w:val="36"/>
        </w:rPr>
        <w:t>然人的身份证明</w:t>
      </w:r>
      <w:bookmarkEnd w:id="48"/>
      <w:bookmarkEnd w:id="49"/>
    </w:p>
    <w:p>
      <w:pPr>
        <w:numPr>
          <w:ilvl w:val="0"/>
          <w:numId w:val="7"/>
        </w:numPr>
        <w:spacing w:line="360" w:lineRule="auto"/>
        <w:ind w:hanging="5"/>
        <w:rPr>
          <w:rFonts w:hint="eastAsia"/>
          <w:sz w:val="28"/>
          <w:szCs w:val="36"/>
        </w:rPr>
      </w:pPr>
      <w:bookmarkStart w:id="50" w:name="_Toc30751_WPSOffice_Level1"/>
      <w:bookmarkStart w:id="51" w:name="_Toc2696_WPSOffice_Level1"/>
      <w:r>
        <w:rPr>
          <w:rFonts w:hint="eastAsia"/>
          <w:sz w:val="28"/>
          <w:szCs w:val="36"/>
        </w:rPr>
        <w:t>具备履行合同所必需的设备和专业技术能力的证明材料</w:t>
      </w:r>
      <w:bookmarkEnd w:id="50"/>
      <w:bookmarkEnd w:id="51"/>
    </w:p>
    <w:p>
      <w:pPr>
        <w:numPr>
          <w:ilvl w:val="0"/>
          <w:numId w:val="7"/>
        </w:numPr>
        <w:spacing w:line="360" w:lineRule="auto"/>
        <w:ind w:hanging="5"/>
        <w:rPr>
          <w:rFonts w:hint="eastAsia"/>
          <w:sz w:val="28"/>
          <w:szCs w:val="36"/>
          <w:highlight w:val="none"/>
        </w:rPr>
      </w:pPr>
      <w:bookmarkStart w:id="52" w:name="_Toc14150_WPSOffice_Level1"/>
      <w:bookmarkStart w:id="53" w:name="_Toc4587_WPSOffice_Level1"/>
      <w:r>
        <w:rPr>
          <w:rFonts w:hint="eastAsia"/>
          <w:sz w:val="28"/>
          <w:szCs w:val="36"/>
          <w:highlight w:val="none"/>
        </w:rPr>
        <w:t>本项目</w:t>
      </w:r>
      <w:r>
        <w:rPr>
          <w:rFonts w:hint="eastAsia"/>
          <w:sz w:val="28"/>
          <w:szCs w:val="36"/>
          <w:highlight w:val="none"/>
          <w:lang w:val="en-US" w:eastAsia="zh-CN"/>
        </w:rPr>
        <w:t>资格审查</w:t>
      </w:r>
      <w:r>
        <w:rPr>
          <w:rFonts w:hint="eastAsia"/>
          <w:sz w:val="28"/>
          <w:szCs w:val="36"/>
          <w:highlight w:val="none"/>
        </w:rPr>
        <w:t>要求的</w:t>
      </w:r>
      <w:r>
        <w:rPr>
          <w:rFonts w:hint="eastAsia"/>
          <w:sz w:val="28"/>
          <w:szCs w:val="36"/>
          <w:highlight w:val="none"/>
          <w:lang w:val="en-US" w:eastAsia="zh-CN"/>
        </w:rPr>
        <w:t>相关</w:t>
      </w:r>
      <w:r>
        <w:rPr>
          <w:rFonts w:hint="eastAsia"/>
          <w:sz w:val="28"/>
          <w:szCs w:val="36"/>
          <w:highlight w:val="none"/>
          <w:lang w:eastAsia="zh-CN"/>
        </w:rPr>
        <w:t>的承诺函（</w:t>
      </w:r>
      <w:r>
        <w:rPr>
          <w:rFonts w:hint="eastAsia"/>
          <w:sz w:val="28"/>
          <w:szCs w:val="36"/>
          <w:highlight w:val="none"/>
          <w:lang w:val="en-US" w:eastAsia="zh-CN"/>
        </w:rPr>
        <w:t>附件4</w:t>
      </w:r>
      <w:r>
        <w:rPr>
          <w:rFonts w:hint="eastAsia"/>
          <w:sz w:val="28"/>
          <w:szCs w:val="36"/>
          <w:highlight w:val="none"/>
          <w:lang w:eastAsia="zh-CN"/>
        </w:rPr>
        <w:t>）</w:t>
      </w:r>
    </w:p>
    <w:p>
      <w:pPr>
        <w:numPr>
          <w:ilvl w:val="0"/>
          <w:numId w:val="7"/>
        </w:numPr>
        <w:spacing w:line="360" w:lineRule="auto"/>
        <w:ind w:hanging="5"/>
        <w:rPr>
          <w:sz w:val="28"/>
          <w:szCs w:val="36"/>
        </w:rPr>
      </w:pPr>
      <w:r>
        <w:rPr>
          <w:rFonts w:hint="eastAsia"/>
          <w:sz w:val="28"/>
          <w:szCs w:val="36"/>
        </w:rPr>
        <w:t>本项目要求的特定资质证书</w:t>
      </w:r>
      <w:bookmarkEnd w:id="52"/>
      <w:bookmarkEnd w:id="53"/>
    </w:p>
    <w:p>
      <w:pPr>
        <w:pStyle w:val="11"/>
        <w:rPr>
          <w:rFonts w:hint="eastAsia"/>
        </w:rPr>
      </w:pPr>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7"/>
        <w:rPr>
          <w:rFonts w:ascii="宋体" w:hAnsi="宋体"/>
          <w:b/>
          <w:sz w:val="28"/>
        </w:rPr>
      </w:pPr>
    </w:p>
    <w:p>
      <w:pPr>
        <w:pStyle w:val="2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4" w:name="_Toc31708_WPSOffice_Level1"/>
      <w:bookmarkStart w:id="55" w:name="_Toc30723_WPSOffice_Level1"/>
      <w:r>
        <w:rPr>
          <w:rFonts w:hint="eastAsia" w:ascii="宋体" w:hAnsi="宋体"/>
          <w:b/>
          <w:kern w:val="0"/>
          <w:sz w:val="32"/>
          <w:szCs w:val="32"/>
          <w:lang w:val="zh-CN"/>
        </w:rPr>
        <w:t>投标声明书</w:t>
      </w:r>
      <w:bookmarkEnd w:id="54"/>
      <w:bookmarkEnd w:id="55"/>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8"/>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8"/>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8"/>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8"/>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56" w:name="_Toc6870_WPSOffice_Level1"/>
      <w:bookmarkStart w:id="57" w:name="_Toc24373_WPSOffice_Level1"/>
      <w:r>
        <w:rPr>
          <w:b/>
          <w:sz w:val="32"/>
          <w:szCs w:val="32"/>
        </w:rPr>
        <w:t>授权</w:t>
      </w:r>
      <w:r>
        <w:rPr>
          <w:rFonts w:hint="eastAsia"/>
          <w:b/>
          <w:sz w:val="32"/>
          <w:szCs w:val="32"/>
        </w:rPr>
        <w:t>委托</w:t>
      </w:r>
      <w:r>
        <w:rPr>
          <w:b/>
          <w:sz w:val="32"/>
          <w:szCs w:val="32"/>
        </w:rPr>
        <w:t>书</w:t>
      </w:r>
      <w:bookmarkEnd w:id="56"/>
      <w:bookmarkEnd w:id="57"/>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rPr>
          <w:rFonts w:hint="eastAsia" w:ascii="宋体"/>
          <w:sz w:val="24"/>
        </w:rPr>
      </w:pPr>
      <w:r>
        <w:rPr>
          <w:rFonts w:hint="eastAsia" w:ascii="宋体"/>
          <w:sz w:val="24"/>
        </w:rPr>
        <w:br w:type="page"/>
      </w: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pPr>
        <w:pStyle w:val="12"/>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1"/>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1"/>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w:t>
            </w:r>
            <w:r>
              <w:rPr>
                <w:rFonts w:hint="eastAsia" w:ascii="宋体"/>
                <w:b/>
                <w:sz w:val="24"/>
                <w:lang w:eastAsia="zh-CN"/>
              </w:rPr>
              <w:t>粘贴</w:t>
            </w:r>
            <w:r>
              <w:rPr>
                <w:rFonts w:hint="eastAsia" w:ascii="宋体"/>
                <w:b/>
                <w:sz w:val="24"/>
              </w:rPr>
              <w:t>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rPr>
        <w:sectPr>
          <w:footerReference r:id="rId3" w:type="default"/>
          <w:pgSz w:w="11906" w:h="16838"/>
          <w:pgMar w:top="1701" w:right="1418" w:bottom="1588" w:left="1418" w:header="851" w:footer="851" w:gutter="0"/>
          <w:cols w:space="720" w:num="1"/>
          <w:docGrid w:linePitch="312" w:charSpace="0"/>
        </w:sectPr>
      </w:pPr>
    </w:p>
    <w:p>
      <w:pPr>
        <w:rPr>
          <w:rFonts w:hint="default" w:ascii="宋体" w:hAnsi="宋体"/>
          <w:b/>
          <w:sz w:val="28"/>
          <w:lang w:val="en-US" w:eastAsia="zh-CN"/>
        </w:rPr>
      </w:pPr>
      <w:r>
        <w:rPr>
          <w:rFonts w:hint="eastAsia" w:ascii="宋体" w:hAnsi="宋体"/>
          <w:b/>
          <w:sz w:val="28"/>
          <w:lang w:val="en-US" w:eastAsia="zh-CN"/>
        </w:rPr>
        <w:t>附件3</w:t>
      </w:r>
    </w:p>
    <w:p>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pPr>
        <w:numPr>
          <w:ilvl w:val="0"/>
          <w:numId w:val="9"/>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9"/>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pPr>
        <w:numPr>
          <w:ilvl w:val="0"/>
          <w:numId w:val="9"/>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pPr>
        <w:numPr>
          <w:ilvl w:val="0"/>
          <w:numId w:val="9"/>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w:t>
      </w:r>
      <w:r>
        <w:rPr>
          <w:rFonts w:hint="eastAsia"/>
          <w:kern w:val="0"/>
          <w:sz w:val="24"/>
          <w:szCs w:val="24"/>
          <w:lang w:val="zh-CN"/>
        </w:rPr>
        <w:t>的工作</w:t>
      </w:r>
      <w:r>
        <w:rPr>
          <w:rFonts w:hint="eastAsia"/>
          <w:kern w:val="0"/>
          <w:sz w:val="24"/>
          <w:szCs w:val="24"/>
          <w:lang w:val="en-US" w:eastAsia="zh-CN"/>
        </w:rPr>
        <w:t>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9"/>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9"/>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w:t>
      </w:r>
      <w:r>
        <w:rPr>
          <w:rFonts w:hint="eastAsia" w:cs="Times New Roman"/>
          <w:kern w:val="0"/>
          <w:sz w:val="24"/>
          <w:szCs w:val="24"/>
          <w:lang w:val="en-US" w:eastAsia="zh-CN"/>
        </w:rPr>
        <w:t>具体的</w:t>
      </w:r>
      <w:r>
        <w:rPr>
          <w:rFonts w:hint="eastAsia" w:ascii="Times New Roman" w:hAnsi="Times New Roman" w:cs="Times New Roman"/>
          <w:kern w:val="0"/>
          <w:sz w:val="24"/>
          <w:szCs w:val="24"/>
          <w:lang w:val="en-US" w:eastAsia="zh-CN"/>
        </w:rPr>
        <w:t>责任、权利、义务，在中标后经各方协商后报采购人同意后在合同中明确。</w:t>
      </w:r>
    </w:p>
    <w:p>
      <w:pPr>
        <w:numPr>
          <w:ilvl w:val="0"/>
          <w:numId w:val="9"/>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9"/>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8"/>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rPr>
          <w:rFonts w:hint="eastAsia" w:cs="Times New Roman"/>
          <w:kern w:val="0"/>
          <w:sz w:val="24"/>
          <w:szCs w:val="24"/>
          <w:lang w:val="en-US" w:eastAsia="zh-CN"/>
        </w:r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pPr>
        <w:rPr>
          <w:rFonts w:hint="eastAsia" w:cs="Times New Roman"/>
          <w:kern w:val="0"/>
          <w:sz w:val="24"/>
          <w:szCs w:val="24"/>
          <w:lang w:val="en-US" w:eastAsia="zh-CN"/>
        </w:rPr>
      </w:pPr>
      <w:r>
        <w:rPr>
          <w:rFonts w:hint="eastAsia" w:cs="Times New Roman"/>
          <w:kern w:val="0"/>
          <w:sz w:val="24"/>
          <w:szCs w:val="24"/>
          <w:lang w:val="en-US" w:eastAsia="zh-CN"/>
        </w:rPr>
        <w:br w:type="page"/>
      </w:r>
    </w:p>
    <w:p>
      <w:pPr>
        <w:rPr>
          <w:rFonts w:hint="default" w:ascii="宋体" w:hAnsi="宋体"/>
          <w:b/>
          <w:sz w:val="28"/>
          <w:lang w:val="en-US" w:eastAsia="zh-CN"/>
        </w:rPr>
      </w:pPr>
      <w:r>
        <w:rPr>
          <w:rFonts w:hint="eastAsia" w:ascii="宋体" w:hAnsi="宋体"/>
          <w:b/>
          <w:sz w:val="28"/>
          <w:lang w:val="en-US" w:eastAsia="zh-CN"/>
        </w:rPr>
        <w:t>附件4</w:t>
      </w:r>
    </w:p>
    <w:p>
      <w:pPr>
        <w:pStyle w:val="8"/>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承诺函</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pPr>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）的投标，为此，就本次投标有关事项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pPr>
        <w:numPr>
          <w:ilvl w:val="0"/>
          <w:numId w:val="0"/>
        </w:numPr>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有良好的商业信誉和健全的财务会计制度；</w:t>
      </w:r>
    </w:p>
    <w:p>
      <w:pPr>
        <w:numPr>
          <w:ilvl w:val="0"/>
          <w:numId w:val="0"/>
        </w:num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二</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没有税收缴纳、社会保障等方面的失信记录；</w:t>
      </w:r>
    </w:p>
    <w:p>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pPr>
        <w:pStyle w:val="8"/>
        <w:rPr>
          <w:rFonts w:hint="default" w:ascii="宋体" w:hAnsi="宋体" w:eastAsia="宋体" w:cs="宋体"/>
          <w:kern w:val="0"/>
          <w:sz w:val="24"/>
          <w:u w:val="single"/>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p>
    <w:p>
      <w:pPr>
        <w:rPr>
          <w:rFonts w:hint="eastAsia" w:ascii="宋体" w:hAnsi="宋体" w:cs="宋体"/>
          <w:kern w:val="0"/>
          <w:sz w:val="24"/>
          <w:lang w:val="en-US" w:eastAsia="zh-CN"/>
        </w:rPr>
      </w:pPr>
    </w:p>
    <w:p>
      <w:pPr>
        <w:ind w:firstLine="420" w:firstLineChars="0"/>
        <w:rPr>
          <w:rFonts w:hint="eastAsia" w:ascii="宋体" w:hAnsi="宋体" w:cs="宋体"/>
          <w:kern w:val="0"/>
          <w:sz w:val="24"/>
          <w:lang w:val="en-US" w:eastAsia="zh-CN"/>
        </w:rPr>
      </w:pPr>
    </w:p>
    <w:p>
      <w:pPr>
        <w:ind w:firstLine="420" w:firstLineChars="0"/>
        <w:rPr>
          <w:rFonts w:hint="default" w:eastAsia="宋体"/>
          <w:lang w:val="en-US" w:eastAsia="zh-CN"/>
        </w:rPr>
      </w:pPr>
      <w:r>
        <w:rPr>
          <w:rFonts w:hint="eastAsia" w:ascii="宋体" w:hAnsi="宋体" w:cs="宋体"/>
          <w:kern w:val="0"/>
          <w:sz w:val="24"/>
          <w:lang w:val="en-US" w:eastAsia="zh-CN"/>
        </w:rPr>
        <w:t>我公司对上述承诺内容的真实性负责。如有虚假，将依法承担相应责任。</w:t>
      </w:r>
    </w:p>
    <w:p/>
    <w:p>
      <w:pPr>
        <w:pStyle w:val="8"/>
      </w:pPr>
    </w:p>
    <w:p/>
    <w:p>
      <w:pPr>
        <w:pStyle w:val="8"/>
      </w:pPr>
    </w:p>
    <w:p/>
    <w:p>
      <w:pPr>
        <w:pStyle w:val="8"/>
      </w:pPr>
    </w:p>
    <w:p/>
    <w:p>
      <w:pPr>
        <w:pStyle w:val="8"/>
      </w:pPr>
    </w:p>
    <w:p/>
    <w:p/>
    <w:p>
      <w:pPr>
        <w:pStyle w:val="8"/>
      </w:pPr>
    </w:p>
    <w:p/>
    <w:p>
      <w:pPr>
        <w:pStyle w:val="8"/>
      </w:pPr>
    </w:p>
    <w:p/>
    <w:p>
      <w:pPr>
        <w:pStyle w:val="8"/>
      </w:pPr>
    </w:p>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pStyle w:val="11"/>
        <w:sectPr>
          <w:headerReference r:id="rId4" w:type="default"/>
          <w:footerReference r:id="rId5" w:type="default"/>
          <w:pgSz w:w="11906" w:h="16838"/>
          <w:pgMar w:top="1701" w:right="1448" w:bottom="1531" w:left="1418" w:header="851" w:footer="851" w:gutter="0"/>
          <w:cols w:space="720" w:num="1"/>
          <w:docGrid w:linePitch="312" w:charSpace="0"/>
        </w:sectPr>
      </w:pPr>
    </w:p>
    <w:p>
      <w:pPr>
        <w:jc w:val="both"/>
        <w:rPr>
          <w:rFonts w:hint="eastAsia"/>
          <w:sz w:val="52"/>
          <w:szCs w:val="52"/>
        </w:rPr>
      </w:pPr>
      <w:bookmarkStart w:id="58" w:name="_Toc26389_WPSOffice_Level1"/>
      <w:bookmarkStart w:id="59" w:name="_Toc12331_WPSOffice_Level1"/>
      <w:bookmarkStart w:id="60" w:name="_Toc16825_WPSOffice_Level1"/>
    </w:p>
    <w:p>
      <w:pPr>
        <w:jc w:val="center"/>
        <w:rPr>
          <w:sz w:val="52"/>
          <w:szCs w:val="52"/>
        </w:rPr>
      </w:pPr>
      <w:r>
        <w:rPr>
          <w:rFonts w:hint="eastAsia"/>
          <w:sz w:val="52"/>
          <w:szCs w:val="52"/>
        </w:rPr>
        <w:t>项目名称</w:t>
      </w:r>
      <w:bookmarkEnd w:id="58"/>
      <w:bookmarkEnd w:id="59"/>
      <w:bookmarkEnd w:id="60"/>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
      </w:pPr>
    </w:p>
    <w:p>
      <w:pPr>
        <w:pStyle w:val="2"/>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sz w:val="28"/>
          <w:szCs w:val="28"/>
        </w:rPr>
      </w:pPr>
      <w:bookmarkStart w:id="61" w:name="_Toc11308_WPSOffice_Level1"/>
      <w:bookmarkStart w:id="62" w:name="_Toc5889_WPSOffice_Level1"/>
      <w:r>
        <w:rPr>
          <w:rFonts w:hint="eastAsia"/>
          <w:b/>
          <w:bCs/>
          <w:sz w:val="36"/>
          <w:szCs w:val="36"/>
          <w:lang w:val="zh-CN"/>
        </w:rPr>
        <w:t>商务与技术文件目录</w:t>
      </w:r>
      <w:bookmarkEnd w:id="61"/>
      <w:bookmarkEnd w:id="62"/>
    </w:p>
    <w:p>
      <w:pPr>
        <w:spacing w:line="360" w:lineRule="auto"/>
        <w:ind w:firstLine="562" w:firstLineChars="200"/>
        <w:rPr>
          <w:rFonts w:hint="eastAsia"/>
          <w:b/>
          <w:bCs/>
          <w:sz w:val="28"/>
          <w:szCs w:val="28"/>
        </w:rPr>
      </w:pPr>
      <w:bookmarkStart w:id="63" w:name="_Toc21250_WPSOffice_Level1"/>
      <w:bookmarkStart w:id="64" w:name="_Toc20529_WPSOffice_Level1"/>
      <w:r>
        <w:rPr>
          <w:rFonts w:hint="eastAsia"/>
          <w:b/>
          <w:bCs/>
          <w:sz w:val="28"/>
          <w:szCs w:val="28"/>
        </w:rPr>
        <w:t>第一部分  技术方案描述部分</w:t>
      </w:r>
      <w:bookmarkEnd w:id="63"/>
      <w:bookmarkEnd w:id="64"/>
    </w:p>
    <w:p>
      <w:pPr>
        <w:numPr>
          <w:ilvl w:val="0"/>
          <w:numId w:val="10"/>
        </w:numPr>
        <w:spacing w:line="360" w:lineRule="auto"/>
        <w:ind w:left="405" w:leftChars="0" w:firstLine="15" w:firstLineChars="0"/>
        <w:rPr>
          <w:rFonts w:hint="eastAsia"/>
          <w:sz w:val="28"/>
          <w:szCs w:val="28"/>
        </w:rPr>
      </w:pPr>
      <w:r>
        <w:rPr>
          <w:rFonts w:hint="eastAsia"/>
          <w:sz w:val="28"/>
          <w:szCs w:val="28"/>
        </w:rPr>
        <w:t>投标人情况介绍（附件</w:t>
      </w:r>
      <w:r>
        <w:rPr>
          <w:rFonts w:hint="eastAsia"/>
          <w:sz w:val="28"/>
          <w:szCs w:val="28"/>
          <w:lang w:val="en-US" w:eastAsia="zh-CN"/>
        </w:rPr>
        <w:t>5</w:t>
      </w:r>
      <w:r>
        <w:rPr>
          <w:rFonts w:hint="eastAsia"/>
          <w:sz w:val="28"/>
          <w:szCs w:val="28"/>
        </w:rPr>
        <w:t>）</w:t>
      </w:r>
    </w:p>
    <w:p>
      <w:pPr>
        <w:numPr>
          <w:ilvl w:val="0"/>
          <w:numId w:val="10"/>
        </w:numPr>
        <w:spacing w:line="360" w:lineRule="auto"/>
        <w:ind w:left="405" w:leftChars="0" w:firstLine="15" w:firstLineChars="0"/>
        <w:rPr>
          <w:rFonts w:hint="eastAsia"/>
          <w:sz w:val="28"/>
          <w:szCs w:val="28"/>
        </w:rPr>
      </w:pPr>
      <w:r>
        <w:rPr>
          <w:rFonts w:hint="eastAsia"/>
          <w:sz w:val="28"/>
          <w:szCs w:val="28"/>
        </w:rPr>
        <w:t>项目需求的理解与分析</w:t>
      </w:r>
    </w:p>
    <w:p>
      <w:pPr>
        <w:numPr>
          <w:ilvl w:val="0"/>
          <w:numId w:val="10"/>
        </w:numPr>
        <w:spacing w:line="360" w:lineRule="auto"/>
        <w:ind w:left="405" w:leftChars="0" w:firstLine="15" w:firstLineChars="0"/>
        <w:rPr>
          <w:rFonts w:hint="eastAsia"/>
          <w:sz w:val="28"/>
          <w:szCs w:val="28"/>
        </w:rPr>
      </w:pPr>
      <w:r>
        <w:rPr>
          <w:rFonts w:hint="eastAsia"/>
          <w:sz w:val="28"/>
          <w:szCs w:val="28"/>
        </w:rPr>
        <w:t>项目组织实施方案（可视情选用附件</w:t>
      </w:r>
      <w:r>
        <w:rPr>
          <w:rFonts w:hint="eastAsia"/>
          <w:sz w:val="28"/>
          <w:szCs w:val="28"/>
          <w:lang w:val="en-US" w:eastAsia="zh-CN"/>
        </w:rPr>
        <w:t>6</w:t>
      </w:r>
      <w:r>
        <w:rPr>
          <w:rFonts w:hint="eastAsia"/>
          <w:sz w:val="28"/>
          <w:szCs w:val="28"/>
        </w:rPr>
        <w:t>、附件</w:t>
      </w:r>
      <w:r>
        <w:rPr>
          <w:rFonts w:hint="eastAsia"/>
          <w:sz w:val="28"/>
          <w:szCs w:val="28"/>
          <w:lang w:val="en-US" w:eastAsia="zh-CN"/>
        </w:rPr>
        <w:t>7</w:t>
      </w:r>
      <w:r>
        <w:rPr>
          <w:rFonts w:hint="eastAsia"/>
          <w:sz w:val="28"/>
          <w:szCs w:val="28"/>
        </w:rPr>
        <w:t>）</w:t>
      </w:r>
    </w:p>
    <w:p>
      <w:pPr>
        <w:numPr>
          <w:ilvl w:val="0"/>
          <w:numId w:val="10"/>
        </w:numPr>
        <w:spacing w:line="360" w:lineRule="auto"/>
        <w:ind w:left="405" w:leftChars="0" w:firstLine="15" w:firstLineChars="0"/>
        <w:rPr>
          <w:rFonts w:hint="eastAsia"/>
          <w:sz w:val="28"/>
          <w:szCs w:val="28"/>
        </w:rPr>
      </w:pPr>
      <w:r>
        <w:rPr>
          <w:rFonts w:hint="eastAsia"/>
          <w:sz w:val="28"/>
          <w:szCs w:val="28"/>
        </w:rPr>
        <w:t>安装、调试及验收方案</w:t>
      </w:r>
    </w:p>
    <w:p>
      <w:pPr>
        <w:spacing w:line="360" w:lineRule="auto"/>
        <w:ind w:firstLine="562" w:firstLineChars="200"/>
        <w:rPr>
          <w:rFonts w:hint="eastAsia"/>
          <w:b/>
          <w:bCs/>
          <w:sz w:val="28"/>
          <w:szCs w:val="28"/>
        </w:rPr>
      </w:pPr>
      <w:bookmarkStart w:id="65" w:name="_Toc6008_WPSOffice_Level1"/>
      <w:bookmarkStart w:id="66" w:name="_Toc12004_WPSOffice_Level1"/>
      <w:r>
        <w:rPr>
          <w:rFonts w:hint="eastAsia"/>
          <w:b/>
          <w:bCs/>
          <w:sz w:val="28"/>
          <w:szCs w:val="28"/>
        </w:rPr>
        <w:t>第二部分  投标产品描述部分</w:t>
      </w:r>
      <w:bookmarkEnd w:id="65"/>
      <w:bookmarkEnd w:id="66"/>
    </w:p>
    <w:p>
      <w:pPr>
        <w:numPr>
          <w:ilvl w:val="0"/>
          <w:numId w:val="11"/>
        </w:numPr>
        <w:spacing w:line="360" w:lineRule="auto"/>
        <w:ind w:left="425" w:leftChars="0" w:hanging="5" w:firstLineChars="0"/>
        <w:rPr>
          <w:rFonts w:hint="eastAsia"/>
          <w:sz w:val="28"/>
          <w:szCs w:val="28"/>
        </w:rPr>
      </w:pPr>
      <w:r>
        <w:rPr>
          <w:rFonts w:hint="eastAsia"/>
          <w:sz w:val="28"/>
          <w:szCs w:val="28"/>
        </w:rPr>
        <w:t>投标产品描述及相关资料（可视情选用附件</w:t>
      </w:r>
      <w:r>
        <w:rPr>
          <w:rFonts w:hint="eastAsia"/>
          <w:sz w:val="28"/>
          <w:szCs w:val="28"/>
          <w:lang w:val="en-US" w:eastAsia="zh-CN"/>
        </w:rPr>
        <w:t>8</w:t>
      </w:r>
      <w:r>
        <w:rPr>
          <w:rFonts w:hint="eastAsia"/>
          <w:sz w:val="28"/>
          <w:szCs w:val="28"/>
        </w:rPr>
        <w:t>）</w:t>
      </w:r>
    </w:p>
    <w:p>
      <w:pPr>
        <w:numPr>
          <w:ilvl w:val="0"/>
          <w:numId w:val="11"/>
        </w:numPr>
        <w:spacing w:line="360" w:lineRule="auto"/>
        <w:ind w:left="425" w:leftChars="0" w:hanging="5" w:firstLineChars="0"/>
        <w:rPr>
          <w:rFonts w:hint="eastAsia"/>
          <w:sz w:val="28"/>
          <w:szCs w:val="28"/>
        </w:rPr>
      </w:pPr>
      <w:r>
        <w:rPr>
          <w:rFonts w:hint="eastAsia"/>
          <w:sz w:val="28"/>
          <w:szCs w:val="28"/>
        </w:rPr>
        <w:t>技术需求响应表（附件</w:t>
      </w:r>
      <w:r>
        <w:rPr>
          <w:rFonts w:hint="eastAsia"/>
          <w:sz w:val="28"/>
          <w:szCs w:val="28"/>
          <w:lang w:val="en-US" w:eastAsia="zh-CN"/>
        </w:rPr>
        <w:t>9</w:t>
      </w:r>
      <w:r>
        <w:rPr>
          <w:rFonts w:hint="eastAsia"/>
          <w:sz w:val="28"/>
          <w:szCs w:val="28"/>
        </w:rPr>
        <w:t>）</w:t>
      </w:r>
    </w:p>
    <w:p>
      <w:pPr>
        <w:numPr>
          <w:ilvl w:val="0"/>
          <w:numId w:val="11"/>
        </w:numPr>
        <w:spacing w:line="360" w:lineRule="auto"/>
        <w:ind w:left="425" w:leftChars="0" w:hanging="5" w:firstLineChars="0"/>
        <w:rPr>
          <w:rFonts w:hint="eastAsia"/>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rFonts w:hint="eastAsia"/>
          <w:b/>
          <w:bCs/>
          <w:sz w:val="28"/>
          <w:szCs w:val="28"/>
        </w:rPr>
      </w:pPr>
      <w:bookmarkStart w:id="67" w:name="_Toc30029_WPSOffice_Level1"/>
      <w:bookmarkStart w:id="68" w:name="_Toc20986_WPSOffice_Level1"/>
      <w:r>
        <w:rPr>
          <w:rFonts w:hint="eastAsia"/>
          <w:b/>
          <w:bCs/>
          <w:sz w:val="28"/>
          <w:szCs w:val="28"/>
        </w:rPr>
        <w:t>第三部分  商务及其他部分</w:t>
      </w:r>
      <w:bookmarkEnd w:id="67"/>
      <w:bookmarkEnd w:id="68"/>
    </w:p>
    <w:p>
      <w:pPr>
        <w:numPr>
          <w:ilvl w:val="0"/>
          <w:numId w:val="12"/>
        </w:numPr>
        <w:spacing w:line="360" w:lineRule="auto"/>
        <w:ind w:left="425" w:leftChars="0" w:hanging="5" w:firstLineChars="0"/>
        <w:rPr>
          <w:rFonts w:hint="eastAsia"/>
          <w:sz w:val="28"/>
          <w:szCs w:val="28"/>
        </w:rPr>
      </w:pPr>
      <w:r>
        <w:rPr>
          <w:rFonts w:hint="eastAsia"/>
          <w:sz w:val="28"/>
          <w:szCs w:val="28"/>
        </w:rPr>
        <w:t>证书一览表（附件</w:t>
      </w:r>
      <w:r>
        <w:rPr>
          <w:rFonts w:hint="eastAsia"/>
          <w:sz w:val="28"/>
          <w:szCs w:val="28"/>
          <w:lang w:val="en-US" w:eastAsia="zh-CN"/>
        </w:rPr>
        <w:t>10</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近三年来类似项目的成功案例（附件</w:t>
      </w:r>
      <w:r>
        <w:rPr>
          <w:rFonts w:hint="eastAsia"/>
          <w:sz w:val="28"/>
          <w:szCs w:val="28"/>
          <w:lang w:val="en-US" w:eastAsia="zh-CN"/>
        </w:rPr>
        <w:t>11</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售后服务描述及承诺（可视情选用附件1</w:t>
      </w:r>
      <w:r>
        <w:rPr>
          <w:rFonts w:hint="eastAsia"/>
          <w:sz w:val="28"/>
          <w:szCs w:val="28"/>
          <w:lang w:val="en-US" w:eastAsia="zh-CN"/>
        </w:rPr>
        <w:t>2</w:t>
      </w:r>
      <w:r>
        <w:rPr>
          <w:rFonts w:hint="eastAsia"/>
          <w:sz w:val="28"/>
          <w:szCs w:val="28"/>
        </w:rPr>
        <w:t>，附件</w:t>
      </w:r>
      <w:r>
        <w:rPr>
          <w:rFonts w:hint="eastAsia"/>
          <w:sz w:val="28"/>
          <w:szCs w:val="28"/>
          <w:lang w:val="en-US" w:eastAsia="zh-CN"/>
        </w:rPr>
        <w:t>13</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2"/>
        </w:numPr>
        <w:spacing w:line="360" w:lineRule="auto"/>
        <w:ind w:left="425" w:leftChars="0" w:hanging="5" w:firstLineChars="0"/>
        <w:rPr>
          <w:rFonts w:hint="eastAsia"/>
          <w:sz w:val="28"/>
          <w:szCs w:val="28"/>
        </w:rPr>
      </w:pPr>
      <w:r>
        <w:rPr>
          <w:rFonts w:hint="eastAsia"/>
          <w:sz w:val="28"/>
          <w:szCs w:val="28"/>
        </w:rPr>
        <w:t>主要货物用材响应表（类似家具类货物采用，附件1</w:t>
      </w:r>
      <w:r>
        <w:rPr>
          <w:rFonts w:hint="eastAsia"/>
          <w:sz w:val="28"/>
          <w:szCs w:val="28"/>
          <w:lang w:val="en-US" w:eastAsia="zh-CN"/>
        </w:rPr>
        <w:t>4</w:t>
      </w:r>
      <w:r>
        <w:rPr>
          <w:rFonts w:hint="eastAsia"/>
          <w:sz w:val="28"/>
          <w:szCs w:val="28"/>
        </w:rPr>
        <w:t>）</w:t>
      </w:r>
    </w:p>
    <w:p>
      <w:pPr>
        <w:pStyle w:val="31"/>
        <w:spacing w:before="0" w:beforeAutospacing="0" w:after="0" w:afterAutospacing="0" w:line="360" w:lineRule="auto"/>
        <w:ind w:firstLine="482" w:firstLineChars="200"/>
        <w:jc w:val="both"/>
        <w:rPr>
          <w:b/>
        </w:rPr>
      </w:pPr>
    </w:p>
    <w:p>
      <w:pPr>
        <w:pStyle w:val="31"/>
        <w:spacing w:before="0" w:beforeAutospacing="0" w:after="0" w:afterAutospacing="0" w:line="360" w:lineRule="auto"/>
        <w:rPr>
          <w:b/>
          <w:sz w:val="28"/>
        </w:rPr>
      </w:pPr>
    </w:p>
    <w:p>
      <w:pPr>
        <w:rPr>
          <w:b/>
          <w:sz w:val="28"/>
        </w:rPr>
      </w:pPr>
      <w:r>
        <w:rPr>
          <w:b/>
          <w:sz w:val="28"/>
        </w:rPr>
        <w:br w:type="page"/>
      </w:r>
    </w:p>
    <w:p>
      <w:pPr>
        <w:pStyle w:val="31"/>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5</w:t>
      </w:r>
    </w:p>
    <w:p>
      <w:pPr>
        <w:pStyle w:val="31"/>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9" w:name="_Toc14261_WPSOffice_Level1"/>
      <w:bookmarkStart w:id="70" w:name="_Toc13307_WPSOffice_Level1"/>
      <w:r>
        <w:rPr>
          <w:rFonts w:hint="eastAsia"/>
          <w:b/>
          <w:sz w:val="32"/>
          <w:szCs w:val="32"/>
        </w:rPr>
        <w:t>投标</w:t>
      </w:r>
      <w:r>
        <w:rPr>
          <w:rFonts w:hint="eastAsia"/>
          <w:b/>
          <w:bCs/>
          <w:sz w:val="32"/>
          <w:szCs w:val="32"/>
        </w:rPr>
        <w:t>人基本情况表</w:t>
      </w:r>
      <w:bookmarkEnd w:id="69"/>
      <w:bookmarkEnd w:id="70"/>
    </w:p>
    <w:tbl>
      <w:tblPr>
        <w:tblStyle w:val="21"/>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法定代表人</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1"/>
              <w:spacing w:before="0" w:beforeAutospacing="0" w:after="0" w:afterAutospacing="0"/>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r>
    </w:tbl>
    <w:p>
      <w:pPr>
        <w:pStyle w:val="31"/>
        <w:spacing w:before="0" w:beforeAutospacing="0" w:after="0" w:afterAutospacing="0"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1"/>
        <w:spacing w:before="0" w:beforeAutospacing="0" w:after="0" w:afterAutospacing="0"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snapToGrid w:val="0"/>
        <w:spacing w:beforeLines="50" w:after="50" w:line="360" w:lineRule="auto"/>
        <w:jc w:val="center"/>
        <w:rPr>
          <w:rFonts w:ascii="宋体" w:hAnsi="宋体"/>
          <w:b/>
          <w:sz w:val="36"/>
          <w:szCs w:val="36"/>
        </w:rPr>
      </w:pPr>
      <w:bookmarkStart w:id="71" w:name="_Toc23671_WPSOffice_Level1"/>
      <w:bookmarkStart w:id="72" w:name="_Toc20569_WPSOffice_Level1"/>
      <w:r>
        <w:rPr>
          <w:rFonts w:hint="eastAsia" w:ascii="宋体" w:hAnsi="宋体"/>
          <w:b/>
          <w:sz w:val="32"/>
          <w:szCs w:val="32"/>
        </w:rPr>
        <w:t>项目实施人员一览表</w:t>
      </w:r>
      <w:bookmarkEnd w:id="71"/>
      <w:bookmarkEnd w:id="72"/>
    </w:p>
    <w:p>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pPr>
        <w:pStyle w:val="32"/>
        <w:spacing w:line="360" w:lineRule="auto"/>
        <w:ind w:left="424" w:leftChars="202"/>
        <w:rPr>
          <w:rFonts w:ascii="宋体" w:hAnsi="宋体"/>
          <w:szCs w:val="21"/>
        </w:rPr>
      </w:pPr>
      <w:r>
        <w:rPr>
          <w:rFonts w:hint="eastAsia" w:ascii="宋体" w:hAnsi="宋体"/>
          <w:szCs w:val="21"/>
        </w:rPr>
        <w:t>2.附人员证书。</w:t>
      </w:r>
    </w:p>
    <w:p>
      <w:pPr>
        <w:pStyle w:val="32"/>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73" w:name="_Toc23055_WPSOffice_Level1"/>
      <w:bookmarkStart w:id="74" w:name="_Toc12710_WPSOffice_Level1"/>
      <w:r>
        <w:rPr>
          <w:rFonts w:hint="eastAsia" w:ascii="宋体" w:hAnsi="宋体"/>
          <w:b/>
          <w:bCs/>
          <w:sz w:val="32"/>
          <w:szCs w:val="32"/>
        </w:rPr>
        <w:t>项目负责人资格情况表</w:t>
      </w:r>
      <w:bookmarkEnd w:id="73"/>
      <w:bookmarkEnd w:id="74"/>
    </w:p>
    <w:tbl>
      <w:tblPr>
        <w:tblStyle w:val="21"/>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2" w:leftChars="0" w:firstLine="0" w:firstLineChars="0"/>
        <w:jc w:val="center"/>
        <w:rPr>
          <w:rFonts w:ascii="宋体" w:hAnsi="宋体"/>
          <w:sz w:val="24"/>
        </w:rPr>
      </w:pPr>
      <w:bookmarkStart w:id="75" w:name="_Toc32718_WPSOffice_Level1"/>
      <w:bookmarkStart w:id="76" w:name="_Toc3591_WPSOffice_Level1"/>
      <w:r>
        <w:rPr>
          <w:rFonts w:hint="eastAsia" w:ascii="宋体" w:hAnsi="宋体"/>
          <w:b/>
          <w:sz w:val="32"/>
          <w:szCs w:val="32"/>
        </w:rPr>
        <w:t>供货</w:t>
      </w:r>
      <w:r>
        <w:rPr>
          <w:rFonts w:ascii="宋体" w:hAnsi="宋体"/>
          <w:b/>
          <w:sz w:val="32"/>
          <w:szCs w:val="32"/>
        </w:rPr>
        <w:t>清单</w:t>
      </w:r>
      <w:bookmarkEnd w:id="75"/>
      <w:bookmarkEnd w:id="76"/>
    </w:p>
    <w:tbl>
      <w:tblPr>
        <w:tblStyle w:val="21"/>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99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产地</w:t>
            </w:r>
          </w:p>
        </w:tc>
        <w:tc>
          <w:tcPr>
            <w:tcW w:w="155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3"/>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3"/>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ind w:left="480"/>
        <w:jc w:val="center"/>
        <w:rPr>
          <w:rFonts w:ascii="宋体" w:hAnsi="宋体"/>
          <w:b/>
          <w:sz w:val="32"/>
          <w:szCs w:val="32"/>
        </w:rPr>
      </w:pPr>
      <w:bookmarkStart w:id="77" w:name="_Toc26601_WPSOffice_Level1"/>
      <w:bookmarkStart w:id="78"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7"/>
      <w:bookmarkEnd w:id="78"/>
    </w:p>
    <w:tbl>
      <w:tblPr>
        <w:tblStyle w:val="21"/>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64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44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0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pStyle w:val="33"/>
        <w:tabs>
          <w:tab w:val="left" w:pos="360"/>
        </w:tabs>
        <w:spacing w:line="360" w:lineRule="auto"/>
        <w:jc w:val="both"/>
        <w:rPr>
          <w:rFonts w:ascii="宋体"/>
          <w:b/>
          <w:szCs w:val="21"/>
        </w:rPr>
      </w:pPr>
      <w:r>
        <w:rPr>
          <w:rFonts w:hint="eastAsia" w:ascii="宋体"/>
          <w:b/>
          <w:szCs w:val="21"/>
        </w:rPr>
        <w:t>要求：</w:t>
      </w:r>
    </w:p>
    <w:p>
      <w:pPr>
        <w:pStyle w:val="33"/>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3"/>
        <w:spacing w:line="360" w:lineRule="auto"/>
        <w:ind w:firstLine="420" w:firstLineChars="200"/>
        <w:jc w:val="both"/>
        <w:rPr>
          <w:rFonts w:ascii="宋体"/>
          <w:szCs w:val="21"/>
        </w:rPr>
      </w:pPr>
      <w:r>
        <w:rPr>
          <w:rFonts w:hint="eastAsia" w:ascii="宋体"/>
          <w:szCs w:val="21"/>
        </w:rPr>
        <w:t>2.本表参照本招标文件第</w:t>
      </w:r>
      <w:r>
        <w:rPr>
          <w:rFonts w:hint="eastAsia" w:ascii="宋体"/>
          <w:szCs w:val="21"/>
          <w:lang w:val="en-US" w:eastAsia="zh-CN"/>
        </w:rPr>
        <w:t>三</w:t>
      </w:r>
      <w:r>
        <w:rPr>
          <w:rFonts w:hint="eastAsia" w:ascii="宋体"/>
          <w:szCs w:val="21"/>
        </w:rPr>
        <w:t>部分“招标需求”内第二条“具体技术需求”填制，投标人应根据投标设备的性能指标、服务指标，对照招标文件要求在“偏离情况”栏注明“正偏离”、“负偏离”或“无偏离”。</w:t>
      </w:r>
    </w:p>
    <w:p>
      <w:pPr>
        <w:pStyle w:val="33"/>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4"/>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pStyle w:val="35"/>
        <w:spacing w:line="360" w:lineRule="auto"/>
        <w:jc w:val="center"/>
        <w:rPr>
          <w:rFonts w:ascii="宋体" w:hAnsi="宋体"/>
          <w:b/>
          <w:sz w:val="32"/>
          <w:szCs w:val="32"/>
        </w:rPr>
      </w:pPr>
      <w:bookmarkStart w:id="79" w:name="_Toc17604_WPSOffice_Level1"/>
      <w:bookmarkStart w:id="80" w:name="_Toc11030_WPSOffice_Level1"/>
      <w:r>
        <w:rPr>
          <w:rFonts w:hint="eastAsia" w:ascii="宋体" w:hAnsi="宋体"/>
          <w:b/>
          <w:sz w:val="32"/>
          <w:szCs w:val="32"/>
        </w:rPr>
        <w:t>证书一览表</w:t>
      </w:r>
      <w:bookmarkEnd w:id="79"/>
      <w:bookmarkEnd w:id="80"/>
    </w:p>
    <w:tbl>
      <w:tblPr>
        <w:tblStyle w:val="21"/>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Borders>
              <w:top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Borders>
              <w:top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58"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260" w:type="dxa"/>
            <w:tcBorders>
              <w:bottom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r>
    </w:tbl>
    <w:p>
      <w:pPr>
        <w:pStyle w:val="35"/>
        <w:tabs>
          <w:tab w:val="left" w:pos="1050"/>
        </w:tabs>
        <w:spacing w:line="360" w:lineRule="auto"/>
        <w:rPr>
          <w:rFonts w:ascii="宋体" w:hAnsi="宋体"/>
          <w:szCs w:val="21"/>
        </w:rPr>
      </w:pPr>
      <w:r>
        <w:rPr>
          <w:rFonts w:hint="eastAsia" w:ascii="宋体" w:hAnsi="宋体"/>
          <w:b/>
          <w:szCs w:val="21"/>
        </w:rPr>
        <w:t>要求：</w:t>
      </w:r>
    </w:p>
    <w:p>
      <w:pPr>
        <w:pStyle w:val="35"/>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5"/>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5"/>
        <w:tabs>
          <w:tab w:val="left" w:pos="1050"/>
        </w:tabs>
        <w:spacing w:line="360" w:lineRule="auto"/>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pPr>
        <w:pStyle w:val="34"/>
        <w:spacing w:line="360" w:lineRule="auto"/>
        <w:jc w:val="center"/>
        <w:rPr>
          <w:rFonts w:ascii="仿宋_GB2312" w:eastAsia="仿宋_GB2312"/>
          <w:b/>
          <w:sz w:val="28"/>
          <w:szCs w:val="28"/>
        </w:rPr>
      </w:pPr>
      <w:bookmarkStart w:id="81" w:name="_Toc7134_WPSOffice_Level1"/>
      <w:bookmarkStart w:id="82" w:name="_Toc19231_WPSOffice_Level1"/>
      <w:r>
        <w:rPr>
          <w:rFonts w:hint="eastAsia" w:ascii="宋体" w:hAnsi="宋体"/>
          <w:b/>
          <w:sz w:val="32"/>
          <w:szCs w:val="32"/>
        </w:rPr>
        <w:t>投标人类似项目实施情况一览表</w:t>
      </w:r>
      <w:bookmarkEnd w:id="81"/>
      <w:bookmarkEnd w:id="82"/>
    </w:p>
    <w:tbl>
      <w:tblPr>
        <w:tblStyle w:val="21"/>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5"/>
        <w:tabs>
          <w:tab w:val="left" w:pos="1050"/>
        </w:tabs>
        <w:spacing w:line="360" w:lineRule="auto"/>
        <w:rPr>
          <w:rFonts w:hint="eastAsia" w:ascii="仿宋_GB2312" w:hAnsi="宋体" w:eastAsia="宋体"/>
          <w:sz w:val="24"/>
          <w:lang w:val="en-US"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0" w:leftChars="0" w:hanging="9" w:firstLineChars="0"/>
        <w:jc w:val="center"/>
        <w:rPr>
          <w:rFonts w:ascii="宋体" w:hAnsi="宋体"/>
          <w:b/>
          <w:sz w:val="18"/>
          <w:szCs w:val="18"/>
        </w:rPr>
      </w:pPr>
      <w:bookmarkStart w:id="83" w:name="_Toc3068_WPSOffice_Level1"/>
      <w:bookmarkStart w:id="84" w:name="_Toc21582_WPSOffice_Level1"/>
      <w:r>
        <w:rPr>
          <w:rFonts w:hint="eastAsia" w:ascii="宋体" w:hAnsi="宋体"/>
          <w:b/>
          <w:sz w:val="32"/>
          <w:szCs w:val="32"/>
        </w:rPr>
        <w:t>商务需求响应表</w:t>
      </w:r>
      <w:bookmarkEnd w:id="83"/>
      <w:bookmarkEnd w:id="84"/>
    </w:p>
    <w:tbl>
      <w:tblPr>
        <w:tblStyle w:val="21"/>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交货和服务</w:t>
            </w:r>
          </w:p>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w:t>
      </w:r>
      <w:r>
        <w:rPr>
          <w:rFonts w:hint="eastAsia" w:ascii="宋体" w:hAnsi="宋体"/>
          <w:b/>
          <w:sz w:val="28"/>
          <w:lang w:val="en-US" w:eastAsia="zh-CN"/>
        </w:rPr>
        <w:t>13</w:t>
      </w:r>
      <w:r>
        <w:rPr>
          <w:rFonts w:ascii="宋体" w:hAnsi="宋体"/>
          <w:b/>
          <w:sz w:val="28"/>
        </w:rPr>
        <w:tab/>
      </w:r>
    </w:p>
    <w:p>
      <w:pPr>
        <w:spacing w:line="360" w:lineRule="auto"/>
        <w:ind w:left="0" w:leftChars="0" w:firstLine="0" w:firstLineChars="0"/>
        <w:jc w:val="center"/>
        <w:rPr>
          <w:rFonts w:ascii="宋体" w:hAnsi="宋体"/>
          <w:b/>
          <w:sz w:val="24"/>
        </w:rPr>
      </w:pPr>
      <w:bookmarkStart w:id="85" w:name="_Toc29652_WPSOffice_Level1"/>
      <w:bookmarkStart w:id="86" w:name="_Toc3463_WPSOffice_Level1"/>
      <w:r>
        <w:rPr>
          <w:rFonts w:hint="eastAsia" w:ascii="宋体" w:hAnsi="宋体"/>
          <w:b/>
          <w:sz w:val="32"/>
          <w:szCs w:val="32"/>
        </w:rPr>
        <w:t>售后服务情况表</w:t>
      </w:r>
      <w:bookmarkEnd w:id="85"/>
      <w:bookmarkEnd w:id="86"/>
    </w:p>
    <w:tbl>
      <w:tblPr>
        <w:tblStyle w:val="21"/>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序号</w:t>
            </w:r>
          </w:p>
        </w:tc>
        <w:tc>
          <w:tcPr>
            <w:tcW w:w="2879"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项目</w:t>
            </w:r>
          </w:p>
        </w:tc>
        <w:tc>
          <w:tcPr>
            <w:tcW w:w="4061"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投标人情况</w:t>
            </w:r>
          </w:p>
        </w:tc>
        <w:tc>
          <w:tcPr>
            <w:tcW w:w="1301"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6"/>
              <w:spacing w:line="360" w:lineRule="auto"/>
              <w:jc w:val="center"/>
              <w:rPr>
                <w:rFonts w:ascii="宋体" w:hAnsi="宋体" w:cs="Arial"/>
                <w:bCs/>
                <w:sz w:val="21"/>
                <w:szCs w:val="21"/>
              </w:rPr>
            </w:pPr>
            <w:r>
              <w:rPr>
                <w:rFonts w:hint="eastAsia" w:ascii="宋体" w:hAnsi="宋体" w:cs="Arial"/>
                <w:bCs/>
                <w:sz w:val="21"/>
                <w:szCs w:val="21"/>
              </w:rPr>
              <w:t>1</w:t>
            </w:r>
          </w:p>
        </w:tc>
        <w:tc>
          <w:tcPr>
            <w:tcW w:w="2879" w:type="dxa"/>
            <w:vMerge w:val="restart"/>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保修期内售后服务情况(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、售后服务的内容和措施</w:t>
            </w:r>
            <w:r>
              <w:rPr>
                <w:rFonts w:hint="eastAsia" w:ascii="宋体" w:hAnsi="宋体" w:cs="Arial"/>
                <w:bCs/>
                <w:sz w:val="21"/>
                <w:szCs w:val="21"/>
              </w:rPr>
              <w:t>等等，可用附页和宣传材料)</w:t>
            </w:r>
          </w:p>
        </w:tc>
        <w:tc>
          <w:tcPr>
            <w:tcW w:w="4061" w:type="dxa"/>
            <w:tcMar>
              <w:top w:w="57" w:type="dxa"/>
              <w:left w:w="108" w:type="dxa"/>
              <w:bottom w:w="0" w:type="dxa"/>
              <w:right w:w="108" w:type="dxa"/>
            </w:tcMar>
          </w:tcPr>
          <w:p>
            <w:pPr>
              <w:pStyle w:val="36"/>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01" w:type="dxa"/>
            <w:tcMar>
              <w:top w:w="57" w:type="dxa"/>
              <w:left w:w="108" w:type="dxa"/>
              <w:bottom w:w="0" w:type="dxa"/>
              <w:right w:w="108" w:type="dxa"/>
            </w:tcMar>
          </w:tcPr>
          <w:p>
            <w:pPr>
              <w:pStyle w:val="36"/>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p>
        </w:tc>
        <w:tc>
          <w:tcPr>
            <w:tcW w:w="287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p>
        </w:tc>
        <w:tc>
          <w:tcPr>
            <w:tcW w:w="4061" w:type="dxa"/>
            <w:tcMar>
              <w:top w:w="57" w:type="dxa"/>
              <w:left w:w="108" w:type="dxa"/>
              <w:bottom w:w="0" w:type="dxa"/>
              <w:right w:w="108" w:type="dxa"/>
            </w:tcMar>
          </w:tcPr>
          <w:p>
            <w:pPr>
              <w:pStyle w:val="36"/>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01" w:type="dxa"/>
            <w:tcMar>
              <w:top w:w="57" w:type="dxa"/>
              <w:left w:w="108" w:type="dxa"/>
              <w:bottom w:w="0" w:type="dxa"/>
              <w:right w:w="108" w:type="dxa"/>
            </w:tcMar>
          </w:tcPr>
          <w:p>
            <w:pPr>
              <w:pStyle w:val="36"/>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Cs/>
                <w:sz w:val="21"/>
                <w:szCs w:val="21"/>
              </w:rPr>
            </w:pPr>
            <w:r>
              <w:rPr>
                <w:rFonts w:hint="eastAsia" w:ascii="宋体" w:hAnsi="宋体" w:cs="Arial"/>
                <w:bCs/>
                <w:sz w:val="21"/>
                <w:szCs w:val="21"/>
              </w:rPr>
              <w:t>2</w:t>
            </w:r>
          </w:p>
        </w:tc>
        <w:tc>
          <w:tcPr>
            <w:tcW w:w="2879" w:type="dxa"/>
            <w:tcMar>
              <w:top w:w="57" w:type="dxa"/>
              <w:left w:w="108" w:type="dxa"/>
              <w:bottom w:w="0" w:type="dxa"/>
              <w:right w:w="108" w:type="dxa"/>
            </w:tcMar>
            <w:vAlign w:val="center"/>
          </w:tcPr>
          <w:p>
            <w:pPr>
              <w:pStyle w:val="36"/>
              <w:spacing w:line="360" w:lineRule="auto"/>
              <w:rPr>
                <w:rFonts w:ascii="宋体" w:hAnsi="宋体" w:cs="Arial"/>
                <w:bCs/>
                <w:sz w:val="21"/>
                <w:szCs w:val="21"/>
              </w:rPr>
            </w:pPr>
            <w:r>
              <w:rPr>
                <w:rFonts w:hint="eastAsia" w:ascii="宋体" w:hAnsi="宋体" w:cs="Arial"/>
                <w:bCs/>
                <w:sz w:val="21"/>
                <w:szCs w:val="21"/>
              </w:rPr>
              <w:t>保修期后售后服务</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p>
            <w:pPr>
              <w:pStyle w:val="36"/>
              <w:widowControl/>
              <w:spacing w:line="360" w:lineRule="auto"/>
              <w:jc w:val="left"/>
              <w:rPr>
                <w:rFonts w:ascii="宋体" w:hAnsi="宋体" w:cs="Arial"/>
                <w:bCs/>
                <w:sz w:val="21"/>
                <w:szCs w:val="21"/>
              </w:rPr>
            </w:pPr>
          </w:p>
          <w:p>
            <w:pPr>
              <w:pStyle w:val="36"/>
              <w:spacing w:line="360" w:lineRule="auto"/>
              <w:rPr>
                <w:rFonts w:ascii="宋体" w:hAnsi="宋体" w:cs="Arial"/>
                <w:bCs/>
                <w:sz w:val="21"/>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p>
            <w:pPr>
              <w:pStyle w:val="36"/>
              <w:widowControl/>
              <w:spacing w:line="360" w:lineRule="auto"/>
              <w:jc w:val="left"/>
              <w:rPr>
                <w:rFonts w:ascii="宋体" w:hAnsi="宋体" w:cs="Arial"/>
                <w:bCs/>
                <w:sz w:val="21"/>
                <w:szCs w:val="21"/>
              </w:rPr>
            </w:pPr>
          </w:p>
          <w:p>
            <w:pPr>
              <w:pStyle w:val="36"/>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ascii="宋体" w:hAnsi="宋体" w:cs="Arial"/>
                <w:bCs/>
                <w:sz w:val="21"/>
                <w:szCs w:val="21"/>
              </w:rPr>
              <w:t>……</w:t>
            </w:r>
          </w:p>
        </w:tc>
        <w:tc>
          <w:tcPr>
            <w:tcW w:w="287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ascii="宋体" w:hAnsi="宋体" w:cs="Arial"/>
                <w:bCs/>
                <w:sz w:val="21"/>
                <w:szCs w:val="21"/>
              </w:rPr>
              <w:t>……</w:t>
            </w:r>
          </w:p>
        </w:tc>
        <w:tc>
          <w:tcPr>
            <w:tcW w:w="406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tc>
        <w:tc>
          <w:tcPr>
            <w:tcW w:w="130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37"/>
        <w:spacing w:line="360" w:lineRule="auto"/>
        <w:rPr>
          <w:rFonts w:hint="default" w:hAnsi="宋体" w:eastAsiaTheme="minorEastAsia"/>
          <w:b/>
          <w:sz w:val="28"/>
          <w:szCs w:val="28"/>
          <w:lang w:val="en-US" w:eastAsia="zh-CN"/>
        </w:rPr>
      </w:pPr>
      <w:r>
        <w:rPr>
          <w:rFonts w:hint="eastAsia" w:hAnsi="宋体"/>
          <w:b/>
          <w:sz w:val="28"/>
          <w:szCs w:val="28"/>
        </w:rPr>
        <w:t>附件</w:t>
      </w:r>
      <w:r>
        <w:rPr>
          <w:rFonts w:hint="eastAsia" w:hAnsi="宋体"/>
          <w:b/>
          <w:sz w:val="28"/>
          <w:szCs w:val="28"/>
          <w:lang w:val="en-US" w:eastAsia="zh-CN"/>
        </w:rPr>
        <w:t>14</w:t>
      </w:r>
    </w:p>
    <w:p>
      <w:pPr>
        <w:pStyle w:val="37"/>
        <w:spacing w:line="360" w:lineRule="auto"/>
        <w:jc w:val="center"/>
        <w:rPr>
          <w:rFonts w:hAnsi="宋体"/>
          <w:b/>
          <w:sz w:val="32"/>
          <w:szCs w:val="32"/>
          <w:lang w:val="en-GB"/>
        </w:rPr>
      </w:pPr>
      <w:bookmarkStart w:id="87" w:name="_Toc15536_WPSOffice_Level1"/>
      <w:bookmarkStart w:id="88" w:name="_Toc16175_WPSOffice_Level1"/>
      <w:r>
        <w:rPr>
          <w:rFonts w:hint="eastAsia" w:hAnsi="宋体"/>
          <w:b/>
          <w:sz w:val="32"/>
          <w:szCs w:val="32"/>
        </w:rPr>
        <w:t>主要货物用材响应表(类似家具类货物采用)</w:t>
      </w:r>
      <w:bookmarkEnd w:id="87"/>
      <w:bookmarkEnd w:id="88"/>
    </w:p>
    <w:tbl>
      <w:tblPr>
        <w:tblStyle w:val="21"/>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6"/>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6"/>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6"/>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6"/>
        <w:spacing w:line="360" w:lineRule="auto"/>
        <w:ind w:firstLine="480" w:firstLineChars="200"/>
        <w:rPr>
          <w:rFonts w:ascii="仿宋_GB2312" w:eastAsia="仿宋_GB2312"/>
          <w:sz w:val="24"/>
        </w:rPr>
      </w:pPr>
    </w:p>
    <w:p>
      <w:pPr>
        <w:pStyle w:val="36"/>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rFonts w:hint="eastAsia"/>
          <w:sz w:val="52"/>
          <w:szCs w:val="52"/>
        </w:rPr>
      </w:pPr>
      <w:bookmarkStart w:id="89" w:name="_Toc30468_WPSOffice_Level1"/>
      <w:bookmarkStart w:id="90" w:name="_Toc21322_WPSOffice_Level1"/>
      <w:bookmarkStart w:id="91" w:name="_Toc4615_WPSOffice_Level1"/>
    </w:p>
    <w:p>
      <w:pPr>
        <w:pStyle w:val="2"/>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89"/>
      <w:bookmarkEnd w:id="90"/>
      <w:bookmarkEnd w:id="9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rPr>
      </w:pPr>
      <w:bookmarkStart w:id="92" w:name="_Toc9453_WPSOffice_Level1"/>
      <w:bookmarkStart w:id="93" w:name="_Toc8885_WPSOffice_Level1"/>
      <w:r>
        <w:rPr>
          <w:rFonts w:hint="eastAsia"/>
          <w:sz w:val="84"/>
          <w:szCs w:val="84"/>
        </w:rPr>
        <w:t>报</w:t>
      </w:r>
      <w:bookmarkEnd w:id="92"/>
      <w:bookmarkEnd w:id="93"/>
    </w:p>
    <w:p>
      <w:pPr>
        <w:jc w:val="center"/>
        <w:rPr>
          <w:sz w:val="84"/>
          <w:szCs w:val="84"/>
        </w:rPr>
      </w:pPr>
      <w:bookmarkStart w:id="94" w:name="_Toc10910_WPSOffice_Level1"/>
      <w:bookmarkStart w:id="95" w:name="_Toc7485_WPSOffice_Level1"/>
      <w:r>
        <w:rPr>
          <w:rFonts w:hint="eastAsia"/>
          <w:sz w:val="84"/>
          <w:szCs w:val="84"/>
        </w:rPr>
        <w:t>价</w:t>
      </w:r>
      <w:bookmarkEnd w:id="94"/>
      <w:bookmarkEnd w:id="95"/>
    </w:p>
    <w:p>
      <w:pPr>
        <w:jc w:val="center"/>
        <w:rPr>
          <w:sz w:val="84"/>
          <w:szCs w:val="84"/>
        </w:rPr>
      </w:pPr>
      <w:bookmarkStart w:id="96" w:name="_Toc14572_WPSOffice_Level1"/>
      <w:bookmarkStart w:id="97" w:name="_Toc3932_WPSOffice_Level1"/>
      <w:r>
        <w:rPr>
          <w:rFonts w:hint="eastAsia"/>
          <w:sz w:val="84"/>
          <w:szCs w:val="84"/>
        </w:rPr>
        <w:t>文</w:t>
      </w:r>
      <w:bookmarkEnd w:id="96"/>
      <w:bookmarkEnd w:id="97"/>
    </w:p>
    <w:p>
      <w:pPr>
        <w:jc w:val="center"/>
        <w:rPr>
          <w:sz w:val="84"/>
          <w:szCs w:val="84"/>
        </w:rPr>
      </w:pPr>
      <w:bookmarkStart w:id="98" w:name="_Toc7562_WPSOffice_Level1"/>
      <w:bookmarkStart w:id="99" w:name="_Toc16973_WPSOffice_Level1"/>
      <w:r>
        <w:rPr>
          <w:rFonts w:hint="eastAsia"/>
          <w:sz w:val="84"/>
          <w:szCs w:val="84"/>
        </w:rPr>
        <w:t>件</w:t>
      </w:r>
      <w:bookmarkEnd w:id="98"/>
      <w:bookmarkEnd w:id="99"/>
    </w:p>
    <w:p>
      <w:pPr>
        <w:spacing w:line="360" w:lineRule="auto"/>
        <w:ind w:right="532"/>
        <w:rPr>
          <w:rFonts w:ascii="宋体" w:hAnsi="宋体"/>
          <w:sz w:val="36"/>
          <w:szCs w:val="36"/>
        </w:rPr>
      </w:pPr>
    </w:p>
    <w:p>
      <w:pPr>
        <w:pStyle w:val="2"/>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0" w:name="_Toc26700_WPSOffice_Level1"/>
      <w:bookmarkStart w:id="101" w:name="_Toc4603_WPSOffice_Level1"/>
      <w:r>
        <w:rPr>
          <w:rFonts w:hint="eastAsia" w:ascii="宋体" w:hAnsi="宋体"/>
          <w:sz w:val="36"/>
          <w:szCs w:val="36"/>
        </w:rPr>
        <w:t>投标人全称（公章）：</w:t>
      </w:r>
      <w:bookmarkEnd w:id="100"/>
      <w:bookmarkEnd w:id="101"/>
    </w:p>
    <w:p>
      <w:pPr>
        <w:spacing w:line="360" w:lineRule="auto"/>
        <w:ind w:right="-108" w:firstLine="720" w:firstLineChars="200"/>
        <w:rPr>
          <w:rFonts w:ascii="宋体" w:hAnsi="宋体"/>
          <w:sz w:val="36"/>
          <w:szCs w:val="36"/>
        </w:rPr>
      </w:pPr>
      <w:bookmarkStart w:id="102" w:name="_Toc1391_WPSOffice_Level1"/>
      <w:bookmarkStart w:id="103" w:name="_Toc32593_WPSOffice_Level1"/>
      <w:r>
        <w:rPr>
          <w:rFonts w:hint="eastAsia" w:ascii="宋体" w:hAnsi="宋体"/>
          <w:sz w:val="36"/>
          <w:szCs w:val="36"/>
        </w:rPr>
        <w:t>地    址：</w:t>
      </w:r>
      <w:bookmarkEnd w:id="102"/>
      <w:bookmarkEnd w:id="103"/>
    </w:p>
    <w:p>
      <w:pPr>
        <w:spacing w:line="360" w:lineRule="auto"/>
        <w:ind w:right="-108" w:firstLine="720" w:firstLineChars="200"/>
        <w:rPr>
          <w:rFonts w:ascii="宋体" w:hAnsi="宋体"/>
          <w:sz w:val="36"/>
          <w:szCs w:val="36"/>
        </w:rPr>
      </w:pPr>
      <w:bookmarkStart w:id="104" w:name="_Toc20938_WPSOffice_Level1"/>
      <w:bookmarkStart w:id="105" w:name="_Toc3791_WPSOffice_Level1"/>
      <w:r>
        <w:rPr>
          <w:rFonts w:hint="eastAsia" w:ascii="宋体" w:hAnsi="宋体"/>
          <w:sz w:val="36"/>
          <w:szCs w:val="36"/>
        </w:rPr>
        <w:t>时    间：</w:t>
      </w:r>
      <w:bookmarkEnd w:id="104"/>
      <w:bookmarkEnd w:id="105"/>
    </w:p>
    <w:p>
      <w:pPr>
        <w:spacing w:line="360" w:lineRule="auto"/>
        <w:ind w:right="-108"/>
        <w:jc w:val="center"/>
        <w:rPr>
          <w:rFonts w:ascii="仿宋_GB2312" w:hAnsi="宋体" w:eastAsia="仿宋_GB2312"/>
          <w:b/>
          <w:sz w:val="36"/>
          <w:szCs w:val="36"/>
        </w:rPr>
      </w:pPr>
    </w:p>
    <w:p>
      <w:pPr>
        <w:pStyle w:val="2"/>
      </w:pPr>
    </w:p>
    <w:p>
      <w:pPr>
        <w:pStyle w:val="2"/>
      </w:pPr>
    </w:p>
    <w:p>
      <w:pPr>
        <w:pStyle w:val="2"/>
      </w:pPr>
    </w:p>
    <w:p>
      <w:pPr>
        <w:pStyle w:val="8"/>
        <w:ind w:left="0" w:leftChars="0" w:firstLine="0" w:firstLineChars="0"/>
        <w:rPr>
          <w:rFonts w:ascii="仿宋_GB2312" w:hAnsi="宋体" w:eastAsia="仿宋_GB2312"/>
          <w:b/>
          <w:sz w:val="36"/>
          <w:szCs w:val="36"/>
        </w:rPr>
      </w:pPr>
    </w:p>
    <w:p>
      <w:pPr>
        <w:pStyle w:val="8"/>
        <w:ind w:left="0" w:leftChars="0" w:firstLine="0" w:firstLineChars="0"/>
        <w:rPr>
          <w:rFonts w:ascii="仿宋_GB2312" w:hAnsi="宋体" w:eastAsia="仿宋_GB2312"/>
          <w:b/>
          <w:sz w:val="36"/>
          <w:szCs w:val="36"/>
        </w:rPr>
      </w:pPr>
    </w:p>
    <w:p>
      <w:pPr>
        <w:spacing w:line="480" w:lineRule="auto"/>
        <w:jc w:val="center"/>
        <w:rPr>
          <w:rFonts w:hint="eastAsia" w:ascii="宋体" w:hAnsi="宋体"/>
          <w:b/>
          <w:bCs/>
          <w:sz w:val="36"/>
          <w:szCs w:val="36"/>
        </w:rPr>
      </w:pPr>
      <w:bookmarkStart w:id="106" w:name="_Toc19972_WPSOffice_Level1"/>
      <w:bookmarkStart w:id="107" w:name="_Toc29537_WPSOffice_Level1"/>
      <w:r>
        <w:rPr>
          <w:rFonts w:hint="eastAsia" w:ascii="宋体" w:hAnsi="宋体"/>
          <w:b/>
          <w:bCs/>
          <w:sz w:val="36"/>
          <w:szCs w:val="36"/>
        </w:rPr>
        <w:t>报价文件目录</w:t>
      </w:r>
      <w:bookmarkEnd w:id="106"/>
      <w:bookmarkEnd w:id="107"/>
    </w:p>
    <w:p>
      <w:pPr>
        <w:pStyle w:val="2"/>
        <w:rPr>
          <w:rFonts w:hint="eastAsia"/>
        </w:rPr>
      </w:pPr>
    </w:p>
    <w:p>
      <w:pPr>
        <w:spacing w:line="360" w:lineRule="auto"/>
        <w:ind w:firstLine="480" w:firstLineChars="200"/>
        <w:rPr>
          <w:sz w:val="24"/>
        </w:rPr>
      </w:pPr>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08" w:name="_Toc6778_WPSOffice_Level1"/>
      <w:bookmarkStart w:id="109" w:name="_Toc29988_WPSOffice_Level1"/>
      <w:r>
        <w:rPr>
          <w:rFonts w:hint="eastAsia" w:asciiTheme="minorEastAsia" w:hAnsiTheme="minorEastAsia" w:eastAsiaTheme="minorEastAsia" w:cstheme="minorEastAsia"/>
          <w:sz w:val="28"/>
          <w:szCs w:val="28"/>
          <w:lang w:val="en-US" w:eastAsia="zh-CN"/>
        </w:rPr>
        <w:t>开标一览表（附件15）</w:t>
      </w:r>
      <w:bookmarkEnd w:id="108"/>
      <w:bookmarkEnd w:id="109"/>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0" w:name="_Toc15601_WPSOffice_Level1"/>
      <w:bookmarkStart w:id="111" w:name="_Toc11601_WPSOffice_Level1"/>
      <w:r>
        <w:rPr>
          <w:rFonts w:hint="eastAsia" w:asciiTheme="minorEastAsia" w:hAnsiTheme="minorEastAsia" w:eastAsiaTheme="minorEastAsia" w:cstheme="minorEastAsia"/>
          <w:sz w:val="28"/>
          <w:szCs w:val="28"/>
          <w:lang w:val="en-US" w:eastAsia="zh-CN"/>
        </w:rPr>
        <w:t>报价明细表（附件16）</w:t>
      </w:r>
      <w:bookmarkEnd w:id="110"/>
      <w:bookmarkEnd w:id="111"/>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2" w:name="_Toc45_WPSOffice_Level1"/>
      <w:bookmarkStart w:id="113" w:name="_Toc17543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lang w:val="en-US" w:eastAsia="zh-CN"/>
        </w:rPr>
        <w:t>（附件17）</w:t>
      </w:r>
      <w:bookmarkEnd w:id="112"/>
      <w:bookmarkEnd w:id="113"/>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针对报价投标人认为其他需要说明的</w:t>
      </w:r>
    </w:p>
    <w:p>
      <w:pPr>
        <w:numPr>
          <w:ilvl w:val="0"/>
          <w:numId w:val="0"/>
        </w:numPr>
        <w:spacing w:line="360" w:lineRule="auto"/>
        <w:ind w:leftChars="0"/>
        <w:jc w:val="both"/>
        <w:rPr>
          <w:rFonts w:hint="eastAsia" w:asciiTheme="minorEastAsia" w:hAnsiTheme="minorEastAsia" w:eastAsiaTheme="minorEastAsia" w:cstheme="minorEastAsia"/>
          <w:sz w:val="28"/>
          <w:szCs w:val="28"/>
          <w:lang w:val="en-US" w:eastAsia="zh-CN"/>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5</w:t>
      </w:r>
    </w:p>
    <w:p>
      <w:pPr>
        <w:spacing w:line="360" w:lineRule="auto"/>
        <w:ind w:left="-2" w:hanging="2"/>
        <w:jc w:val="center"/>
        <w:rPr>
          <w:rFonts w:hint="eastAsia" w:ascii="宋体" w:hAnsi="宋体"/>
          <w:b/>
          <w:sz w:val="32"/>
          <w:szCs w:val="32"/>
        </w:rPr>
      </w:pPr>
      <w:bookmarkStart w:id="114" w:name="_Toc16144_WPSOffice_Level1"/>
      <w:bookmarkStart w:id="115" w:name="_Toc30363_WPSOffice_Level1"/>
      <w:r>
        <w:rPr>
          <w:rFonts w:hint="eastAsia" w:ascii="宋体" w:hAnsi="宋体"/>
          <w:b/>
          <w:sz w:val="32"/>
          <w:szCs w:val="32"/>
        </w:rPr>
        <w:t>开标一览表</w:t>
      </w:r>
      <w:bookmarkEnd w:id="114"/>
      <w:bookmarkEnd w:id="115"/>
    </w:p>
    <w:p>
      <w:pPr>
        <w:pStyle w:val="2"/>
      </w:pPr>
    </w:p>
    <w:p>
      <w:pPr>
        <w:pStyle w:val="12"/>
        <w:spacing w:line="360" w:lineRule="auto"/>
        <w:ind w:firstLine="482" w:firstLineChars="200"/>
        <w:rPr>
          <w:rFonts w:hAnsi="宋体"/>
          <w:b/>
          <w:sz w:val="24"/>
        </w:rPr>
      </w:pPr>
      <w:r>
        <w:rPr>
          <w:rFonts w:hAnsi="宋体"/>
          <w:b/>
          <w:sz w:val="24"/>
        </w:rPr>
        <w:t>项目编号：</w:t>
      </w:r>
    </w:p>
    <w:p>
      <w:pPr>
        <w:pStyle w:val="40"/>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hint="eastAsia" w:ascii="宋体" w:hAnsi="宋体" w:eastAsia="宋体"/>
                <w:sz w:val="24"/>
                <w:lang w:eastAsia="zh-CN"/>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hint="eastAsia" w:ascii="宋体" w:hAnsi="宋体" w:eastAsia="宋体" w:cs="宋体"/>
          <w:sz w:val="24"/>
        </w:rPr>
      </w:pPr>
      <w:r>
        <w:rPr>
          <w:rFonts w:hint="eastAsia" w:ascii="宋体" w:hAnsi="宋体"/>
          <w:b/>
          <w:szCs w:val="21"/>
        </w:rPr>
        <w:t>填报要求：</w:t>
      </w:r>
      <w:r>
        <w:rPr>
          <w:rFonts w:hint="eastAsia" w:ascii="宋体" w:hAnsi="宋体" w:eastAsia="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hint="eastAsia" w:ascii="宋体" w:hAnsi="宋体" w:eastAsia="宋体" w:cs="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6</w:t>
      </w:r>
    </w:p>
    <w:p>
      <w:pPr>
        <w:spacing w:line="360" w:lineRule="auto"/>
        <w:jc w:val="center"/>
        <w:rPr>
          <w:rFonts w:hint="eastAsia" w:ascii="宋体" w:hAnsi="宋体"/>
          <w:sz w:val="24"/>
        </w:rPr>
      </w:pPr>
      <w:bookmarkStart w:id="116" w:name="_Toc8975_WPSOffice_Level1"/>
      <w:bookmarkStart w:id="117" w:name="_Toc22412_WPSOffice_Level1"/>
      <w:r>
        <w:rPr>
          <w:rFonts w:hint="eastAsia" w:ascii="宋体" w:hAnsi="宋体"/>
          <w:b/>
          <w:sz w:val="32"/>
          <w:szCs w:val="32"/>
        </w:rPr>
        <w:t>报价明细表</w:t>
      </w:r>
      <w:bookmarkEnd w:id="116"/>
      <w:bookmarkEnd w:id="117"/>
      <w:r>
        <w:rPr>
          <w:rFonts w:hint="eastAsia" w:ascii="宋体" w:hAnsi="宋体"/>
          <w:sz w:val="24"/>
        </w:rPr>
        <w:t xml:space="preserve">  </w:t>
      </w:r>
    </w:p>
    <w:p>
      <w:pPr>
        <w:spacing w:line="360" w:lineRule="auto"/>
        <w:jc w:val="both"/>
        <w:rPr>
          <w:rFonts w:hAnsi="宋体"/>
          <w:b/>
          <w:sz w:val="24"/>
        </w:rPr>
      </w:pPr>
      <w:r>
        <w:rPr>
          <w:rFonts w:hAnsi="宋体"/>
          <w:b/>
          <w:sz w:val="24"/>
        </w:rPr>
        <w:t>项目编号：</w:t>
      </w:r>
    </w:p>
    <w:p>
      <w:pPr>
        <w:pStyle w:val="40"/>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数量</w:t>
            </w:r>
          </w:p>
        </w:tc>
        <w:tc>
          <w:tcPr>
            <w:tcW w:w="714"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单价</w:t>
            </w:r>
          </w:p>
        </w:tc>
        <w:tc>
          <w:tcPr>
            <w:tcW w:w="697"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小计</w:t>
            </w:r>
          </w:p>
        </w:tc>
        <w:tc>
          <w:tcPr>
            <w:tcW w:w="709"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leftChars="0"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leftChars="0"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7</w:t>
      </w:r>
    </w:p>
    <w:p>
      <w:pPr>
        <w:pStyle w:val="8"/>
        <w:spacing w:line="360" w:lineRule="auto"/>
        <w:ind w:left="0" w:leftChars="0" w:firstLine="0" w:firstLineChars="0"/>
        <w:jc w:val="center"/>
        <w:rPr>
          <w:rFonts w:ascii="宋体" w:hAnsi="宋体" w:cs="宋体"/>
          <w:b/>
          <w:sz w:val="32"/>
          <w:szCs w:val="32"/>
        </w:rPr>
      </w:pPr>
      <w:bookmarkStart w:id="118" w:name="_Toc12654_WPSOffice_Level1"/>
      <w:bookmarkStart w:id="119" w:name="_Toc29357_WPSOffice_Level1"/>
      <w:r>
        <w:rPr>
          <w:rFonts w:hint="eastAsia" w:ascii="宋体" w:hAnsi="宋体" w:cs="宋体"/>
          <w:b/>
          <w:sz w:val="32"/>
          <w:szCs w:val="32"/>
        </w:rPr>
        <w:t>中小企业声明函（货物）</w:t>
      </w:r>
      <w:bookmarkEnd w:id="118"/>
      <w:bookmarkEnd w:id="119"/>
    </w:p>
    <w:p>
      <w:pPr>
        <w:pStyle w:val="8"/>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企业名称（盖章）：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日 期：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7" w:type="first"/>
          <w:footerReference r:id="rId9" w:type="first"/>
          <w:headerReference r:id="rId6" w:type="default"/>
          <w:footerReference r:id="rId8"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2"/>
        <w:spacing w:line="360" w:lineRule="auto"/>
        <w:jc w:val="center"/>
        <w:outlineLvl w:val="1"/>
        <w:rPr>
          <w:rFonts w:hAnsi="宋体" w:cs="宋体"/>
          <w:b/>
          <w:sz w:val="32"/>
          <w:szCs w:val="32"/>
          <w:lang w:val="en-GB"/>
        </w:rPr>
      </w:pPr>
      <w:bookmarkStart w:id="120" w:name="_Toc17646_WPSOffice_Level1"/>
      <w:bookmarkStart w:id="121" w:name="_Toc27483_WPSOffice_Level1"/>
      <w:r>
        <w:rPr>
          <w:rFonts w:hint="eastAsia" w:hAnsi="宋体" w:cs="宋体"/>
          <w:b/>
          <w:sz w:val="32"/>
          <w:szCs w:val="32"/>
          <w:lang w:val="en-GB"/>
        </w:rPr>
        <w:t>残疾人福利性单位声明函</w:t>
      </w:r>
      <w:bookmarkEnd w:id="120"/>
      <w:bookmarkEnd w:id="121"/>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1"/>
        <w:spacing w:line="360" w:lineRule="auto"/>
        <w:ind w:left="4788" w:leftChars="2280" w:firstLine="0" w:firstLineChars="0"/>
        <w:rPr>
          <w:rFonts w:hint="eastAsia" w:ascii="宋体" w:hAnsi="宋体"/>
          <w:sz w:val="24"/>
        </w:rPr>
      </w:pPr>
      <w:r>
        <w:rPr>
          <w:rFonts w:hint="eastAsia" w:ascii="宋体" w:hAnsi="宋体" w:cs="宋体"/>
          <w:sz w:val="24"/>
        </w:rPr>
        <w:t xml:space="preserve">                                </w:t>
      </w:r>
      <w:r>
        <w:rPr>
          <w:rFonts w:hint="eastAsia" w:ascii="宋体" w:hAnsi="宋体"/>
          <w:sz w:val="24"/>
        </w:rPr>
        <w:t>单位名称（盖章）：</w:t>
      </w:r>
    </w:p>
    <w:p>
      <w:pPr>
        <w:pStyle w:val="41"/>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tabs>
          <w:tab w:val="left" w:pos="4860"/>
        </w:tabs>
        <w:spacing w:line="588" w:lineRule="exact"/>
        <w:ind w:right="1560" w:firstLine="480" w:firstLineChars="200"/>
        <w:jc w:val="center"/>
        <w:rPr>
          <w:rFonts w:ascii="宋体" w:hAnsi="宋体" w:cs="宋体"/>
          <w:sz w:val="24"/>
        </w:rPr>
      </w:pPr>
    </w:p>
    <w:p>
      <w:pPr>
        <w:pStyle w:val="41"/>
        <w:spacing w:line="360" w:lineRule="auto"/>
      </w:pPr>
    </w:p>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政府采购文件公开招标货物类示范文本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F931D4A4"/>
    <w:multiLevelType w:val="singleLevel"/>
    <w:tmpl w:val="F931D4A4"/>
    <w:lvl w:ilvl="0" w:tentative="0">
      <w:start w:val="1"/>
      <w:numFmt w:val="decimal"/>
      <w:lvlText w:val="%1."/>
      <w:lvlJc w:val="left"/>
      <w:pPr>
        <w:tabs>
          <w:tab w:val="left" w:pos="312"/>
        </w:tabs>
      </w:pPr>
    </w:lvl>
  </w:abstractNum>
  <w:abstractNum w:abstractNumId="6">
    <w:nsid w:val="FF4D4BA8"/>
    <w:multiLevelType w:val="singleLevel"/>
    <w:tmpl w:val="FF4D4BA8"/>
    <w:lvl w:ilvl="0" w:tentative="0">
      <w:start w:val="1"/>
      <w:numFmt w:val="decimal"/>
      <w:lvlText w:val="%1."/>
      <w:lvlJc w:val="left"/>
      <w:pPr>
        <w:ind w:left="425" w:hanging="425"/>
      </w:pPr>
      <w:rPr>
        <w:rFonts w:hint="default"/>
      </w:rPr>
    </w:lvl>
  </w:abstractNum>
  <w:abstractNum w:abstractNumId="7">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8">
    <w:nsid w:val="289F1F1C"/>
    <w:multiLevelType w:val="singleLevel"/>
    <w:tmpl w:val="289F1F1C"/>
    <w:lvl w:ilvl="0" w:tentative="0">
      <w:start w:val="1"/>
      <w:numFmt w:val="decimal"/>
      <w:lvlText w:val="%1."/>
      <w:lvlJc w:val="left"/>
      <w:pPr>
        <w:ind w:left="425" w:hanging="425"/>
      </w:pPr>
      <w:rPr>
        <w:rFonts w:hint="default"/>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488A27B"/>
    <w:multiLevelType w:val="singleLevel"/>
    <w:tmpl w:val="7488A27B"/>
    <w:lvl w:ilvl="0" w:tentative="0">
      <w:start w:val="1"/>
      <w:numFmt w:val="decimal"/>
      <w:lvlText w:val="%1."/>
      <w:lvlJc w:val="left"/>
      <w:pPr>
        <w:ind w:left="425" w:hanging="425"/>
      </w:pPr>
      <w:rPr>
        <w:rFonts w:hint="default"/>
      </w:rPr>
    </w:lvl>
  </w:abstractNum>
  <w:abstractNum w:abstractNumId="13">
    <w:nsid w:val="7E92F494"/>
    <w:multiLevelType w:val="singleLevel"/>
    <w:tmpl w:val="7E92F494"/>
    <w:lvl w:ilvl="0" w:tentative="0">
      <w:start w:val="1"/>
      <w:numFmt w:val="decimal"/>
      <w:lvlText w:val="%1."/>
      <w:lvlJc w:val="left"/>
      <w:pPr>
        <w:ind w:left="425" w:hanging="425"/>
      </w:pPr>
      <w:rPr>
        <w:rFonts w:hint="default"/>
      </w:rPr>
    </w:lvl>
  </w:abstractNum>
  <w:num w:numId="1">
    <w:abstractNumId w:val="10"/>
  </w:num>
  <w:num w:numId="2">
    <w:abstractNumId w:val="7"/>
  </w:num>
  <w:num w:numId="3">
    <w:abstractNumId w:val="11"/>
  </w:num>
  <w:num w:numId="4">
    <w:abstractNumId w:val="9"/>
  </w:num>
  <w:num w:numId="5">
    <w:abstractNumId w:val="5"/>
  </w:num>
  <w:num w:numId="6">
    <w:abstractNumId w:val="4"/>
  </w:num>
  <w:num w:numId="7">
    <w:abstractNumId w:val="0"/>
  </w:num>
  <w:num w:numId="8">
    <w:abstractNumId w:val="13"/>
  </w:num>
  <w:num w:numId="9">
    <w:abstractNumId w:val="1"/>
  </w:num>
  <w:num w:numId="10">
    <w:abstractNumId w:val="12"/>
  </w:num>
  <w:num w:numId="11">
    <w:abstractNumId w:val="2"/>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4791F"/>
    <w:rsid w:val="00CF3329"/>
    <w:rsid w:val="00D00C48"/>
    <w:rsid w:val="00D0546E"/>
    <w:rsid w:val="00D07E9B"/>
    <w:rsid w:val="00DB1E3F"/>
    <w:rsid w:val="00DC1336"/>
    <w:rsid w:val="00E16519"/>
    <w:rsid w:val="00E32B23"/>
    <w:rsid w:val="00E41EBA"/>
    <w:rsid w:val="00E448AC"/>
    <w:rsid w:val="00E66CDC"/>
    <w:rsid w:val="00EC04A9"/>
    <w:rsid w:val="00EF43FF"/>
    <w:rsid w:val="00F26F1C"/>
    <w:rsid w:val="01016402"/>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5C5B7D"/>
    <w:rsid w:val="036059A4"/>
    <w:rsid w:val="037628ED"/>
    <w:rsid w:val="03804F1D"/>
    <w:rsid w:val="038D5F87"/>
    <w:rsid w:val="03996F9E"/>
    <w:rsid w:val="03A92BAF"/>
    <w:rsid w:val="03AD4EC4"/>
    <w:rsid w:val="03DC5B25"/>
    <w:rsid w:val="041155D0"/>
    <w:rsid w:val="04315D2A"/>
    <w:rsid w:val="04431C4F"/>
    <w:rsid w:val="044727DE"/>
    <w:rsid w:val="044D523C"/>
    <w:rsid w:val="04604D98"/>
    <w:rsid w:val="046212F9"/>
    <w:rsid w:val="04663F34"/>
    <w:rsid w:val="04686D1E"/>
    <w:rsid w:val="04E470F1"/>
    <w:rsid w:val="04E746F0"/>
    <w:rsid w:val="04E87471"/>
    <w:rsid w:val="050A0D5B"/>
    <w:rsid w:val="050D23B9"/>
    <w:rsid w:val="05162537"/>
    <w:rsid w:val="051E7487"/>
    <w:rsid w:val="053F0EAC"/>
    <w:rsid w:val="053F23D3"/>
    <w:rsid w:val="056B3DBF"/>
    <w:rsid w:val="057D6BFC"/>
    <w:rsid w:val="057E41A9"/>
    <w:rsid w:val="05B01B1D"/>
    <w:rsid w:val="05BC5BB6"/>
    <w:rsid w:val="05CB2372"/>
    <w:rsid w:val="05FD1629"/>
    <w:rsid w:val="06221E50"/>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9F3EE7"/>
    <w:rsid w:val="07AE41DE"/>
    <w:rsid w:val="07D85507"/>
    <w:rsid w:val="07DF5164"/>
    <w:rsid w:val="07E50580"/>
    <w:rsid w:val="07F46C10"/>
    <w:rsid w:val="07F9224F"/>
    <w:rsid w:val="07FA589D"/>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565E4"/>
    <w:rsid w:val="09BB0BBA"/>
    <w:rsid w:val="09BB6CF7"/>
    <w:rsid w:val="09C77B1C"/>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BE1DF9"/>
    <w:rsid w:val="0CC9599A"/>
    <w:rsid w:val="0CE0341A"/>
    <w:rsid w:val="0D10283C"/>
    <w:rsid w:val="0D3F7F2E"/>
    <w:rsid w:val="0D47704E"/>
    <w:rsid w:val="0D494870"/>
    <w:rsid w:val="0D5456F5"/>
    <w:rsid w:val="0D5955C7"/>
    <w:rsid w:val="0D705EC6"/>
    <w:rsid w:val="0D7C5049"/>
    <w:rsid w:val="0D83675C"/>
    <w:rsid w:val="0D8C75B3"/>
    <w:rsid w:val="0D9E0018"/>
    <w:rsid w:val="0DB757B9"/>
    <w:rsid w:val="0DE7555E"/>
    <w:rsid w:val="0DF06351"/>
    <w:rsid w:val="0E0979BF"/>
    <w:rsid w:val="0E5A014C"/>
    <w:rsid w:val="0E5E4DB8"/>
    <w:rsid w:val="0E5F6E07"/>
    <w:rsid w:val="0E607B1B"/>
    <w:rsid w:val="0E6126CF"/>
    <w:rsid w:val="0E635AF2"/>
    <w:rsid w:val="0E7F77A7"/>
    <w:rsid w:val="0E8405CA"/>
    <w:rsid w:val="0E8D5133"/>
    <w:rsid w:val="0E971943"/>
    <w:rsid w:val="0EB1236A"/>
    <w:rsid w:val="0F197C6F"/>
    <w:rsid w:val="0F270991"/>
    <w:rsid w:val="0F3E6F11"/>
    <w:rsid w:val="0F6F7789"/>
    <w:rsid w:val="0FC27645"/>
    <w:rsid w:val="1005731A"/>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856D1"/>
    <w:rsid w:val="151C2838"/>
    <w:rsid w:val="153E582F"/>
    <w:rsid w:val="159016BB"/>
    <w:rsid w:val="15E5000F"/>
    <w:rsid w:val="16031113"/>
    <w:rsid w:val="16213B9C"/>
    <w:rsid w:val="16674FC6"/>
    <w:rsid w:val="16692CA6"/>
    <w:rsid w:val="16725D01"/>
    <w:rsid w:val="168F227C"/>
    <w:rsid w:val="16F45F36"/>
    <w:rsid w:val="16FC1D97"/>
    <w:rsid w:val="171F0861"/>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4F29B3"/>
    <w:rsid w:val="18810539"/>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8D59A2"/>
    <w:rsid w:val="1A8E3BCD"/>
    <w:rsid w:val="1A955501"/>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657FB"/>
    <w:rsid w:val="1BF868AD"/>
    <w:rsid w:val="1C0503E8"/>
    <w:rsid w:val="1C126363"/>
    <w:rsid w:val="1C2023D8"/>
    <w:rsid w:val="1C6432FE"/>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B72E7F"/>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CD6552"/>
    <w:rsid w:val="1FE07634"/>
    <w:rsid w:val="1FF829ED"/>
    <w:rsid w:val="20027E74"/>
    <w:rsid w:val="200A44E7"/>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187EE4"/>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AF2F03"/>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F3604"/>
    <w:rsid w:val="27D26786"/>
    <w:rsid w:val="27EA6257"/>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1E5605"/>
    <w:rsid w:val="293430C2"/>
    <w:rsid w:val="29394DC3"/>
    <w:rsid w:val="294D3F3D"/>
    <w:rsid w:val="296A69AB"/>
    <w:rsid w:val="296E2E4C"/>
    <w:rsid w:val="297A28A9"/>
    <w:rsid w:val="29871168"/>
    <w:rsid w:val="299C3570"/>
    <w:rsid w:val="299C610E"/>
    <w:rsid w:val="299F7580"/>
    <w:rsid w:val="29B24934"/>
    <w:rsid w:val="29B661A7"/>
    <w:rsid w:val="29C25DAC"/>
    <w:rsid w:val="29EF59E7"/>
    <w:rsid w:val="29F869C7"/>
    <w:rsid w:val="29FA460F"/>
    <w:rsid w:val="2A081208"/>
    <w:rsid w:val="2A19132F"/>
    <w:rsid w:val="2A1E3A2B"/>
    <w:rsid w:val="2A3714C4"/>
    <w:rsid w:val="2A4E1459"/>
    <w:rsid w:val="2A5E24DB"/>
    <w:rsid w:val="2A926984"/>
    <w:rsid w:val="2AA908E7"/>
    <w:rsid w:val="2AC017A8"/>
    <w:rsid w:val="2AC36155"/>
    <w:rsid w:val="2AE31E5D"/>
    <w:rsid w:val="2AF2488D"/>
    <w:rsid w:val="2AF75C96"/>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C0521"/>
    <w:rsid w:val="2D1D236A"/>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40639D6"/>
    <w:rsid w:val="34105AD1"/>
    <w:rsid w:val="34731AFC"/>
    <w:rsid w:val="34756D62"/>
    <w:rsid w:val="347728F4"/>
    <w:rsid w:val="348B54C8"/>
    <w:rsid w:val="34915550"/>
    <w:rsid w:val="349D56AC"/>
    <w:rsid w:val="349D6BA5"/>
    <w:rsid w:val="34A11B7B"/>
    <w:rsid w:val="34A6697A"/>
    <w:rsid w:val="34AF7E71"/>
    <w:rsid w:val="34B33A72"/>
    <w:rsid w:val="34BF1760"/>
    <w:rsid w:val="34D5280E"/>
    <w:rsid w:val="34E20D20"/>
    <w:rsid w:val="350C7DB7"/>
    <w:rsid w:val="352B7FDB"/>
    <w:rsid w:val="3562042D"/>
    <w:rsid w:val="356608C9"/>
    <w:rsid w:val="35850AE6"/>
    <w:rsid w:val="35DE1818"/>
    <w:rsid w:val="35E06871"/>
    <w:rsid w:val="35F167EB"/>
    <w:rsid w:val="36146F55"/>
    <w:rsid w:val="36787E34"/>
    <w:rsid w:val="36886E10"/>
    <w:rsid w:val="36CD4B67"/>
    <w:rsid w:val="36D974F7"/>
    <w:rsid w:val="36E03CF2"/>
    <w:rsid w:val="36E05B33"/>
    <w:rsid w:val="36E77649"/>
    <w:rsid w:val="36F57D87"/>
    <w:rsid w:val="36FC06E4"/>
    <w:rsid w:val="37002BA5"/>
    <w:rsid w:val="372A57D1"/>
    <w:rsid w:val="373006D6"/>
    <w:rsid w:val="373215AF"/>
    <w:rsid w:val="37395AAC"/>
    <w:rsid w:val="37533A9C"/>
    <w:rsid w:val="37554C2A"/>
    <w:rsid w:val="376C2F8C"/>
    <w:rsid w:val="37733C45"/>
    <w:rsid w:val="37EA244F"/>
    <w:rsid w:val="37F62CD1"/>
    <w:rsid w:val="3801691A"/>
    <w:rsid w:val="38053C44"/>
    <w:rsid w:val="3816564C"/>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E21263"/>
    <w:rsid w:val="3BE90506"/>
    <w:rsid w:val="3BEB6832"/>
    <w:rsid w:val="3BF45DB6"/>
    <w:rsid w:val="3BFA06DC"/>
    <w:rsid w:val="3C2E5ED4"/>
    <w:rsid w:val="3C40766B"/>
    <w:rsid w:val="3C7F621D"/>
    <w:rsid w:val="3C8B47EB"/>
    <w:rsid w:val="3CBB6AC9"/>
    <w:rsid w:val="3CBD35C8"/>
    <w:rsid w:val="3CEB1A97"/>
    <w:rsid w:val="3D1456AE"/>
    <w:rsid w:val="3D145DCC"/>
    <w:rsid w:val="3D1C0002"/>
    <w:rsid w:val="3D2962ED"/>
    <w:rsid w:val="3D2D7B94"/>
    <w:rsid w:val="3D340B81"/>
    <w:rsid w:val="3D4E706F"/>
    <w:rsid w:val="3D8311E9"/>
    <w:rsid w:val="3DAA319C"/>
    <w:rsid w:val="3E036111"/>
    <w:rsid w:val="3E2C1657"/>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C5FC4"/>
    <w:rsid w:val="40632B44"/>
    <w:rsid w:val="408853C4"/>
    <w:rsid w:val="40D75E60"/>
    <w:rsid w:val="40DA0D7C"/>
    <w:rsid w:val="40F2437B"/>
    <w:rsid w:val="40FD48E0"/>
    <w:rsid w:val="40FE1BCF"/>
    <w:rsid w:val="40FE520F"/>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7C1BC3"/>
    <w:rsid w:val="438D45B9"/>
    <w:rsid w:val="43985D00"/>
    <w:rsid w:val="43986BA3"/>
    <w:rsid w:val="43AB2F4E"/>
    <w:rsid w:val="43AC3F44"/>
    <w:rsid w:val="43B1210D"/>
    <w:rsid w:val="43C53F65"/>
    <w:rsid w:val="43DE77F3"/>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F459D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662DB"/>
    <w:rsid w:val="47651690"/>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28054D"/>
    <w:rsid w:val="4A3E1268"/>
    <w:rsid w:val="4A560AA6"/>
    <w:rsid w:val="4A631F60"/>
    <w:rsid w:val="4A7B659D"/>
    <w:rsid w:val="4A8F76FA"/>
    <w:rsid w:val="4AD018B4"/>
    <w:rsid w:val="4AD122F6"/>
    <w:rsid w:val="4AF76671"/>
    <w:rsid w:val="4AFB6678"/>
    <w:rsid w:val="4B12483C"/>
    <w:rsid w:val="4B17558A"/>
    <w:rsid w:val="4B1B4C10"/>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629AD"/>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2F0B94"/>
    <w:rsid w:val="4E3F2EE6"/>
    <w:rsid w:val="4E457068"/>
    <w:rsid w:val="4E4E4B6D"/>
    <w:rsid w:val="4E625DA3"/>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705EA7"/>
    <w:rsid w:val="508A0BD0"/>
    <w:rsid w:val="508E4B33"/>
    <w:rsid w:val="50CB3E82"/>
    <w:rsid w:val="50DD3BA3"/>
    <w:rsid w:val="50E61CAB"/>
    <w:rsid w:val="50EE7DC2"/>
    <w:rsid w:val="514136A1"/>
    <w:rsid w:val="514A20B0"/>
    <w:rsid w:val="515463AA"/>
    <w:rsid w:val="517D1FD1"/>
    <w:rsid w:val="51820F0A"/>
    <w:rsid w:val="51B00924"/>
    <w:rsid w:val="51BD4A0F"/>
    <w:rsid w:val="51BF1CEA"/>
    <w:rsid w:val="51C55B60"/>
    <w:rsid w:val="51C720FB"/>
    <w:rsid w:val="51D2101C"/>
    <w:rsid w:val="51E441B2"/>
    <w:rsid w:val="51E878B5"/>
    <w:rsid w:val="51EE3F4A"/>
    <w:rsid w:val="51F8599D"/>
    <w:rsid w:val="51F97291"/>
    <w:rsid w:val="52144845"/>
    <w:rsid w:val="522B4481"/>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3E173BA"/>
    <w:rsid w:val="5423339D"/>
    <w:rsid w:val="54451376"/>
    <w:rsid w:val="545B0024"/>
    <w:rsid w:val="54623CCF"/>
    <w:rsid w:val="54783F91"/>
    <w:rsid w:val="54C52C01"/>
    <w:rsid w:val="54DE257B"/>
    <w:rsid w:val="551B052F"/>
    <w:rsid w:val="551F503D"/>
    <w:rsid w:val="552E7B6C"/>
    <w:rsid w:val="55356F21"/>
    <w:rsid w:val="553B1566"/>
    <w:rsid w:val="553D5A1E"/>
    <w:rsid w:val="554E66B4"/>
    <w:rsid w:val="55623019"/>
    <w:rsid w:val="559508F1"/>
    <w:rsid w:val="55A0704C"/>
    <w:rsid w:val="55CC3F95"/>
    <w:rsid w:val="55CD2AA4"/>
    <w:rsid w:val="55CD5B20"/>
    <w:rsid w:val="55DD38ED"/>
    <w:rsid w:val="55E33C19"/>
    <w:rsid w:val="55E3492A"/>
    <w:rsid w:val="55E63D84"/>
    <w:rsid w:val="55FB5288"/>
    <w:rsid w:val="560F5295"/>
    <w:rsid w:val="56536DD0"/>
    <w:rsid w:val="56A16CF1"/>
    <w:rsid w:val="56C569E8"/>
    <w:rsid w:val="56D91034"/>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3232E"/>
    <w:rsid w:val="59A63822"/>
    <w:rsid w:val="59B8355B"/>
    <w:rsid w:val="59FE08FA"/>
    <w:rsid w:val="5A257E94"/>
    <w:rsid w:val="5A2A02BF"/>
    <w:rsid w:val="5A5106AE"/>
    <w:rsid w:val="5A60741A"/>
    <w:rsid w:val="5A7A608F"/>
    <w:rsid w:val="5A976E36"/>
    <w:rsid w:val="5A9D694A"/>
    <w:rsid w:val="5AA2358A"/>
    <w:rsid w:val="5AA24080"/>
    <w:rsid w:val="5AAD1EF8"/>
    <w:rsid w:val="5ACF7403"/>
    <w:rsid w:val="5B365C08"/>
    <w:rsid w:val="5B46719F"/>
    <w:rsid w:val="5B5C0955"/>
    <w:rsid w:val="5B60313C"/>
    <w:rsid w:val="5B705B09"/>
    <w:rsid w:val="5B9331F3"/>
    <w:rsid w:val="5B983712"/>
    <w:rsid w:val="5B997CCC"/>
    <w:rsid w:val="5B9D7438"/>
    <w:rsid w:val="5BA42A14"/>
    <w:rsid w:val="5BC52ADE"/>
    <w:rsid w:val="5C1E7608"/>
    <w:rsid w:val="5C60141A"/>
    <w:rsid w:val="5C691962"/>
    <w:rsid w:val="5C8D4642"/>
    <w:rsid w:val="5CA70BEA"/>
    <w:rsid w:val="5CFA70E0"/>
    <w:rsid w:val="5CFF3634"/>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621D1B"/>
    <w:rsid w:val="5FAA4A05"/>
    <w:rsid w:val="5FBE3FE5"/>
    <w:rsid w:val="5FC03792"/>
    <w:rsid w:val="5FC939D5"/>
    <w:rsid w:val="5FDA399F"/>
    <w:rsid w:val="5FF22D36"/>
    <w:rsid w:val="5FFA79ED"/>
    <w:rsid w:val="60075E39"/>
    <w:rsid w:val="600D0AF4"/>
    <w:rsid w:val="60273573"/>
    <w:rsid w:val="60276DC2"/>
    <w:rsid w:val="602A54A3"/>
    <w:rsid w:val="60315C67"/>
    <w:rsid w:val="60370997"/>
    <w:rsid w:val="604F40FC"/>
    <w:rsid w:val="605A259A"/>
    <w:rsid w:val="6060154E"/>
    <w:rsid w:val="606D0EF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421845"/>
    <w:rsid w:val="634A387E"/>
    <w:rsid w:val="6361478E"/>
    <w:rsid w:val="636E52EB"/>
    <w:rsid w:val="638B4892"/>
    <w:rsid w:val="638F365A"/>
    <w:rsid w:val="639279AF"/>
    <w:rsid w:val="63944825"/>
    <w:rsid w:val="63D762DC"/>
    <w:rsid w:val="63EC2A57"/>
    <w:rsid w:val="63FE5C95"/>
    <w:rsid w:val="640E22EE"/>
    <w:rsid w:val="641222ED"/>
    <w:rsid w:val="64156B80"/>
    <w:rsid w:val="642B5582"/>
    <w:rsid w:val="642F3826"/>
    <w:rsid w:val="643B040A"/>
    <w:rsid w:val="645C5FA3"/>
    <w:rsid w:val="645D1336"/>
    <w:rsid w:val="64643953"/>
    <w:rsid w:val="6473386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53C2"/>
    <w:rsid w:val="69577852"/>
    <w:rsid w:val="697A46A8"/>
    <w:rsid w:val="698336F8"/>
    <w:rsid w:val="69AA61FA"/>
    <w:rsid w:val="69B022B6"/>
    <w:rsid w:val="69B72806"/>
    <w:rsid w:val="69B83AE8"/>
    <w:rsid w:val="69C21FC2"/>
    <w:rsid w:val="69D05774"/>
    <w:rsid w:val="69DD68EF"/>
    <w:rsid w:val="69F431E5"/>
    <w:rsid w:val="6A0B12F9"/>
    <w:rsid w:val="6A387A83"/>
    <w:rsid w:val="6A4E3481"/>
    <w:rsid w:val="6AB0358F"/>
    <w:rsid w:val="6AC81DFB"/>
    <w:rsid w:val="6ACC2C9C"/>
    <w:rsid w:val="6ACC4B2B"/>
    <w:rsid w:val="6AD5470C"/>
    <w:rsid w:val="6B156F01"/>
    <w:rsid w:val="6B1823F4"/>
    <w:rsid w:val="6B302155"/>
    <w:rsid w:val="6B5061B8"/>
    <w:rsid w:val="6B5541CC"/>
    <w:rsid w:val="6B59475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637917"/>
    <w:rsid w:val="7170146E"/>
    <w:rsid w:val="71705776"/>
    <w:rsid w:val="717268C8"/>
    <w:rsid w:val="71802D0E"/>
    <w:rsid w:val="71880353"/>
    <w:rsid w:val="718F5890"/>
    <w:rsid w:val="71981E73"/>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E13877"/>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0E22AF"/>
    <w:rsid w:val="771E0B46"/>
    <w:rsid w:val="77243900"/>
    <w:rsid w:val="7745626C"/>
    <w:rsid w:val="774A218D"/>
    <w:rsid w:val="77534E7F"/>
    <w:rsid w:val="77597880"/>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BE02AE"/>
    <w:rsid w:val="79C44E91"/>
    <w:rsid w:val="79D75B18"/>
    <w:rsid w:val="79F9227E"/>
    <w:rsid w:val="7A03141B"/>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A5F0D"/>
    <w:rsid w:val="7CC500B7"/>
    <w:rsid w:val="7D1B3CD3"/>
    <w:rsid w:val="7D25417D"/>
    <w:rsid w:val="7D470375"/>
    <w:rsid w:val="7D5A124C"/>
    <w:rsid w:val="7D6B3C9C"/>
    <w:rsid w:val="7D6C7837"/>
    <w:rsid w:val="7D87483A"/>
    <w:rsid w:val="7D886B89"/>
    <w:rsid w:val="7D8A3047"/>
    <w:rsid w:val="7D92427A"/>
    <w:rsid w:val="7DA653E8"/>
    <w:rsid w:val="7DAB4450"/>
    <w:rsid w:val="7DAE4568"/>
    <w:rsid w:val="7DC3009F"/>
    <w:rsid w:val="7DC80DDA"/>
    <w:rsid w:val="7DDC30D5"/>
    <w:rsid w:val="7E0B16A2"/>
    <w:rsid w:val="7E12506E"/>
    <w:rsid w:val="7E1B5179"/>
    <w:rsid w:val="7E3610F8"/>
    <w:rsid w:val="7E510147"/>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next w:val="1"/>
    <w:autoRedefine/>
    <w:qFormat/>
    <w:uiPriority w:val="0"/>
    <w:pPr>
      <w:spacing w:after="120"/>
      <w:ind w:left="420" w:leftChars="200"/>
    </w:pPr>
  </w:style>
  <w:style w:type="paragraph" w:styleId="7">
    <w:name w:val="List Number"/>
    <w:basedOn w:val="1"/>
    <w:autoRedefine/>
    <w:qFormat/>
    <w:uiPriority w:val="0"/>
    <w:pPr>
      <w:numPr>
        <w:ilvl w:val="0"/>
        <w:numId w:val="2"/>
      </w:numPr>
    </w:pPr>
  </w:style>
  <w:style w:type="paragraph" w:styleId="8">
    <w:name w:val="Normal Indent"/>
    <w:basedOn w:val="1"/>
    <w:next w:val="1"/>
    <w:autoRedefine/>
    <w:qFormat/>
    <w:uiPriority w:val="0"/>
    <w:pPr>
      <w:ind w:firstLine="420"/>
    </w:pPr>
    <w:rPr>
      <w:szCs w:val="20"/>
    </w:rPr>
  </w:style>
  <w:style w:type="paragraph" w:styleId="9">
    <w:name w:val="toa heading"/>
    <w:basedOn w:val="1"/>
    <w:next w:val="1"/>
    <w:autoRedefine/>
    <w:semiHidden/>
    <w:qFormat/>
    <w:uiPriority w:val="99"/>
    <w:pPr>
      <w:spacing w:before="120"/>
    </w:pPr>
    <w:rPr>
      <w:rFonts w:ascii="Arial" w:hAnsi="Arial" w:cs="Arial"/>
      <w:sz w:val="24"/>
    </w:rPr>
  </w:style>
  <w:style w:type="paragraph" w:styleId="10">
    <w:name w:val="annotation text"/>
    <w:basedOn w:val="1"/>
    <w:autoRedefine/>
    <w:qFormat/>
    <w:uiPriority w:val="0"/>
    <w:pPr>
      <w:jc w:val="left"/>
    </w:pPr>
  </w:style>
  <w:style w:type="paragraph" w:styleId="11">
    <w:name w:val="Body Text"/>
    <w:basedOn w:val="1"/>
    <w:autoRedefine/>
    <w:qFormat/>
    <w:uiPriority w:val="0"/>
    <w:pPr>
      <w:spacing w:line="360" w:lineRule="exact"/>
    </w:pPr>
    <w:rPr>
      <w:sz w:val="24"/>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0"/>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autoRedefine/>
    <w:unhideWhenUsed/>
    <w:qFormat/>
    <w:uiPriority w:val="39"/>
    <w:pPr>
      <w:widowControl/>
      <w:ind w:left="2100" w:leftChars="1000"/>
      <w:jc w:val="left"/>
    </w:pPr>
    <w:rPr>
      <w:rFonts w:ascii="宋体" w:hAnsi="宋体" w:cs="宋体"/>
      <w:kern w:val="0"/>
      <w:sz w:val="24"/>
    </w:r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11"/>
    <w:next w:val="18"/>
    <w:autoRedefine/>
    <w:qFormat/>
    <w:uiPriority w:val="0"/>
    <w:pPr>
      <w:ind w:firstLine="200" w:firstLineChars="200"/>
    </w:pPr>
  </w:style>
  <w:style w:type="table" w:styleId="22">
    <w:name w:val="Table Grid"/>
    <w:basedOn w:val="21"/>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autoRedefine/>
    <w:qFormat/>
    <w:uiPriority w:val="0"/>
    <w:rPr>
      <w:color w:val="800080"/>
      <w:u w:val="single"/>
    </w:rPr>
  </w:style>
  <w:style w:type="character" w:styleId="25">
    <w:name w:val="Hyperlink"/>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28">
    <w:name w:val="List Paragraph"/>
    <w:basedOn w:val="1"/>
    <w:autoRedefine/>
    <w:qFormat/>
    <w:uiPriority w:val="34"/>
    <w:pPr>
      <w:ind w:firstLine="420" w:firstLineChars="200"/>
    </w:pPr>
    <w:rPr>
      <w:rFonts w:ascii="Calibri" w:hAnsi="Calibri"/>
      <w:szCs w:val="22"/>
    </w:rPr>
  </w:style>
  <w:style w:type="paragraph" w:customStyle="1" w:styleId="29">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autoRedefine/>
    <w:qFormat/>
    <w:uiPriority w:val="0"/>
    <w:rPr>
      <w:rFonts w:ascii="Times New Roman" w:hAnsi="Times New Roman" w:eastAsia="宋体" w:cs="Times New Roman"/>
      <w:sz w:val="21"/>
      <w:szCs w:val="22"/>
      <w:lang w:val="en-US" w:eastAsia="zh-CN" w:bidi="ar-SA"/>
    </w:rPr>
  </w:style>
  <w:style w:type="paragraph" w:customStyle="1" w:styleId="3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autoRedefine/>
    <w:qFormat/>
    <w:uiPriority w:val="0"/>
    <w:pPr>
      <w:widowControl/>
      <w:jc w:val="left"/>
    </w:pPr>
    <w:rPr>
      <w:rFonts w:ascii="宋体" w:hAnsi="Courier New" w:eastAsiaTheme="minorEastAsia" w:cstheme="minorBidi"/>
      <w:szCs w:val="21"/>
    </w:rPr>
  </w:style>
  <w:style w:type="paragraph" w:customStyle="1" w:styleId="38">
    <w:name w:val="纯文本_0_1"/>
    <w:basedOn w:val="1"/>
    <w:autoRedefine/>
    <w:qFormat/>
    <w:uiPriority w:val="0"/>
    <w:pPr>
      <w:widowControl/>
      <w:jc w:val="left"/>
    </w:pPr>
    <w:rPr>
      <w:rFonts w:ascii="宋体" w:hAnsi="Courier New" w:eastAsiaTheme="minorEastAsia" w:cstheme="minorBidi"/>
      <w:szCs w:val="21"/>
    </w:rPr>
  </w:style>
  <w:style w:type="paragraph" w:customStyle="1" w:styleId="3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3"/>
    <w:autoRedefine/>
    <w:qFormat/>
    <w:uiPriority w:val="0"/>
    <w:rPr>
      <w:rFonts w:hint="default" w:ascii="Arial" w:hAnsi="Arial" w:cs="Arial"/>
      <w:color w:val="000000"/>
      <w:sz w:val="20"/>
      <w:szCs w:val="20"/>
      <w:u w:val="none"/>
    </w:rPr>
  </w:style>
  <w:style w:type="character" w:customStyle="1" w:styleId="44">
    <w:name w:val="font01"/>
    <w:basedOn w:val="23"/>
    <w:autoRedefine/>
    <w:qFormat/>
    <w:uiPriority w:val="0"/>
    <w:rPr>
      <w:rFonts w:hint="eastAsia" w:ascii="宋体" w:hAnsi="宋体" w:eastAsia="宋体" w:cs="宋体"/>
      <w:color w:val="000000"/>
      <w:sz w:val="20"/>
      <w:szCs w:val="20"/>
      <w:u w:val="none"/>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autoRedefine/>
    <w:qFormat/>
    <w:uiPriority w:val="1"/>
    <w:rPr>
      <w:rFonts w:ascii="宋体" w:hAnsi="宋体" w:cs="宋体"/>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character" w:customStyle="1" w:styleId="49">
    <w:name w:val="标题 1 Char Char"/>
    <w:basedOn w:val="23"/>
    <w:autoRedefine/>
    <w:qFormat/>
    <w:uiPriority w:val="0"/>
    <w:rPr>
      <w:rFonts w:eastAsia="宋体"/>
      <w:b/>
      <w:spacing w:val="-2"/>
      <w:sz w:val="24"/>
      <w:lang w:val="en-US" w:eastAsia="zh-CN" w:bidi="ar-SA"/>
    </w:rPr>
  </w:style>
  <w:style w:type="character" w:customStyle="1" w:styleId="50">
    <w:name w:val="批注框文本 Char"/>
    <w:basedOn w:val="23"/>
    <w:link w:val="1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21644</Words>
  <Characters>22312</Characters>
  <Lines>174</Lines>
  <Paragraphs>49</Paragraphs>
  <TotalTime>15</TotalTime>
  <ScaleCrop>false</ScaleCrop>
  <LinksUpToDate>false</LinksUpToDate>
  <CharactersWithSpaces>24166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黑夜与猫</cp:lastModifiedBy>
  <cp:lastPrinted>2021-08-18T01:05:00Z</cp:lastPrinted>
  <dcterms:modified xsi:type="dcterms:W3CDTF">2024-03-08T07:14:54Z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56099B2E4D2A4F63A2AAC9078C67EC41</vt:lpwstr>
  </property>
</Properties>
</file>